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43" w:rsidRDefault="003F0F43" w:rsidP="00B0545A">
      <w:pPr>
        <w:jc w:val="center"/>
        <w:rPr>
          <w:sz w:val="24"/>
          <w:szCs w:val="24"/>
        </w:rPr>
      </w:pPr>
      <w:bookmarkStart w:id="0" w:name="OLE_LINK1"/>
      <w:bookmarkStart w:id="1" w:name="OLE_LINK2"/>
    </w:p>
    <w:p w:rsidR="00C55A04" w:rsidRPr="0098479D" w:rsidRDefault="00C55A04" w:rsidP="00B0545A">
      <w:pPr>
        <w:jc w:val="center"/>
        <w:rPr>
          <w:sz w:val="24"/>
          <w:szCs w:val="24"/>
        </w:rPr>
      </w:pPr>
      <w:r w:rsidRPr="0098479D">
        <w:rPr>
          <w:sz w:val="24"/>
          <w:szCs w:val="24"/>
        </w:rPr>
        <w:t xml:space="preserve">Supporting Statement </w:t>
      </w:r>
      <w:r w:rsidR="00787CFD" w:rsidRPr="0098479D">
        <w:rPr>
          <w:sz w:val="24"/>
          <w:szCs w:val="24"/>
        </w:rPr>
        <w:t xml:space="preserve">A </w:t>
      </w:r>
      <w:r w:rsidRPr="0098479D">
        <w:rPr>
          <w:sz w:val="24"/>
          <w:szCs w:val="24"/>
        </w:rPr>
        <w:t>for</w:t>
      </w:r>
      <w:r w:rsidR="003F0F43" w:rsidRPr="0098479D">
        <w:rPr>
          <w:sz w:val="24"/>
          <w:szCs w:val="24"/>
        </w:rPr>
        <w:t>:</w:t>
      </w:r>
    </w:p>
    <w:p w:rsidR="00C55A04" w:rsidRPr="0098479D" w:rsidRDefault="00C55A04" w:rsidP="00B0545A">
      <w:pPr>
        <w:rPr>
          <w:sz w:val="24"/>
          <w:szCs w:val="24"/>
        </w:rPr>
      </w:pPr>
    </w:p>
    <w:p w:rsidR="00C55A04" w:rsidRPr="0098479D" w:rsidRDefault="00C55A04" w:rsidP="00B0545A">
      <w:pPr>
        <w:rPr>
          <w:sz w:val="24"/>
          <w:szCs w:val="24"/>
        </w:rPr>
      </w:pPr>
    </w:p>
    <w:p w:rsidR="00C55A04" w:rsidRPr="0098479D" w:rsidRDefault="00C55A04" w:rsidP="00B0545A">
      <w:pPr>
        <w:rPr>
          <w:sz w:val="24"/>
          <w:szCs w:val="24"/>
        </w:rPr>
      </w:pPr>
    </w:p>
    <w:p w:rsidR="00C55A04" w:rsidRPr="0098479D" w:rsidRDefault="00C55A04" w:rsidP="00B0545A">
      <w:pPr>
        <w:rPr>
          <w:sz w:val="24"/>
          <w:szCs w:val="24"/>
        </w:rPr>
      </w:pPr>
    </w:p>
    <w:p w:rsidR="00787CFD" w:rsidRPr="0098479D" w:rsidRDefault="00C55A04" w:rsidP="00B0545A">
      <w:pPr>
        <w:jc w:val="center"/>
        <w:rPr>
          <w:b/>
          <w:sz w:val="24"/>
          <w:szCs w:val="24"/>
        </w:rPr>
      </w:pPr>
      <w:r w:rsidRPr="0098479D">
        <w:rPr>
          <w:b/>
          <w:sz w:val="24"/>
          <w:szCs w:val="24"/>
        </w:rPr>
        <w:t>THE AGRICULTURAL HEALTH STUDY</w:t>
      </w:r>
      <w:r w:rsidR="008C018A" w:rsidRPr="0098479D">
        <w:rPr>
          <w:b/>
          <w:sz w:val="24"/>
          <w:szCs w:val="24"/>
        </w:rPr>
        <w:t xml:space="preserve"> (AHS)</w:t>
      </w:r>
      <w:r w:rsidRPr="0098479D">
        <w:rPr>
          <w:b/>
          <w:sz w:val="24"/>
          <w:szCs w:val="24"/>
        </w:rPr>
        <w:t xml:space="preserve">: A PROSPECTIVE COHORT STUDY </w:t>
      </w:r>
    </w:p>
    <w:p w:rsidR="00787CFD" w:rsidRPr="0098479D" w:rsidRDefault="00C55A04" w:rsidP="00B0545A">
      <w:pPr>
        <w:jc w:val="center"/>
        <w:rPr>
          <w:b/>
          <w:sz w:val="24"/>
          <w:szCs w:val="24"/>
        </w:rPr>
      </w:pPr>
      <w:r w:rsidRPr="0098479D">
        <w:rPr>
          <w:b/>
          <w:sz w:val="24"/>
          <w:szCs w:val="24"/>
        </w:rPr>
        <w:t xml:space="preserve">OF CANCER AND OTHER DISEASE AMONG MEN AND WOMEN </w:t>
      </w:r>
    </w:p>
    <w:p w:rsidR="00C55A04" w:rsidRPr="0098479D" w:rsidRDefault="00C55A04" w:rsidP="00B0545A">
      <w:pPr>
        <w:jc w:val="center"/>
        <w:rPr>
          <w:b/>
          <w:sz w:val="24"/>
          <w:szCs w:val="24"/>
        </w:rPr>
      </w:pPr>
      <w:r w:rsidRPr="0098479D">
        <w:rPr>
          <w:b/>
          <w:sz w:val="24"/>
          <w:szCs w:val="24"/>
        </w:rPr>
        <w:t>IN AGRICULTURE</w:t>
      </w:r>
      <w:r w:rsidR="00787CFD" w:rsidRPr="0098479D">
        <w:rPr>
          <w:b/>
          <w:sz w:val="24"/>
          <w:szCs w:val="24"/>
        </w:rPr>
        <w:t xml:space="preserve"> (</w:t>
      </w:r>
      <w:r w:rsidR="006043D3" w:rsidRPr="006043D3">
        <w:rPr>
          <w:b/>
          <w:sz w:val="24"/>
          <w:szCs w:val="24"/>
          <w:highlight w:val="yellow"/>
        </w:rPr>
        <w:t>NIEHS</w:t>
      </w:r>
      <w:r w:rsidR="00787CFD" w:rsidRPr="0098479D">
        <w:rPr>
          <w:b/>
          <w:sz w:val="24"/>
          <w:szCs w:val="24"/>
        </w:rPr>
        <w:t>)</w:t>
      </w:r>
    </w:p>
    <w:p w:rsidR="00A10A37" w:rsidRPr="0098479D" w:rsidRDefault="00A10A37" w:rsidP="00B0545A">
      <w:pPr>
        <w:jc w:val="center"/>
        <w:rPr>
          <w:b/>
          <w:sz w:val="24"/>
          <w:szCs w:val="24"/>
        </w:rPr>
      </w:pPr>
    </w:p>
    <w:p w:rsidR="00C55A04" w:rsidRPr="0098479D" w:rsidRDefault="00C55A04" w:rsidP="00B0545A">
      <w:pPr>
        <w:jc w:val="center"/>
        <w:rPr>
          <w:b/>
          <w:sz w:val="24"/>
          <w:szCs w:val="24"/>
        </w:rPr>
      </w:pPr>
    </w:p>
    <w:p w:rsidR="00A10A37" w:rsidRPr="0098479D" w:rsidRDefault="00A10A37" w:rsidP="00B0545A">
      <w:pPr>
        <w:jc w:val="center"/>
        <w:rPr>
          <w:b/>
          <w:sz w:val="24"/>
          <w:szCs w:val="24"/>
        </w:rPr>
      </w:pPr>
    </w:p>
    <w:p w:rsidR="00C55A04" w:rsidRPr="0098479D" w:rsidRDefault="00A10A37" w:rsidP="00B0545A">
      <w:pPr>
        <w:jc w:val="center"/>
        <w:rPr>
          <w:b/>
          <w:sz w:val="24"/>
          <w:szCs w:val="24"/>
        </w:rPr>
      </w:pPr>
      <w:r w:rsidRPr="0098479D">
        <w:rPr>
          <w:b/>
          <w:sz w:val="24"/>
          <w:szCs w:val="24"/>
        </w:rPr>
        <w:t>OMB Control Number: 0925-0406</w:t>
      </w:r>
      <w:r w:rsidR="00CF4165" w:rsidRPr="007B5DF9">
        <w:rPr>
          <w:b/>
          <w:sz w:val="24"/>
          <w:szCs w:val="24"/>
          <w:highlight w:val="yellow"/>
        </w:rPr>
        <w:t>, Expiration Date:  5/31/2013</w:t>
      </w:r>
    </w:p>
    <w:p w:rsidR="00787CFD" w:rsidRPr="0098479D" w:rsidRDefault="00787CFD" w:rsidP="00B0545A">
      <w:pPr>
        <w:jc w:val="center"/>
        <w:rPr>
          <w:sz w:val="24"/>
          <w:szCs w:val="24"/>
        </w:rPr>
      </w:pPr>
    </w:p>
    <w:p w:rsidR="00787CFD" w:rsidRPr="0098479D" w:rsidRDefault="00787CFD" w:rsidP="00B0545A">
      <w:pPr>
        <w:jc w:val="center"/>
        <w:rPr>
          <w:sz w:val="24"/>
          <w:szCs w:val="24"/>
        </w:rPr>
      </w:pPr>
    </w:p>
    <w:p w:rsidR="00C55A04" w:rsidRPr="0098479D" w:rsidRDefault="00D01663" w:rsidP="00CF4165">
      <w:pPr>
        <w:jc w:val="center"/>
        <w:rPr>
          <w:sz w:val="24"/>
          <w:szCs w:val="24"/>
        </w:rPr>
      </w:pPr>
      <w:r>
        <w:rPr>
          <w:sz w:val="24"/>
          <w:szCs w:val="24"/>
          <w:highlight w:val="yellow"/>
        </w:rPr>
        <w:t xml:space="preserve">December </w:t>
      </w:r>
      <w:r w:rsidR="00802801">
        <w:rPr>
          <w:sz w:val="24"/>
          <w:szCs w:val="24"/>
          <w:highlight w:val="yellow"/>
        </w:rPr>
        <w:t>13</w:t>
      </w:r>
      <w:r w:rsidR="00AF3D2A" w:rsidRPr="00AF3D2A">
        <w:rPr>
          <w:sz w:val="24"/>
          <w:szCs w:val="24"/>
          <w:highlight w:val="yellow"/>
        </w:rPr>
        <w:t>, 2012</w:t>
      </w:r>
    </w:p>
    <w:p w:rsidR="00A10A37" w:rsidRPr="0098479D" w:rsidRDefault="00A10A37" w:rsidP="00B0545A">
      <w:pPr>
        <w:rPr>
          <w:sz w:val="24"/>
          <w:szCs w:val="24"/>
        </w:rPr>
      </w:pPr>
    </w:p>
    <w:p w:rsidR="00C55A04" w:rsidRDefault="00C55A04" w:rsidP="00B0545A">
      <w:pPr>
        <w:rPr>
          <w:sz w:val="24"/>
          <w:szCs w:val="24"/>
        </w:rPr>
      </w:pPr>
    </w:p>
    <w:p w:rsidR="00CF4165" w:rsidRDefault="00CF4165" w:rsidP="00B0545A">
      <w:pPr>
        <w:rPr>
          <w:sz w:val="24"/>
          <w:szCs w:val="24"/>
        </w:rPr>
      </w:pPr>
    </w:p>
    <w:p w:rsidR="00450C6D" w:rsidRDefault="00450C6D" w:rsidP="007B5DF9">
      <w:pPr>
        <w:jc w:val="center"/>
        <w:rPr>
          <w:sz w:val="24"/>
          <w:szCs w:val="24"/>
          <w:highlight w:val="yellow"/>
        </w:rPr>
      </w:pPr>
      <w:r>
        <w:rPr>
          <w:sz w:val="24"/>
          <w:szCs w:val="24"/>
          <w:highlight w:val="yellow"/>
        </w:rPr>
        <w:t xml:space="preserve">This is being submitted as Revision. </w:t>
      </w:r>
    </w:p>
    <w:p w:rsidR="00CF4165" w:rsidRDefault="00CF4165" w:rsidP="007B5DF9">
      <w:pPr>
        <w:jc w:val="center"/>
        <w:rPr>
          <w:sz w:val="24"/>
          <w:szCs w:val="24"/>
        </w:rPr>
      </w:pPr>
      <w:r w:rsidRPr="007B5DF9">
        <w:rPr>
          <w:sz w:val="24"/>
          <w:szCs w:val="24"/>
          <w:highlight w:val="yellow"/>
        </w:rPr>
        <w:t>Yellow highlight</w:t>
      </w:r>
      <w:r w:rsidR="00450C6D">
        <w:rPr>
          <w:sz w:val="24"/>
          <w:szCs w:val="24"/>
          <w:highlight w:val="yellow"/>
        </w:rPr>
        <w:t>s indicate changes si</w:t>
      </w:r>
      <w:r w:rsidRPr="007B5DF9">
        <w:rPr>
          <w:sz w:val="24"/>
          <w:szCs w:val="24"/>
          <w:highlight w:val="yellow"/>
        </w:rPr>
        <w:t xml:space="preserve">nce </w:t>
      </w:r>
      <w:r w:rsidR="00450C6D">
        <w:rPr>
          <w:sz w:val="24"/>
          <w:szCs w:val="24"/>
          <w:highlight w:val="yellow"/>
        </w:rPr>
        <w:t xml:space="preserve">the </w:t>
      </w:r>
      <w:r w:rsidRPr="007B5DF9">
        <w:rPr>
          <w:sz w:val="24"/>
          <w:szCs w:val="24"/>
          <w:highlight w:val="yellow"/>
        </w:rPr>
        <w:t xml:space="preserve">last submission in </w:t>
      </w:r>
      <w:r w:rsidRPr="00450C6D">
        <w:rPr>
          <w:sz w:val="24"/>
          <w:szCs w:val="24"/>
          <w:highlight w:val="yellow"/>
        </w:rPr>
        <w:t>2010.</w:t>
      </w:r>
    </w:p>
    <w:p w:rsidR="00CF4165" w:rsidRDefault="00CF4165" w:rsidP="00B0545A">
      <w:pPr>
        <w:rPr>
          <w:sz w:val="24"/>
          <w:szCs w:val="24"/>
        </w:rPr>
      </w:pPr>
    </w:p>
    <w:p w:rsidR="00CF4165" w:rsidRDefault="00CF4165" w:rsidP="00B0545A">
      <w:pPr>
        <w:rPr>
          <w:sz w:val="24"/>
          <w:szCs w:val="24"/>
        </w:rPr>
      </w:pPr>
    </w:p>
    <w:p w:rsidR="00CF4165" w:rsidRDefault="00CF4165" w:rsidP="00B0545A">
      <w:pPr>
        <w:rPr>
          <w:sz w:val="24"/>
          <w:szCs w:val="24"/>
        </w:rPr>
      </w:pPr>
    </w:p>
    <w:p w:rsidR="00CF4165" w:rsidRPr="0098479D" w:rsidRDefault="00CF4165" w:rsidP="00B0545A">
      <w:pPr>
        <w:rPr>
          <w:sz w:val="24"/>
          <w:szCs w:val="24"/>
        </w:rPr>
      </w:pPr>
    </w:p>
    <w:p w:rsidR="00C55A04" w:rsidRPr="0098479D" w:rsidRDefault="00C55A04" w:rsidP="00B0545A">
      <w:pPr>
        <w:jc w:val="center"/>
        <w:rPr>
          <w:sz w:val="24"/>
          <w:szCs w:val="24"/>
        </w:rPr>
      </w:pPr>
      <w:r w:rsidRPr="0098479D">
        <w:rPr>
          <w:sz w:val="24"/>
          <w:szCs w:val="24"/>
        </w:rPr>
        <w:t>Submitted by:</w:t>
      </w:r>
    </w:p>
    <w:p w:rsidR="00C55A04" w:rsidRPr="0098479D" w:rsidRDefault="00C55A04" w:rsidP="00B0545A">
      <w:pPr>
        <w:jc w:val="center"/>
        <w:rPr>
          <w:sz w:val="24"/>
          <w:szCs w:val="24"/>
        </w:rPr>
      </w:pPr>
    </w:p>
    <w:p w:rsidR="00C55A04" w:rsidRPr="00AF3D2A" w:rsidRDefault="00AF3D2A" w:rsidP="00B0545A">
      <w:pPr>
        <w:jc w:val="center"/>
        <w:rPr>
          <w:sz w:val="24"/>
          <w:szCs w:val="24"/>
          <w:highlight w:val="yellow"/>
        </w:rPr>
      </w:pPr>
      <w:r w:rsidRPr="00AF3D2A">
        <w:rPr>
          <w:sz w:val="24"/>
          <w:szCs w:val="24"/>
          <w:highlight w:val="yellow"/>
        </w:rPr>
        <w:t>Epidemiology Branch</w:t>
      </w:r>
    </w:p>
    <w:p w:rsidR="00AF3D2A" w:rsidRPr="00AF3D2A" w:rsidRDefault="00AF3D2A" w:rsidP="00B0545A">
      <w:pPr>
        <w:jc w:val="center"/>
        <w:rPr>
          <w:sz w:val="24"/>
          <w:szCs w:val="24"/>
          <w:highlight w:val="yellow"/>
        </w:rPr>
      </w:pPr>
      <w:r w:rsidRPr="00AF3D2A">
        <w:rPr>
          <w:sz w:val="24"/>
          <w:szCs w:val="24"/>
          <w:highlight w:val="yellow"/>
        </w:rPr>
        <w:t>National Institute of Environmental Health Sciences</w:t>
      </w:r>
      <w:r w:rsidR="00CF4165">
        <w:rPr>
          <w:sz w:val="24"/>
          <w:szCs w:val="24"/>
          <w:highlight w:val="yellow"/>
        </w:rPr>
        <w:t xml:space="preserve"> (NIEHS)</w:t>
      </w:r>
    </w:p>
    <w:p w:rsidR="00AF3D2A" w:rsidRPr="00AF3D2A" w:rsidRDefault="00AF3D2A" w:rsidP="00B0545A">
      <w:pPr>
        <w:jc w:val="center"/>
        <w:rPr>
          <w:sz w:val="24"/>
          <w:szCs w:val="24"/>
          <w:highlight w:val="yellow"/>
        </w:rPr>
      </w:pPr>
      <w:r w:rsidRPr="00AF3D2A">
        <w:rPr>
          <w:sz w:val="24"/>
          <w:szCs w:val="24"/>
          <w:highlight w:val="yellow"/>
        </w:rPr>
        <w:t>National Institutes of Health</w:t>
      </w:r>
    </w:p>
    <w:p w:rsidR="00AF3D2A" w:rsidRPr="0098479D" w:rsidRDefault="00AF3D2A" w:rsidP="00B0545A">
      <w:pPr>
        <w:jc w:val="center"/>
        <w:rPr>
          <w:sz w:val="24"/>
          <w:szCs w:val="24"/>
        </w:rPr>
      </w:pPr>
      <w:r w:rsidRPr="00AF3D2A">
        <w:rPr>
          <w:sz w:val="24"/>
          <w:szCs w:val="24"/>
          <w:highlight w:val="yellow"/>
        </w:rPr>
        <w:t>Research Triangle Park, North Carolina 27709</w:t>
      </w:r>
    </w:p>
    <w:p w:rsidR="00C55A04" w:rsidRPr="0098479D" w:rsidRDefault="00C55A04" w:rsidP="00B0545A">
      <w:pPr>
        <w:rPr>
          <w:sz w:val="24"/>
          <w:szCs w:val="24"/>
        </w:rPr>
      </w:pPr>
    </w:p>
    <w:p w:rsidR="00C55A04" w:rsidRPr="0098479D" w:rsidRDefault="00C55A04" w:rsidP="00B0545A">
      <w:pPr>
        <w:rPr>
          <w:sz w:val="24"/>
          <w:szCs w:val="24"/>
        </w:rPr>
      </w:pPr>
    </w:p>
    <w:p w:rsidR="00C55A04" w:rsidRPr="0098479D" w:rsidRDefault="00C55A04" w:rsidP="00B0545A">
      <w:pPr>
        <w:rPr>
          <w:sz w:val="24"/>
          <w:szCs w:val="24"/>
        </w:rPr>
      </w:pPr>
    </w:p>
    <w:p w:rsidR="00C55A04" w:rsidRPr="0098479D" w:rsidRDefault="00C55A04" w:rsidP="00B0545A">
      <w:pPr>
        <w:rPr>
          <w:sz w:val="24"/>
          <w:szCs w:val="24"/>
        </w:rPr>
      </w:pPr>
    </w:p>
    <w:p w:rsidR="00C55A04" w:rsidRPr="0098479D" w:rsidRDefault="00C55A04" w:rsidP="00B0545A">
      <w:pPr>
        <w:rPr>
          <w:sz w:val="24"/>
          <w:szCs w:val="24"/>
        </w:rPr>
      </w:pPr>
    </w:p>
    <w:p w:rsidR="00C55A04" w:rsidRPr="0098479D" w:rsidRDefault="00C55A04" w:rsidP="00B0545A">
      <w:pPr>
        <w:rPr>
          <w:sz w:val="24"/>
          <w:szCs w:val="24"/>
        </w:rPr>
      </w:pPr>
    </w:p>
    <w:p w:rsidR="00C55A04" w:rsidRPr="0098479D" w:rsidRDefault="00C55A04" w:rsidP="00CF4165">
      <w:pPr>
        <w:tabs>
          <w:tab w:val="left" w:pos="2160"/>
        </w:tabs>
        <w:rPr>
          <w:sz w:val="24"/>
          <w:szCs w:val="24"/>
        </w:rPr>
      </w:pPr>
      <w:r w:rsidRPr="0098479D">
        <w:rPr>
          <w:sz w:val="24"/>
          <w:szCs w:val="24"/>
        </w:rPr>
        <w:t>Contact Person:</w:t>
      </w:r>
      <w:r w:rsidRPr="0098479D">
        <w:rPr>
          <w:sz w:val="24"/>
          <w:szCs w:val="24"/>
        </w:rPr>
        <w:tab/>
      </w:r>
      <w:r w:rsidR="00AF3D2A" w:rsidRPr="00AF3D2A">
        <w:rPr>
          <w:sz w:val="24"/>
          <w:szCs w:val="24"/>
          <w:highlight w:val="yellow"/>
        </w:rPr>
        <w:t xml:space="preserve">Jane A. Hoppin, </w:t>
      </w:r>
      <w:proofErr w:type="spellStart"/>
      <w:r w:rsidR="00AF3D2A" w:rsidRPr="00AF3D2A">
        <w:rPr>
          <w:sz w:val="24"/>
          <w:szCs w:val="24"/>
          <w:highlight w:val="yellow"/>
        </w:rPr>
        <w:t>Sc.D</w:t>
      </w:r>
      <w:proofErr w:type="spellEnd"/>
    </w:p>
    <w:p w:rsidR="00C55A04" w:rsidRPr="0098479D" w:rsidRDefault="00C55A04" w:rsidP="00CF4165">
      <w:pPr>
        <w:tabs>
          <w:tab w:val="left" w:pos="2160"/>
        </w:tabs>
        <w:rPr>
          <w:sz w:val="24"/>
          <w:szCs w:val="24"/>
        </w:rPr>
      </w:pPr>
      <w:r w:rsidRPr="0098479D">
        <w:rPr>
          <w:sz w:val="24"/>
          <w:szCs w:val="24"/>
        </w:rPr>
        <w:tab/>
      </w:r>
      <w:r w:rsidR="00AF3D2A" w:rsidRPr="00AF3D2A">
        <w:rPr>
          <w:sz w:val="24"/>
          <w:szCs w:val="24"/>
          <w:highlight w:val="yellow"/>
        </w:rPr>
        <w:t>NIEHS</w:t>
      </w:r>
      <w:r w:rsidR="000E0DC6">
        <w:rPr>
          <w:sz w:val="24"/>
          <w:szCs w:val="24"/>
          <w:highlight w:val="yellow"/>
        </w:rPr>
        <w:t>,</w:t>
      </w:r>
      <w:r w:rsidR="00AF3D2A" w:rsidRPr="00AF3D2A">
        <w:rPr>
          <w:sz w:val="24"/>
          <w:szCs w:val="24"/>
          <w:highlight w:val="yellow"/>
        </w:rPr>
        <w:t xml:space="preserve"> Staff Scientist</w:t>
      </w:r>
    </w:p>
    <w:p w:rsidR="00C55A04" w:rsidRDefault="00C55A04" w:rsidP="00CF4165">
      <w:pPr>
        <w:tabs>
          <w:tab w:val="left" w:pos="2160"/>
        </w:tabs>
        <w:rPr>
          <w:sz w:val="24"/>
          <w:szCs w:val="24"/>
        </w:rPr>
      </w:pPr>
      <w:r w:rsidRPr="0098479D">
        <w:rPr>
          <w:sz w:val="24"/>
          <w:szCs w:val="24"/>
        </w:rPr>
        <w:tab/>
      </w:r>
      <w:r w:rsidR="00AF3D2A" w:rsidRPr="00AF3D2A">
        <w:rPr>
          <w:sz w:val="24"/>
          <w:szCs w:val="24"/>
          <w:highlight w:val="yellow"/>
        </w:rPr>
        <w:t>111 T.W. Alexander Drive</w:t>
      </w:r>
    </w:p>
    <w:p w:rsidR="00AF3D2A" w:rsidRDefault="00AF3D2A" w:rsidP="00CF4165">
      <w:pPr>
        <w:tabs>
          <w:tab w:val="left" w:pos="2160"/>
        </w:tabs>
        <w:rPr>
          <w:sz w:val="24"/>
          <w:szCs w:val="24"/>
        </w:rPr>
      </w:pPr>
      <w:r>
        <w:rPr>
          <w:sz w:val="24"/>
          <w:szCs w:val="24"/>
        </w:rPr>
        <w:tab/>
      </w:r>
      <w:r w:rsidRPr="00AF3D2A">
        <w:rPr>
          <w:sz w:val="24"/>
          <w:szCs w:val="24"/>
          <w:highlight w:val="yellow"/>
        </w:rPr>
        <w:t>PO Box 12233</w:t>
      </w:r>
    </w:p>
    <w:p w:rsidR="00AF3D2A" w:rsidRPr="0098479D" w:rsidRDefault="00AF3D2A" w:rsidP="00CF4165">
      <w:pPr>
        <w:tabs>
          <w:tab w:val="left" w:pos="2160"/>
        </w:tabs>
        <w:ind w:left="1440" w:firstLine="720"/>
        <w:rPr>
          <w:sz w:val="24"/>
          <w:szCs w:val="24"/>
        </w:rPr>
      </w:pPr>
      <w:r w:rsidRPr="00AF3D2A">
        <w:rPr>
          <w:sz w:val="24"/>
          <w:szCs w:val="24"/>
          <w:highlight w:val="yellow"/>
        </w:rPr>
        <w:t>Mail Drop A3-05</w:t>
      </w:r>
    </w:p>
    <w:p w:rsidR="007663AF" w:rsidRPr="0098479D" w:rsidRDefault="007663AF" w:rsidP="00CF4165">
      <w:pPr>
        <w:tabs>
          <w:tab w:val="left" w:pos="2160"/>
        </w:tabs>
        <w:ind w:left="1440" w:firstLine="720"/>
        <w:rPr>
          <w:sz w:val="24"/>
          <w:szCs w:val="24"/>
        </w:rPr>
      </w:pPr>
      <w:r w:rsidRPr="00AF3D2A">
        <w:rPr>
          <w:sz w:val="24"/>
          <w:szCs w:val="24"/>
          <w:highlight w:val="yellow"/>
        </w:rPr>
        <w:t>Research Triangle Park, North Carolina 27709</w:t>
      </w:r>
    </w:p>
    <w:p w:rsidR="00C55A04" w:rsidRPr="007B5DF9" w:rsidRDefault="00C55A04" w:rsidP="00CF4165">
      <w:pPr>
        <w:tabs>
          <w:tab w:val="left" w:pos="2160"/>
        </w:tabs>
        <w:rPr>
          <w:sz w:val="24"/>
          <w:szCs w:val="24"/>
          <w:highlight w:val="yellow"/>
        </w:rPr>
      </w:pPr>
      <w:r w:rsidRPr="0098479D">
        <w:rPr>
          <w:sz w:val="24"/>
          <w:szCs w:val="24"/>
        </w:rPr>
        <w:tab/>
      </w:r>
      <w:r w:rsidRPr="007B5DF9">
        <w:rPr>
          <w:sz w:val="24"/>
          <w:szCs w:val="24"/>
          <w:highlight w:val="yellow"/>
        </w:rPr>
        <w:t>Phone:</w:t>
      </w:r>
      <w:r w:rsidRPr="007B5DF9">
        <w:rPr>
          <w:sz w:val="24"/>
          <w:szCs w:val="24"/>
          <w:highlight w:val="yellow"/>
        </w:rPr>
        <w:tab/>
      </w:r>
      <w:r w:rsidR="00AF3D2A" w:rsidRPr="007B5DF9">
        <w:rPr>
          <w:sz w:val="24"/>
          <w:szCs w:val="24"/>
          <w:highlight w:val="yellow"/>
        </w:rPr>
        <w:t xml:space="preserve"> </w:t>
      </w:r>
      <w:r w:rsidR="00AF3D2A" w:rsidRPr="00CF4165">
        <w:rPr>
          <w:sz w:val="24"/>
          <w:szCs w:val="24"/>
          <w:highlight w:val="yellow"/>
        </w:rPr>
        <w:t>(919) 541-7622</w:t>
      </w:r>
    </w:p>
    <w:p w:rsidR="00C55A04" w:rsidRPr="007B5DF9" w:rsidRDefault="00C55A04" w:rsidP="00CF4165">
      <w:pPr>
        <w:tabs>
          <w:tab w:val="left" w:pos="2160"/>
        </w:tabs>
        <w:rPr>
          <w:sz w:val="24"/>
          <w:szCs w:val="24"/>
          <w:highlight w:val="yellow"/>
        </w:rPr>
      </w:pPr>
      <w:r w:rsidRPr="0089372D">
        <w:rPr>
          <w:sz w:val="24"/>
          <w:szCs w:val="24"/>
        </w:rPr>
        <w:tab/>
      </w:r>
      <w:r w:rsidRPr="007B5DF9">
        <w:rPr>
          <w:sz w:val="24"/>
          <w:szCs w:val="24"/>
          <w:highlight w:val="yellow"/>
        </w:rPr>
        <w:t>FAX:</w:t>
      </w:r>
      <w:r w:rsidRPr="007B5DF9">
        <w:rPr>
          <w:sz w:val="24"/>
          <w:szCs w:val="24"/>
          <w:highlight w:val="yellow"/>
        </w:rPr>
        <w:tab/>
      </w:r>
      <w:r w:rsidR="00AF3D2A" w:rsidRPr="007B5DF9">
        <w:rPr>
          <w:sz w:val="24"/>
          <w:szCs w:val="24"/>
          <w:highlight w:val="yellow"/>
        </w:rPr>
        <w:t xml:space="preserve"> </w:t>
      </w:r>
      <w:r w:rsidR="00AF3D2A" w:rsidRPr="00CF4165">
        <w:rPr>
          <w:sz w:val="24"/>
          <w:szCs w:val="24"/>
          <w:highlight w:val="yellow"/>
        </w:rPr>
        <w:t>(919) 541-2511</w:t>
      </w:r>
    </w:p>
    <w:p w:rsidR="00C55A04" w:rsidRPr="0098479D" w:rsidRDefault="00C55A04" w:rsidP="00B0545A">
      <w:pPr>
        <w:rPr>
          <w:sz w:val="24"/>
          <w:szCs w:val="24"/>
        </w:rPr>
      </w:pPr>
      <w:r w:rsidRPr="0089372D">
        <w:rPr>
          <w:sz w:val="24"/>
          <w:szCs w:val="24"/>
        </w:rPr>
        <w:tab/>
      </w:r>
      <w:r w:rsidRPr="0089372D">
        <w:rPr>
          <w:sz w:val="24"/>
          <w:szCs w:val="24"/>
        </w:rPr>
        <w:tab/>
      </w:r>
      <w:r w:rsidRPr="0089372D">
        <w:rPr>
          <w:sz w:val="24"/>
          <w:szCs w:val="24"/>
        </w:rPr>
        <w:tab/>
      </w:r>
      <w:proofErr w:type="gramStart"/>
      <w:r w:rsidRPr="007B5DF9">
        <w:rPr>
          <w:sz w:val="24"/>
          <w:szCs w:val="24"/>
          <w:highlight w:val="yellow"/>
        </w:rPr>
        <w:t>e-mail</w:t>
      </w:r>
      <w:proofErr w:type="gramEnd"/>
      <w:r w:rsidRPr="007B5DF9">
        <w:rPr>
          <w:sz w:val="24"/>
          <w:szCs w:val="24"/>
          <w:highlight w:val="yellow"/>
        </w:rPr>
        <w:t>:</w:t>
      </w:r>
      <w:r w:rsidRPr="007B5DF9">
        <w:rPr>
          <w:sz w:val="24"/>
          <w:szCs w:val="24"/>
          <w:highlight w:val="yellow"/>
        </w:rPr>
        <w:tab/>
      </w:r>
      <w:r w:rsidR="00AF3D2A" w:rsidRPr="007B5DF9">
        <w:rPr>
          <w:sz w:val="24"/>
          <w:szCs w:val="24"/>
          <w:highlight w:val="yellow"/>
        </w:rPr>
        <w:t xml:space="preserve"> </w:t>
      </w:r>
      <w:r w:rsidR="00AF3D2A" w:rsidRPr="00CF4165">
        <w:rPr>
          <w:sz w:val="24"/>
          <w:szCs w:val="24"/>
          <w:highlight w:val="yellow"/>
        </w:rPr>
        <w:t>hoppin1@niehs.nih.gov</w:t>
      </w:r>
    </w:p>
    <w:p w:rsidR="00570A6B" w:rsidRPr="0098479D" w:rsidRDefault="00C55A04" w:rsidP="00BC7903">
      <w:pPr>
        <w:ind w:left="855" w:hanging="855"/>
        <w:rPr>
          <w:sz w:val="24"/>
          <w:szCs w:val="24"/>
        </w:rPr>
      </w:pPr>
      <w:r w:rsidRPr="0098479D">
        <w:rPr>
          <w:b/>
          <w:sz w:val="24"/>
          <w:szCs w:val="24"/>
        </w:rPr>
        <w:br w:type="page"/>
      </w:r>
      <w:r w:rsidR="00570A6B" w:rsidRPr="0098479D">
        <w:rPr>
          <w:sz w:val="24"/>
          <w:szCs w:val="24"/>
        </w:rPr>
        <w:lastRenderedPageBreak/>
        <w:tab/>
      </w:r>
      <w:r w:rsidR="00570A6B" w:rsidRPr="0098479D">
        <w:rPr>
          <w:b/>
          <w:sz w:val="24"/>
          <w:szCs w:val="24"/>
        </w:rPr>
        <w:t>TABLE OF CONTENTS</w:t>
      </w:r>
    </w:p>
    <w:p w:rsidR="00570A6B" w:rsidRPr="0098479D" w:rsidRDefault="00570A6B" w:rsidP="00B0545A">
      <w:pPr>
        <w:rPr>
          <w:sz w:val="24"/>
          <w:szCs w:val="24"/>
        </w:rPr>
      </w:pPr>
    </w:p>
    <w:p w:rsidR="00570A6B" w:rsidRPr="0098479D" w:rsidRDefault="00570A6B" w:rsidP="00B0545A">
      <w:pPr>
        <w:outlineLvl w:val="0"/>
        <w:rPr>
          <w:sz w:val="24"/>
          <w:szCs w:val="24"/>
        </w:rPr>
      </w:pPr>
      <w:r w:rsidRPr="0098479D">
        <w:rPr>
          <w:b/>
          <w:sz w:val="24"/>
          <w:szCs w:val="24"/>
        </w:rPr>
        <w:t>A.</w:t>
      </w:r>
      <w:r w:rsidRPr="0098479D">
        <w:rPr>
          <w:b/>
          <w:sz w:val="24"/>
          <w:szCs w:val="24"/>
        </w:rPr>
        <w:tab/>
        <w:t>JUSTIFICATION</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1</w:t>
      </w:r>
      <w:r w:rsidR="00570A6B" w:rsidRPr="0098479D">
        <w:rPr>
          <w:sz w:val="24"/>
          <w:szCs w:val="24"/>
        </w:rPr>
        <w:tab/>
        <w:t>Circumstances Making the Collection of Information Necessary</w:t>
      </w:r>
      <w:r w:rsidR="00153DC2" w:rsidRPr="0098479D">
        <w:rPr>
          <w:sz w:val="24"/>
          <w:szCs w:val="24"/>
        </w:rPr>
        <w:tab/>
        <w:t>1</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2</w:t>
      </w:r>
      <w:r w:rsidR="00570A6B" w:rsidRPr="0098479D">
        <w:rPr>
          <w:sz w:val="24"/>
          <w:szCs w:val="24"/>
        </w:rPr>
        <w:tab/>
        <w:t>Purpose and Use of the Information</w:t>
      </w:r>
      <w:r w:rsidR="00CF4165">
        <w:rPr>
          <w:sz w:val="24"/>
          <w:szCs w:val="24"/>
        </w:rPr>
        <w:t xml:space="preserve"> Collection</w:t>
      </w:r>
      <w:r w:rsidR="00153DC2" w:rsidRPr="0098479D">
        <w:rPr>
          <w:sz w:val="24"/>
          <w:szCs w:val="24"/>
        </w:rPr>
        <w:tab/>
      </w:r>
      <w:r w:rsidR="009F3314" w:rsidRPr="0098479D">
        <w:rPr>
          <w:sz w:val="24"/>
          <w:szCs w:val="24"/>
        </w:rPr>
        <w:t>5</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3</w:t>
      </w:r>
      <w:r w:rsidR="00570A6B" w:rsidRPr="0098479D">
        <w:rPr>
          <w:sz w:val="24"/>
          <w:szCs w:val="24"/>
        </w:rPr>
        <w:tab/>
        <w:t xml:space="preserve">Use of </w:t>
      </w:r>
      <w:r w:rsidR="00BA5DA4" w:rsidRPr="0098479D">
        <w:rPr>
          <w:sz w:val="24"/>
          <w:szCs w:val="24"/>
        </w:rPr>
        <w:t xml:space="preserve">Improved </w:t>
      </w:r>
      <w:r w:rsidR="00570A6B" w:rsidRPr="0098479D">
        <w:rPr>
          <w:sz w:val="24"/>
          <w:szCs w:val="24"/>
        </w:rPr>
        <w:t>Information Technology and Burden Reduction</w:t>
      </w:r>
      <w:r w:rsidR="00153DC2" w:rsidRPr="0098479D">
        <w:rPr>
          <w:sz w:val="24"/>
          <w:szCs w:val="24"/>
        </w:rPr>
        <w:tab/>
      </w:r>
      <w:r w:rsidR="006A4B38">
        <w:rPr>
          <w:sz w:val="24"/>
          <w:szCs w:val="24"/>
        </w:rPr>
        <w:t>7</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4</w:t>
      </w:r>
      <w:r w:rsidR="00570A6B" w:rsidRPr="0098479D">
        <w:rPr>
          <w:sz w:val="24"/>
          <w:szCs w:val="24"/>
        </w:rPr>
        <w:tab/>
        <w:t>Efforts to Identify Duplication and Use of Similar Information</w:t>
      </w:r>
      <w:r w:rsidR="00153DC2" w:rsidRPr="0098479D">
        <w:rPr>
          <w:sz w:val="24"/>
          <w:szCs w:val="24"/>
        </w:rPr>
        <w:tab/>
      </w:r>
      <w:r w:rsidR="004E237D" w:rsidRPr="0098479D">
        <w:rPr>
          <w:sz w:val="24"/>
          <w:szCs w:val="24"/>
        </w:rPr>
        <w:t>1</w:t>
      </w:r>
      <w:r w:rsidR="006A4B38">
        <w:rPr>
          <w:sz w:val="24"/>
          <w:szCs w:val="24"/>
        </w:rPr>
        <w:t>0</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5</w:t>
      </w:r>
      <w:r w:rsidR="00570A6B" w:rsidRPr="0098479D">
        <w:rPr>
          <w:sz w:val="24"/>
          <w:szCs w:val="24"/>
        </w:rPr>
        <w:tab/>
        <w:t>Impact on Small Businesses or Other Small Entities</w:t>
      </w:r>
      <w:r w:rsidR="00153DC2" w:rsidRPr="0098479D">
        <w:rPr>
          <w:sz w:val="24"/>
          <w:szCs w:val="24"/>
        </w:rPr>
        <w:tab/>
      </w:r>
      <w:r w:rsidR="004E237D" w:rsidRPr="0098479D">
        <w:rPr>
          <w:sz w:val="24"/>
          <w:szCs w:val="24"/>
        </w:rPr>
        <w:t>1</w:t>
      </w:r>
      <w:r w:rsidR="006A4B38">
        <w:rPr>
          <w:sz w:val="24"/>
          <w:szCs w:val="24"/>
        </w:rPr>
        <w:t>0</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6</w:t>
      </w:r>
      <w:r w:rsidR="00570A6B" w:rsidRPr="0098479D">
        <w:rPr>
          <w:sz w:val="24"/>
          <w:szCs w:val="24"/>
        </w:rPr>
        <w:tab/>
        <w:t>Consequences of Collecting the Information Less Frequently</w:t>
      </w:r>
      <w:r w:rsidR="00153DC2" w:rsidRPr="0098479D">
        <w:rPr>
          <w:sz w:val="24"/>
          <w:szCs w:val="24"/>
        </w:rPr>
        <w:tab/>
      </w:r>
      <w:r w:rsidR="006037F8" w:rsidRPr="0098479D">
        <w:rPr>
          <w:sz w:val="24"/>
          <w:szCs w:val="24"/>
        </w:rPr>
        <w:t>1</w:t>
      </w:r>
      <w:r w:rsidR="006A4B38">
        <w:rPr>
          <w:sz w:val="24"/>
          <w:szCs w:val="24"/>
        </w:rPr>
        <w:t>1</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7</w:t>
      </w:r>
      <w:r w:rsidR="00570A6B" w:rsidRPr="0098479D">
        <w:rPr>
          <w:sz w:val="24"/>
          <w:szCs w:val="24"/>
        </w:rPr>
        <w:tab/>
        <w:t>Special Circumstances Relating to the Guidelines of 5 CFR 1320.5</w:t>
      </w:r>
      <w:r w:rsidR="00153DC2" w:rsidRPr="0098479D">
        <w:rPr>
          <w:sz w:val="24"/>
          <w:szCs w:val="24"/>
        </w:rPr>
        <w:tab/>
      </w:r>
      <w:r w:rsidR="004E237D" w:rsidRPr="0098479D">
        <w:rPr>
          <w:sz w:val="24"/>
          <w:szCs w:val="24"/>
        </w:rPr>
        <w:t>1</w:t>
      </w:r>
      <w:r w:rsidR="004526A9">
        <w:rPr>
          <w:sz w:val="24"/>
          <w:szCs w:val="24"/>
        </w:rPr>
        <w:t>2</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8</w:t>
      </w:r>
      <w:r w:rsidR="00570A6B" w:rsidRPr="0098479D">
        <w:rPr>
          <w:sz w:val="24"/>
          <w:szCs w:val="24"/>
        </w:rPr>
        <w:tab/>
        <w:t xml:space="preserve">Comments in Response to the </w:t>
      </w:r>
      <w:r w:rsidR="00570A6B" w:rsidRPr="0098479D">
        <w:rPr>
          <w:sz w:val="24"/>
          <w:szCs w:val="24"/>
          <w:u w:val="single"/>
        </w:rPr>
        <w:t>Federal</w:t>
      </w:r>
      <w:r w:rsidR="00570A6B" w:rsidRPr="0098479D">
        <w:rPr>
          <w:sz w:val="24"/>
          <w:szCs w:val="24"/>
        </w:rPr>
        <w:t xml:space="preserve"> </w:t>
      </w:r>
      <w:r w:rsidR="00570A6B" w:rsidRPr="0098479D">
        <w:rPr>
          <w:sz w:val="24"/>
          <w:szCs w:val="24"/>
          <w:u w:val="single"/>
        </w:rPr>
        <w:t>Register</w:t>
      </w:r>
      <w:r w:rsidR="00570A6B" w:rsidRPr="0098479D">
        <w:rPr>
          <w:sz w:val="24"/>
          <w:szCs w:val="24"/>
        </w:rPr>
        <w:t xml:space="preserve"> Notice and Efforts to Consult Outside </w:t>
      </w:r>
      <w:r w:rsidR="00BA5DA4" w:rsidRPr="0098479D">
        <w:rPr>
          <w:sz w:val="24"/>
          <w:szCs w:val="24"/>
        </w:rPr>
        <w:t xml:space="preserve">the </w:t>
      </w:r>
      <w:r w:rsidR="00570A6B" w:rsidRPr="0098479D">
        <w:rPr>
          <w:sz w:val="24"/>
          <w:szCs w:val="24"/>
        </w:rPr>
        <w:t>Agency</w:t>
      </w:r>
      <w:r w:rsidR="00153DC2" w:rsidRPr="0098479D">
        <w:rPr>
          <w:sz w:val="24"/>
          <w:szCs w:val="24"/>
        </w:rPr>
        <w:tab/>
      </w:r>
      <w:r w:rsidR="004E237D" w:rsidRPr="0098479D">
        <w:rPr>
          <w:sz w:val="24"/>
          <w:szCs w:val="24"/>
        </w:rPr>
        <w:t>1</w:t>
      </w:r>
      <w:r w:rsidR="004526A9">
        <w:rPr>
          <w:sz w:val="24"/>
          <w:szCs w:val="24"/>
        </w:rPr>
        <w:t>2</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9</w:t>
      </w:r>
      <w:r w:rsidR="00570A6B" w:rsidRPr="0098479D">
        <w:rPr>
          <w:sz w:val="24"/>
          <w:szCs w:val="24"/>
        </w:rPr>
        <w:tab/>
        <w:t>Explanation of Any Payment or Gift to Respondents</w:t>
      </w:r>
      <w:r w:rsidR="00153DC2" w:rsidRPr="0098479D">
        <w:rPr>
          <w:sz w:val="24"/>
          <w:szCs w:val="24"/>
        </w:rPr>
        <w:tab/>
      </w:r>
      <w:r w:rsidR="004E237D" w:rsidRPr="0098479D">
        <w:rPr>
          <w:sz w:val="24"/>
          <w:szCs w:val="24"/>
        </w:rPr>
        <w:t>1</w:t>
      </w:r>
      <w:r w:rsidR="004526A9">
        <w:rPr>
          <w:sz w:val="24"/>
          <w:szCs w:val="24"/>
        </w:rPr>
        <w:t>3</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1</w:t>
      </w:r>
      <w:r w:rsidR="00932585" w:rsidRPr="0098479D">
        <w:rPr>
          <w:sz w:val="24"/>
          <w:szCs w:val="24"/>
        </w:rPr>
        <w:t>0</w:t>
      </w:r>
      <w:r w:rsidR="00570A6B" w:rsidRPr="0098479D">
        <w:rPr>
          <w:sz w:val="24"/>
          <w:szCs w:val="24"/>
        </w:rPr>
        <w:tab/>
        <w:t>Assurance of Confidentiality Provided to Respondents</w:t>
      </w:r>
      <w:r w:rsidR="00153DC2" w:rsidRPr="0098479D">
        <w:rPr>
          <w:sz w:val="24"/>
          <w:szCs w:val="24"/>
        </w:rPr>
        <w:tab/>
      </w:r>
      <w:r w:rsidR="004E237D" w:rsidRPr="0098479D">
        <w:rPr>
          <w:sz w:val="24"/>
          <w:szCs w:val="24"/>
        </w:rPr>
        <w:t>1</w:t>
      </w:r>
      <w:r w:rsidR="00F1198C">
        <w:rPr>
          <w:sz w:val="24"/>
          <w:szCs w:val="24"/>
        </w:rPr>
        <w:t>3</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11</w:t>
      </w:r>
      <w:r w:rsidR="00570A6B" w:rsidRPr="0098479D">
        <w:rPr>
          <w:sz w:val="24"/>
          <w:szCs w:val="24"/>
        </w:rPr>
        <w:tab/>
        <w:t>Justification for Sensitive Questions</w:t>
      </w:r>
      <w:r w:rsidR="00153DC2" w:rsidRPr="0098479D">
        <w:rPr>
          <w:sz w:val="24"/>
          <w:szCs w:val="24"/>
        </w:rPr>
        <w:tab/>
      </w:r>
      <w:r w:rsidR="00F1198C">
        <w:rPr>
          <w:sz w:val="24"/>
          <w:szCs w:val="24"/>
        </w:rPr>
        <w:t>18</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12</w:t>
      </w:r>
      <w:r w:rsidR="00570A6B" w:rsidRPr="0098479D">
        <w:rPr>
          <w:sz w:val="24"/>
          <w:szCs w:val="24"/>
        </w:rPr>
        <w:tab/>
      </w:r>
      <w:r w:rsidR="00570A6B" w:rsidRPr="00595557">
        <w:rPr>
          <w:sz w:val="24"/>
          <w:szCs w:val="24"/>
        </w:rPr>
        <w:t xml:space="preserve">Estimates of </w:t>
      </w:r>
      <w:r w:rsidR="00CF4165" w:rsidRPr="00595557">
        <w:rPr>
          <w:sz w:val="24"/>
          <w:szCs w:val="24"/>
        </w:rPr>
        <w:t xml:space="preserve">Annualized </w:t>
      </w:r>
      <w:r w:rsidR="00BA5DA4" w:rsidRPr="00595557">
        <w:rPr>
          <w:sz w:val="24"/>
          <w:szCs w:val="24"/>
        </w:rPr>
        <w:t xml:space="preserve">Hour and </w:t>
      </w:r>
      <w:r w:rsidR="00570A6B" w:rsidRPr="00595557">
        <w:rPr>
          <w:sz w:val="24"/>
          <w:szCs w:val="24"/>
        </w:rPr>
        <w:t>Cost</w:t>
      </w:r>
      <w:r w:rsidR="00CF4165" w:rsidRPr="00595557">
        <w:rPr>
          <w:sz w:val="24"/>
          <w:szCs w:val="24"/>
        </w:rPr>
        <w:t xml:space="preserve"> Burden</w:t>
      </w:r>
      <w:r w:rsidR="00153DC2" w:rsidRPr="00595557">
        <w:rPr>
          <w:sz w:val="24"/>
          <w:szCs w:val="24"/>
        </w:rPr>
        <w:tab/>
      </w:r>
      <w:r w:rsidR="00F1198C">
        <w:rPr>
          <w:sz w:val="24"/>
          <w:szCs w:val="24"/>
        </w:rPr>
        <w:t>19</w:t>
      </w:r>
    </w:p>
    <w:p w:rsidR="00570A6B" w:rsidRPr="0098479D" w:rsidRDefault="00570A6B" w:rsidP="00B0545A">
      <w:pPr>
        <w:rPr>
          <w:sz w:val="24"/>
          <w:szCs w:val="24"/>
        </w:rPr>
      </w:pPr>
    </w:p>
    <w:p w:rsidR="00CF4165" w:rsidRDefault="00787CFD" w:rsidP="00CF4165">
      <w:pPr>
        <w:tabs>
          <w:tab w:val="left" w:pos="-1440"/>
          <w:tab w:val="right" w:leader="dot" w:pos="9144"/>
        </w:tabs>
        <w:ind w:left="1440" w:hanging="720"/>
        <w:rPr>
          <w:sz w:val="24"/>
          <w:szCs w:val="24"/>
        </w:rPr>
      </w:pPr>
      <w:r w:rsidRPr="0098479D">
        <w:rPr>
          <w:sz w:val="24"/>
          <w:szCs w:val="24"/>
        </w:rPr>
        <w:t>A.</w:t>
      </w:r>
      <w:r w:rsidR="00570A6B" w:rsidRPr="0098479D">
        <w:rPr>
          <w:sz w:val="24"/>
          <w:szCs w:val="24"/>
        </w:rPr>
        <w:t>13</w:t>
      </w:r>
      <w:r w:rsidR="00570A6B" w:rsidRPr="0098479D">
        <w:rPr>
          <w:sz w:val="24"/>
          <w:szCs w:val="24"/>
        </w:rPr>
        <w:tab/>
        <w:t>Estimate</w:t>
      </w:r>
      <w:r w:rsidR="00BA5DA4" w:rsidRPr="0098479D">
        <w:rPr>
          <w:sz w:val="24"/>
          <w:szCs w:val="24"/>
        </w:rPr>
        <w:t>s</w:t>
      </w:r>
      <w:r w:rsidR="00570A6B" w:rsidRPr="0098479D">
        <w:rPr>
          <w:sz w:val="24"/>
          <w:szCs w:val="24"/>
        </w:rPr>
        <w:t xml:space="preserve"> of </w:t>
      </w:r>
      <w:r w:rsidR="00CF4165">
        <w:rPr>
          <w:sz w:val="24"/>
          <w:szCs w:val="24"/>
        </w:rPr>
        <w:t xml:space="preserve">Other </w:t>
      </w:r>
      <w:r w:rsidR="00570A6B" w:rsidRPr="0098479D">
        <w:rPr>
          <w:sz w:val="24"/>
          <w:szCs w:val="24"/>
        </w:rPr>
        <w:t xml:space="preserve">Total Annual Cost Burden to Respondents </w:t>
      </w:r>
      <w:r w:rsidR="00CF4165">
        <w:rPr>
          <w:sz w:val="24"/>
          <w:szCs w:val="24"/>
        </w:rPr>
        <w:t>or</w:t>
      </w:r>
      <w:r w:rsidR="00EC5AD9" w:rsidRPr="0098479D">
        <w:rPr>
          <w:sz w:val="24"/>
          <w:szCs w:val="24"/>
        </w:rPr>
        <w:t xml:space="preserve"> </w:t>
      </w:r>
    </w:p>
    <w:p w:rsidR="00CF4165" w:rsidRPr="0098479D" w:rsidRDefault="00CF4165" w:rsidP="00CF4165">
      <w:pPr>
        <w:tabs>
          <w:tab w:val="left" w:pos="-1440"/>
          <w:tab w:val="right" w:leader="dot" w:pos="9144"/>
        </w:tabs>
        <w:ind w:left="1440" w:hanging="720"/>
        <w:rPr>
          <w:sz w:val="24"/>
          <w:szCs w:val="24"/>
        </w:rPr>
      </w:pPr>
      <w:r>
        <w:rPr>
          <w:sz w:val="24"/>
          <w:szCs w:val="24"/>
        </w:rPr>
        <w:tab/>
      </w:r>
      <w:r w:rsidR="00570A6B" w:rsidRPr="0098479D">
        <w:rPr>
          <w:sz w:val="24"/>
          <w:szCs w:val="24"/>
        </w:rPr>
        <w:t>Record</w:t>
      </w:r>
      <w:r w:rsidR="0083670C" w:rsidRPr="0098479D">
        <w:rPr>
          <w:sz w:val="24"/>
          <w:szCs w:val="24"/>
        </w:rPr>
        <w:t xml:space="preserve"> </w:t>
      </w:r>
      <w:r w:rsidR="00BA5DA4" w:rsidRPr="0098479D">
        <w:rPr>
          <w:sz w:val="24"/>
          <w:szCs w:val="24"/>
        </w:rPr>
        <w:t>K</w:t>
      </w:r>
      <w:r w:rsidR="00570A6B" w:rsidRPr="0098479D">
        <w:rPr>
          <w:sz w:val="24"/>
          <w:szCs w:val="24"/>
        </w:rPr>
        <w:t>eepers</w:t>
      </w:r>
      <w:r w:rsidR="00153DC2" w:rsidRPr="0098479D">
        <w:rPr>
          <w:sz w:val="24"/>
          <w:szCs w:val="24"/>
        </w:rPr>
        <w:tab/>
      </w:r>
      <w:r w:rsidR="00571672">
        <w:rPr>
          <w:sz w:val="24"/>
          <w:szCs w:val="24"/>
        </w:rPr>
        <w:t>21</w:t>
      </w:r>
    </w:p>
    <w:p w:rsidR="00570A6B" w:rsidRPr="0098479D" w:rsidRDefault="00570A6B" w:rsidP="00CF4165">
      <w:pPr>
        <w:tabs>
          <w:tab w:val="left" w:pos="-1440"/>
        </w:tabs>
        <w:ind w:left="1440" w:hanging="720"/>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14</w:t>
      </w:r>
      <w:r w:rsidR="00570A6B" w:rsidRPr="0098479D">
        <w:rPr>
          <w:sz w:val="24"/>
          <w:szCs w:val="24"/>
        </w:rPr>
        <w:tab/>
        <w:t>Annualized Cost to the Federal Government</w:t>
      </w:r>
      <w:r w:rsidR="00153DC2" w:rsidRPr="0098479D">
        <w:rPr>
          <w:sz w:val="24"/>
          <w:szCs w:val="24"/>
        </w:rPr>
        <w:tab/>
      </w:r>
      <w:r w:rsidR="006037F8" w:rsidRPr="0098479D">
        <w:rPr>
          <w:sz w:val="24"/>
          <w:szCs w:val="24"/>
        </w:rPr>
        <w:t>2</w:t>
      </w:r>
      <w:r w:rsidR="00571672">
        <w:rPr>
          <w:sz w:val="24"/>
          <w:szCs w:val="24"/>
        </w:rPr>
        <w:t>1</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15</w:t>
      </w:r>
      <w:r w:rsidR="00570A6B" w:rsidRPr="0098479D">
        <w:rPr>
          <w:sz w:val="24"/>
          <w:szCs w:val="24"/>
        </w:rPr>
        <w:tab/>
        <w:t>Explanation for Program Changes or Adjustments</w:t>
      </w:r>
      <w:r w:rsidR="00153DC2" w:rsidRPr="0098479D">
        <w:rPr>
          <w:sz w:val="24"/>
          <w:szCs w:val="24"/>
        </w:rPr>
        <w:tab/>
      </w:r>
      <w:r w:rsidR="00780847" w:rsidRPr="0098479D">
        <w:rPr>
          <w:sz w:val="24"/>
          <w:szCs w:val="24"/>
        </w:rPr>
        <w:t>2</w:t>
      </w:r>
      <w:r w:rsidR="00571672">
        <w:rPr>
          <w:sz w:val="24"/>
          <w:szCs w:val="24"/>
        </w:rPr>
        <w:t>2</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16</w:t>
      </w:r>
      <w:r w:rsidR="00570A6B" w:rsidRPr="0098479D">
        <w:rPr>
          <w:sz w:val="24"/>
          <w:szCs w:val="24"/>
        </w:rPr>
        <w:tab/>
        <w:t>Plans for Tabulation and Publication and Project Time Schedule</w:t>
      </w:r>
      <w:r w:rsidR="00153DC2" w:rsidRPr="0098479D">
        <w:rPr>
          <w:sz w:val="24"/>
          <w:szCs w:val="24"/>
        </w:rPr>
        <w:tab/>
      </w:r>
      <w:r w:rsidR="007E42B7" w:rsidRPr="0098479D">
        <w:rPr>
          <w:sz w:val="24"/>
          <w:szCs w:val="24"/>
        </w:rPr>
        <w:t>2</w:t>
      </w:r>
      <w:r w:rsidR="00571672">
        <w:rPr>
          <w:sz w:val="24"/>
          <w:szCs w:val="24"/>
        </w:rPr>
        <w:t>3</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w:t>
      </w:r>
      <w:r w:rsidR="00570A6B" w:rsidRPr="0098479D">
        <w:rPr>
          <w:sz w:val="24"/>
          <w:szCs w:val="24"/>
        </w:rPr>
        <w:t>17</w:t>
      </w:r>
      <w:r w:rsidR="00570A6B" w:rsidRPr="0098479D">
        <w:rPr>
          <w:sz w:val="24"/>
          <w:szCs w:val="24"/>
        </w:rPr>
        <w:tab/>
        <w:t>Reason(s) Display of OMB Expiration Date is Inappropriate</w:t>
      </w:r>
      <w:r w:rsidR="00153DC2" w:rsidRPr="0098479D">
        <w:rPr>
          <w:sz w:val="24"/>
          <w:szCs w:val="24"/>
        </w:rPr>
        <w:tab/>
      </w:r>
      <w:r w:rsidR="006037F8" w:rsidRPr="0098479D">
        <w:rPr>
          <w:sz w:val="24"/>
          <w:szCs w:val="24"/>
        </w:rPr>
        <w:t>2</w:t>
      </w:r>
      <w:r w:rsidR="00571672">
        <w:rPr>
          <w:sz w:val="24"/>
          <w:szCs w:val="24"/>
        </w:rPr>
        <w:t>7</w:t>
      </w:r>
    </w:p>
    <w:p w:rsidR="00570A6B" w:rsidRPr="0098479D" w:rsidRDefault="00570A6B" w:rsidP="00B0545A">
      <w:pPr>
        <w:rPr>
          <w:sz w:val="24"/>
          <w:szCs w:val="24"/>
        </w:rPr>
      </w:pPr>
    </w:p>
    <w:p w:rsidR="00570A6B" w:rsidRPr="0098479D" w:rsidRDefault="00787CFD" w:rsidP="00B0545A">
      <w:pPr>
        <w:tabs>
          <w:tab w:val="left" w:pos="-1440"/>
          <w:tab w:val="right" w:leader="dot" w:pos="9144"/>
        </w:tabs>
        <w:ind w:left="1440" w:hanging="720"/>
        <w:rPr>
          <w:sz w:val="24"/>
          <w:szCs w:val="24"/>
        </w:rPr>
      </w:pPr>
      <w:r w:rsidRPr="0098479D">
        <w:rPr>
          <w:sz w:val="24"/>
          <w:szCs w:val="24"/>
        </w:rPr>
        <w:t>A.18</w:t>
      </w:r>
      <w:r w:rsidRPr="0098479D">
        <w:rPr>
          <w:sz w:val="24"/>
          <w:szCs w:val="24"/>
        </w:rPr>
        <w:tab/>
      </w:r>
      <w:r w:rsidR="00570A6B" w:rsidRPr="0098479D">
        <w:rPr>
          <w:sz w:val="24"/>
          <w:szCs w:val="24"/>
        </w:rPr>
        <w:t>Exceptions to Certification for Paperwork Reduction Act Submissions</w:t>
      </w:r>
      <w:r w:rsidR="00153DC2" w:rsidRPr="0098479D">
        <w:rPr>
          <w:sz w:val="24"/>
          <w:szCs w:val="24"/>
        </w:rPr>
        <w:tab/>
      </w:r>
      <w:r w:rsidR="006037F8" w:rsidRPr="0098479D">
        <w:rPr>
          <w:sz w:val="24"/>
          <w:szCs w:val="24"/>
        </w:rPr>
        <w:t>2</w:t>
      </w:r>
      <w:r w:rsidR="00571672">
        <w:rPr>
          <w:sz w:val="24"/>
          <w:szCs w:val="24"/>
        </w:rPr>
        <w:t>7</w:t>
      </w:r>
    </w:p>
    <w:p w:rsidR="00570A6B" w:rsidRPr="0098479D" w:rsidRDefault="00570A6B" w:rsidP="00B0545A">
      <w:pPr>
        <w:tabs>
          <w:tab w:val="left" w:pos="-1440"/>
        </w:tabs>
        <w:rPr>
          <w:sz w:val="24"/>
          <w:szCs w:val="24"/>
        </w:rPr>
      </w:pPr>
    </w:p>
    <w:p w:rsidR="00570A6B" w:rsidRPr="0098479D" w:rsidRDefault="00570A6B" w:rsidP="00B0545A">
      <w:pPr>
        <w:tabs>
          <w:tab w:val="left" w:pos="-1440"/>
        </w:tabs>
        <w:rPr>
          <w:sz w:val="24"/>
          <w:szCs w:val="24"/>
        </w:rPr>
      </w:pPr>
    </w:p>
    <w:p w:rsidR="00570A6B" w:rsidRPr="0098479D" w:rsidRDefault="00570A6B" w:rsidP="00B0545A">
      <w:pPr>
        <w:tabs>
          <w:tab w:val="left" w:pos="-1440"/>
        </w:tabs>
        <w:rPr>
          <w:sz w:val="24"/>
          <w:szCs w:val="24"/>
        </w:rPr>
      </w:pPr>
    </w:p>
    <w:p w:rsidR="00D07E09" w:rsidRPr="0098479D" w:rsidRDefault="00D07E09" w:rsidP="00B0545A">
      <w:pPr>
        <w:rPr>
          <w:sz w:val="24"/>
          <w:szCs w:val="24"/>
        </w:rPr>
      </w:pPr>
      <w:r w:rsidRPr="0098479D">
        <w:rPr>
          <w:sz w:val="24"/>
          <w:szCs w:val="24"/>
        </w:rPr>
        <w:br w:type="page"/>
      </w:r>
    </w:p>
    <w:p w:rsidR="00570A6B" w:rsidRDefault="003F0F43" w:rsidP="00B0545A">
      <w:pPr>
        <w:jc w:val="center"/>
        <w:outlineLvl w:val="0"/>
        <w:rPr>
          <w:b/>
          <w:sz w:val="24"/>
          <w:szCs w:val="24"/>
        </w:rPr>
      </w:pPr>
      <w:r w:rsidRPr="0098479D">
        <w:rPr>
          <w:b/>
          <w:sz w:val="24"/>
          <w:szCs w:val="24"/>
        </w:rPr>
        <w:lastRenderedPageBreak/>
        <w:t xml:space="preserve">LIST OF </w:t>
      </w:r>
      <w:r w:rsidR="00570A6B" w:rsidRPr="0098479D">
        <w:rPr>
          <w:b/>
          <w:sz w:val="24"/>
          <w:szCs w:val="24"/>
        </w:rPr>
        <w:t>ATTACHMENTS</w:t>
      </w:r>
    </w:p>
    <w:p w:rsidR="0019325A" w:rsidRDefault="0019325A" w:rsidP="00B0545A">
      <w:pPr>
        <w:jc w:val="center"/>
        <w:outlineLvl w:val="0"/>
        <w:rPr>
          <w:b/>
          <w:sz w:val="24"/>
          <w:szCs w:val="24"/>
        </w:rPr>
      </w:pPr>
    </w:p>
    <w:p w:rsidR="007A25F9" w:rsidRPr="007A25F9" w:rsidRDefault="007A25F9" w:rsidP="00B0545A">
      <w:pPr>
        <w:jc w:val="center"/>
        <w:outlineLvl w:val="0"/>
      </w:pPr>
      <w:r w:rsidRPr="007A25F9">
        <w:rPr>
          <w:b/>
        </w:rPr>
        <w:t>*Indicates a form/instrument/script</w:t>
      </w:r>
    </w:p>
    <w:bookmarkEnd w:id="0"/>
    <w:bookmarkEnd w:id="1"/>
    <w:p w:rsidR="00595557" w:rsidRPr="00595557" w:rsidRDefault="00595557" w:rsidP="00595557">
      <w:pPr>
        <w:rPr>
          <w:sz w:val="22"/>
          <w:szCs w:val="22"/>
        </w:rPr>
      </w:pPr>
      <w:r w:rsidRPr="00595557">
        <w:rPr>
          <w:sz w:val="22"/>
          <w:szCs w:val="22"/>
          <w:highlight w:val="yellow"/>
        </w:rPr>
        <w:t>1:  List of attachments</w:t>
      </w:r>
    </w:p>
    <w:p w:rsidR="00595557" w:rsidRPr="00595557" w:rsidRDefault="00595557" w:rsidP="00595557">
      <w:pPr>
        <w:rPr>
          <w:sz w:val="22"/>
          <w:szCs w:val="22"/>
        </w:rPr>
      </w:pPr>
      <w:r w:rsidRPr="00595557">
        <w:rPr>
          <w:sz w:val="22"/>
          <w:szCs w:val="22"/>
          <w:highlight w:val="yellow"/>
        </w:rPr>
        <w:t>2:  Bibliography</w:t>
      </w:r>
    </w:p>
    <w:p w:rsidR="00595557" w:rsidRPr="00595557" w:rsidRDefault="00595557" w:rsidP="00595557">
      <w:pPr>
        <w:rPr>
          <w:sz w:val="22"/>
          <w:szCs w:val="22"/>
        </w:rPr>
      </w:pPr>
      <w:r w:rsidRPr="00595557">
        <w:rPr>
          <w:sz w:val="22"/>
          <w:szCs w:val="22"/>
          <w:highlight w:val="yellow"/>
        </w:rPr>
        <w:t>3:  Members of the International Agriculture Consortium (AGRICOH)</w:t>
      </w:r>
    </w:p>
    <w:p w:rsidR="00595557" w:rsidRPr="00595557" w:rsidRDefault="00595557" w:rsidP="00595557">
      <w:pPr>
        <w:rPr>
          <w:sz w:val="22"/>
          <w:szCs w:val="22"/>
        </w:rPr>
      </w:pPr>
      <w:r w:rsidRPr="00595557">
        <w:rPr>
          <w:sz w:val="22"/>
          <w:szCs w:val="22"/>
        </w:rPr>
        <w:t>4:  Members of the Agricultural Health National Advisory Panel (NAP)</w:t>
      </w:r>
    </w:p>
    <w:p w:rsidR="00595557" w:rsidRPr="00595557" w:rsidRDefault="00595557" w:rsidP="00595557">
      <w:pPr>
        <w:rPr>
          <w:sz w:val="22"/>
          <w:szCs w:val="22"/>
        </w:rPr>
      </w:pPr>
      <w:r w:rsidRPr="00595557">
        <w:rPr>
          <w:sz w:val="22"/>
          <w:szCs w:val="22"/>
        </w:rPr>
        <w:t>5:  Certificate of Confidentiality</w:t>
      </w:r>
    </w:p>
    <w:p w:rsidR="00595557" w:rsidRPr="00595557" w:rsidRDefault="00595557" w:rsidP="00595557">
      <w:pPr>
        <w:rPr>
          <w:sz w:val="22"/>
          <w:szCs w:val="22"/>
        </w:rPr>
      </w:pPr>
      <w:r w:rsidRPr="00595557">
        <w:rPr>
          <w:sz w:val="22"/>
          <w:szCs w:val="22"/>
        </w:rPr>
        <w:t>6:  Memo from NIH Privacy Act Officer</w:t>
      </w:r>
    </w:p>
    <w:p w:rsidR="00595557" w:rsidRPr="00595557" w:rsidRDefault="00595557" w:rsidP="00595557">
      <w:pPr>
        <w:rPr>
          <w:sz w:val="22"/>
          <w:szCs w:val="22"/>
        </w:rPr>
      </w:pPr>
      <w:r w:rsidRPr="00595557">
        <w:rPr>
          <w:sz w:val="22"/>
          <w:szCs w:val="22"/>
        </w:rPr>
        <w:t>7:  Contractor Staff Confidentiality Agreement</w:t>
      </w:r>
    </w:p>
    <w:p w:rsidR="00595557" w:rsidRPr="00595557" w:rsidRDefault="00595557" w:rsidP="00595557">
      <w:pPr>
        <w:rPr>
          <w:sz w:val="22"/>
          <w:szCs w:val="22"/>
        </w:rPr>
      </w:pPr>
      <w:r w:rsidRPr="00595557">
        <w:rPr>
          <w:sz w:val="22"/>
          <w:szCs w:val="22"/>
        </w:rPr>
        <w:t>8:  Collaborators Confidentiality Agreement</w:t>
      </w:r>
    </w:p>
    <w:p w:rsidR="00595557" w:rsidRPr="00595557" w:rsidRDefault="007A25F9" w:rsidP="00595557">
      <w:pPr>
        <w:rPr>
          <w:sz w:val="22"/>
          <w:szCs w:val="22"/>
        </w:rPr>
      </w:pPr>
      <w:r>
        <w:rPr>
          <w:sz w:val="22"/>
          <w:szCs w:val="22"/>
        </w:rPr>
        <w:t>*</w:t>
      </w:r>
      <w:r w:rsidR="00595557" w:rsidRPr="00595557">
        <w:rPr>
          <w:sz w:val="22"/>
          <w:szCs w:val="22"/>
        </w:rPr>
        <w:t xml:space="preserve">9:  Phase IV </w:t>
      </w:r>
      <w:proofErr w:type="spellStart"/>
      <w:r w:rsidR="00595557" w:rsidRPr="00595557">
        <w:rPr>
          <w:sz w:val="22"/>
          <w:szCs w:val="22"/>
        </w:rPr>
        <w:t>Buccal</w:t>
      </w:r>
      <w:proofErr w:type="spellEnd"/>
      <w:r w:rsidR="00595557" w:rsidRPr="00595557">
        <w:rPr>
          <w:sz w:val="22"/>
          <w:szCs w:val="22"/>
        </w:rPr>
        <w:t xml:space="preserve"> Cell Interview Scripts</w:t>
      </w:r>
    </w:p>
    <w:p w:rsidR="00595557" w:rsidRPr="00595557" w:rsidRDefault="00595557" w:rsidP="00595557">
      <w:pPr>
        <w:pStyle w:val="BodyTextIndent2"/>
        <w:ind w:left="720" w:firstLine="0"/>
        <w:rPr>
          <w:sz w:val="22"/>
          <w:highlight w:val="yellow"/>
        </w:rPr>
      </w:pPr>
      <w:r w:rsidRPr="00595557">
        <w:rPr>
          <w:sz w:val="22"/>
          <w:highlight w:val="yellow"/>
        </w:rPr>
        <w:t xml:space="preserve">9.1). Script and Consent for Iowa and North Carolina Respondents Following Mailing of </w:t>
      </w:r>
      <w:proofErr w:type="spellStart"/>
      <w:r w:rsidRPr="00595557">
        <w:rPr>
          <w:sz w:val="22"/>
          <w:highlight w:val="yellow"/>
        </w:rPr>
        <w:t>Buccal</w:t>
      </w:r>
      <w:proofErr w:type="spellEnd"/>
      <w:r w:rsidRPr="00595557">
        <w:rPr>
          <w:sz w:val="22"/>
          <w:highlight w:val="yellow"/>
        </w:rPr>
        <w:t xml:space="preserve"> </w:t>
      </w:r>
    </w:p>
    <w:p w:rsidR="00595557" w:rsidRPr="00595557" w:rsidRDefault="00595557" w:rsidP="00595557">
      <w:pPr>
        <w:pStyle w:val="BodyTextIndent2"/>
        <w:ind w:left="720" w:firstLine="450"/>
        <w:rPr>
          <w:sz w:val="22"/>
          <w:highlight w:val="yellow"/>
        </w:rPr>
      </w:pPr>
      <w:r w:rsidRPr="00595557">
        <w:rPr>
          <w:sz w:val="22"/>
          <w:highlight w:val="yellow"/>
        </w:rPr>
        <w:t>Cell Letter</w:t>
      </w:r>
    </w:p>
    <w:p w:rsidR="00595557" w:rsidRPr="00595557" w:rsidRDefault="00595557" w:rsidP="00595557">
      <w:pPr>
        <w:ind w:left="720"/>
        <w:rPr>
          <w:sz w:val="22"/>
          <w:szCs w:val="22"/>
          <w:highlight w:val="yellow"/>
        </w:rPr>
      </w:pPr>
      <w:r w:rsidRPr="00595557">
        <w:rPr>
          <w:sz w:val="22"/>
          <w:szCs w:val="22"/>
          <w:highlight w:val="yellow"/>
        </w:rPr>
        <w:t xml:space="preserve">9.2). Reminder Call Script for Iowa </w:t>
      </w:r>
      <w:proofErr w:type="spellStart"/>
      <w:r w:rsidRPr="00595557">
        <w:rPr>
          <w:sz w:val="22"/>
          <w:szCs w:val="22"/>
          <w:highlight w:val="yellow"/>
        </w:rPr>
        <w:t>Buccal</w:t>
      </w:r>
      <w:proofErr w:type="spellEnd"/>
      <w:r w:rsidRPr="00595557">
        <w:rPr>
          <w:sz w:val="22"/>
          <w:szCs w:val="22"/>
          <w:highlight w:val="yellow"/>
        </w:rPr>
        <w:t xml:space="preserve"> Cell Respondents</w:t>
      </w:r>
    </w:p>
    <w:p w:rsidR="00595557" w:rsidRPr="00595557" w:rsidRDefault="00595557" w:rsidP="00595557">
      <w:pPr>
        <w:ind w:left="720"/>
        <w:rPr>
          <w:sz w:val="22"/>
          <w:szCs w:val="22"/>
          <w:highlight w:val="yellow"/>
        </w:rPr>
      </w:pPr>
      <w:r w:rsidRPr="00595557">
        <w:rPr>
          <w:sz w:val="22"/>
          <w:szCs w:val="22"/>
          <w:highlight w:val="yellow"/>
        </w:rPr>
        <w:t xml:space="preserve">9.3). Reminder Call Script for North Carolina </w:t>
      </w:r>
      <w:proofErr w:type="spellStart"/>
      <w:r w:rsidRPr="00595557">
        <w:rPr>
          <w:sz w:val="22"/>
          <w:szCs w:val="22"/>
          <w:highlight w:val="yellow"/>
        </w:rPr>
        <w:t>Buccal</w:t>
      </w:r>
      <w:proofErr w:type="spellEnd"/>
      <w:r w:rsidRPr="00595557">
        <w:rPr>
          <w:sz w:val="22"/>
          <w:szCs w:val="22"/>
          <w:highlight w:val="yellow"/>
        </w:rPr>
        <w:t xml:space="preserve"> Cell Respondents</w:t>
      </w:r>
    </w:p>
    <w:p w:rsidR="00595557" w:rsidRPr="00595557" w:rsidRDefault="00595557" w:rsidP="00595557">
      <w:pPr>
        <w:ind w:left="720"/>
        <w:rPr>
          <w:sz w:val="22"/>
          <w:szCs w:val="22"/>
          <w:highlight w:val="yellow"/>
        </w:rPr>
      </w:pPr>
      <w:r w:rsidRPr="00595557">
        <w:rPr>
          <w:sz w:val="22"/>
          <w:szCs w:val="22"/>
          <w:highlight w:val="yellow"/>
        </w:rPr>
        <w:t xml:space="preserve">9.4). Missing </w:t>
      </w:r>
      <w:proofErr w:type="spellStart"/>
      <w:r w:rsidRPr="00595557">
        <w:rPr>
          <w:sz w:val="22"/>
          <w:szCs w:val="22"/>
          <w:highlight w:val="yellow"/>
        </w:rPr>
        <w:t>Buccal</w:t>
      </w:r>
      <w:proofErr w:type="spellEnd"/>
      <w:r w:rsidRPr="00595557">
        <w:rPr>
          <w:sz w:val="22"/>
          <w:szCs w:val="22"/>
          <w:highlight w:val="yellow"/>
        </w:rPr>
        <w:t xml:space="preserve"> Cell Consent Forms Call Script for Both Sites</w:t>
      </w:r>
    </w:p>
    <w:p w:rsidR="00595557" w:rsidRPr="00595557" w:rsidRDefault="00595557" w:rsidP="00595557">
      <w:pPr>
        <w:ind w:left="720"/>
        <w:rPr>
          <w:sz w:val="22"/>
          <w:szCs w:val="22"/>
        </w:rPr>
      </w:pPr>
      <w:r w:rsidRPr="00595557">
        <w:rPr>
          <w:sz w:val="22"/>
          <w:szCs w:val="22"/>
          <w:highlight w:val="yellow"/>
        </w:rPr>
        <w:t xml:space="preserve">9.5). Damaged or Missing </w:t>
      </w:r>
      <w:proofErr w:type="spellStart"/>
      <w:r w:rsidRPr="00595557">
        <w:rPr>
          <w:sz w:val="22"/>
          <w:szCs w:val="22"/>
          <w:highlight w:val="yellow"/>
        </w:rPr>
        <w:t>Buccal</w:t>
      </w:r>
      <w:proofErr w:type="spellEnd"/>
      <w:r w:rsidRPr="00595557">
        <w:rPr>
          <w:sz w:val="22"/>
          <w:szCs w:val="22"/>
          <w:highlight w:val="yellow"/>
        </w:rPr>
        <w:t xml:space="preserve"> Cell Sample Call Script for Both Sites</w:t>
      </w:r>
    </w:p>
    <w:p w:rsidR="00595557" w:rsidRPr="00595557" w:rsidRDefault="007A25F9" w:rsidP="00595557">
      <w:pPr>
        <w:rPr>
          <w:sz w:val="22"/>
          <w:szCs w:val="22"/>
        </w:rPr>
      </w:pPr>
      <w:r>
        <w:rPr>
          <w:sz w:val="22"/>
          <w:szCs w:val="22"/>
        </w:rPr>
        <w:t>*</w:t>
      </w:r>
      <w:r w:rsidR="00595557" w:rsidRPr="00595557">
        <w:rPr>
          <w:sz w:val="22"/>
          <w:szCs w:val="22"/>
        </w:rPr>
        <w:t>10: BEEA Interview Scripts</w:t>
      </w:r>
    </w:p>
    <w:p w:rsidR="00595557" w:rsidRPr="00595557" w:rsidRDefault="00595557" w:rsidP="00595557">
      <w:pPr>
        <w:ind w:left="720"/>
        <w:rPr>
          <w:sz w:val="22"/>
          <w:szCs w:val="22"/>
        </w:rPr>
      </w:pPr>
      <w:r w:rsidRPr="00595557">
        <w:rPr>
          <w:sz w:val="22"/>
          <w:szCs w:val="22"/>
        </w:rPr>
        <w:t>10.1). BEEA Pre-Visit Confirmation Call Script for Both Sites</w:t>
      </w:r>
    </w:p>
    <w:p w:rsidR="00595557" w:rsidRPr="00595557" w:rsidRDefault="00595557" w:rsidP="00595557">
      <w:pPr>
        <w:ind w:left="720"/>
        <w:rPr>
          <w:sz w:val="22"/>
          <w:szCs w:val="22"/>
        </w:rPr>
      </w:pPr>
      <w:r w:rsidRPr="00595557">
        <w:rPr>
          <w:sz w:val="22"/>
          <w:szCs w:val="22"/>
        </w:rPr>
        <w:t>10.2). BEEA Script for Scheduling Pre-Application Visit (Recent Exposure Groups) for Iowa</w:t>
      </w:r>
    </w:p>
    <w:p w:rsidR="005F2B42" w:rsidRDefault="00595557" w:rsidP="005F2B42">
      <w:pPr>
        <w:tabs>
          <w:tab w:val="left" w:pos="1350"/>
        </w:tabs>
        <w:ind w:left="720"/>
        <w:rPr>
          <w:sz w:val="22"/>
          <w:szCs w:val="22"/>
        </w:rPr>
      </w:pPr>
      <w:r w:rsidRPr="00595557">
        <w:rPr>
          <w:sz w:val="22"/>
          <w:szCs w:val="22"/>
        </w:rPr>
        <w:t>10.3). BEEA Script for Scheduling First Post-</w:t>
      </w:r>
      <w:proofErr w:type="spellStart"/>
      <w:r w:rsidRPr="00595557">
        <w:rPr>
          <w:sz w:val="22"/>
          <w:szCs w:val="22"/>
        </w:rPr>
        <w:t>Diazinon</w:t>
      </w:r>
      <w:proofErr w:type="spellEnd"/>
      <w:r w:rsidRPr="00595557">
        <w:rPr>
          <w:sz w:val="22"/>
          <w:szCs w:val="22"/>
        </w:rPr>
        <w:t xml:space="preserve"> Application Visit (Recent Exposure </w:t>
      </w:r>
    </w:p>
    <w:p w:rsidR="00595557" w:rsidRPr="00595557" w:rsidRDefault="005F2B42" w:rsidP="005F2B42">
      <w:pPr>
        <w:tabs>
          <w:tab w:val="left" w:pos="1260"/>
        </w:tabs>
        <w:ind w:left="720"/>
        <w:rPr>
          <w:sz w:val="22"/>
          <w:szCs w:val="22"/>
        </w:rPr>
      </w:pPr>
      <w:r>
        <w:rPr>
          <w:sz w:val="22"/>
          <w:szCs w:val="22"/>
        </w:rPr>
        <w:tab/>
      </w:r>
      <w:r w:rsidR="00595557" w:rsidRPr="00595557">
        <w:rPr>
          <w:sz w:val="22"/>
          <w:szCs w:val="22"/>
        </w:rPr>
        <w:t>Groups) for Iowa</w:t>
      </w:r>
    </w:p>
    <w:p w:rsidR="005F2B42" w:rsidRDefault="00595557" w:rsidP="005F2B42">
      <w:pPr>
        <w:ind w:left="720"/>
        <w:rPr>
          <w:sz w:val="22"/>
          <w:szCs w:val="22"/>
        </w:rPr>
      </w:pPr>
      <w:r w:rsidRPr="00595557">
        <w:rPr>
          <w:sz w:val="22"/>
          <w:szCs w:val="22"/>
        </w:rPr>
        <w:t xml:space="preserve">10.4). BEEA Script for Scheduling Pre-Application Visit (Recent Exposure Groups) for North </w:t>
      </w:r>
    </w:p>
    <w:p w:rsidR="00595557" w:rsidRPr="00595557" w:rsidRDefault="00595557" w:rsidP="005F2B42">
      <w:pPr>
        <w:ind w:left="720" w:firstLine="540"/>
        <w:rPr>
          <w:sz w:val="22"/>
          <w:szCs w:val="22"/>
        </w:rPr>
      </w:pPr>
      <w:r w:rsidRPr="00595557">
        <w:rPr>
          <w:sz w:val="22"/>
          <w:szCs w:val="22"/>
        </w:rPr>
        <w:t>Carolina</w:t>
      </w:r>
    </w:p>
    <w:p w:rsidR="005F2B42" w:rsidRDefault="00595557" w:rsidP="005F2B42">
      <w:pPr>
        <w:ind w:left="720"/>
        <w:rPr>
          <w:sz w:val="22"/>
          <w:szCs w:val="22"/>
        </w:rPr>
      </w:pPr>
      <w:r w:rsidRPr="00595557">
        <w:rPr>
          <w:sz w:val="22"/>
          <w:szCs w:val="22"/>
        </w:rPr>
        <w:t>10.5). BEEA Script for Scheduling First Post-</w:t>
      </w:r>
      <w:proofErr w:type="spellStart"/>
      <w:r w:rsidRPr="00595557">
        <w:rPr>
          <w:sz w:val="22"/>
          <w:szCs w:val="22"/>
        </w:rPr>
        <w:t>Diazinon</w:t>
      </w:r>
      <w:proofErr w:type="spellEnd"/>
      <w:r w:rsidRPr="00595557">
        <w:rPr>
          <w:sz w:val="22"/>
          <w:szCs w:val="22"/>
        </w:rPr>
        <w:t xml:space="preserve"> Application Visit (Recent Exposure </w:t>
      </w:r>
    </w:p>
    <w:p w:rsidR="00595557" w:rsidRPr="00595557" w:rsidRDefault="00595557" w:rsidP="005F2B42">
      <w:pPr>
        <w:ind w:left="720" w:firstLine="540"/>
        <w:rPr>
          <w:sz w:val="22"/>
          <w:szCs w:val="22"/>
        </w:rPr>
      </w:pPr>
      <w:r w:rsidRPr="00595557">
        <w:rPr>
          <w:sz w:val="22"/>
          <w:szCs w:val="22"/>
        </w:rPr>
        <w:t>Groups) for North Carolina</w:t>
      </w:r>
    </w:p>
    <w:p w:rsidR="00595557" w:rsidRPr="00595557" w:rsidRDefault="00595557" w:rsidP="00595557">
      <w:pPr>
        <w:rPr>
          <w:sz w:val="22"/>
          <w:szCs w:val="22"/>
        </w:rPr>
      </w:pPr>
      <w:r w:rsidRPr="00595557">
        <w:rPr>
          <w:sz w:val="22"/>
          <w:szCs w:val="22"/>
        </w:rPr>
        <w:t>11: BEEA FAQs</w:t>
      </w:r>
    </w:p>
    <w:p w:rsidR="00595557" w:rsidRPr="00595557" w:rsidRDefault="00595557" w:rsidP="00595557">
      <w:pPr>
        <w:autoSpaceDE w:val="0"/>
        <w:autoSpaceDN w:val="0"/>
        <w:adjustRightInd w:val="0"/>
        <w:ind w:left="720"/>
        <w:rPr>
          <w:sz w:val="22"/>
          <w:szCs w:val="22"/>
        </w:rPr>
      </w:pPr>
      <w:r w:rsidRPr="00595557">
        <w:rPr>
          <w:sz w:val="22"/>
          <w:szCs w:val="22"/>
        </w:rPr>
        <w:t>1</w:t>
      </w:r>
      <w:r w:rsidRPr="00595557">
        <w:rPr>
          <w:bCs/>
          <w:sz w:val="22"/>
          <w:szCs w:val="22"/>
        </w:rPr>
        <w:t>1.1)</w:t>
      </w:r>
      <w:r w:rsidRPr="00595557">
        <w:rPr>
          <w:sz w:val="22"/>
          <w:szCs w:val="22"/>
        </w:rPr>
        <w:t>. BEEA Brochure/Fact Sheet Content for Iowa Recently Exposed Respondents</w:t>
      </w:r>
    </w:p>
    <w:p w:rsidR="00595557" w:rsidRPr="00595557" w:rsidRDefault="00595557" w:rsidP="00595557">
      <w:pPr>
        <w:autoSpaceDE w:val="0"/>
        <w:autoSpaceDN w:val="0"/>
        <w:adjustRightInd w:val="0"/>
        <w:ind w:left="720"/>
        <w:rPr>
          <w:sz w:val="22"/>
          <w:szCs w:val="22"/>
        </w:rPr>
      </w:pPr>
      <w:r w:rsidRPr="00595557">
        <w:rPr>
          <w:sz w:val="22"/>
          <w:szCs w:val="22"/>
        </w:rPr>
        <w:t>1</w:t>
      </w:r>
      <w:r w:rsidRPr="00595557">
        <w:rPr>
          <w:bCs/>
          <w:sz w:val="22"/>
          <w:szCs w:val="22"/>
        </w:rPr>
        <w:t>1.2)</w:t>
      </w:r>
      <w:r w:rsidRPr="00595557">
        <w:rPr>
          <w:sz w:val="22"/>
          <w:szCs w:val="22"/>
        </w:rPr>
        <w:t>. BEEA Brochure/Fact Sheet Content for North Carolina Recently Exposed Respondents</w:t>
      </w:r>
    </w:p>
    <w:p w:rsidR="00595557" w:rsidRPr="00595557" w:rsidRDefault="00595557" w:rsidP="00595557">
      <w:pPr>
        <w:autoSpaceDE w:val="0"/>
        <w:autoSpaceDN w:val="0"/>
        <w:adjustRightInd w:val="0"/>
        <w:ind w:left="720"/>
        <w:rPr>
          <w:sz w:val="22"/>
          <w:szCs w:val="22"/>
        </w:rPr>
      </w:pPr>
      <w:r w:rsidRPr="00595557">
        <w:rPr>
          <w:sz w:val="22"/>
          <w:szCs w:val="22"/>
          <w:highlight w:val="yellow"/>
        </w:rPr>
        <w:t>11.3). BEEA Brochure Content for Both Sites for Randomly Selected Respondents</w:t>
      </w:r>
    </w:p>
    <w:p w:rsidR="00595557" w:rsidRPr="00595557" w:rsidRDefault="00595557" w:rsidP="00595557">
      <w:pPr>
        <w:rPr>
          <w:sz w:val="22"/>
          <w:szCs w:val="22"/>
        </w:rPr>
      </w:pPr>
      <w:r w:rsidRPr="00595557">
        <w:rPr>
          <w:sz w:val="22"/>
          <w:szCs w:val="22"/>
        </w:rPr>
        <w:t xml:space="preserve">12: Phase IV </w:t>
      </w:r>
      <w:proofErr w:type="spellStart"/>
      <w:r w:rsidRPr="00595557">
        <w:rPr>
          <w:sz w:val="22"/>
          <w:szCs w:val="22"/>
        </w:rPr>
        <w:t>Buccal</w:t>
      </w:r>
      <w:proofErr w:type="spellEnd"/>
      <w:r w:rsidRPr="00595557">
        <w:rPr>
          <w:sz w:val="22"/>
          <w:szCs w:val="22"/>
        </w:rPr>
        <w:t xml:space="preserve"> Cell IRB Approval Signature Pages</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12.1). Phase IV IRB NCI</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12.2). Phase IV IRB Westat</w:t>
      </w:r>
    </w:p>
    <w:p w:rsidR="00595557" w:rsidRPr="00595557" w:rsidRDefault="00595557" w:rsidP="00595557">
      <w:pPr>
        <w:ind w:left="720"/>
        <w:rPr>
          <w:sz w:val="22"/>
          <w:szCs w:val="22"/>
        </w:rPr>
      </w:pPr>
      <w:r w:rsidRPr="00595557">
        <w:rPr>
          <w:sz w:val="22"/>
          <w:szCs w:val="22"/>
          <w:highlight w:val="yellow"/>
        </w:rPr>
        <w:t>12.3). Phase IV IRB University of Iowa</w:t>
      </w:r>
    </w:p>
    <w:p w:rsidR="00595557" w:rsidRPr="00595557" w:rsidRDefault="00595557" w:rsidP="00595557">
      <w:pPr>
        <w:pStyle w:val="Header"/>
        <w:rPr>
          <w:sz w:val="22"/>
          <w:szCs w:val="22"/>
        </w:rPr>
      </w:pPr>
      <w:r w:rsidRPr="00595557">
        <w:rPr>
          <w:sz w:val="22"/>
          <w:szCs w:val="22"/>
        </w:rPr>
        <w:t>13: BEEA IRB Approval Signature Pages</w:t>
      </w:r>
    </w:p>
    <w:p w:rsidR="00595557" w:rsidRPr="00595557" w:rsidRDefault="00595557" w:rsidP="00595557">
      <w:pPr>
        <w:pStyle w:val="Header"/>
        <w:tabs>
          <w:tab w:val="clear" w:pos="4320"/>
          <w:tab w:val="left" w:pos="720"/>
        </w:tabs>
        <w:rPr>
          <w:sz w:val="22"/>
          <w:szCs w:val="22"/>
        </w:rPr>
      </w:pPr>
      <w:r w:rsidRPr="00595557">
        <w:rPr>
          <w:sz w:val="22"/>
          <w:szCs w:val="22"/>
        </w:rPr>
        <w:tab/>
      </w:r>
      <w:r w:rsidRPr="00595557">
        <w:rPr>
          <w:sz w:val="22"/>
          <w:szCs w:val="22"/>
          <w:highlight w:val="yellow"/>
        </w:rPr>
        <w:t>13.1). BEEA IRB NCI</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13.2). BEEA IRB Westat</w:t>
      </w:r>
    </w:p>
    <w:p w:rsidR="00595557" w:rsidRPr="00595557" w:rsidRDefault="00595557" w:rsidP="00595557">
      <w:pPr>
        <w:ind w:left="720"/>
        <w:rPr>
          <w:sz w:val="22"/>
          <w:szCs w:val="22"/>
        </w:rPr>
      </w:pPr>
      <w:r w:rsidRPr="00595557">
        <w:rPr>
          <w:sz w:val="22"/>
          <w:szCs w:val="22"/>
          <w:highlight w:val="yellow"/>
        </w:rPr>
        <w:t>13.3). BEEA IRB University of Iowa</w:t>
      </w:r>
    </w:p>
    <w:p w:rsidR="00595557" w:rsidRPr="00595557" w:rsidRDefault="00595557" w:rsidP="00595557">
      <w:pPr>
        <w:pStyle w:val="Header"/>
        <w:rPr>
          <w:sz w:val="22"/>
          <w:szCs w:val="22"/>
        </w:rPr>
      </w:pPr>
      <w:r w:rsidRPr="00595557">
        <w:rPr>
          <w:sz w:val="22"/>
          <w:szCs w:val="22"/>
        </w:rPr>
        <w:t xml:space="preserve">14: Phase IV </w:t>
      </w:r>
      <w:proofErr w:type="spellStart"/>
      <w:r w:rsidRPr="00595557">
        <w:rPr>
          <w:sz w:val="22"/>
          <w:szCs w:val="22"/>
        </w:rPr>
        <w:t>Buccal</w:t>
      </w:r>
      <w:proofErr w:type="spellEnd"/>
      <w:r w:rsidRPr="00595557">
        <w:rPr>
          <w:sz w:val="22"/>
          <w:szCs w:val="22"/>
        </w:rPr>
        <w:t xml:space="preserve"> Cell Pre-Contact Letters</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 xml:space="preserve">14.1). Phase IV </w:t>
      </w:r>
      <w:proofErr w:type="spellStart"/>
      <w:r w:rsidRPr="00595557">
        <w:rPr>
          <w:sz w:val="22"/>
          <w:szCs w:val="22"/>
          <w:highlight w:val="yellow"/>
        </w:rPr>
        <w:t>Buccal</w:t>
      </w:r>
      <w:proofErr w:type="spellEnd"/>
      <w:r w:rsidRPr="00595557">
        <w:rPr>
          <w:sz w:val="22"/>
          <w:szCs w:val="22"/>
          <w:highlight w:val="yellow"/>
        </w:rPr>
        <w:t xml:space="preserve"> Cell Pre-Contact Letter for Iowa</w:t>
      </w:r>
    </w:p>
    <w:p w:rsidR="00595557" w:rsidRPr="00595557" w:rsidRDefault="00595557" w:rsidP="00595557">
      <w:pPr>
        <w:ind w:left="720"/>
        <w:rPr>
          <w:sz w:val="22"/>
          <w:szCs w:val="22"/>
        </w:rPr>
      </w:pPr>
      <w:r w:rsidRPr="00595557">
        <w:rPr>
          <w:sz w:val="22"/>
          <w:szCs w:val="22"/>
          <w:highlight w:val="yellow"/>
        </w:rPr>
        <w:t xml:space="preserve">14.2). Phase IV </w:t>
      </w:r>
      <w:proofErr w:type="spellStart"/>
      <w:r w:rsidRPr="00595557">
        <w:rPr>
          <w:sz w:val="22"/>
          <w:szCs w:val="22"/>
          <w:highlight w:val="yellow"/>
        </w:rPr>
        <w:t>Buccal</w:t>
      </w:r>
      <w:proofErr w:type="spellEnd"/>
      <w:r w:rsidRPr="00595557">
        <w:rPr>
          <w:sz w:val="22"/>
          <w:szCs w:val="22"/>
          <w:highlight w:val="yellow"/>
        </w:rPr>
        <w:t xml:space="preserve"> Cell Pre-Contact Letter for North Carolina</w:t>
      </w:r>
    </w:p>
    <w:p w:rsidR="00595557" w:rsidRPr="00595557" w:rsidRDefault="00595557" w:rsidP="00595557">
      <w:pPr>
        <w:pStyle w:val="Header"/>
        <w:rPr>
          <w:sz w:val="22"/>
          <w:szCs w:val="22"/>
        </w:rPr>
      </w:pPr>
      <w:r w:rsidRPr="00595557">
        <w:rPr>
          <w:sz w:val="22"/>
          <w:szCs w:val="22"/>
        </w:rPr>
        <w:t xml:space="preserve">15: Phase IV </w:t>
      </w:r>
      <w:proofErr w:type="spellStart"/>
      <w:r w:rsidRPr="00595557">
        <w:rPr>
          <w:sz w:val="22"/>
          <w:szCs w:val="22"/>
        </w:rPr>
        <w:t>Buccal</w:t>
      </w:r>
      <w:proofErr w:type="spellEnd"/>
      <w:r w:rsidRPr="00595557">
        <w:rPr>
          <w:sz w:val="22"/>
          <w:szCs w:val="22"/>
        </w:rPr>
        <w:t xml:space="preserve"> Cell Consent Forms</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 xml:space="preserve">15.1). Phase IV Iowa </w:t>
      </w:r>
      <w:proofErr w:type="spellStart"/>
      <w:r w:rsidRPr="00595557">
        <w:rPr>
          <w:sz w:val="22"/>
          <w:szCs w:val="22"/>
          <w:highlight w:val="yellow"/>
        </w:rPr>
        <w:t>Buccal</w:t>
      </w:r>
      <w:proofErr w:type="spellEnd"/>
      <w:r w:rsidRPr="00595557">
        <w:rPr>
          <w:sz w:val="22"/>
          <w:szCs w:val="22"/>
          <w:highlight w:val="yellow"/>
        </w:rPr>
        <w:t xml:space="preserve"> Cell Consent Form</w:t>
      </w:r>
    </w:p>
    <w:p w:rsidR="00595557" w:rsidRPr="00595557" w:rsidRDefault="00595557" w:rsidP="00595557">
      <w:pPr>
        <w:ind w:left="720"/>
        <w:rPr>
          <w:sz w:val="22"/>
          <w:szCs w:val="22"/>
        </w:rPr>
      </w:pPr>
      <w:r w:rsidRPr="00595557">
        <w:rPr>
          <w:sz w:val="22"/>
          <w:szCs w:val="22"/>
          <w:highlight w:val="yellow"/>
        </w:rPr>
        <w:t xml:space="preserve">15.2). Phase IV North Carolina </w:t>
      </w:r>
      <w:proofErr w:type="spellStart"/>
      <w:r w:rsidRPr="00595557">
        <w:rPr>
          <w:sz w:val="22"/>
          <w:szCs w:val="22"/>
          <w:highlight w:val="yellow"/>
        </w:rPr>
        <w:t>Buccal</w:t>
      </w:r>
      <w:proofErr w:type="spellEnd"/>
      <w:r w:rsidRPr="00595557">
        <w:rPr>
          <w:sz w:val="22"/>
          <w:szCs w:val="22"/>
          <w:highlight w:val="yellow"/>
        </w:rPr>
        <w:t xml:space="preserve"> Cell Consent Form</w:t>
      </w:r>
    </w:p>
    <w:p w:rsidR="00595557" w:rsidRPr="00595557" w:rsidRDefault="00595557" w:rsidP="00595557">
      <w:pPr>
        <w:rPr>
          <w:sz w:val="22"/>
          <w:szCs w:val="22"/>
        </w:rPr>
      </w:pPr>
      <w:r w:rsidRPr="00595557">
        <w:rPr>
          <w:sz w:val="22"/>
          <w:szCs w:val="22"/>
        </w:rPr>
        <w:t xml:space="preserve">16: Phase IV </w:t>
      </w:r>
      <w:proofErr w:type="spellStart"/>
      <w:r w:rsidRPr="00595557">
        <w:rPr>
          <w:sz w:val="22"/>
          <w:szCs w:val="22"/>
        </w:rPr>
        <w:t>Buccal</w:t>
      </w:r>
      <w:proofErr w:type="spellEnd"/>
      <w:r w:rsidRPr="00595557">
        <w:rPr>
          <w:sz w:val="22"/>
          <w:szCs w:val="22"/>
        </w:rPr>
        <w:t xml:space="preserve"> Cell Collection Information (kit letter, collection directions/instructions, FAQs, etc.)</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 xml:space="preserve">16.1). Phase IV Iowa </w:t>
      </w:r>
      <w:proofErr w:type="spellStart"/>
      <w:r w:rsidRPr="00595557">
        <w:rPr>
          <w:sz w:val="22"/>
          <w:szCs w:val="22"/>
          <w:highlight w:val="yellow"/>
        </w:rPr>
        <w:t>Buccal</w:t>
      </w:r>
      <w:proofErr w:type="spellEnd"/>
      <w:r w:rsidRPr="00595557">
        <w:rPr>
          <w:sz w:val="22"/>
          <w:szCs w:val="22"/>
          <w:highlight w:val="yellow"/>
        </w:rPr>
        <w:t xml:space="preserve"> Cell Kit Cover Letter</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 xml:space="preserve">16.2). Phase IV Iowa </w:t>
      </w:r>
      <w:proofErr w:type="spellStart"/>
      <w:r w:rsidRPr="00595557">
        <w:rPr>
          <w:sz w:val="22"/>
          <w:szCs w:val="22"/>
          <w:highlight w:val="yellow"/>
        </w:rPr>
        <w:t>Buccal</w:t>
      </w:r>
      <w:proofErr w:type="spellEnd"/>
      <w:r w:rsidRPr="00595557">
        <w:rPr>
          <w:sz w:val="22"/>
          <w:szCs w:val="22"/>
          <w:highlight w:val="yellow"/>
        </w:rPr>
        <w:t xml:space="preserve"> Cell Directions</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 xml:space="preserve">16.3). Phase IV Iowa </w:t>
      </w:r>
      <w:proofErr w:type="spellStart"/>
      <w:r w:rsidRPr="00595557">
        <w:rPr>
          <w:sz w:val="22"/>
          <w:szCs w:val="22"/>
          <w:highlight w:val="yellow"/>
        </w:rPr>
        <w:t>Buccal</w:t>
      </w:r>
      <w:proofErr w:type="spellEnd"/>
      <w:r w:rsidRPr="00595557">
        <w:rPr>
          <w:sz w:val="22"/>
          <w:szCs w:val="22"/>
          <w:highlight w:val="yellow"/>
        </w:rPr>
        <w:t xml:space="preserve"> Cell Kit Re-mail Cover Letter</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 xml:space="preserve">16.4). Phase IV North Carolina </w:t>
      </w:r>
      <w:proofErr w:type="spellStart"/>
      <w:r w:rsidRPr="00595557">
        <w:rPr>
          <w:sz w:val="22"/>
          <w:szCs w:val="22"/>
          <w:highlight w:val="yellow"/>
        </w:rPr>
        <w:t>Buccal</w:t>
      </w:r>
      <w:proofErr w:type="spellEnd"/>
      <w:r w:rsidRPr="00595557">
        <w:rPr>
          <w:sz w:val="22"/>
          <w:szCs w:val="22"/>
          <w:highlight w:val="yellow"/>
        </w:rPr>
        <w:t xml:space="preserve"> Cell Kit Cover Letter</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 xml:space="preserve">16.5). Phase IV North Carolina </w:t>
      </w:r>
      <w:proofErr w:type="spellStart"/>
      <w:r w:rsidRPr="00595557">
        <w:rPr>
          <w:sz w:val="22"/>
          <w:szCs w:val="22"/>
          <w:highlight w:val="yellow"/>
        </w:rPr>
        <w:t>Buccal</w:t>
      </w:r>
      <w:proofErr w:type="spellEnd"/>
      <w:r w:rsidRPr="00595557">
        <w:rPr>
          <w:sz w:val="22"/>
          <w:szCs w:val="22"/>
          <w:highlight w:val="yellow"/>
        </w:rPr>
        <w:t xml:space="preserve"> Cell Directions</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lastRenderedPageBreak/>
        <w:t xml:space="preserve">16.6). Phase IV North Carolina </w:t>
      </w:r>
      <w:proofErr w:type="spellStart"/>
      <w:r w:rsidRPr="00595557">
        <w:rPr>
          <w:sz w:val="22"/>
          <w:szCs w:val="22"/>
          <w:highlight w:val="yellow"/>
        </w:rPr>
        <w:t>Buccal</w:t>
      </w:r>
      <w:proofErr w:type="spellEnd"/>
      <w:r w:rsidRPr="00595557">
        <w:rPr>
          <w:sz w:val="22"/>
          <w:szCs w:val="22"/>
          <w:highlight w:val="yellow"/>
        </w:rPr>
        <w:t xml:space="preserve"> Cell Kit Re-mail Cover Letter</w:t>
      </w:r>
    </w:p>
    <w:p w:rsidR="00595557" w:rsidRPr="00595557" w:rsidRDefault="00595557" w:rsidP="00595557">
      <w:pPr>
        <w:ind w:left="720"/>
        <w:rPr>
          <w:sz w:val="22"/>
          <w:szCs w:val="22"/>
        </w:rPr>
      </w:pPr>
      <w:r w:rsidRPr="00595557">
        <w:rPr>
          <w:sz w:val="22"/>
          <w:szCs w:val="22"/>
          <w:highlight w:val="yellow"/>
        </w:rPr>
        <w:t xml:space="preserve">16.7). Phase IV </w:t>
      </w:r>
      <w:proofErr w:type="spellStart"/>
      <w:r w:rsidRPr="00595557">
        <w:rPr>
          <w:sz w:val="22"/>
          <w:szCs w:val="22"/>
          <w:highlight w:val="yellow"/>
        </w:rPr>
        <w:t>Buccal</w:t>
      </w:r>
      <w:proofErr w:type="spellEnd"/>
      <w:r w:rsidRPr="00595557">
        <w:rPr>
          <w:sz w:val="22"/>
          <w:szCs w:val="22"/>
          <w:highlight w:val="yellow"/>
        </w:rPr>
        <w:t xml:space="preserve"> Cell FAQs for Both Sites</w:t>
      </w:r>
    </w:p>
    <w:p w:rsidR="00595557" w:rsidRPr="00595557" w:rsidRDefault="00595557" w:rsidP="00595557">
      <w:pPr>
        <w:rPr>
          <w:sz w:val="22"/>
          <w:szCs w:val="22"/>
        </w:rPr>
      </w:pPr>
      <w:r w:rsidRPr="00595557">
        <w:rPr>
          <w:sz w:val="22"/>
          <w:szCs w:val="22"/>
        </w:rPr>
        <w:t>17: BEEA Letters (Intro, Cover, Reminder, Results, Show Cards)</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17.1). BEEA Introductory Letter for Iowa Respondents</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17.2). BEEA Introductory Letter for North Carolina Respondents</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17.3). BEEA Consent Mailing Cover Letter for Iowa Respondents</w:t>
      </w:r>
    </w:p>
    <w:p w:rsidR="00595557" w:rsidRPr="00595557" w:rsidRDefault="00595557" w:rsidP="00595557">
      <w:pPr>
        <w:autoSpaceDE w:val="0"/>
        <w:autoSpaceDN w:val="0"/>
        <w:adjustRightInd w:val="0"/>
        <w:ind w:left="720"/>
        <w:rPr>
          <w:sz w:val="22"/>
          <w:szCs w:val="22"/>
        </w:rPr>
      </w:pPr>
      <w:r w:rsidRPr="00595557">
        <w:rPr>
          <w:sz w:val="22"/>
          <w:szCs w:val="22"/>
          <w:highlight w:val="yellow"/>
        </w:rPr>
        <w:t>17.4). BEEA Consent Mailing Cover Letter for North Carolina Respondents</w:t>
      </w:r>
    </w:p>
    <w:p w:rsidR="00595557" w:rsidRPr="00595557" w:rsidRDefault="00595557" w:rsidP="00595557">
      <w:pPr>
        <w:autoSpaceDE w:val="0"/>
        <w:autoSpaceDN w:val="0"/>
        <w:adjustRightInd w:val="0"/>
        <w:ind w:left="720"/>
        <w:rPr>
          <w:sz w:val="22"/>
          <w:szCs w:val="22"/>
        </w:rPr>
      </w:pPr>
      <w:r w:rsidRPr="00595557">
        <w:rPr>
          <w:sz w:val="22"/>
          <w:szCs w:val="22"/>
        </w:rPr>
        <w:t>17.5). BEEA Pre-Visit Preparation Show Card for Iowa Respondents</w:t>
      </w:r>
    </w:p>
    <w:p w:rsidR="00595557" w:rsidRPr="00595557" w:rsidRDefault="00595557" w:rsidP="00595557">
      <w:pPr>
        <w:autoSpaceDE w:val="0"/>
        <w:autoSpaceDN w:val="0"/>
        <w:adjustRightInd w:val="0"/>
        <w:ind w:left="720"/>
        <w:rPr>
          <w:sz w:val="22"/>
          <w:szCs w:val="22"/>
        </w:rPr>
      </w:pPr>
      <w:r w:rsidRPr="00595557">
        <w:rPr>
          <w:sz w:val="22"/>
          <w:szCs w:val="22"/>
        </w:rPr>
        <w:t>17.6). BEEA Pre-Visit Preparation Show Card for North Carolina Respondents</w:t>
      </w:r>
    </w:p>
    <w:p w:rsidR="00595557" w:rsidRPr="00595557" w:rsidRDefault="00595557" w:rsidP="00595557">
      <w:pPr>
        <w:autoSpaceDE w:val="0"/>
        <w:autoSpaceDN w:val="0"/>
        <w:adjustRightInd w:val="0"/>
        <w:ind w:left="720"/>
        <w:rPr>
          <w:sz w:val="22"/>
          <w:szCs w:val="22"/>
        </w:rPr>
      </w:pPr>
      <w:r w:rsidRPr="00595557">
        <w:rPr>
          <w:sz w:val="22"/>
          <w:szCs w:val="22"/>
        </w:rPr>
        <w:t>17.7). BEEA Directions for Urine Specimen Collection for Iowa Respondents</w:t>
      </w:r>
    </w:p>
    <w:p w:rsidR="00595557" w:rsidRPr="00595557" w:rsidRDefault="00595557" w:rsidP="00595557">
      <w:pPr>
        <w:autoSpaceDE w:val="0"/>
        <w:autoSpaceDN w:val="0"/>
        <w:adjustRightInd w:val="0"/>
        <w:ind w:left="720"/>
        <w:rPr>
          <w:sz w:val="22"/>
          <w:szCs w:val="22"/>
        </w:rPr>
      </w:pPr>
      <w:r w:rsidRPr="00595557">
        <w:rPr>
          <w:sz w:val="22"/>
          <w:szCs w:val="22"/>
        </w:rPr>
        <w:t>17.8). BEEA Directions for Urine Specimen Collection for North Carolina Respondents</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17.9). BEEA Pre-Visit Reminder Letter for Iowa Respondents</w:t>
      </w:r>
    </w:p>
    <w:p w:rsidR="00595557" w:rsidRPr="00595557" w:rsidRDefault="00595557" w:rsidP="00595557">
      <w:pPr>
        <w:autoSpaceDE w:val="0"/>
        <w:autoSpaceDN w:val="0"/>
        <w:adjustRightInd w:val="0"/>
        <w:ind w:left="720"/>
        <w:rPr>
          <w:sz w:val="22"/>
          <w:szCs w:val="22"/>
        </w:rPr>
      </w:pPr>
      <w:r w:rsidRPr="00595557">
        <w:rPr>
          <w:sz w:val="22"/>
          <w:szCs w:val="22"/>
          <w:highlight w:val="yellow"/>
        </w:rPr>
        <w:t>17.10). BEEA Pre-Visit Reminder Letter for North Carolina Respondents</w:t>
      </w:r>
    </w:p>
    <w:p w:rsidR="00595557" w:rsidRPr="00595557" w:rsidRDefault="00595557" w:rsidP="00595557">
      <w:pPr>
        <w:autoSpaceDE w:val="0"/>
        <w:autoSpaceDN w:val="0"/>
        <w:adjustRightInd w:val="0"/>
        <w:ind w:left="720"/>
        <w:rPr>
          <w:sz w:val="22"/>
          <w:szCs w:val="22"/>
        </w:rPr>
      </w:pPr>
      <w:r w:rsidRPr="00595557">
        <w:rPr>
          <w:sz w:val="22"/>
          <w:szCs w:val="22"/>
        </w:rPr>
        <w:t>17.11). BEEA Letter for Scheduling First Post-</w:t>
      </w:r>
      <w:proofErr w:type="spellStart"/>
      <w:r w:rsidRPr="00595557">
        <w:rPr>
          <w:sz w:val="22"/>
          <w:szCs w:val="22"/>
        </w:rPr>
        <w:t>Diazinon</w:t>
      </w:r>
      <w:proofErr w:type="spellEnd"/>
      <w:r w:rsidRPr="00595557">
        <w:rPr>
          <w:sz w:val="22"/>
          <w:szCs w:val="22"/>
        </w:rPr>
        <w:t xml:space="preserve"> Application Visit for Iowa Respondents</w:t>
      </w:r>
    </w:p>
    <w:p w:rsidR="00595557" w:rsidRPr="00595557" w:rsidRDefault="00595557" w:rsidP="00595557">
      <w:pPr>
        <w:autoSpaceDE w:val="0"/>
        <w:autoSpaceDN w:val="0"/>
        <w:adjustRightInd w:val="0"/>
        <w:ind w:left="720"/>
        <w:rPr>
          <w:sz w:val="22"/>
          <w:szCs w:val="22"/>
        </w:rPr>
      </w:pPr>
      <w:r w:rsidRPr="00595557">
        <w:rPr>
          <w:sz w:val="22"/>
          <w:szCs w:val="22"/>
        </w:rPr>
        <w:t>17.12). BEEA Letter for Scheduling First Post-</w:t>
      </w:r>
      <w:proofErr w:type="spellStart"/>
      <w:r w:rsidRPr="00595557">
        <w:rPr>
          <w:sz w:val="22"/>
          <w:szCs w:val="22"/>
        </w:rPr>
        <w:t>Diazinon</w:t>
      </w:r>
      <w:proofErr w:type="spellEnd"/>
      <w:r w:rsidRPr="00595557">
        <w:rPr>
          <w:sz w:val="22"/>
          <w:szCs w:val="22"/>
        </w:rPr>
        <w:t xml:space="preserve"> Application Visit for North Carolina Respondents</w:t>
      </w:r>
    </w:p>
    <w:p w:rsidR="00595557" w:rsidRPr="00595557" w:rsidRDefault="00595557" w:rsidP="00595557">
      <w:pPr>
        <w:autoSpaceDE w:val="0"/>
        <w:autoSpaceDN w:val="0"/>
        <w:adjustRightInd w:val="0"/>
        <w:ind w:left="720"/>
        <w:rPr>
          <w:sz w:val="22"/>
          <w:szCs w:val="22"/>
        </w:rPr>
      </w:pPr>
      <w:r w:rsidRPr="00595557">
        <w:rPr>
          <w:sz w:val="22"/>
          <w:szCs w:val="22"/>
        </w:rPr>
        <w:t>17.13). BEEA NCI Letter for CBC Lymphocyte Assay Results</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17.14). BEEA Letter to Contact Us for Iowa Respondents – Both Groups</w:t>
      </w:r>
    </w:p>
    <w:p w:rsidR="00595557" w:rsidRPr="00595557" w:rsidRDefault="00595557" w:rsidP="00595557">
      <w:pPr>
        <w:ind w:left="720"/>
        <w:rPr>
          <w:sz w:val="22"/>
          <w:szCs w:val="22"/>
        </w:rPr>
      </w:pPr>
      <w:r w:rsidRPr="00595557">
        <w:rPr>
          <w:sz w:val="22"/>
          <w:szCs w:val="22"/>
          <w:highlight w:val="yellow"/>
        </w:rPr>
        <w:t>17.15). BEEA Letter to Contact Us for North Carolina Respondents – Both Groups</w:t>
      </w:r>
    </w:p>
    <w:p w:rsidR="00595557" w:rsidRPr="00595557" w:rsidRDefault="00595557" w:rsidP="00595557">
      <w:pPr>
        <w:pStyle w:val="Header"/>
        <w:rPr>
          <w:sz w:val="22"/>
          <w:szCs w:val="22"/>
        </w:rPr>
      </w:pPr>
      <w:r w:rsidRPr="00595557">
        <w:rPr>
          <w:sz w:val="22"/>
          <w:szCs w:val="22"/>
        </w:rPr>
        <w:t>18: BEEA Consent Forms</w:t>
      </w:r>
    </w:p>
    <w:p w:rsidR="00595557" w:rsidRPr="00595557" w:rsidRDefault="00595557" w:rsidP="00595557">
      <w:pPr>
        <w:autoSpaceDE w:val="0"/>
        <w:autoSpaceDN w:val="0"/>
        <w:adjustRightInd w:val="0"/>
        <w:ind w:left="720"/>
        <w:rPr>
          <w:sz w:val="22"/>
          <w:szCs w:val="22"/>
          <w:highlight w:val="yellow"/>
        </w:rPr>
      </w:pPr>
      <w:r w:rsidRPr="00595557">
        <w:rPr>
          <w:sz w:val="22"/>
          <w:szCs w:val="22"/>
          <w:highlight w:val="yellow"/>
        </w:rPr>
        <w:t>1</w:t>
      </w:r>
      <w:r w:rsidRPr="00595557">
        <w:rPr>
          <w:bCs/>
          <w:sz w:val="22"/>
          <w:szCs w:val="22"/>
          <w:highlight w:val="yellow"/>
        </w:rPr>
        <w:t>8</w:t>
      </w:r>
      <w:r w:rsidRPr="00595557">
        <w:rPr>
          <w:sz w:val="22"/>
          <w:szCs w:val="22"/>
          <w:highlight w:val="yellow"/>
        </w:rPr>
        <w:t>.1</w:t>
      </w:r>
      <w:r w:rsidRPr="00595557">
        <w:rPr>
          <w:bCs/>
          <w:sz w:val="22"/>
          <w:szCs w:val="22"/>
          <w:highlight w:val="yellow"/>
        </w:rPr>
        <w:t>).</w:t>
      </w:r>
      <w:r w:rsidRPr="00595557">
        <w:rPr>
          <w:b/>
          <w:bCs/>
          <w:sz w:val="22"/>
          <w:szCs w:val="22"/>
          <w:highlight w:val="yellow"/>
        </w:rPr>
        <w:t xml:space="preserve"> </w:t>
      </w:r>
      <w:r w:rsidRPr="00595557">
        <w:rPr>
          <w:sz w:val="22"/>
          <w:szCs w:val="22"/>
          <w:highlight w:val="yellow"/>
        </w:rPr>
        <w:t>BEEA Consent form for Iowa Randomly Selected Respondents</w:t>
      </w:r>
    </w:p>
    <w:p w:rsidR="00595557" w:rsidRPr="00595557" w:rsidRDefault="00595557" w:rsidP="00595557">
      <w:pPr>
        <w:autoSpaceDE w:val="0"/>
        <w:autoSpaceDN w:val="0"/>
        <w:adjustRightInd w:val="0"/>
        <w:ind w:left="720"/>
        <w:rPr>
          <w:sz w:val="22"/>
          <w:szCs w:val="22"/>
        </w:rPr>
      </w:pPr>
      <w:r w:rsidRPr="00595557">
        <w:rPr>
          <w:sz w:val="22"/>
          <w:szCs w:val="22"/>
          <w:highlight w:val="yellow"/>
        </w:rPr>
        <w:t>1</w:t>
      </w:r>
      <w:r w:rsidRPr="00595557">
        <w:rPr>
          <w:bCs/>
          <w:sz w:val="22"/>
          <w:szCs w:val="22"/>
          <w:highlight w:val="yellow"/>
        </w:rPr>
        <w:t>8</w:t>
      </w:r>
      <w:r w:rsidRPr="00595557">
        <w:rPr>
          <w:sz w:val="22"/>
          <w:szCs w:val="22"/>
          <w:highlight w:val="yellow"/>
        </w:rPr>
        <w:t>.2</w:t>
      </w:r>
      <w:r w:rsidRPr="00595557">
        <w:rPr>
          <w:bCs/>
          <w:sz w:val="22"/>
          <w:szCs w:val="22"/>
          <w:highlight w:val="yellow"/>
        </w:rPr>
        <w:t>).</w:t>
      </w:r>
      <w:r w:rsidRPr="00595557">
        <w:rPr>
          <w:b/>
          <w:bCs/>
          <w:sz w:val="22"/>
          <w:szCs w:val="22"/>
          <w:highlight w:val="yellow"/>
        </w:rPr>
        <w:t xml:space="preserve"> </w:t>
      </w:r>
      <w:r w:rsidRPr="00595557">
        <w:rPr>
          <w:sz w:val="22"/>
          <w:szCs w:val="22"/>
          <w:highlight w:val="yellow"/>
        </w:rPr>
        <w:t>BEEA Consent form for North Carolina Randomly Selected Respondents</w:t>
      </w:r>
    </w:p>
    <w:p w:rsidR="00595557" w:rsidRPr="00595557" w:rsidRDefault="00595557" w:rsidP="00595557">
      <w:pPr>
        <w:autoSpaceDE w:val="0"/>
        <w:autoSpaceDN w:val="0"/>
        <w:adjustRightInd w:val="0"/>
        <w:ind w:left="720"/>
        <w:rPr>
          <w:sz w:val="22"/>
          <w:szCs w:val="22"/>
        </w:rPr>
      </w:pPr>
      <w:r w:rsidRPr="00595557">
        <w:rPr>
          <w:sz w:val="22"/>
          <w:szCs w:val="22"/>
        </w:rPr>
        <w:t>1</w:t>
      </w:r>
      <w:r w:rsidRPr="00595557">
        <w:rPr>
          <w:bCs/>
          <w:sz w:val="22"/>
          <w:szCs w:val="22"/>
        </w:rPr>
        <w:t>8</w:t>
      </w:r>
      <w:r w:rsidRPr="00595557">
        <w:rPr>
          <w:sz w:val="22"/>
          <w:szCs w:val="22"/>
        </w:rPr>
        <w:t>.3</w:t>
      </w:r>
      <w:r w:rsidRPr="00595557">
        <w:rPr>
          <w:bCs/>
          <w:sz w:val="22"/>
          <w:szCs w:val="22"/>
        </w:rPr>
        <w:t>).</w:t>
      </w:r>
      <w:r w:rsidRPr="00595557">
        <w:rPr>
          <w:b/>
          <w:bCs/>
          <w:sz w:val="22"/>
          <w:szCs w:val="22"/>
        </w:rPr>
        <w:t xml:space="preserve"> </w:t>
      </w:r>
      <w:r w:rsidRPr="00595557">
        <w:rPr>
          <w:sz w:val="22"/>
          <w:szCs w:val="22"/>
        </w:rPr>
        <w:t>BEEA Consent form for Iowa Recently Exposed Respondents</w:t>
      </w:r>
    </w:p>
    <w:p w:rsidR="00595557" w:rsidRPr="00595557" w:rsidRDefault="00595557" w:rsidP="00595557">
      <w:pPr>
        <w:autoSpaceDE w:val="0"/>
        <w:autoSpaceDN w:val="0"/>
        <w:adjustRightInd w:val="0"/>
        <w:ind w:left="720"/>
        <w:rPr>
          <w:sz w:val="22"/>
          <w:szCs w:val="22"/>
        </w:rPr>
      </w:pPr>
      <w:r w:rsidRPr="00595557">
        <w:rPr>
          <w:sz w:val="22"/>
          <w:szCs w:val="22"/>
        </w:rPr>
        <w:t>1</w:t>
      </w:r>
      <w:r w:rsidRPr="00595557">
        <w:rPr>
          <w:bCs/>
          <w:sz w:val="22"/>
          <w:szCs w:val="22"/>
        </w:rPr>
        <w:t>8</w:t>
      </w:r>
      <w:r w:rsidRPr="00595557">
        <w:rPr>
          <w:sz w:val="22"/>
          <w:szCs w:val="22"/>
        </w:rPr>
        <w:t>.4</w:t>
      </w:r>
      <w:r w:rsidRPr="00595557">
        <w:rPr>
          <w:bCs/>
          <w:sz w:val="22"/>
          <w:szCs w:val="22"/>
        </w:rPr>
        <w:t>).</w:t>
      </w:r>
      <w:r w:rsidRPr="00595557">
        <w:rPr>
          <w:b/>
          <w:bCs/>
          <w:sz w:val="22"/>
          <w:szCs w:val="22"/>
        </w:rPr>
        <w:t xml:space="preserve"> </w:t>
      </w:r>
      <w:r w:rsidRPr="00595557">
        <w:rPr>
          <w:sz w:val="22"/>
          <w:szCs w:val="22"/>
        </w:rPr>
        <w:t>BEEA Consent form for North Carolina Recently Exposed Respondents</w:t>
      </w:r>
    </w:p>
    <w:p w:rsidR="00595557" w:rsidRPr="00595557" w:rsidRDefault="007A25F9" w:rsidP="00595557">
      <w:pPr>
        <w:autoSpaceDE w:val="0"/>
        <w:autoSpaceDN w:val="0"/>
        <w:adjustRightInd w:val="0"/>
        <w:rPr>
          <w:sz w:val="22"/>
          <w:szCs w:val="22"/>
        </w:rPr>
      </w:pPr>
      <w:r>
        <w:rPr>
          <w:sz w:val="22"/>
          <w:szCs w:val="22"/>
        </w:rPr>
        <w:t>*</w:t>
      </w:r>
      <w:r w:rsidR="00595557" w:rsidRPr="00595557">
        <w:rPr>
          <w:sz w:val="22"/>
          <w:szCs w:val="22"/>
        </w:rPr>
        <w:t>19: BEEA Computer Assisted In-Person Interview (CAPI)</w:t>
      </w:r>
    </w:p>
    <w:p w:rsidR="00595557" w:rsidRPr="00595557" w:rsidRDefault="007A25F9" w:rsidP="00C31954">
      <w:pPr>
        <w:autoSpaceDE w:val="0"/>
        <w:autoSpaceDN w:val="0"/>
        <w:adjustRightInd w:val="0"/>
        <w:rPr>
          <w:sz w:val="22"/>
          <w:szCs w:val="22"/>
        </w:rPr>
      </w:pPr>
      <w:r>
        <w:rPr>
          <w:sz w:val="22"/>
          <w:szCs w:val="22"/>
          <w:highlight w:val="yellow"/>
        </w:rPr>
        <w:t>*</w:t>
      </w:r>
      <w:r w:rsidR="00595557" w:rsidRPr="00595557">
        <w:rPr>
          <w:sz w:val="22"/>
          <w:szCs w:val="22"/>
          <w:highlight w:val="yellow"/>
        </w:rPr>
        <w:t xml:space="preserve">20: BEEA Computer Assisted Telephone Interview (CATI) </w:t>
      </w:r>
      <w:r w:rsidR="00C31954">
        <w:rPr>
          <w:sz w:val="22"/>
          <w:szCs w:val="22"/>
          <w:highlight w:val="yellow"/>
        </w:rPr>
        <w:t xml:space="preserve">Eligibility Script: </w:t>
      </w:r>
      <w:r w:rsidR="00595557" w:rsidRPr="009F17C4">
        <w:rPr>
          <w:i/>
          <w:sz w:val="22"/>
          <w:szCs w:val="22"/>
          <w:highlight w:val="yellow"/>
        </w:rPr>
        <w:t xml:space="preserve">Randomly Selected </w:t>
      </w:r>
      <w:r w:rsidR="00C31954" w:rsidRPr="009F17C4">
        <w:rPr>
          <w:i/>
          <w:sz w:val="22"/>
          <w:szCs w:val="22"/>
          <w:highlight w:val="yellow"/>
        </w:rPr>
        <w:t>Resp</w:t>
      </w:r>
      <w:r w:rsidR="00C31954" w:rsidRPr="009F17C4">
        <w:rPr>
          <w:i/>
          <w:sz w:val="22"/>
          <w:szCs w:val="22"/>
        </w:rPr>
        <w:t>.</w:t>
      </w:r>
    </w:p>
    <w:p w:rsidR="00595557" w:rsidRPr="009F17C4" w:rsidRDefault="007A25F9" w:rsidP="00C31954">
      <w:pPr>
        <w:tabs>
          <w:tab w:val="left" w:pos="1260"/>
        </w:tabs>
        <w:autoSpaceDE w:val="0"/>
        <w:autoSpaceDN w:val="0"/>
        <w:adjustRightInd w:val="0"/>
        <w:rPr>
          <w:i/>
          <w:sz w:val="22"/>
          <w:szCs w:val="22"/>
        </w:rPr>
      </w:pPr>
      <w:r>
        <w:rPr>
          <w:sz w:val="22"/>
          <w:szCs w:val="22"/>
        </w:rPr>
        <w:t>*</w:t>
      </w:r>
      <w:r w:rsidR="00595557" w:rsidRPr="00595557">
        <w:rPr>
          <w:sz w:val="22"/>
          <w:szCs w:val="22"/>
        </w:rPr>
        <w:t xml:space="preserve">21: </w:t>
      </w:r>
      <w:r w:rsidR="00595557" w:rsidRPr="00332C92">
        <w:rPr>
          <w:sz w:val="22"/>
          <w:szCs w:val="22"/>
        </w:rPr>
        <w:t xml:space="preserve">BEEA </w:t>
      </w:r>
      <w:r w:rsidR="00332C92" w:rsidRPr="00332C92">
        <w:rPr>
          <w:sz w:val="22"/>
          <w:szCs w:val="22"/>
        </w:rPr>
        <w:t>Computer Assi</w:t>
      </w:r>
      <w:r w:rsidR="00332C92">
        <w:rPr>
          <w:sz w:val="22"/>
          <w:szCs w:val="22"/>
        </w:rPr>
        <w:t>sted Telephone Interview (CATI)</w:t>
      </w:r>
      <w:r w:rsidR="00C31954">
        <w:rPr>
          <w:sz w:val="22"/>
          <w:szCs w:val="22"/>
        </w:rPr>
        <w:t xml:space="preserve"> </w:t>
      </w:r>
      <w:r w:rsidR="00332C92">
        <w:rPr>
          <w:sz w:val="22"/>
          <w:szCs w:val="22"/>
        </w:rPr>
        <w:t>Eligibility Script</w:t>
      </w:r>
      <w:r w:rsidR="00C31954">
        <w:rPr>
          <w:sz w:val="22"/>
          <w:szCs w:val="22"/>
        </w:rPr>
        <w:t xml:space="preserve">: </w:t>
      </w:r>
      <w:r w:rsidR="00C31954" w:rsidRPr="009F17C4">
        <w:rPr>
          <w:i/>
          <w:sz w:val="22"/>
          <w:szCs w:val="22"/>
        </w:rPr>
        <w:t xml:space="preserve">Recently Exposed </w:t>
      </w:r>
      <w:r w:rsidR="00595557" w:rsidRPr="009F17C4">
        <w:rPr>
          <w:i/>
          <w:sz w:val="22"/>
          <w:szCs w:val="22"/>
        </w:rPr>
        <w:t>Resp</w:t>
      </w:r>
      <w:r w:rsidR="00C31954" w:rsidRPr="009F17C4">
        <w:rPr>
          <w:i/>
          <w:sz w:val="22"/>
          <w:szCs w:val="22"/>
        </w:rPr>
        <w:t>.</w:t>
      </w:r>
    </w:p>
    <w:p w:rsidR="00595557" w:rsidRPr="00595557" w:rsidRDefault="00595557" w:rsidP="00595557">
      <w:pPr>
        <w:autoSpaceDE w:val="0"/>
        <w:autoSpaceDN w:val="0"/>
        <w:adjustRightInd w:val="0"/>
        <w:rPr>
          <w:sz w:val="22"/>
          <w:szCs w:val="22"/>
        </w:rPr>
      </w:pPr>
      <w:r w:rsidRPr="00595557">
        <w:rPr>
          <w:sz w:val="22"/>
          <w:szCs w:val="22"/>
          <w:highlight w:val="yellow"/>
        </w:rPr>
        <w:t>22: BEEA Objectives</w:t>
      </w:r>
    </w:p>
    <w:p w:rsidR="00595557" w:rsidRPr="00595557" w:rsidRDefault="00595557" w:rsidP="00595557">
      <w:pPr>
        <w:pStyle w:val="Header"/>
        <w:autoSpaceDE w:val="0"/>
        <w:autoSpaceDN w:val="0"/>
        <w:adjustRightInd w:val="0"/>
        <w:rPr>
          <w:sz w:val="22"/>
          <w:szCs w:val="22"/>
        </w:rPr>
      </w:pPr>
      <w:r w:rsidRPr="00595557">
        <w:rPr>
          <w:sz w:val="22"/>
          <w:szCs w:val="22"/>
        </w:rPr>
        <w:t>23: Phase IV Health Follow-Up IRB Approval Signature Pages</w:t>
      </w:r>
    </w:p>
    <w:p w:rsidR="00595557" w:rsidRPr="00595557" w:rsidRDefault="00595557" w:rsidP="00595557">
      <w:pPr>
        <w:pStyle w:val="BodyTextIndent"/>
        <w:ind w:left="1260" w:hanging="540"/>
        <w:rPr>
          <w:sz w:val="22"/>
          <w:highlight w:val="yellow"/>
        </w:rPr>
      </w:pPr>
      <w:r w:rsidRPr="00595557">
        <w:rPr>
          <w:sz w:val="22"/>
          <w:highlight w:val="yellow"/>
        </w:rPr>
        <w:t xml:space="preserve">23.1). AHS Health Follow-Up Office of Protocol Services Continuing Review Approval under the AHS </w:t>
      </w:r>
      <w:proofErr w:type="spellStart"/>
      <w:r w:rsidRPr="00595557">
        <w:rPr>
          <w:sz w:val="22"/>
          <w:highlight w:val="yellow"/>
        </w:rPr>
        <w:t>AutoImmuneII</w:t>
      </w:r>
      <w:proofErr w:type="spellEnd"/>
      <w:r w:rsidRPr="00595557">
        <w:rPr>
          <w:sz w:val="22"/>
          <w:highlight w:val="yellow"/>
        </w:rPr>
        <w:t xml:space="preserve"> Protocol</w:t>
      </w:r>
    </w:p>
    <w:p w:rsidR="00C31954" w:rsidRDefault="00595557" w:rsidP="00C31954">
      <w:pPr>
        <w:pStyle w:val="BodyTextIndent3"/>
        <w:rPr>
          <w:sz w:val="22"/>
          <w:highlight w:val="yellow"/>
        </w:rPr>
      </w:pPr>
      <w:r w:rsidRPr="00595557">
        <w:rPr>
          <w:sz w:val="22"/>
          <w:highlight w:val="yellow"/>
        </w:rPr>
        <w:t xml:space="preserve">23.2). AHS Health Follow-Up Copernicus Group IRB Continuing Review Approval under the </w:t>
      </w:r>
    </w:p>
    <w:p w:rsidR="00595557" w:rsidRPr="00595557" w:rsidRDefault="00595557" w:rsidP="00C31954">
      <w:pPr>
        <w:pStyle w:val="BodyTextIndent3"/>
        <w:ind w:firstLine="540"/>
        <w:rPr>
          <w:sz w:val="22"/>
          <w:highlight w:val="yellow"/>
        </w:rPr>
      </w:pPr>
      <w:r w:rsidRPr="00595557">
        <w:rPr>
          <w:sz w:val="22"/>
          <w:highlight w:val="yellow"/>
        </w:rPr>
        <w:t xml:space="preserve">AHS </w:t>
      </w:r>
      <w:proofErr w:type="spellStart"/>
      <w:r w:rsidRPr="00595557">
        <w:rPr>
          <w:sz w:val="22"/>
          <w:highlight w:val="yellow"/>
        </w:rPr>
        <w:t>AutoImmuneII</w:t>
      </w:r>
      <w:proofErr w:type="spellEnd"/>
      <w:r w:rsidRPr="00595557">
        <w:rPr>
          <w:sz w:val="22"/>
          <w:highlight w:val="yellow"/>
        </w:rPr>
        <w:t xml:space="preserve"> Protocol</w:t>
      </w:r>
    </w:p>
    <w:p w:rsidR="00C31954" w:rsidRDefault="00595557" w:rsidP="00C31954">
      <w:pPr>
        <w:pStyle w:val="BodyTextIndent3"/>
        <w:rPr>
          <w:sz w:val="22"/>
          <w:highlight w:val="yellow"/>
        </w:rPr>
      </w:pPr>
      <w:r w:rsidRPr="00595557">
        <w:rPr>
          <w:sz w:val="22"/>
          <w:highlight w:val="yellow"/>
        </w:rPr>
        <w:t xml:space="preserve">23.3). AHS Health Follow-Up Office of Protocol Services Amendment Approval under the AHS </w:t>
      </w:r>
    </w:p>
    <w:p w:rsidR="00595557" w:rsidRPr="00595557" w:rsidRDefault="00595557" w:rsidP="00C31954">
      <w:pPr>
        <w:pStyle w:val="BodyTextIndent3"/>
        <w:ind w:firstLine="540"/>
        <w:rPr>
          <w:sz w:val="22"/>
        </w:rPr>
      </w:pPr>
      <w:proofErr w:type="spellStart"/>
      <w:r w:rsidRPr="00595557">
        <w:rPr>
          <w:sz w:val="22"/>
          <w:highlight w:val="yellow"/>
        </w:rPr>
        <w:t>AutoImmuneII</w:t>
      </w:r>
      <w:proofErr w:type="spellEnd"/>
      <w:r w:rsidRPr="00595557">
        <w:rPr>
          <w:sz w:val="22"/>
          <w:highlight w:val="yellow"/>
        </w:rPr>
        <w:t xml:space="preserve"> Protocol</w:t>
      </w:r>
    </w:p>
    <w:p w:rsidR="00595557" w:rsidRPr="00595557" w:rsidRDefault="00595557" w:rsidP="00595557">
      <w:pPr>
        <w:autoSpaceDE w:val="0"/>
        <w:autoSpaceDN w:val="0"/>
        <w:adjustRightInd w:val="0"/>
        <w:ind w:left="547" w:hanging="547"/>
        <w:rPr>
          <w:sz w:val="22"/>
          <w:szCs w:val="22"/>
        </w:rPr>
      </w:pPr>
      <w:r w:rsidRPr="00595557">
        <w:rPr>
          <w:sz w:val="22"/>
          <w:szCs w:val="22"/>
        </w:rPr>
        <w:t>24: Phase IV Health Follow-Up Letters</w:t>
      </w:r>
    </w:p>
    <w:p w:rsidR="00595557" w:rsidRPr="00595557" w:rsidRDefault="00595557" w:rsidP="00595557">
      <w:pPr>
        <w:autoSpaceDE w:val="0"/>
        <w:autoSpaceDN w:val="0"/>
        <w:adjustRightInd w:val="0"/>
        <w:ind w:left="547"/>
        <w:rPr>
          <w:sz w:val="22"/>
          <w:szCs w:val="22"/>
          <w:highlight w:val="yellow"/>
        </w:rPr>
      </w:pPr>
      <w:r w:rsidRPr="00595557">
        <w:rPr>
          <w:sz w:val="22"/>
          <w:szCs w:val="22"/>
          <w:highlight w:val="yellow"/>
        </w:rPr>
        <w:t>24.1). AHS Phase IV Health Follow-Up Participant Invitation Letter</w:t>
      </w:r>
    </w:p>
    <w:p w:rsidR="00595557" w:rsidRPr="00595557" w:rsidRDefault="00595557" w:rsidP="00595557">
      <w:pPr>
        <w:autoSpaceDE w:val="0"/>
        <w:autoSpaceDN w:val="0"/>
        <w:adjustRightInd w:val="0"/>
        <w:ind w:left="547"/>
        <w:rPr>
          <w:sz w:val="22"/>
          <w:szCs w:val="22"/>
          <w:highlight w:val="yellow"/>
        </w:rPr>
      </w:pPr>
      <w:r w:rsidRPr="00595557">
        <w:rPr>
          <w:sz w:val="22"/>
          <w:szCs w:val="22"/>
          <w:highlight w:val="yellow"/>
        </w:rPr>
        <w:t>24.2). AHS Phase IV Health Follow-Up Next of Kin Invitation Letter</w:t>
      </w:r>
    </w:p>
    <w:p w:rsidR="00595557" w:rsidRPr="00595557" w:rsidRDefault="00595557" w:rsidP="00595557">
      <w:pPr>
        <w:autoSpaceDE w:val="0"/>
        <w:autoSpaceDN w:val="0"/>
        <w:adjustRightInd w:val="0"/>
        <w:ind w:left="1094" w:hanging="547"/>
        <w:rPr>
          <w:sz w:val="22"/>
          <w:szCs w:val="22"/>
        </w:rPr>
      </w:pPr>
      <w:r w:rsidRPr="00595557">
        <w:rPr>
          <w:sz w:val="22"/>
          <w:szCs w:val="22"/>
          <w:highlight w:val="yellow"/>
        </w:rPr>
        <w:t>24.3). AHS Phase IV Health Follow-</w:t>
      </w:r>
      <w:proofErr w:type="spellStart"/>
      <w:r w:rsidRPr="00595557">
        <w:rPr>
          <w:sz w:val="22"/>
          <w:szCs w:val="22"/>
          <w:highlight w:val="yellow"/>
        </w:rPr>
        <w:t>UpWebsite</w:t>
      </w:r>
      <w:proofErr w:type="spellEnd"/>
      <w:r w:rsidRPr="00595557">
        <w:rPr>
          <w:sz w:val="22"/>
          <w:szCs w:val="22"/>
          <w:highlight w:val="yellow"/>
        </w:rPr>
        <w:t xml:space="preserve"> Letter</w:t>
      </w:r>
    </w:p>
    <w:p w:rsidR="00595557" w:rsidRPr="00595557" w:rsidRDefault="007A25F9" w:rsidP="00595557">
      <w:pPr>
        <w:autoSpaceDE w:val="0"/>
        <w:autoSpaceDN w:val="0"/>
        <w:adjustRightInd w:val="0"/>
        <w:ind w:left="547" w:hanging="547"/>
        <w:rPr>
          <w:sz w:val="22"/>
          <w:szCs w:val="22"/>
        </w:rPr>
      </w:pPr>
      <w:r>
        <w:rPr>
          <w:sz w:val="22"/>
          <w:szCs w:val="22"/>
        </w:rPr>
        <w:t>*</w:t>
      </w:r>
      <w:r w:rsidR="00595557" w:rsidRPr="00595557">
        <w:rPr>
          <w:sz w:val="22"/>
          <w:szCs w:val="22"/>
        </w:rPr>
        <w:t>25: Phase IV Health Follow-Up Participant Interview Scripts</w:t>
      </w:r>
    </w:p>
    <w:p w:rsidR="00595557" w:rsidRPr="00595557" w:rsidRDefault="00595557" w:rsidP="00595557">
      <w:pPr>
        <w:autoSpaceDE w:val="0"/>
        <w:autoSpaceDN w:val="0"/>
        <w:adjustRightInd w:val="0"/>
        <w:ind w:left="547"/>
        <w:rPr>
          <w:sz w:val="22"/>
          <w:szCs w:val="22"/>
          <w:highlight w:val="yellow"/>
        </w:rPr>
      </w:pPr>
      <w:r w:rsidRPr="00595557">
        <w:rPr>
          <w:sz w:val="22"/>
          <w:szCs w:val="22"/>
          <w:highlight w:val="yellow"/>
        </w:rPr>
        <w:t>25.1). AHS Phase IV Health Follow-Up CAWI Participant Introductory Interview Script</w:t>
      </w:r>
    </w:p>
    <w:p w:rsidR="00595557" w:rsidRPr="00595557" w:rsidRDefault="00595557" w:rsidP="00595557">
      <w:pPr>
        <w:autoSpaceDE w:val="0"/>
        <w:autoSpaceDN w:val="0"/>
        <w:adjustRightInd w:val="0"/>
        <w:ind w:left="1094" w:hanging="547"/>
        <w:rPr>
          <w:sz w:val="22"/>
          <w:szCs w:val="22"/>
        </w:rPr>
      </w:pPr>
      <w:r w:rsidRPr="00595557">
        <w:rPr>
          <w:sz w:val="22"/>
          <w:szCs w:val="22"/>
          <w:highlight w:val="yellow"/>
        </w:rPr>
        <w:t>25.2). AHS Phase IV Health Follow-Up CATI Participant Introductory Interview Script</w:t>
      </w:r>
    </w:p>
    <w:p w:rsidR="00595557" w:rsidRPr="00595557" w:rsidRDefault="00595557" w:rsidP="00595557">
      <w:pPr>
        <w:autoSpaceDE w:val="0"/>
        <w:autoSpaceDN w:val="0"/>
        <w:adjustRightInd w:val="0"/>
        <w:ind w:left="1094" w:hanging="547"/>
        <w:rPr>
          <w:sz w:val="22"/>
          <w:szCs w:val="22"/>
          <w:highlight w:val="yellow"/>
        </w:rPr>
      </w:pPr>
      <w:r w:rsidRPr="00595557">
        <w:rPr>
          <w:sz w:val="22"/>
          <w:szCs w:val="22"/>
          <w:highlight w:val="yellow"/>
        </w:rPr>
        <w:t>25.3). AHS Phase IV Health Follow-Up CAWI/CATI Participant Survey</w:t>
      </w:r>
    </w:p>
    <w:p w:rsidR="00595557" w:rsidRPr="00595557" w:rsidRDefault="00595557" w:rsidP="00595557">
      <w:pPr>
        <w:autoSpaceDE w:val="0"/>
        <w:autoSpaceDN w:val="0"/>
        <w:adjustRightInd w:val="0"/>
        <w:ind w:left="1094" w:hanging="547"/>
        <w:rPr>
          <w:sz w:val="22"/>
          <w:szCs w:val="22"/>
        </w:rPr>
      </w:pPr>
      <w:r w:rsidRPr="00595557">
        <w:rPr>
          <w:sz w:val="22"/>
          <w:szCs w:val="22"/>
          <w:highlight w:val="yellow"/>
        </w:rPr>
        <w:t>25.4). AHS Phase IV Health Follow-Up Paper &amp; Pen Participant Survey</w:t>
      </w:r>
      <w:r w:rsidRPr="00595557">
        <w:rPr>
          <w:sz w:val="22"/>
          <w:szCs w:val="22"/>
        </w:rPr>
        <w:t xml:space="preserve"> </w:t>
      </w:r>
    </w:p>
    <w:p w:rsidR="00595557" w:rsidRPr="00595557" w:rsidRDefault="007A25F9" w:rsidP="00595557">
      <w:pPr>
        <w:autoSpaceDE w:val="0"/>
        <w:autoSpaceDN w:val="0"/>
        <w:adjustRightInd w:val="0"/>
        <w:ind w:left="547" w:hanging="547"/>
        <w:rPr>
          <w:sz w:val="22"/>
          <w:szCs w:val="22"/>
        </w:rPr>
      </w:pPr>
      <w:r>
        <w:rPr>
          <w:sz w:val="22"/>
          <w:szCs w:val="22"/>
        </w:rPr>
        <w:t>*</w:t>
      </w:r>
      <w:r w:rsidR="00595557" w:rsidRPr="00595557">
        <w:rPr>
          <w:sz w:val="22"/>
          <w:szCs w:val="22"/>
        </w:rPr>
        <w:t>26: Phase IV Health Follow-Up Proxy Interview Scripts</w:t>
      </w:r>
    </w:p>
    <w:p w:rsidR="00595557" w:rsidRPr="00595557" w:rsidRDefault="00595557" w:rsidP="00595557">
      <w:pPr>
        <w:autoSpaceDE w:val="0"/>
        <w:autoSpaceDN w:val="0"/>
        <w:adjustRightInd w:val="0"/>
        <w:ind w:left="547"/>
        <w:rPr>
          <w:sz w:val="22"/>
          <w:szCs w:val="22"/>
          <w:highlight w:val="yellow"/>
        </w:rPr>
      </w:pPr>
      <w:r w:rsidRPr="00595557">
        <w:rPr>
          <w:sz w:val="22"/>
          <w:szCs w:val="22"/>
          <w:highlight w:val="yellow"/>
        </w:rPr>
        <w:t>26.1). AHS Phase IV Health Follow-Up CAWI Proxy Introductory Interview Script</w:t>
      </w:r>
    </w:p>
    <w:p w:rsidR="00595557" w:rsidRPr="00595557" w:rsidRDefault="00595557" w:rsidP="00595557">
      <w:pPr>
        <w:autoSpaceDE w:val="0"/>
        <w:autoSpaceDN w:val="0"/>
        <w:adjustRightInd w:val="0"/>
        <w:ind w:left="1094" w:hanging="547"/>
        <w:rPr>
          <w:sz w:val="22"/>
          <w:szCs w:val="22"/>
        </w:rPr>
      </w:pPr>
      <w:r w:rsidRPr="00595557">
        <w:rPr>
          <w:sz w:val="22"/>
          <w:szCs w:val="22"/>
          <w:highlight w:val="yellow"/>
        </w:rPr>
        <w:t>26.2). AHS Phase IV Health Follow-Up CATI Proxy Introductory Interview Script</w:t>
      </w:r>
    </w:p>
    <w:p w:rsidR="00595557" w:rsidRPr="00595557" w:rsidRDefault="00595557" w:rsidP="00595557">
      <w:pPr>
        <w:autoSpaceDE w:val="0"/>
        <w:autoSpaceDN w:val="0"/>
        <w:adjustRightInd w:val="0"/>
        <w:ind w:left="1094" w:hanging="547"/>
        <w:rPr>
          <w:sz w:val="22"/>
          <w:szCs w:val="22"/>
          <w:highlight w:val="yellow"/>
        </w:rPr>
      </w:pPr>
      <w:r w:rsidRPr="00595557">
        <w:rPr>
          <w:sz w:val="22"/>
          <w:szCs w:val="22"/>
          <w:highlight w:val="yellow"/>
        </w:rPr>
        <w:t>26.3). AHS Phase IV Health Follow-Up CAWI/CATI Proxy Survey</w:t>
      </w:r>
    </w:p>
    <w:p w:rsidR="00595557" w:rsidRPr="00595557" w:rsidRDefault="00595557" w:rsidP="00595557">
      <w:pPr>
        <w:autoSpaceDE w:val="0"/>
        <w:autoSpaceDN w:val="0"/>
        <w:adjustRightInd w:val="0"/>
        <w:ind w:left="1094" w:hanging="547"/>
        <w:rPr>
          <w:sz w:val="22"/>
          <w:szCs w:val="22"/>
        </w:rPr>
      </w:pPr>
      <w:r w:rsidRPr="00595557">
        <w:rPr>
          <w:sz w:val="22"/>
          <w:szCs w:val="22"/>
          <w:highlight w:val="yellow"/>
        </w:rPr>
        <w:t>26.4). AHS Phase IV Health Follow-Up Paper &amp; Pen Proxy Survey</w:t>
      </w:r>
      <w:r w:rsidRPr="00595557">
        <w:rPr>
          <w:sz w:val="22"/>
          <w:szCs w:val="22"/>
        </w:rPr>
        <w:t xml:space="preserve"> </w:t>
      </w:r>
    </w:p>
    <w:p w:rsidR="00595557" w:rsidRPr="00595557" w:rsidRDefault="00595557" w:rsidP="00595557">
      <w:pPr>
        <w:autoSpaceDE w:val="0"/>
        <w:autoSpaceDN w:val="0"/>
        <w:adjustRightInd w:val="0"/>
        <w:ind w:left="547" w:hanging="547"/>
        <w:rPr>
          <w:sz w:val="22"/>
          <w:szCs w:val="22"/>
        </w:rPr>
      </w:pPr>
      <w:r w:rsidRPr="00595557">
        <w:rPr>
          <w:sz w:val="22"/>
          <w:szCs w:val="22"/>
          <w:highlight w:val="yellow"/>
        </w:rPr>
        <w:t>27: Phase IV Health Follow-Up FAQs for CAWI/CATI</w:t>
      </w:r>
    </w:p>
    <w:p w:rsidR="00595557" w:rsidRDefault="00595557" w:rsidP="00595557">
      <w:pPr>
        <w:autoSpaceDE w:val="0"/>
        <w:autoSpaceDN w:val="0"/>
        <w:adjustRightInd w:val="0"/>
        <w:ind w:left="547" w:hanging="547"/>
        <w:rPr>
          <w:sz w:val="22"/>
          <w:szCs w:val="22"/>
          <w:highlight w:val="yellow"/>
        </w:rPr>
        <w:sectPr w:rsidR="00595557" w:rsidSect="00595557">
          <w:footerReference w:type="even" r:id="rId9"/>
          <w:footerReference w:type="default" r:id="rId10"/>
          <w:pgSz w:w="12240" w:h="15840"/>
          <w:pgMar w:top="1440" w:right="1440" w:bottom="1440" w:left="1440" w:header="720" w:footer="720" w:gutter="0"/>
          <w:pgNumType w:start="0"/>
          <w:cols w:space="720"/>
          <w:docGrid w:linePitch="360"/>
        </w:sectPr>
      </w:pPr>
      <w:r w:rsidRPr="00595557">
        <w:rPr>
          <w:sz w:val="22"/>
          <w:szCs w:val="22"/>
          <w:highlight w:val="yellow"/>
        </w:rPr>
        <w:t>28: Agricultural Health Study Privacy Impact Assessments Summary and Approvals</w:t>
      </w:r>
    </w:p>
    <w:p w:rsidR="00DC06A2" w:rsidRPr="00DC06A2" w:rsidRDefault="006C4753" w:rsidP="006C4753">
      <w:pPr>
        <w:rPr>
          <w:sz w:val="24"/>
          <w:szCs w:val="24"/>
          <w:highlight w:val="yellow"/>
        </w:rPr>
      </w:pPr>
      <w:r w:rsidRPr="00DC06A2">
        <w:rPr>
          <w:sz w:val="24"/>
          <w:szCs w:val="24"/>
          <w:highlight w:val="yellow"/>
        </w:rPr>
        <w:lastRenderedPageBreak/>
        <w:t xml:space="preserve">The Agricultural Health Study (AHS) </w:t>
      </w:r>
      <w:r w:rsidR="001C0954" w:rsidRPr="00DC06A2">
        <w:rPr>
          <w:sz w:val="24"/>
          <w:szCs w:val="24"/>
          <w:highlight w:val="yellow"/>
        </w:rPr>
        <w:t xml:space="preserve">program </w:t>
      </w:r>
      <w:r w:rsidR="00245AD4" w:rsidRPr="00DC06A2">
        <w:rPr>
          <w:sz w:val="24"/>
          <w:szCs w:val="24"/>
          <w:highlight w:val="yellow"/>
        </w:rPr>
        <w:t>staff is</w:t>
      </w:r>
      <w:r w:rsidR="001C0954" w:rsidRPr="00DC06A2">
        <w:rPr>
          <w:sz w:val="24"/>
          <w:szCs w:val="24"/>
          <w:highlight w:val="yellow"/>
        </w:rPr>
        <w:t xml:space="preserve"> requesting approval of this revision to begin information collection in February, 2013.  AHS </w:t>
      </w:r>
      <w:r w:rsidRPr="00DC06A2">
        <w:rPr>
          <w:sz w:val="24"/>
          <w:szCs w:val="24"/>
          <w:highlight w:val="yellow"/>
        </w:rPr>
        <w:t xml:space="preserve">is a cohort study of 89,568 licensed pesticide applicators (both private and commercial applicators) and the spouses of the private applicators in Iowa and North Carolina that is to be followed for 20 years or more.  The stimulus for this prospective investigation comes from the growing evidence that, despite a low mortality overall, farmers experience an excess of several cancers, including lymphatic and hematopoietic system, connective tissue, skin, brain, prostate, stomach and lips.  This suggests a common set of exposures which may explain the high rates in farmers and rising rates in the general population. </w:t>
      </w:r>
      <w:r w:rsidR="001C0954" w:rsidRPr="00DC06A2">
        <w:rPr>
          <w:sz w:val="24"/>
          <w:szCs w:val="24"/>
          <w:highlight w:val="yellow"/>
        </w:rPr>
        <w:t xml:space="preserve"> </w:t>
      </w:r>
      <w:r w:rsidRPr="00DC06A2">
        <w:rPr>
          <w:sz w:val="24"/>
          <w:szCs w:val="24"/>
          <w:highlight w:val="yellow"/>
        </w:rPr>
        <w:t xml:space="preserve">NCI is primarily interested in cancer outcomes and NIEHS is interested in other disease outcomes.  </w:t>
      </w:r>
      <w:r w:rsidR="00633ECF" w:rsidRPr="00DC06A2">
        <w:rPr>
          <w:sz w:val="24"/>
          <w:szCs w:val="24"/>
          <w:highlight w:val="yellow"/>
        </w:rPr>
        <w:t>For this phase of the data collection</w:t>
      </w:r>
      <w:r w:rsidRPr="00DC06A2">
        <w:rPr>
          <w:sz w:val="24"/>
          <w:szCs w:val="24"/>
          <w:highlight w:val="yellow"/>
        </w:rPr>
        <w:t>, NIEHS will be taking the lead role in collecting information for this phase of the study.</w:t>
      </w:r>
    </w:p>
    <w:p w:rsidR="002F37B3" w:rsidRPr="00DC06A2" w:rsidRDefault="006C4753" w:rsidP="006C4753">
      <w:pPr>
        <w:rPr>
          <w:sz w:val="24"/>
          <w:szCs w:val="24"/>
          <w:highlight w:val="yellow"/>
        </w:rPr>
      </w:pPr>
      <w:r w:rsidRPr="00DC06A2">
        <w:rPr>
          <w:sz w:val="24"/>
          <w:szCs w:val="24"/>
          <w:highlight w:val="yellow"/>
        </w:rPr>
        <w:t xml:space="preserve">  </w:t>
      </w:r>
    </w:p>
    <w:p w:rsidR="00DC06A2" w:rsidRPr="00DC06A2" w:rsidRDefault="00DC06A2" w:rsidP="00DC06A2">
      <w:pPr>
        <w:rPr>
          <w:sz w:val="24"/>
          <w:szCs w:val="24"/>
        </w:rPr>
      </w:pPr>
      <w:r w:rsidRPr="00DC06A2">
        <w:rPr>
          <w:sz w:val="24"/>
          <w:szCs w:val="24"/>
          <w:highlight w:val="yellow"/>
        </w:rPr>
        <w:t xml:space="preserve">This revision is to initiate and complete the phase IV follow-up interview (2013-2015) as well as to continue and complete the ongoing Study of Biomarkers of Exposures Effects in Agriculture (BEEA) and </w:t>
      </w:r>
      <w:proofErr w:type="spellStart"/>
      <w:r w:rsidRPr="00DC06A2">
        <w:rPr>
          <w:sz w:val="24"/>
          <w:szCs w:val="24"/>
          <w:highlight w:val="yellow"/>
        </w:rPr>
        <w:t>buccal</w:t>
      </w:r>
      <w:proofErr w:type="spellEnd"/>
      <w:r w:rsidRPr="00DC06A2">
        <w:rPr>
          <w:sz w:val="24"/>
          <w:szCs w:val="24"/>
          <w:highlight w:val="yellow"/>
        </w:rPr>
        <w:t xml:space="preserve"> cell collections.  The primary objective of the AHS study remains to be determination of the health effects resulting from occupational and environmental exposures in agriculture.  We are using a similar questionnaire to ones that have been employed in previous AHS interviews to obtain information on non-cancer outcomes.  New for phase IV, questionnaire data will be collected by using one of three methods of the cohort member’s choosing:  self-administered computer assisted web survey; self-administered paper-and-pen; or an interviewer administered computer assisted telephone interview.  Additionally, because loss to follow up of diseased individuals is a critical issue, we have added proxy interviews for those deceased or too ill to complete themselves will be completed by using one of the three methods.</w:t>
      </w:r>
    </w:p>
    <w:p w:rsidR="00AB71FC" w:rsidRDefault="00AB71FC" w:rsidP="00B0545A"/>
    <w:p w:rsidR="00570A6B" w:rsidRPr="0098479D" w:rsidRDefault="00570A6B" w:rsidP="00B0545A">
      <w:pPr>
        <w:rPr>
          <w:b/>
          <w:sz w:val="24"/>
          <w:szCs w:val="24"/>
        </w:rPr>
      </w:pPr>
      <w:r w:rsidRPr="0098479D">
        <w:rPr>
          <w:b/>
          <w:sz w:val="24"/>
          <w:szCs w:val="24"/>
        </w:rPr>
        <w:t>A.</w:t>
      </w:r>
      <w:r w:rsidRPr="0098479D">
        <w:rPr>
          <w:b/>
          <w:sz w:val="24"/>
          <w:szCs w:val="24"/>
        </w:rPr>
        <w:tab/>
        <w:t>JUSTIFICATION</w:t>
      </w:r>
    </w:p>
    <w:p w:rsidR="00C76455" w:rsidRPr="0098479D" w:rsidRDefault="00C76455" w:rsidP="00B0545A">
      <w:pPr>
        <w:rPr>
          <w:b/>
          <w:sz w:val="24"/>
          <w:szCs w:val="24"/>
        </w:rPr>
      </w:pPr>
    </w:p>
    <w:p w:rsidR="00325CCF" w:rsidRPr="0098479D" w:rsidRDefault="003F0F43" w:rsidP="00B0545A">
      <w:pPr>
        <w:pStyle w:val="Heading2"/>
        <w:tabs>
          <w:tab w:val="left" w:pos="720"/>
        </w:tabs>
        <w:spacing w:line="480" w:lineRule="auto"/>
        <w:ind w:left="0" w:firstLine="0"/>
        <w:rPr>
          <w:sz w:val="24"/>
          <w:szCs w:val="24"/>
        </w:rPr>
      </w:pPr>
      <w:r w:rsidRPr="0098479D">
        <w:rPr>
          <w:sz w:val="24"/>
          <w:szCs w:val="24"/>
        </w:rPr>
        <w:t>A.</w:t>
      </w:r>
      <w:r w:rsidR="00325CCF" w:rsidRPr="0098479D">
        <w:rPr>
          <w:sz w:val="24"/>
          <w:szCs w:val="24"/>
        </w:rPr>
        <w:t xml:space="preserve">1  </w:t>
      </w:r>
      <w:r w:rsidR="000B1AA5" w:rsidRPr="0098479D">
        <w:rPr>
          <w:sz w:val="24"/>
          <w:szCs w:val="24"/>
        </w:rPr>
        <w:t xml:space="preserve"> </w:t>
      </w:r>
      <w:r w:rsidR="00A8483A">
        <w:rPr>
          <w:sz w:val="24"/>
          <w:szCs w:val="24"/>
        </w:rPr>
        <w:tab/>
      </w:r>
      <w:r w:rsidR="00325CCF" w:rsidRPr="0098479D">
        <w:rPr>
          <w:sz w:val="24"/>
          <w:szCs w:val="24"/>
          <w:u w:val="single"/>
        </w:rPr>
        <w:t>Circumstances Making the Collection of Information Necessary</w:t>
      </w:r>
    </w:p>
    <w:p w:rsidR="00FE6AF6" w:rsidRPr="009970A0" w:rsidRDefault="00FE6AF6" w:rsidP="00FE6AF6">
      <w:pPr>
        <w:spacing w:line="480" w:lineRule="auto"/>
        <w:ind w:firstLine="720"/>
        <w:jc w:val="both"/>
        <w:rPr>
          <w:sz w:val="24"/>
          <w:szCs w:val="24"/>
        </w:rPr>
      </w:pPr>
      <w:r w:rsidRPr="00E01CC6">
        <w:rPr>
          <w:sz w:val="24"/>
          <w:szCs w:val="24"/>
          <w:highlight w:val="yellow"/>
        </w:rPr>
        <w:t xml:space="preserve">Under </w:t>
      </w:r>
      <w:r w:rsidR="00E01CC6" w:rsidRPr="00E01CC6">
        <w:rPr>
          <w:sz w:val="24"/>
          <w:szCs w:val="24"/>
          <w:highlight w:val="yellow"/>
        </w:rPr>
        <w:t>t</w:t>
      </w:r>
      <w:r w:rsidRPr="00E01CC6">
        <w:rPr>
          <w:sz w:val="24"/>
          <w:szCs w:val="24"/>
          <w:highlight w:val="yellow"/>
        </w:rPr>
        <w:t>he Public Health Service Act</w:t>
      </w:r>
      <w:r w:rsidRPr="00E01CC6">
        <w:rPr>
          <w:b/>
          <w:color w:val="FF0000"/>
          <w:sz w:val="24"/>
          <w:szCs w:val="24"/>
          <w:highlight w:val="yellow"/>
        </w:rPr>
        <w:t xml:space="preserve"> </w:t>
      </w:r>
      <w:r w:rsidRPr="00E01CC6">
        <w:rPr>
          <w:color w:val="000000"/>
          <w:sz w:val="24"/>
          <w:szCs w:val="24"/>
          <w:highlight w:val="yellow"/>
        </w:rPr>
        <w:t xml:space="preserve">(42 USC </w:t>
      </w:r>
      <w:r w:rsidRPr="00E01CC6">
        <w:rPr>
          <w:i/>
          <w:iCs/>
          <w:color w:val="000000"/>
          <w:sz w:val="24"/>
          <w:szCs w:val="24"/>
          <w:highlight w:val="yellow"/>
        </w:rPr>
        <w:t>§</w:t>
      </w:r>
      <w:r w:rsidRPr="00E01CC6">
        <w:rPr>
          <w:color w:val="000000"/>
          <w:sz w:val="24"/>
          <w:szCs w:val="24"/>
          <w:highlight w:val="yellow"/>
        </w:rPr>
        <w:t xml:space="preserve"> 285</w:t>
      </w:r>
      <w:r w:rsidR="00E01CC6" w:rsidRPr="00E01CC6">
        <w:rPr>
          <w:color w:val="000000"/>
          <w:sz w:val="24"/>
          <w:szCs w:val="24"/>
          <w:highlight w:val="yellow"/>
        </w:rPr>
        <w:t>l</w:t>
      </w:r>
      <w:r w:rsidRPr="00E01CC6">
        <w:rPr>
          <w:color w:val="000000"/>
          <w:sz w:val="24"/>
          <w:szCs w:val="24"/>
          <w:highlight w:val="yellow"/>
        </w:rPr>
        <w:t>),</w:t>
      </w:r>
      <w:r w:rsidRPr="00E01CC6">
        <w:rPr>
          <w:b/>
          <w:color w:val="FF0000"/>
          <w:sz w:val="24"/>
          <w:szCs w:val="24"/>
          <w:highlight w:val="yellow"/>
        </w:rPr>
        <w:t xml:space="preserve"> </w:t>
      </w:r>
      <w:r w:rsidRPr="00E01CC6">
        <w:rPr>
          <w:sz w:val="24"/>
          <w:szCs w:val="24"/>
          <w:highlight w:val="yellow"/>
        </w:rPr>
        <w:t xml:space="preserve">the Epidemiology Branch of the NIEHS are authorized to collect information to generate and test hypotheses concerning environmental and host determinants of cancer and other chronic disease </w:t>
      </w:r>
      <w:r w:rsidRPr="009A5703">
        <w:rPr>
          <w:sz w:val="24"/>
          <w:szCs w:val="24"/>
          <w:highlight w:val="yellow"/>
        </w:rPr>
        <w:t xml:space="preserve">outcomes.  The </w:t>
      </w:r>
      <w:r w:rsidRPr="007B5DF9">
        <w:rPr>
          <w:sz w:val="24"/>
          <w:szCs w:val="24"/>
          <w:highlight w:val="yellow"/>
        </w:rPr>
        <w:t>A</w:t>
      </w:r>
      <w:r w:rsidR="00843174">
        <w:rPr>
          <w:sz w:val="24"/>
          <w:szCs w:val="24"/>
          <w:highlight w:val="yellow"/>
        </w:rPr>
        <w:t xml:space="preserve">gricultural </w:t>
      </w:r>
      <w:r w:rsidRPr="007B5DF9">
        <w:rPr>
          <w:sz w:val="24"/>
          <w:szCs w:val="24"/>
          <w:highlight w:val="yellow"/>
        </w:rPr>
        <w:t>H</w:t>
      </w:r>
      <w:r w:rsidR="00843174">
        <w:rPr>
          <w:sz w:val="24"/>
          <w:szCs w:val="24"/>
          <w:highlight w:val="yellow"/>
        </w:rPr>
        <w:t xml:space="preserve">ealth </w:t>
      </w:r>
      <w:r w:rsidRPr="007B5DF9">
        <w:rPr>
          <w:sz w:val="24"/>
          <w:szCs w:val="24"/>
          <w:highlight w:val="yellow"/>
        </w:rPr>
        <w:t>S</w:t>
      </w:r>
      <w:r w:rsidR="00843174">
        <w:rPr>
          <w:sz w:val="24"/>
          <w:szCs w:val="24"/>
          <w:highlight w:val="yellow"/>
        </w:rPr>
        <w:t>tudy (AHS)</w:t>
      </w:r>
      <w:r w:rsidRPr="007B5DF9">
        <w:rPr>
          <w:sz w:val="24"/>
          <w:szCs w:val="24"/>
          <w:highlight w:val="yellow"/>
        </w:rPr>
        <w:t xml:space="preserve"> continues to generate and test hypotheses regarding the association of specific agricultural, occupational, dietary, and other exposures and specific cancers and other chronic disease outcomes</w:t>
      </w:r>
      <w:r w:rsidRPr="009A5703">
        <w:rPr>
          <w:sz w:val="24"/>
          <w:szCs w:val="24"/>
          <w:highlight w:val="yellow"/>
        </w:rPr>
        <w:t xml:space="preserve">.  This </w:t>
      </w:r>
      <w:r w:rsidRPr="007B5DF9">
        <w:rPr>
          <w:sz w:val="24"/>
          <w:szCs w:val="24"/>
          <w:highlight w:val="yellow"/>
        </w:rPr>
        <w:t xml:space="preserve">is a request for revision so that the follow-up activities for phase </w:t>
      </w:r>
      <w:r w:rsidRPr="00E01CC6">
        <w:rPr>
          <w:sz w:val="24"/>
          <w:szCs w:val="24"/>
          <w:highlight w:val="yellow"/>
        </w:rPr>
        <w:t>IV</w:t>
      </w:r>
      <w:r w:rsidRPr="007B5DF9">
        <w:rPr>
          <w:sz w:val="24"/>
          <w:szCs w:val="24"/>
          <w:highlight w:val="yellow"/>
        </w:rPr>
        <w:t xml:space="preserve"> </w:t>
      </w:r>
      <w:r w:rsidRPr="00E01CC6">
        <w:rPr>
          <w:sz w:val="24"/>
          <w:szCs w:val="24"/>
          <w:highlight w:val="yellow"/>
        </w:rPr>
        <w:t>(2013-2015)</w:t>
      </w:r>
      <w:r w:rsidRPr="007B5DF9">
        <w:rPr>
          <w:sz w:val="24"/>
          <w:szCs w:val="24"/>
          <w:highlight w:val="yellow"/>
        </w:rPr>
        <w:t xml:space="preserve"> can be </w:t>
      </w:r>
      <w:r w:rsidRPr="00E01CC6">
        <w:rPr>
          <w:sz w:val="24"/>
          <w:szCs w:val="24"/>
          <w:highlight w:val="yellow"/>
        </w:rPr>
        <w:t>initiated</w:t>
      </w:r>
      <w:r w:rsidRPr="007B5DF9">
        <w:rPr>
          <w:sz w:val="24"/>
          <w:szCs w:val="24"/>
          <w:highlight w:val="yellow"/>
        </w:rPr>
        <w:t xml:space="preserve"> and concluded.  </w:t>
      </w:r>
      <w:r w:rsidRPr="00E01CC6">
        <w:rPr>
          <w:sz w:val="24"/>
          <w:szCs w:val="24"/>
          <w:highlight w:val="yellow"/>
        </w:rPr>
        <w:t xml:space="preserve">The </w:t>
      </w:r>
      <w:r w:rsidRPr="00533AD5">
        <w:rPr>
          <w:sz w:val="24"/>
          <w:szCs w:val="24"/>
          <w:highlight w:val="yellow"/>
        </w:rPr>
        <w:t xml:space="preserve">data will be collected by using one of three methods of the cohort member’s choosing:  self-administered computer assisted web survey (CAWI); self-administered paper-and-pen (Paper/pen); or an interviewer administered computer assisted telephone interview (CATI).  Proxy interviews for those cohort </w:t>
      </w:r>
      <w:r w:rsidRPr="00533AD5">
        <w:rPr>
          <w:sz w:val="24"/>
          <w:szCs w:val="24"/>
          <w:highlight w:val="yellow"/>
        </w:rPr>
        <w:lastRenderedPageBreak/>
        <w:t>members unable to complete the follow up will be completed by using one of the three methods as well.</w:t>
      </w:r>
      <w:r>
        <w:rPr>
          <w:sz w:val="24"/>
          <w:szCs w:val="24"/>
        </w:rPr>
        <w:t xml:space="preserve">  </w:t>
      </w:r>
      <w:r w:rsidRPr="009970A0">
        <w:rPr>
          <w:sz w:val="24"/>
          <w:szCs w:val="24"/>
        </w:rPr>
        <w:t>In addition, the evaluation of biological markers that</w:t>
      </w:r>
      <w:r w:rsidR="00E01CC6" w:rsidRPr="009970A0">
        <w:rPr>
          <w:sz w:val="24"/>
          <w:szCs w:val="24"/>
        </w:rPr>
        <w:t xml:space="preserve"> </w:t>
      </w:r>
      <w:r w:rsidRPr="009970A0">
        <w:rPr>
          <w:sz w:val="24"/>
          <w:szCs w:val="24"/>
        </w:rPr>
        <w:t>may be associated with agricultural exposures and risk of certain types of cancer will continue</w:t>
      </w:r>
      <w:r w:rsidR="00E01CC6" w:rsidRPr="009970A0">
        <w:rPr>
          <w:sz w:val="24"/>
          <w:szCs w:val="24"/>
        </w:rPr>
        <w:t xml:space="preserve"> </w:t>
      </w:r>
      <w:r w:rsidRPr="009970A0">
        <w:rPr>
          <w:sz w:val="24"/>
          <w:szCs w:val="24"/>
        </w:rPr>
        <w:t>and some respondents will also be asked to participate in the collection of computer-assisted</w:t>
      </w:r>
      <w:r w:rsidR="00E01CC6" w:rsidRPr="009970A0">
        <w:rPr>
          <w:sz w:val="24"/>
          <w:szCs w:val="24"/>
        </w:rPr>
        <w:t xml:space="preserve"> </w:t>
      </w:r>
      <w:r w:rsidRPr="009970A0">
        <w:rPr>
          <w:sz w:val="24"/>
          <w:szCs w:val="24"/>
        </w:rPr>
        <w:t>telephone (CATI) and in-person (CAPI) interviews, and biospecimens</w:t>
      </w:r>
      <w:r w:rsidR="00066D39" w:rsidRPr="009970A0">
        <w:rPr>
          <w:sz w:val="24"/>
          <w:szCs w:val="24"/>
        </w:rPr>
        <w:t xml:space="preserve"> (</w:t>
      </w:r>
      <w:r w:rsidRPr="009970A0">
        <w:rPr>
          <w:sz w:val="24"/>
          <w:szCs w:val="24"/>
        </w:rPr>
        <w:t xml:space="preserve">including blood, urine, and </w:t>
      </w:r>
      <w:proofErr w:type="spellStart"/>
      <w:r w:rsidRPr="009970A0">
        <w:rPr>
          <w:sz w:val="24"/>
          <w:szCs w:val="24"/>
        </w:rPr>
        <w:t>buccal</w:t>
      </w:r>
      <w:proofErr w:type="spellEnd"/>
      <w:r w:rsidRPr="009970A0">
        <w:rPr>
          <w:sz w:val="24"/>
          <w:szCs w:val="24"/>
        </w:rPr>
        <w:t xml:space="preserve"> cells</w:t>
      </w:r>
      <w:r w:rsidR="00066D39" w:rsidRPr="009970A0">
        <w:rPr>
          <w:sz w:val="24"/>
          <w:szCs w:val="24"/>
        </w:rPr>
        <w:t>)</w:t>
      </w:r>
      <w:r w:rsidRPr="009970A0">
        <w:rPr>
          <w:sz w:val="24"/>
          <w:szCs w:val="24"/>
        </w:rPr>
        <w:t xml:space="preserve">. </w:t>
      </w:r>
      <w:r w:rsidR="009970A0" w:rsidRPr="009970A0">
        <w:rPr>
          <w:sz w:val="24"/>
          <w:szCs w:val="24"/>
        </w:rPr>
        <w:t xml:space="preserve">All </w:t>
      </w:r>
      <w:r w:rsidR="009970A0">
        <w:rPr>
          <w:sz w:val="24"/>
          <w:szCs w:val="24"/>
        </w:rPr>
        <w:t xml:space="preserve">additional documentation, in the form of </w:t>
      </w:r>
      <w:r w:rsidR="009970A0" w:rsidRPr="009970A0">
        <w:rPr>
          <w:sz w:val="24"/>
          <w:szCs w:val="24"/>
        </w:rPr>
        <w:t>attachments</w:t>
      </w:r>
      <w:r w:rsidR="009970A0">
        <w:rPr>
          <w:sz w:val="24"/>
          <w:szCs w:val="24"/>
        </w:rPr>
        <w:t xml:space="preserve">, </w:t>
      </w:r>
      <w:r w:rsidR="009970A0" w:rsidRPr="009970A0">
        <w:rPr>
          <w:sz w:val="24"/>
          <w:szCs w:val="24"/>
        </w:rPr>
        <w:t xml:space="preserve">that support this </w:t>
      </w:r>
      <w:r w:rsidR="009970A0">
        <w:rPr>
          <w:sz w:val="24"/>
          <w:szCs w:val="24"/>
        </w:rPr>
        <w:t>submission</w:t>
      </w:r>
      <w:r w:rsidR="009970A0" w:rsidRPr="009970A0">
        <w:rPr>
          <w:sz w:val="24"/>
          <w:szCs w:val="24"/>
        </w:rPr>
        <w:t xml:space="preserve"> are listed in </w:t>
      </w:r>
      <w:r w:rsidR="009970A0" w:rsidRPr="009970A0">
        <w:rPr>
          <w:b/>
          <w:sz w:val="24"/>
          <w:szCs w:val="24"/>
        </w:rPr>
        <w:t>Attachment 1</w:t>
      </w:r>
      <w:r w:rsidR="009970A0" w:rsidRPr="009970A0">
        <w:rPr>
          <w:sz w:val="24"/>
          <w:szCs w:val="24"/>
        </w:rPr>
        <w:t>.</w:t>
      </w:r>
    </w:p>
    <w:p w:rsidR="00CE23AA" w:rsidRDefault="00325CCF" w:rsidP="00F41D3C">
      <w:pPr>
        <w:spacing w:line="480" w:lineRule="auto"/>
        <w:ind w:firstLine="720"/>
        <w:rPr>
          <w:sz w:val="24"/>
          <w:szCs w:val="24"/>
        </w:rPr>
      </w:pPr>
      <w:r w:rsidRPr="009970A0">
        <w:rPr>
          <w:sz w:val="24"/>
          <w:szCs w:val="24"/>
        </w:rPr>
        <w:t>Since the late 19</w:t>
      </w:r>
      <w:r w:rsidRPr="009970A0">
        <w:rPr>
          <w:sz w:val="24"/>
          <w:szCs w:val="24"/>
          <w:vertAlign w:val="superscript"/>
        </w:rPr>
        <w:t>th</w:t>
      </w:r>
      <w:r w:rsidRPr="009970A0">
        <w:rPr>
          <w:sz w:val="24"/>
          <w:szCs w:val="24"/>
        </w:rPr>
        <w:t xml:space="preserve"> century when the use of pesticides in the agricultural community was widely introduced, there has been a growing concern about the relationship between pesticide use and specific health outcomes</w:t>
      </w:r>
      <w:r w:rsidR="00A56557" w:rsidRPr="009970A0">
        <w:rPr>
          <w:sz w:val="24"/>
          <w:szCs w:val="24"/>
        </w:rPr>
        <w:t xml:space="preserve"> among agricultural health workers</w:t>
      </w:r>
      <w:r w:rsidRPr="009970A0">
        <w:rPr>
          <w:sz w:val="24"/>
          <w:szCs w:val="24"/>
        </w:rPr>
        <w:t>.  A number of studies</w:t>
      </w:r>
      <w:r w:rsidRPr="0098479D">
        <w:rPr>
          <w:sz w:val="24"/>
          <w:szCs w:val="24"/>
        </w:rPr>
        <w:t xml:space="preserve"> have been conducted in the past with </w:t>
      </w:r>
      <w:r w:rsidR="00A56557" w:rsidRPr="0098479D">
        <w:rPr>
          <w:sz w:val="24"/>
          <w:szCs w:val="24"/>
        </w:rPr>
        <w:t>inconsistent results and d</w:t>
      </w:r>
      <w:r w:rsidRPr="0098479D">
        <w:rPr>
          <w:sz w:val="24"/>
          <w:szCs w:val="24"/>
        </w:rPr>
        <w:t>ifferences in risk estimates due in part to differences in study design, population heterogeneity, problems with exposure assessment methods, and other limitations</w:t>
      </w:r>
      <w:r w:rsidR="00A56557" w:rsidRPr="0098479D">
        <w:rPr>
          <w:sz w:val="24"/>
          <w:szCs w:val="24"/>
        </w:rPr>
        <w:t xml:space="preserve"> (</w:t>
      </w:r>
      <w:r w:rsidR="00A56557" w:rsidRPr="00220879">
        <w:rPr>
          <w:b/>
          <w:sz w:val="24"/>
          <w:szCs w:val="24"/>
        </w:rPr>
        <w:t>Attachment</w:t>
      </w:r>
      <w:r w:rsidR="00AE2241" w:rsidRPr="00220879">
        <w:rPr>
          <w:b/>
          <w:sz w:val="24"/>
          <w:szCs w:val="24"/>
        </w:rPr>
        <w:t xml:space="preserve"> </w:t>
      </w:r>
      <w:r w:rsidR="007B5DF9">
        <w:rPr>
          <w:b/>
          <w:sz w:val="24"/>
          <w:szCs w:val="24"/>
        </w:rPr>
        <w:t>2</w:t>
      </w:r>
      <w:r w:rsidR="00A56557" w:rsidRPr="0098479D">
        <w:rPr>
          <w:sz w:val="24"/>
          <w:szCs w:val="24"/>
        </w:rPr>
        <w:t>)</w:t>
      </w:r>
      <w:r w:rsidRPr="0098479D">
        <w:rPr>
          <w:sz w:val="24"/>
          <w:szCs w:val="24"/>
        </w:rPr>
        <w:t>.</w:t>
      </w:r>
      <w:r w:rsidR="00A56557" w:rsidRPr="0098479D">
        <w:rPr>
          <w:sz w:val="24"/>
          <w:szCs w:val="24"/>
        </w:rPr>
        <w:t xml:space="preserve">  </w:t>
      </w:r>
      <w:r w:rsidRPr="0098479D">
        <w:rPr>
          <w:sz w:val="24"/>
          <w:szCs w:val="24"/>
        </w:rPr>
        <w:t xml:space="preserve">To address some of these limitations, in 1992 the </w:t>
      </w:r>
      <w:r w:rsidR="0075526D" w:rsidRPr="0098479D">
        <w:rPr>
          <w:sz w:val="24"/>
          <w:szCs w:val="24"/>
        </w:rPr>
        <w:t>National Cancer Institute (</w:t>
      </w:r>
      <w:r w:rsidRPr="0098479D">
        <w:rPr>
          <w:sz w:val="24"/>
          <w:szCs w:val="24"/>
        </w:rPr>
        <w:t>NCI</w:t>
      </w:r>
      <w:r w:rsidR="0075526D" w:rsidRPr="0098479D">
        <w:rPr>
          <w:sz w:val="24"/>
          <w:szCs w:val="24"/>
        </w:rPr>
        <w:t>)</w:t>
      </w:r>
      <w:r w:rsidRPr="0098479D">
        <w:rPr>
          <w:sz w:val="24"/>
          <w:szCs w:val="24"/>
        </w:rPr>
        <w:t xml:space="preserve"> initiated a prospective cohort study of approximately 90,000 registered pesticide applicators and their families in North Carolina and Iowa</w:t>
      </w:r>
      <w:r w:rsidR="009F0820" w:rsidRPr="0098479D">
        <w:rPr>
          <w:sz w:val="24"/>
          <w:szCs w:val="24"/>
        </w:rPr>
        <w:t xml:space="preserve"> </w:t>
      </w:r>
      <w:r w:rsidR="000F06FE" w:rsidRPr="0098479D">
        <w:rPr>
          <w:sz w:val="24"/>
          <w:szCs w:val="24"/>
        </w:rPr>
        <w:t>titled “The Agricultural Health Study (AHS)”</w:t>
      </w:r>
      <w:r w:rsidRPr="0098479D">
        <w:rPr>
          <w:sz w:val="24"/>
          <w:szCs w:val="24"/>
        </w:rPr>
        <w:t xml:space="preserve">.  </w:t>
      </w:r>
    </w:p>
    <w:p w:rsidR="00CE23AA" w:rsidRPr="007B5DF9" w:rsidRDefault="00CE23AA" w:rsidP="00CE23AA">
      <w:pPr>
        <w:spacing w:line="480" w:lineRule="auto"/>
        <w:ind w:firstLine="720"/>
        <w:rPr>
          <w:sz w:val="24"/>
          <w:szCs w:val="24"/>
          <w:highlight w:val="yellow"/>
        </w:rPr>
      </w:pPr>
      <w:r w:rsidRPr="007B5DF9">
        <w:rPr>
          <w:sz w:val="24"/>
          <w:szCs w:val="24"/>
          <w:highlight w:val="yellow"/>
        </w:rPr>
        <w:t xml:space="preserve">Cohort enrollment began in the two selected study sites, Iowa and North Carolina, in December 1993 and January 1994 respectively.  Under the protocol of the first five years, the AHS was presented to applicators as they obtained or renewed their pesticide application licenses.  The enrollment form gathered information on demographic characteristics, pesticide use, general health and health risk factors, and overall farming characteristics.  The applicator was then given additional questionnaires (an applicator questionnaire, a spouse questionnaire, and a female/family health questionnaire) to be completed by the applicator and spouse at home.  </w:t>
      </w:r>
      <w:r w:rsidRPr="007B5DF9">
        <w:rPr>
          <w:sz w:val="24"/>
          <w:szCs w:val="24"/>
          <w:highlight w:val="yellow"/>
        </w:rPr>
        <w:lastRenderedPageBreak/>
        <w:t>These questionnaires focused on additional details on pesticide use, other agriculture exposures, work practices that modify exposure, as well as on other activities that may affect either exposure or disease risks (e.g., diet, exercise, alcohol consumption, medical conditions, family history of cancer, other occupations and smoking history). During the first five years 89,658 (1993-1998) respondents or approximately 80% of the target population were enrolled into the study; this includes private applicators, spouses of private applicators, and commercial applicators.  This enrollment percentage is among the highest for prospective cohort studies conducted to date in the United States (</w:t>
      </w:r>
      <w:r w:rsidRPr="007B5DF9">
        <w:rPr>
          <w:b/>
          <w:sz w:val="24"/>
          <w:szCs w:val="24"/>
          <w:highlight w:val="yellow"/>
        </w:rPr>
        <w:t xml:space="preserve">Attachment </w:t>
      </w:r>
      <w:r w:rsidR="00472056">
        <w:rPr>
          <w:b/>
          <w:sz w:val="24"/>
          <w:szCs w:val="24"/>
          <w:highlight w:val="yellow"/>
        </w:rPr>
        <w:t>2</w:t>
      </w:r>
      <w:r w:rsidRPr="007B5DF9">
        <w:rPr>
          <w:sz w:val="24"/>
          <w:szCs w:val="24"/>
          <w:highlight w:val="yellow"/>
        </w:rPr>
        <w:t>).</w:t>
      </w:r>
      <w:r w:rsidRPr="007B5DF9">
        <w:rPr>
          <w:b/>
          <w:sz w:val="24"/>
          <w:szCs w:val="24"/>
          <w:highlight w:val="yellow"/>
        </w:rPr>
        <w:t xml:space="preserve"> </w:t>
      </w:r>
      <w:r w:rsidRPr="007B5DF9">
        <w:rPr>
          <w:sz w:val="24"/>
          <w:szCs w:val="24"/>
          <w:highlight w:val="yellow"/>
        </w:rPr>
        <w:t xml:space="preserve"> </w:t>
      </w:r>
    </w:p>
    <w:p w:rsidR="00CE23AA" w:rsidRPr="0098479D" w:rsidRDefault="00CE23AA" w:rsidP="00CE23AA">
      <w:pPr>
        <w:spacing w:line="480" w:lineRule="auto"/>
        <w:ind w:firstLine="720"/>
        <w:rPr>
          <w:sz w:val="24"/>
          <w:szCs w:val="24"/>
        </w:rPr>
      </w:pPr>
      <w:r w:rsidRPr="007B5DF9">
        <w:rPr>
          <w:sz w:val="24"/>
          <w:szCs w:val="24"/>
          <w:highlight w:val="yellow"/>
        </w:rPr>
        <w:t>During phase II (1998-2003) of the study, 60,728 enrolled cohort members were interviewed</w:t>
      </w:r>
      <w:r w:rsidR="002F37B3">
        <w:rPr>
          <w:sz w:val="24"/>
          <w:szCs w:val="24"/>
          <w:highlight w:val="yellow"/>
        </w:rPr>
        <w:t>.</w:t>
      </w:r>
      <w:r w:rsidRPr="007B5DF9">
        <w:rPr>
          <w:sz w:val="24"/>
          <w:szCs w:val="24"/>
          <w:highlight w:val="yellow"/>
        </w:rPr>
        <w:t xml:space="preserve"> Cancer incidence and mortality follow-up was completed on all but 650 (&lt;1%) cohort members who were either lost to follow-up or who requested to be dropped from disease follow-up.</w:t>
      </w:r>
    </w:p>
    <w:p w:rsidR="00CE23AA" w:rsidRPr="0098479D" w:rsidRDefault="00CE23AA" w:rsidP="00CE23AA">
      <w:pPr>
        <w:spacing w:line="480" w:lineRule="auto"/>
        <w:ind w:firstLine="720"/>
        <w:rPr>
          <w:sz w:val="24"/>
          <w:szCs w:val="24"/>
        </w:rPr>
      </w:pPr>
      <w:r>
        <w:rPr>
          <w:sz w:val="24"/>
          <w:szCs w:val="24"/>
        </w:rPr>
        <w:t xml:space="preserve"> </w:t>
      </w:r>
      <w:r w:rsidRPr="006B3DAB">
        <w:rPr>
          <w:sz w:val="24"/>
          <w:szCs w:val="24"/>
          <w:highlight w:val="yellow"/>
        </w:rPr>
        <w:t xml:space="preserve">During </w:t>
      </w:r>
      <w:r w:rsidRPr="00220879">
        <w:rPr>
          <w:sz w:val="24"/>
          <w:szCs w:val="24"/>
          <w:highlight w:val="yellow"/>
        </w:rPr>
        <w:t>phase</w:t>
      </w:r>
      <w:r w:rsidRPr="00CB7F48">
        <w:rPr>
          <w:sz w:val="24"/>
          <w:szCs w:val="24"/>
          <w:highlight w:val="yellow"/>
        </w:rPr>
        <w:t xml:space="preserve"> III, the cohort was </w:t>
      </w:r>
      <w:r w:rsidR="002F37B3">
        <w:rPr>
          <w:sz w:val="24"/>
          <w:szCs w:val="24"/>
          <w:highlight w:val="yellow"/>
        </w:rPr>
        <w:t xml:space="preserve">re-interviewed and continued to be </w:t>
      </w:r>
      <w:r w:rsidRPr="00CB7F48">
        <w:rPr>
          <w:sz w:val="24"/>
          <w:szCs w:val="24"/>
          <w:highlight w:val="yellow"/>
        </w:rPr>
        <w:t xml:space="preserve">followed to determine disease incidence and mortality.  </w:t>
      </w:r>
      <w:r w:rsidRPr="00220879">
        <w:rPr>
          <w:sz w:val="24"/>
          <w:szCs w:val="24"/>
          <w:highlight w:val="yellow"/>
        </w:rPr>
        <w:t xml:space="preserve">The </w:t>
      </w:r>
      <w:r w:rsidRPr="00814A27">
        <w:rPr>
          <w:sz w:val="24"/>
          <w:szCs w:val="24"/>
          <w:highlight w:val="yellow"/>
        </w:rPr>
        <w:t>focus of phase IV is to continue updating the</w:t>
      </w:r>
      <w:r>
        <w:rPr>
          <w:sz w:val="24"/>
          <w:szCs w:val="24"/>
          <w:highlight w:val="yellow"/>
        </w:rPr>
        <w:t xml:space="preserve"> </w:t>
      </w:r>
      <w:r w:rsidRPr="00814A27">
        <w:rPr>
          <w:sz w:val="24"/>
          <w:szCs w:val="24"/>
          <w:highlight w:val="yellow"/>
        </w:rPr>
        <w:t>medical history information for respondents enrolled in the Agriculture Health Study</w:t>
      </w:r>
      <w:r w:rsidRPr="00220879">
        <w:rPr>
          <w:sz w:val="24"/>
          <w:szCs w:val="24"/>
          <w:highlight w:val="yellow"/>
        </w:rPr>
        <w:t xml:space="preserve">. </w:t>
      </w:r>
      <w:r w:rsidRPr="00220879" w:rsidDel="00814A27">
        <w:rPr>
          <w:sz w:val="24"/>
          <w:szCs w:val="24"/>
          <w:highlight w:val="yellow"/>
        </w:rPr>
        <w:t xml:space="preserve"> </w:t>
      </w:r>
      <w:r w:rsidRPr="00220879">
        <w:rPr>
          <w:sz w:val="24"/>
          <w:szCs w:val="24"/>
          <w:highlight w:val="yellow"/>
        </w:rPr>
        <w:t>The primary objective of the AHS is</w:t>
      </w:r>
      <w:r w:rsidRPr="00C96B00">
        <w:rPr>
          <w:sz w:val="24"/>
          <w:szCs w:val="24"/>
          <w:highlight w:val="yellow"/>
        </w:rPr>
        <w:t xml:space="preserve"> to determine the human health effects resulting from occupational and environmental exposures in the agricultural environment.</w:t>
      </w:r>
      <w:r w:rsidRPr="00220879">
        <w:rPr>
          <w:sz w:val="24"/>
          <w:szCs w:val="24"/>
          <w:highlight w:val="yellow"/>
        </w:rPr>
        <w:t xml:space="preserve">  Updated information on health status</w:t>
      </w:r>
      <w:r w:rsidR="002F37B3">
        <w:rPr>
          <w:sz w:val="24"/>
          <w:szCs w:val="24"/>
          <w:highlight w:val="yellow"/>
        </w:rPr>
        <w:t xml:space="preserve"> </w:t>
      </w:r>
      <w:r w:rsidRPr="00220879">
        <w:rPr>
          <w:sz w:val="24"/>
          <w:szCs w:val="24"/>
          <w:highlight w:val="yellow"/>
        </w:rPr>
        <w:t>will continue to be collected from cohort members to evaluate potential health effects related to exposure information reported in the previous phases of the AHS.</w:t>
      </w:r>
      <w:r w:rsidRPr="00CE23AA">
        <w:rPr>
          <w:sz w:val="24"/>
          <w:szCs w:val="24"/>
        </w:rPr>
        <w:t xml:space="preserve">  In addition, the</w:t>
      </w:r>
      <w:r w:rsidRPr="0098479D">
        <w:rPr>
          <w:sz w:val="24"/>
          <w:szCs w:val="24"/>
        </w:rPr>
        <w:t xml:space="preserve"> cohort continues to be followed through the cancer registries within Iowa and North Carolina, the Social Security Administration database, state vital statistics offices, the National Death Index, and various in-state databases, such as the listing of registered pesticide applicators.  </w:t>
      </w:r>
    </w:p>
    <w:p w:rsidR="00CE23AA" w:rsidRPr="0098479D" w:rsidRDefault="00CE23AA" w:rsidP="00CE23AA">
      <w:pPr>
        <w:spacing w:line="480" w:lineRule="auto"/>
        <w:ind w:firstLine="720"/>
        <w:rPr>
          <w:sz w:val="24"/>
          <w:szCs w:val="24"/>
        </w:rPr>
      </w:pPr>
      <w:r w:rsidRPr="0098479D">
        <w:rPr>
          <w:sz w:val="24"/>
          <w:szCs w:val="24"/>
        </w:rPr>
        <w:lastRenderedPageBreak/>
        <w:t xml:space="preserve">Additionally, biomarkers of early biological effect </w:t>
      </w:r>
      <w:r w:rsidR="00A8483A">
        <w:rPr>
          <w:sz w:val="24"/>
          <w:szCs w:val="24"/>
        </w:rPr>
        <w:t>are being</w:t>
      </w:r>
      <w:r w:rsidRPr="0098479D">
        <w:rPr>
          <w:sz w:val="24"/>
          <w:szCs w:val="24"/>
        </w:rPr>
        <w:t xml:space="preserve"> assessed to a limited degree to provide indicators of potential alteration in DNA function.  Evaluation may include assessment of chromosomal aberrations, telomere shortening and epigenetic effects.  The correlation of early biological effect and subsequent </w:t>
      </w:r>
      <w:r w:rsidRPr="00B0545A">
        <w:rPr>
          <w:sz w:val="24"/>
          <w:szCs w:val="24"/>
        </w:rPr>
        <w:t xml:space="preserve">disease is </w:t>
      </w:r>
      <w:r w:rsidR="00A8483A">
        <w:rPr>
          <w:sz w:val="24"/>
          <w:szCs w:val="24"/>
        </w:rPr>
        <w:t>also</w:t>
      </w:r>
      <w:r w:rsidRPr="00B0545A">
        <w:rPr>
          <w:sz w:val="24"/>
          <w:szCs w:val="24"/>
        </w:rPr>
        <w:t xml:space="preserve"> being assessed</w:t>
      </w:r>
      <w:r w:rsidRPr="00A8483A">
        <w:rPr>
          <w:sz w:val="24"/>
          <w:szCs w:val="24"/>
        </w:rPr>
        <w:t xml:space="preserve">.  </w:t>
      </w:r>
      <w:r w:rsidRPr="007B5DF9">
        <w:rPr>
          <w:color w:val="000000" w:themeColor="text1"/>
          <w:sz w:val="24"/>
          <w:szCs w:val="24"/>
        </w:rPr>
        <w:t xml:space="preserve">In phase III, </w:t>
      </w:r>
      <w:proofErr w:type="spellStart"/>
      <w:r w:rsidRPr="007B5DF9">
        <w:rPr>
          <w:color w:val="000000" w:themeColor="text1"/>
          <w:sz w:val="24"/>
          <w:szCs w:val="24"/>
        </w:rPr>
        <w:t>buccal</w:t>
      </w:r>
      <w:proofErr w:type="spellEnd"/>
      <w:r w:rsidRPr="007B5DF9">
        <w:rPr>
          <w:color w:val="000000" w:themeColor="text1"/>
          <w:sz w:val="24"/>
          <w:szCs w:val="24"/>
        </w:rPr>
        <w:t xml:space="preserve"> cells have been collected from approximately </w:t>
      </w:r>
      <w:r w:rsidR="007B5DF9" w:rsidRPr="007B5DF9">
        <w:rPr>
          <w:color w:val="000000" w:themeColor="text1"/>
          <w:sz w:val="24"/>
          <w:szCs w:val="24"/>
          <w:highlight w:val="yellow"/>
        </w:rPr>
        <w:t>1,210</w:t>
      </w:r>
      <w:r w:rsidR="007B5DF9">
        <w:rPr>
          <w:color w:val="000000" w:themeColor="text1"/>
          <w:sz w:val="24"/>
          <w:szCs w:val="24"/>
        </w:rPr>
        <w:t xml:space="preserve"> </w:t>
      </w:r>
      <w:r w:rsidRPr="007B5DF9">
        <w:rPr>
          <w:color w:val="000000" w:themeColor="text1"/>
          <w:sz w:val="24"/>
          <w:szCs w:val="24"/>
        </w:rPr>
        <w:t xml:space="preserve">additional study subjects, contributing to a total of </w:t>
      </w:r>
      <w:r w:rsidR="007B5DF9" w:rsidRPr="007B5DF9">
        <w:rPr>
          <w:color w:val="000000" w:themeColor="text1"/>
          <w:sz w:val="24"/>
          <w:szCs w:val="24"/>
          <w:highlight w:val="yellow"/>
        </w:rPr>
        <w:t>36,088</w:t>
      </w:r>
      <w:r w:rsidRPr="007B5DF9">
        <w:rPr>
          <w:color w:val="000000" w:themeColor="text1"/>
          <w:sz w:val="24"/>
          <w:szCs w:val="24"/>
        </w:rPr>
        <w:t xml:space="preserve"> </w:t>
      </w:r>
      <w:proofErr w:type="spellStart"/>
      <w:r w:rsidRPr="007B5DF9">
        <w:rPr>
          <w:color w:val="000000" w:themeColor="text1"/>
          <w:sz w:val="24"/>
          <w:szCs w:val="24"/>
        </w:rPr>
        <w:t>buccal</w:t>
      </w:r>
      <w:proofErr w:type="spellEnd"/>
      <w:r w:rsidRPr="007B5DF9">
        <w:rPr>
          <w:color w:val="000000" w:themeColor="text1"/>
          <w:sz w:val="24"/>
          <w:szCs w:val="24"/>
        </w:rPr>
        <w:t xml:space="preserve"> cell collections to date.</w:t>
      </w:r>
      <w:r w:rsidR="00A8483A">
        <w:rPr>
          <w:sz w:val="24"/>
          <w:szCs w:val="24"/>
        </w:rPr>
        <w:t xml:space="preserve">  </w:t>
      </w:r>
      <w:r w:rsidR="00A8483A" w:rsidRPr="007B5DF9">
        <w:rPr>
          <w:sz w:val="24"/>
          <w:szCs w:val="24"/>
          <w:highlight w:val="yellow"/>
        </w:rPr>
        <w:t>T</w:t>
      </w:r>
      <w:r w:rsidRPr="00A8483A">
        <w:rPr>
          <w:sz w:val="24"/>
          <w:szCs w:val="24"/>
          <w:highlight w:val="yellow"/>
        </w:rPr>
        <w:t>h</w:t>
      </w:r>
      <w:r w:rsidRPr="00265DDD">
        <w:rPr>
          <w:sz w:val="24"/>
          <w:szCs w:val="24"/>
          <w:highlight w:val="yellow"/>
        </w:rPr>
        <w:t>is revision</w:t>
      </w:r>
      <w:r>
        <w:rPr>
          <w:sz w:val="24"/>
          <w:szCs w:val="24"/>
          <w:highlight w:val="yellow"/>
        </w:rPr>
        <w:t xml:space="preserve"> </w:t>
      </w:r>
      <w:r w:rsidRPr="00265DDD">
        <w:rPr>
          <w:sz w:val="24"/>
          <w:szCs w:val="24"/>
          <w:highlight w:val="yellow"/>
        </w:rPr>
        <w:t>propos</w:t>
      </w:r>
      <w:r>
        <w:rPr>
          <w:sz w:val="24"/>
          <w:szCs w:val="24"/>
          <w:highlight w:val="yellow"/>
        </w:rPr>
        <w:t>e</w:t>
      </w:r>
      <w:r w:rsidR="00A8483A">
        <w:rPr>
          <w:sz w:val="24"/>
          <w:szCs w:val="24"/>
          <w:highlight w:val="yellow"/>
        </w:rPr>
        <w:t xml:space="preserve">s to </w:t>
      </w:r>
      <w:r w:rsidRPr="00265DDD">
        <w:rPr>
          <w:sz w:val="24"/>
          <w:szCs w:val="24"/>
          <w:highlight w:val="yellow"/>
        </w:rPr>
        <w:t>continu</w:t>
      </w:r>
      <w:r w:rsidR="00A8483A">
        <w:rPr>
          <w:sz w:val="24"/>
          <w:szCs w:val="24"/>
          <w:highlight w:val="yellow"/>
        </w:rPr>
        <w:t xml:space="preserve">e and complete the </w:t>
      </w:r>
      <w:r>
        <w:rPr>
          <w:sz w:val="24"/>
          <w:szCs w:val="24"/>
          <w:highlight w:val="yellow"/>
        </w:rPr>
        <w:t xml:space="preserve">collection of </w:t>
      </w:r>
      <w:proofErr w:type="spellStart"/>
      <w:r w:rsidRPr="00265DDD">
        <w:rPr>
          <w:sz w:val="24"/>
          <w:szCs w:val="24"/>
          <w:highlight w:val="yellow"/>
        </w:rPr>
        <w:t>buccal</w:t>
      </w:r>
      <w:proofErr w:type="spellEnd"/>
      <w:r w:rsidRPr="00265DDD">
        <w:rPr>
          <w:sz w:val="24"/>
          <w:szCs w:val="24"/>
          <w:highlight w:val="yellow"/>
        </w:rPr>
        <w:t xml:space="preserve"> cell</w:t>
      </w:r>
      <w:r>
        <w:rPr>
          <w:sz w:val="24"/>
          <w:szCs w:val="24"/>
          <w:highlight w:val="yellow"/>
        </w:rPr>
        <w:t>s</w:t>
      </w:r>
      <w:r w:rsidRPr="00265DDD">
        <w:rPr>
          <w:sz w:val="24"/>
          <w:szCs w:val="24"/>
          <w:highlight w:val="yellow"/>
        </w:rPr>
        <w:t>.</w:t>
      </w:r>
      <w:r>
        <w:rPr>
          <w:sz w:val="24"/>
          <w:szCs w:val="24"/>
        </w:rPr>
        <w:t xml:space="preserve">  </w:t>
      </w:r>
      <w:proofErr w:type="spellStart"/>
      <w:r>
        <w:rPr>
          <w:sz w:val="24"/>
          <w:szCs w:val="24"/>
        </w:rPr>
        <w:t>Buccal</w:t>
      </w:r>
      <w:proofErr w:type="spellEnd"/>
      <w:r>
        <w:rPr>
          <w:sz w:val="24"/>
          <w:szCs w:val="24"/>
        </w:rPr>
        <w:t xml:space="preserve"> cell DNA is </w:t>
      </w:r>
      <w:r w:rsidRPr="00B0545A">
        <w:rPr>
          <w:sz w:val="24"/>
          <w:szCs w:val="24"/>
        </w:rPr>
        <w:t xml:space="preserve">now </w:t>
      </w:r>
      <w:r>
        <w:rPr>
          <w:sz w:val="24"/>
          <w:szCs w:val="24"/>
        </w:rPr>
        <w:t xml:space="preserve">being </w:t>
      </w:r>
      <w:r w:rsidRPr="00B0545A">
        <w:rPr>
          <w:sz w:val="24"/>
          <w:szCs w:val="24"/>
        </w:rPr>
        <w:t>evaluat</w:t>
      </w:r>
      <w:r>
        <w:rPr>
          <w:sz w:val="24"/>
          <w:szCs w:val="24"/>
        </w:rPr>
        <w:t>ed</w:t>
      </w:r>
      <w:r w:rsidRPr="00B0545A">
        <w:rPr>
          <w:sz w:val="24"/>
          <w:szCs w:val="24"/>
        </w:rPr>
        <w:t xml:space="preserve"> for the potential effect</w:t>
      </w:r>
      <w:r w:rsidRPr="00B0545A" w:rsidDel="00C64DF8">
        <w:rPr>
          <w:sz w:val="24"/>
          <w:szCs w:val="24"/>
        </w:rPr>
        <w:t xml:space="preserve"> </w:t>
      </w:r>
      <w:r w:rsidRPr="00B0545A">
        <w:rPr>
          <w:sz w:val="24"/>
          <w:szCs w:val="24"/>
        </w:rPr>
        <w:t>of inherited polymorphisms and the interaction</w:t>
      </w:r>
      <w:r w:rsidRPr="0098479D">
        <w:rPr>
          <w:sz w:val="24"/>
          <w:szCs w:val="24"/>
        </w:rPr>
        <w:t xml:space="preserve"> of environment and genomic predisposition.  </w:t>
      </w:r>
    </w:p>
    <w:p w:rsidR="00A27F7C" w:rsidRPr="00F41D3C" w:rsidRDefault="00A56557" w:rsidP="00F41D3C">
      <w:pPr>
        <w:spacing w:line="480" w:lineRule="auto"/>
        <w:ind w:firstLine="720"/>
        <w:rPr>
          <w:sz w:val="24"/>
          <w:szCs w:val="24"/>
        </w:rPr>
      </w:pPr>
      <w:r w:rsidRPr="0098479D">
        <w:rPr>
          <w:sz w:val="24"/>
          <w:szCs w:val="24"/>
        </w:rPr>
        <w:t xml:space="preserve">The National Cancer Institute (NCI) has </w:t>
      </w:r>
      <w:r w:rsidR="00325CCF" w:rsidRPr="0098479D">
        <w:rPr>
          <w:sz w:val="24"/>
          <w:szCs w:val="24"/>
        </w:rPr>
        <w:t>collaborat</w:t>
      </w:r>
      <w:r w:rsidRPr="0098479D">
        <w:rPr>
          <w:sz w:val="24"/>
          <w:szCs w:val="24"/>
        </w:rPr>
        <w:t>ed</w:t>
      </w:r>
      <w:r w:rsidR="00A63225" w:rsidRPr="0098479D">
        <w:rPr>
          <w:sz w:val="24"/>
          <w:szCs w:val="24"/>
        </w:rPr>
        <w:t xml:space="preserve"> </w:t>
      </w:r>
      <w:r w:rsidR="00FC7E06" w:rsidRPr="0098479D">
        <w:rPr>
          <w:sz w:val="24"/>
          <w:szCs w:val="24"/>
        </w:rPr>
        <w:t xml:space="preserve">with </w:t>
      </w:r>
      <w:r w:rsidRPr="0098479D">
        <w:rPr>
          <w:sz w:val="24"/>
          <w:szCs w:val="24"/>
        </w:rPr>
        <w:t xml:space="preserve">a number of different Institutes and Agencies for this study.  </w:t>
      </w:r>
      <w:r w:rsidR="007837EA" w:rsidRPr="0098479D">
        <w:rPr>
          <w:sz w:val="24"/>
          <w:szCs w:val="24"/>
        </w:rPr>
        <w:t xml:space="preserve">NCI </w:t>
      </w:r>
      <w:r w:rsidRPr="0098479D">
        <w:rPr>
          <w:sz w:val="24"/>
          <w:szCs w:val="24"/>
        </w:rPr>
        <w:t xml:space="preserve">is </w:t>
      </w:r>
      <w:r w:rsidR="007837EA" w:rsidRPr="0098479D">
        <w:rPr>
          <w:sz w:val="24"/>
          <w:szCs w:val="24"/>
        </w:rPr>
        <w:t xml:space="preserve">primarily interested in cancer outcomes </w:t>
      </w:r>
      <w:r w:rsidR="00A63225" w:rsidRPr="0098479D">
        <w:rPr>
          <w:sz w:val="24"/>
          <w:szCs w:val="24"/>
        </w:rPr>
        <w:t>and determinants of exposure</w:t>
      </w:r>
      <w:r w:rsidRPr="0098479D">
        <w:rPr>
          <w:sz w:val="24"/>
          <w:szCs w:val="24"/>
        </w:rPr>
        <w:t xml:space="preserve"> and National Institute of Environmental Health Sciences (</w:t>
      </w:r>
      <w:r w:rsidR="007837EA" w:rsidRPr="0098479D">
        <w:rPr>
          <w:sz w:val="24"/>
          <w:szCs w:val="24"/>
        </w:rPr>
        <w:t>NIEHS</w:t>
      </w:r>
      <w:r w:rsidRPr="0098479D">
        <w:rPr>
          <w:sz w:val="24"/>
          <w:szCs w:val="24"/>
        </w:rPr>
        <w:t>) is</w:t>
      </w:r>
      <w:r w:rsidR="007837EA" w:rsidRPr="0098479D">
        <w:rPr>
          <w:sz w:val="24"/>
          <w:szCs w:val="24"/>
        </w:rPr>
        <w:t xml:space="preserve"> interested in other disease outcomes</w:t>
      </w:r>
      <w:r w:rsidRPr="0098479D">
        <w:rPr>
          <w:sz w:val="24"/>
          <w:szCs w:val="24"/>
        </w:rPr>
        <w:t>.  Additionally, the Environmental Protection Agency (</w:t>
      </w:r>
      <w:r w:rsidR="007837EA" w:rsidRPr="0098479D">
        <w:rPr>
          <w:sz w:val="24"/>
          <w:szCs w:val="24"/>
        </w:rPr>
        <w:t>EPA</w:t>
      </w:r>
      <w:r w:rsidRPr="0098479D">
        <w:rPr>
          <w:sz w:val="24"/>
          <w:szCs w:val="24"/>
        </w:rPr>
        <w:t>)</w:t>
      </w:r>
      <w:r w:rsidR="007837EA" w:rsidRPr="0098479D">
        <w:rPr>
          <w:sz w:val="24"/>
          <w:szCs w:val="24"/>
        </w:rPr>
        <w:t xml:space="preserve"> and </w:t>
      </w:r>
      <w:r w:rsidRPr="0098479D">
        <w:rPr>
          <w:sz w:val="24"/>
          <w:szCs w:val="24"/>
        </w:rPr>
        <w:t>the National Institute for Occupational Safety and Health (</w:t>
      </w:r>
      <w:r w:rsidR="007837EA" w:rsidRPr="0098479D">
        <w:rPr>
          <w:sz w:val="24"/>
          <w:szCs w:val="24"/>
        </w:rPr>
        <w:t>NIOSH</w:t>
      </w:r>
      <w:r w:rsidR="00AB3AC9" w:rsidRPr="0098479D">
        <w:rPr>
          <w:sz w:val="24"/>
          <w:szCs w:val="24"/>
        </w:rPr>
        <w:t>) provide</w:t>
      </w:r>
      <w:r w:rsidR="007837EA" w:rsidRPr="0098479D">
        <w:rPr>
          <w:sz w:val="24"/>
          <w:szCs w:val="24"/>
        </w:rPr>
        <w:t xml:space="preserve"> support for a </w:t>
      </w:r>
      <w:r w:rsidR="007837EA" w:rsidRPr="00F41D3C">
        <w:rPr>
          <w:sz w:val="24"/>
          <w:szCs w:val="24"/>
        </w:rPr>
        <w:t>limited exposure assessment effort.</w:t>
      </w:r>
      <w:r w:rsidR="00FC7E06" w:rsidRPr="00F41D3C">
        <w:rPr>
          <w:sz w:val="24"/>
          <w:szCs w:val="24"/>
        </w:rPr>
        <w:t xml:space="preserve"> </w:t>
      </w:r>
    </w:p>
    <w:p w:rsidR="00F41D3C" w:rsidRPr="00F41D3C" w:rsidRDefault="00F41D3C" w:rsidP="00F41D3C">
      <w:pPr>
        <w:spacing w:line="480" w:lineRule="auto"/>
        <w:ind w:firstLine="720"/>
        <w:rPr>
          <w:sz w:val="24"/>
          <w:szCs w:val="24"/>
        </w:rPr>
      </w:pPr>
      <w:r w:rsidRPr="00F41D3C">
        <w:rPr>
          <w:sz w:val="24"/>
          <w:szCs w:val="24"/>
          <w:highlight w:val="yellow"/>
        </w:rPr>
        <w:t xml:space="preserve">In the past, NCI had taken the lead on administering questionnaires and now NIEHS will be assuming the responsibility for collecting new information on medical history from the full cohort.  Currently, passive follow-up of this study is being jointly funded by NCI and NIEHS, with NIEHS funding the phase IV cohort wide interview and NCI funding the Study of Biomarkers and Exposures and Effects in Agriculture (BEEA).  Currently, NCI is collecting very little questionnaire information, except to finalize the collection of information for the BEEA and </w:t>
      </w:r>
      <w:proofErr w:type="spellStart"/>
      <w:r w:rsidRPr="00F41D3C">
        <w:rPr>
          <w:sz w:val="24"/>
          <w:szCs w:val="24"/>
          <w:highlight w:val="yellow"/>
        </w:rPr>
        <w:t>buccal</w:t>
      </w:r>
      <w:proofErr w:type="spellEnd"/>
      <w:r w:rsidRPr="00F41D3C">
        <w:rPr>
          <w:sz w:val="24"/>
          <w:szCs w:val="24"/>
          <w:highlight w:val="yellow"/>
        </w:rPr>
        <w:t xml:space="preserve"> cell collection from a small number of selected cancer cases.  BEEA was originally proposed in the 2010 submission and is expected to continue information collection through May </w:t>
      </w:r>
      <w:r w:rsidRPr="00F41D3C">
        <w:rPr>
          <w:sz w:val="24"/>
          <w:szCs w:val="24"/>
          <w:highlight w:val="yellow"/>
        </w:rPr>
        <w:lastRenderedPageBreak/>
        <w:t>2015.  All data collected by the study are being shared jointly between NCI and NIEHS and this relationship will continue.  Additionally, the co-investigators from each Institute share the Contracting Officer’s Representatives (COR) responsibilities.  NCI will continue to play a lead role through membership on the Agricultural Health Study Executive Committee and in actively evaluating the links between occupational and environmental exposures and cancer.  NCI and NIEHS have a formal memorandum of understanding regarding their shared roles in the Agricultural Health Study.</w:t>
      </w:r>
      <w:r w:rsidRPr="00F41D3C">
        <w:rPr>
          <w:sz w:val="24"/>
          <w:szCs w:val="24"/>
        </w:rPr>
        <w:t xml:space="preserve">  </w:t>
      </w:r>
    </w:p>
    <w:p w:rsidR="00325CCF" w:rsidRPr="0098479D" w:rsidRDefault="00325CCF" w:rsidP="00B0545A">
      <w:pPr>
        <w:spacing w:line="480" w:lineRule="auto"/>
        <w:ind w:firstLine="720"/>
        <w:rPr>
          <w:sz w:val="24"/>
          <w:szCs w:val="24"/>
        </w:rPr>
      </w:pPr>
      <w:r w:rsidRPr="0098479D">
        <w:rPr>
          <w:sz w:val="24"/>
          <w:szCs w:val="24"/>
        </w:rPr>
        <w:t>The long-term prospective study design offers several advantages over retrospective cohort and case-control investigations</w:t>
      </w:r>
      <w:r w:rsidR="00C617D9" w:rsidRPr="0098479D">
        <w:rPr>
          <w:sz w:val="24"/>
          <w:szCs w:val="24"/>
        </w:rPr>
        <w:t xml:space="preserve"> </w:t>
      </w:r>
      <w:r w:rsidR="00C617D9" w:rsidRPr="00B0545A">
        <w:rPr>
          <w:sz w:val="24"/>
          <w:szCs w:val="24"/>
        </w:rPr>
        <w:t>including the avoidance of case-recall bias and a comprehensive exposure assessment  with periodic updates of  occupational exposures, personal health history and lifestyle factors</w:t>
      </w:r>
      <w:r w:rsidRPr="00B0545A">
        <w:rPr>
          <w:sz w:val="24"/>
          <w:szCs w:val="24"/>
        </w:rPr>
        <w:t>.</w:t>
      </w:r>
      <w:r w:rsidR="00C617D9" w:rsidRPr="00B0545A">
        <w:rPr>
          <w:sz w:val="24"/>
          <w:szCs w:val="24"/>
        </w:rPr>
        <w:t xml:space="preserve"> </w:t>
      </w:r>
      <w:r w:rsidRPr="00B0545A">
        <w:rPr>
          <w:sz w:val="24"/>
          <w:szCs w:val="24"/>
        </w:rPr>
        <w:t xml:space="preserve"> In addition, the information obtained from questionnaires</w:t>
      </w:r>
      <w:r w:rsidRPr="0098479D">
        <w:rPr>
          <w:sz w:val="24"/>
          <w:szCs w:val="24"/>
        </w:rPr>
        <w:t xml:space="preserve"> is being linked to environmental and biologic measures that will strengthen the exposure classification.  This study also offers the opportunity to evaluate other exposure-related non-cancer outcomes of interest, such as renal, reproductive, developmental, neurological, and immun</w:t>
      </w:r>
      <w:r w:rsidR="00FC7E06" w:rsidRPr="0098479D">
        <w:rPr>
          <w:sz w:val="24"/>
          <w:szCs w:val="24"/>
        </w:rPr>
        <w:t>o</w:t>
      </w:r>
      <w:r w:rsidRPr="0098479D">
        <w:rPr>
          <w:sz w:val="24"/>
          <w:szCs w:val="24"/>
        </w:rPr>
        <w:t>logic endpoints.</w:t>
      </w:r>
    </w:p>
    <w:p w:rsidR="0024160F" w:rsidRPr="0098479D" w:rsidRDefault="0024160F" w:rsidP="00B0545A">
      <w:pPr>
        <w:pStyle w:val="Heading2"/>
        <w:ind w:left="0" w:firstLine="0"/>
        <w:rPr>
          <w:sz w:val="24"/>
          <w:szCs w:val="24"/>
        </w:rPr>
      </w:pPr>
    </w:p>
    <w:p w:rsidR="00325CCF" w:rsidRPr="0098479D" w:rsidRDefault="003F0F43" w:rsidP="00B0545A">
      <w:pPr>
        <w:pStyle w:val="Heading2"/>
        <w:ind w:left="0" w:firstLine="0"/>
        <w:rPr>
          <w:sz w:val="24"/>
          <w:szCs w:val="24"/>
          <w:u w:val="single"/>
        </w:rPr>
      </w:pPr>
      <w:r w:rsidRPr="0098479D">
        <w:rPr>
          <w:sz w:val="24"/>
          <w:szCs w:val="24"/>
        </w:rPr>
        <w:t>A.</w:t>
      </w:r>
      <w:r w:rsidR="00325CCF" w:rsidRPr="0098479D">
        <w:rPr>
          <w:sz w:val="24"/>
          <w:szCs w:val="24"/>
        </w:rPr>
        <w:t xml:space="preserve">2  </w:t>
      </w:r>
      <w:r w:rsidR="000B1AA5" w:rsidRPr="0098479D">
        <w:rPr>
          <w:sz w:val="24"/>
          <w:szCs w:val="24"/>
        </w:rPr>
        <w:t xml:space="preserve"> </w:t>
      </w:r>
      <w:r w:rsidR="00F81B10">
        <w:rPr>
          <w:sz w:val="24"/>
          <w:szCs w:val="24"/>
        </w:rPr>
        <w:tab/>
      </w:r>
      <w:r w:rsidR="00325CCF" w:rsidRPr="0098479D">
        <w:rPr>
          <w:sz w:val="24"/>
          <w:szCs w:val="24"/>
          <w:u w:val="single"/>
        </w:rPr>
        <w:t>Purpose and Use of the Information</w:t>
      </w:r>
      <w:r w:rsidR="00CF4165">
        <w:rPr>
          <w:sz w:val="24"/>
          <w:szCs w:val="24"/>
          <w:u w:val="single"/>
        </w:rPr>
        <w:t xml:space="preserve"> Collection</w:t>
      </w:r>
    </w:p>
    <w:p w:rsidR="00577B75" w:rsidRPr="0098479D" w:rsidRDefault="00577B75" w:rsidP="00B0545A">
      <w:pPr>
        <w:rPr>
          <w:sz w:val="24"/>
          <w:szCs w:val="24"/>
        </w:rPr>
      </w:pPr>
    </w:p>
    <w:p w:rsidR="00325CCF" w:rsidRPr="0098479D" w:rsidRDefault="00325CCF" w:rsidP="00472056">
      <w:pPr>
        <w:spacing w:line="480" w:lineRule="auto"/>
        <w:ind w:firstLine="720"/>
        <w:rPr>
          <w:sz w:val="24"/>
          <w:szCs w:val="24"/>
        </w:rPr>
      </w:pPr>
      <w:r w:rsidRPr="0098479D">
        <w:rPr>
          <w:sz w:val="24"/>
          <w:szCs w:val="24"/>
        </w:rPr>
        <w:t>The A</w:t>
      </w:r>
      <w:r w:rsidR="00B65760" w:rsidRPr="0098479D">
        <w:rPr>
          <w:sz w:val="24"/>
          <w:szCs w:val="24"/>
        </w:rPr>
        <w:t xml:space="preserve">gricultural </w:t>
      </w:r>
      <w:r w:rsidRPr="0098479D">
        <w:rPr>
          <w:sz w:val="24"/>
          <w:szCs w:val="24"/>
        </w:rPr>
        <w:t>H</w:t>
      </w:r>
      <w:r w:rsidR="00B65760" w:rsidRPr="0098479D">
        <w:rPr>
          <w:sz w:val="24"/>
          <w:szCs w:val="24"/>
        </w:rPr>
        <w:t xml:space="preserve">ealth </w:t>
      </w:r>
      <w:r w:rsidRPr="0098479D">
        <w:rPr>
          <w:sz w:val="24"/>
          <w:szCs w:val="24"/>
        </w:rPr>
        <w:t>S</w:t>
      </w:r>
      <w:r w:rsidR="00B65760" w:rsidRPr="0098479D">
        <w:rPr>
          <w:sz w:val="24"/>
          <w:szCs w:val="24"/>
        </w:rPr>
        <w:t>tudy</w:t>
      </w:r>
      <w:r w:rsidRPr="0098479D">
        <w:rPr>
          <w:sz w:val="24"/>
          <w:szCs w:val="24"/>
        </w:rPr>
        <w:t xml:space="preserve"> </w:t>
      </w:r>
      <w:r w:rsidR="00C617D9" w:rsidRPr="0098479D">
        <w:rPr>
          <w:sz w:val="24"/>
          <w:szCs w:val="24"/>
        </w:rPr>
        <w:t xml:space="preserve">continues to have </w:t>
      </w:r>
      <w:r w:rsidRPr="0098479D">
        <w:rPr>
          <w:sz w:val="24"/>
          <w:szCs w:val="24"/>
        </w:rPr>
        <w:t>six major objectives</w:t>
      </w:r>
      <w:r w:rsidR="00323A83" w:rsidRPr="007F0E33">
        <w:rPr>
          <w:sz w:val="24"/>
          <w:szCs w:val="24"/>
        </w:rPr>
        <w:t>:</w:t>
      </w:r>
      <w:r w:rsidR="00C617D9" w:rsidRPr="007F0E33">
        <w:rPr>
          <w:sz w:val="24"/>
          <w:szCs w:val="24"/>
        </w:rPr>
        <w:t xml:space="preserve">  </w:t>
      </w:r>
    </w:p>
    <w:p w:rsidR="00325CCF" w:rsidRPr="0098479D" w:rsidRDefault="00325CCF" w:rsidP="00FC1E55">
      <w:pPr>
        <w:numPr>
          <w:ilvl w:val="0"/>
          <w:numId w:val="10"/>
        </w:numPr>
        <w:tabs>
          <w:tab w:val="clear" w:pos="720"/>
        </w:tabs>
        <w:spacing w:line="480" w:lineRule="auto"/>
        <w:rPr>
          <w:sz w:val="24"/>
          <w:szCs w:val="24"/>
        </w:rPr>
      </w:pPr>
      <w:r w:rsidRPr="0098479D">
        <w:rPr>
          <w:sz w:val="24"/>
          <w:szCs w:val="24"/>
        </w:rPr>
        <w:t>Identify and quantify cancer risks among men and women, whites, and minorities associated with specific direct pesticide exposures and exposures to other agricultural agents.</w:t>
      </w:r>
    </w:p>
    <w:p w:rsidR="00325CCF" w:rsidRPr="0098479D" w:rsidRDefault="00325CCF" w:rsidP="00FC1E55">
      <w:pPr>
        <w:numPr>
          <w:ilvl w:val="0"/>
          <w:numId w:val="10"/>
        </w:numPr>
        <w:tabs>
          <w:tab w:val="clear" w:pos="720"/>
        </w:tabs>
        <w:spacing w:line="480" w:lineRule="auto"/>
        <w:rPr>
          <w:sz w:val="24"/>
          <w:szCs w:val="24"/>
        </w:rPr>
      </w:pPr>
      <w:r w:rsidRPr="0098479D">
        <w:rPr>
          <w:sz w:val="24"/>
          <w:szCs w:val="24"/>
        </w:rPr>
        <w:t xml:space="preserve">Evaluate non-cancer health risks associated with exposure to pesticides and other potential agricultural exposures, e.g., neurotoxicity, reproductive hazards, asthma and </w:t>
      </w:r>
      <w:r w:rsidRPr="0098479D">
        <w:rPr>
          <w:sz w:val="24"/>
          <w:szCs w:val="24"/>
        </w:rPr>
        <w:lastRenderedPageBreak/>
        <w:t>other respiratory diseases or sy</w:t>
      </w:r>
      <w:r w:rsidR="00115FD3" w:rsidRPr="0098479D">
        <w:rPr>
          <w:sz w:val="24"/>
          <w:szCs w:val="24"/>
        </w:rPr>
        <w:t>mptoms</w:t>
      </w:r>
      <w:r w:rsidRPr="0098479D">
        <w:rPr>
          <w:sz w:val="24"/>
          <w:szCs w:val="24"/>
        </w:rPr>
        <w:t>, immunological toxicity, kidney disease, birth outcomes, and growth and development among offspring.</w:t>
      </w:r>
    </w:p>
    <w:p w:rsidR="00325CCF" w:rsidRPr="0098479D" w:rsidRDefault="00325CCF" w:rsidP="00FC1E55">
      <w:pPr>
        <w:numPr>
          <w:ilvl w:val="0"/>
          <w:numId w:val="10"/>
        </w:numPr>
        <w:tabs>
          <w:tab w:val="clear" w:pos="720"/>
        </w:tabs>
        <w:spacing w:line="480" w:lineRule="auto"/>
        <w:rPr>
          <w:sz w:val="24"/>
          <w:szCs w:val="24"/>
        </w:rPr>
      </w:pPr>
      <w:r w:rsidRPr="0098479D">
        <w:rPr>
          <w:sz w:val="24"/>
          <w:szCs w:val="24"/>
        </w:rPr>
        <w:t>Evaluate the disease risks among spouses and children of farmers that may arise from ‘indirect’ contact with agricultural chemicals (e.g., ambient air drifts, pesticide residues on rugs, furniture, and other items, transferring chemicals) and ‘non</w:t>
      </w:r>
      <w:r w:rsidR="00AB3AC9" w:rsidRPr="0098479D">
        <w:rPr>
          <w:sz w:val="24"/>
          <w:szCs w:val="24"/>
        </w:rPr>
        <w:t>-</w:t>
      </w:r>
      <w:r w:rsidRPr="0098479D">
        <w:rPr>
          <w:sz w:val="24"/>
          <w:szCs w:val="24"/>
        </w:rPr>
        <w:t>occupational’ exposures (e.g., applications to pets, in homes, and on gardens).</w:t>
      </w:r>
    </w:p>
    <w:p w:rsidR="00325CCF" w:rsidRPr="0098479D" w:rsidRDefault="00325CCF" w:rsidP="00FC1E55">
      <w:pPr>
        <w:numPr>
          <w:ilvl w:val="0"/>
          <w:numId w:val="10"/>
        </w:numPr>
        <w:tabs>
          <w:tab w:val="clear" w:pos="720"/>
        </w:tabs>
        <w:spacing w:line="480" w:lineRule="auto"/>
        <w:rPr>
          <w:sz w:val="24"/>
          <w:szCs w:val="24"/>
        </w:rPr>
      </w:pPr>
      <w:r w:rsidRPr="0098479D">
        <w:rPr>
          <w:sz w:val="24"/>
          <w:szCs w:val="24"/>
        </w:rPr>
        <w:t>Assess agricultural exposures using periodic interviews and environmental and biological monitoring.</w:t>
      </w:r>
    </w:p>
    <w:p w:rsidR="00325CCF" w:rsidRPr="007A25F9" w:rsidRDefault="00325CCF" w:rsidP="00FC1E55">
      <w:pPr>
        <w:numPr>
          <w:ilvl w:val="0"/>
          <w:numId w:val="10"/>
        </w:numPr>
        <w:tabs>
          <w:tab w:val="clear" w:pos="720"/>
        </w:tabs>
        <w:spacing w:line="480" w:lineRule="auto"/>
        <w:rPr>
          <w:sz w:val="24"/>
          <w:szCs w:val="24"/>
        </w:rPr>
      </w:pPr>
      <w:r w:rsidRPr="0098479D">
        <w:rPr>
          <w:sz w:val="24"/>
          <w:szCs w:val="24"/>
        </w:rPr>
        <w:t>Study the relationship between agricultural exposures, the occurrence of biomarkers of exposure, biological effect, and biomarkers of pre-clinical disease and genetic susceptibility factors relevant to carcinogenesis.</w:t>
      </w:r>
      <w:r w:rsidR="00C617D9" w:rsidRPr="0098479D">
        <w:rPr>
          <w:sz w:val="24"/>
          <w:szCs w:val="24"/>
        </w:rPr>
        <w:t xml:space="preserve"> </w:t>
      </w:r>
      <w:r w:rsidR="00C617D9" w:rsidRPr="00FC1E55">
        <w:rPr>
          <w:sz w:val="24"/>
          <w:szCs w:val="24"/>
          <w:highlight w:val="yellow"/>
        </w:rPr>
        <w:t xml:space="preserve">This objective is enhanced by the </w:t>
      </w:r>
      <w:r w:rsidR="00323A83" w:rsidRPr="00FC1E55">
        <w:rPr>
          <w:sz w:val="24"/>
          <w:szCs w:val="24"/>
          <w:highlight w:val="yellow"/>
        </w:rPr>
        <w:t xml:space="preserve">continued </w:t>
      </w:r>
      <w:r w:rsidR="00C617D9" w:rsidRPr="00FC1E55">
        <w:rPr>
          <w:sz w:val="24"/>
          <w:szCs w:val="24"/>
          <w:highlight w:val="yellow"/>
        </w:rPr>
        <w:t>collection of blood and urine from 1,600 study subjects from the Agricultural</w:t>
      </w:r>
      <w:r w:rsidR="00C617D9" w:rsidRPr="00FC1E55">
        <w:rPr>
          <w:sz w:val="24"/>
          <w:szCs w:val="24"/>
          <w:highlight w:val="yellow"/>
          <w:shd w:val="clear" w:color="auto" w:fill="92D050"/>
        </w:rPr>
        <w:t xml:space="preserve"> </w:t>
      </w:r>
      <w:r w:rsidR="00C617D9" w:rsidRPr="00FC1E55">
        <w:rPr>
          <w:sz w:val="24"/>
          <w:szCs w:val="24"/>
          <w:highlight w:val="yellow"/>
        </w:rPr>
        <w:t>Health Study over the age of 50 years (BEEA)</w:t>
      </w:r>
      <w:r w:rsidR="00D07E09" w:rsidRPr="00FC1E55">
        <w:rPr>
          <w:sz w:val="24"/>
          <w:szCs w:val="24"/>
          <w:highlight w:val="yellow"/>
        </w:rPr>
        <w:t xml:space="preserve"> over five years</w:t>
      </w:r>
      <w:r w:rsidR="00C617D9" w:rsidRPr="00472056">
        <w:rPr>
          <w:sz w:val="24"/>
          <w:szCs w:val="24"/>
          <w:highlight w:val="yellow"/>
        </w:rPr>
        <w:t>.</w:t>
      </w:r>
      <w:r w:rsidR="00A342B0" w:rsidRPr="00A342B0">
        <w:rPr>
          <w:sz w:val="24"/>
          <w:szCs w:val="24"/>
          <w:highlight w:val="yellow"/>
        </w:rPr>
        <w:t xml:space="preserve">  Currently, biospecimens have been collected from </w:t>
      </w:r>
      <w:r w:rsidR="00472056">
        <w:rPr>
          <w:sz w:val="24"/>
          <w:szCs w:val="24"/>
          <w:highlight w:val="yellow"/>
        </w:rPr>
        <w:t>647</w:t>
      </w:r>
      <w:r w:rsidR="007A25F9">
        <w:rPr>
          <w:sz w:val="24"/>
          <w:szCs w:val="24"/>
          <w:highlight w:val="yellow"/>
        </w:rPr>
        <w:t xml:space="preserve"> </w:t>
      </w:r>
      <w:r w:rsidR="00A342B0" w:rsidRPr="00A342B0">
        <w:rPr>
          <w:sz w:val="24"/>
          <w:szCs w:val="24"/>
          <w:highlight w:val="yellow"/>
        </w:rPr>
        <w:t>study subjects.</w:t>
      </w:r>
      <w:r w:rsidR="00C617D9" w:rsidRPr="006842FC">
        <w:rPr>
          <w:sz w:val="24"/>
          <w:szCs w:val="24"/>
        </w:rPr>
        <w:t xml:space="preserve">  </w:t>
      </w:r>
      <w:r w:rsidR="002B4E04" w:rsidRPr="006842FC">
        <w:rPr>
          <w:sz w:val="24"/>
          <w:szCs w:val="24"/>
        </w:rPr>
        <w:t>Over the course o</w:t>
      </w:r>
      <w:r w:rsidR="00FC1E55">
        <w:rPr>
          <w:sz w:val="24"/>
          <w:szCs w:val="24"/>
        </w:rPr>
        <w:t>f five</w:t>
      </w:r>
      <w:r w:rsidR="002B4E04" w:rsidRPr="006842FC">
        <w:rPr>
          <w:sz w:val="24"/>
          <w:szCs w:val="24"/>
        </w:rPr>
        <w:t xml:space="preserve"> years, 50</w:t>
      </w:r>
      <w:r w:rsidR="00C617D9" w:rsidRPr="006842FC">
        <w:rPr>
          <w:sz w:val="24"/>
          <w:szCs w:val="24"/>
        </w:rPr>
        <w:t xml:space="preserve"> study subjects from the 1,600 will be selected because they currently use the insecticide </w:t>
      </w:r>
      <w:proofErr w:type="spellStart"/>
      <w:r w:rsidR="00C617D9" w:rsidRPr="006842FC">
        <w:rPr>
          <w:sz w:val="24"/>
          <w:szCs w:val="24"/>
        </w:rPr>
        <w:t>diazinon</w:t>
      </w:r>
      <w:proofErr w:type="spellEnd"/>
      <w:r w:rsidR="00C617D9" w:rsidRPr="006842FC">
        <w:rPr>
          <w:sz w:val="24"/>
          <w:szCs w:val="24"/>
        </w:rPr>
        <w:t xml:space="preserve">. </w:t>
      </w:r>
      <w:proofErr w:type="spellStart"/>
      <w:r w:rsidR="00C617D9" w:rsidRPr="006842FC">
        <w:rPr>
          <w:sz w:val="24"/>
          <w:szCs w:val="24"/>
        </w:rPr>
        <w:t>Diazinon</w:t>
      </w:r>
      <w:proofErr w:type="spellEnd"/>
      <w:r w:rsidR="00C617D9" w:rsidRPr="006842FC">
        <w:rPr>
          <w:sz w:val="24"/>
          <w:szCs w:val="24"/>
        </w:rPr>
        <w:t xml:space="preserve"> has been associated with a</w:t>
      </w:r>
      <w:r w:rsidR="00FC1E55">
        <w:rPr>
          <w:sz w:val="24"/>
          <w:szCs w:val="24"/>
        </w:rPr>
        <w:t>n ex</w:t>
      </w:r>
      <w:r w:rsidR="00C617D9" w:rsidRPr="006842FC">
        <w:rPr>
          <w:sz w:val="24"/>
          <w:szCs w:val="24"/>
        </w:rPr>
        <w:t xml:space="preserve">cess risk of leukemia in the AHS.  All known </w:t>
      </w:r>
      <w:proofErr w:type="spellStart"/>
      <w:r w:rsidR="00C617D9" w:rsidRPr="006842FC">
        <w:rPr>
          <w:sz w:val="24"/>
          <w:szCs w:val="24"/>
        </w:rPr>
        <w:t>leukemogens</w:t>
      </w:r>
      <w:proofErr w:type="spellEnd"/>
      <w:r w:rsidR="00C617D9" w:rsidRPr="006842FC">
        <w:rPr>
          <w:sz w:val="24"/>
          <w:szCs w:val="24"/>
        </w:rPr>
        <w:t xml:space="preserve"> show a perturbation in white blood cells shortly after exposure; therefore, th</w:t>
      </w:r>
      <w:r w:rsidR="00FC1E55">
        <w:rPr>
          <w:sz w:val="24"/>
          <w:szCs w:val="24"/>
        </w:rPr>
        <w:t>e po</w:t>
      </w:r>
      <w:r w:rsidR="00C617D9" w:rsidRPr="006842FC">
        <w:rPr>
          <w:sz w:val="24"/>
          <w:szCs w:val="24"/>
        </w:rPr>
        <w:t xml:space="preserve">ssibility of this perturbation among the </w:t>
      </w:r>
      <w:proofErr w:type="spellStart"/>
      <w:r w:rsidR="00C617D9" w:rsidRPr="006842FC">
        <w:rPr>
          <w:sz w:val="24"/>
          <w:szCs w:val="24"/>
        </w:rPr>
        <w:t>diazinon</w:t>
      </w:r>
      <w:proofErr w:type="spellEnd"/>
      <w:r w:rsidR="00C617D9" w:rsidRPr="006842FC">
        <w:rPr>
          <w:sz w:val="24"/>
          <w:szCs w:val="24"/>
        </w:rPr>
        <w:t xml:space="preserve"> users in the </w:t>
      </w:r>
      <w:r w:rsidR="00C617D9" w:rsidRPr="007A25F9">
        <w:rPr>
          <w:sz w:val="24"/>
          <w:szCs w:val="24"/>
        </w:rPr>
        <w:t>BEEA</w:t>
      </w:r>
      <w:r w:rsidR="00887B2B" w:rsidRPr="007A25F9">
        <w:rPr>
          <w:sz w:val="24"/>
          <w:szCs w:val="24"/>
        </w:rPr>
        <w:t xml:space="preserve"> will be evaluated</w:t>
      </w:r>
      <w:r w:rsidR="00C617D9" w:rsidRPr="007A25F9">
        <w:rPr>
          <w:sz w:val="24"/>
          <w:szCs w:val="24"/>
        </w:rPr>
        <w:t>.</w:t>
      </w:r>
    </w:p>
    <w:p w:rsidR="00A8483A" w:rsidRPr="0041692F" w:rsidRDefault="00325CCF" w:rsidP="0041692F">
      <w:pPr>
        <w:numPr>
          <w:ilvl w:val="0"/>
          <w:numId w:val="10"/>
        </w:numPr>
        <w:tabs>
          <w:tab w:val="clear" w:pos="720"/>
        </w:tabs>
        <w:spacing w:line="480" w:lineRule="auto"/>
        <w:rPr>
          <w:sz w:val="24"/>
          <w:szCs w:val="24"/>
        </w:rPr>
      </w:pPr>
      <w:r w:rsidRPr="0098479D">
        <w:rPr>
          <w:sz w:val="24"/>
          <w:szCs w:val="24"/>
        </w:rPr>
        <w:t>Identify and quantify cancer and other disease risks associated with dietary exposures and cooking practices and chemicals resulting from the cooking process.</w:t>
      </w:r>
    </w:p>
    <w:p w:rsidR="00325CCF" w:rsidRPr="0098479D" w:rsidRDefault="00325CCF" w:rsidP="00B0545A">
      <w:pPr>
        <w:spacing w:line="480" w:lineRule="auto"/>
        <w:ind w:firstLine="720"/>
        <w:rPr>
          <w:sz w:val="24"/>
          <w:szCs w:val="24"/>
        </w:rPr>
      </w:pPr>
      <w:r w:rsidRPr="0098479D">
        <w:rPr>
          <w:sz w:val="24"/>
          <w:szCs w:val="24"/>
        </w:rPr>
        <w:t xml:space="preserve">A major benefit of a prospective study is that investigators can collect data on exposure and disease as they occur instead of relying entirely on recalled information.  This approach </w:t>
      </w:r>
      <w:r w:rsidRPr="0098479D">
        <w:rPr>
          <w:sz w:val="24"/>
          <w:szCs w:val="24"/>
        </w:rPr>
        <w:lastRenderedPageBreak/>
        <w:t xml:space="preserve">reduces errors associated with recall of events that occurred prior to disease onset and will make scientific conclusions more valid.  The </w:t>
      </w:r>
      <w:r w:rsidR="003B3E45" w:rsidRPr="0098479D">
        <w:rPr>
          <w:sz w:val="24"/>
          <w:szCs w:val="24"/>
        </w:rPr>
        <w:t>phase</w:t>
      </w:r>
      <w:r w:rsidRPr="0098479D">
        <w:rPr>
          <w:sz w:val="24"/>
          <w:szCs w:val="24"/>
        </w:rPr>
        <w:t xml:space="preserve"> I enrollment questionnaires (1993-199</w:t>
      </w:r>
      <w:r w:rsidR="00DC06A2">
        <w:rPr>
          <w:sz w:val="24"/>
          <w:szCs w:val="24"/>
        </w:rPr>
        <w:t>7</w:t>
      </w:r>
      <w:r w:rsidR="0041692F">
        <w:rPr>
          <w:sz w:val="24"/>
          <w:szCs w:val="24"/>
        </w:rPr>
        <w:t>),</w:t>
      </w:r>
      <w:r w:rsidRPr="0098479D">
        <w:rPr>
          <w:sz w:val="24"/>
          <w:szCs w:val="24"/>
        </w:rPr>
        <w:t xml:space="preserve"> </w:t>
      </w:r>
      <w:r w:rsidR="003B3E45" w:rsidRPr="0098479D">
        <w:rPr>
          <w:sz w:val="24"/>
          <w:szCs w:val="24"/>
        </w:rPr>
        <w:t>phase</w:t>
      </w:r>
      <w:r w:rsidRPr="0098479D">
        <w:rPr>
          <w:sz w:val="24"/>
          <w:szCs w:val="24"/>
        </w:rPr>
        <w:t xml:space="preserve"> II telephone interviews (1998-200</w:t>
      </w:r>
      <w:r w:rsidR="00DC06A2">
        <w:rPr>
          <w:sz w:val="24"/>
          <w:szCs w:val="24"/>
        </w:rPr>
        <w:t>5</w:t>
      </w:r>
      <w:r w:rsidRPr="007A25F9">
        <w:rPr>
          <w:sz w:val="24"/>
          <w:szCs w:val="24"/>
        </w:rPr>
        <w:t>)</w:t>
      </w:r>
      <w:r w:rsidR="007D070F" w:rsidRPr="007A25F9">
        <w:rPr>
          <w:sz w:val="24"/>
          <w:szCs w:val="24"/>
        </w:rPr>
        <w:t xml:space="preserve"> and</w:t>
      </w:r>
      <w:r w:rsidR="0041692F" w:rsidRPr="007A25F9">
        <w:rPr>
          <w:sz w:val="24"/>
          <w:szCs w:val="24"/>
        </w:rPr>
        <w:t>,</w:t>
      </w:r>
      <w:r w:rsidR="007D070F" w:rsidRPr="007A25F9">
        <w:rPr>
          <w:sz w:val="24"/>
          <w:szCs w:val="24"/>
        </w:rPr>
        <w:t xml:space="preserve"> phase III telephone interviews (2005-2010) </w:t>
      </w:r>
      <w:r w:rsidRPr="007A25F9">
        <w:rPr>
          <w:sz w:val="24"/>
          <w:szCs w:val="24"/>
        </w:rPr>
        <w:t xml:space="preserve"> </w:t>
      </w:r>
      <w:r w:rsidR="0041692F" w:rsidRPr="007A25F9">
        <w:rPr>
          <w:sz w:val="24"/>
          <w:szCs w:val="24"/>
        </w:rPr>
        <w:t>previously</w:t>
      </w:r>
      <w:r w:rsidR="0041692F">
        <w:rPr>
          <w:sz w:val="24"/>
          <w:szCs w:val="24"/>
        </w:rPr>
        <w:t xml:space="preserve"> </w:t>
      </w:r>
      <w:r w:rsidRPr="00013E48">
        <w:rPr>
          <w:sz w:val="24"/>
          <w:szCs w:val="24"/>
        </w:rPr>
        <w:t>administered</w:t>
      </w:r>
      <w:r w:rsidRPr="0098479D">
        <w:rPr>
          <w:sz w:val="24"/>
          <w:szCs w:val="24"/>
        </w:rPr>
        <w:t xml:space="preserve"> gathered information on demographic characteristics, pesticide use, general health and health risk factors, diet, </w:t>
      </w:r>
      <w:proofErr w:type="spellStart"/>
      <w:r w:rsidRPr="0098479D">
        <w:rPr>
          <w:sz w:val="24"/>
          <w:szCs w:val="24"/>
        </w:rPr>
        <w:t>buccal</w:t>
      </w:r>
      <w:proofErr w:type="spellEnd"/>
      <w:r w:rsidRPr="0098479D">
        <w:rPr>
          <w:sz w:val="24"/>
          <w:szCs w:val="24"/>
        </w:rPr>
        <w:t xml:space="preserve"> cell samples, overall farming characteristics, other agriculture exposures, work practices that modify exposure, as well as on other activities that may affect either exposure or disease risks (e.g., diet, exercise, alcohol consumption, medical conditions, family history of cancer, other occupations and smoking history).  Investigators are currently comparing the number of cancer cases expected to the number that are actually identified through linkages with state cancer registries.  They are also comparing disease risks in individuals exposed to specific occupational or environmental exposures to risks in unexposed individuals.  </w:t>
      </w:r>
      <w:r w:rsidR="007D070F" w:rsidRPr="00013E48">
        <w:rPr>
          <w:sz w:val="24"/>
          <w:szCs w:val="24"/>
          <w:highlight w:val="yellow"/>
        </w:rPr>
        <w:t>This new data collection effort (</w:t>
      </w:r>
      <w:r w:rsidR="0041692F">
        <w:rPr>
          <w:sz w:val="24"/>
          <w:szCs w:val="24"/>
          <w:highlight w:val="yellow"/>
        </w:rPr>
        <w:t>p</w:t>
      </w:r>
      <w:r w:rsidR="007D070F" w:rsidRPr="00013E48">
        <w:rPr>
          <w:sz w:val="24"/>
          <w:szCs w:val="24"/>
          <w:highlight w:val="yellow"/>
        </w:rPr>
        <w:t xml:space="preserve">hase IV) will allow the identification of new cases of adult chronic diseases, not available through </w:t>
      </w:r>
      <w:r w:rsidR="002F37B3">
        <w:rPr>
          <w:sz w:val="24"/>
          <w:szCs w:val="24"/>
          <w:highlight w:val="yellow"/>
        </w:rPr>
        <w:t xml:space="preserve">disease </w:t>
      </w:r>
      <w:r w:rsidR="007D070F" w:rsidRPr="00013E48">
        <w:rPr>
          <w:sz w:val="24"/>
          <w:szCs w:val="24"/>
          <w:highlight w:val="yellow"/>
        </w:rPr>
        <w:t>registries.</w:t>
      </w:r>
    </w:p>
    <w:p w:rsidR="007837EA" w:rsidRPr="0098479D" w:rsidRDefault="00FA729D" w:rsidP="00B0545A">
      <w:pPr>
        <w:spacing w:line="480" w:lineRule="auto"/>
        <w:ind w:firstLine="720"/>
        <w:rPr>
          <w:sz w:val="24"/>
          <w:szCs w:val="24"/>
        </w:rPr>
      </w:pPr>
      <w:r w:rsidRPr="007A25F9">
        <w:rPr>
          <w:sz w:val="24"/>
          <w:szCs w:val="24"/>
          <w:highlight w:val="yellow"/>
        </w:rPr>
        <w:t xml:space="preserve">To date, </w:t>
      </w:r>
      <w:r w:rsidR="007B7021" w:rsidRPr="007A25F9">
        <w:rPr>
          <w:sz w:val="24"/>
          <w:szCs w:val="24"/>
          <w:highlight w:val="yellow"/>
        </w:rPr>
        <w:t xml:space="preserve">there </w:t>
      </w:r>
      <w:r w:rsidRPr="007A25F9">
        <w:rPr>
          <w:sz w:val="24"/>
          <w:szCs w:val="24"/>
          <w:highlight w:val="yellow"/>
        </w:rPr>
        <w:t xml:space="preserve">have </w:t>
      </w:r>
      <w:r w:rsidR="007B7021" w:rsidRPr="007A25F9">
        <w:rPr>
          <w:sz w:val="24"/>
          <w:szCs w:val="24"/>
          <w:highlight w:val="yellow"/>
        </w:rPr>
        <w:t xml:space="preserve">been </w:t>
      </w:r>
      <w:r w:rsidRPr="007A25F9">
        <w:rPr>
          <w:sz w:val="24"/>
          <w:szCs w:val="24"/>
          <w:highlight w:val="yellow"/>
        </w:rPr>
        <w:t xml:space="preserve">over </w:t>
      </w:r>
      <w:r w:rsidR="00C617D9" w:rsidRPr="007A25F9">
        <w:rPr>
          <w:sz w:val="24"/>
          <w:szCs w:val="24"/>
          <w:highlight w:val="yellow"/>
        </w:rPr>
        <w:t>140</w:t>
      </w:r>
      <w:r w:rsidRPr="007A25F9">
        <w:rPr>
          <w:sz w:val="24"/>
          <w:szCs w:val="24"/>
          <w:highlight w:val="yellow"/>
        </w:rPr>
        <w:t xml:space="preserve"> papers </w:t>
      </w:r>
      <w:r w:rsidR="007B7021" w:rsidRPr="007A25F9">
        <w:rPr>
          <w:sz w:val="24"/>
          <w:szCs w:val="24"/>
          <w:highlight w:val="yellow"/>
        </w:rPr>
        <w:t>published</w:t>
      </w:r>
      <w:r w:rsidR="007B7021">
        <w:rPr>
          <w:sz w:val="24"/>
          <w:szCs w:val="24"/>
        </w:rPr>
        <w:t xml:space="preserve"> </w:t>
      </w:r>
      <w:r w:rsidRPr="0098479D">
        <w:rPr>
          <w:sz w:val="24"/>
          <w:szCs w:val="24"/>
        </w:rPr>
        <w:t>detailing study methods and exposure assessment methods high pesticide exposure events, environmental measures, cancer and other health outcomes, and diet.</w:t>
      </w:r>
      <w:r w:rsidR="004E7AD9">
        <w:rPr>
          <w:sz w:val="24"/>
          <w:szCs w:val="24"/>
        </w:rPr>
        <w:t xml:space="preserve">  </w:t>
      </w:r>
      <w:r w:rsidR="004E7AD9" w:rsidRPr="004E7AD9">
        <w:rPr>
          <w:sz w:val="24"/>
          <w:szCs w:val="24"/>
          <w:highlight w:val="yellow"/>
        </w:rPr>
        <w:t xml:space="preserve">See </w:t>
      </w:r>
      <w:r w:rsidR="004E7AD9" w:rsidRPr="00472056">
        <w:rPr>
          <w:b/>
          <w:sz w:val="24"/>
          <w:szCs w:val="24"/>
          <w:highlight w:val="yellow"/>
        </w:rPr>
        <w:t xml:space="preserve">Attachment </w:t>
      </w:r>
      <w:r w:rsidR="00472056">
        <w:rPr>
          <w:b/>
          <w:sz w:val="24"/>
          <w:szCs w:val="24"/>
          <w:highlight w:val="yellow"/>
        </w:rPr>
        <w:t xml:space="preserve">2 </w:t>
      </w:r>
      <w:r w:rsidR="004E7AD9" w:rsidRPr="004E7AD9">
        <w:rPr>
          <w:sz w:val="24"/>
          <w:szCs w:val="24"/>
          <w:highlight w:val="yellow"/>
        </w:rPr>
        <w:t>for a list of all of the current AHS publications</w:t>
      </w:r>
      <w:r w:rsidR="006B7295" w:rsidRPr="00472056">
        <w:rPr>
          <w:sz w:val="24"/>
          <w:szCs w:val="24"/>
          <w:highlight w:val="yellow"/>
        </w:rPr>
        <w:t>.</w:t>
      </w:r>
    </w:p>
    <w:p w:rsidR="003F0F43" w:rsidRPr="0098479D" w:rsidRDefault="003F0F43" w:rsidP="00B0545A">
      <w:pPr>
        <w:spacing w:line="480" w:lineRule="auto"/>
        <w:ind w:left="360" w:firstLine="360"/>
        <w:rPr>
          <w:sz w:val="24"/>
          <w:szCs w:val="24"/>
        </w:rPr>
      </w:pPr>
    </w:p>
    <w:p w:rsidR="00325CCF" w:rsidRPr="0098479D" w:rsidRDefault="003F0F43" w:rsidP="00B0545A">
      <w:pPr>
        <w:pStyle w:val="NormalWeb"/>
        <w:spacing w:before="0" w:beforeAutospacing="0" w:after="0" w:afterAutospacing="0" w:line="480" w:lineRule="auto"/>
        <w:rPr>
          <w:rStyle w:val="Strong"/>
          <w:rFonts w:ascii="Times New Roman" w:hAnsi="Times New Roman" w:cs="Times New Roman"/>
          <w:sz w:val="24"/>
          <w:szCs w:val="24"/>
        </w:rPr>
      </w:pPr>
      <w:bookmarkStart w:id="2" w:name="OLE_LINK3"/>
      <w:bookmarkStart w:id="3" w:name="OLE_LINK4"/>
      <w:r w:rsidRPr="0098479D">
        <w:rPr>
          <w:rStyle w:val="Strong"/>
          <w:rFonts w:ascii="Times New Roman" w:hAnsi="Times New Roman" w:cs="Times New Roman"/>
          <w:sz w:val="24"/>
          <w:szCs w:val="24"/>
        </w:rPr>
        <w:t>A.</w:t>
      </w:r>
      <w:r w:rsidR="00325CCF" w:rsidRPr="0098479D">
        <w:rPr>
          <w:rStyle w:val="Strong"/>
          <w:rFonts w:ascii="Times New Roman" w:hAnsi="Times New Roman" w:cs="Times New Roman"/>
          <w:sz w:val="24"/>
          <w:szCs w:val="24"/>
        </w:rPr>
        <w:t xml:space="preserve">3  </w:t>
      </w:r>
      <w:r w:rsidR="000B1AA5" w:rsidRPr="0098479D">
        <w:rPr>
          <w:rStyle w:val="Strong"/>
          <w:rFonts w:ascii="Times New Roman" w:hAnsi="Times New Roman" w:cs="Times New Roman"/>
          <w:sz w:val="24"/>
          <w:szCs w:val="24"/>
        </w:rPr>
        <w:t xml:space="preserve"> </w:t>
      </w:r>
      <w:r w:rsidR="00F81B10">
        <w:rPr>
          <w:rStyle w:val="Strong"/>
          <w:rFonts w:ascii="Times New Roman" w:hAnsi="Times New Roman" w:cs="Times New Roman"/>
          <w:sz w:val="24"/>
          <w:szCs w:val="24"/>
        </w:rPr>
        <w:tab/>
      </w:r>
      <w:r w:rsidR="00577B75" w:rsidRPr="0098479D">
        <w:rPr>
          <w:rStyle w:val="Strong"/>
          <w:rFonts w:ascii="Times New Roman" w:hAnsi="Times New Roman" w:cs="Times New Roman"/>
          <w:sz w:val="24"/>
          <w:szCs w:val="24"/>
          <w:u w:val="single"/>
        </w:rPr>
        <w:t>Use of</w:t>
      </w:r>
      <w:r w:rsidR="00BA5DA4" w:rsidRPr="0098479D">
        <w:rPr>
          <w:rStyle w:val="Strong"/>
          <w:rFonts w:ascii="Times New Roman" w:hAnsi="Times New Roman" w:cs="Times New Roman"/>
          <w:sz w:val="24"/>
          <w:szCs w:val="24"/>
          <w:u w:val="single"/>
        </w:rPr>
        <w:t xml:space="preserve"> Improved</w:t>
      </w:r>
      <w:r w:rsidR="00577B75" w:rsidRPr="0098479D">
        <w:rPr>
          <w:rStyle w:val="Strong"/>
          <w:rFonts w:ascii="Times New Roman" w:hAnsi="Times New Roman" w:cs="Times New Roman"/>
          <w:sz w:val="24"/>
          <w:szCs w:val="24"/>
          <w:u w:val="single"/>
        </w:rPr>
        <w:t xml:space="preserve"> Information Technology and Burden Reduction</w:t>
      </w:r>
    </w:p>
    <w:p w:rsidR="00D92A83" w:rsidRDefault="00C617D9" w:rsidP="00B0545A">
      <w:pPr>
        <w:spacing w:line="480" w:lineRule="auto"/>
        <w:ind w:firstLine="720"/>
        <w:rPr>
          <w:sz w:val="24"/>
          <w:szCs w:val="24"/>
        </w:rPr>
      </w:pPr>
      <w:r w:rsidRPr="008A755E">
        <w:rPr>
          <w:sz w:val="24"/>
          <w:szCs w:val="24"/>
          <w:highlight w:val="yellow"/>
        </w:rPr>
        <w:t xml:space="preserve">During </w:t>
      </w:r>
      <w:r w:rsidR="00454C04" w:rsidRPr="008A755E">
        <w:rPr>
          <w:sz w:val="24"/>
          <w:szCs w:val="24"/>
          <w:highlight w:val="yellow"/>
        </w:rPr>
        <w:t xml:space="preserve">phase </w:t>
      </w:r>
      <w:r w:rsidR="00BA62EE" w:rsidRPr="008A755E">
        <w:rPr>
          <w:sz w:val="24"/>
          <w:szCs w:val="24"/>
          <w:highlight w:val="yellow"/>
        </w:rPr>
        <w:t>IV</w:t>
      </w:r>
      <w:r w:rsidR="00221515" w:rsidRPr="008A755E">
        <w:rPr>
          <w:sz w:val="24"/>
          <w:szCs w:val="24"/>
          <w:highlight w:val="yellow"/>
        </w:rPr>
        <w:t>,</w:t>
      </w:r>
      <w:r w:rsidRPr="008A755E">
        <w:rPr>
          <w:sz w:val="24"/>
          <w:szCs w:val="24"/>
          <w:highlight w:val="yellow"/>
        </w:rPr>
        <w:t xml:space="preserve"> </w:t>
      </w:r>
      <w:r w:rsidR="00BA62EE" w:rsidRPr="008A755E">
        <w:rPr>
          <w:sz w:val="24"/>
          <w:szCs w:val="24"/>
          <w:highlight w:val="yellow"/>
        </w:rPr>
        <w:t xml:space="preserve">a 25-minute questionnaire will be </w:t>
      </w:r>
      <w:r w:rsidR="00BA62EE" w:rsidRPr="00533AD5">
        <w:rPr>
          <w:sz w:val="24"/>
          <w:szCs w:val="24"/>
          <w:highlight w:val="yellow"/>
        </w:rPr>
        <w:t>collected by using one of three methods of the cohort member’s choosing:  self-administered computer assisted web survey (CAWI)</w:t>
      </w:r>
      <w:r w:rsidR="00FA1FF1">
        <w:rPr>
          <w:sz w:val="24"/>
          <w:szCs w:val="24"/>
          <w:highlight w:val="yellow"/>
        </w:rPr>
        <w:t xml:space="preserve"> (</w:t>
      </w:r>
      <w:r w:rsidR="00FA1FF1" w:rsidRPr="008A755E">
        <w:rPr>
          <w:b/>
          <w:sz w:val="24"/>
          <w:szCs w:val="24"/>
          <w:highlight w:val="yellow"/>
        </w:rPr>
        <w:t xml:space="preserve">Attachment </w:t>
      </w:r>
      <w:r w:rsidR="00E9373A">
        <w:rPr>
          <w:b/>
          <w:sz w:val="24"/>
          <w:szCs w:val="24"/>
          <w:highlight w:val="yellow"/>
        </w:rPr>
        <w:t>2</w:t>
      </w:r>
      <w:r w:rsidR="00386E19">
        <w:rPr>
          <w:b/>
          <w:sz w:val="24"/>
          <w:szCs w:val="24"/>
          <w:highlight w:val="yellow"/>
        </w:rPr>
        <w:t>5</w:t>
      </w:r>
      <w:r w:rsidR="00FA1FF1">
        <w:rPr>
          <w:sz w:val="24"/>
          <w:szCs w:val="24"/>
          <w:highlight w:val="yellow"/>
        </w:rPr>
        <w:t>)</w:t>
      </w:r>
      <w:r w:rsidR="00BA62EE" w:rsidRPr="00533AD5">
        <w:rPr>
          <w:sz w:val="24"/>
          <w:szCs w:val="24"/>
          <w:highlight w:val="yellow"/>
        </w:rPr>
        <w:t>; self-administered paper-and-pen (Paper/pen)</w:t>
      </w:r>
      <w:r w:rsidR="00FA1FF1">
        <w:rPr>
          <w:sz w:val="24"/>
          <w:szCs w:val="24"/>
          <w:highlight w:val="yellow"/>
        </w:rPr>
        <w:t xml:space="preserve"> (</w:t>
      </w:r>
      <w:r w:rsidR="00FA1FF1" w:rsidRPr="008A755E">
        <w:rPr>
          <w:b/>
          <w:sz w:val="24"/>
          <w:szCs w:val="24"/>
          <w:highlight w:val="yellow"/>
        </w:rPr>
        <w:t>Attachment</w:t>
      </w:r>
      <w:r w:rsidR="00E9373A">
        <w:rPr>
          <w:b/>
          <w:sz w:val="24"/>
          <w:szCs w:val="24"/>
          <w:highlight w:val="yellow"/>
        </w:rPr>
        <w:t xml:space="preserve"> 2</w:t>
      </w:r>
      <w:r w:rsidR="00386E19">
        <w:rPr>
          <w:b/>
          <w:sz w:val="24"/>
          <w:szCs w:val="24"/>
          <w:highlight w:val="yellow"/>
        </w:rPr>
        <w:t>5</w:t>
      </w:r>
      <w:r w:rsidR="00FA1FF1">
        <w:rPr>
          <w:sz w:val="24"/>
          <w:szCs w:val="24"/>
          <w:highlight w:val="yellow"/>
        </w:rPr>
        <w:t>)</w:t>
      </w:r>
      <w:r w:rsidR="00BA62EE" w:rsidRPr="00533AD5">
        <w:rPr>
          <w:sz w:val="24"/>
          <w:szCs w:val="24"/>
          <w:highlight w:val="yellow"/>
        </w:rPr>
        <w:t>; or an interviewer administered computer assisted telephone interview (CATI)</w:t>
      </w:r>
      <w:r w:rsidR="00FA1FF1">
        <w:rPr>
          <w:sz w:val="24"/>
          <w:szCs w:val="24"/>
          <w:highlight w:val="yellow"/>
        </w:rPr>
        <w:t xml:space="preserve"> (</w:t>
      </w:r>
      <w:r w:rsidR="00FA1FF1" w:rsidRPr="008A755E">
        <w:rPr>
          <w:b/>
          <w:sz w:val="24"/>
          <w:szCs w:val="24"/>
          <w:highlight w:val="yellow"/>
        </w:rPr>
        <w:t xml:space="preserve">Attachment </w:t>
      </w:r>
      <w:r w:rsidR="00E9373A">
        <w:rPr>
          <w:b/>
          <w:sz w:val="24"/>
          <w:szCs w:val="24"/>
          <w:highlight w:val="yellow"/>
        </w:rPr>
        <w:t>2</w:t>
      </w:r>
      <w:r w:rsidR="00386E19">
        <w:rPr>
          <w:b/>
          <w:sz w:val="24"/>
          <w:szCs w:val="24"/>
          <w:highlight w:val="yellow"/>
        </w:rPr>
        <w:t>5</w:t>
      </w:r>
      <w:r w:rsidR="00FA1FF1">
        <w:rPr>
          <w:sz w:val="24"/>
          <w:szCs w:val="24"/>
          <w:highlight w:val="yellow"/>
        </w:rPr>
        <w:t>)</w:t>
      </w:r>
      <w:r w:rsidR="00BA62EE" w:rsidRPr="00533AD5">
        <w:rPr>
          <w:sz w:val="24"/>
          <w:szCs w:val="24"/>
          <w:highlight w:val="yellow"/>
        </w:rPr>
        <w:t xml:space="preserve">.  </w:t>
      </w:r>
      <w:r w:rsidR="00FA1FF1">
        <w:rPr>
          <w:sz w:val="24"/>
          <w:szCs w:val="24"/>
          <w:highlight w:val="yellow"/>
        </w:rPr>
        <w:t xml:space="preserve">Proxy interviews, 15-minutes in length, </w:t>
      </w:r>
      <w:r w:rsidR="00BA62EE" w:rsidRPr="00533AD5">
        <w:rPr>
          <w:sz w:val="24"/>
          <w:szCs w:val="24"/>
          <w:highlight w:val="yellow"/>
        </w:rPr>
        <w:t xml:space="preserve">for those cohort members unable to complete the follow </w:t>
      </w:r>
      <w:r w:rsidR="00BA62EE" w:rsidRPr="00533AD5">
        <w:rPr>
          <w:sz w:val="24"/>
          <w:szCs w:val="24"/>
          <w:highlight w:val="yellow"/>
        </w:rPr>
        <w:lastRenderedPageBreak/>
        <w:t>up will be completed by using one of the three methods as well</w:t>
      </w:r>
      <w:r w:rsidR="00FA1FF1">
        <w:rPr>
          <w:sz w:val="24"/>
          <w:szCs w:val="24"/>
          <w:highlight w:val="yellow"/>
        </w:rPr>
        <w:t xml:space="preserve"> (</w:t>
      </w:r>
      <w:r w:rsidR="00FA1FF1" w:rsidRPr="0089372D">
        <w:rPr>
          <w:b/>
          <w:sz w:val="24"/>
          <w:szCs w:val="24"/>
          <w:highlight w:val="yellow"/>
        </w:rPr>
        <w:t xml:space="preserve">Attachment </w:t>
      </w:r>
      <w:r w:rsidR="00386E19" w:rsidRPr="0089372D">
        <w:rPr>
          <w:b/>
          <w:sz w:val="24"/>
          <w:szCs w:val="24"/>
          <w:highlight w:val="yellow"/>
        </w:rPr>
        <w:t>26</w:t>
      </w:r>
      <w:r w:rsidR="00FA1FF1" w:rsidRPr="0089372D">
        <w:rPr>
          <w:sz w:val="24"/>
          <w:szCs w:val="24"/>
          <w:highlight w:val="yellow"/>
        </w:rPr>
        <w:t>)</w:t>
      </w:r>
      <w:r w:rsidR="00BA62EE" w:rsidRPr="0089372D">
        <w:rPr>
          <w:sz w:val="24"/>
          <w:szCs w:val="24"/>
          <w:highlight w:val="yellow"/>
        </w:rPr>
        <w:t xml:space="preserve">. </w:t>
      </w:r>
      <w:r w:rsidR="00577B75" w:rsidRPr="0089372D">
        <w:rPr>
          <w:sz w:val="24"/>
          <w:szCs w:val="24"/>
          <w:highlight w:val="yellow"/>
        </w:rPr>
        <w:t xml:space="preserve">Prior to </w:t>
      </w:r>
      <w:r w:rsidR="00FA1FF1" w:rsidRPr="0089372D">
        <w:rPr>
          <w:sz w:val="24"/>
          <w:szCs w:val="24"/>
          <w:highlight w:val="yellow"/>
        </w:rPr>
        <w:t xml:space="preserve">completing </w:t>
      </w:r>
      <w:r w:rsidR="00577B75" w:rsidRPr="0089372D">
        <w:rPr>
          <w:sz w:val="24"/>
          <w:szCs w:val="24"/>
          <w:highlight w:val="yellow"/>
        </w:rPr>
        <w:t xml:space="preserve">the questionnaire, the respondent </w:t>
      </w:r>
      <w:r w:rsidRPr="0089372D">
        <w:rPr>
          <w:sz w:val="24"/>
          <w:szCs w:val="24"/>
          <w:highlight w:val="yellow"/>
        </w:rPr>
        <w:t xml:space="preserve">is </w:t>
      </w:r>
      <w:r w:rsidR="00577B75" w:rsidRPr="0089372D">
        <w:rPr>
          <w:sz w:val="24"/>
          <w:szCs w:val="24"/>
          <w:highlight w:val="yellow"/>
        </w:rPr>
        <w:t xml:space="preserve">screened to ensure that the </w:t>
      </w:r>
      <w:r w:rsidR="00FA1FF1" w:rsidRPr="0089372D">
        <w:rPr>
          <w:sz w:val="24"/>
          <w:szCs w:val="24"/>
          <w:highlight w:val="yellow"/>
        </w:rPr>
        <w:t xml:space="preserve">instrument corresponds to </w:t>
      </w:r>
      <w:r w:rsidR="00577B75" w:rsidRPr="0089372D">
        <w:rPr>
          <w:sz w:val="24"/>
          <w:szCs w:val="24"/>
          <w:highlight w:val="yellow"/>
        </w:rPr>
        <w:t>the correct respondent</w:t>
      </w:r>
      <w:r w:rsidR="00786434" w:rsidRPr="0089372D">
        <w:rPr>
          <w:sz w:val="24"/>
          <w:szCs w:val="24"/>
          <w:highlight w:val="yellow"/>
        </w:rPr>
        <w:t xml:space="preserve">, and to </w:t>
      </w:r>
      <w:proofErr w:type="gramStart"/>
      <w:r w:rsidR="002F37B3" w:rsidRPr="0089372D">
        <w:rPr>
          <w:sz w:val="24"/>
          <w:szCs w:val="24"/>
          <w:highlight w:val="yellow"/>
        </w:rPr>
        <w:t xml:space="preserve">obtain  </w:t>
      </w:r>
      <w:r w:rsidR="00786434" w:rsidRPr="0089372D">
        <w:rPr>
          <w:sz w:val="24"/>
          <w:szCs w:val="24"/>
          <w:highlight w:val="yellow"/>
        </w:rPr>
        <w:t>informed</w:t>
      </w:r>
      <w:proofErr w:type="gramEnd"/>
      <w:r w:rsidR="00786434" w:rsidRPr="0089372D">
        <w:rPr>
          <w:sz w:val="24"/>
          <w:szCs w:val="24"/>
          <w:highlight w:val="yellow"/>
        </w:rPr>
        <w:t xml:space="preserve"> consent (</w:t>
      </w:r>
      <w:r w:rsidR="00786434" w:rsidRPr="0089372D">
        <w:rPr>
          <w:b/>
          <w:sz w:val="24"/>
          <w:szCs w:val="24"/>
          <w:highlight w:val="yellow"/>
        </w:rPr>
        <w:t>Attachment</w:t>
      </w:r>
      <w:r w:rsidR="00386E19" w:rsidRPr="0089372D">
        <w:rPr>
          <w:b/>
          <w:sz w:val="24"/>
          <w:szCs w:val="24"/>
          <w:highlight w:val="yellow"/>
        </w:rPr>
        <w:t>s</w:t>
      </w:r>
      <w:r w:rsidR="00E9373A" w:rsidRPr="0089372D">
        <w:rPr>
          <w:b/>
          <w:sz w:val="24"/>
          <w:szCs w:val="24"/>
          <w:highlight w:val="yellow"/>
        </w:rPr>
        <w:t xml:space="preserve"> 25</w:t>
      </w:r>
      <w:r w:rsidR="00FA1FF1" w:rsidRPr="0089372D">
        <w:rPr>
          <w:b/>
          <w:sz w:val="24"/>
          <w:szCs w:val="24"/>
          <w:highlight w:val="yellow"/>
        </w:rPr>
        <w:t xml:space="preserve"> </w:t>
      </w:r>
      <w:r w:rsidR="00386E19" w:rsidRPr="0089372D">
        <w:rPr>
          <w:b/>
          <w:sz w:val="24"/>
          <w:szCs w:val="24"/>
          <w:highlight w:val="yellow"/>
        </w:rPr>
        <w:t>and 26</w:t>
      </w:r>
      <w:r w:rsidR="00786434" w:rsidRPr="0089372D">
        <w:rPr>
          <w:sz w:val="24"/>
          <w:szCs w:val="24"/>
          <w:highlight w:val="yellow"/>
        </w:rPr>
        <w:t>)</w:t>
      </w:r>
      <w:r w:rsidR="00577B75" w:rsidRPr="0089372D">
        <w:rPr>
          <w:sz w:val="24"/>
          <w:szCs w:val="24"/>
          <w:highlight w:val="yellow"/>
        </w:rPr>
        <w:t xml:space="preserve">.  </w:t>
      </w:r>
      <w:r w:rsidR="00FA1FF1" w:rsidRPr="0089372D">
        <w:rPr>
          <w:sz w:val="24"/>
          <w:szCs w:val="24"/>
          <w:highlight w:val="yellow"/>
        </w:rPr>
        <w:t xml:space="preserve">For </w:t>
      </w:r>
      <w:r w:rsidR="00FA1FF1" w:rsidRPr="00FA1FF1">
        <w:rPr>
          <w:sz w:val="24"/>
          <w:szCs w:val="24"/>
          <w:highlight w:val="yellow"/>
        </w:rPr>
        <w:t>those who prefer a telephone interview,</w:t>
      </w:r>
      <w:r w:rsidR="00FA1FF1">
        <w:rPr>
          <w:sz w:val="24"/>
          <w:szCs w:val="24"/>
        </w:rPr>
        <w:t xml:space="preserve"> </w:t>
      </w:r>
      <w:r w:rsidR="00577B75" w:rsidRPr="0098479D">
        <w:rPr>
          <w:sz w:val="24"/>
          <w:szCs w:val="24"/>
        </w:rPr>
        <w:t>Computer-Assisted Telephone Interview</w:t>
      </w:r>
      <w:r w:rsidR="001E6424" w:rsidRPr="0098479D">
        <w:rPr>
          <w:sz w:val="24"/>
          <w:szCs w:val="24"/>
        </w:rPr>
        <w:t xml:space="preserve"> (CATI</w:t>
      </w:r>
      <w:r w:rsidR="00577B75" w:rsidRPr="0098479D">
        <w:rPr>
          <w:sz w:val="24"/>
          <w:szCs w:val="24"/>
        </w:rPr>
        <w:t xml:space="preserve">) techniques will be employed. The </w:t>
      </w:r>
      <w:r w:rsidR="008A755E" w:rsidRPr="008A755E">
        <w:rPr>
          <w:sz w:val="24"/>
          <w:szCs w:val="24"/>
        </w:rPr>
        <w:t>i</w:t>
      </w:r>
      <w:r w:rsidR="00577B75" w:rsidRPr="008A755E">
        <w:rPr>
          <w:sz w:val="24"/>
          <w:szCs w:val="24"/>
        </w:rPr>
        <w:t>nterviews</w:t>
      </w:r>
      <w:r w:rsidR="00577B75" w:rsidRPr="0098479D">
        <w:rPr>
          <w:sz w:val="24"/>
          <w:szCs w:val="24"/>
        </w:rPr>
        <w:t xml:space="preserve"> </w:t>
      </w:r>
      <w:r w:rsidRPr="006842FC">
        <w:rPr>
          <w:sz w:val="24"/>
          <w:szCs w:val="24"/>
        </w:rPr>
        <w:t>are</w:t>
      </w:r>
      <w:r w:rsidR="00577B75" w:rsidRPr="0098479D">
        <w:rPr>
          <w:sz w:val="24"/>
          <w:szCs w:val="24"/>
        </w:rPr>
        <w:t xml:space="preserve"> conducted at a time that is convenient to the subject. Every effort has been made to minimize the length of the questionnaire, and to format it in a manner that optimizes clarity and minimizes the burden on the respondents</w:t>
      </w:r>
      <w:r w:rsidR="00FA1FF1">
        <w:rPr>
          <w:sz w:val="24"/>
          <w:szCs w:val="24"/>
        </w:rPr>
        <w:t xml:space="preserve"> </w:t>
      </w:r>
      <w:r w:rsidR="00FA1FF1" w:rsidRPr="00FA1FF1">
        <w:rPr>
          <w:sz w:val="24"/>
          <w:szCs w:val="24"/>
          <w:highlight w:val="yellow"/>
        </w:rPr>
        <w:t>in all three modes of collection offered</w:t>
      </w:r>
      <w:r w:rsidR="00577B75" w:rsidRPr="0098479D">
        <w:rPr>
          <w:sz w:val="24"/>
          <w:szCs w:val="24"/>
        </w:rPr>
        <w:t>.</w:t>
      </w:r>
      <w:r w:rsidR="00786434" w:rsidRPr="0098479D">
        <w:rPr>
          <w:sz w:val="24"/>
          <w:szCs w:val="24"/>
        </w:rPr>
        <w:t xml:space="preserve">  </w:t>
      </w:r>
    </w:p>
    <w:p w:rsidR="001A5986" w:rsidRPr="0098479D" w:rsidRDefault="00D92A83" w:rsidP="00B0545A">
      <w:pPr>
        <w:spacing w:line="480" w:lineRule="auto"/>
        <w:ind w:firstLine="720"/>
        <w:rPr>
          <w:sz w:val="24"/>
          <w:szCs w:val="24"/>
        </w:rPr>
      </w:pPr>
      <w:r w:rsidRPr="0089372D">
        <w:rPr>
          <w:sz w:val="24"/>
          <w:szCs w:val="24"/>
        </w:rPr>
        <w:t xml:space="preserve">Some </w:t>
      </w:r>
      <w:r w:rsidR="00C617D9" w:rsidRPr="0089372D">
        <w:rPr>
          <w:sz w:val="24"/>
          <w:szCs w:val="24"/>
        </w:rPr>
        <w:t xml:space="preserve">participants receive a contact to request the </w:t>
      </w:r>
      <w:proofErr w:type="spellStart"/>
      <w:r w:rsidR="00C617D9" w:rsidRPr="0089372D">
        <w:rPr>
          <w:sz w:val="24"/>
          <w:szCs w:val="24"/>
        </w:rPr>
        <w:t>buccal</w:t>
      </w:r>
      <w:proofErr w:type="spellEnd"/>
      <w:r w:rsidR="00C617D9" w:rsidRPr="0089372D">
        <w:rPr>
          <w:sz w:val="24"/>
          <w:szCs w:val="24"/>
        </w:rPr>
        <w:t xml:space="preserve"> sample separately from their interview contact.  </w:t>
      </w:r>
      <w:r w:rsidR="00061EBD" w:rsidRPr="0089372D">
        <w:rPr>
          <w:sz w:val="24"/>
          <w:szCs w:val="24"/>
        </w:rPr>
        <w:t xml:space="preserve">Among the participants targeted for this </w:t>
      </w:r>
      <w:proofErr w:type="spellStart"/>
      <w:r w:rsidR="00061EBD" w:rsidRPr="0089372D">
        <w:rPr>
          <w:sz w:val="24"/>
          <w:szCs w:val="24"/>
        </w:rPr>
        <w:t>buccal</w:t>
      </w:r>
      <w:proofErr w:type="spellEnd"/>
      <w:r w:rsidR="00061EBD" w:rsidRPr="0089372D">
        <w:rPr>
          <w:sz w:val="24"/>
          <w:szCs w:val="24"/>
        </w:rPr>
        <w:t xml:space="preserve"> cell collection contact will be those found to have selected</w:t>
      </w:r>
      <w:r w:rsidR="00061EBD" w:rsidRPr="0098479D">
        <w:rPr>
          <w:sz w:val="24"/>
          <w:szCs w:val="24"/>
        </w:rPr>
        <w:t xml:space="preserve"> cancers such as prostate cancer and non-Hodgkin lymphoma, in order to learning more about possible links between these cancers and pesticide use (</w:t>
      </w:r>
      <w:r w:rsidR="00061EBD" w:rsidRPr="00E9373A">
        <w:rPr>
          <w:b/>
          <w:sz w:val="24"/>
          <w:szCs w:val="24"/>
        </w:rPr>
        <w:t xml:space="preserve">Attachment </w:t>
      </w:r>
      <w:r w:rsidR="00E9373A">
        <w:rPr>
          <w:b/>
          <w:sz w:val="24"/>
          <w:szCs w:val="24"/>
        </w:rPr>
        <w:t>9</w:t>
      </w:r>
      <w:r w:rsidR="00061EBD" w:rsidRPr="0098479D">
        <w:rPr>
          <w:sz w:val="24"/>
          <w:szCs w:val="24"/>
        </w:rPr>
        <w:t xml:space="preserve">).  </w:t>
      </w:r>
      <w:r w:rsidR="00221515" w:rsidRPr="0098479D">
        <w:rPr>
          <w:sz w:val="24"/>
          <w:szCs w:val="24"/>
        </w:rPr>
        <w:t xml:space="preserve">This form of participation, including the contact to request verbal consent, completing the consent, and collecting the </w:t>
      </w:r>
      <w:proofErr w:type="spellStart"/>
      <w:r w:rsidR="00221515" w:rsidRPr="0098479D">
        <w:rPr>
          <w:sz w:val="24"/>
          <w:szCs w:val="24"/>
        </w:rPr>
        <w:t>buccal</w:t>
      </w:r>
      <w:proofErr w:type="spellEnd"/>
      <w:r w:rsidR="00221515" w:rsidRPr="0098479D">
        <w:rPr>
          <w:sz w:val="24"/>
          <w:szCs w:val="24"/>
        </w:rPr>
        <w:t xml:space="preserve"> collection kit requires approximately 5 minutes.</w:t>
      </w:r>
      <w:r w:rsidR="001A5986" w:rsidRPr="0098479D">
        <w:rPr>
          <w:sz w:val="24"/>
          <w:szCs w:val="24"/>
        </w:rPr>
        <w:t xml:space="preserve"> </w:t>
      </w:r>
    </w:p>
    <w:p w:rsidR="00C617D9" w:rsidRPr="0098479D" w:rsidRDefault="00C617D9" w:rsidP="00B0545A">
      <w:pPr>
        <w:spacing w:line="480" w:lineRule="auto"/>
        <w:ind w:firstLine="720"/>
        <w:rPr>
          <w:sz w:val="24"/>
          <w:szCs w:val="24"/>
        </w:rPr>
      </w:pPr>
      <w:r w:rsidRPr="0089372D">
        <w:rPr>
          <w:sz w:val="24"/>
          <w:szCs w:val="24"/>
          <w:highlight w:val="yellow"/>
        </w:rPr>
        <w:t xml:space="preserve">Additional contacts remaining in </w:t>
      </w:r>
      <w:r w:rsidR="00454C04" w:rsidRPr="0089372D">
        <w:rPr>
          <w:sz w:val="24"/>
          <w:szCs w:val="24"/>
          <w:highlight w:val="yellow"/>
        </w:rPr>
        <w:t xml:space="preserve">phase </w:t>
      </w:r>
      <w:r w:rsidR="003F6654" w:rsidRPr="0089372D">
        <w:rPr>
          <w:sz w:val="24"/>
          <w:szCs w:val="24"/>
          <w:highlight w:val="yellow"/>
        </w:rPr>
        <w:t xml:space="preserve">IV </w:t>
      </w:r>
      <w:r w:rsidRPr="0089372D">
        <w:rPr>
          <w:sz w:val="24"/>
          <w:szCs w:val="24"/>
          <w:highlight w:val="yellow"/>
        </w:rPr>
        <w:t xml:space="preserve">are to participants in the biomarker component of the study, BEEA.  </w:t>
      </w:r>
      <w:r w:rsidR="00144D47" w:rsidRPr="0089372D">
        <w:rPr>
          <w:sz w:val="24"/>
          <w:szCs w:val="24"/>
          <w:highlight w:val="yellow"/>
        </w:rPr>
        <w:t xml:space="preserve">From 2010 through 2015, a total of </w:t>
      </w:r>
      <w:r w:rsidR="00AB3AC9" w:rsidRPr="0089372D">
        <w:rPr>
          <w:sz w:val="24"/>
          <w:szCs w:val="24"/>
          <w:highlight w:val="yellow"/>
        </w:rPr>
        <w:t>1600 participants (1072 in Iowa, and 528 in North Carolina)</w:t>
      </w:r>
      <w:r w:rsidR="00736AE4" w:rsidRPr="0089372D">
        <w:rPr>
          <w:sz w:val="24"/>
          <w:szCs w:val="24"/>
          <w:highlight w:val="yellow"/>
        </w:rPr>
        <w:t xml:space="preserve"> will be enrolled</w:t>
      </w:r>
      <w:r w:rsidR="00144D47" w:rsidRPr="00D92A83">
        <w:rPr>
          <w:sz w:val="24"/>
          <w:szCs w:val="24"/>
          <w:highlight w:val="yellow"/>
        </w:rPr>
        <w:t>.</w:t>
      </w:r>
      <w:r w:rsidR="00AB3AC9" w:rsidRPr="00265DDD">
        <w:rPr>
          <w:sz w:val="24"/>
          <w:szCs w:val="24"/>
        </w:rPr>
        <w:t xml:space="preserve"> </w:t>
      </w:r>
      <w:r w:rsidR="00736AE4">
        <w:rPr>
          <w:sz w:val="24"/>
          <w:szCs w:val="24"/>
        </w:rPr>
        <w:t>T</w:t>
      </w:r>
      <w:r w:rsidRPr="0098479D">
        <w:rPr>
          <w:sz w:val="24"/>
          <w:szCs w:val="24"/>
        </w:rPr>
        <w:t xml:space="preserve">he BEEA participants </w:t>
      </w:r>
      <w:r w:rsidR="00736AE4">
        <w:rPr>
          <w:sz w:val="24"/>
          <w:szCs w:val="24"/>
        </w:rPr>
        <w:t xml:space="preserve">will continue </w:t>
      </w:r>
      <w:r w:rsidRPr="0098479D">
        <w:rPr>
          <w:sz w:val="24"/>
          <w:szCs w:val="24"/>
        </w:rPr>
        <w:t>to complete an in-person interview (</w:t>
      </w:r>
      <w:r w:rsidRPr="00E9373A">
        <w:rPr>
          <w:b/>
          <w:sz w:val="24"/>
          <w:szCs w:val="24"/>
        </w:rPr>
        <w:t>Attachment 19</w:t>
      </w:r>
      <w:r w:rsidRPr="0098479D">
        <w:rPr>
          <w:sz w:val="24"/>
          <w:szCs w:val="24"/>
        </w:rPr>
        <w:t xml:space="preserve">) at their home, and provide blood and urine specimens.  Approximately </w:t>
      </w:r>
      <w:r w:rsidR="00AB528B" w:rsidRPr="0098479D">
        <w:rPr>
          <w:sz w:val="24"/>
          <w:szCs w:val="24"/>
        </w:rPr>
        <w:t>2</w:t>
      </w:r>
      <w:r w:rsidRPr="0098479D">
        <w:rPr>
          <w:sz w:val="24"/>
          <w:szCs w:val="24"/>
        </w:rPr>
        <w:t>,</w:t>
      </w:r>
      <w:r w:rsidR="00AB528B" w:rsidRPr="0098479D">
        <w:rPr>
          <w:sz w:val="24"/>
          <w:szCs w:val="24"/>
        </w:rPr>
        <w:t>88</w:t>
      </w:r>
      <w:r w:rsidRPr="0098479D">
        <w:rPr>
          <w:sz w:val="24"/>
          <w:szCs w:val="24"/>
        </w:rPr>
        <w:t>0 male pesticide applicators enrolled in the AHS will be contacted by telephone about this study.  These respondents are screened to ensure they are the correct respondent, to determine eligibility (including eligibility for a blood draw), and to gain verbal informed consent (</w:t>
      </w:r>
      <w:r w:rsidR="00E9373A">
        <w:rPr>
          <w:b/>
          <w:sz w:val="24"/>
          <w:szCs w:val="24"/>
        </w:rPr>
        <w:t>Attachment</w:t>
      </w:r>
      <w:r w:rsidR="0089372D">
        <w:rPr>
          <w:b/>
          <w:sz w:val="24"/>
          <w:szCs w:val="24"/>
        </w:rPr>
        <w:t>s</w:t>
      </w:r>
      <w:r w:rsidR="00E9373A">
        <w:rPr>
          <w:b/>
          <w:sz w:val="24"/>
          <w:szCs w:val="24"/>
        </w:rPr>
        <w:t xml:space="preserve"> 20 and</w:t>
      </w:r>
      <w:r w:rsidRPr="00E9373A">
        <w:rPr>
          <w:b/>
          <w:sz w:val="24"/>
          <w:szCs w:val="24"/>
        </w:rPr>
        <w:t xml:space="preserve"> </w:t>
      </w:r>
      <w:r w:rsidR="00E9373A">
        <w:rPr>
          <w:b/>
          <w:sz w:val="24"/>
          <w:szCs w:val="24"/>
        </w:rPr>
        <w:t>21</w:t>
      </w:r>
      <w:r w:rsidRPr="0098479D">
        <w:rPr>
          <w:sz w:val="24"/>
          <w:szCs w:val="24"/>
        </w:rPr>
        <w:t xml:space="preserve">).  Additionally, all of the AHS participants who are </w:t>
      </w:r>
      <w:r w:rsidRPr="0098479D">
        <w:rPr>
          <w:sz w:val="24"/>
          <w:szCs w:val="24"/>
        </w:rPr>
        <w:lastRenderedPageBreak/>
        <w:t xml:space="preserve">contacted by phone (including those who decline to participate in the BEEA Study or are ineligible) will be asked for permission to collect some information about their cancer screening practices.  If they verbally consent, </w:t>
      </w:r>
      <w:r w:rsidRPr="004D4448">
        <w:rPr>
          <w:sz w:val="24"/>
          <w:szCs w:val="24"/>
        </w:rPr>
        <w:t xml:space="preserve">three questions </w:t>
      </w:r>
      <w:r w:rsidR="00736AE4" w:rsidRPr="004D4448">
        <w:rPr>
          <w:sz w:val="24"/>
          <w:szCs w:val="24"/>
        </w:rPr>
        <w:t xml:space="preserve">are asked </w:t>
      </w:r>
      <w:r w:rsidRPr="004D4448">
        <w:rPr>
          <w:sz w:val="24"/>
          <w:szCs w:val="24"/>
        </w:rPr>
        <w:t>regarding</w:t>
      </w:r>
      <w:r w:rsidRPr="0098479D">
        <w:rPr>
          <w:sz w:val="24"/>
          <w:szCs w:val="24"/>
        </w:rPr>
        <w:t xml:space="preserve"> their history of cancer screening tests, including digital rectal exams, PSA testing, and colonoscopies and </w:t>
      </w:r>
      <w:proofErr w:type="spellStart"/>
      <w:r w:rsidRPr="0098479D">
        <w:rPr>
          <w:sz w:val="24"/>
          <w:szCs w:val="24"/>
        </w:rPr>
        <w:t>sigmoidoscopies</w:t>
      </w:r>
      <w:proofErr w:type="spellEnd"/>
      <w:r w:rsidRPr="0098479D">
        <w:rPr>
          <w:sz w:val="24"/>
          <w:szCs w:val="24"/>
        </w:rPr>
        <w:t>. This initial telephone contact will take approximately 5 minutes to complete.</w:t>
      </w:r>
    </w:p>
    <w:p w:rsidR="00ED54D8" w:rsidRPr="0098479D" w:rsidRDefault="00C617D9" w:rsidP="00B0545A">
      <w:pPr>
        <w:spacing w:line="480" w:lineRule="auto"/>
        <w:ind w:firstLine="720"/>
        <w:rPr>
          <w:sz w:val="24"/>
          <w:szCs w:val="24"/>
        </w:rPr>
      </w:pPr>
      <w:r w:rsidRPr="0098479D">
        <w:rPr>
          <w:sz w:val="24"/>
          <w:szCs w:val="24"/>
        </w:rPr>
        <w:t>Participants in the home visit component of the BEEA (N=</w:t>
      </w:r>
      <w:r w:rsidR="00AB528B" w:rsidRPr="0098479D">
        <w:rPr>
          <w:sz w:val="24"/>
          <w:szCs w:val="24"/>
        </w:rPr>
        <w:t>960</w:t>
      </w:r>
      <w:r w:rsidRPr="0098479D">
        <w:rPr>
          <w:sz w:val="24"/>
          <w:szCs w:val="24"/>
        </w:rPr>
        <w:t xml:space="preserve">) will be scheduled to receive a visit at a time that is convenient to them.  They will be administered a structured, computer-assisted in-person interview (CAPI), a format of interview that again minimizes the burden on the respondents.  The time required to complete one home visit, including reviewing the written informed consent form, administering the CAPI, and collecting the blood and urine samples, is approximately </w:t>
      </w:r>
      <w:r w:rsidR="008240CC" w:rsidRPr="0098479D">
        <w:rPr>
          <w:sz w:val="24"/>
          <w:szCs w:val="24"/>
        </w:rPr>
        <w:t>95</w:t>
      </w:r>
      <w:r w:rsidRPr="0098479D">
        <w:rPr>
          <w:sz w:val="24"/>
          <w:szCs w:val="24"/>
        </w:rPr>
        <w:t xml:space="preserve"> minutes.  </w:t>
      </w:r>
    </w:p>
    <w:p w:rsidR="00C617D9" w:rsidRPr="0098479D" w:rsidRDefault="002B36F1" w:rsidP="00B0545A">
      <w:pPr>
        <w:spacing w:line="480" w:lineRule="auto"/>
        <w:ind w:firstLine="720"/>
        <w:rPr>
          <w:sz w:val="24"/>
          <w:szCs w:val="24"/>
        </w:rPr>
      </w:pPr>
      <w:r w:rsidRPr="0098479D">
        <w:rPr>
          <w:sz w:val="24"/>
          <w:szCs w:val="24"/>
        </w:rPr>
        <w:t>Thirty</w:t>
      </w:r>
      <w:r w:rsidR="00C617D9" w:rsidRPr="0098479D">
        <w:rPr>
          <w:sz w:val="24"/>
          <w:szCs w:val="24"/>
        </w:rPr>
        <w:t xml:space="preserve"> BEEA participants, identified during the telephone screener according to their reported plans to use </w:t>
      </w:r>
      <w:proofErr w:type="spellStart"/>
      <w:r w:rsidR="00C617D9" w:rsidRPr="0098479D">
        <w:rPr>
          <w:sz w:val="24"/>
          <w:szCs w:val="24"/>
        </w:rPr>
        <w:t>diazinon</w:t>
      </w:r>
      <w:proofErr w:type="spellEnd"/>
      <w:r w:rsidR="00C617D9" w:rsidRPr="0098479D">
        <w:rPr>
          <w:sz w:val="24"/>
          <w:szCs w:val="24"/>
        </w:rPr>
        <w:t xml:space="preserve"> in the coming year, will be asked to complete two additional home visits.  These two visits will be typically occur several months after the initial visit, but must occur within proscribed time windows around the actual dates the respondent uses </w:t>
      </w:r>
      <w:proofErr w:type="spellStart"/>
      <w:r w:rsidR="00C617D9" w:rsidRPr="0098479D">
        <w:rPr>
          <w:sz w:val="24"/>
          <w:szCs w:val="24"/>
        </w:rPr>
        <w:t>diazinon</w:t>
      </w:r>
      <w:proofErr w:type="spellEnd"/>
      <w:r w:rsidR="00C617D9" w:rsidRPr="0098479D">
        <w:rPr>
          <w:sz w:val="24"/>
          <w:szCs w:val="24"/>
        </w:rPr>
        <w:t xml:space="preserve"> – specifically, one day after final use and again 21 days from this time.  </w:t>
      </w:r>
    </w:p>
    <w:p w:rsidR="002345F8" w:rsidRPr="0098479D" w:rsidRDefault="00CF5963" w:rsidP="00B0545A">
      <w:pPr>
        <w:spacing w:line="480" w:lineRule="auto"/>
        <w:ind w:firstLine="720"/>
        <w:rPr>
          <w:color w:val="000000"/>
          <w:sz w:val="24"/>
          <w:szCs w:val="24"/>
        </w:rPr>
      </w:pPr>
      <w:proofErr w:type="gramStart"/>
      <w:r w:rsidRPr="004D4448">
        <w:rPr>
          <w:color w:val="000000"/>
          <w:sz w:val="24"/>
          <w:szCs w:val="24"/>
          <w:highlight w:val="yellow"/>
        </w:rPr>
        <w:t xml:space="preserve">Two </w:t>
      </w:r>
      <w:r w:rsidR="00495D71" w:rsidRPr="004D4448">
        <w:rPr>
          <w:color w:val="000000"/>
          <w:sz w:val="24"/>
          <w:szCs w:val="24"/>
          <w:highlight w:val="yellow"/>
        </w:rPr>
        <w:t>Privacy Impact Assessment</w:t>
      </w:r>
      <w:r w:rsidRPr="004D4448">
        <w:rPr>
          <w:color w:val="000000"/>
          <w:sz w:val="24"/>
          <w:szCs w:val="24"/>
          <w:highlight w:val="yellow"/>
        </w:rPr>
        <w:t>’s</w:t>
      </w:r>
      <w:r w:rsidR="00495D71" w:rsidRPr="004D4448">
        <w:rPr>
          <w:color w:val="000000"/>
          <w:sz w:val="24"/>
          <w:szCs w:val="24"/>
          <w:highlight w:val="yellow"/>
        </w:rPr>
        <w:t xml:space="preserve"> (PIA)</w:t>
      </w:r>
      <w:proofErr w:type="gramEnd"/>
      <w:r w:rsidR="00495D71" w:rsidRPr="004D4448">
        <w:rPr>
          <w:color w:val="000000"/>
          <w:sz w:val="24"/>
          <w:szCs w:val="24"/>
          <w:highlight w:val="yellow"/>
        </w:rPr>
        <w:t xml:space="preserve"> </w:t>
      </w:r>
      <w:r w:rsidRPr="004D4448">
        <w:rPr>
          <w:color w:val="000000"/>
          <w:sz w:val="24"/>
          <w:szCs w:val="24"/>
          <w:highlight w:val="yellow"/>
        </w:rPr>
        <w:t xml:space="preserve">have been </w:t>
      </w:r>
      <w:r w:rsidR="00495D71" w:rsidRPr="004D4448">
        <w:rPr>
          <w:color w:val="000000"/>
          <w:sz w:val="24"/>
          <w:szCs w:val="24"/>
          <w:highlight w:val="yellow"/>
        </w:rPr>
        <w:t xml:space="preserve">promoted </w:t>
      </w:r>
      <w:r w:rsidRPr="004D4448">
        <w:rPr>
          <w:color w:val="000000"/>
          <w:sz w:val="24"/>
          <w:szCs w:val="24"/>
          <w:highlight w:val="yellow"/>
        </w:rPr>
        <w:t xml:space="preserve">and approved by </w:t>
      </w:r>
      <w:r w:rsidR="00495D71" w:rsidRPr="004D4448">
        <w:rPr>
          <w:color w:val="000000"/>
          <w:sz w:val="24"/>
          <w:szCs w:val="24"/>
          <w:highlight w:val="yellow"/>
        </w:rPr>
        <w:t xml:space="preserve">the Department of Health and Human Services in </w:t>
      </w:r>
      <w:r w:rsidRPr="004D4448">
        <w:rPr>
          <w:color w:val="000000"/>
          <w:sz w:val="24"/>
          <w:szCs w:val="24"/>
          <w:highlight w:val="yellow"/>
        </w:rPr>
        <w:t>2012</w:t>
      </w:r>
      <w:r w:rsidR="00495D71" w:rsidRPr="004D4448">
        <w:rPr>
          <w:color w:val="000000"/>
          <w:sz w:val="24"/>
          <w:szCs w:val="24"/>
          <w:highlight w:val="yellow"/>
        </w:rPr>
        <w:t>.</w:t>
      </w:r>
      <w:r w:rsidR="00A13585" w:rsidRPr="0098479D">
        <w:rPr>
          <w:color w:val="000000"/>
          <w:sz w:val="24"/>
          <w:szCs w:val="24"/>
        </w:rPr>
        <w:t xml:space="preserve">  </w:t>
      </w:r>
      <w:r w:rsidR="00FE5223" w:rsidRPr="0098479D">
        <w:rPr>
          <w:color w:val="000000"/>
          <w:sz w:val="24"/>
          <w:szCs w:val="24"/>
        </w:rPr>
        <w:t>A PIA is designed to</w:t>
      </w:r>
      <w:r w:rsidR="008A6583" w:rsidRPr="0098479D">
        <w:rPr>
          <w:color w:val="000000"/>
          <w:sz w:val="24"/>
          <w:szCs w:val="24"/>
        </w:rPr>
        <w:t xml:space="preserve"> identify and protect employee and public citizens’ personally identifiable information (PII) and it ensures that the government has considered necessary safeguards for the PII passing through or being collected, maintained, or disseminated in the AHS’s IT systems</w:t>
      </w:r>
      <w:r w:rsidR="00FE5223" w:rsidRPr="0098479D">
        <w:rPr>
          <w:color w:val="000000"/>
          <w:sz w:val="24"/>
          <w:szCs w:val="24"/>
        </w:rPr>
        <w:t xml:space="preserve">.  </w:t>
      </w:r>
      <w:r w:rsidR="00495D71" w:rsidRPr="004D4448">
        <w:rPr>
          <w:color w:val="000000"/>
          <w:sz w:val="24"/>
          <w:szCs w:val="24"/>
          <w:highlight w:val="yellow"/>
        </w:rPr>
        <w:t>The name</w:t>
      </w:r>
      <w:r w:rsidR="002B36F1" w:rsidRPr="004D4448">
        <w:rPr>
          <w:color w:val="000000"/>
          <w:sz w:val="24"/>
          <w:szCs w:val="24"/>
          <w:highlight w:val="yellow"/>
        </w:rPr>
        <w:t>s</w:t>
      </w:r>
      <w:r w:rsidR="00495D71" w:rsidRPr="004D4448">
        <w:rPr>
          <w:color w:val="000000"/>
          <w:sz w:val="24"/>
          <w:szCs w:val="24"/>
          <w:highlight w:val="yellow"/>
        </w:rPr>
        <w:t xml:space="preserve"> of the IT systems for this project </w:t>
      </w:r>
      <w:r w:rsidR="002B36F1" w:rsidRPr="004D4448">
        <w:rPr>
          <w:color w:val="000000"/>
          <w:sz w:val="24"/>
          <w:szCs w:val="24"/>
          <w:highlight w:val="yellow"/>
        </w:rPr>
        <w:t>are</w:t>
      </w:r>
      <w:r w:rsidR="00495D71" w:rsidRPr="004D4448">
        <w:rPr>
          <w:color w:val="000000"/>
          <w:sz w:val="24"/>
          <w:szCs w:val="24"/>
          <w:highlight w:val="yellow"/>
        </w:rPr>
        <w:t xml:space="preserve"> titled, “NIH N</w:t>
      </w:r>
      <w:r w:rsidRPr="004D4448">
        <w:rPr>
          <w:color w:val="000000"/>
          <w:sz w:val="24"/>
          <w:szCs w:val="24"/>
          <w:highlight w:val="yellow"/>
        </w:rPr>
        <w:t>IEHS</w:t>
      </w:r>
      <w:r w:rsidR="00495D71" w:rsidRPr="004D4448">
        <w:rPr>
          <w:color w:val="000000"/>
          <w:sz w:val="24"/>
          <w:szCs w:val="24"/>
          <w:highlight w:val="yellow"/>
        </w:rPr>
        <w:t xml:space="preserve"> Agricultural Health Study (AHS)” and “NIH NCI Agricultural Health Study – Westat (AHSW)”</w:t>
      </w:r>
      <w:r w:rsidRPr="004D4448">
        <w:rPr>
          <w:color w:val="000000"/>
          <w:sz w:val="24"/>
          <w:szCs w:val="24"/>
          <w:highlight w:val="yellow"/>
        </w:rPr>
        <w:t xml:space="preserve"> (</w:t>
      </w:r>
      <w:r w:rsidRPr="004D4448">
        <w:rPr>
          <w:b/>
          <w:color w:val="000000"/>
          <w:sz w:val="24"/>
          <w:szCs w:val="24"/>
          <w:highlight w:val="yellow"/>
        </w:rPr>
        <w:t>Attachment</w:t>
      </w:r>
      <w:r w:rsidR="00E9373A" w:rsidRPr="004D4448">
        <w:rPr>
          <w:b/>
          <w:color w:val="000000"/>
          <w:sz w:val="24"/>
          <w:szCs w:val="24"/>
          <w:highlight w:val="yellow"/>
        </w:rPr>
        <w:t xml:space="preserve"> </w:t>
      </w:r>
      <w:r w:rsidR="00490BC2" w:rsidRPr="004D4448">
        <w:rPr>
          <w:b/>
          <w:color w:val="000000"/>
          <w:sz w:val="24"/>
          <w:szCs w:val="24"/>
          <w:highlight w:val="yellow"/>
        </w:rPr>
        <w:t>28</w:t>
      </w:r>
      <w:r w:rsidRPr="004D4448">
        <w:rPr>
          <w:color w:val="000000"/>
          <w:sz w:val="24"/>
          <w:szCs w:val="24"/>
          <w:highlight w:val="yellow"/>
        </w:rPr>
        <w:t>).</w:t>
      </w:r>
    </w:p>
    <w:bookmarkEnd w:id="2"/>
    <w:bookmarkEnd w:id="3"/>
    <w:p w:rsidR="00325CCF" w:rsidRPr="0098479D" w:rsidRDefault="003F0F43" w:rsidP="00B0545A">
      <w:pPr>
        <w:spacing w:line="480" w:lineRule="auto"/>
        <w:rPr>
          <w:b/>
          <w:sz w:val="24"/>
          <w:szCs w:val="24"/>
          <w:u w:val="single"/>
        </w:rPr>
      </w:pPr>
      <w:r w:rsidRPr="0098479D">
        <w:rPr>
          <w:b/>
          <w:sz w:val="24"/>
          <w:szCs w:val="24"/>
        </w:rPr>
        <w:lastRenderedPageBreak/>
        <w:t>A.</w:t>
      </w:r>
      <w:r w:rsidR="00577B75" w:rsidRPr="0098479D">
        <w:rPr>
          <w:b/>
          <w:sz w:val="24"/>
          <w:szCs w:val="24"/>
        </w:rPr>
        <w:t xml:space="preserve">4  </w:t>
      </w:r>
      <w:r w:rsidR="000B1AA5" w:rsidRPr="0098479D">
        <w:rPr>
          <w:b/>
          <w:sz w:val="24"/>
          <w:szCs w:val="24"/>
        </w:rPr>
        <w:t xml:space="preserve"> </w:t>
      </w:r>
      <w:r w:rsidR="00F81B10">
        <w:rPr>
          <w:b/>
          <w:sz w:val="24"/>
          <w:szCs w:val="24"/>
        </w:rPr>
        <w:tab/>
      </w:r>
      <w:r w:rsidR="00577B75" w:rsidRPr="0098479D">
        <w:rPr>
          <w:b/>
          <w:sz w:val="24"/>
          <w:szCs w:val="24"/>
          <w:u w:val="single"/>
        </w:rPr>
        <w:t>Efforts to Identify Duplication and Use of Similar Information</w:t>
      </w:r>
    </w:p>
    <w:p w:rsidR="00324183" w:rsidRPr="0098479D" w:rsidRDefault="00577B75" w:rsidP="00B0545A">
      <w:pPr>
        <w:spacing w:line="480" w:lineRule="auto"/>
        <w:ind w:firstLine="720"/>
        <w:rPr>
          <w:sz w:val="24"/>
          <w:szCs w:val="24"/>
        </w:rPr>
      </w:pPr>
      <w:r w:rsidRPr="0098479D">
        <w:rPr>
          <w:sz w:val="24"/>
          <w:szCs w:val="24"/>
        </w:rPr>
        <w:t xml:space="preserve">There is no other source of similar information to that which will be collected in this effort. </w:t>
      </w:r>
      <w:r w:rsidR="00B46FA0" w:rsidRPr="0098479D">
        <w:rPr>
          <w:sz w:val="24"/>
          <w:szCs w:val="24"/>
        </w:rPr>
        <w:t>Most</w:t>
      </w:r>
      <w:r w:rsidRPr="0098479D">
        <w:rPr>
          <w:sz w:val="24"/>
          <w:szCs w:val="24"/>
        </w:rPr>
        <w:t xml:space="preserve"> epidemiologic studies of </w:t>
      </w:r>
      <w:r w:rsidR="00324183" w:rsidRPr="0098479D">
        <w:rPr>
          <w:sz w:val="24"/>
          <w:szCs w:val="24"/>
        </w:rPr>
        <w:t xml:space="preserve">farming and pesticides </w:t>
      </w:r>
      <w:r w:rsidRPr="0098479D">
        <w:rPr>
          <w:sz w:val="24"/>
          <w:szCs w:val="24"/>
        </w:rPr>
        <w:t>have been conducted</w:t>
      </w:r>
      <w:r w:rsidR="00C617D9" w:rsidRPr="0098479D">
        <w:rPr>
          <w:sz w:val="24"/>
          <w:szCs w:val="24"/>
        </w:rPr>
        <w:t xml:space="preserve"> </w:t>
      </w:r>
      <w:r w:rsidR="00C617D9" w:rsidRPr="006842FC">
        <w:rPr>
          <w:sz w:val="24"/>
          <w:szCs w:val="24"/>
        </w:rPr>
        <w:t>retrospectively</w:t>
      </w:r>
      <w:r w:rsidR="00394D2E" w:rsidRPr="006842FC">
        <w:rPr>
          <w:sz w:val="24"/>
          <w:szCs w:val="24"/>
        </w:rPr>
        <w:t xml:space="preserve"> and</w:t>
      </w:r>
      <w:r w:rsidRPr="006842FC">
        <w:rPr>
          <w:sz w:val="24"/>
          <w:szCs w:val="24"/>
        </w:rPr>
        <w:t xml:space="preserve"> </w:t>
      </w:r>
      <w:r w:rsidRPr="0098479D">
        <w:rPr>
          <w:sz w:val="24"/>
          <w:szCs w:val="24"/>
        </w:rPr>
        <w:t xml:space="preserve">these studies have had many weaknesses.  Most relied on rather crude indicators of exposure, </w:t>
      </w:r>
      <w:r w:rsidR="00324183" w:rsidRPr="0098479D">
        <w:rPr>
          <w:sz w:val="24"/>
          <w:szCs w:val="24"/>
        </w:rPr>
        <w:t xml:space="preserve">such as farming or use of general pesticide classes, while very few have </w:t>
      </w:r>
      <w:r w:rsidRPr="0098479D">
        <w:rPr>
          <w:sz w:val="24"/>
          <w:szCs w:val="24"/>
        </w:rPr>
        <w:t xml:space="preserve">employed </w:t>
      </w:r>
      <w:r w:rsidR="009F0820" w:rsidRPr="0098479D">
        <w:rPr>
          <w:sz w:val="24"/>
          <w:szCs w:val="24"/>
        </w:rPr>
        <w:t xml:space="preserve">comprehensive, </w:t>
      </w:r>
      <w:r w:rsidRPr="0098479D">
        <w:rPr>
          <w:sz w:val="24"/>
          <w:szCs w:val="24"/>
        </w:rPr>
        <w:t xml:space="preserve">quantitative measurements of </w:t>
      </w:r>
      <w:r w:rsidR="00324183" w:rsidRPr="0098479D">
        <w:rPr>
          <w:sz w:val="24"/>
          <w:szCs w:val="24"/>
        </w:rPr>
        <w:t>specific pesticides</w:t>
      </w:r>
      <w:r w:rsidR="009F0820" w:rsidRPr="0098479D">
        <w:rPr>
          <w:sz w:val="24"/>
          <w:szCs w:val="24"/>
        </w:rPr>
        <w:t xml:space="preserve"> as we do in the AHS.</w:t>
      </w:r>
      <w:r w:rsidR="00324183" w:rsidRPr="0098479D">
        <w:rPr>
          <w:sz w:val="24"/>
          <w:szCs w:val="24"/>
        </w:rPr>
        <w:t xml:space="preserve"> </w:t>
      </w:r>
    </w:p>
    <w:p w:rsidR="00082211" w:rsidRPr="0098479D" w:rsidRDefault="009F0820" w:rsidP="00B0545A">
      <w:pPr>
        <w:spacing w:line="480" w:lineRule="auto"/>
        <w:ind w:firstLine="720"/>
        <w:rPr>
          <w:sz w:val="24"/>
          <w:szCs w:val="24"/>
        </w:rPr>
      </w:pPr>
      <w:r w:rsidRPr="0098479D">
        <w:rPr>
          <w:sz w:val="24"/>
          <w:szCs w:val="24"/>
        </w:rPr>
        <w:t>C</w:t>
      </w:r>
      <w:r w:rsidR="00577B75" w:rsidRPr="0098479D">
        <w:rPr>
          <w:sz w:val="24"/>
          <w:szCs w:val="24"/>
        </w:rPr>
        <w:t xml:space="preserve">ontrol of confounding by cigarette smoking and other </w:t>
      </w:r>
      <w:r w:rsidRPr="0098479D">
        <w:rPr>
          <w:sz w:val="24"/>
          <w:szCs w:val="24"/>
        </w:rPr>
        <w:t xml:space="preserve">lifestyle </w:t>
      </w:r>
      <w:r w:rsidR="00577B75" w:rsidRPr="0098479D">
        <w:rPr>
          <w:sz w:val="24"/>
          <w:szCs w:val="24"/>
        </w:rPr>
        <w:t xml:space="preserve">factors has been a problem in </w:t>
      </w:r>
      <w:r w:rsidRPr="0098479D">
        <w:rPr>
          <w:sz w:val="24"/>
          <w:szCs w:val="24"/>
        </w:rPr>
        <w:t>almost all previous studies</w:t>
      </w:r>
      <w:r w:rsidR="00577B75" w:rsidRPr="0098479D">
        <w:rPr>
          <w:sz w:val="24"/>
          <w:szCs w:val="24"/>
        </w:rPr>
        <w:t xml:space="preserve">.  These weaknesses make it difficult to draw reliable conclusions from past studies. </w:t>
      </w:r>
      <w:r w:rsidR="00324183" w:rsidRPr="0098479D">
        <w:rPr>
          <w:sz w:val="24"/>
          <w:szCs w:val="24"/>
        </w:rPr>
        <w:t xml:space="preserve"> E</w:t>
      </w:r>
      <w:r w:rsidR="00577B75" w:rsidRPr="0098479D">
        <w:rPr>
          <w:sz w:val="24"/>
          <w:szCs w:val="24"/>
        </w:rPr>
        <w:t>xposure assessment is particularly strengthened by the</w:t>
      </w:r>
      <w:r w:rsidR="00324183" w:rsidRPr="0098479D">
        <w:rPr>
          <w:sz w:val="24"/>
          <w:szCs w:val="24"/>
        </w:rPr>
        <w:t xml:space="preserve"> prospective design of the study and design of the questionnaires</w:t>
      </w:r>
      <w:r w:rsidR="00577B75" w:rsidRPr="0098479D">
        <w:rPr>
          <w:sz w:val="24"/>
          <w:szCs w:val="24"/>
        </w:rPr>
        <w:t>.</w:t>
      </w:r>
      <w:r w:rsidR="00324183" w:rsidRPr="0098479D">
        <w:rPr>
          <w:sz w:val="24"/>
          <w:szCs w:val="24"/>
        </w:rPr>
        <w:t xml:space="preserve"> </w:t>
      </w:r>
    </w:p>
    <w:p w:rsidR="002450D6" w:rsidRPr="0098479D" w:rsidRDefault="00F37212" w:rsidP="00B0545A">
      <w:pPr>
        <w:spacing w:line="480" w:lineRule="auto"/>
        <w:ind w:firstLine="720"/>
        <w:rPr>
          <w:sz w:val="24"/>
          <w:szCs w:val="24"/>
        </w:rPr>
      </w:pPr>
      <w:r w:rsidRPr="00AD5526">
        <w:rPr>
          <w:sz w:val="24"/>
          <w:szCs w:val="24"/>
          <w:highlight w:val="yellow"/>
        </w:rPr>
        <w:t>The</w:t>
      </w:r>
      <w:r w:rsidR="00DF4BD8" w:rsidRPr="00AD5526">
        <w:rPr>
          <w:sz w:val="24"/>
          <w:szCs w:val="24"/>
          <w:highlight w:val="yellow"/>
        </w:rPr>
        <w:t xml:space="preserve"> </w:t>
      </w:r>
      <w:r w:rsidRPr="00AD5526">
        <w:rPr>
          <w:sz w:val="24"/>
          <w:szCs w:val="24"/>
          <w:highlight w:val="yellow"/>
        </w:rPr>
        <w:t>investigators</w:t>
      </w:r>
      <w:r w:rsidR="00DF4BD8" w:rsidRPr="00AD5526">
        <w:rPr>
          <w:sz w:val="24"/>
          <w:szCs w:val="24"/>
          <w:highlight w:val="yellow"/>
        </w:rPr>
        <w:t xml:space="preserve"> for AHS</w:t>
      </w:r>
      <w:r w:rsidRPr="00AD5526">
        <w:rPr>
          <w:sz w:val="24"/>
          <w:szCs w:val="24"/>
          <w:highlight w:val="yellow"/>
        </w:rPr>
        <w:t xml:space="preserve"> </w:t>
      </w:r>
      <w:r w:rsidR="00B738F1" w:rsidRPr="00AD5526">
        <w:rPr>
          <w:sz w:val="24"/>
          <w:szCs w:val="24"/>
          <w:highlight w:val="yellow"/>
        </w:rPr>
        <w:t>are members of</w:t>
      </w:r>
      <w:r w:rsidRPr="00AD5526">
        <w:rPr>
          <w:sz w:val="24"/>
          <w:szCs w:val="24"/>
          <w:highlight w:val="yellow"/>
        </w:rPr>
        <w:t xml:space="preserve"> </w:t>
      </w:r>
      <w:r w:rsidR="00743E11" w:rsidRPr="00F81B10">
        <w:rPr>
          <w:sz w:val="24"/>
          <w:szCs w:val="24"/>
          <w:highlight w:val="yellow"/>
        </w:rPr>
        <w:t xml:space="preserve">AGRICOH, </w:t>
      </w:r>
      <w:r w:rsidR="00F81B10" w:rsidRPr="00F81B10">
        <w:rPr>
          <w:sz w:val="24"/>
          <w:szCs w:val="24"/>
          <w:highlight w:val="yellow"/>
        </w:rPr>
        <w:t>an i</w:t>
      </w:r>
      <w:r w:rsidR="00743E11" w:rsidRPr="00F81B10">
        <w:rPr>
          <w:sz w:val="24"/>
          <w:szCs w:val="24"/>
          <w:highlight w:val="yellow"/>
        </w:rPr>
        <w:t>nternational consortium of agricultural cohort studies</w:t>
      </w:r>
      <w:r w:rsidR="00F81B10" w:rsidRPr="00AD5526">
        <w:rPr>
          <w:sz w:val="24"/>
          <w:szCs w:val="24"/>
          <w:highlight w:val="yellow"/>
        </w:rPr>
        <w:t xml:space="preserve"> (http://agricoh.iarc.fr/)</w:t>
      </w:r>
      <w:r w:rsidR="00B46FA0" w:rsidRPr="00AD5526">
        <w:rPr>
          <w:sz w:val="24"/>
          <w:szCs w:val="24"/>
          <w:highlight w:val="yellow"/>
        </w:rPr>
        <w:t xml:space="preserve"> (</w:t>
      </w:r>
      <w:r w:rsidR="00B46FA0" w:rsidRPr="00AD5526">
        <w:rPr>
          <w:b/>
          <w:sz w:val="24"/>
          <w:szCs w:val="24"/>
          <w:highlight w:val="yellow"/>
        </w:rPr>
        <w:t xml:space="preserve">Attachment </w:t>
      </w:r>
      <w:r w:rsidR="006A6709">
        <w:rPr>
          <w:b/>
          <w:sz w:val="24"/>
          <w:szCs w:val="24"/>
          <w:highlight w:val="yellow"/>
        </w:rPr>
        <w:t>3</w:t>
      </w:r>
      <w:r w:rsidR="00B46FA0" w:rsidRPr="00AD5526">
        <w:rPr>
          <w:sz w:val="24"/>
          <w:szCs w:val="24"/>
          <w:highlight w:val="yellow"/>
        </w:rPr>
        <w:t>)</w:t>
      </w:r>
      <w:r w:rsidR="00B738F1" w:rsidRPr="00AD5526">
        <w:rPr>
          <w:sz w:val="24"/>
          <w:szCs w:val="24"/>
          <w:highlight w:val="yellow"/>
        </w:rPr>
        <w:t>, whose objectives are to characterize ongoing and planned studies, identify area</w:t>
      </w:r>
      <w:r w:rsidR="002B4F92" w:rsidRPr="00AD5526">
        <w:rPr>
          <w:sz w:val="24"/>
          <w:szCs w:val="24"/>
          <w:highlight w:val="yellow"/>
        </w:rPr>
        <w:t>s</w:t>
      </w:r>
      <w:r w:rsidR="00B738F1" w:rsidRPr="00AD5526">
        <w:rPr>
          <w:sz w:val="24"/>
          <w:szCs w:val="24"/>
          <w:highlight w:val="yellow"/>
        </w:rPr>
        <w:t xml:space="preserve"> where pooling would be advantageous, and identify areas for replication of findings.</w:t>
      </w:r>
    </w:p>
    <w:p w:rsidR="003F5D00" w:rsidRPr="0098479D" w:rsidRDefault="003F5D00" w:rsidP="00B0545A">
      <w:pPr>
        <w:spacing w:line="480" w:lineRule="auto"/>
        <w:rPr>
          <w:sz w:val="24"/>
          <w:szCs w:val="24"/>
        </w:rPr>
      </w:pPr>
    </w:p>
    <w:p w:rsidR="002450D6" w:rsidRPr="0098479D" w:rsidRDefault="003F0F43" w:rsidP="00B0545A">
      <w:pPr>
        <w:spacing w:line="480" w:lineRule="auto"/>
        <w:rPr>
          <w:b/>
          <w:sz w:val="24"/>
          <w:szCs w:val="24"/>
          <w:u w:val="single"/>
        </w:rPr>
      </w:pPr>
      <w:r w:rsidRPr="0098479D">
        <w:rPr>
          <w:b/>
          <w:sz w:val="24"/>
          <w:szCs w:val="24"/>
        </w:rPr>
        <w:t>A.</w:t>
      </w:r>
      <w:r w:rsidR="00577B75" w:rsidRPr="0098479D">
        <w:rPr>
          <w:b/>
          <w:sz w:val="24"/>
          <w:szCs w:val="24"/>
        </w:rPr>
        <w:t xml:space="preserve">5  </w:t>
      </w:r>
      <w:r w:rsidR="000B1AA5" w:rsidRPr="0098479D">
        <w:rPr>
          <w:b/>
          <w:sz w:val="24"/>
          <w:szCs w:val="24"/>
        </w:rPr>
        <w:t xml:space="preserve"> </w:t>
      </w:r>
      <w:r w:rsidR="00F81B10">
        <w:rPr>
          <w:b/>
          <w:sz w:val="24"/>
          <w:szCs w:val="24"/>
        </w:rPr>
        <w:tab/>
      </w:r>
      <w:r w:rsidR="00577B75" w:rsidRPr="0098479D">
        <w:rPr>
          <w:b/>
          <w:sz w:val="24"/>
          <w:szCs w:val="24"/>
          <w:u w:val="single"/>
        </w:rPr>
        <w:t>Impact on Small Businesses or Other Small Entities</w:t>
      </w:r>
    </w:p>
    <w:p w:rsidR="00577B75" w:rsidRPr="0098479D" w:rsidRDefault="00324183" w:rsidP="00B0545A">
      <w:pPr>
        <w:spacing w:line="480" w:lineRule="auto"/>
        <w:ind w:firstLine="720"/>
        <w:rPr>
          <w:sz w:val="24"/>
          <w:szCs w:val="24"/>
        </w:rPr>
      </w:pPr>
      <w:r w:rsidRPr="0098479D">
        <w:rPr>
          <w:sz w:val="24"/>
          <w:szCs w:val="24"/>
        </w:rPr>
        <w:t xml:space="preserve">Since this data collection involves farmers it will involve small businesses.  </w:t>
      </w:r>
      <w:r w:rsidR="00C9229D" w:rsidRPr="0098479D">
        <w:rPr>
          <w:sz w:val="24"/>
          <w:szCs w:val="24"/>
        </w:rPr>
        <w:t>P</w:t>
      </w:r>
      <w:r w:rsidRPr="0098479D">
        <w:rPr>
          <w:sz w:val="24"/>
          <w:szCs w:val="24"/>
        </w:rPr>
        <w:t xml:space="preserve">articipation of all subjects is entirely </w:t>
      </w:r>
      <w:r w:rsidR="00F81B10" w:rsidRPr="0098479D">
        <w:rPr>
          <w:sz w:val="24"/>
          <w:szCs w:val="24"/>
        </w:rPr>
        <w:t>voluntary</w:t>
      </w:r>
      <w:r w:rsidRPr="0098479D">
        <w:rPr>
          <w:sz w:val="24"/>
          <w:szCs w:val="24"/>
        </w:rPr>
        <w:t xml:space="preserve"> and scheduling of interviews </w:t>
      </w:r>
      <w:r w:rsidR="00C617D9" w:rsidRPr="006842FC">
        <w:rPr>
          <w:sz w:val="24"/>
          <w:szCs w:val="24"/>
        </w:rPr>
        <w:t xml:space="preserve">and </w:t>
      </w:r>
      <w:proofErr w:type="spellStart"/>
      <w:r w:rsidR="00C617D9" w:rsidRPr="006842FC">
        <w:rPr>
          <w:sz w:val="24"/>
          <w:szCs w:val="24"/>
        </w:rPr>
        <w:t>biospecimen</w:t>
      </w:r>
      <w:proofErr w:type="spellEnd"/>
      <w:r w:rsidR="00C617D9" w:rsidRPr="006842FC">
        <w:rPr>
          <w:sz w:val="24"/>
          <w:szCs w:val="24"/>
        </w:rPr>
        <w:t xml:space="preserve"> collection</w:t>
      </w:r>
      <w:r w:rsidR="00C617D9" w:rsidRPr="0098479D">
        <w:t xml:space="preserve"> </w:t>
      </w:r>
      <w:r w:rsidRPr="0098479D">
        <w:rPr>
          <w:sz w:val="24"/>
          <w:szCs w:val="24"/>
        </w:rPr>
        <w:t xml:space="preserve">is at the convenience of the participants to minimize disruption of personal or work time.  In addition, </w:t>
      </w:r>
      <w:r w:rsidRPr="00E72FCD">
        <w:rPr>
          <w:sz w:val="24"/>
          <w:szCs w:val="24"/>
        </w:rPr>
        <w:t xml:space="preserve">the study </w:t>
      </w:r>
      <w:r w:rsidR="00736AE4" w:rsidRPr="00E72FCD">
        <w:rPr>
          <w:sz w:val="24"/>
          <w:szCs w:val="24"/>
        </w:rPr>
        <w:t xml:space="preserve">has been structured </w:t>
      </w:r>
      <w:r w:rsidRPr="00E72FCD">
        <w:rPr>
          <w:sz w:val="24"/>
          <w:szCs w:val="24"/>
        </w:rPr>
        <w:t>so that interviewing</w:t>
      </w:r>
      <w:r w:rsidRPr="0098479D">
        <w:rPr>
          <w:sz w:val="24"/>
          <w:szCs w:val="24"/>
        </w:rPr>
        <w:t xml:space="preserve"> of farmers shall be conducted, to avoid interference with time required for planting, growing and harvesting.</w:t>
      </w:r>
    </w:p>
    <w:p w:rsidR="003F0F43" w:rsidRPr="0098479D" w:rsidRDefault="003F0F43" w:rsidP="00B0545A">
      <w:pPr>
        <w:spacing w:line="480" w:lineRule="auto"/>
        <w:ind w:firstLine="720"/>
        <w:rPr>
          <w:sz w:val="24"/>
          <w:szCs w:val="24"/>
        </w:rPr>
      </w:pPr>
    </w:p>
    <w:p w:rsidR="00325CCF" w:rsidRPr="0098479D" w:rsidRDefault="003F0F43" w:rsidP="00B0545A">
      <w:pPr>
        <w:pStyle w:val="Heading2"/>
        <w:spacing w:line="480" w:lineRule="auto"/>
        <w:rPr>
          <w:sz w:val="24"/>
          <w:szCs w:val="24"/>
        </w:rPr>
      </w:pPr>
      <w:r w:rsidRPr="0098479D">
        <w:rPr>
          <w:sz w:val="24"/>
          <w:szCs w:val="24"/>
        </w:rPr>
        <w:lastRenderedPageBreak/>
        <w:t>A.</w:t>
      </w:r>
      <w:r w:rsidR="00577B75" w:rsidRPr="0098479D">
        <w:rPr>
          <w:sz w:val="24"/>
          <w:szCs w:val="24"/>
        </w:rPr>
        <w:t>6</w:t>
      </w:r>
      <w:r w:rsidR="00325CCF" w:rsidRPr="0098479D">
        <w:rPr>
          <w:sz w:val="24"/>
          <w:szCs w:val="24"/>
        </w:rPr>
        <w:t xml:space="preserve">  </w:t>
      </w:r>
      <w:r w:rsidR="000B1AA5" w:rsidRPr="0098479D">
        <w:rPr>
          <w:sz w:val="24"/>
          <w:szCs w:val="24"/>
        </w:rPr>
        <w:t xml:space="preserve"> </w:t>
      </w:r>
      <w:r w:rsidR="00F81B10">
        <w:rPr>
          <w:sz w:val="24"/>
          <w:szCs w:val="24"/>
        </w:rPr>
        <w:tab/>
      </w:r>
      <w:r w:rsidR="00325CCF" w:rsidRPr="0098479D">
        <w:rPr>
          <w:sz w:val="24"/>
          <w:szCs w:val="24"/>
          <w:u w:val="single"/>
        </w:rPr>
        <w:t>Consequences of Collecting the Information Less Frequently</w:t>
      </w:r>
    </w:p>
    <w:p w:rsidR="00325CCF" w:rsidRPr="0098479D" w:rsidRDefault="00325CCF" w:rsidP="00B0545A">
      <w:pPr>
        <w:spacing w:line="480" w:lineRule="auto"/>
        <w:ind w:firstLine="720"/>
        <w:rPr>
          <w:sz w:val="24"/>
          <w:szCs w:val="24"/>
        </w:rPr>
      </w:pPr>
      <w:r w:rsidRPr="00E72FCD">
        <w:rPr>
          <w:sz w:val="24"/>
          <w:szCs w:val="24"/>
          <w:highlight w:val="yellow"/>
        </w:rPr>
        <w:t xml:space="preserve">The protocol for </w:t>
      </w:r>
      <w:r w:rsidR="003B3E45" w:rsidRPr="00E72FCD">
        <w:rPr>
          <w:sz w:val="24"/>
          <w:szCs w:val="24"/>
          <w:highlight w:val="yellow"/>
        </w:rPr>
        <w:t>phase</w:t>
      </w:r>
      <w:r w:rsidRPr="00E72FCD">
        <w:rPr>
          <w:sz w:val="24"/>
          <w:szCs w:val="24"/>
          <w:highlight w:val="yellow"/>
        </w:rPr>
        <w:t xml:space="preserve"> </w:t>
      </w:r>
      <w:r w:rsidR="003F6654" w:rsidRPr="00E72FCD">
        <w:rPr>
          <w:sz w:val="24"/>
          <w:szCs w:val="24"/>
          <w:highlight w:val="yellow"/>
        </w:rPr>
        <w:t xml:space="preserve">IV </w:t>
      </w:r>
      <w:r w:rsidRPr="00E72FCD">
        <w:rPr>
          <w:sz w:val="24"/>
          <w:szCs w:val="24"/>
          <w:highlight w:val="yellow"/>
        </w:rPr>
        <w:t xml:space="preserve">questionnaires and collection of </w:t>
      </w:r>
      <w:proofErr w:type="spellStart"/>
      <w:r w:rsidRPr="00E72FCD">
        <w:rPr>
          <w:sz w:val="24"/>
          <w:szCs w:val="24"/>
          <w:highlight w:val="yellow"/>
        </w:rPr>
        <w:t>buccal</w:t>
      </w:r>
      <w:proofErr w:type="spellEnd"/>
      <w:r w:rsidRPr="00E72FCD">
        <w:rPr>
          <w:sz w:val="24"/>
          <w:szCs w:val="24"/>
          <w:highlight w:val="yellow"/>
        </w:rPr>
        <w:t xml:space="preserve"> cells </w:t>
      </w:r>
      <w:r w:rsidR="00C617D9" w:rsidRPr="00E72FCD">
        <w:rPr>
          <w:sz w:val="24"/>
          <w:szCs w:val="24"/>
          <w:highlight w:val="yellow"/>
        </w:rPr>
        <w:t xml:space="preserve">has involved </w:t>
      </w:r>
      <w:r w:rsidRPr="00E72FCD">
        <w:rPr>
          <w:sz w:val="24"/>
          <w:szCs w:val="24"/>
          <w:highlight w:val="yellow"/>
        </w:rPr>
        <w:t>a one-time collection of data for each respondent</w:t>
      </w:r>
      <w:r w:rsidR="00F81B10" w:rsidRPr="00E72FCD">
        <w:rPr>
          <w:sz w:val="24"/>
          <w:szCs w:val="24"/>
          <w:highlight w:val="yellow"/>
        </w:rPr>
        <w:t xml:space="preserve"> over </w:t>
      </w:r>
      <w:r w:rsidR="00F81B10" w:rsidRPr="00AD5526">
        <w:rPr>
          <w:sz w:val="24"/>
          <w:szCs w:val="24"/>
          <w:highlight w:val="yellow"/>
        </w:rPr>
        <w:t>the next three years</w:t>
      </w:r>
      <w:r w:rsidRPr="0098479D">
        <w:rPr>
          <w:sz w:val="24"/>
          <w:szCs w:val="24"/>
        </w:rPr>
        <w:t>.  The design of the study requires an update on medical history every five years to minimize exposure misclassification and identify the occurrence of non-cancer endpoints which cannot be obtained by any other existing data system.</w:t>
      </w:r>
      <w:r w:rsidR="00C617D9" w:rsidRPr="0098479D">
        <w:rPr>
          <w:sz w:val="24"/>
          <w:szCs w:val="24"/>
        </w:rPr>
        <w:t xml:space="preserve">  </w:t>
      </w:r>
      <w:r w:rsidR="00C617D9" w:rsidRPr="00F81B10">
        <w:rPr>
          <w:sz w:val="24"/>
          <w:szCs w:val="24"/>
        </w:rPr>
        <w:t xml:space="preserve">The </w:t>
      </w:r>
      <w:r w:rsidR="003F6654" w:rsidRPr="00F81B10">
        <w:rPr>
          <w:sz w:val="24"/>
          <w:szCs w:val="24"/>
        </w:rPr>
        <w:t xml:space="preserve">BEEA study </w:t>
      </w:r>
      <w:r w:rsidR="00C617D9" w:rsidRPr="00F81B10">
        <w:rPr>
          <w:sz w:val="24"/>
          <w:szCs w:val="24"/>
        </w:rPr>
        <w:t>involves</w:t>
      </w:r>
      <w:r w:rsidR="00C617D9" w:rsidRPr="006842FC">
        <w:rPr>
          <w:sz w:val="24"/>
          <w:szCs w:val="24"/>
        </w:rPr>
        <w:t xml:space="preserve"> a</w:t>
      </w:r>
      <w:r w:rsidR="00F81B10">
        <w:rPr>
          <w:sz w:val="24"/>
          <w:szCs w:val="24"/>
        </w:rPr>
        <w:t>n a</w:t>
      </w:r>
      <w:r w:rsidR="00C617D9" w:rsidRPr="006842FC">
        <w:rPr>
          <w:sz w:val="24"/>
          <w:szCs w:val="24"/>
        </w:rPr>
        <w:t xml:space="preserve">dditional questionnaire and </w:t>
      </w:r>
      <w:proofErr w:type="spellStart"/>
      <w:r w:rsidR="00C617D9" w:rsidRPr="006842FC">
        <w:rPr>
          <w:sz w:val="24"/>
          <w:szCs w:val="24"/>
        </w:rPr>
        <w:t>biospecimen</w:t>
      </w:r>
      <w:proofErr w:type="spellEnd"/>
      <w:r w:rsidR="00C617D9" w:rsidRPr="006842FC">
        <w:rPr>
          <w:sz w:val="24"/>
          <w:szCs w:val="24"/>
        </w:rPr>
        <w:t xml:space="preserve"> collection (i.e., urine and blood).  For 50 of these stud</w:t>
      </w:r>
      <w:r w:rsidR="00F81B10">
        <w:rPr>
          <w:sz w:val="24"/>
          <w:szCs w:val="24"/>
        </w:rPr>
        <w:t>y s</w:t>
      </w:r>
      <w:r w:rsidR="00C617D9" w:rsidRPr="006842FC">
        <w:rPr>
          <w:sz w:val="24"/>
          <w:szCs w:val="24"/>
        </w:rPr>
        <w:t>ubject</w:t>
      </w:r>
      <w:r w:rsidR="00394D2E" w:rsidRPr="006842FC">
        <w:rPr>
          <w:sz w:val="24"/>
          <w:szCs w:val="24"/>
        </w:rPr>
        <w:t>s</w:t>
      </w:r>
      <w:r w:rsidR="00C617D9" w:rsidRPr="006842FC">
        <w:rPr>
          <w:sz w:val="24"/>
          <w:szCs w:val="24"/>
        </w:rPr>
        <w:t xml:space="preserve"> in the Re</w:t>
      </w:r>
      <w:r w:rsidR="00394D2E" w:rsidRPr="006842FC">
        <w:rPr>
          <w:sz w:val="24"/>
          <w:szCs w:val="24"/>
        </w:rPr>
        <w:t xml:space="preserve">cently Exposed study group </w:t>
      </w:r>
      <w:r w:rsidR="00C617D9" w:rsidRPr="006842FC">
        <w:rPr>
          <w:sz w:val="24"/>
          <w:szCs w:val="24"/>
        </w:rPr>
        <w:t xml:space="preserve">who have used the insecticide </w:t>
      </w:r>
      <w:proofErr w:type="spellStart"/>
      <w:r w:rsidR="00C617D9" w:rsidRPr="006842FC">
        <w:rPr>
          <w:sz w:val="24"/>
          <w:szCs w:val="24"/>
        </w:rPr>
        <w:t>diazinon</w:t>
      </w:r>
      <w:proofErr w:type="spellEnd"/>
      <w:r w:rsidR="00C617D9" w:rsidRPr="006842FC">
        <w:rPr>
          <w:sz w:val="24"/>
          <w:szCs w:val="24"/>
        </w:rPr>
        <w:t>, th</w:t>
      </w:r>
      <w:r w:rsidR="00F81B10">
        <w:rPr>
          <w:sz w:val="24"/>
          <w:szCs w:val="24"/>
        </w:rPr>
        <w:t>e q</w:t>
      </w:r>
      <w:r w:rsidR="00C617D9" w:rsidRPr="006842FC">
        <w:rPr>
          <w:sz w:val="24"/>
          <w:szCs w:val="24"/>
        </w:rPr>
        <w:t xml:space="preserve">uestionnaire and </w:t>
      </w:r>
      <w:proofErr w:type="spellStart"/>
      <w:r w:rsidR="00C617D9" w:rsidRPr="006842FC">
        <w:rPr>
          <w:sz w:val="24"/>
          <w:szCs w:val="24"/>
        </w:rPr>
        <w:t>biospecimen</w:t>
      </w:r>
      <w:proofErr w:type="spellEnd"/>
      <w:r w:rsidR="00C617D9" w:rsidRPr="006842FC">
        <w:rPr>
          <w:sz w:val="24"/>
          <w:szCs w:val="24"/>
        </w:rPr>
        <w:t xml:space="preserve"> collection will involve 3 repetitions of the procedures outline</w:t>
      </w:r>
      <w:r w:rsidR="00394D2E" w:rsidRPr="006842FC">
        <w:rPr>
          <w:sz w:val="24"/>
          <w:szCs w:val="24"/>
        </w:rPr>
        <w:t>d</w:t>
      </w:r>
      <w:r w:rsidR="00C617D9" w:rsidRPr="006842FC">
        <w:rPr>
          <w:sz w:val="24"/>
          <w:szCs w:val="24"/>
        </w:rPr>
        <w:t xml:space="preserve"> above. The first sample will be collected prior to the </w:t>
      </w:r>
      <w:proofErr w:type="spellStart"/>
      <w:r w:rsidR="00C617D9" w:rsidRPr="006842FC">
        <w:rPr>
          <w:sz w:val="24"/>
          <w:szCs w:val="24"/>
        </w:rPr>
        <w:t>di</w:t>
      </w:r>
      <w:r w:rsidR="00394D2E" w:rsidRPr="006842FC">
        <w:rPr>
          <w:sz w:val="24"/>
          <w:szCs w:val="24"/>
        </w:rPr>
        <w:t>azinon</w:t>
      </w:r>
      <w:proofErr w:type="spellEnd"/>
      <w:r w:rsidR="00394D2E" w:rsidRPr="006842FC">
        <w:rPr>
          <w:sz w:val="24"/>
          <w:szCs w:val="24"/>
        </w:rPr>
        <w:t xml:space="preserve"> application, the second </w:t>
      </w:r>
      <w:r w:rsidR="00C617D9" w:rsidRPr="006842FC">
        <w:rPr>
          <w:sz w:val="24"/>
          <w:szCs w:val="24"/>
        </w:rPr>
        <w:t>sample wil</w:t>
      </w:r>
      <w:r w:rsidR="00F81B10">
        <w:rPr>
          <w:sz w:val="24"/>
          <w:szCs w:val="24"/>
        </w:rPr>
        <w:t>l b</w:t>
      </w:r>
      <w:r w:rsidR="00C617D9" w:rsidRPr="006842FC">
        <w:rPr>
          <w:sz w:val="24"/>
          <w:szCs w:val="24"/>
        </w:rPr>
        <w:t xml:space="preserve">e collected within 1-day of the </w:t>
      </w:r>
      <w:proofErr w:type="spellStart"/>
      <w:r w:rsidR="00C617D9" w:rsidRPr="006842FC">
        <w:rPr>
          <w:sz w:val="24"/>
          <w:szCs w:val="24"/>
        </w:rPr>
        <w:t>diazinon</w:t>
      </w:r>
      <w:proofErr w:type="spellEnd"/>
      <w:r w:rsidR="00C617D9" w:rsidRPr="006842FC">
        <w:rPr>
          <w:sz w:val="24"/>
          <w:szCs w:val="24"/>
        </w:rPr>
        <w:t xml:space="preserve"> application and the third sample will be collected 2</w:t>
      </w:r>
      <w:r w:rsidR="00F81B10">
        <w:rPr>
          <w:sz w:val="24"/>
          <w:szCs w:val="24"/>
        </w:rPr>
        <w:t>1 d</w:t>
      </w:r>
      <w:r w:rsidR="00C617D9" w:rsidRPr="006842FC">
        <w:rPr>
          <w:sz w:val="24"/>
          <w:szCs w:val="24"/>
        </w:rPr>
        <w:t xml:space="preserve">ays subsequent to the </w:t>
      </w:r>
      <w:proofErr w:type="spellStart"/>
      <w:r w:rsidR="00C617D9" w:rsidRPr="006842FC">
        <w:rPr>
          <w:sz w:val="24"/>
          <w:szCs w:val="24"/>
        </w:rPr>
        <w:t>diazinon</w:t>
      </w:r>
      <w:proofErr w:type="spellEnd"/>
      <w:r w:rsidR="00C617D9" w:rsidRPr="006842FC">
        <w:rPr>
          <w:sz w:val="24"/>
          <w:szCs w:val="24"/>
        </w:rPr>
        <w:t xml:space="preserve"> application.</w:t>
      </w:r>
    </w:p>
    <w:p w:rsidR="00C617D9" w:rsidRPr="0098479D" w:rsidRDefault="00C617D9" w:rsidP="00B0545A">
      <w:pPr>
        <w:spacing w:line="480" w:lineRule="auto"/>
        <w:ind w:firstLine="720"/>
        <w:rPr>
          <w:sz w:val="24"/>
          <w:szCs w:val="24"/>
        </w:rPr>
      </w:pPr>
      <w:r w:rsidRPr="0098479D">
        <w:rPr>
          <w:sz w:val="24"/>
          <w:szCs w:val="24"/>
        </w:rPr>
        <w:t>The design of the BEEA component</w:t>
      </w:r>
      <w:r w:rsidRPr="0098479D" w:rsidDel="00453908">
        <w:rPr>
          <w:sz w:val="24"/>
          <w:szCs w:val="24"/>
        </w:rPr>
        <w:t xml:space="preserve"> </w:t>
      </w:r>
      <w:r w:rsidRPr="0098479D">
        <w:rPr>
          <w:sz w:val="24"/>
          <w:szCs w:val="24"/>
        </w:rPr>
        <w:t>requires an update on exposures and medical history that occurred in the year prior to the blo</w:t>
      </w:r>
      <w:r w:rsidR="00394D2E" w:rsidRPr="0098479D">
        <w:rPr>
          <w:sz w:val="24"/>
          <w:szCs w:val="24"/>
        </w:rPr>
        <w:t xml:space="preserve">od and urine collection.  This </w:t>
      </w:r>
      <w:r w:rsidRPr="0098479D">
        <w:rPr>
          <w:sz w:val="24"/>
          <w:szCs w:val="24"/>
        </w:rPr>
        <w:t xml:space="preserve">design will minimize exposure misclassification, which cannot be obtained by any other existing data system.  For those who applied </w:t>
      </w:r>
      <w:proofErr w:type="spellStart"/>
      <w:r w:rsidRPr="0098479D">
        <w:rPr>
          <w:sz w:val="24"/>
          <w:szCs w:val="24"/>
        </w:rPr>
        <w:t>diazinon</w:t>
      </w:r>
      <w:proofErr w:type="spellEnd"/>
      <w:r w:rsidRPr="0098479D">
        <w:rPr>
          <w:sz w:val="24"/>
          <w:szCs w:val="24"/>
        </w:rPr>
        <w:t xml:space="preserve">, this design will capture short term perturbations in white </w:t>
      </w:r>
      <w:r w:rsidR="00394D2E" w:rsidRPr="0098479D">
        <w:rPr>
          <w:sz w:val="24"/>
          <w:szCs w:val="24"/>
        </w:rPr>
        <w:t xml:space="preserve">blood cells counts </w:t>
      </w:r>
      <w:r w:rsidRPr="0098479D">
        <w:rPr>
          <w:sz w:val="24"/>
          <w:szCs w:val="24"/>
        </w:rPr>
        <w:t xml:space="preserve">characteristic of all known </w:t>
      </w:r>
      <w:proofErr w:type="spellStart"/>
      <w:r w:rsidRPr="0098479D">
        <w:rPr>
          <w:sz w:val="24"/>
          <w:szCs w:val="24"/>
        </w:rPr>
        <w:t>leukemogens</w:t>
      </w:r>
      <w:proofErr w:type="spellEnd"/>
      <w:r w:rsidRPr="0098479D">
        <w:rPr>
          <w:sz w:val="24"/>
          <w:szCs w:val="24"/>
        </w:rPr>
        <w:t xml:space="preserve">. Meaningful comparison can only be made by comparing before and after samples from the same person, because there is a good deal of normal white blood count variation between people. The white blood cell perturbations manifest themselves within one day of exposure to a </w:t>
      </w:r>
      <w:proofErr w:type="spellStart"/>
      <w:r w:rsidRPr="0098479D">
        <w:rPr>
          <w:sz w:val="24"/>
          <w:szCs w:val="24"/>
        </w:rPr>
        <w:t>leukemogen</w:t>
      </w:r>
      <w:proofErr w:type="spellEnd"/>
      <w:r w:rsidRPr="0098479D">
        <w:rPr>
          <w:sz w:val="24"/>
          <w:szCs w:val="24"/>
        </w:rPr>
        <w:t xml:space="preserve"> and in some cases may last for 21 days.  Less frequent collection of blood and urine would not permit the collection of critical biospecimens precisely timed to the </w:t>
      </w:r>
      <w:proofErr w:type="spellStart"/>
      <w:r w:rsidRPr="0098479D">
        <w:rPr>
          <w:sz w:val="24"/>
          <w:szCs w:val="24"/>
        </w:rPr>
        <w:t>diazinon</w:t>
      </w:r>
      <w:proofErr w:type="spellEnd"/>
      <w:r w:rsidRPr="0098479D">
        <w:rPr>
          <w:sz w:val="24"/>
          <w:szCs w:val="24"/>
        </w:rPr>
        <w:t xml:space="preserve"> application. These precisely timed samples are necessary to evaluate the possible </w:t>
      </w:r>
      <w:proofErr w:type="spellStart"/>
      <w:r w:rsidRPr="0098479D">
        <w:rPr>
          <w:sz w:val="24"/>
          <w:szCs w:val="24"/>
        </w:rPr>
        <w:t>leukemogenic</w:t>
      </w:r>
      <w:proofErr w:type="spellEnd"/>
      <w:r w:rsidRPr="0098479D">
        <w:rPr>
          <w:sz w:val="24"/>
          <w:szCs w:val="24"/>
        </w:rPr>
        <w:t xml:space="preserve"> effects of </w:t>
      </w:r>
      <w:proofErr w:type="spellStart"/>
      <w:r w:rsidRPr="0098479D">
        <w:rPr>
          <w:sz w:val="24"/>
          <w:szCs w:val="24"/>
        </w:rPr>
        <w:t>diazinon</w:t>
      </w:r>
      <w:proofErr w:type="spellEnd"/>
      <w:r w:rsidRPr="0098479D">
        <w:rPr>
          <w:sz w:val="24"/>
          <w:szCs w:val="24"/>
        </w:rPr>
        <w:t>.</w:t>
      </w:r>
    </w:p>
    <w:p w:rsidR="00AC775C" w:rsidRPr="0098479D" w:rsidRDefault="00A52CA2" w:rsidP="00B0545A">
      <w:pPr>
        <w:spacing w:line="480" w:lineRule="auto"/>
        <w:ind w:firstLine="720"/>
        <w:rPr>
          <w:sz w:val="24"/>
          <w:szCs w:val="24"/>
        </w:rPr>
      </w:pPr>
      <w:r w:rsidRPr="00AD5526">
        <w:rPr>
          <w:sz w:val="24"/>
          <w:szCs w:val="24"/>
          <w:highlight w:val="yellow"/>
        </w:rPr>
        <w:lastRenderedPageBreak/>
        <w:t xml:space="preserve">The request for phase </w:t>
      </w:r>
      <w:r w:rsidR="006349D4" w:rsidRPr="00F81B10">
        <w:rPr>
          <w:sz w:val="24"/>
          <w:szCs w:val="24"/>
          <w:highlight w:val="yellow"/>
        </w:rPr>
        <w:t>IV</w:t>
      </w:r>
      <w:r w:rsidR="006349D4" w:rsidRPr="00AD5526">
        <w:rPr>
          <w:sz w:val="24"/>
          <w:szCs w:val="24"/>
          <w:highlight w:val="yellow"/>
        </w:rPr>
        <w:t xml:space="preserve"> </w:t>
      </w:r>
      <w:r w:rsidRPr="00AD5526">
        <w:rPr>
          <w:sz w:val="24"/>
          <w:szCs w:val="24"/>
          <w:highlight w:val="yellow"/>
        </w:rPr>
        <w:t xml:space="preserve">is so that the remaining </w:t>
      </w:r>
      <w:r w:rsidR="00C9229D" w:rsidRPr="00AD5526">
        <w:rPr>
          <w:sz w:val="24"/>
          <w:szCs w:val="24"/>
          <w:highlight w:val="yellow"/>
        </w:rPr>
        <w:t>applicators and spouses</w:t>
      </w:r>
      <w:r w:rsidR="006349D4" w:rsidRPr="00F81B10">
        <w:rPr>
          <w:sz w:val="24"/>
          <w:szCs w:val="24"/>
          <w:highlight w:val="yellow"/>
        </w:rPr>
        <w:t>, or their proxies,</w:t>
      </w:r>
      <w:r w:rsidR="006349D4" w:rsidRPr="00AD5526">
        <w:rPr>
          <w:sz w:val="24"/>
          <w:szCs w:val="24"/>
          <w:highlight w:val="yellow"/>
        </w:rPr>
        <w:t xml:space="preserve"> </w:t>
      </w:r>
      <w:r w:rsidRPr="00AD5526">
        <w:rPr>
          <w:sz w:val="24"/>
          <w:szCs w:val="24"/>
          <w:highlight w:val="yellow"/>
        </w:rPr>
        <w:t xml:space="preserve">can be contacted </w:t>
      </w:r>
      <w:r w:rsidR="007651C5" w:rsidRPr="00AD5526">
        <w:rPr>
          <w:sz w:val="24"/>
          <w:szCs w:val="24"/>
          <w:highlight w:val="yellow"/>
        </w:rPr>
        <w:t xml:space="preserve">to </w:t>
      </w:r>
      <w:r w:rsidR="006349D4" w:rsidRPr="00F81B10">
        <w:rPr>
          <w:sz w:val="24"/>
          <w:szCs w:val="24"/>
          <w:highlight w:val="yellow"/>
        </w:rPr>
        <w:t>complete</w:t>
      </w:r>
      <w:r w:rsidR="006349D4" w:rsidRPr="00AD5526">
        <w:rPr>
          <w:sz w:val="24"/>
          <w:szCs w:val="24"/>
          <w:highlight w:val="yellow"/>
        </w:rPr>
        <w:t xml:space="preserve"> </w:t>
      </w:r>
      <w:r w:rsidR="007651C5" w:rsidRPr="00AD5526">
        <w:rPr>
          <w:sz w:val="24"/>
          <w:szCs w:val="24"/>
          <w:highlight w:val="yellow"/>
        </w:rPr>
        <w:t>the BEEA component, involving one additional contact for a selected subset of the cohort and three specially timed contacts for 50 additional study subjects</w:t>
      </w:r>
      <w:r w:rsidR="00F81B10">
        <w:rPr>
          <w:sz w:val="24"/>
          <w:szCs w:val="24"/>
          <w:highlight w:val="yellow"/>
        </w:rPr>
        <w:t xml:space="preserve"> (for a total n=1600)</w:t>
      </w:r>
      <w:r w:rsidRPr="00AD5526">
        <w:rPr>
          <w:sz w:val="24"/>
          <w:szCs w:val="24"/>
          <w:highlight w:val="yellow"/>
        </w:rPr>
        <w:t xml:space="preserve">.  </w:t>
      </w:r>
      <w:r w:rsidR="006349D4" w:rsidRPr="00AD5526">
        <w:rPr>
          <w:sz w:val="24"/>
          <w:szCs w:val="24"/>
          <w:highlight w:val="yellow"/>
        </w:rPr>
        <w:t xml:space="preserve">There are approximately </w:t>
      </w:r>
      <w:r w:rsidR="00490BC2">
        <w:rPr>
          <w:sz w:val="24"/>
          <w:szCs w:val="24"/>
          <w:highlight w:val="yellow"/>
        </w:rPr>
        <w:t>2900</w:t>
      </w:r>
      <w:r w:rsidR="006349D4" w:rsidRPr="00AD5526">
        <w:rPr>
          <w:sz w:val="24"/>
          <w:szCs w:val="24"/>
          <w:highlight w:val="yellow"/>
        </w:rPr>
        <w:t xml:space="preserve"> remaining to be contacted for BEEA.</w:t>
      </w:r>
      <w:r w:rsidR="006349D4">
        <w:rPr>
          <w:sz w:val="24"/>
          <w:szCs w:val="24"/>
        </w:rPr>
        <w:t xml:space="preserve">  </w:t>
      </w:r>
    </w:p>
    <w:p w:rsidR="003F5D00" w:rsidRPr="0098479D" w:rsidRDefault="003F5D00" w:rsidP="00B0545A">
      <w:pPr>
        <w:spacing w:line="480" w:lineRule="auto"/>
        <w:rPr>
          <w:sz w:val="24"/>
          <w:szCs w:val="24"/>
        </w:rPr>
      </w:pPr>
    </w:p>
    <w:p w:rsidR="00502233" w:rsidRPr="0098479D" w:rsidRDefault="003F0F43" w:rsidP="00B0545A">
      <w:pPr>
        <w:tabs>
          <w:tab w:val="left" w:pos="-1440"/>
        </w:tabs>
        <w:spacing w:line="480" w:lineRule="auto"/>
        <w:outlineLvl w:val="0"/>
        <w:rPr>
          <w:b/>
          <w:sz w:val="24"/>
          <w:szCs w:val="24"/>
          <w:u w:val="single"/>
        </w:rPr>
      </w:pPr>
      <w:r w:rsidRPr="0098479D">
        <w:rPr>
          <w:b/>
          <w:sz w:val="24"/>
          <w:szCs w:val="24"/>
        </w:rPr>
        <w:t>A.</w:t>
      </w:r>
      <w:r w:rsidR="00502233" w:rsidRPr="0098479D">
        <w:rPr>
          <w:b/>
          <w:sz w:val="24"/>
          <w:szCs w:val="24"/>
        </w:rPr>
        <w:t>7</w:t>
      </w:r>
      <w:r w:rsidR="00F06E61" w:rsidRPr="0098479D">
        <w:rPr>
          <w:b/>
          <w:sz w:val="24"/>
          <w:szCs w:val="24"/>
        </w:rPr>
        <w:t xml:space="preserve">  </w:t>
      </w:r>
      <w:r w:rsidR="008A2C84" w:rsidRPr="0098479D">
        <w:rPr>
          <w:b/>
          <w:sz w:val="24"/>
          <w:szCs w:val="24"/>
        </w:rPr>
        <w:t xml:space="preserve"> </w:t>
      </w:r>
      <w:r w:rsidR="00EE595F">
        <w:rPr>
          <w:b/>
          <w:sz w:val="24"/>
          <w:szCs w:val="24"/>
        </w:rPr>
        <w:tab/>
      </w:r>
      <w:r w:rsidR="00502233" w:rsidRPr="0098479D">
        <w:rPr>
          <w:b/>
          <w:sz w:val="24"/>
          <w:szCs w:val="24"/>
          <w:u w:val="single"/>
        </w:rPr>
        <w:t>Special Circumstances Relating to the Guidelines of 5 CFR 1320.5</w:t>
      </w:r>
    </w:p>
    <w:p w:rsidR="002F635B" w:rsidRPr="0098479D" w:rsidRDefault="002F635B" w:rsidP="00B0545A">
      <w:pPr>
        <w:spacing w:line="480" w:lineRule="auto"/>
        <w:ind w:firstLine="720"/>
        <w:rPr>
          <w:sz w:val="24"/>
          <w:szCs w:val="24"/>
        </w:rPr>
      </w:pPr>
      <w:r w:rsidRPr="0098479D">
        <w:rPr>
          <w:sz w:val="24"/>
          <w:szCs w:val="24"/>
        </w:rPr>
        <w:t xml:space="preserve">The BEEA study involves special circumstances requiring a small minority of the study subjects to the respond to the CAPI possibly three times within a 3 month-period.  The completion of the CAPI and collection of the biological samples must occur initially, and then within a proscribed time window around the actual dates the respondent uses </w:t>
      </w:r>
      <w:proofErr w:type="spellStart"/>
      <w:r w:rsidRPr="0098479D">
        <w:rPr>
          <w:sz w:val="24"/>
          <w:szCs w:val="24"/>
        </w:rPr>
        <w:t>diazinon</w:t>
      </w:r>
      <w:proofErr w:type="spellEnd"/>
      <w:r w:rsidRPr="0098479D">
        <w:rPr>
          <w:sz w:val="24"/>
          <w:szCs w:val="24"/>
        </w:rPr>
        <w:t xml:space="preserve"> – specifically, one day after final use and again 21 days from this time.  </w:t>
      </w:r>
      <w:r w:rsidR="005C69B1" w:rsidRPr="0098479D">
        <w:rPr>
          <w:sz w:val="24"/>
          <w:szCs w:val="24"/>
        </w:rPr>
        <w:t xml:space="preserve">This time frame for repeated collection of information and biological samples is necessary in order to evaluate short-term hematologic alterations (complete blood count and lymphocyte subset measurements) which are known to occur following exposure to all known </w:t>
      </w:r>
      <w:proofErr w:type="spellStart"/>
      <w:r w:rsidR="005C69B1" w:rsidRPr="0098479D">
        <w:rPr>
          <w:sz w:val="24"/>
          <w:szCs w:val="24"/>
        </w:rPr>
        <w:t>leukemogens</w:t>
      </w:r>
      <w:proofErr w:type="spellEnd"/>
      <w:r w:rsidR="005C69B1" w:rsidRPr="0098479D">
        <w:rPr>
          <w:sz w:val="24"/>
          <w:szCs w:val="24"/>
        </w:rPr>
        <w:t xml:space="preserve">.  These procedures will allow us to evaluate the hypothesis that </w:t>
      </w:r>
      <w:proofErr w:type="spellStart"/>
      <w:r w:rsidR="005C69B1" w:rsidRPr="0098479D">
        <w:rPr>
          <w:sz w:val="24"/>
          <w:szCs w:val="24"/>
        </w:rPr>
        <w:t>diazinon</w:t>
      </w:r>
      <w:proofErr w:type="spellEnd"/>
      <w:r w:rsidR="005C69B1" w:rsidRPr="0098479D">
        <w:rPr>
          <w:sz w:val="24"/>
          <w:szCs w:val="24"/>
        </w:rPr>
        <w:t xml:space="preserve"> is </w:t>
      </w:r>
      <w:proofErr w:type="spellStart"/>
      <w:r w:rsidR="005C69B1" w:rsidRPr="0098479D">
        <w:rPr>
          <w:sz w:val="24"/>
          <w:szCs w:val="24"/>
        </w:rPr>
        <w:t>leukemogenic</w:t>
      </w:r>
      <w:proofErr w:type="spellEnd"/>
      <w:r w:rsidR="005C69B1" w:rsidRPr="0098479D">
        <w:rPr>
          <w:sz w:val="24"/>
          <w:szCs w:val="24"/>
        </w:rPr>
        <w:t xml:space="preserve">.  </w:t>
      </w:r>
    </w:p>
    <w:p w:rsidR="0089372D" w:rsidRDefault="0089372D" w:rsidP="00EE595F">
      <w:pPr>
        <w:tabs>
          <w:tab w:val="left" w:pos="-1440"/>
        </w:tabs>
        <w:ind w:left="720" w:hanging="720"/>
        <w:outlineLvl w:val="0"/>
        <w:rPr>
          <w:b/>
          <w:sz w:val="24"/>
          <w:szCs w:val="24"/>
        </w:rPr>
      </w:pPr>
    </w:p>
    <w:p w:rsidR="0089372D" w:rsidRDefault="0089372D" w:rsidP="00EE595F">
      <w:pPr>
        <w:tabs>
          <w:tab w:val="left" w:pos="-1440"/>
        </w:tabs>
        <w:ind w:left="720" w:hanging="720"/>
        <w:outlineLvl w:val="0"/>
        <w:rPr>
          <w:b/>
          <w:sz w:val="24"/>
          <w:szCs w:val="24"/>
        </w:rPr>
      </w:pPr>
    </w:p>
    <w:p w:rsidR="003F5D00" w:rsidRPr="0098479D" w:rsidRDefault="003F0F43" w:rsidP="00EE595F">
      <w:pPr>
        <w:tabs>
          <w:tab w:val="left" w:pos="-1440"/>
        </w:tabs>
        <w:ind w:left="720" w:hanging="720"/>
        <w:outlineLvl w:val="0"/>
      </w:pPr>
      <w:r w:rsidRPr="0098479D">
        <w:rPr>
          <w:b/>
          <w:sz w:val="24"/>
          <w:szCs w:val="24"/>
        </w:rPr>
        <w:t>A.8</w:t>
      </w:r>
      <w:r w:rsidR="00F06E61" w:rsidRPr="0098479D">
        <w:rPr>
          <w:b/>
          <w:sz w:val="24"/>
          <w:szCs w:val="24"/>
        </w:rPr>
        <w:t xml:space="preserve">   </w:t>
      </w:r>
      <w:r w:rsidR="00EE595F">
        <w:rPr>
          <w:b/>
          <w:sz w:val="24"/>
          <w:szCs w:val="24"/>
        </w:rPr>
        <w:tab/>
      </w:r>
      <w:r w:rsidR="00502233" w:rsidRPr="0098479D">
        <w:rPr>
          <w:b/>
          <w:sz w:val="24"/>
          <w:szCs w:val="24"/>
          <w:u w:val="single"/>
        </w:rPr>
        <w:t>Comments in Response to the Federal Register Notice and Efforts to Consult Outside</w:t>
      </w:r>
      <w:r w:rsidR="00BA5DA4" w:rsidRPr="0098479D">
        <w:rPr>
          <w:b/>
          <w:sz w:val="24"/>
          <w:szCs w:val="24"/>
          <w:u w:val="single"/>
        </w:rPr>
        <w:t xml:space="preserve"> the </w:t>
      </w:r>
      <w:r w:rsidR="00502233" w:rsidRPr="0098479D">
        <w:rPr>
          <w:b/>
          <w:sz w:val="24"/>
          <w:szCs w:val="24"/>
          <w:u w:val="single"/>
        </w:rPr>
        <w:t>Agency</w:t>
      </w:r>
    </w:p>
    <w:p w:rsidR="0089372D" w:rsidRDefault="0089372D" w:rsidP="00B0545A">
      <w:pPr>
        <w:pStyle w:val="a"/>
        <w:tabs>
          <w:tab w:val="left" w:pos="2160"/>
        </w:tabs>
        <w:spacing w:line="480" w:lineRule="auto"/>
        <w:ind w:left="0" w:firstLine="720"/>
        <w:rPr>
          <w:szCs w:val="24"/>
          <w:highlight w:val="yellow"/>
        </w:rPr>
      </w:pPr>
    </w:p>
    <w:p w:rsidR="00DF4BD8" w:rsidRPr="0098479D" w:rsidRDefault="00502233" w:rsidP="00B0545A">
      <w:pPr>
        <w:pStyle w:val="a"/>
        <w:tabs>
          <w:tab w:val="left" w:pos="2160"/>
        </w:tabs>
        <w:spacing w:line="480" w:lineRule="auto"/>
        <w:ind w:left="0" w:firstLine="720"/>
        <w:rPr>
          <w:szCs w:val="24"/>
        </w:rPr>
      </w:pPr>
      <w:r w:rsidRPr="000F36D7">
        <w:rPr>
          <w:szCs w:val="24"/>
          <w:highlight w:val="yellow"/>
        </w:rPr>
        <w:t xml:space="preserve">A 60-day Federal Register Notice of </w:t>
      </w:r>
      <w:r w:rsidR="005B5425" w:rsidRPr="000F36D7">
        <w:rPr>
          <w:szCs w:val="24"/>
          <w:highlight w:val="yellow"/>
        </w:rPr>
        <w:t xml:space="preserve">this </w:t>
      </w:r>
      <w:r w:rsidRPr="000F36D7">
        <w:rPr>
          <w:szCs w:val="24"/>
          <w:highlight w:val="yellow"/>
        </w:rPr>
        <w:t xml:space="preserve">proposed data collection was published in the Federal Register </w:t>
      </w:r>
      <w:r w:rsidR="00BA5DA4" w:rsidRPr="000F36D7">
        <w:rPr>
          <w:szCs w:val="24"/>
          <w:highlight w:val="yellow"/>
        </w:rPr>
        <w:t xml:space="preserve">on </w:t>
      </w:r>
      <w:r w:rsidR="00DC06A2" w:rsidRPr="000F36D7">
        <w:rPr>
          <w:szCs w:val="24"/>
          <w:highlight w:val="yellow"/>
        </w:rPr>
        <w:t xml:space="preserve">12/06/2012 </w:t>
      </w:r>
      <w:r w:rsidR="00053236" w:rsidRPr="000F36D7">
        <w:rPr>
          <w:szCs w:val="24"/>
          <w:highlight w:val="yellow"/>
        </w:rPr>
        <w:t xml:space="preserve">in Vol. </w:t>
      </w:r>
      <w:r w:rsidR="006349D4" w:rsidRPr="000F36D7">
        <w:rPr>
          <w:szCs w:val="24"/>
          <w:highlight w:val="yellow"/>
        </w:rPr>
        <w:t xml:space="preserve"> </w:t>
      </w:r>
      <w:r w:rsidR="00DC06A2" w:rsidRPr="000F36D7">
        <w:rPr>
          <w:szCs w:val="24"/>
          <w:highlight w:val="yellow"/>
        </w:rPr>
        <w:t xml:space="preserve">77 </w:t>
      </w:r>
      <w:r w:rsidR="00053236" w:rsidRPr="000F36D7">
        <w:rPr>
          <w:szCs w:val="24"/>
          <w:highlight w:val="yellow"/>
        </w:rPr>
        <w:t>and Page No.</w:t>
      </w:r>
      <w:r w:rsidR="006349D4" w:rsidRPr="000F36D7">
        <w:rPr>
          <w:szCs w:val="24"/>
          <w:highlight w:val="yellow"/>
        </w:rPr>
        <w:t xml:space="preserve"> </w:t>
      </w:r>
      <w:r w:rsidR="00DC06A2" w:rsidRPr="000F36D7">
        <w:rPr>
          <w:bCs/>
          <w:szCs w:val="24"/>
          <w:highlight w:val="yellow"/>
        </w:rPr>
        <w:t>72871</w:t>
      </w:r>
      <w:r w:rsidRPr="000F36D7">
        <w:rPr>
          <w:szCs w:val="24"/>
          <w:highlight w:val="yellow"/>
        </w:rPr>
        <w:t>.</w:t>
      </w:r>
      <w:r w:rsidRPr="0098479D">
        <w:rPr>
          <w:szCs w:val="24"/>
        </w:rPr>
        <w:t xml:space="preserve"> </w:t>
      </w:r>
      <w:r w:rsidRPr="00AD5526">
        <w:rPr>
          <w:szCs w:val="24"/>
        </w:rPr>
        <w:t xml:space="preserve">Comments were solicited on the proposed information collection. </w:t>
      </w:r>
      <w:r w:rsidRPr="00AD5526">
        <w:rPr>
          <w:rFonts w:ascii="CG Times" w:hAnsi="CG Times"/>
          <w:szCs w:val="24"/>
        </w:rPr>
        <w:t xml:space="preserve">No public comments </w:t>
      </w:r>
      <w:r w:rsidR="00E34E03" w:rsidRPr="00AD5526">
        <w:rPr>
          <w:rFonts w:ascii="CG Times" w:hAnsi="CG Times"/>
          <w:szCs w:val="24"/>
        </w:rPr>
        <w:t>ha</w:t>
      </w:r>
      <w:r w:rsidR="00053236" w:rsidRPr="00AD5526">
        <w:rPr>
          <w:rFonts w:ascii="CG Times" w:hAnsi="CG Times"/>
          <w:szCs w:val="24"/>
        </w:rPr>
        <w:t>ve</w:t>
      </w:r>
      <w:r w:rsidR="00E34E03" w:rsidRPr="00AD5526">
        <w:rPr>
          <w:rFonts w:ascii="CG Times" w:hAnsi="CG Times"/>
          <w:szCs w:val="24"/>
        </w:rPr>
        <w:t xml:space="preserve"> been </w:t>
      </w:r>
      <w:r w:rsidRPr="00AD5526">
        <w:rPr>
          <w:rFonts w:ascii="CG Times" w:hAnsi="CG Times"/>
          <w:szCs w:val="24"/>
        </w:rPr>
        <w:t>received.</w:t>
      </w:r>
      <w:r w:rsidR="00DF4BD8" w:rsidRPr="0098479D">
        <w:rPr>
          <w:szCs w:val="24"/>
        </w:rPr>
        <w:t xml:space="preserve"> </w:t>
      </w:r>
    </w:p>
    <w:p w:rsidR="0020214B" w:rsidRPr="0098479D" w:rsidRDefault="00DF4BD8" w:rsidP="00B0545A">
      <w:pPr>
        <w:pStyle w:val="a"/>
        <w:tabs>
          <w:tab w:val="left" w:pos="2160"/>
        </w:tabs>
        <w:spacing w:line="480" w:lineRule="auto"/>
        <w:ind w:left="0" w:firstLine="720"/>
        <w:rPr>
          <w:szCs w:val="24"/>
        </w:rPr>
      </w:pPr>
      <w:r w:rsidRPr="0098479D">
        <w:t xml:space="preserve">The investigators for this study consult with a </w:t>
      </w:r>
      <w:r w:rsidRPr="00AD5526">
        <w:rPr>
          <w:highlight w:val="yellow"/>
        </w:rPr>
        <w:t xml:space="preserve">National Advisory Panel (NAP) annually to get their views on the activities being conducted by the study.  The last meeting was held </w:t>
      </w:r>
      <w:r w:rsidR="006349D4" w:rsidRPr="00EE595F">
        <w:rPr>
          <w:highlight w:val="yellow"/>
        </w:rPr>
        <w:lastRenderedPageBreak/>
        <w:t>March 1, 2012</w:t>
      </w:r>
      <w:r w:rsidRPr="00AD5526">
        <w:rPr>
          <w:highlight w:val="yellow"/>
        </w:rPr>
        <w:t>.</w:t>
      </w:r>
      <w:r w:rsidRPr="0098479D">
        <w:t xml:space="preserve">  The NAP consists of epidemiologists, toxicologists, farmers, and pesticide educators (</w:t>
      </w:r>
      <w:r w:rsidRPr="006A6709">
        <w:rPr>
          <w:b/>
        </w:rPr>
        <w:t xml:space="preserve">Attachment </w:t>
      </w:r>
      <w:r w:rsidR="006A6709">
        <w:rPr>
          <w:b/>
        </w:rPr>
        <w:t>4</w:t>
      </w:r>
      <w:r w:rsidRPr="0098479D">
        <w:t xml:space="preserve">).  </w:t>
      </w:r>
    </w:p>
    <w:p w:rsidR="00D80E77" w:rsidRPr="0098479D" w:rsidRDefault="00DF4BD8" w:rsidP="00B0545A">
      <w:pPr>
        <w:spacing w:line="480" w:lineRule="auto"/>
        <w:ind w:firstLine="720"/>
        <w:rPr>
          <w:sz w:val="24"/>
          <w:szCs w:val="24"/>
        </w:rPr>
      </w:pPr>
      <w:r w:rsidRPr="00E72FCD">
        <w:rPr>
          <w:sz w:val="24"/>
          <w:szCs w:val="24"/>
        </w:rPr>
        <w:t xml:space="preserve">Additionally, the investigators for AHS are members of </w:t>
      </w:r>
      <w:r w:rsidR="00743E11" w:rsidRPr="00E72FCD">
        <w:rPr>
          <w:sz w:val="24"/>
          <w:szCs w:val="24"/>
        </w:rPr>
        <w:t xml:space="preserve">AGRICOH, an international consortium of researchers following agricultural cohorts designed </w:t>
      </w:r>
      <w:r w:rsidR="00AD5526" w:rsidRPr="00E72FCD">
        <w:rPr>
          <w:sz w:val="24"/>
          <w:szCs w:val="24"/>
        </w:rPr>
        <w:t xml:space="preserve">to </w:t>
      </w:r>
      <w:r w:rsidRPr="00E72FCD">
        <w:rPr>
          <w:sz w:val="24"/>
          <w:szCs w:val="24"/>
        </w:rPr>
        <w:t>characterize</w:t>
      </w:r>
      <w:r w:rsidRPr="0098479D">
        <w:rPr>
          <w:sz w:val="24"/>
          <w:szCs w:val="24"/>
        </w:rPr>
        <w:t xml:space="preserve"> ongoing and planned studies, identify area</w:t>
      </w:r>
      <w:r w:rsidR="00F95ED8" w:rsidRPr="0098479D">
        <w:rPr>
          <w:sz w:val="24"/>
          <w:szCs w:val="24"/>
        </w:rPr>
        <w:t>s</w:t>
      </w:r>
      <w:r w:rsidRPr="0098479D">
        <w:rPr>
          <w:sz w:val="24"/>
          <w:szCs w:val="24"/>
        </w:rPr>
        <w:t xml:space="preserve"> where pooling would be advantageous, and identify areas for replication of findings.</w:t>
      </w:r>
      <w:r w:rsidRPr="0098479D">
        <w:rPr>
          <w:sz w:val="24"/>
          <w:szCs w:val="24"/>
        </w:rPr>
        <w:tab/>
      </w:r>
    </w:p>
    <w:p w:rsidR="00394D2E" w:rsidRPr="0098479D" w:rsidRDefault="00394D2E" w:rsidP="00B0545A">
      <w:pPr>
        <w:spacing w:line="480" w:lineRule="auto"/>
        <w:ind w:firstLine="720"/>
        <w:rPr>
          <w:sz w:val="24"/>
          <w:szCs w:val="24"/>
        </w:rPr>
      </w:pPr>
    </w:p>
    <w:p w:rsidR="00502233" w:rsidRPr="0098479D" w:rsidRDefault="003F0F43" w:rsidP="00B0545A">
      <w:pPr>
        <w:pStyle w:val="Heading2"/>
        <w:spacing w:line="480" w:lineRule="auto"/>
        <w:rPr>
          <w:sz w:val="24"/>
          <w:szCs w:val="24"/>
        </w:rPr>
      </w:pPr>
      <w:r w:rsidRPr="0098479D">
        <w:rPr>
          <w:sz w:val="24"/>
          <w:szCs w:val="24"/>
        </w:rPr>
        <w:t>A.</w:t>
      </w:r>
      <w:r w:rsidR="00502233" w:rsidRPr="0098479D">
        <w:rPr>
          <w:sz w:val="24"/>
          <w:szCs w:val="24"/>
        </w:rPr>
        <w:t xml:space="preserve">9 </w:t>
      </w:r>
      <w:r w:rsidR="008A2C84" w:rsidRPr="0098479D">
        <w:rPr>
          <w:sz w:val="24"/>
          <w:szCs w:val="24"/>
        </w:rPr>
        <w:t xml:space="preserve">  </w:t>
      </w:r>
      <w:r w:rsidR="00331F35">
        <w:rPr>
          <w:sz w:val="24"/>
          <w:szCs w:val="24"/>
        </w:rPr>
        <w:tab/>
      </w:r>
      <w:r w:rsidR="00502233" w:rsidRPr="0098479D">
        <w:rPr>
          <w:sz w:val="24"/>
          <w:szCs w:val="24"/>
          <w:u w:val="single"/>
        </w:rPr>
        <w:t>Explanation of Any Payment or Gift to Respondent</w:t>
      </w:r>
    </w:p>
    <w:p w:rsidR="00502233" w:rsidRPr="0098479D" w:rsidRDefault="004F63FA" w:rsidP="00B0545A">
      <w:pPr>
        <w:spacing w:line="480" w:lineRule="auto"/>
        <w:ind w:firstLine="720"/>
        <w:rPr>
          <w:sz w:val="24"/>
          <w:szCs w:val="24"/>
        </w:rPr>
      </w:pPr>
      <w:r w:rsidRPr="0098479D">
        <w:rPr>
          <w:sz w:val="24"/>
          <w:szCs w:val="24"/>
        </w:rPr>
        <w:t>M</w:t>
      </w:r>
      <w:r w:rsidR="00502233" w:rsidRPr="0098479D">
        <w:rPr>
          <w:sz w:val="24"/>
          <w:szCs w:val="24"/>
        </w:rPr>
        <w:t xml:space="preserve">aterials to be utilized in the study are provided to the respondent (e.g., a small bottle of mouthwash to be used in the </w:t>
      </w:r>
      <w:proofErr w:type="spellStart"/>
      <w:r w:rsidR="00502233" w:rsidRPr="0098479D">
        <w:rPr>
          <w:sz w:val="24"/>
          <w:szCs w:val="24"/>
        </w:rPr>
        <w:t>buccal</w:t>
      </w:r>
      <w:proofErr w:type="spellEnd"/>
      <w:r w:rsidR="00502233" w:rsidRPr="0098479D">
        <w:rPr>
          <w:sz w:val="24"/>
          <w:szCs w:val="24"/>
        </w:rPr>
        <w:t xml:space="preserve"> rinse collection) and return postage for any materials to be returned to the Coordinating Center is provided via the use of pre-stamped Business Return Permits on the return envelopes</w:t>
      </w:r>
      <w:r w:rsidR="00502233" w:rsidRPr="00E72FCD">
        <w:rPr>
          <w:sz w:val="24"/>
          <w:szCs w:val="24"/>
        </w:rPr>
        <w:t>.</w:t>
      </w:r>
      <w:r w:rsidRPr="00E72FCD">
        <w:rPr>
          <w:sz w:val="24"/>
          <w:szCs w:val="24"/>
        </w:rPr>
        <w:t xml:space="preserve">  </w:t>
      </w:r>
      <w:r w:rsidR="001513A0" w:rsidRPr="00E72FCD">
        <w:rPr>
          <w:sz w:val="24"/>
          <w:szCs w:val="24"/>
        </w:rPr>
        <w:t>E</w:t>
      </w:r>
      <w:r w:rsidRPr="00E72FCD">
        <w:rPr>
          <w:sz w:val="24"/>
          <w:szCs w:val="24"/>
        </w:rPr>
        <w:t xml:space="preserve">ach respondent who returns a </w:t>
      </w:r>
      <w:proofErr w:type="spellStart"/>
      <w:r w:rsidRPr="00E72FCD">
        <w:rPr>
          <w:sz w:val="24"/>
          <w:szCs w:val="24"/>
        </w:rPr>
        <w:t>buccal</w:t>
      </w:r>
      <w:proofErr w:type="spellEnd"/>
      <w:r w:rsidRPr="00E72FCD">
        <w:rPr>
          <w:sz w:val="24"/>
          <w:szCs w:val="24"/>
        </w:rPr>
        <w:t xml:space="preserve"> cell sample </w:t>
      </w:r>
      <w:r w:rsidR="00AD5526" w:rsidRPr="00E72FCD">
        <w:rPr>
          <w:sz w:val="24"/>
          <w:szCs w:val="24"/>
        </w:rPr>
        <w:t xml:space="preserve">will </w:t>
      </w:r>
      <w:r w:rsidR="001513A0" w:rsidRPr="00E72FCD">
        <w:rPr>
          <w:sz w:val="24"/>
          <w:szCs w:val="24"/>
        </w:rPr>
        <w:t xml:space="preserve">receive </w:t>
      </w:r>
      <w:r w:rsidRPr="00E72FCD">
        <w:rPr>
          <w:sz w:val="24"/>
          <w:szCs w:val="24"/>
        </w:rPr>
        <w:t>$</w:t>
      </w:r>
      <w:r w:rsidR="00D80E77" w:rsidRPr="00E72FCD">
        <w:rPr>
          <w:sz w:val="24"/>
          <w:szCs w:val="24"/>
        </w:rPr>
        <w:t>5</w:t>
      </w:r>
      <w:r w:rsidRPr="00E72FCD">
        <w:rPr>
          <w:sz w:val="24"/>
          <w:szCs w:val="24"/>
        </w:rPr>
        <w:t xml:space="preserve">.00 as </w:t>
      </w:r>
      <w:r w:rsidR="00331F35" w:rsidRPr="00E72FCD">
        <w:rPr>
          <w:sz w:val="24"/>
          <w:szCs w:val="24"/>
        </w:rPr>
        <w:t>an incentive</w:t>
      </w:r>
      <w:r w:rsidR="00AD5526" w:rsidRPr="00E72FCD">
        <w:rPr>
          <w:sz w:val="24"/>
          <w:szCs w:val="24"/>
        </w:rPr>
        <w:t xml:space="preserve"> </w:t>
      </w:r>
      <w:r w:rsidRPr="00E72FCD">
        <w:rPr>
          <w:sz w:val="24"/>
          <w:szCs w:val="24"/>
        </w:rPr>
        <w:t xml:space="preserve">for the time spent providing the sample. </w:t>
      </w:r>
      <w:r w:rsidR="004A5B47" w:rsidRPr="00E72FCD">
        <w:rPr>
          <w:sz w:val="24"/>
          <w:szCs w:val="24"/>
        </w:rPr>
        <w:t xml:space="preserve"> The $5 is provided as an incentive to the respondent to accurately read and follow the instructions for the </w:t>
      </w:r>
      <w:proofErr w:type="spellStart"/>
      <w:r w:rsidR="004A5B47" w:rsidRPr="00E72FCD">
        <w:rPr>
          <w:sz w:val="24"/>
          <w:szCs w:val="24"/>
        </w:rPr>
        <w:t>buccal</w:t>
      </w:r>
      <w:proofErr w:type="spellEnd"/>
      <w:r w:rsidR="004A5B47" w:rsidRPr="00E72FCD">
        <w:rPr>
          <w:sz w:val="24"/>
          <w:szCs w:val="24"/>
        </w:rPr>
        <w:t xml:space="preserve"> cell collection.</w:t>
      </w:r>
      <w:r w:rsidR="00053236" w:rsidRPr="00E72FCD">
        <w:rPr>
          <w:sz w:val="24"/>
          <w:szCs w:val="24"/>
        </w:rPr>
        <w:t xml:space="preserve">   </w:t>
      </w:r>
      <w:r w:rsidR="001513A0" w:rsidRPr="00E72FCD">
        <w:rPr>
          <w:sz w:val="24"/>
          <w:szCs w:val="24"/>
        </w:rPr>
        <w:t>P</w:t>
      </w:r>
      <w:r w:rsidR="00053236" w:rsidRPr="00E72FCD">
        <w:rPr>
          <w:sz w:val="24"/>
          <w:szCs w:val="24"/>
        </w:rPr>
        <w:t>articipant</w:t>
      </w:r>
      <w:r w:rsidR="001513A0" w:rsidRPr="00E72FCD">
        <w:rPr>
          <w:sz w:val="24"/>
          <w:szCs w:val="24"/>
        </w:rPr>
        <w:t>s</w:t>
      </w:r>
      <w:r w:rsidR="00053236" w:rsidRPr="00E72FCD">
        <w:rPr>
          <w:sz w:val="24"/>
          <w:szCs w:val="24"/>
        </w:rPr>
        <w:t xml:space="preserve"> in the BEEA component </w:t>
      </w:r>
      <w:r w:rsidR="00AD5526" w:rsidRPr="00E72FCD">
        <w:rPr>
          <w:sz w:val="24"/>
          <w:szCs w:val="24"/>
        </w:rPr>
        <w:t xml:space="preserve">will </w:t>
      </w:r>
      <w:r w:rsidR="001513A0" w:rsidRPr="00E72FCD">
        <w:rPr>
          <w:sz w:val="24"/>
          <w:szCs w:val="24"/>
        </w:rPr>
        <w:t xml:space="preserve">receive </w:t>
      </w:r>
      <w:r w:rsidR="00053236" w:rsidRPr="00E72FCD">
        <w:rPr>
          <w:sz w:val="24"/>
          <w:szCs w:val="24"/>
        </w:rPr>
        <w:t xml:space="preserve">$75 per home visit as </w:t>
      </w:r>
      <w:r w:rsidR="001513A0" w:rsidRPr="00E72FCD">
        <w:rPr>
          <w:sz w:val="24"/>
          <w:szCs w:val="24"/>
        </w:rPr>
        <w:t xml:space="preserve">an incentive </w:t>
      </w:r>
      <w:r w:rsidR="00053236" w:rsidRPr="00E72FCD">
        <w:rPr>
          <w:sz w:val="24"/>
          <w:szCs w:val="24"/>
        </w:rPr>
        <w:t>for the time taken to participate in the interview</w:t>
      </w:r>
      <w:r w:rsidR="00053236" w:rsidRPr="0098479D">
        <w:rPr>
          <w:sz w:val="24"/>
          <w:szCs w:val="24"/>
        </w:rPr>
        <w:t xml:space="preserve"> and </w:t>
      </w:r>
      <w:proofErr w:type="spellStart"/>
      <w:r w:rsidR="00053236" w:rsidRPr="0098479D">
        <w:rPr>
          <w:sz w:val="24"/>
          <w:szCs w:val="24"/>
        </w:rPr>
        <w:t>biospecimen</w:t>
      </w:r>
      <w:proofErr w:type="spellEnd"/>
      <w:r w:rsidR="00053236" w:rsidRPr="0098479D">
        <w:rPr>
          <w:sz w:val="24"/>
          <w:szCs w:val="24"/>
        </w:rPr>
        <w:t xml:space="preserve"> collection.</w:t>
      </w:r>
      <w:r w:rsidR="00185ECB" w:rsidRPr="0098479D">
        <w:rPr>
          <w:sz w:val="24"/>
          <w:szCs w:val="24"/>
        </w:rPr>
        <w:t xml:space="preserve">  Additionally, if the lab results </w:t>
      </w:r>
      <w:r w:rsidR="006D6425" w:rsidRPr="0098479D">
        <w:rPr>
          <w:sz w:val="24"/>
          <w:szCs w:val="24"/>
        </w:rPr>
        <w:t xml:space="preserve">for the hematologic alteration assays among Recently Exposed subjects are </w:t>
      </w:r>
      <w:r w:rsidR="00185ECB" w:rsidRPr="0098479D">
        <w:rPr>
          <w:sz w:val="24"/>
          <w:szCs w:val="24"/>
        </w:rPr>
        <w:t xml:space="preserve">abnormal, a letter </w:t>
      </w:r>
      <w:r w:rsidR="006D6425" w:rsidRPr="0098479D">
        <w:rPr>
          <w:sz w:val="24"/>
          <w:szCs w:val="24"/>
        </w:rPr>
        <w:t>will be</w:t>
      </w:r>
      <w:r w:rsidR="00185ECB" w:rsidRPr="0098479D">
        <w:rPr>
          <w:sz w:val="24"/>
          <w:szCs w:val="24"/>
        </w:rPr>
        <w:t xml:space="preserve"> mailed to the participants with their test results (</w:t>
      </w:r>
      <w:r w:rsidR="00185ECB" w:rsidRPr="006A6709">
        <w:rPr>
          <w:b/>
          <w:sz w:val="24"/>
          <w:szCs w:val="24"/>
        </w:rPr>
        <w:t xml:space="preserve">Attachment </w:t>
      </w:r>
      <w:r w:rsidR="006A6709">
        <w:rPr>
          <w:b/>
          <w:sz w:val="24"/>
          <w:szCs w:val="24"/>
        </w:rPr>
        <w:t>17</w:t>
      </w:r>
      <w:r w:rsidR="00386E19">
        <w:rPr>
          <w:b/>
          <w:sz w:val="24"/>
          <w:szCs w:val="24"/>
        </w:rPr>
        <w:t>.13</w:t>
      </w:r>
      <w:r w:rsidR="00185ECB" w:rsidRPr="0098479D">
        <w:rPr>
          <w:sz w:val="24"/>
          <w:szCs w:val="24"/>
        </w:rPr>
        <w:t>).</w:t>
      </w:r>
    </w:p>
    <w:p w:rsidR="00D80E77" w:rsidRPr="0098479D" w:rsidRDefault="00D80E77" w:rsidP="00B0545A">
      <w:pPr>
        <w:pStyle w:val="Heading2"/>
        <w:spacing w:line="480" w:lineRule="auto"/>
        <w:ind w:left="0" w:firstLine="720"/>
        <w:rPr>
          <w:b w:val="0"/>
          <w:sz w:val="24"/>
          <w:szCs w:val="24"/>
        </w:rPr>
      </w:pPr>
    </w:p>
    <w:p w:rsidR="00325CCF" w:rsidRPr="0098479D" w:rsidRDefault="003F0F43" w:rsidP="00B0545A">
      <w:pPr>
        <w:pStyle w:val="Heading2"/>
        <w:spacing w:line="480" w:lineRule="auto"/>
        <w:rPr>
          <w:sz w:val="24"/>
          <w:szCs w:val="24"/>
        </w:rPr>
      </w:pPr>
      <w:r w:rsidRPr="0098479D">
        <w:rPr>
          <w:sz w:val="24"/>
          <w:szCs w:val="24"/>
        </w:rPr>
        <w:t>A.</w:t>
      </w:r>
      <w:r w:rsidR="00502233" w:rsidRPr="0098479D">
        <w:rPr>
          <w:sz w:val="24"/>
          <w:szCs w:val="24"/>
        </w:rPr>
        <w:t>10</w:t>
      </w:r>
      <w:r w:rsidR="00325CCF" w:rsidRPr="0098479D">
        <w:rPr>
          <w:sz w:val="24"/>
          <w:szCs w:val="24"/>
        </w:rPr>
        <w:t xml:space="preserve"> </w:t>
      </w:r>
      <w:r w:rsidR="008A2C84" w:rsidRPr="0098479D">
        <w:rPr>
          <w:sz w:val="24"/>
          <w:szCs w:val="24"/>
        </w:rPr>
        <w:t xml:space="preserve">  </w:t>
      </w:r>
      <w:r w:rsidR="00331F35">
        <w:rPr>
          <w:sz w:val="24"/>
          <w:szCs w:val="24"/>
        </w:rPr>
        <w:tab/>
      </w:r>
      <w:r w:rsidR="00325CCF" w:rsidRPr="0098479D">
        <w:rPr>
          <w:sz w:val="24"/>
          <w:szCs w:val="24"/>
          <w:u w:val="single"/>
        </w:rPr>
        <w:t>Assurance of Confidential</w:t>
      </w:r>
      <w:r w:rsidR="00840F5E" w:rsidRPr="0098479D">
        <w:rPr>
          <w:sz w:val="24"/>
          <w:szCs w:val="24"/>
          <w:u w:val="single"/>
        </w:rPr>
        <w:t>ity</w:t>
      </w:r>
      <w:r w:rsidR="00325CCF" w:rsidRPr="0098479D">
        <w:rPr>
          <w:sz w:val="24"/>
          <w:szCs w:val="24"/>
          <w:u w:val="single"/>
        </w:rPr>
        <w:t xml:space="preserve"> Provided to Respondent</w:t>
      </w:r>
      <w:r w:rsidR="00840F5E" w:rsidRPr="0098479D">
        <w:rPr>
          <w:sz w:val="24"/>
          <w:szCs w:val="24"/>
          <w:u w:val="single"/>
        </w:rPr>
        <w:t>s</w:t>
      </w:r>
    </w:p>
    <w:p w:rsidR="00325CCF" w:rsidRPr="0098479D" w:rsidRDefault="00325CCF" w:rsidP="00B0545A">
      <w:pPr>
        <w:spacing w:line="480" w:lineRule="auto"/>
        <w:ind w:firstLine="720"/>
        <w:rPr>
          <w:sz w:val="24"/>
          <w:szCs w:val="24"/>
        </w:rPr>
      </w:pPr>
      <w:r w:rsidRPr="0098479D">
        <w:rPr>
          <w:sz w:val="24"/>
          <w:szCs w:val="24"/>
        </w:rPr>
        <w:t xml:space="preserve">Procedures have been developed to protect the confidentiality of the subjects.  </w:t>
      </w:r>
      <w:r w:rsidR="00502233" w:rsidRPr="00AD5526">
        <w:rPr>
          <w:sz w:val="24"/>
          <w:szCs w:val="24"/>
          <w:highlight w:val="yellow"/>
        </w:rPr>
        <w:t xml:space="preserve">A Certificate of Confidentiality was obtained prior to onset of data collection, and has been renewed through </w:t>
      </w:r>
      <w:r w:rsidR="00D50DDE" w:rsidRPr="00331F35">
        <w:rPr>
          <w:sz w:val="24"/>
          <w:szCs w:val="24"/>
          <w:highlight w:val="yellow"/>
        </w:rPr>
        <w:t>2</w:t>
      </w:r>
      <w:r w:rsidR="00D50DDE" w:rsidRPr="00D50DDE">
        <w:rPr>
          <w:sz w:val="24"/>
          <w:szCs w:val="24"/>
          <w:highlight w:val="yellow"/>
        </w:rPr>
        <w:t>01</w:t>
      </w:r>
      <w:r w:rsidR="00D50DDE" w:rsidRPr="00331F35">
        <w:rPr>
          <w:sz w:val="24"/>
          <w:szCs w:val="24"/>
          <w:highlight w:val="yellow"/>
        </w:rPr>
        <w:t>9</w:t>
      </w:r>
      <w:r w:rsidR="00D50DDE" w:rsidRPr="00AD5526">
        <w:rPr>
          <w:sz w:val="24"/>
          <w:szCs w:val="24"/>
          <w:highlight w:val="yellow"/>
        </w:rPr>
        <w:t xml:space="preserve"> </w:t>
      </w:r>
      <w:r w:rsidR="00502233" w:rsidRPr="00AD5526">
        <w:rPr>
          <w:sz w:val="24"/>
          <w:szCs w:val="24"/>
          <w:highlight w:val="yellow"/>
        </w:rPr>
        <w:t>(</w:t>
      </w:r>
      <w:r w:rsidR="00502233" w:rsidRPr="00AD5526">
        <w:rPr>
          <w:b/>
          <w:sz w:val="24"/>
          <w:szCs w:val="24"/>
          <w:highlight w:val="yellow"/>
        </w:rPr>
        <w:t xml:space="preserve">Attachment </w:t>
      </w:r>
      <w:r w:rsidR="006A6709">
        <w:rPr>
          <w:b/>
          <w:sz w:val="24"/>
          <w:szCs w:val="24"/>
          <w:highlight w:val="yellow"/>
        </w:rPr>
        <w:t>5</w:t>
      </w:r>
      <w:r w:rsidR="00502233" w:rsidRPr="00AD5526">
        <w:rPr>
          <w:sz w:val="24"/>
          <w:szCs w:val="24"/>
          <w:highlight w:val="yellow"/>
        </w:rPr>
        <w:t>)</w:t>
      </w:r>
      <w:r w:rsidR="004A5B47" w:rsidRPr="00AD5526">
        <w:rPr>
          <w:sz w:val="24"/>
          <w:szCs w:val="24"/>
          <w:highlight w:val="yellow"/>
        </w:rPr>
        <w:t xml:space="preserve">.  Though data collection is not anticipated to extend past </w:t>
      </w:r>
      <w:r w:rsidR="00D50DDE" w:rsidRPr="00331F35">
        <w:rPr>
          <w:sz w:val="24"/>
          <w:szCs w:val="24"/>
          <w:highlight w:val="yellow"/>
        </w:rPr>
        <w:lastRenderedPageBreak/>
        <w:t>September 2019</w:t>
      </w:r>
      <w:r w:rsidR="004A5B47" w:rsidRPr="00AD5526">
        <w:rPr>
          <w:sz w:val="24"/>
          <w:szCs w:val="24"/>
          <w:highlight w:val="yellow"/>
        </w:rPr>
        <w:t xml:space="preserve">, if this does occur a renewed Certificate of Confidentiality will be </w:t>
      </w:r>
      <w:r w:rsidR="006F7E80" w:rsidRPr="00AD5526">
        <w:rPr>
          <w:sz w:val="24"/>
          <w:szCs w:val="24"/>
          <w:highlight w:val="yellow"/>
        </w:rPr>
        <w:t>applied for through NIH.</w:t>
      </w:r>
      <w:r w:rsidR="006F7E80" w:rsidRPr="0098479D">
        <w:rPr>
          <w:sz w:val="24"/>
          <w:szCs w:val="24"/>
        </w:rPr>
        <w:t xml:space="preserve">  </w:t>
      </w:r>
      <w:r w:rsidRPr="0098479D">
        <w:rPr>
          <w:sz w:val="24"/>
          <w:szCs w:val="24"/>
        </w:rPr>
        <w:t>The data collect</w:t>
      </w:r>
      <w:r w:rsidR="00C56000" w:rsidRPr="0098479D">
        <w:rPr>
          <w:sz w:val="24"/>
          <w:szCs w:val="24"/>
        </w:rPr>
        <w:t xml:space="preserve">ion is covered by NIH </w:t>
      </w:r>
      <w:r w:rsidRPr="0098479D">
        <w:rPr>
          <w:sz w:val="24"/>
          <w:szCs w:val="24"/>
        </w:rPr>
        <w:t>Privacy Act System</w:t>
      </w:r>
      <w:r w:rsidR="00C56000" w:rsidRPr="0098479D">
        <w:rPr>
          <w:sz w:val="24"/>
          <w:szCs w:val="24"/>
        </w:rPr>
        <w:t>s</w:t>
      </w:r>
      <w:r w:rsidR="00DF15BC" w:rsidRPr="0098479D">
        <w:rPr>
          <w:sz w:val="24"/>
          <w:szCs w:val="24"/>
        </w:rPr>
        <w:t xml:space="preserve"> of Record </w:t>
      </w:r>
      <w:r w:rsidRPr="0098479D">
        <w:rPr>
          <w:sz w:val="24"/>
          <w:szCs w:val="24"/>
        </w:rPr>
        <w:t>09-25-0</w:t>
      </w:r>
      <w:r w:rsidR="00D05940" w:rsidRPr="0098479D">
        <w:rPr>
          <w:sz w:val="24"/>
          <w:szCs w:val="24"/>
        </w:rPr>
        <w:t>200</w:t>
      </w:r>
      <w:r w:rsidRPr="0098479D">
        <w:rPr>
          <w:sz w:val="24"/>
          <w:szCs w:val="24"/>
        </w:rPr>
        <w:t xml:space="preserve">, </w:t>
      </w:r>
      <w:r w:rsidR="00C56000" w:rsidRPr="0098479D">
        <w:rPr>
          <w:sz w:val="24"/>
          <w:szCs w:val="24"/>
        </w:rPr>
        <w:t>“</w:t>
      </w:r>
      <w:r w:rsidRPr="0098479D">
        <w:rPr>
          <w:sz w:val="24"/>
          <w:szCs w:val="24"/>
        </w:rPr>
        <w:t>Clinical</w:t>
      </w:r>
      <w:r w:rsidR="00C56000" w:rsidRPr="0098479D">
        <w:rPr>
          <w:sz w:val="24"/>
          <w:szCs w:val="24"/>
        </w:rPr>
        <w:t>, Basic and Population-based</w:t>
      </w:r>
      <w:r w:rsidRPr="0098479D">
        <w:rPr>
          <w:sz w:val="24"/>
          <w:szCs w:val="24"/>
        </w:rPr>
        <w:t xml:space="preserve"> Research Studies </w:t>
      </w:r>
      <w:r w:rsidR="00C56000" w:rsidRPr="0098479D">
        <w:rPr>
          <w:sz w:val="24"/>
          <w:szCs w:val="24"/>
        </w:rPr>
        <w:t xml:space="preserve">of the National Institutes of Health (NIH, HHS/NIH/OD” </w:t>
      </w:r>
      <w:r w:rsidR="00F35FDE" w:rsidRPr="0098479D">
        <w:rPr>
          <w:sz w:val="24"/>
          <w:szCs w:val="24"/>
        </w:rPr>
        <w:t>(</w:t>
      </w:r>
      <w:r w:rsidR="00F35FDE" w:rsidRPr="006A6709">
        <w:rPr>
          <w:b/>
          <w:sz w:val="24"/>
          <w:szCs w:val="24"/>
        </w:rPr>
        <w:t>Attachment</w:t>
      </w:r>
      <w:r w:rsidR="00B879C7" w:rsidRPr="006A6709">
        <w:rPr>
          <w:b/>
          <w:sz w:val="24"/>
          <w:szCs w:val="24"/>
        </w:rPr>
        <w:t xml:space="preserve"> </w:t>
      </w:r>
      <w:r w:rsidR="006A6709">
        <w:rPr>
          <w:b/>
          <w:sz w:val="24"/>
          <w:szCs w:val="24"/>
        </w:rPr>
        <w:t>6</w:t>
      </w:r>
      <w:r w:rsidR="002E52DE" w:rsidRPr="0098479D">
        <w:rPr>
          <w:sz w:val="24"/>
          <w:szCs w:val="24"/>
        </w:rPr>
        <w:t>).</w:t>
      </w:r>
      <w:r w:rsidR="00395799" w:rsidRPr="0098479D">
        <w:rPr>
          <w:sz w:val="24"/>
          <w:szCs w:val="24"/>
        </w:rPr>
        <w:t xml:space="preserve"> </w:t>
      </w:r>
      <w:r w:rsidRPr="0098479D">
        <w:rPr>
          <w:sz w:val="24"/>
          <w:szCs w:val="24"/>
        </w:rPr>
        <w:t>In addition, all contractor staff sign a pledge agreeing that all information provided by the respondent</w:t>
      </w:r>
      <w:r w:rsidR="00F35FDE" w:rsidRPr="0098479D">
        <w:rPr>
          <w:sz w:val="24"/>
          <w:szCs w:val="24"/>
        </w:rPr>
        <w:t>s</w:t>
      </w:r>
      <w:r w:rsidRPr="0098479D">
        <w:rPr>
          <w:sz w:val="24"/>
          <w:szCs w:val="24"/>
        </w:rPr>
        <w:t xml:space="preserve"> will be accorded the highest degree of confidentiality allowable</w:t>
      </w:r>
      <w:r w:rsidR="004F63FA" w:rsidRPr="0098479D">
        <w:rPr>
          <w:sz w:val="24"/>
          <w:szCs w:val="24"/>
        </w:rPr>
        <w:t xml:space="preserve"> (</w:t>
      </w:r>
      <w:r w:rsidR="004F63FA" w:rsidRPr="006A6709">
        <w:rPr>
          <w:b/>
          <w:sz w:val="24"/>
          <w:szCs w:val="24"/>
        </w:rPr>
        <w:t xml:space="preserve">Attachment </w:t>
      </w:r>
      <w:r w:rsidR="006A6709">
        <w:rPr>
          <w:b/>
          <w:sz w:val="24"/>
          <w:szCs w:val="24"/>
        </w:rPr>
        <w:t>7</w:t>
      </w:r>
      <w:r w:rsidR="004F63FA" w:rsidRPr="00331F35">
        <w:rPr>
          <w:sz w:val="24"/>
          <w:szCs w:val="24"/>
        </w:rPr>
        <w:t>)</w:t>
      </w:r>
      <w:r w:rsidRPr="00331F35">
        <w:rPr>
          <w:sz w:val="24"/>
          <w:szCs w:val="24"/>
        </w:rPr>
        <w:t xml:space="preserve">.  Subjects are informed of the measures taken to protect their confidentiality in the introductory </w:t>
      </w:r>
      <w:r w:rsidRPr="0089372D">
        <w:rPr>
          <w:sz w:val="24"/>
          <w:szCs w:val="24"/>
        </w:rPr>
        <w:t>letter</w:t>
      </w:r>
      <w:r w:rsidR="00331F35" w:rsidRPr="0089372D">
        <w:rPr>
          <w:sz w:val="24"/>
          <w:szCs w:val="24"/>
        </w:rPr>
        <w:t xml:space="preserve"> for </w:t>
      </w:r>
      <w:r w:rsidR="00D50DDE" w:rsidRPr="0089372D">
        <w:rPr>
          <w:sz w:val="24"/>
          <w:szCs w:val="24"/>
        </w:rPr>
        <w:t>Phase</w:t>
      </w:r>
      <w:r w:rsidR="00D50DDE" w:rsidRPr="00AD5526">
        <w:rPr>
          <w:sz w:val="24"/>
          <w:szCs w:val="24"/>
        </w:rPr>
        <w:t xml:space="preserve"> IV</w:t>
      </w:r>
      <w:r w:rsidR="00331F35" w:rsidRPr="00331F35">
        <w:rPr>
          <w:sz w:val="24"/>
          <w:szCs w:val="24"/>
        </w:rPr>
        <w:t>.</w:t>
      </w:r>
      <w:r w:rsidR="0089372D">
        <w:rPr>
          <w:sz w:val="24"/>
          <w:szCs w:val="24"/>
        </w:rPr>
        <w:t xml:space="preserve">  </w:t>
      </w:r>
      <w:r w:rsidR="006A0533" w:rsidRPr="00AD5526">
        <w:rPr>
          <w:sz w:val="24"/>
          <w:szCs w:val="24"/>
          <w:highlight w:val="yellow"/>
        </w:rPr>
        <w:t xml:space="preserve">A different version of the introductory letter has been developed for </w:t>
      </w:r>
      <w:r w:rsidR="00D50DDE" w:rsidRPr="00331F35">
        <w:rPr>
          <w:sz w:val="24"/>
          <w:szCs w:val="24"/>
          <w:highlight w:val="yellow"/>
        </w:rPr>
        <w:t>next of kin to be sent to households of known deceased cohort members</w:t>
      </w:r>
      <w:r w:rsidR="006A0533" w:rsidRPr="00AD5526">
        <w:rPr>
          <w:sz w:val="24"/>
          <w:szCs w:val="24"/>
          <w:highlight w:val="yellow"/>
        </w:rPr>
        <w:t xml:space="preserve"> (</w:t>
      </w:r>
      <w:r w:rsidR="006A0533" w:rsidRPr="00AD5526">
        <w:rPr>
          <w:b/>
          <w:sz w:val="24"/>
          <w:szCs w:val="24"/>
          <w:highlight w:val="yellow"/>
        </w:rPr>
        <w:t xml:space="preserve">Attachment </w:t>
      </w:r>
      <w:r w:rsidR="006A6709">
        <w:rPr>
          <w:b/>
          <w:sz w:val="24"/>
          <w:szCs w:val="24"/>
          <w:highlight w:val="yellow"/>
        </w:rPr>
        <w:t>24</w:t>
      </w:r>
      <w:r w:rsidR="00386E19">
        <w:rPr>
          <w:b/>
          <w:sz w:val="24"/>
          <w:szCs w:val="24"/>
          <w:highlight w:val="yellow"/>
        </w:rPr>
        <w:t>.2</w:t>
      </w:r>
      <w:r w:rsidR="006A0533" w:rsidRPr="00AD5526">
        <w:rPr>
          <w:sz w:val="24"/>
          <w:szCs w:val="24"/>
          <w:highlight w:val="yellow"/>
        </w:rPr>
        <w:t>).</w:t>
      </w:r>
      <w:r w:rsidR="006E5297" w:rsidRPr="00AD5526">
        <w:rPr>
          <w:sz w:val="24"/>
          <w:szCs w:val="24"/>
          <w:highlight w:val="yellow"/>
        </w:rPr>
        <w:t xml:space="preserve">  All letters are sent </w:t>
      </w:r>
      <w:r w:rsidR="006E5297" w:rsidRPr="0089372D">
        <w:rPr>
          <w:sz w:val="24"/>
          <w:szCs w:val="24"/>
          <w:highlight w:val="yellow"/>
        </w:rPr>
        <w:t xml:space="preserve">out on </w:t>
      </w:r>
      <w:r w:rsidR="00D50DDE" w:rsidRPr="0089372D">
        <w:rPr>
          <w:sz w:val="24"/>
          <w:szCs w:val="24"/>
          <w:highlight w:val="yellow"/>
        </w:rPr>
        <w:t>AHS Health Follow Up coordinating center letterhead</w:t>
      </w:r>
      <w:r w:rsidR="006E5297" w:rsidRPr="0089372D">
        <w:rPr>
          <w:sz w:val="24"/>
          <w:szCs w:val="24"/>
          <w:highlight w:val="yellow"/>
        </w:rPr>
        <w:t>.</w:t>
      </w:r>
      <w:r w:rsidR="006A0533" w:rsidRPr="0089372D">
        <w:rPr>
          <w:sz w:val="24"/>
          <w:szCs w:val="24"/>
          <w:highlight w:val="yellow"/>
        </w:rPr>
        <w:t xml:space="preserve">  </w:t>
      </w:r>
      <w:r w:rsidR="005305C8" w:rsidRPr="0089372D">
        <w:rPr>
          <w:sz w:val="24"/>
          <w:szCs w:val="24"/>
          <w:highlight w:val="yellow"/>
        </w:rPr>
        <w:t xml:space="preserve">Additionally, respondents are informed again of measures taken to protect their confidentiality </w:t>
      </w:r>
      <w:r w:rsidRPr="0089372D">
        <w:rPr>
          <w:sz w:val="24"/>
          <w:szCs w:val="24"/>
          <w:highlight w:val="yellow"/>
        </w:rPr>
        <w:t xml:space="preserve">prior to beginning the </w:t>
      </w:r>
      <w:r w:rsidR="00454C04" w:rsidRPr="0089372D">
        <w:rPr>
          <w:sz w:val="24"/>
          <w:szCs w:val="24"/>
          <w:highlight w:val="yellow"/>
        </w:rPr>
        <w:t xml:space="preserve">phase </w:t>
      </w:r>
      <w:r w:rsidR="00D50DDE" w:rsidRPr="0089372D">
        <w:rPr>
          <w:sz w:val="24"/>
          <w:szCs w:val="24"/>
          <w:highlight w:val="yellow"/>
        </w:rPr>
        <w:t>IV CAWI or</w:t>
      </w:r>
      <w:r w:rsidR="00D50DDE" w:rsidRPr="0089372D">
        <w:rPr>
          <w:highlight w:val="yellow"/>
        </w:rPr>
        <w:t xml:space="preserve"> </w:t>
      </w:r>
      <w:r w:rsidRPr="0089372D">
        <w:rPr>
          <w:sz w:val="24"/>
          <w:szCs w:val="24"/>
          <w:highlight w:val="yellow"/>
        </w:rPr>
        <w:t xml:space="preserve">telephone </w:t>
      </w:r>
      <w:r w:rsidRPr="00AD5526">
        <w:rPr>
          <w:sz w:val="24"/>
          <w:szCs w:val="24"/>
          <w:highlight w:val="yellow"/>
        </w:rPr>
        <w:t>interview.</w:t>
      </w:r>
      <w:r w:rsidR="00F06E61" w:rsidRPr="0098479D">
        <w:rPr>
          <w:sz w:val="24"/>
          <w:szCs w:val="24"/>
        </w:rPr>
        <w:t xml:space="preserve">  </w:t>
      </w:r>
      <w:r w:rsidR="00D50DDE" w:rsidRPr="0089372D">
        <w:rPr>
          <w:sz w:val="24"/>
          <w:szCs w:val="24"/>
          <w:highlight w:val="yellow"/>
        </w:rPr>
        <w:t xml:space="preserve">For </w:t>
      </w:r>
      <w:r w:rsidR="00F06E61" w:rsidRPr="0089372D">
        <w:rPr>
          <w:sz w:val="24"/>
          <w:szCs w:val="24"/>
          <w:highlight w:val="yellow"/>
        </w:rPr>
        <w:t>the questionnaires administered by telephone, informed consent will documented verbally (</w:t>
      </w:r>
      <w:r w:rsidR="00F06E61" w:rsidRPr="0089372D">
        <w:rPr>
          <w:b/>
          <w:sz w:val="24"/>
          <w:szCs w:val="24"/>
          <w:highlight w:val="yellow"/>
        </w:rPr>
        <w:t>Attachment</w:t>
      </w:r>
      <w:r w:rsidR="00386E19" w:rsidRPr="0089372D">
        <w:rPr>
          <w:b/>
          <w:sz w:val="24"/>
          <w:szCs w:val="24"/>
          <w:highlight w:val="yellow"/>
        </w:rPr>
        <w:t>s</w:t>
      </w:r>
      <w:r w:rsidR="005305C8" w:rsidRPr="0089372D">
        <w:rPr>
          <w:b/>
          <w:sz w:val="24"/>
          <w:szCs w:val="24"/>
          <w:highlight w:val="yellow"/>
        </w:rPr>
        <w:t xml:space="preserve"> </w:t>
      </w:r>
      <w:r w:rsidR="006A6709" w:rsidRPr="0089372D">
        <w:rPr>
          <w:b/>
          <w:sz w:val="24"/>
          <w:szCs w:val="24"/>
          <w:highlight w:val="yellow"/>
        </w:rPr>
        <w:t>25</w:t>
      </w:r>
      <w:r w:rsidR="00386E19" w:rsidRPr="0089372D">
        <w:rPr>
          <w:b/>
          <w:sz w:val="24"/>
          <w:szCs w:val="24"/>
          <w:highlight w:val="yellow"/>
        </w:rPr>
        <w:t>.1, 25.2, 26.1 and 26.2</w:t>
      </w:r>
      <w:r w:rsidR="00F06E61" w:rsidRPr="0089372D">
        <w:rPr>
          <w:sz w:val="24"/>
          <w:szCs w:val="24"/>
          <w:highlight w:val="yellow"/>
        </w:rPr>
        <w:t>).</w:t>
      </w:r>
      <w:r w:rsidR="00B27484" w:rsidRPr="0089372D">
        <w:rPr>
          <w:sz w:val="24"/>
          <w:szCs w:val="24"/>
          <w:highlight w:val="yellow"/>
        </w:rPr>
        <w:t xml:space="preserve">  </w:t>
      </w:r>
      <w:r w:rsidR="00D50DDE" w:rsidRPr="0089372D">
        <w:rPr>
          <w:sz w:val="24"/>
          <w:szCs w:val="24"/>
          <w:highlight w:val="yellow"/>
        </w:rPr>
        <w:t xml:space="preserve">Completion </w:t>
      </w:r>
      <w:r w:rsidR="00D50DDE" w:rsidRPr="00D50DDE">
        <w:rPr>
          <w:sz w:val="24"/>
          <w:szCs w:val="24"/>
          <w:highlight w:val="yellow"/>
        </w:rPr>
        <w:t>of the CAWI or return of the paper/pen questionnaire will document informed consent for those who choose to complete the follow up in either of these modes.</w:t>
      </w:r>
      <w:r w:rsidR="00D50DDE">
        <w:rPr>
          <w:sz w:val="24"/>
          <w:szCs w:val="24"/>
        </w:rPr>
        <w:t xml:space="preserve"> </w:t>
      </w:r>
      <w:r w:rsidR="00B27484" w:rsidRPr="0098479D">
        <w:rPr>
          <w:sz w:val="24"/>
          <w:szCs w:val="24"/>
        </w:rPr>
        <w:t xml:space="preserve">An additional verbal consent will be administered for those respondents participating in the </w:t>
      </w:r>
      <w:proofErr w:type="spellStart"/>
      <w:r w:rsidR="00B27484" w:rsidRPr="0098479D">
        <w:rPr>
          <w:sz w:val="24"/>
          <w:szCs w:val="24"/>
        </w:rPr>
        <w:t>buccal</w:t>
      </w:r>
      <w:proofErr w:type="spellEnd"/>
      <w:r w:rsidR="00B27484" w:rsidRPr="0098479D">
        <w:rPr>
          <w:sz w:val="24"/>
          <w:szCs w:val="24"/>
        </w:rPr>
        <w:t xml:space="preserve"> cell collection</w:t>
      </w:r>
      <w:r w:rsidR="005305C8" w:rsidRPr="0098479D">
        <w:rPr>
          <w:sz w:val="24"/>
          <w:szCs w:val="24"/>
        </w:rPr>
        <w:t xml:space="preserve"> who reside in Iowa</w:t>
      </w:r>
      <w:r w:rsidR="00B27484" w:rsidRPr="0098479D">
        <w:rPr>
          <w:sz w:val="24"/>
          <w:szCs w:val="24"/>
        </w:rPr>
        <w:t xml:space="preserve"> </w:t>
      </w:r>
      <w:r w:rsidR="005305C8" w:rsidRPr="0098479D">
        <w:rPr>
          <w:sz w:val="24"/>
          <w:szCs w:val="24"/>
        </w:rPr>
        <w:t>and those who reside in North Carolina (</w:t>
      </w:r>
      <w:r w:rsidR="005305C8" w:rsidRPr="006A6709">
        <w:rPr>
          <w:b/>
          <w:sz w:val="24"/>
          <w:szCs w:val="24"/>
        </w:rPr>
        <w:t xml:space="preserve">Attachment </w:t>
      </w:r>
      <w:r w:rsidR="006A6709">
        <w:rPr>
          <w:b/>
          <w:sz w:val="24"/>
          <w:szCs w:val="24"/>
        </w:rPr>
        <w:t>9</w:t>
      </w:r>
      <w:r w:rsidR="00386E19">
        <w:rPr>
          <w:b/>
          <w:sz w:val="24"/>
          <w:szCs w:val="24"/>
        </w:rPr>
        <w:t>.1</w:t>
      </w:r>
      <w:r w:rsidR="005305C8" w:rsidRPr="0098479D">
        <w:rPr>
          <w:sz w:val="24"/>
          <w:szCs w:val="24"/>
        </w:rPr>
        <w:t>)</w:t>
      </w:r>
      <w:r w:rsidR="00B27484" w:rsidRPr="0098479D">
        <w:rPr>
          <w:sz w:val="24"/>
          <w:szCs w:val="24"/>
        </w:rPr>
        <w:t>.</w:t>
      </w:r>
      <w:r w:rsidR="00053236" w:rsidRPr="0098479D">
        <w:rPr>
          <w:sz w:val="24"/>
          <w:szCs w:val="24"/>
        </w:rPr>
        <w:t xml:space="preserve">  </w:t>
      </w:r>
      <w:r w:rsidR="00386E19">
        <w:rPr>
          <w:sz w:val="24"/>
          <w:szCs w:val="24"/>
        </w:rPr>
        <w:t>Two</w:t>
      </w:r>
      <w:r w:rsidR="00053236" w:rsidRPr="0098479D">
        <w:rPr>
          <w:sz w:val="24"/>
          <w:szCs w:val="24"/>
        </w:rPr>
        <w:t xml:space="preserve"> differing BEEA introductory letters are issued for applicators depending on whether they reside in Iowa (</w:t>
      </w:r>
      <w:r w:rsidR="00053236" w:rsidRPr="006A6709">
        <w:rPr>
          <w:b/>
          <w:sz w:val="24"/>
          <w:szCs w:val="24"/>
        </w:rPr>
        <w:t xml:space="preserve">Attachment </w:t>
      </w:r>
      <w:r w:rsidR="006A6709">
        <w:rPr>
          <w:b/>
          <w:sz w:val="24"/>
          <w:szCs w:val="24"/>
        </w:rPr>
        <w:t>17</w:t>
      </w:r>
      <w:r w:rsidR="00386E19">
        <w:rPr>
          <w:b/>
          <w:sz w:val="24"/>
          <w:szCs w:val="24"/>
        </w:rPr>
        <w:t>.1</w:t>
      </w:r>
      <w:r w:rsidR="00053236" w:rsidRPr="0098479D">
        <w:rPr>
          <w:sz w:val="24"/>
          <w:szCs w:val="24"/>
        </w:rPr>
        <w:t>) or North Carolina (</w:t>
      </w:r>
      <w:r w:rsidR="00053236" w:rsidRPr="006A6709">
        <w:rPr>
          <w:b/>
          <w:sz w:val="24"/>
          <w:szCs w:val="24"/>
        </w:rPr>
        <w:t xml:space="preserve">Attachment </w:t>
      </w:r>
      <w:r w:rsidR="006A6709">
        <w:rPr>
          <w:b/>
          <w:sz w:val="24"/>
          <w:szCs w:val="24"/>
        </w:rPr>
        <w:t>17</w:t>
      </w:r>
      <w:r w:rsidR="00386E19">
        <w:rPr>
          <w:b/>
          <w:sz w:val="24"/>
          <w:szCs w:val="24"/>
        </w:rPr>
        <w:t>.2</w:t>
      </w:r>
      <w:r w:rsidR="00053236" w:rsidRPr="0098479D">
        <w:rPr>
          <w:sz w:val="24"/>
          <w:szCs w:val="24"/>
        </w:rPr>
        <w:t>).  During the BEEA telephone eligibility screener interview they are administered a verbal consent (</w:t>
      </w:r>
      <w:r w:rsidR="006A6709">
        <w:rPr>
          <w:b/>
          <w:sz w:val="24"/>
          <w:szCs w:val="24"/>
        </w:rPr>
        <w:t>Attachment 20</w:t>
      </w:r>
      <w:r w:rsidR="00386E19">
        <w:rPr>
          <w:b/>
          <w:sz w:val="24"/>
          <w:szCs w:val="24"/>
        </w:rPr>
        <w:t xml:space="preserve"> and</w:t>
      </w:r>
      <w:r w:rsidR="00053236" w:rsidRPr="006A6709">
        <w:rPr>
          <w:b/>
          <w:sz w:val="24"/>
          <w:szCs w:val="24"/>
        </w:rPr>
        <w:t xml:space="preserve"> 2</w:t>
      </w:r>
      <w:r w:rsidR="006A6709">
        <w:rPr>
          <w:b/>
          <w:sz w:val="24"/>
          <w:szCs w:val="24"/>
        </w:rPr>
        <w:t>1</w:t>
      </w:r>
      <w:r w:rsidR="00053236" w:rsidRPr="0098479D">
        <w:rPr>
          <w:sz w:val="24"/>
          <w:szCs w:val="24"/>
        </w:rPr>
        <w:t>).  Lastly, at home visits an informed consent form will be administered either for one home visit or for three home visits (</w:t>
      </w:r>
      <w:r w:rsidR="00053236" w:rsidRPr="00A6357C">
        <w:rPr>
          <w:b/>
          <w:sz w:val="24"/>
          <w:szCs w:val="24"/>
        </w:rPr>
        <w:t xml:space="preserve">Attachment </w:t>
      </w:r>
      <w:r w:rsidR="00A6357C">
        <w:rPr>
          <w:b/>
          <w:sz w:val="24"/>
          <w:szCs w:val="24"/>
        </w:rPr>
        <w:t>18</w:t>
      </w:r>
      <w:r w:rsidR="00053236" w:rsidRPr="0098479D">
        <w:rPr>
          <w:sz w:val="24"/>
          <w:szCs w:val="24"/>
        </w:rPr>
        <w:t>).</w:t>
      </w:r>
    </w:p>
    <w:p w:rsidR="00325CCF" w:rsidRPr="0098479D" w:rsidRDefault="00325CCF" w:rsidP="00B0545A">
      <w:pPr>
        <w:spacing w:line="480" w:lineRule="auto"/>
        <w:ind w:firstLine="720"/>
        <w:rPr>
          <w:sz w:val="24"/>
          <w:szCs w:val="24"/>
        </w:rPr>
      </w:pPr>
      <w:proofErr w:type="spellStart"/>
      <w:r w:rsidRPr="00AD5526">
        <w:rPr>
          <w:sz w:val="24"/>
          <w:szCs w:val="24"/>
          <w:highlight w:val="yellow"/>
        </w:rPr>
        <w:t>Buccal</w:t>
      </w:r>
      <w:proofErr w:type="spellEnd"/>
      <w:r w:rsidRPr="00AD5526">
        <w:rPr>
          <w:sz w:val="24"/>
          <w:szCs w:val="24"/>
          <w:highlight w:val="yellow"/>
        </w:rPr>
        <w:t xml:space="preserve"> cell specimens collected in </w:t>
      </w:r>
      <w:r w:rsidR="003B3E45" w:rsidRPr="00AD5526">
        <w:rPr>
          <w:sz w:val="24"/>
          <w:szCs w:val="24"/>
          <w:highlight w:val="yellow"/>
        </w:rPr>
        <w:t>phase</w:t>
      </w:r>
      <w:r w:rsidRPr="00AD5526">
        <w:rPr>
          <w:sz w:val="24"/>
          <w:szCs w:val="24"/>
          <w:highlight w:val="yellow"/>
        </w:rPr>
        <w:t xml:space="preserve"> II (</w:t>
      </w:r>
      <w:r w:rsidR="00394D2E" w:rsidRPr="00AD5526">
        <w:rPr>
          <w:sz w:val="24"/>
          <w:szCs w:val="24"/>
          <w:highlight w:val="yellow"/>
        </w:rPr>
        <w:t>1998</w:t>
      </w:r>
      <w:r w:rsidRPr="00AD5526">
        <w:rPr>
          <w:sz w:val="24"/>
          <w:szCs w:val="24"/>
          <w:highlight w:val="yellow"/>
        </w:rPr>
        <w:t>-</w:t>
      </w:r>
      <w:r w:rsidR="00394D2E" w:rsidRPr="00AD5526">
        <w:rPr>
          <w:sz w:val="24"/>
          <w:szCs w:val="24"/>
          <w:highlight w:val="yellow"/>
        </w:rPr>
        <w:t>2003</w:t>
      </w:r>
      <w:r w:rsidRPr="00AD5526">
        <w:rPr>
          <w:sz w:val="24"/>
          <w:szCs w:val="24"/>
          <w:highlight w:val="yellow"/>
        </w:rPr>
        <w:t>)</w:t>
      </w:r>
      <w:r w:rsidR="00D50DDE" w:rsidRPr="00AD5526">
        <w:rPr>
          <w:sz w:val="24"/>
          <w:szCs w:val="24"/>
          <w:highlight w:val="yellow"/>
        </w:rPr>
        <w:t>,</w:t>
      </w:r>
      <w:r w:rsidRPr="00AD5526">
        <w:rPr>
          <w:sz w:val="24"/>
          <w:szCs w:val="24"/>
          <w:highlight w:val="yellow"/>
        </w:rPr>
        <w:t xml:space="preserve"> </w:t>
      </w:r>
      <w:r w:rsidR="00053236" w:rsidRPr="00AD5526">
        <w:rPr>
          <w:sz w:val="24"/>
          <w:szCs w:val="24"/>
          <w:highlight w:val="yellow"/>
        </w:rPr>
        <w:t>p</w:t>
      </w:r>
      <w:r w:rsidR="003B3E45" w:rsidRPr="00AD5526">
        <w:rPr>
          <w:sz w:val="24"/>
          <w:szCs w:val="24"/>
          <w:highlight w:val="yellow"/>
        </w:rPr>
        <w:t>hase</w:t>
      </w:r>
      <w:r w:rsidRPr="00AD5526">
        <w:rPr>
          <w:sz w:val="24"/>
          <w:szCs w:val="24"/>
          <w:highlight w:val="yellow"/>
        </w:rPr>
        <w:t xml:space="preserve"> III </w:t>
      </w:r>
      <w:r w:rsidR="00053236" w:rsidRPr="00AD5526">
        <w:rPr>
          <w:sz w:val="24"/>
          <w:szCs w:val="24"/>
          <w:highlight w:val="yellow"/>
        </w:rPr>
        <w:t>(</w:t>
      </w:r>
      <w:r w:rsidR="00394D2E" w:rsidRPr="00AD5526">
        <w:rPr>
          <w:sz w:val="24"/>
          <w:szCs w:val="24"/>
          <w:highlight w:val="yellow"/>
        </w:rPr>
        <w:t>2003</w:t>
      </w:r>
      <w:r w:rsidR="00053236" w:rsidRPr="00AD5526">
        <w:rPr>
          <w:sz w:val="24"/>
          <w:szCs w:val="24"/>
          <w:highlight w:val="yellow"/>
        </w:rPr>
        <w:t>-</w:t>
      </w:r>
      <w:r w:rsidR="001F16BE" w:rsidRPr="00331F35">
        <w:rPr>
          <w:sz w:val="24"/>
          <w:szCs w:val="24"/>
          <w:highlight w:val="yellow"/>
        </w:rPr>
        <w:t>2010</w:t>
      </w:r>
      <w:r w:rsidR="00053236" w:rsidRPr="00331F35">
        <w:rPr>
          <w:sz w:val="24"/>
          <w:szCs w:val="24"/>
          <w:highlight w:val="yellow"/>
        </w:rPr>
        <w:t>)</w:t>
      </w:r>
      <w:r w:rsidR="00D50DDE" w:rsidRPr="00331F35">
        <w:rPr>
          <w:sz w:val="24"/>
          <w:szCs w:val="24"/>
          <w:highlight w:val="yellow"/>
        </w:rPr>
        <w:t>, and phase IV (2013-2015)</w:t>
      </w:r>
      <w:r w:rsidR="00053236" w:rsidRPr="00AD5526">
        <w:rPr>
          <w:highlight w:val="yellow"/>
        </w:rPr>
        <w:t xml:space="preserve"> </w:t>
      </w:r>
      <w:r w:rsidR="00053236" w:rsidRPr="00AD5526">
        <w:rPr>
          <w:sz w:val="24"/>
          <w:szCs w:val="24"/>
          <w:highlight w:val="yellow"/>
        </w:rPr>
        <w:t>are</w:t>
      </w:r>
      <w:r w:rsidR="00053236" w:rsidRPr="00AD5526">
        <w:rPr>
          <w:highlight w:val="yellow"/>
        </w:rPr>
        <w:t xml:space="preserve"> </w:t>
      </w:r>
      <w:r w:rsidRPr="00AD5526">
        <w:rPr>
          <w:sz w:val="24"/>
          <w:szCs w:val="24"/>
          <w:highlight w:val="yellow"/>
        </w:rPr>
        <w:t xml:space="preserve">stored </w:t>
      </w:r>
      <w:r w:rsidR="00BA22A4">
        <w:rPr>
          <w:sz w:val="24"/>
          <w:szCs w:val="24"/>
          <w:highlight w:val="yellow"/>
        </w:rPr>
        <w:t>labeled with an ID number only, no name</w:t>
      </w:r>
      <w:r w:rsidRPr="00AD5526">
        <w:rPr>
          <w:sz w:val="24"/>
          <w:szCs w:val="24"/>
          <w:highlight w:val="yellow"/>
        </w:rPr>
        <w:t xml:space="preserve">, </w:t>
      </w:r>
      <w:r w:rsidR="00BA22A4">
        <w:rPr>
          <w:sz w:val="24"/>
          <w:szCs w:val="24"/>
          <w:highlight w:val="yellow"/>
        </w:rPr>
        <w:t xml:space="preserve">and </w:t>
      </w:r>
      <w:r w:rsidRPr="00AD5526">
        <w:rPr>
          <w:sz w:val="24"/>
          <w:szCs w:val="24"/>
          <w:highlight w:val="yellow"/>
        </w:rPr>
        <w:t xml:space="preserve">in a manner that </w:t>
      </w:r>
      <w:r w:rsidRPr="00AD5526">
        <w:rPr>
          <w:sz w:val="24"/>
          <w:szCs w:val="24"/>
          <w:highlight w:val="yellow"/>
        </w:rPr>
        <w:lastRenderedPageBreak/>
        <w:t xml:space="preserve">will permit efficient retrieval and optimum stability for later use.  </w:t>
      </w:r>
      <w:r w:rsidR="00053236" w:rsidRPr="00AD5526">
        <w:rPr>
          <w:sz w:val="24"/>
          <w:szCs w:val="24"/>
          <w:highlight w:val="yellow"/>
        </w:rPr>
        <w:t xml:space="preserve">BEEA blood and urine specimens </w:t>
      </w:r>
      <w:r w:rsidR="00D50DDE" w:rsidRPr="00331F35">
        <w:rPr>
          <w:sz w:val="24"/>
          <w:szCs w:val="24"/>
          <w:highlight w:val="yellow"/>
        </w:rPr>
        <w:t>are</w:t>
      </w:r>
      <w:r w:rsidR="00053236" w:rsidRPr="00AD5526">
        <w:rPr>
          <w:sz w:val="24"/>
          <w:szCs w:val="24"/>
          <w:highlight w:val="yellow"/>
        </w:rPr>
        <w:t xml:space="preserve"> handled in the same manner.</w:t>
      </w:r>
      <w:r w:rsidR="00053236" w:rsidRPr="0098479D">
        <w:rPr>
          <w:sz w:val="24"/>
          <w:szCs w:val="24"/>
        </w:rPr>
        <w:t xml:space="preserve">  </w:t>
      </w:r>
      <w:r w:rsidRPr="0098479D">
        <w:rPr>
          <w:sz w:val="24"/>
          <w:szCs w:val="24"/>
        </w:rPr>
        <w:t xml:space="preserve">The procedure for collecting the </w:t>
      </w:r>
      <w:proofErr w:type="spellStart"/>
      <w:r w:rsidRPr="0098479D">
        <w:rPr>
          <w:sz w:val="24"/>
          <w:szCs w:val="24"/>
        </w:rPr>
        <w:t>buccal</w:t>
      </w:r>
      <w:proofErr w:type="spellEnd"/>
      <w:r w:rsidRPr="0098479D">
        <w:rPr>
          <w:sz w:val="24"/>
          <w:szCs w:val="24"/>
        </w:rPr>
        <w:t xml:space="preserve"> cells involves the use of a commercial mouthwash in a manner compatible with normal use of the mouthwash.  This procedure causes little or no discomfort and has a minimal possibility of infection.  </w:t>
      </w:r>
      <w:r w:rsidR="00053236" w:rsidRPr="0098479D">
        <w:rPr>
          <w:sz w:val="24"/>
          <w:szCs w:val="24"/>
        </w:rPr>
        <w:t xml:space="preserve">The blood collection procedures for BEEA component using venipuncture has minimal </w:t>
      </w:r>
      <w:r w:rsidR="00053236" w:rsidRPr="0098479D">
        <w:rPr>
          <w:color w:val="000000"/>
          <w:sz w:val="24"/>
          <w:szCs w:val="24"/>
        </w:rPr>
        <w:t>physical risks such as the possibility of swelling or bruising, whereas t</w:t>
      </w:r>
      <w:r w:rsidR="00053236" w:rsidRPr="0098479D">
        <w:rPr>
          <w:sz w:val="24"/>
          <w:szCs w:val="24"/>
        </w:rPr>
        <w:t>he urine collection procedures pose no risks.</w:t>
      </w:r>
      <w:r w:rsidR="00053236" w:rsidRPr="0098479D">
        <w:t xml:space="preserve">  </w:t>
      </w:r>
      <w:r w:rsidRPr="0098479D">
        <w:rPr>
          <w:sz w:val="24"/>
          <w:szCs w:val="24"/>
        </w:rPr>
        <w:t xml:space="preserve">The risks associated with the genetic analysis of these samples are considered to be minimal, as the </w:t>
      </w:r>
      <w:proofErr w:type="gramStart"/>
      <w:r w:rsidRPr="0098479D">
        <w:rPr>
          <w:sz w:val="24"/>
          <w:szCs w:val="24"/>
        </w:rPr>
        <w:t>analysis to be done within the AHS are</w:t>
      </w:r>
      <w:proofErr w:type="gramEnd"/>
      <w:r w:rsidRPr="0098479D">
        <w:rPr>
          <w:sz w:val="24"/>
          <w:szCs w:val="24"/>
        </w:rPr>
        <w:t xml:space="preserve"> not of a sensitive nature.  Genetic analyses to be performed, address polymorphic normal genetic variants.  The risks of disclosure of the genetic information have been minimized through the records handling precautions taken and the removal of personal identifiers from both the interview instrument and the biologic specimens.</w:t>
      </w:r>
    </w:p>
    <w:p w:rsidR="00325CCF" w:rsidRPr="0098479D" w:rsidRDefault="00843709" w:rsidP="00B0545A">
      <w:pPr>
        <w:spacing w:line="480" w:lineRule="auto"/>
        <w:ind w:firstLine="720"/>
        <w:rPr>
          <w:sz w:val="24"/>
          <w:szCs w:val="24"/>
        </w:rPr>
      </w:pPr>
      <w:r w:rsidRPr="0098479D">
        <w:rPr>
          <w:sz w:val="24"/>
          <w:szCs w:val="24"/>
        </w:rPr>
        <w:t xml:space="preserve">Personally identifiable information (PII), </w:t>
      </w:r>
      <w:r w:rsidRPr="00013E48">
        <w:rPr>
          <w:sz w:val="24"/>
          <w:szCs w:val="24"/>
        </w:rPr>
        <w:t>such as Social Security Numbers (SSN)</w:t>
      </w:r>
      <w:r w:rsidRPr="0098479D">
        <w:rPr>
          <w:sz w:val="24"/>
          <w:szCs w:val="24"/>
        </w:rPr>
        <w:t xml:space="preserve"> </w:t>
      </w:r>
      <w:proofErr w:type="gramStart"/>
      <w:r w:rsidRPr="0098479D">
        <w:rPr>
          <w:sz w:val="24"/>
          <w:szCs w:val="24"/>
        </w:rPr>
        <w:t>are</w:t>
      </w:r>
      <w:proofErr w:type="gramEnd"/>
      <w:r w:rsidRPr="0098479D">
        <w:rPr>
          <w:sz w:val="24"/>
          <w:szCs w:val="24"/>
        </w:rPr>
        <w:t xml:space="preserve"> collected to provide tracing capabilities. </w:t>
      </w:r>
      <w:r w:rsidR="00325CCF" w:rsidRPr="0098479D">
        <w:rPr>
          <w:sz w:val="24"/>
          <w:szCs w:val="24"/>
        </w:rPr>
        <w:t>Additional procedures to pro</w:t>
      </w:r>
      <w:r w:rsidR="005305C8" w:rsidRPr="0098479D">
        <w:rPr>
          <w:sz w:val="24"/>
          <w:szCs w:val="24"/>
        </w:rPr>
        <w:t>tect</w:t>
      </w:r>
      <w:r w:rsidR="00325CCF" w:rsidRPr="0098479D">
        <w:rPr>
          <w:sz w:val="24"/>
          <w:szCs w:val="24"/>
        </w:rPr>
        <w:t xml:space="preserve"> security </w:t>
      </w:r>
      <w:r w:rsidRPr="0098479D">
        <w:rPr>
          <w:sz w:val="24"/>
          <w:szCs w:val="24"/>
        </w:rPr>
        <w:t xml:space="preserve">for PII </w:t>
      </w:r>
      <w:r w:rsidR="00325CCF" w:rsidRPr="0098479D">
        <w:rPr>
          <w:sz w:val="24"/>
          <w:szCs w:val="24"/>
        </w:rPr>
        <w:t>include:</w:t>
      </w:r>
    </w:p>
    <w:p w:rsidR="00D9488A" w:rsidRPr="002A6ACB" w:rsidRDefault="00325CCF" w:rsidP="0092664B">
      <w:pPr>
        <w:numPr>
          <w:ilvl w:val="0"/>
          <w:numId w:val="11"/>
        </w:numPr>
        <w:tabs>
          <w:tab w:val="clear" w:pos="720"/>
        </w:tabs>
      </w:pPr>
      <w:r w:rsidRPr="0098479D">
        <w:rPr>
          <w:sz w:val="24"/>
          <w:szCs w:val="24"/>
        </w:rPr>
        <w:t>All study subjects are assigned an I.D. number at the time of the study enrollment.  Per</w:t>
      </w:r>
      <w:r w:rsidR="00490BC2">
        <w:rPr>
          <w:sz w:val="24"/>
          <w:szCs w:val="24"/>
        </w:rPr>
        <w:t xml:space="preserve">sonal identifier data are kept </w:t>
      </w:r>
      <w:r w:rsidRPr="0098479D">
        <w:rPr>
          <w:sz w:val="24"/>
          <w:szCs w:val="24"/>
        </w:rPr>
        <w:t xml:space="preserve">separate from the questionnaire data, which are held at the Coordinating Center.  The I.D. number, not the participant name, is used to track participant activities </w:t>
      </w:r>
      <w:r w:rsidRPr="00331F35">
        <w:rPr>
          <w:sz w:val="24"/>
          <w:szCs w:val="24"/>
        </w:rPr>
        <w:t xml:space="preserve">throughout </w:t>
      </w:r>
      <w:r w:rsidR="00E545CA" w:rsidRPr="00E72FCD">
        <w:rPr>
          <w:sz w:val="24"/>
          <w:szCs w:val="24"/>
        </w:rPr>
        <w:t xml:space="preserve">all </w:t>
      </w:r>
      <w:r w:rsidR="003B3E45" w:rsidRPr="00E72FCD">
        <w:rPr>
          <w:sz w:val="24"/>
          <w:szCs w:val="24"/>
        </w:rPr>
        <w:t>phase</w:t>
      </w:r>
      <w:r w:rsidRPr="00E72FCD">
        <w:rPr>
          <w:sz w:val="24"/>
          <w:szCs w:val="24"/>
        </w:rPr>
        <w:t>s</w:t>
      </w:r>
      <w:r w:rsidRPr="0098479D">
        <w:rPr>
          <w:sz w:val="24"/>
          <w:szCs w:val="24"/>
        </w:rPr>
        <w:t xml:space="preserve"> of the study.</w:t>
      </w:r>
      <w:r w:rsidR="005414A8" w:rsidRPr="0098479D">
        <w:rPr>
          <w:sz w:val="24"/>
          <w:szCs w:val="24"/>
        </w:rPr>
        <w:t xml:space="preserve">  </w:t>
      </w:r>
      <w:r w:rsidR="002F0027" w:rsidRPr="0098479D">
        <w:rPr>
          <w:sz w:val="24"/>
          <w:szCs w:val="24"/>
        </w:rPr>
        <w:t xml:space="preserve">  </w:t>
      </w:r>
      <w:r w:rsidR="002F0027" w:rsidRPr="00D50DDE">
        <w:rPr>
          <w:sz w:val="24"/>
          <w:szCs w:val="24"/>
          <w:highlight w:val="yellow"/>
        </w:rPr>
        <w:t>Completion of the CAWI or return of the paper/pen questionnaire will document informed consent for those who choose to complete the follow up in either of these modes.</w:t>
      </w:r>
      <w:r w:rsidR="002F0027">
        <w:rPr>
          <w:sz w:val="24"/>
          <w:szCs w:val="24"/>
        </w:rPr>
        <w:t xml:space="preserve"> </w:t>
      </w:r>
      <w:r w:rsidR="006A0606" w:rsidRPr="0098479D">
        <w:rPr>
          <w:sz w:val="24"/>
          <w:szCs w:val="24"/>
        </w:rPr>
        <w:t xml:space="preserve">Verbal permission is obtained from the </w:t>
      </w:r>
      <w:r w:rsidR="00D9488A" w:rsidRPr="0098479D">
        <w:rPr>
          <w:sz w:val="24"/>
          <w:szCs w:val="24"/>
        </w:rPr>
        <w:t>CATI</w:t>
      </w:r>
      <w:r w:rsidR="00D9488A" w:rsidRPr="0098479D">
        <w:t xml:space="preserve"> </w:t>
      </w:r>
      <w:r w:rsidR="006A0606" w:rsidRPr="00331F35">
        <w:rPr>
          <w:sz w:val="24"/>
          <w:szCs w:val="24"/>
        </w:rPr>
        <w:t>participants</w:t>
      </w:r>
      <w:r w:rsidR="002F0027" w:rsidRPr="002A6ACB">
        <w:rPr>
          <w:sz w:val="24"/>
          <w:szCs w:val="24"/>
        </w:rPr>
        <w:t>.</w:t>
      </w:r>
      <w:r w:rsidR="006A0606" w:rsidRPr="00331F35">
        <w:rPr>
          <w:sz w:val="24"/>
          <w:szCs w:val="24"/>
        </w:rPr>
        <w:t xml:space="preserve"> </w:t>
      </w:r>
      <w:r w:rsidR="00D9488A" w:rsidRPr="00331F35">
        <w:rPr>
          <w:sz w:val="24"/>
          <w:szCs w:val="24"/>
        </w:rPr>
        <w:t>Verbal</w:t>
      </w:r>
      <w:r w:rsidR="00D9488A" w:rsidRPr="0098479D">
        <w:rPr>
          <w:sz w:val="24"/>
          <w:szCs w:val="24"/>
        </w:rPr>
        <w:t xml:space="preserve"> permission will also obtained for the BEEA CATI screener (</w:t>
      </w:r>
      <w:r w:rsidR="00A6357C">
        <w:rPr>
          <w:b/>
          <w:sz w:val="24"/>
          <w:szCs w:val="24"/>
        </w:rPr>
        <w:t>Attachment 20</w:t>
      </w:r>
      <w:r w:rsidR="00D9488A" w:rsidRPr="00A6357C">
        <w:rPr>
          <w:b/>
          <w:sz w:val="24"/>
          <w:szCs w:val="24"/>
        </w:rPr>
        <w:t xml:space="preserve"> or 2</w:t>
      </w:r>
      <w:r w:rsidR="00A6357C">
        <w:rPr>
          <w:b/>
          <w:sz w:val="24"/>
          <w:szCs w:val="24"/>
        </w:rPr>
        <w:t>1</w:t>
      </w:r>
      <w:r w:rsidR="00D9488A" w:rsidRPr="0098479D">
        <w:rPr>
          <w:sz w:val="24"/>
          <w:szCs w:val="24"/>
        </w:rPr>
        <w:t>)</w:t>
      </w:r>
      <w:proofErr w:type="gramStart"/>
      <w:r w:rsidR="00D9488A" w:rsidRPr="0098479D">
        <w:rPr>
          <w:sz w:val="24"/>
          <w:szCs w:val="24"/>
        </w:rPr>
        <w:t>,</w:t>
      </w:r>
      <w:proofErr w:type="gramEnd"/>
      <w:r w:rsidR="00D9488A" w:rsidRPr="0098479D">
        <w:rPr>
          <w:sz w:val="24"/>
          <w:szCs w:val="24"/>
        </w:rPr>
        <w:t xml:space="preserve"> whereas written consent, as indicated by a signed informed consent form, is required at the home visit prior to administration of the CAPI and collection of blood and urine specimens (</w:t>
      </w:r>
      <w:r w:rsidR="00A6357C">
        <w:rPr>
          <w:b/>
          <w:sz w:val="24"/>
          <w:szCs w:val="24"/>
        </w:rPr>
        <w:t>Attachment</w:t>
      </w:r>
      <w:r w:rsidR="00D9488A" w:rsidRPr="00A6357C">
        <w:rPr>
          <w:b/>
          <w:sz w:val="24"/>
          <w:szCs w:val="24"/>
        </w:rPr>
        <w:t xml:space="preserve"> </w:t>
      </w:r>
      <w:r w:rsidR="00A6357C">
        <w:rPr>
          <w:b/>
          <w:sz w:val="24"/>
          <w:szCs w:val="24"/>
        </w:rPr>
        <w:t>18</w:t>
      </w:r>
      <w:r w:rsidR="00D9488A" w:rsidRPr="0098479D">
        <w:rPr>
          <w:sz w:val="24"/>
          <w:szCs w:val="24"/>
        </w:rPr>
        <w:t>).</w:t>
      </w:r>
    </w:p>
    <w:p w:rsidR="00331F35" w:rsidRPr="0098479D" w:rsidRDefault="00331F35" w:rsidP="002A6ACB">
      <w:pPr>
        <w:ind w:left="720"/>
      </w:pPr>
    </w:p>
    <w:p w:rsidR="00D71638" w:rsidRPr="002A6ACB" w:rsidRDefault="00D71638" w:rsidP="002A6ACB">
      <w:pPr>
        <w:numPr>
          <w:ilvl w:val="0"/>
          <w:numId w:val="11"/>
        </w:numPr>
        <w:tabs>
          <w:tab w:val="clear" w:pos="720"/>
        </w:tabs>
        <w:rPr>
          <w:sz w:val="24"/>
          <w:szCs w:val="24"/>
        </w:rPr>
      </w:pPr>
      <w:r w:rsidRPr="0098479D">
        <w:rPr>
          <w:sz w:val="24"/>
          <w:szCs w:val="24"/>
        </w:rPr>
        <w:t xml:space="preserve">BEEA Field laptop security configurations will be in compliance with major standards and industry best practices, including </w:t>
      </w:r>
      <w:r w:rsidRPr="0098479D">
        <w:rPr>
          <w:color w:val="000000"/>
          <w:sz w:val="24"/>
          <w:szCs w:val="24"/>
        </w:rPr>
        <w:t>Federal Desktop Core Configuration</w:t>
      </w:r>
      <w:r w:rsidR="002E3ADD" w:rsidRPr="0098479D">
        <w:rPr>
          <w:color w:val="000000"/>
          <w:sz w:val="24"/>
          <w:szCs w:val="24"/>
        </w:rPr>
        <w:t xml:space="preserve"> </w:t>
      </w:r>
      <w:r w:rsidRPr="0098479D">
        <w:rPr>
          <w:color w:val="000000"/>
          <w:sz w:val="24"/>
          <w:szCs w:val="24"/>
        </w:rPr>
        <w:t>(FDCC) and Whole Disk Encryption</w:t>
      </w:r>
      <w:r w:rsidR="002E3ADD" w:rsidRPr="0098479D">
        <w:rPr>
          <w:color w:val="000000"/>
          <w:sz w:val="24"/>
          <w:szCs w:val="24"/>
        </w:rPr>
        <w:t xml:space="preserve"> </w:t>
      </w:r>
      <w:r w:rsidRPr="0098479D">
        <w:rPr>
          <w:color w:val="000000"/>
          <w:sz w:val="24"/>
          <w:szCs w:val="24"/>
        </w:rPr>
        <w:t>(WDE).  Field staff using field laptop computers will have individual Windows accounts with strong passwords which prevent unauthorized access to the laptop in the event it is lost or stolen. Regular changing of the passwords also will be part of this security standard.</w:t>
      </w:r>
    </w:p>
    <w:p w:rsidR="00331F35" w:rsidRDefault="00331F35" w:rsidP="002A6ACB">
      <w:pPr>
        <w:pStyle w:val="ListParagraph"/>
        <w:rPr>
          <w:sz w:val="24"/>
          <w:szCs w:val="24"/>
        </w:rPr>
      </w:pPr>
    </w:p>
    <w:p w:rsidR="00841670" w:rsidRDefault="00325CCF" w:rsidP="002A6ACB">
      <w:pPr>
        <w:numPr>
          <w:ilvl w:val="0"/>
          <w:numId w:val="11"/>
        </w:numPr>
        <w:tabs>
          <w:tab w:val="clear" w:pos="720"/>
        </w:tabs>
        <w:rPr>
          <w:sz w:val="24"/>
          <w:szCs w:val="24"/>
        </w:rPr>
      </w:pPr>
      <w:r w:rsidRPr="0098479D">
        <w:rPr>
          <w:sz w:val="24"/>
          <w:szCs w:val="24"/>
        </w:rPr>
        <w:t>The computer data files with identifier information will be available to only a limited number Coordinating Center staff</w:t>
      </w:r>
      <w:r w:rsidR="008A2C84" w:rsidRPr="0098479D">
        <w:rPr>
          <w:sz w:val="24"/>
          <w:szCs w:val="24"/>
        </w:rPr>
        <w:t xml:space="preserve"> for a limited time</w:t>
      </w:r>
      <w:r w:rsidRPr="0098479D">
        <w:rPr>
          <w:sz w:val="24"/>
          <w:szCs w:val="24"/>
        </w:rPr>
        <w:t xml:space="preserve">.  These data will be handled </w:t>
      </w:r>
      <w:r w:rsidR="00841670" w:rsidRPr="0098479D">
        <w:rPr>
          <w:sz w:val="24"/>
          <w:szCs w:val="24"/>
        </w:rPr>
        <w:t>Privacy Act System</w:t>
      </w:r>
      <w:r w:rsidR="002E37E4" w:rsidRPr="0098479D">
        <w:rPr>
          <w:sz w:val="24"/>
          <w:szCs w:val="24"/>
        </w:rPr>
        <w:t xml:space="preserve"> of Record Notice, </w:t>
      </w:r>
      <w:r w:rsidR="00841670" w:rsidRPr="0098479D">
        <w:rPr>
          <w:sz w:val="24"/>
          <w:szCs w:val="24"/>
        </w:rPr>
        <w:t>09-25-0200, Clinical Research: Environmental Epidemiologic Studies in the Division of Cancer Epidemiology and Genetics, HHS/NIH/NCI</w:t>
      </w:r>
      <w:r w:rsidR="005305C8" w:rsidRPr="0098479D">
        <w:rPr>
          <w:sz w:val="24"/>
          <w:szCs w:val="24"/>
        </w:rPr>
        <w:t xml:space="preserve"> (</w:t>
      </w:r>
      <w:r w:rsidR="005305C8" w:rsidRPr="00A6357C">
        <w:rPr>
          <w:b/>
          <w:sz w:val="24"/>
          <w:szCs w:val="24"/>
        </w:rPr>
        <w:t xml:space="preserve">Attachment </w:t>
      </w:r>
      <w:r w:rsidR="00A6357C">
        <w:rPr>
          <w:b/>
          <w:sz w:val="24"/>
          <w:szCs w:val="24"/>
        </w:rPr>
        <w:t>6</w:t>
      </w:r>
      <w:r w:rsidR="005305C8" w:rsidRPr="0098479D">
        <w:rPr>
          <w:sz w:val="24"/>
          <w:szCs w:val="24"/>
        </w:rPr>
        <w:t>)</w:t>
      </w:r>
      <w:r w:rsidR="00DF15BC" w:rsidRPr="0098479D">
        <w:rPr>
          <w:sz w:val="24"/>
          <w:szCs w:val="24"/>
        </w:rPr>
        <w:t>.</w:t>
      </w:r>
      <w:r w:rsidR="002E37E4" w:rsidRPr="0098479D">
        <w:rPr>
          <w:sz w:val="24"/>
          <w:szCs w:val="24"/>
        </w:rPr>
        <w:t xml:space="preserve"> </w:t>
      </w:r>
    </w:p>
    <w:p w:rsidR="00331F35" w:rsidRPr="0098479D" w:rsidRDefault="00331F35" w:rsidP="002A6ACB">
      <w:pPr>
        <w:ind w:left="720"/>
        <w:rPr>
          <w:sz w:val="24"/>
          <w:szCs w:val="24"/>
        </w:rPr>
      </w:pPr>
    </w:p>
    <w:p w:rsidR="00325CCF" w:rsidRPr="002A6ACB" w:rsidRDefault="00325CCF" w:rsidP="002A6ACB">
      <w:pPr>
        <w:numPr>
          <w:ilvl w:val="0"/>
          <w:numId w:val="11"/>
        </w:numPr>
        <w:tabs>
          <w:tab w:val="clear" w:pos="720"/>
        </w:tabs>
        <w:rPr>
          <w:sz w:val="24"/>
          <w:szCs w:val="24"/>
          <w:highlight w:val="yellow"/>
        </w:rPr>
      </w:pPr>
      <w:r w:rsidRPr="0098479D">
        <w:rPr>
          <w:sz w:val="24"/>
          <w:szCs w:val="24"/>
        </w:rPr>
        <w:t xml:space="preserve">Previously collected hard copies of questionnaires that contain any personal information (primarily the female/family health questionnaires and selected follow-up questionnaires) are stored in locked rooms at the Coordinating Center.  All </w:t>
      </w:r>
      <w:r w:rsidR="00A6357C">
        <w:rPr>
          <w:sz w:val="24"/>
          <w:szCs w:val="24"/>
        </w:rPr>
        <w:t xml:space="preserve">AHS Coordinating Center </w:t>
      </w:r>
      <w:r w:rsidRPr="0098479D">
        <w:rPr>
          <w:sz w:val="24"/>
          <w:szCs w:val="24"/>
        </w:rPr>
        <w:t>personnel involved with the project have signed confidentiality agreements</w:t>
      </w:r>
      <w:r w:rsidR="004F63FA" w:rsidRPr="0098479D">
        <w:rPr>
          <w:sz w:val="24"/>
          <w:szCs w:val="24"/>
        </w:rPr>
        <w:t xml:space="preserve"> (</w:t>
      </w:r>
      <w:r w:rsidR="004F63FA" w:rsidRPr="00A6357C">
        <w:rPr>
          <w:b/>
          <w:sz w:val="24"/>
          <w:szCs w:val="24"/>
        </w:rPr>
        <w:t xml:space="preserve">Attachment </w:t>
      </w:r>
      <w:r w:rsidR="00A6357C">
        <w:rPr>
          <w:b/>
          <w:sz w:val="24"/>
          <w:szCs w:val="24"/>
        </w:rPr>
        <w:t>7</w:t>
      </w:r>
      <w:r w:rsidR="004F63FA" w:rsidRPr="0098479D">
        <w:rPr>
          <w:sz w:val="24"/>
          <w:szCs w:val="24"/>
        </w:rPr>
        <w:t>)</w:t>
      </w:r>
      <w:r w:rsidRPr="0098479D">
        <w:rPr>
          <w:sz w:val="24"/>
          <w:szCs w:val="24"/>
        </w:rPr>
        <w:t xml:space="preserve">.  </w:t>
      </w:r>
      <w:r w:rsidRPr="002A6ACB">
        <w:rPr>
          <w:sz w:val="24"/>
          <w:szCs w:val="24"/>
          <w:highlight w:val="yellow"/>
        </w:rPr>
        <w:t xml:space="preserve">A Certificate of Confidentiality was obtained prior to onset of data collection, and has been renewed through </w:t>
      </w:r>
      <w:r w:rsidR="008B2278" w:rsidRPr="00314F94">
        <w:rPr>
          <w:sz w:val="24"/>
          <w:szCs w:val="24"/>
          <w:highlight w:val="yellow"/>
        </w:rPr>
        <w:t>2019</w:t>
      </w:r>
      <w:r w:rsidR="0089372D">
        <w:rPr>
          <w:sz w:val="24"/>
          <w:szCs w:val="24"/>
          <w:highlight w:val="yellow"/>
        </w:rPr>
        <w:t xml:space="preserve"> </w:t>
      </w:r>
      <w:r w:rsidR="005305C8" w:rsidRPr="002A6ACB">
        <w:rPr>
          <w:sz w:val="24"/>
          <w:szCs w:val="24"/>
          <w:highlight w:val="yellow"/>
        </w:rPr>
        <w:t>(</w:t>
      </w:r>
      <w:r w:rsidR="005305C8" w:rsidRPr="002A6ACB">
        <w:rPr>
          <w:b/>
          <w:sz w:val="24"/>
          <w:szCs w:val="24"/>
          <w:highlight w:val="yellow"/>
        </w:rPr>
        <w:t xml:space="preserve">Attachment </w:t>
      </w:r>
      <w:r w:rsidR="00A6357C">
        <w:rPr>
          <w:b/>
          <w:sz w:val="24"/>
          <w:szCs w:val="24"/>
          <w:highlight w:val="yellow"/>
        </w:rPr>
        <w:t>5</w:t>
      </w:r>
      <w:r w:rsidR="005305C8" w:rsidRPr="002A6ACB">
        <w:rPr>
          <w:sz w:val="24"/>
          <w:szCs w:val="24"/>
          <w:highlight w:val="yellow"/>
        </w:rPr>
        <w:t>)</w:t>
      </w:r>
      <w:r w:rsidRPr="002A6ACB">
        <w:rPr>
          <w:sz w:val="24"/>
          <w:szCs w:val="24"/>
          <w:highlight w:val="yellow"/>
        </w:rPr>
        <w:t>.</w:t>
      </w:r>
    </w:p>
    <w:p w:rsidR="00331F35" w:rsidRDefault="00331F35" w:rsidP="002A6ACB">
      <w:pPr>
        <w:pStyle w:val="ListParagraph"/>
        <w:rPr>
          <w:sz w:val="24"/>
          <w:szCs w:val="24"/>
        </w:rPr>
      </w:pPr>
    </w:p>
    <w:p w:rsidR="00325CCF" w:rsidRDefault="00325CCF" w:rsidP="002A6ACB">
      <w:pPr>
        <w:numPr>
          <w:ilvl w:val="0"/>
          <w:numId w:val="11"/>
        </w:numPr>
        <w:tabs>
          <w:tab w:val="clear" w:pos="720"/>
        </w:tabs>
        <w:rPr>
          <w:sz w:val="24"/>
          <w:szCs w:val="24"/>
        </w:rPr>
      </w:pPr>
      <w:r w:rsidRPr="0098479D">
        <w:rPr>
          <w:sz w:val="24"/>
          <w:szCs w:val="24"/>
        </w:rPr>
        <w:t xml:space="preserve">After the data are analyzed, personal identifiers will be kept </w:t>
      </w:r>
      <w:r w:rsidRPr="00314F94">
        <w:rPr>
          <w:sz w:val="24"/>
          <w:szCs w:val="24"/>
        </w:rPr>
        <w:t xml:space="preserve">by the </w:t>
      </w:r>
      <w:r w:rsidR="008B2278" w:rsidRPr="002A6ACB">
        <w:rPr>
          <w:sz w:val="24"/>
          <w:szCs w:val="24"/>
        </w:rPr>
        <w:t>AHS Coordinating Center</w:t>
      </w:r>
      <w:r w:rsidR="008B2278" w:rsidRPr="00314F94">
        <w:rPr>
          <w:sz w:val="24"/>
          <w:szCs w:val="24"/>
        </w:rPr>
        <w:t xml:space="preserve"> </w:t>
      </w:r>
      <w:r w:rsidRPr="00314F94">
        <w:rPr>
          <w:sz w:val="24"/>
          <w:szCs w:val="24"/>
        </w:rPr>
        <w:t xml:space="preserve">if another </w:t>
      </w:r>
      <w:r w:rsidR="003B3E45" w:rsidRPr="00314F94">
        <w:rPr>
          <w:sz w:val="24"/>
          <w:szCs w:val="24"/>
        </w:rPr>
        <w:t>phase</w:t>
      </w:r>
      <w:r w:rsidRPr="00314F94">
        <w:rPr>
          <w:sz w:val="24"/>
          <w:szCs w:val="24"/>
        </w:rPr>
        <w:t xml:space="preserve"> of the study is undertaken, otherwise th</w:t>
      </w:r>
      <w:r w:rsidRPr="0098479D">
        <w:rPr>
          <w:sz w:val="24"/>
          <w:szCs w:val="24"/>
        </w:rPr>
        <w:t>e data will be destroyed.  At the completion of the study, all personal identifiers will be removed from the data.</w:t>
      </w:r>
    </w:p>
    <w:p w:rsidR="00331F35" w:rsidRPr="0098479D" w:rsidRDefault="00331F35" w:rsidP="002A6ACB">
      <w:pPr>
        <w:ind w:left="720"/>
        <w:rPr>
          <w:sz w:val="24"/>
          <w:szCs w:val="24"/>
        </w:rPr>
      </w:pPr>
    </w:p>
    <w:p w:rsidR="00331F35" w:rsidRPr="0098479D" w:rsidRDefault="00325CCF" w:rsidP="002A6ACB">
      <w:pPr>
        <w:numPr>
          <w:ilvl w:val="0"/>
          <w:numId w:val="11"/>
        </w:numPr>
        <w:tabs>
          <w:tab w:val="clear" w:pos="720"/>
        </w:tabs>
        <w:rPr>
          <w:sz w:val="24"/>
          <w:szCs w:val="24"/>
        </w:rPr>
      </w:pPr>
      <w:r w:rsidRPr="0098479D">
        <w:rPr>
          <w:sz w:val="24"/>
          <w:szCs w:val="24"/>
        </w:rPr>
        <w:t xml:space="preserve">All collaborators allowed access to </w:t>
      </w:r>
      <w:r w:rsidR="00843709" w:rsidRPr="0098479D">
        <w:rPr>
          <w:sz w:val="24"/>
          <w:szCs w:val="24"/>
        </w:rPr>
        <w:t>PII’s</w:t>
      </w:r>
      <w:r w:rsidRPr="0098479D">
        <w:rPr>
          <w:sz w:val="24"/>
          <w:szCs w:val="24"/>
        </w:rPr>
        <w:t xml:space="preserve"> for other studies are required to sign a confidentiality agreement </w:t>
      </w:r>
      <w:r w:rsidR="004F63FA" w:rsidRPr="0098479D">
        <w:rPr>
          <w:sz w:val="24"/>
          <w:szCs w:val="24"/>
        </w:rPr>
        <w:t>(</w:t>
      </w:r>
      <w:r w:rsidR="004F63FA" w:rsidRPr="00A6357C">
        <w:rPr>
          <w:b/>
          <w:sz w:val="24"/>
          <w:szCs w:val="24"/>
        </w:rPr>
        <w:t xml:space="preserve">Attachment </w:t>
      </w:r>
      <w:r w:rsidR="00A6357C">
        <w:rPr>
          <w:b/>
          <w:sz w:val="24"/>
          <w:szCs w:val="24"/>
        </w:rPr>
        <w:t>8</w:t>
      </w:r>
      <w:r w:rsidR="004F63FA" w:rsidRPr="0098479D">
        <w:rPr>
          <w:sz w:val="24"/>
          <w:szCs w:val="24"/>
        </w:rPr>
        <w:t xml:space="preserve">) </w:t>
      </w:r>
      <w:r w:rsidRPr="0098479D">
        <w:rPr>
          <w:sz w:val="24"/>
          <w:szCs w:val="24"/>
        </w:rPr>
        <w:t xml:space="preserve">indicating that data and/or </w:t>
      </w:r>
      <w:r w:rsidR="00843709" w:rsidRPr="0098479D">
        <w:rPr>
          <w:sz w:val="24"/>
          <w:szCs w:val="24"/>
        </w:rPr>
        <w:t>PII</w:t>
      </w:r>
      <w:r w:rsidRPr="0098479D">
        <w:rPr>
          <w:sz w:val="24"/>
          <w:szCs w:val="24"/>
        </w:rPr>
        <w:t xml:space="preserve"> will not be shared with individuals not covered by the confidentially agreements.</w:t>
      </w:r>
    </w:p>
    <w:p w:rsidR="00331F35" w:rsidRPr="00331F35" w:rsidRDefault="00331F35" w:rsidP="0092664B">
      <w:pPr>
        <w:ind w:left="720"/>
        <w:rPr>
          <w:sz w:val="24"/>
          <w:szCs w:val="24"/>
        </w:rPr>
      </w:pPr>
    </w:p>
    <w:p w:rsidR="00F307C7" w:rsidRPr="0098479D" w:rsidRDefault="00F307C7" w:rsidP="00B0545A">
      <w:pPr>
        <w:spacing w:line="480" w:lineRule="auto"/>
        <w:ind w:firstLine="720"/>
        <w:rPr>
          <w:sz w:val="24"/>
          <w:szCs w:val="24"/>
        </w:rPr>
      </w:pPr>
      <w:r w:rsidRPr="0098479D">
        <w:rPr>
          <w:sz w:val="24"/>
          <w:szCs w:val="24"/>
        </w:rPr>
        <w:t xml:space="preserve">Extensive safeguards are in place to ensure the confidentiality of each subject is protected.  Each subject is assigned a six-digit number; these IDs are used for any references to subjects on an individual basis.  </w:t>
      </w:r>
      <w:r w:rsidRPr="004E19B9">
        <w:rPr>
          <w:sz w:val="24"/>
          <w:szCs w:val="24"/>
          <w:highlight w:val="yellow"/>
        </w:rPr>
        <w:t xml:space="preserve">Names and other identifying information are kept in separate databases maintained by the </w:t>
      </w:r>
      <w:r w:rsidR="008B2278" w:rsidRPr="00314F94">
        <w:rPr>
          <w:sz w:val="24"/>
          <w:szCs w:val="24"/>
          <w:highlight w:val="yellow"/>
        </w:rPr>
        <w:t xml:space="preserve">AHS Health Follow </w:t>
      </w:r>
      <w:proofErr w:type="gramStart"/>
      <w:r w:rsidR="008B2278" w:rsidRPr="00314F94">
        <w:rPr>
          <w:sz w:val="24"/>
          <w:szCs w:val="24"/>
          <w:highlight w:val="yellow"/>
        </w:rPr>
        <w:t>Up</w:t>
      </w:r>
      <w:proofErr w:type="gramEnd"/>
      <w:r w:rsidR="008B2278" w:rsidRPr="00314F94">
        <w:rPr>
          <w:sz w:val="24"/>
          <w:szCs w:val="24"/>
          <w:highlight w:val="yellow"/>
        </w:rPr>
        <w:t xml:space="preserve"> Coordinating Center and the AHS Coordinating Center</w:t>
      </w:r>
      <w:r w:rsidRPr="004E19B9">
        <w:rPr>
          <w:sz w:val="24"/>
          <w:szCs w:val="24"/>
          <w:highlight w:val="yellow"/>
        </w:rPr>
        <w:t xml:space="preserve">.  These data files are joined only for performing linkages to the </w:t>
      </w:r>
      <w:r w:rsidRPr="00314F94">
        <w:rPr>
          <w:sz w:val="24"/>
          <w:szCs w:val="24"/>
          <w:highlight w:val="yellow"/>
        </w:rPr>
        <w:t>mortality</w:t>
      </w:r>
      <w:r w:rsidR="00E545CA" w:rsidRPr="00314F94">
        <w:rPr>
          <w:sz w:val="24"/>
          <w:szCs w:val="24"/>
          <w:highlight w:val="yellow"/>
        </w:rPr>
        <w:t>, end stage renal disease,</w:t>
      </w:r>
      <w:r w:rsidRPr="004E19B9">
        <w:rPr>
          <w:sz w:val="24"/>
          <w:szCs w:val="24"/>
          <w:highlight w:val="yellow"/>
        </w:rPr>
        <w:t xml:space="preserve"> </w:t>
      </w:r>
      <w:r w:rsidR="002A6ACB">
        <w:rPr>
          <w:sz w:val="24"/>
          <w:szCs w:val="24"/>
          <w:highlight w:val="yellow"/>
        </w:rPr>
        <w:t xml:space="preserve">and </w:t>
      </w:r>
      <w:r w:rsidRPr="004E19B9">
        <w:rPr>
          <w:sz w:val="24"/>
          <w:szCs w:val="24"/>
          <w:highlight w:val="yellow"/>
        </w:rPr>
        <w:t xml:space="preserve">cancer incidence databases.  Contact of subjects occurs only through the </w:t>
      </w:r>
      <w:r w:rsidR="008B2278" w:rsidRPr="004E19B9">
        <w:rPr>
          <w:sz w:val="24"/>
          <w:szCs w:val="24"/>
          <w:highlight w:val="yellow"/>
        </w:rPr>
        <w:t xml:space="preserve">AHS </w:t>
      </w:r>
      <w:r w:rsidR="008B2278" w:rsidRPr="008B2278">
        <w:rPr>
          <w:sz w:val="24"/>
          <w:szCs w:val="24"/>
          <w:highlight w:val="yellow"/>
        </w:rPr>
        <w:t xml:space="preserve">Health Follow </w:t>
      </w:r>
      <w:proofErr w:type="gramStart"/>
      <w:r w:rsidR="008B2278" w:rsidRPr="008B2278">
        <w:rPr>
          <w:sz w:val="24"/>
          <w:szCs w:val="24"/>
          <w:highlight w:val="yellow"/>
        </w:rPr>
        <w:t>Up</w:t>
      </w:r>
      <w:proofErr w:type="gramEnd"/>
      <w:r w:rsidR="008B2278" w:rsidRPr="008B2278">
        <w:rPr>
          <w:sz w:val="24"/>
          <w:szCs w:val="24"/>
          <w:highlight w:val="yellow"/>
        </w:rPr>
        <w:t xml:space="preserve"> Coordinating Center and the AHS Coordinating Center</w:t>
      </w:r>
      <w:r w:rsidRPr="0098479D">
        <w:rPr>
          <w:sz w:val="24"/>
          <w:szCs w:val="24"/>
        </w:rPr>
        <w:t xml:space="preserve">. Several layers of passwords exist to ensure unauthorized access to the electronically stored data is not permitted.  Hard copies of questionnaires from </w:t>
      </w:r>
      <w:r w:rsidR="005273CD" w:rsidRPr="0098479D">
        <w:rPr>
          <w:sz w:val="24"/>
          <w:szCs w:val="24"/>
        </w:rPr>
        <w:t>p</w:t>
      </w:r>
      <w:r w:rsidRPr="0098479D">
        <w:rPr>
          <w:sz w:val="24"/>
          <w:szCs w:val="24"/>
        </w:rPr>
        <w:t xml:space="preserve">hase I that contain any personal information (primarily the female/family health questionnaires and selected follow-up questionnaires) are stored in locked rooms at </w:t>
      </w:r>
      <w:r w:rsidRPr="00314F94">
        <w:rPr>
          <w:sz w:val="24"/>
          <w:szCs w:val="24"/>
        </w:rPr>
        <w:t xml:space="preserve">the </w:t>
      </w:r>
      <w:r w:rsidR="008B2278" w:rsidRPr="004E19B9">
        <w:rPr>
          <w:sz w:val="24"/>
          <w:szCs w:val="24"/>
        </w:rPr>
        <w:t>AHS</w:t>
      </w:r>
      <w:r w:rsidR="008B2278" w:rsidRPr="00314F94">
        <w:rPr>
          <w:sz w:val="24"/>
          <w:szCs w:val="24"/>
        </w:rPr>
        <w:t xml:space="preserve"> </w:t>
      </w:r>
      <w:r w:rsidRPr="00314F94">
        <w:rPr>
          <w:sz w:val="24"/>
          <w:szCs w:val="24"/>
        </w:rPr>
        <w:t>Coordinating</w:t>
      </w:r>
      <w:r w:rsidRPr="0098479D">
        <w:rPr>
          <w:sz w:val="24"/>
          <w:szCs w:val="24"/>
        </w:rPr>
        <w:t xml:space="preserve"> Center.  All personnel involved with the project have signed confidentiality agreements. </w:t>
      </w:r>
    </w:p>
    <w:p w:rsidR="00F307C7" w:rsidRPr="0098479D" w:rsidRDefault="00F307C7" w:rsidP="00B0545A">
      <w:pPr>
        <w:spacing w:line="480" w:lineRule="auto"/>
        <w:ind w:firstLine="720"/>
        <w:rPr>
          <w:sz w:val="24"/>
          <w:szCs w:val="24"/>
        </w:rPr>
      </w:pPr>
      <w:r w:rsidRPr="0098479D">
        <w:rPr>
          <w:sz w:val="24"/>
          <w:szCs w:val="24"/>
        </w:rPr>
        <w:lastRenderedPageBreak/>
        <w:t>Since the last IRB approval no participants have elected to withdraw from the Agricultural Health Study.  Such requests are honored without question.  There has been no indication of personal harm or injury to any of the participants in the study.  Usually the request to discontinue participation is made due to a participant leaving agricultural employment and losing interest in participating in the study.</w:t>
      </w:r>
    </w:p>
    <w:p w:rsidR="00F307C7" w:rsidRPr="0098479D" w:rsidRDefault="00325CCF" w:rsidP="00B0545A">
      <w:pPr>
        <w:pStyle w:val="BodyText2"/>
        <w:ind w:firstLine="720"/>
        <w:rPr>
          <w:sz w:val="24"/>
          <w:szCs w:val="24"/>
        </w:rPr>
      </w:pPr>
      <w:r w:rsidRPr="0098479D">
        <w:rPr>
          <w:sz w:val="24"/>
          <w:szCs w:val="24"/>
        </w:rPr>
        <w:t xml:space="preserve">The original concept for the AHS was approved by the Board of Scientific Counselors of the Division of Cancer Etiology in March 1992.  The questions from which the follow-up questionnaires were developed were approved by the </w:t>
      </w:r>
      <w:r w:rsidR="002A6ACB">
        <w:rPr>
          <w:sz w:val="24"/>
          <w:szCs w:val="24"/>
        </w:rPr>
        <w:t xml:space="preserve">NCI </w:t>
      </w:r>
      <w:r w:rsidRPr="0098479D">
        <w:rPr>
          <w:sz w:val="24"/>
          <w:szCs w:val="24"/>
        </w:rPr>
        <w:t xml:space="preserve">Epidemiology and Biostatistics Program for Technical Evaluation of Questionnaires (TEQ) </w:t>
      </w:r>
      <w:r w:rsidR="002A6ACB">
        <w:rPr>
          <w:sz w:val="24"/>
          <w:szCs w:val="24"/>
        </w:rPr>
        <w:t>for</w:t>
      </w:r>
      <w:r w:rsidRPr="0098479D">
        <w:rPr>
          <w:sz w:val="24"/>
          <w:szCs w:val="24"/>
        </w:rPr>
        <w:t xml:space="preserve"> </w:t>
      </w:r>
      <w:r w:rsidR="003B3E45" w:rsidRPr="0098479D">
        <w:rPr>
          <w:sz w:val="24"/>
          <w:szCs w:val="24"/>
        </w:rPr>
        <w:t>Phase</w:t>
      </w:r>
      <w:r w:rsidRPr="0098479D">
        <w:rPr>
          <w:sz w:val="24"/>
          <w:szCs w:val="24"/>
        </w:rPr>
        <w:t xml:space="preserve"> II </w:t>
      </w:r>
      <w:r w:rsidR="002A6ACB">
        <w:rPr>
          <w:sz w:val="24"/>
          <w:szCs w:val="24"/>
        </w:rPr>
        <w:t xml:space="preserve">and III </w:t>
      </w:r>
      <w:r w:rsidRPr="0098479D">
        <w:rPr>
          <w:sz w:val="24"/>
          <w:szCs w:val="24"/>
        </w:rPr>
        <w:t>questionnaires</w:t>
      </w:r>
      <w:r w:rsidR="00E72FCD">
        <w:rPr>
          <w:sz w:val="24"/>
          <w:szCs w:val="24"/>
        </w:rPr>
        <w:t xml:space="preserve"> </w:t>
      </w:r>
      <w:r w:rsidR="002A6ACB" w:rsidRPr="002A6ACB">
        <w:rPr>
          <w:sz w:val="24"/>
          <w:szCs w:val="24"/>
          <w:highlight w:val="yellow"/>
        </w:rPr>
        <w:t xml:space="preserve">and the NIEHS Epidemiology Branch </w:t>
      </w:r>
      <w:r w:rsidR="002A6ACB" w:rsidRPr="00E72FCD">
        <w:rPr>
          <w:sz w:val="24"/>
          <w:szCs w:val="24"/>
          <w:highlight w:val="yellow"/>
        </w:rPr>
        <w:t xml:space="preserve">for </w:t>
      </w:r>
      <w:r w:rsidR="008B2278" w:rsidRPr="00E72FCD">
        <w:rPr>
          <w:sz w:val="24"/>
          <w:szCs w:val="24"/>
          <w:highlight w:val="yellow"/>
        </w:rPr>
        <w:t xml:space="preserve">Phase </w:t>
      </w:r>
      <w:r w:rsidR="008B2278" w:rsidRPr="008B2278">
        <w:rPr>
          <w:sz w:val="24"/>
          <w:szCs w:val="24"/>
          <w:highlight w:val="yellow"/>
        </w:rPr>
        <w:t>IV questionnaires</w:t>
      </w:r>
      <w:r w:rsidR="002A6ACB">
        <w:rPr>
          <w:sz w:val="24"/>
          <w:szCs w:val="24"/>
          <w:highlight w:val="yellow"/>
        </w:rPr>
        <w:t>.</w:t>
      </w:r>
      <w:r w:rsidR="008B2278" w:rsidRPr="008B2278">
        <w:rPr>
          <w:sz w:val="24"/>
          <w:szCs w:val="24"/>
          <w:highlight w:val="yellow"/>
        </w:rPr>
        <w:t xml:space="preserve"> </w:t>
      </w:r>
      <w:r w:rsidRPr="0098479D">
        <w:rPr>
          <w:sz w:val="24"/>
          <w:szCs w:val="24"/>
        </w:rPr>
        <w:t xml:space="preserve">All comments and suggestions which came out of the review were incorporated into the questionnaire.  </w:t>
      </w:r>
      <w:r w:rsidR="00D71638" w:rsidRPr="0098479D">
        <w:rPr>
          <w:sz w:val="24"/>
          <w:szCs w:val="24"/>
        </w:rPr>
        <w:t xml:space="preserve">The BEEA study was approved by the </w:t>
      </w:r>
      <w:r w:rsidR="002A6ACB">
        <w:rPr>
          <w:sz w:val="24"/>
          <w:szCs w:val="24"/>
        </w:rPr>
        <w:t xml:space="preserve">NCI </w:t>
      </w:r>
      <w:r w:rsidR="00D71638" w:rsidRPr="0098479D">
        <w:rPr>
          <w:sz w:val="24"/>
          <w:szCs w:val="24"/>
        </w:rPr>
        <w:t>Senior Advisory Group for scientific merit.</w:t>
      </w:r>
    </w:p>
    <w:p w:rsidR="002A6ACB" w:rsidRDefault="00F307C7" w:rsidP="00B0545A">
      <w:pPr>
        <w:pStyle w:val="BodyText2"/>
        <w:ind w:firstLine="720"/>
        <w:rPr>
          <w:sz w:val="24"/>
          <w:szCs w:val="24"/>
        </w:rPr>
      </w:pPr>
      <w:r w:rsidRPr="0092664B">
        <w:rPr>
          <w:sz w:val="24"/>
          <w:szCs w:val="24"/>
          <w:highlight w:val="yellow"/>
        </w:rPr>
        <w:t>All materials for this proposed information collection</w:t>
      </w:r>
      <w:r w:rsidR="008B2278" w:rsidRPr="0092664B">
        <w:rPr>
          <w:sz w:val="24"/>
          <w:szCs w:val="24"/>
          <w:highlight w:val="yellow"/>
        </w:rPr>
        <w:t xml:space="preserve"> </w:t>
      </w:r>
      <w:r w:rsidR="008B2278" w:rsidRPr="00314F94">
        <w:rPr>
          <w:sz w:val="24"/>
          <w:szCs w:val="24"/>
          <w:highlight w:val="yellow"/>
        </w:rPr>
        <w:t>for the phase IV follow up</w:t>
      </w:r>
      <w:r w:rsidRPr="0092664B">
        <w:rPr>
          <w:sz w:val="24"/>
          <w:szCs w:val="24"/>
          <w:highlight w:val="yellow"/>
        </w:rPr>
        <w:t xml:space="preserve"> (i.e., questionnaire, contact letters, telephone scripts) have been approved </w:t>
      </w:r>
      <w:r w:rsidR="002A6ACB">
        <w:rPr>
          <w:sz w:val="24"/>
          <w:szCs w:val="24"/>
          <w:highlight w:val="yellow"/>
        </w:rPr>
        <w:t xml:space="preserve">as an amendment to an existing approved protocol </w:t>
      </w:r>
      <w:r w:rsidRPr="0092664B">
        <w:rPr>
          <w:sz w:val="24"/>
          <w:szCs w:val="24"/>
          <w:highlight w:val="yellow"/>
        </w:rPr>
        <w:t xml:space="preserve">by the IRBs representing the </w:t>
      </w:r>
      <w:r w:rsidR="00550F77" w:rsidRPr="00314F94">
        <w:rPr>
          <w:sz w:val="24"/>
          <w:szCs w:val="24"/>
          <w:highlight w:val="yellow"/>
        </w:rPr>
        <w:t>National Institutes of Health</w:t>
      </w:r>
      <w:r w:rsidR="00550F77" w:rsidRPr="0092664B">
        <w:rPr>
          <w:sz w:val="24"/>
          <w:szCs w:val="24"/>
          <w:highlight w:val="yellow"/>
        </w:rPr>
        <w:t xml:space="preserve"> </w:t>
      </w:r>
      <w:r w:rsidRPr="0092664B">
        <w:rPr>
          <w:sz w:val="24"/>
          <w:szCs w:val="24"/>
          <w:highlight w:val="yellow"/>
        </w:rPr>
        <w:t>(</w:t>
      </w:r>
      <w:r w:rsidRPr="0092664B">
        <w:rPr>
          <w:b/>
          <w:sz w:val="24"/>
          <w:szCs w:val="24"/>
          <w:highlight w:val="yellow"/>
        </w:rPr>
        <w:t xml:space="preserve">Attachment </w:t>
      </w:r>
      <w:r w:rsidR="005305C8" w:rsidRPr="0092664B">
        <w:rPr>
          <w:b/>
          <w:sz w:val="24"/>
          <w:szCs w:val="24"/>
          <w:highlight w:val="yellow"/>
        </w:rPr>
        <w:t>12</w:t>
      </w:r>
      <w:r w:rsidRPr="0092664B">
        <w:rPr>
          <w:sz w:val="24"/>
          <w:szCs w:val="24"/>
          <w:highlight w:val="yellow"/>
        </w:rPr>
        <w:t xml:space="preserve">); </w:t>
      </w:r>
      <w:r w:rsidR="00550F77" w:rsidRPr="00314F94">
        <w:rPr>
          <w:sz w:val="24"/>
          <w:szCs w:val="24"/>
          <w:highlight w:val="yellow"/>
        </w:rPr>
        <w:t>and</w:t>
      </w:r>
      <w:r w:rsidR="00013E48" w:rsidRPr="0092664B">
        <w:rPr>
          <w:sz w:val="24"/>
          <w:szCs w:val="24"/>
          <w:highlight w:val="yellow"/>
        </w:rPr>
        <w:t xml:space="preserve"> </w:t>
      </w:r>
      <w:r w:rsidR="008B2278" w:rsidRPr="00314F94">
        <w:rPr>
          <w:sz w:val="24"/>
          <w:szCs w:val="24"/>
          <w:highlight w:val="yellow"/>
        </w:rPr>
        <w:t>Social &amp; Scientific Systems, Inc.,</w:t>
      </w:r>
      <w:r w:rsidR="008B2278" w:rsidRPr="0092664B">
        <w:rPr>
          <w:sz w:val="24"/>
          <w:szCs w:val="24"/>
          <w:highlight w:val="yellow"/>
        </w:rPr>
        <w:t xml:space="preserve"> </w:t>
      </w:r>
      <w:r w:rsidR="00CC3136" w:rsidRPr="0092664B">
        <w:rPr>
          <w:sz w:val="24"/>
          <w:szCs w:val="24"/>
          <w:highlight w:val="yellow"/>
        </w:rPr>
        <w:t xml:space="preserve">the </w:t>
      </w:r>
      <w:r w:rsidR="008B2278" w:rsidRPr="00314F94">
        <w:rPr>
          <w:sz w:val="24"/>
          <w:szCs w:val="24"/>
          <w:highlight w:val="yellow"/>
        </w:rPr>
        <w:t xml:space="preserve">AHS Health Follow </w:t>
      </w:r>
      <w:proofErr w:type="gramStart"/>
      <w:r w:rsidR="008B2278" w:rsidRPr="00314F94">
        <w:rPr>
          <w:sz w:val="24"/>
          <w:szCs w:val="24"/>
          <w:highlight w:val="yellow"/>
        </w:rPr>
        <w:t>Up</w:t>
      </w:r>
      <w:proofErr w:type="gramEnd"/>
      <w:r w:rsidR="008B2278" w:rsidRPr="0092664B">
        <w:rPr>
          <w:sz w:val="24"/>
          <w:szCs w:val="24"/>
          <w:highlight w:val="yellow"/>
        </w:rPr>
        <w:t xml:space="preserve"> </w:t>
      </w:r>
      <w:r w:rsidR="00CC3136" w:rsidRPr="0092664B">
        <w:rPr>
          <w:sz w:val="24"/>
          <w:szCs w:val="24"/>
          <w:highlight w:val="yellow"/>
        </w:rPr>
        <w:t xml:space="preserve">Coordinating Center for the study, </w:t>
      </w:r>
      <w:r w:rsidRPr="0092664B">
        <w:rPr>
          <w:sz w:val="24"/>
          <w:szCs w:val="24"/>
          <w:highlight w:val="yellow"/>
        </w:rPr>
        <w:t>(</w:t>
      </w:r>
      <w:r w:rsidRPr="0092664B">
        <w:rPr>
          <w:b/>
          <w:sz w:val="24"/>
          <w:szCs w:val="24"/>
          <w:highlight w:val="yellow"/>
        </w:rPr>
        <w:t xml:space="preserve">Attachment </w:t>
      </w:r>
      <w:r w:rsidR="005305C8" w:rsidRPr="0092664B">
        <w:rPr>
          <w:b/>
          <w:sz w:val="24"/>
          <w:szCs w:val="24"/>
          <w:highlight w:val="yellow"/>
        </w:rPr>
        <w:t>12</w:t>
      </w:r>
      <w:r w:rsidR="00AF4FD5" w:rsidRPr="0092664B">
        <w:rPr>
          <w:sz w:val="24"/>
          <w:szCs w:val="24"/>
          <w:highlight w:val="yellow"/>
        </w:rPr>
        <w:t>)</w:t>
      </w:r>
      <w:r w:rsidR="00AF4FD5" w:rsidRPr="00314F94">
        <w:rPr>
          <w:sz w:val="24"/>
          <w:szCs w:val="24"/>
          <w:highlight w:val="yellow"/>
        </w:rPr>
        <w:t>.</w:t>
      </w:r>
      <w:r w:rsidR="00AF4FD5" w:rsidRPr="0098479D">
        <w:rPr>
          <w:sz w:val="24"/>
          <w:szCs w:val="24"/>
        </w:rPr>
        <w:t xml:space="preserve"> </w:t>
      </w:r>
    </w:p>
    <w:p w:rsidR="009714AF" w:rsidRPr="0098479D" w:rsidRDefault="00325CCF" w:rsidP="00B0545A">
      <w:pPr>
        <w:pStyle w:val="BodyText2"/>
        <w:ind w:firstLine="720"/>
        <w:rPr>
          <w:sz w:val="24"/>
          <w:szCs w:val="24"/>
        </w:rPr>
      </w:pPr>
      <w:r w:rsidRPr="007A3E13">
        <w:rPr>
          <w:sz w:val="24"/>
          <w:szCs w:val="24"/>
          <w:highlight w:val="yellow"/>
        </w:rPr>
        <w:t xml:space="preserve">Initial approval from </w:t>
      </w:r>
      <w:r w:rsidR="002A6ACB" w:rsidRPr="007A3E13">
        <w:rPr>
          <w:sz w:val="24"/>
          <w:szCs w:val="24"/>
          <w:highlight w:val="yellow"/>
        </w:rPr>
        <w:t>the AHS Coordinating Center</w:t>
      </w:r>
      <w:r w:rsidR="002A6ACB" w:rsidRPr="00DB7536">
        <w:rPr>
          <w:sz w:val="24"/>
          <w:szCs w:val="24"/>
          <w:highlight w:val="yellow"/>
        </w:rPr>
        <w:t>,</w:t>
      </w:r>
      <w:r w:rsidR="002A6ACB">
        <w:rPr>
          <w:sz w:val="24"/>
          <w:szCs w:val="24"/>
        </w:rPr>
        <w:t xml:space="preserve"> </w:t>
      </w:r>
      <w:r w:rsidR="00CC3136" w:rsidRPr="007A3E13">
        <w:rPr>
          <w:sz w:val="24"/>
          <w:szCs w:val="24"/>
        </w:rPr>
        <w:t>Westat</w:t>
      </w:r>
      <w:proofErr w:type="gramStart"/>
      <w:r w:rsidR="002A6ACB" w:rsidRPr="007A3E13">
        <w:rPr>
          <w:sz w:val="24"/>
          <w:szCs w:val="24"/>
        </w:rPr>
        <w:t xml:space="preserve">, </w:t>
      </w:r>
      <w:r w:rsidR="00CC3136" w:rsidRPr="007A3E13">
        <w:rPr>
          <w:sz w:val="24"/>
          <w:szCs w:val="24"/>
        </w:rPr>
        <w:t xml:space="preserve"> IRB</w:t>
      </w:r>
      <w:proofErr w:type="gramEnd"/>
      <w:r w:rsidRPr="007A3E13">
        <w:rPr>
          <w:sz w:val="24"/>
          <w:szCs w:val="24"/>
        </w:rPr>
        <w:t xml:space="preserve"> required</w:t>
      </w:r>
      <w:r w:rsidRPr="0098479D">
        <w:rPr>
          <w:sz w:val="24"/>
          <w:szCs w:val="24"/>
        </w:rPr>
        <w:t xml:space="preserve"> for processing of death certificates from the cohort was received and subsequent appro</w:t>
      </w:r>
      <w:r w:rsidR="00502233" w:rsidRPr="0098479D">
        <w:rPr>
          <w:sz w:val="24"/>
          <w:szCs w:val="24"/>
        </w:rPr>
        <w:t xml:space="preserve">vals every year </w:t>
      </w:r>
      <w:r w:rsidR="00CC3136" w:rsidRPr="0098479D">
        <w:rPr>
          <w:sz w:val="24"/>
          <w:szCs w:val="24"/>
        </w:rPr>
        <w:t>(</w:t>
      </w:r>
      <w:r w:rsidR="00CC3136" w:rsidRPr="00A6357C">
        <w:rPr>
          <w:b/>
          <w:sz w:val="24"/>
          <w:szCs w:val="24"/>
        </w:rPr>
        <w:t>Attachment</w:t>
      </w:r>
      <w:r w:rsidR="005305C8" w:rsidRPr="00A6357C">
        <w:rPr>
          <w:b/>
          <w:sz w:val="24"/>
          <w:szCs w:val="24"/>
        </w:rPr>
        <w:t xml:space="preserve"> 12</w:t>
      </w:r>
      <w:r w:rsidR="005305C8" w:rsidRPr="0089372D">
        <w:rPr>
          <w:sz w:val="24"/>
          <w:szCs w:val="24"/>
        </w:rPr>
        <w:t>)</w:t>
      </w:r>
      <w:r w:rsidR="00502233" w:rsidRPr="0089372D">
        <w:rPr>
          <w:sz w:val="24"/>
          <w:szCs w:val="24"/>
        </w:rPr>
        <w:t xml:space="preserve">. </w:t>
      </w:r>
      <w:r w:rsidR="00D71638" w:rsidRPr="0089372D">
        <w:rPr>
          <w:sz w:val="24"/>
          <w:szCs w:val="24"/>
        </w:rPr>
        <w:t xml:space="preserve"> </w:t>
      </w:r>
      <w:r w:rsidR="00AF4FD5" w:rsidRPr="0092664B">
        <w:rPr>
          <w:sz w:val="24"/>
          <w:szCs w:val="24"/>
          <w:highlight w:val="yellow"/>
        </w:rPr>
        <w:t>The</w:t>
      </w:r>
      <w:r w:rsidR="00D71638" w:rsidRPr="0092664B">
        <w:rPr>
          <w:sz w:val="24"/>
          <w:szCs w:val="24"/>
          <w:highlight w:val="yellow"/>
        </w:rPr>
        <w:t xml:space="preserve"> </w:t>
      </w:r>
      <w:proofErr w:type="spellStart"/>
      <w:r w:rsidR="00DB7536">
        <w:rPr>
          <w:sz w:val="24"/>
          <w:szCs w:val="24"/>
          <w:highlight w:val="yellow"/>
        </w:rPr>
        <w:t>Buccal</w:t>
      </w:r>
      <w:proofErr w:type="spellEnd"/>
      <w:r w:rsidR="00DB7536">
        <w:rPr>
          <w:sz w:val="24"/>
          <w:szCs w:val="24"/>
          <w:highlight w:val="yellow"/>
        </w:rPr>
        <w:t xml:space="preserve"> collection and </w:t>
      </w:r>
      <w:r w:rsidR="00D71638" w:rsidRPr="0092664B">
        <w:rPr>
          <w:sz w:val="24"/>
          <w:szCs w:val="24"/>
          <w:highlight w:val="yellow"/>
        </w:rPr>
        <w:t xml:space="preserve">BEEA study </w:t>
      </w:r>
      <w:r w:rsidR="00DB7536">
        <w:rPr>
          <w:sz w:val="24"/>
          <w:szCs w:val="24"/>
          <w:highlight w:val="yellow"/>
        </w:rPr>
        <w:t>were</w:t>
      </w:r>
      <w:r w:rsidR="00DB7536" w:rsidRPr="0092664B">
        <w:rPr>
          <w:sz w:val="24"/>
          <w:szCs w:val="24"/>
          <w:highlight w:val="yellow"/>
        </w:rPr>
        <w:t xml:space="preserve"> </w:t>
      </w:r>
      <w:r w:rsidR="00D71638" w:rsidRPr="0092664B">
        <w:rPr>
          <w:sz w:val="24"/>
          <w:szCs w:val="24"/>
          <w:highlight w:val="yellow"/>
        </w:rPr>
        <w:t xml:space="preserve">approved by the NCI IRB </w:t>
      </w:r>
      <w:r w:rsidR="002669A1" w:rsidRPr="0092664B">
        <w:rPr>
          <w:sz w:val="24"/>
          <w:szCs w:val="24"/>
          <w:highlight w:val="yellow"/>
        </w:rPr>
        <w:t xml:space="preserve">and </w:t>
      </w:r>
      <w:proofErr w:type="spellStart"/>
      <w:r w:rsidR="002669A1" w:rsidRPr="0092664B">
        <w:rPr>
          <w:sz w:val="24"/>
          <w:szCs w:val="24"/>
          <w:highlight w:val="yellow"/>
        </w:rPr>
        <w:t>Westat’s</w:t>
      </w:r>
      <w:proofErr w:type="spellEnd"/>
      <w:r w:rsidR="002669A1" w:rsidRPr="0092664B">
        <w:rPr>
          <w:sz w:val="24"/>
          <w:szCs w:val="24"/>
          <w:highlight w:val="yellow"/>
        </w:rPr>
        <w:t xml:space="preserve"> IRB </w:t>
      </w:r>
      <w:r w:rsidR="00AF4FD5" w:rsidRPr="0092664B">
        <w:rPr>
          <w:sz w:val="24"/>
          <w:szCs w:val="24"/>
          <w:highlight w:val="yellow"/>
        </w:rPr>
        <w:t>and subsequent approvals every year (</w:t>
      </w:r>
      <w:r w:rsidR="00AF4FD5" w:rsidRPr="0092664B">
        <w:rPr>
          <w:b/>
          <w:sz w:val="24"/>
          <w:szCs w:val="24"/>
          <w:highlight w:val="yellow"/>
        </w:rPr>
        <w:t>Attachment</w:t>
      </w:r>
      <w:r w:rsidR="00A6357C">
        <w:rPr>
          <w:b/>
          <w:sz w:val="24"/>
          <w:szCs w:val="24"/>
          <w:highlight w:val="yellow"/>
        </w:rPr>
        <w:t xml:space="preserve"> 13</w:t>
      </w:r>
      <w:r w:rsidR="00AF4FD5" w:rsidRPr="0092664B">
        <w:rPr>
          <w:sz w:val="24"/>
          <w:szCs w:val="24"/>
          <w:highlight w:val="yellow"/>
        </w:rPr>
        <w:t>)</w:t>
      </w:r>
      <w:r w:rsidR="00D71638" w:rsidRPr="0092664B">
        <w:rPr>
          <w:sz w:val="24"/>
          <w:szCs w:val="24"/>
          <w:highlight w:val="yellow"/>
        </w:rPr>
        <w:t>.</w:t>
      </w:r>
      <w:r w:rsidR="002669A1" w:rsidRPr="0098479D">
        <w:rPr>
          <w:sz w:val="24"/>
          <w:szCs w:val="24"/>
        </w:rPr>
        <w:t xml:space="preserve">  </w:t>
      </w:r>
    </w:p>
    <w:p w:rsidR="00325CCF" w:rsidRPr="0098479D" w:rsidRDefault="003F0F43" w:rsidP="00B0545A">
      <w:pPr>
        <w:pStyle w:val="Heading3"/>
        <w:spacing w:line="480" w:lineRule="auto"/>
        <w:rPr>
          <w:szCs w:val="24"/>
        </w:rPr>
      </w:pPr>
      <w:r w:rsidRPr="0098479D">
        <w:rPr>
          <w:szCs w:val="24"/>
        </w:rPr>
        <w:lastRenderedPageBreak/>
        <w:t>A.</w:t>
      </w:r>
      <w:r w:rsidR="00F06E61" w:rsidRPr="0098479D">
        <w:rPr>
          <w:szCs w:val="24"/>
        </w:rPr>
        <w:t>11</w:t>
      </w:r>
      <w:r w:rsidR="00325CCF" w:rsidRPr="0098479D">
        <w:rPr>
          <w:szCs w:val="24"/>
        </w:rPr>
        <w:t xml:space="preserve">  </w:t>
      </w:r>
      <w:r w:rsidR="000B1AA5" w:rsidRPr="0098479D">
        <w:rPr>
          <w:szCs w:val="24"/>
        </w:rPr>
        <w:t xml:space="preserve"> </w:t>
      </w:r>
      <w:r w:rsidR="0092664B">
        <w:rPr>
          <w:szCs w:val="24"/>
        </w:rPr>
        <w:tab/>
      </w:r>
      <w:r w:rsidR="00325CCF" w:rsidRPr="0098479D">
        <w:rPr>
          <w:szCs w:val="24"/>
          <w:u w:val="single"/>
        </w:rPr>
        <w:t>Justification for Sensitive Questions</w:t>
      </w:r>
    </w:p>
    <w:p w:rsidR="00325CCF" w:rsidRPr="0098479D" w:rsidRDefault="00325CCF" w:rsidP="00B0545A">
      <w:pPr>
        <w:pStyle w:val="BodyText2"/>
        <w:spacing w:after="0"/>
        <w:ind w:firstLine="720"/>
        <w:rPr>
          <w:sz w:val="24"/>
          <w:szCs w:val="24"/>
        </w:rPr>
      </w:pPr>
      <w:r w:rsidRPr="0092664B">
        <w:rPr>
          <w:sz w:val="24"/>
          <w:szCs w:val="24"/>
          <w:highlight w:val="yellow"/>
        </w:rPr>
        <w:t xml:space="preserve">Most questions asked during </w:t>
      </w:r>
      <w:r w:rsidR="003B3E45" w:rsidRPr="0092664B">
        <w:rPr>
          <w:sz w:val="24"/>
          <w:szCs w:val="24"/>
          <w:highlight w:val="yellow"/>
        </w:rPr>
        <w:t>phase</w:t>
      </w:r>
      <w:r w:rsidRPr="0092664B">
        <w:rPr>
          <w:sz w:val="24"/>
          <w:szCs w:val="24"/>
          <w:highlight w:val="yellow"/>
        </w:rPr>
        <w:t xml:space="preserve"> </w:t>
      </w:r>
      <w:r w:rsidR="00AF4FD5" w:rsidRPr="0092664B">
        <w:rPr>
          <w:sz w:val="24"/>
          <w:szCs w:val="24"/>
          <w:highlight w:val="yellow"/>
        </w:rPr>
        <w:t>IV (2013-2015)</w:t>
      </w:r>
      <w:r w:rsidR="00AF4FD5" w:rsidRPr="00DB7536">
        <w:rPr>
          <w:sz w:val="24"/>
          <w:szCs w:val="24"/>
          <w:highlight w:val="yellow"/>
        </w:rPr>
        <w:t xml:space="preserve"> </w:t>
      </w:r>
      <w:r w:rsidR="00D71638" w:rsidRPr="00DB7536">
        <w:rPr>
          <w:sz w:val="24"/>
          <w:szCs w:val="24"/>
          <w:highlight w:val="yellow"/>
        </w:rPr>
        <w:t xml:space="preserve">and the additional BEEA component </w:t>
      </w:r>
      <w:r w:rsidRPr="00DB7536">
        <w:rPr>
          <w:sz w:val="24"/>
          <w:szCs w:val="24"/>
          <w:highlight w:val="yellow"/>
        </w:rPr>
        <w:t>are typically not considered sensitive.</w:t>
      </w:r>
      <w:r w:rsidRPr="0098479D">
        <w:rPr>
          <w:sz w:val="24"/>
          <w:szCs w:val="24"/>
        </w:rPr>
        <w:t xml:space="preserve">  Questions include those on </w:t>
      </w:r>
      <w:r w:rsidRPr="0092664B">
        <w:rPr>
          <w:sz w:val="24"/>
          <w:szCs w:val="24"/>
        </w:rPr>
        <w:t xml:space="preserve">the handling of pesticides, farm operations, occupations other than </w:t>
      </w:r>
      <w:r w:rsidRPr="007A3E13">
        <w:rPr>
          <w:sz w:val="24"/>
          <w:szCs w:val="24"/>
        </w:rPr>
        <w:t>farming,</w:t>
      </w:r>
      <w:r w:rsidR="0092664B" w:rsidRPr="007A3E13">
        <w:rPr>
          <w:sz w:val="24"/>
          <w:szCs w:val="24"/>
        </w:rPr>
        <w:t xml:space="preserve"> and</w:t>
      </w:r>
      <w:r w:rsidRPr="007A3E13">
        <w:rPr>
          <w:sz w:val="24"/>
          <w:szCs w:val="24"/>
        </w:rPr>
        <w:t xml:space="preserve"> source of drinking water.  Information on these factors has been collected in </w:t>
      </w:r>
      <w:r w:rsidR="007015DF" w:rsidRPr="007A3E13">
        <w:rPr>
          <w:sz w:val="24"/>
          <w:szCs w:val="24"/>
        </w:rPr>
        <w:t>p</w:t>
      </w:r>
      <w:r w:rsidR="003B3E45" w:rsidRPr="007A3E13">
        <w:rPr>
          <w:sz w:val="24"/>
          <w:szCs w:val="24"/>
        </w:rPr>
        <w:t>hase</w:t>
      </w:r>
      <w:r w:rsidR="0094786E" w:rsidRPr="007A3E13">
        <w:rPr>
          <w:sz w:val="24"/>
          <w:szCs w:val="24"/>
        </w:rPr>
        <w:t>s</w:t>
      </w:r>
      <w:r w:rsidRPr="007A3E13">
        <w:rPr>
          <w:sz w:val="24"/>
          <w:szCs w:val="24"/>
        </w:rPr>
        <w:t xml:space="preserve"> I</w:t>
      </w:r>
      <w:r w:rsidR="00AF4FD5" w:rsidRPr="007A3E13">
        <w:rPr>
          <w:sz w:val="24"/>
          <w:szCs w:val="24"/>
        </w:rPr>
        <w:t>,</w:t>
      </w:r>
      <w:r w:rsidRPr="007A3E13">
        <w:rPr>
          <w:sz w:val="24"/>
          <w:szCs w:val="24"/>
        </w:rPr>
        <w:t xml:space="preserve"> II</w:t>
      </w:r>
      <w:r w:rsidR="003A2E2B" w:rsidRPr="007A3E13">
        <w:rPr>
          <w:sz w:val="24"/>
          <w:szCs w:val="24"/>
        </w:rPr>
        <w:t>, II</w:t>
      </w:r>
      <w:r w:rsidR="003A2E2B" w:rsidRPr="0092664B">
        <w:rPr>
          <w:sz w:val="24"/>
          <w:szCs w:val="24"/>
        </w:rPr>
        <w:t>I</w:t>
      </w:r>
      <w:r w:rsidRPr="0092664B">
        <w:rPr>
          <w:sz w:val="24"/>
          <w:szCs w:val="24"/>
        </w:rPr>
        <w:t xml:space="preserve"> and is now being updated in </w:t>
      </w:r>
      <w:r w:rsidR="007015DF" w:rsidRPr="0092664B">
        <w:rPr>
          <w:sz w:val="24"/>
          <w:szCs w:val="24"/>
        </w:rPr>
        <w:t>p</w:t>
      </w:r>
      <w:r w:rsidR="003B3E45" w:rsidRPr="0092664B">
        <w:rPr>
          <w:sz w:val="24"/>
          <w:szCs w:val="24"/>
        </w:rPr>
        <w:t>hase</w:t>
      </w:r>
      <w:r w:rsidRPr="0092664B">
        <w:rPr>
          <w:sz w:val="24"/>
          <w:szCs w:val="24"/>
        </w:rPr>
        <w:t xml:space="preserve"> </w:t>
      </w:r>
      <w:r w:rsidR="003A2E2B" w:rsidRPr="0092664B">
        <w:rPr>
          <w:sz w:val="24"/>
          <w:szCs w:val="24"/>
        </w:rPr>
        <w:t>IV</w:t>
      </w:r>
      <w:r w:rsidRPr="0092664B">
        <w:rPr>
          <w:sz w:val="24"/>
          <w:szCs w:val="24"/>
        </w:rPr>
        <w:t>.</w:t>
      </w:r>
    </w:p>
    <w:p w:rsidR="00325CCF" w:rsidRPr="0098479D" w:rsidRDefault="00325CCF" w:rsidP="00B0545A">
      <w:pPr>
        <w:pStyle w:val="BodyText2"/>
        <w:ind w:firstLine="720"/>
        <w:rPr>
          <w:sz w:val="24"/>
          <w:szCs w:val="24"/>
        </w:rPr>
      </w:pPr>
      <w:r w:rsidRPr="00D20099">
        <w:rPr>
          <w:sz w:val="24"/>
          <w:szCs w:val="24"/>
        </w:rPr>
        <w:t>Some questions, such as those about alcohol consumption, medical history, and reproductive health may seem sensitive to some respondents.</w:t>
      </w:r>
      <w:r w:rsidRPr="0098479D">
        <w:rPr>
          <w:sz w:val="24"/>
          <w:szCs w:val="24"/>
        </w:rPr>
        <w:t xml:space="preserve">  However, these are important factors to evaluate as possible confounders, especially for breast cancer among women, lung cancer and oral cancer among men and women, reproductive difficulties and other chronic diseases.  These represent questions that are common to health studies.  </w:t>
      </w:r>
      <w:r w:rsidR="003A2E2B" w:rsidRPr="00D50DDE">
        <w:rPr>
          <w:sz w:val="24"/>
          <w:szCs w:val="24"/>
          <w:highlight w:val="yellow"/>
        </w:rPr>
        <w:t>Completion of the CAWI or return of the paper/pen questionnaire will document informed consent for those who choose to complete the follow up in either of these modes.</w:t>
      </w:r>
      <w:r w:rsidR="003A2E2B">
        <w:rPr>
          <w:sz w:val="24"/>
          <w:szCs w:val="24"/>
        </w:rPr>
        <w:t xml:space="preserve"> </w:t>
      </w:r>
      <w:r w:rsidRPr="0098479D">
        <w:rPr>
          <w:sz w:val="24"/>
          <w:szCs w:val="24"/>
        </w:rPr>
        <w:t xml:space="preserve">Verbal consent is obtained prior to the start of the </w:t>
      </w:r>
      <w:r w:rsidR="00D71638" w:rsidRPr="0094786E">
        <w:rPr>
          <w:sz w:val="24"/>
          <w:szCs w:val="24"/>
        </w:rPr>
        <w:t>phase</w:t>
      </w:r>
      <w:r w:rsidR="003A2E2B" w:rsidRPr="0094786E">
        <w:rPr>
          <w:sz w:val="24"/>
          <w:szCs w:val="24"/>
        </w:rPr>
        <w:t xml:space="preserve"> IV</w:t>
      </w:r>
      <w:r w:rsidR="00D71638" w:rsidRPr="0094786E">
        <w:rPr>
          <w:sz w:val="24"/>
          <w:szCs w:val="24"/>
        </w:rPr>
        <w:t xml:space="preserve"> telephone</w:t>
      </w:r>
      <w:r w:rsidR="00D71638" w:rsidRPr="0098479D">
        <w:rPr>
          <w:sz w:val="24"/>
          <w:szCs w:val="24"/>
        </w:rPr>
        <w:t xml:space="preserve"> interview and will be obtained prior to the BEEA telephone screener; written consent will be obtained before the BEEA home visit CAPI and blood and urine collection.  For those in the Recent Exposure Group of the BEEA, a written informed consent form will be administered at each home visit.</w:t>
      </w:r>
      <w:r w:rsidRPr="0098479D">
        <w:rPr>
          <w:sz w:val="24"/>
          <w:szCs w:val="24"/>
        </w:rPr>
        <w:t xml:space="preserve">  Respondents are </w:t>
      </w:r>
      <w:r w:rsidR="00B144A0" w:rsidRPr="0098479D">
        <w:rPr>
          <w:sz w:val="24"/>
          <w:szCs w:val="24"/>
        </w:rPr>
        <w:t xml:space="preserve">informed that their responses will be kept confidential and they have </w:t>
      </w:r>
      <w:r w:rsidRPr="0098479D">
        <w:rPr>
          <w:sz w:val="24"/>
          <w:szCs w:val="24"/>
        </w:rPr>
        <w:t>the right to skip any questions even if they consent to the interview as a whole.</w:t>
      </w:r>
    </w:p>
    <w:p w:rsidR="00325CCF" w:rsidRPr="0098479D" w:rsidRDefault="00652A90" w:rsidP="00B0545A">
      <w:pPr>
        <w:pStyle w:val="BodyText2"/>
        <w:ind w:firstLine="720"/>
        <w:rPr>
          <w:sz w:val="24"/>
          <w:szCs w:val="24"/>
        </w:rPr>
      </w:pPr>
      <w:r w:rsidRPr="0098479D">
        <w:rPr>
          <w:sz w:val="24"/>
          <w:szCs w:val="24"/>
        </w:rPr>
        <w:t>P</w:t>
      </w:r>
      <w:r w:rsidR="00034CE8" w:rsidRPr="0098479D">
        <w:rPr>
          <w:sz w:val="24"/>
          <w:szCs w:val="24"/>
        </w:rPr>
        <w:t xml:space="preserve">ersonally </w:t>
      </w:r>
      <w:r w:rsidR="00034CE8" w:rsidRPr="007A3E13">
        <w:rPr>
          <w:sz w:val="24"/>
          <w:szCs w:val="24"/>
        </w:rPr>
        <w:t>identifiable information (P</w:t>
      </w:r>
      <w:r w:rsidRPr="007A3E13">
        <w:rPr>
          <w:sz w:val="24"/>
          <w:szCs w:val="24"/>
        </w:rPr>
        <w:t>II</w:t>
      </w:r>
      <w:r w:rsidR="00034CE8" w:rsidRPr="007A3E13">
        <w:rPr>
          <w:sz w:val="24"/>
          <w:szCs w:val="24"/>
        </w:rPr>
        <w:t>)</w:t>
      </w:r>
      <w:r w:rsidR="00DD3F7F" w:rsidRPr="007A3E13">
        <w:rPr>
          <w:sz w:val="24"/>
          <w:szCs w:val="24"/>
        </w:rPr>
        <w:t xml:space="preserve"> was</w:t>
      </w:r>
      <w:r w:rsidRPr="007A3E13">
        <w:rPr>
          <w:sz w:val="24"/>
          <w:szCs w:val="24"/>
        </w:rPr>
        <w:t xml:space="preserve"> collected in the form of </w:t>
      </w:r>
      <w:r w:rsidR="00325CCF" w:rsidRPr="007A3E13">
        <w:rPr>
          <w:sz w:val="24"/>
          <w:szCs w:val="24"/>
        </w:rPr>
        <w:t>SSN</w:t>
      </w:r>
      <w:r w:rsidRPr="007A3E13">
        <w:rPr>
          <w:sz w:val="24"/>
          <w:szCs w:val="24"/>
        </w:rPr>
        <w:t xml:space="preserve">.  </w:t>
      </w:r>
      <w:r w:rsidR="00034CE8" w:rsidRPr="007A3E13">
        <w:rPr>
          <w:sz w:val="24"/>
          <w:szCs w:val="24"/>
        </w:rPr>
        <w:t>Participant’s SSN were collected in phase</w:t>
      </w:r>
      <w:r w:rsidR="0094786E" w:rsidRPr="007A3E13">
        <w:rPr>
          <w:sz w:val="24"/>
          <w:szCs w:val="24"/>
        </w:rPr>
        <w:t>s</w:t>
      </w:r>
      <w:r w:rsidR="00034CE8" w:rsidRPr="007A3E13">
        <w:rPr>
          <w:sz w:val="24"/>
          <w:szCs w:val="24"/>
        </w:rPr>
        <w:t xml:space="preserve"> I and phase II and since all SSN are now known</w:t>
      </w:r>
      <w:r w:rsidR="003A2E2B" w:rsidRPr="007A3E13">
        <w:rPr>
          <w:sz w:val="24"/>
          <w:szCs w:val="24"/>
        </w:rPr>
        <w:t>,</w:t>
      </w:r>
      <w:r w:rsidR="00034CE8" w:rsidRPr="007A3E13">
        <w:rPr>
          <w:sz w:val="24"/>
          <w:szCs w:val="24"/>
        </w:rPr>
        <w:t xml:space="preserve"> it will not be necessary to ask for this information</w:t>
      </w:r>
      <w:r w:rsidR="00034CE8" w:rsidRPr="0098479D">
        <w:rPr>
          <w:sz w:val="24"/>
          <w:szCs w:val="24"/>
        </w:rPr>
        <w:t xml:space="preserve"> again.  </w:t>
      </w:r>
      <w:r w:rsidRPr="0098479D">
        <w:rPr>
          <w:sz w:val="24"/>
          <w:szCs w:val="24"/>
        </w:rPr>
        <w:t>Social Security Numbers</w:t>
      </w:r>
      <w:r w:rsidR="00325CCF" w:rsidRPr="0098479D">
        <w:rPr>
          <w:sz w:val="24"/>
          <w:szCs w:val="24"/>
        </w:rPr>
        <w:t xml:space="preserve"> are used for tracking</w:t>
      </w:r>
      <w:r w:rsidR="00DD3F7F" w:rsidRPr="0098479D">
        <w:rPr>
          <w:sz w:val="24"/>
          <w:szCs w:val="24"/>
        </w:rPr>
        <w:t xml:space="preserve"> vital status, cause of death, and</w:t>
      </w:r>
      <w:r w:rsidR="00325CCF" w:rsidRPr="0098479D">
        <w:rPr>
          <w:sz w:val="24"/>
          <w:szCs w:val="24"/>
        </w:rPr>
        <w:t xml:space="preserve"> cancer incidence in both states and the incidence of birth defects in Iowa utilizing registries.  Participants were advised that SSN w</w:t>
      </w:r>
      <w:r w:rsidR="00034CE8" w:rsidRPr="0098479D">
        <w:rPr>
          <w:sz w:val="24"/>
          <w:szCs w:val="24"/>
        </w:rPr>
        <w:t>as</w:t>
      </w:r>
      <w:r w:rsidR="00325CCF" w:rsidRPr="0098479D">
        <w:rPr>
          <w:sz w:val="24"/>
          <w:szCs w:val="24"/>
        </w:rPr>
        <w:t xml:space="preserve"> requested to enable checking </w:t>
      </w:r>
      <w:r w:rsidR="00325CCF" w:rsidRPr="0098479D">
        <w:rPr>
          <w:sz w:val="24"/>
          <w:szCs w:val="24"/>
        </w:rPr>
        <w:lastRenderedPageBreak/>
        <w:t>of health records, that disclosure is voluntary, and refusing to give the SSN will in no way affect any rights, privileges, or benefits the respondent or their family may have now or in the future.</w:t>
      </w:r>
    </w:p>
    <w:p w:rsidR="006115A6" w:rsidRDefault="00034CE8" w:rsidP="00B0545A">
      <w:pPr>
        <w:pStyle w:val="BodyText2"/>
        <w:ind w:firstLine="720"/>
        <w:rPr>
          <w:sz w:val="24"/>
          <w:szCs w:val="24"/>
        </w:rPr>
      </w:pPr>
      <w:r w:rsidRPr="0098479D">
        <w:rPr>
          <w:sz w:val="24"/>
          <w:szCs w:val="24"/>
        </w:rPr>
        <w:t>Individuals who were enrolled into the study but who are no longer at the address given during enrollment (based on subsequent attempts at follow</w:t>
      </w:r>
      <w:r w:rsidR="0094786E">
        <w:rPr>
          <w:sz w:val="24"/>
          <w:szCs w:val="24"/>
        </w:rPr>
        <w:t>-</w:t>
      </w:r>
      <w:r w:rsidRPr="0098479D">
        <w:rPr>
          <w:sz w:val="24"/>
          <w:szCs w:val="24"/>
        </w:rPr>
        <w:t>up) have been submitted and will continue to be submitted (</w:t>
      </w:r>
      <w:r w:rsidRPr="00D20099">
        <w:rPr>
          <w:sz w:val="24"/>
          <w:szCs w:val="24"/>
        </w:rPr>
        <w:t>through NIOSH</w:t>
      </w:r>
      <w:r w:rsidRPr="0098479D">
        <w:rPr>
          <w:sz w:val="24"/>
          <w:szCs w:val="24"/>
        </w:rPr>
        <w:t>) in the standard format to the IRS under their Project 057 Taxpayer Address Request Program.  Identifying data provided to the IRS include only SSN and the first four letters of the last name of the cohort member.  IRS provides in return the most current address in IRS records if a match (SSN + all four letters of the last name) are found.  The purpose of this effort is to identify members of the cohort who have moved out of state, to enable adjustment of person-years for incidence and mortality calculations.  Persons who have moved out of state can be followed for vital status and cause of death, but not for cancer incidence.</w:t>
      </w:r>
    </w:p>
    <w:p w:rsidR="0094786E" w:rsidRPr="0098479D" w:rsidRDefault="0094786E" w:rsidP="00B0545A">
      <w:pPr>
        <w:pStyle w:val="BodyText2"/>
        <w:ind w:firstLine="720"/>
      </w:pPr>
    </w:p>
    <w:p w:rsidR="00F06E61" w:rsidRPr="0098479D" w:rsidRDefault="003F0F43" w:rsidP="00DB7536">
      <w:pPr>
        <w:rPr>
          <w:b/>
          <w:sz w:val="24"/>
          <w:szCs w:val="24"/>
        </w:rPr>
      </w:pPr>
      <w:r w:rsidRPr="0098479D">
        <w:rPr>
          <w:b/>
          <w:sz w:val="24"/>
          <w:szCs w:val="24"/>
        </w:rPr>
        <w:t>A.</w:t>
      </w:r>
      <w:r w:rsidR="00F06E61" w:rsidRPr="0098479D">
        <w:rPr>
          <w:b/>
          <w:sz w:val="24"/>
          <w:szCs w:val="24"/>
        </w:rPr>
        <w:t xml:space="preserve">12  </w:t>
      </w:r>
      <w:r w:rsidR="000B1AA5" w:rsidRPr="0098479D">
        <w:rPr>
          <w:b/>
          <w:sz w:val="24"/>
          <w:szCs w:val="24"/>
        </w:rPr>
        <w:t xml:space="preserve"> </w:t>
      </w:r>
      <w:r w:rsidR="00F06E61" w:rsidRPr="0098479D">
        <w:rPr>
          <w:b/>
          <w:sz w:val="24"/>
          <w:szCs w:val="24"/>
          <w:u w:val="single"/>
        </w:rPr>
        <w:t xml:space="preserve">Estimates of </w:t>
      </w:r>
      <w:r w:rsidR="008E3C95" w:rsidRPr="0098479D">
        <w:rPr>
          <w:b/>
          <w:sz w:val="24"/>
          <w:szCs w:val="24"/>
          <w:u w:val="single"/>
        </w:rPr>
        <w:t xml:space="preserve">Annualized </w:t>
      </w:r>
      <w:r w:rsidR="008E3C95" w:rsidRPr="007A3E13">
        <w:rPr>
          <w:b/>
          <w:sz w:val="24"/>
          <w:szCs w:val="24"/>
          <w:u w:val="single"/>
        </w:rPr>
        <w:t xml:space="preserve">Hour and </w:t>
      </w:r>
      <w:r w:rsidR="00F06E61" w:rsidRPr="007A3E13">
        <w:rPr>
          <w:b/>
          <w:sz w:val="24"/>
          <w:szCs w:val="24"/>
          <w:u w:val="single"/>
        </w:rPr>
        <w:t>Cost</w:t>
      </w:r>
      <w:r w:rsidR="00CF4165" w:rsidRPr="007A3E13">
        <w:rPr>
          <w:b/>
          <w:sz w:val="24"/>
          <w:szCs w:val="24"/>
          <w:u w:val="single"/>
        </w:rPr>
        <w:t xml:space="preserve"> Burden</w:t>
      </w:r>
    </w:p>
    <w:p w:rsidR="0094786E" w:rsidRDefault="0094786E" w:rsidP="000A5A96">
      <w:pPr>
        <w:pStyle w:val="a"/>
        <w:widowControl/>
        <w:tabs>
          <w:tab w:val="left" w:pos="-1440"/>
        </w:tabs>
        <w:spacing w:line="480" w:lineRule="auto"/>
        <w:ind w:left="0" w:firstLine="720"/>
        <w:rPr>
          <w:highlight w:val="red"/>
        </w:rPr>
      </w:pPr>
    </w:p>
    <w:p w:rsidR="000A5A96" w:rsidRDefault="00613EA1" w:rsidP="00DB7536">
      <w:pPr>
        <w:spacing w:line="480" w:lineRule="auto"/>
        <w:ind w:firstLine="720"/>
      </w:pPr>
      <w:r w:rsidRPr="00DB7536">
        <w:rPr>
          <w:snapToGrid w:val="0"/>
          <w:sz w:val="24"/>
          <w:highlight w:val="yellow"/>
        </w:rPr>
        <w:t xml:space="preserve">The estimated annualized burden for the BEEA component and </w:t>
      </w:r>
      <w:r w:rsidR="00DB7536">
        <w:rPr>
          <w:snapToGrid w:val="0"/>
          <w:sz w:val="24"/>
          <w:highlight w:val="yellow"/>
        </w:rPr>
        <w:t>phase IV</w:t>
      </w:r>
      <w:r w:rsidRPr="00DB7536">
        <w:rPr>
          <w:snapToGrid w:val="0"/>
          <w:sz w:val="24"/>
          <w:highlight w:val="yellow"/>
        </w:rPr>
        <w:t xml:space="preserve"> data collection of the Agricultural Health Study is estimated to be </w:t>
      </w:r>
      <w:r w:rsidR="003B24CA">
        <w:rPr>
          <w:snapToGrid w:val="0"/>
          <w:sz w:val="24"/>
          <w:highlight w:val="yellow"/>
        </w:rPr>
        <w:t>10,4</w:t>
      </w:r>
      <w:r w:rsidR="00D83824">
        <w:rPr>
          <w:snapToGrid w:val="0"/>
          <w:sz w:val="24"/>
          <w:highlight w:val="yellow"/>
        </w:rPr>
        <w:t>65</w:t>
      </w:r>
      <w:r w:rsidR="00DB7536" w:rsidRPr="00DB7536">
        <w:rPr>
          <w:snapToGrid w:val="0"/>
          <w:sz w:val="24"/>
          <w:highlight w:val="yellow"/>
        </w:rPr>
        <w:t xml:space="preserve"> </w:t>
      </w:r>
      <w:r w:rsidRPr="00DB7536">
        <w:rPr>
          <w:snapToGrid w:val="0"/>
          <w:sz w:val="24"/>
          <w:highlight w:val="yellow"/>
        </w:rPr>
        <w:t xml:space="preserve">hours (see Table A.12-1).  This amounts to a total of </w:t>
      </w:r>
      <w:r w:rsidR="00DB7536">
        <w:rPr>
          <w:snapToGrid w:val="0"/>
          <w:sz w:val="24"/>
          <w:highlight w:val="yellow"/>
        </w:rPr>
        <w:t>31,</w:t>
      </w:r>
      <w:r w:rsidR="00D83824">
        <w:rPr>
          <w:snapToGrid w:val="0"/>
          <w:sz w:val="24"/>
          <w:highlight w:val="yellow"/>
        </w:rPr>
        <w:t>3</w:t>
      </w:r>
      <w:r w:rsidR="003B24CA">
        <w:rPr>
          <w:snapToGrid w:val="0"/>
          <w:sz w:val="24"/>
          <w:highlight w:val="yellow"/>
        </w:rPr>
        <w:t>9</w:t>
      </w:r>
      <w:r w:rsidR="00D83824">
        <w:rPr>
          <w:snapToGrid w:val="0"/>
          <w:sz w:val="24"/>
          <w:highlight w:val="yellow"/>
        </w:rPr>
        <w:t>6</w:t>
      </w:r>
      <w:r w:rsidRPr="00DB7536">
        <w:rPr>
          <w:snapToGrid w:val="0"/>
          <w:sz w:val="24"/>
          <w:highlight w:val="yellow"/>
        </w:rPr>
        <w:t xml:space="preserve"> hours over a three-year period.  Based on a median hourly wage rate of $</w:t>
      </w:r>
      <w:r w:rsidR="003B24CA">
        <w:rPr>
          <w:snapToGrid w:val="0"/>
          <w:sz w:val="24"/>
          <w:highlight w:val="yellow"/>
        </w:rPr>
        <w:t xml:space="preserve">11.68 </w:t>
      </w:r>
      <w:r w:rsidR="00020ECD" w:rsidRPr="00DB7536">
        <w:rPr>
          <w:snapToGrid w:val="0"/>
          <w:sz w:val="24"/>
          <w:highlight w:val="yellow"/>
        </w:rPr>
        <w:t>for Farming Occupations (http://www.bls.gov/oes/current/oes_nat.htm#45-0000)</w:t>
      </w:r>
      <w:r w:rsidRPr="00DB7536">
        <w:rPr>
          <w:snapToGrid w:val="0"/>
          <w:sz w:val="24"/>
          <w:highlight w:val="yellow"/>
        </w:rPr>
        <w:t>, the total cost to participants will be approximately $</w:t>
      </w:r>
      <w:r w:rsidR="003B24CA">
        <w:rPr>
          <w:snapToGrid w:val="0"/>
          <w:sz w:val="24"/>
          <w:highlight w:val="yellow"/>
        </w:rPr>
        <w:t>36</w:t>
      </w:r>
      <w:r w:rsidR="006D3CF2">
        <w:rPr>
          <w:snapToGrid w:val="0"/>
          <w:sz w:val="24"/>
          <w:highlight w:val="yellow"/>
        </w:rPr>
        <w:t>6</w:t>
      </w:r>
      <w:r w:rsidR="003B24CA">
        <w:rPr>
          <w:snapToGrid w:val="0"/>
          <w:sz w:val="24"/>
          <w:highlight w:val="yellow"/>
        </w:rPr>
        <w:t>,</w:t>
      </w:r>
      <w:r w:rsidR="006D3CF2">
        <w:rPr>
          <w:snapToGrid w:val="0"/>
          <w:sz w:val="24"/>
          <w:highlight w:val="yellow"/>
        </w:rPr>
        <w:t>694</w:t>
      </w:r>
      <w:r w:rsidR="00BB5EE9">
        <w:rPr>
          <w:snapToGrid w:val="0"/>
          <w:sz w:val="24"/>
          <w:highlight w:val="yellow"/>
        </w:rPr>
        <w:t xml:space="preserve"> </w:t>
      </w:r>
      <w:r w:rsidRPr="00DB7536">
        <w:rPr>
          <w:snapToGrid w:val="0"/>
          <w:sz w:val="24"/>
          <w:highlight w:val="yellow"/>
        </w:rPr>
        <w:t>which corresponds to an annualized average cost of $</w:t>
      </w:r>
      <w:r w:rsidR="003B24CA">
        <w:rPr>
          <w:snapToGrid w:val="0"/>
          <w:sz w:val="24"/>
          <w:highlight w:val="yellow"/>
        </w:rPr>
        <w:t>12</w:t>
      </w:r>
      <w:r w:rsidR="006D3CF2">
        <w:rPr>
          <w:snapToGrid w:val="0"/>
          <w:sz w:val="24"/>
          <w:highlight w:val="yellow"/>
        </w:rPr>
        <w:t>2</w:t>
      </w:r>
      <w:r w:rsidR="003B24CA">
        <w:rPr>
          <w:snapToGrid w:val="0"/>
          <w:sz w:val="24"/>
          <w:highlight w:val="yellow"/>
        </w:rPr>
        <w:t>,2</w:t>
      </w:r>
      <w:r w:rsidR="006D3CF2">
        <w:rPr>
          <w:snapToGrid w:val="0"/>
          <w:sz w:val="24"/>
          <w:highlight w:val="yellow"/>
        </w:rPr>
        <w:t xml:space="preserve">31 </w:t>
      </w:r>
      <w:r w:rsidRPr="00DB7536">
        <w:rPr>
          <w:snapToGrid w:val="0"/>
          <w:sz w:val="24"/>
          <w:highlight w:val="yellow"/>
        </w:rPr>
        <w:t>(Table A.12-2).</w:t>
      </w:r>
      <w:r w:rsidR="0063095D" w:rsidRPr="0098479D">
        <w:t xml:space="preserve"> </w:t>
      </w:r>
      <w:r w:rsidR="0097615F" w:rsidRPr="0098479D">
        <w:t xml:space="preserve">  </w:t>
      </w:r>
    </w:p>
    <w:p w:rsidR="0089372D" w:rsidRDefault="0089372D" w:rsidP="00DB7536">
      <w:pPr>
        <w:spacing w:line="480" w:lineRule="auto"/>
        <w:ind w:firstLine="720"/>
      </w:pPr>
    </w:p>
    <w:p w:rsidR="00F1198C" w:rsidRDefault="00F1198C" w:rsidP="00DB7536">
      <w:pPr>
        <w:spacing w:line="480" w:lineRule="auto"/>
        <w:ind w:firstLine="720"/>
      </w:pPr>
    </w:p>
    <w:p w:rsidR="0089372D" w:rsidRPr="00DB7536" w:rsidRDefault="0089372D" w:rsidP="00DB7536">
      <w:pPr>
        <w:spacing w:line="480" w:lineRule="auto"/>
        <w:ind w:firstLine="720"/>
        <w:rPr>
          <w:snapToGrid w:val="0"/>
          <w:sz w:val="24"/>
        </w:rPr>
      </w:pPr>
    </w:p>
    <w:tbl>
      <w:tblPr>
        <w:tblW w:w="10710"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Look w:val="00A0" w:firstRow="1" w:lastRow="0" w:firstColumn="1" w:lastColumn="0" w:noHBand="0" w:noVBand="0"/>
      </w:tblPr>
      <w:tblGrid>
        <w:gridCol w:w="2070"/>
        <w:gridCol w:w="2070"/>
        <w:gridCol w:w="1800"/>
        <w:gridCol w:w="1620"/>
        <w:gridCol w:w="1620"/>
        <w:gridCol w:w="1530"/>
      </w:tblGrid>
      <w:tr w:rsidR="00B84493" w:rsidRPr="005E63C6" w:rsidTr="00DB7536">
        <w:trPr>
          <w:trHeight w:val="435"/>
        </w:trPr>
        <w:tc>
          <w:tcPr>
            <w:tcW w:w="10710" w:type="dxa"/>
            <w:gridSpan w:val="6"/>
            <w:shd w:val="clear" w:color="auto" w:fill="FFFFFF" w:themeFill="background1"/>
            <w:vAlign w:val="center"/>
          </w:tcPr>
          <w:p w:rsidR="00B84493" w:rsidRPr="005E63C6" w:rsidRDefault="00B84493" w:rsidP="0033296D">
            <w:pPr>
              <w:rPr>
                <w:b/>
                <w:sz w:val="22"/>
                <w:szCs w:val="22"/>
              </w:rPr>
            </w:pPr>
            <w:r w:rsidRPr="005E63C6">
              <w:rPr>
                <w:b/>
                <w:bCs/>
                <w:sz w:val="22"/>
                <w:szCs w:val="22"/>
              </w:rPr>
              <w:lastRenderedPageBreak/>
              <w:t xml:space="preserve">Table A.12-1  </w:t>
            </w:r>
            <w:r w:rsidRPr="005E63C6">
              <w:rPr>
                <w:b/>
                <w:sz w:val="22"/>
                <w:szCs w:val="22"/>
              </w:rPr>
              <w:t xml:space="preserve">ESTIMATES </w:t>
            </w:r>
            <w:r w:rsidR="0033296D">
              <w:rPr>
                <w:b/>
                <w:sz w:val="22"/>
                <w:szCs w:val="22"/>
              </w:rPr>
              <w:t>A</w:t>
            </w:r>
            <w:r w:rsidRPr="005E63C6">
              <w:rPr>
                <w:b/>
                <w:sz w:val="22"/>
                <w:szCs w:val="22"/>
              </w:rPr>
              <w:t>NNUAL</w:t>
            </w:r>
            <w:r w:rsidR="0033296D">
              <w:rPr>
                <w:b/>
                <w:sz w:val="22"/>
                <w:szCs w:val="22"/>
              </w:rPr>
              <w:t>IZED</w:t>
            </w:r>
            <w:r w:rsidRPr="005E63C6">
              <w:rPr>
                <w:b/>
                <w:sz w:val="22"/>
                <w:szCs w:val="22"/>
              </w:rPr>
              <w:t xml:space="preserve"> BURDEN HOURS</w:t>
            </w:r>
          </w:p>
        </w:tc>
      </w:tr>
      <w:tr w:rsidR="0094786E" w:rsidRPr="005E63C6" w:rsidTr="00061354">
        <w:trPr>
          <w:trHeight w:val="957"/>
        </w:trPr>
        <w:tc>
          <w:tcPr>
            <w:tcW w:w="2070" w:type="dxa"/>
            <w:shd w:val="clear" w:color="auto" w:fill="FFFFFF" w:themeFill="background1"/>
            <w:vAlign w:val="center"/>
          </w:tcPr>
          <w:p w:rsidR="00B84493" w:rsidRPr="005E63C6" w:rsidRDefault="00B84493" w:rsidP="00B84493">
            <w:pPr>
              <w:jc w:val="center"/>
              <w:rPr>
                <w:b/>
                <w:sz w:val="22"/>
                <w:szCs w:val="22"/>
              </w:rPr>
            </w:pPr>
            <w:r w:rsidRPr="005E63C6">
              <w:rPr>
                <w:b/>
                <w:sz w:val="22"/>
                <w:szCs w:val="22"/>
              </w:rPr>
              <w:t>Type of Respondent</w:t>
            </w:r>
          </w:p>
        </w:tc>
        <w:tc>
          <w:tcPr>
            <w:tcW w:w="2070" w:type="dxa"/>
            <w:shd w:val="clear" w:color="auto" w:fill="FFFFFF" w:themeFill="background1"/>
            <w:vAlign w:val="center"/>
          </w:tcPr>
          <w:p w:rsidR="00B84493" w:rsidRPr="005E63C6" w:rsidRDefault="00B84493" w:rsidP="00B84493">
            <w:pPr>
              <w:jc w:val="center"/>
              <w:rPr>
                <w:b/>
                <w:sz w:val="22"/>
                <w:szCs w:val="22"/>
              </w:rPr>
            </w:pPr>
            <w:r w:rsidRPr="005E63C6">
              <w:rPr>
                <w:b/>
                <w:sz w:val="22"/>
                <w:szCs w:val="22"/>
              </w:rPr>
              <w:t>Instrument</w:t>
            </w:r>
          </w:p>
        </w:tc>
        <w:tc>
          <w:tcPr>
            <w:tcW w:w="1800" w:type="dxa"/>
            <w:shd w:val="clear" w:color="auto" w:fill="FFFFFF" w:themeFill="background1"/>
            <w:vAlign w:val="center"/>
          </w:tcPr>
          <w:p w:rsidR="00B84493" w:rsidRPr="005E63C6" w:rsidRDefault="00B84493" w:rsidP="00B84493">
            <w:pPr>
              <w:jc w:val="center"/>
              <w:rPr>
                <w:b/>
                <w:sz w:val="22"/>
                <w:szCs w:val="22"/>
              </w:rPr>
            </w:pPr>
            <w:r w:rsidRPr="005E63C6">
              <w:rPr>
                <w:b/>
                <w:sz w:val="22"/>
                <w:szCs w:val="22"/>
              </w:rPr>
              <w:t>Estimated Annual Number of Respondents</w:t>
            </w:r>
          </w:p>
        </w:tc>
        <w:tc>
          <w:tcPr>
            <w:tcW w:w="1620" w:type="dxa"/>
            <w:shd w:val="clear" w:color="auto" w:fill="FFFFFF" w:themeFill="background1"/>
            <w:vAlign w:val="center"/>
          </w:tcPr>
          <w:p w:rsidR="00B84493" w:rsidRPr="005E63C6" w:rsidRDefault="0094786E" w:rsidP="0094786E">
            <w:pPr>
              <w:jc w:val="center"/>
              <w:rPr>
                <w:b/>
                <w:sz w:val="22"/>
                <w:szCs w:val="22"/>
              </w:rPr>
            </w:pPr>
            <w:r>
              <w:rPr>
                <w:b/>
                <w:sz w:val="22"/>
                <w:szCs w:val="22"/>
              </w:rPr>
              <w:t>Number of Responses per Respondent</w:t>
            </w:r>
          </w:p>
        </w:tc>
        <w:tc>
          <w:tcPr>
            <w:tcW w:w="1620" w:type="dxa"/>
            <w:shd w:val="clear" w:color="auto" w:fill="FFFFFF" w:themeFill="background1"/>
            <w:vAlign w:val="center"/>
          </w:tcPr>
          <w:p w:rsidR="00B84493" w:rsidRPr="005E63C6" w:rsidRDefault="00B84493" w:rsidP="0094786E">
            <w:pPr>
              <w:jc w:val="center"/>
              <w:rPr>
                <w:b/>
                <w:sz w:val="22"/>
                <w:szCs w:val="22"/>
              </w:rPr>
            </w:pPr>
            <w:r w:rsidRPr="005E63C6">
              <w:rPr>
                <w:b/>
                <w:sz w:val="22"/>
                <w:szCs w:val="22"/>
              </w:rPr>
              <w:t xml:space="preserve">Average Time Per Response </w:t>
            </w:r>
            <w:r w:rsidR="0094786E">
              <w:rPr>
                <w:b/>
                <w:sz w:val="22"/>
                <w:szCs w:val="22"/>
              </w:rPr>
              <w:t>(in h</w:t>
            </w:r>
            <w:r w:rsidRPr="005E63C6">
              <w:rPr>
                <w:b/>
                <w:sz w:val="22"/>
                <w:szCs w:val="22"/>
              </w:rPr>
              <w:t>our</w:t>
            </w:r>
            <w:r w:rsidR="0094786E">
              <w:rPr>
                <w:b/>
                <w:sz w:val="22"/>
                <w:szCs w:val="22"/>
              </w:rPr>
              <w:t>s)</w:t>
            </w:r>
          </w:p>
        </w:tc>
        <w:tc>
          <w:tcPr>
            <w:tcW w:w="1530" w:type="dxa"/>
            <w:shd w:val="clear" w:color="auto" w:fill="FFFFFF" w:themeFill="background1"/>
            <w:vAlign w:val="center"/>
          </w:tcPr>
          <w:p w:rsidR="00B84493" w:rsidRPr="005E63C6" w:rsidRDefault="0094786E" w:rsidP="00B84493">
            <w:pPr>
              <w:jc w:val="center"/>
              <w:rPr>
                <w:b/>
                <w:sz w:val="22"/>
                <w:szCs w:val="22"/>
              </w:rPr>
            </w:pPr>
            <w:r>
              <w:rPr>
                <w:b/>
                <w:sz w:val="22"/>
                <w:szCs w:val="22"/>
              </w:rPr>
              <w:t xml:space="preserve">Total </w:t>
            </w:r>
            <w:r w:rsidR="00B84493" w:rsidRPr="005E63C6">
              <w:rPr>
                <w:b/>
                <w:sz w:val="22"/>
                <w:szCs w:val="22"/>
              </w:rPr>
              <w:t>Annual Burden Hours</w:t>
            </w:r>
          </w:p>
        </w:tc>
      </w:tr>
      <w:tr w:rsidR="00944D3B" w:rsidRPr="00944D3B" w:rsidTr="00061354">
        <w:trPr>
          <w:trHeight w:val="678"/>
        </w:trPr>
        <w:tc>
          <w:tcPr>
            <w:tcW w:w="2070" w:type="dxa"/>
            <w:shd w:val="clear" w:color="auto" w:fill="FFFFFF" w:themeFill="background1"/>
            <w:vAlign w:val="center"/>
          </w:tcPr>
          <w:p w:rsidR="00944D3B" w:rsidRPr="00944D3B" w:rsidRDefault="00944D3B" w:rsidP="009A5703">
            <w:pPr>
              <w:jc w:val="center"/>
            </w:pPr>
            <w:r w:rsidRPr="00944D3B">
              <w:t>Private and Commercial Applicators and Spouses</w:t>
            </w:r>
          </w:p>
        </w:tc>
        <w:tc>
          <w:tcPr>
            <w:tcW w:w="2070" w:type="dxa"/>
            <w:shd w:val="clear" w:color="auto" w:fill="FFFFFF" w:themeFill="background1"/>
            <w:vAlign w:val="center"/>
          </w:tcPr>
          <w:p w:rsidR="00944D3B" w:rsidRDefault="00944D3B" w:rsidP="009A5703">
            <w:pPr>
              <w:jc w:val="center"/>
            </w:pPr>
            <w:r w:rsidRPr="00944D3B">
              <w:t xml:space="preserve">Reminder, Missing, and Damaged Scripts for </w:t>
            </w:r>
            <w:proofErr w:type="spellStart"/>
            <w:r w:rsidRPr="00944D3B">
              <w:t>Buccal</w:t>
            </w:r>
            <w:proofErr w:type="spellEnd"/>
            <w:r w:rsidRPr="00944D3B">
              <w:t xml:space="preserve"> Cell</w:t>
            </w:r>
          </w:p>
          <w:p w:rsidR="008474FD" w:rsidRPr="00944D3B" w:rsidRDefault="008474FD" w:rsidP="009A5703">
            <w:pPr>
              <w:jc w:val="center"/>
            </w:pPr>
            <w:r>
              <w:t>(Attachment 9)</w:t>
            </w:r>
          </w:p>
        </w:tc>
        <w:tc>
          <w:tcPr>
            <w:tcW w:w="1800" w:type="dxa"/>
            <w:shd w:val="clear" w:color="auto" w:fill="FFFFFF" w:themeFill="background1"/>
            <w:vAlign w:val="center"/>
          </w:tcPr>
          <w:p w:rsidR="00944D3B" w:rsidRPr="00944D3B" w:rsidRDefault="00944D3B" w:rsidP="009A5703">
            <w:pPr>
              <w:jc w:val="center"/>
            </w:pPr>
            <w:r w:rsidRPr="00944D3B">
              <w:t>100</w:t>
            </w:r>
          </w:p>
        </w:tc>
        <w:tc>
          <w:tcPr>
            <w:tcW w:w="1620" w:type="dxa"/>
            <w:shd w:val="clear" w:color="auto" w:fill="FFFFFF" w:themeFill="background1"/>
            <w:vAlign w:val="center"/>
          </w:tcPr>
          <w:p w:rsidR="00944D3B" w:rsidRPr="00944D3B" w:rsidRDefault="00944D3B" w:rsidP="009A5703">
            <w:pPr>
              <w:jc w:val="center"/>
            </w:pPr>
            <w:r w:rsidRPr="00944D3B">
              <w:t>1</w:t>
            </w:r>
          </w:p>
        </w:tc>
        <w:tc>
          <w:tcPr>
            <w:tcW w:w="1620" w:type="dxa"/>
            <w:shd w:val="clear" w:color="auto" w:fill="FFFFFF" w:themeFill="background1"/>
            <w:vAlign w:val="center"/>
          </w:tcPr>
          <w:p w:rsidR="00944D3B" w:rsidRPr="00944D3B" w:rsidRDefault="00944D3B" w:rsidP="009A5703">
            <w:pPr>
              <w:jc w:val="center"/>
              <w:rPr>
                <w:color w:val="000000"/>
              </w:rPr>
            </w:pPr>
            <w:r w:rsidRPr="00944D3B">
              <w:rPr>
                <w:color w:val="000000"/>
              </w:rPr>
              <w:t>5/60</w:t>
            </w:r>
          </w:p>
        </w:tc>
        <w:tc>
          <w:tcPr>
            <w:tcW w:w="1530" w:type="dxa"/>
            <w:shd w:val="clear" w:color="auto" w:fill="FFFFFF" w:themeFill="background1"/>
            <w:vAlign w:val="center"/>
          </w:tcPr>
          <w:p w:rsidR="00944D3B" w:rsidRPr="00944D3B" w:rsidRDefault="00BB5EE9" w:rsidP="00B84493">
            <w:pPr>
              <w:jc w:val="center"/>
            </w:pPr>
            <w:r>
              <w:t>8</w:t>
            </w:r>
          </w:p>
        </w:tc>
      </w:tr>
      <w:tr w:rsidR="00944D3B" w:rsidRPr="00944D3B" w:rsidTr="00302944">
        <w:trPr>
          <w:trHeight w:val="678"/>
        </w:trPr>
        <w:tc>
          <w:tcPr>
            <w:tcW w:w="2070" w:type="dxa"/>
            <w:shd w:val="clear" w:color="auto" w:fill="FFFFFF" w:themeFill="background1"/>
            <w:vAlign w:val="center"/>
          </w:tcPr>
          <w:p w:rsidR="00944D3B" w:rsidRPr="0089372D" w:rsidRDefault="00944D3B" w:rsidP="00302944">
            <w:pPr>
              <w:jc w:val="center"/>
              <w:rPr>
                <w:highlight w:val="yellow"/>
              </w:rPr>
            </w:pPr>
            <w:r w:rsidRPr="0089372D">
              <w:rPr>
                <w:highlight w:val="yellow"/>
              </w:rPr>
              <w:t>Private Applicators</w:t>
            </w:r>
          </w:p>
        </w:tc>
        <w:tc>
          <w:tcPr>
            <w:tcW w:w="2070" w:type="dxa"/>
            <w:shd w:val="clear" w:color="auto" w:fill="FFFFFF" w:themeFill="background1"/>
            <w:vAlign w:val="center"/>
          </w:tcPr>
          <w:p w:rsidR="00944D3B" w:rsidRPr="0089372D" w:rsidRDefault="00944D3B" w:rsidP="00302944">
            <w:pPr>
              <w:jc w:val="center"/>
              <w:rPr>
                <w:highlight w:val="yellow"/>
              </w:rPr>
            </w:pPr>
            <w:r w:rsidRPr="0089372D">
              <w:rPr>
                <w:highlight w:val="yellow"/>
              </w:rPr>
              <w:t xml:space="preserve">BEEA CATI </w:t>
            </w:r>
            <w:r w:rsidR="0076704C">
              <w:rPr>
                <w:highlight w:val="yellow"/>
              </w:rPr>
              <w:t>Eligibility Script</w:t>
            </w:r>
            <w:bookmarkStart w:id="4" w:name="_GoBack"/>
            <w:bookmarkEnd w:id="4"/>
          </w:p>
          <w:p w:rsidR="00061354" w:rsidRPr="0089372D" w:rsidRDefault="00061354" w:rsidP="00302944">
            <w:pPr>
              <w:jc w:val="center"/>
              <w:rPr>
                <w:highlight w:val="yellow"/>
              </w:rPr>
            </w:pPr>
            <w:r w:rsidRPr="0089372D">
              <w:rPr>
                <w:highlight w:val="yellow"/>
              </w:rPr>
              <w:t>(Attachment 20 or 21)</w:t>
            </w:r>
          </w:p>
        </w:tc>
        <w:tc>
          <w:tcPr>
            <w:tcW w:w="1800" w:type="dxa"/>
            <w:shd w:val="clear" w:color="auto" w:fill="FFFFFF" w:themeFill="background1"/>
            <w:vAlign w:val="center"/>
          </w:tcPr>
          <w:p w:rsidR="00944D3B" w:rsidRPr="0089372D" w:rsidRDefault="00944D3B" w:rsidP="00302944">
            <w:pPr>
              <w:jc w:val="center"/>
              <w:rPr>
                <w:highlight w:val="yellow"/>
              </w:rPr>
            </w:pPr>
            <w:r w:rsidRPr="0089372D">
              <w:rPr>
                <w:highlight w:val="yellow"/>
              </w:rPr>
              <w:t>480</w:t>
            </w:r>
          </w:p>
        </w:tc>
        <w:tc>
          <w:tcPr>
            <w:tcW w:w="1620" w:type="dxa"/>
            <w:shd w:val="clear" w:color="auto" w:fill="FFFFFF" w:themeFill="background1"/>
            <w:vAlign w:val="center"/>
          </w:tcPr>
          <w:p w:rsidR="00944D3B" w:rsidRPr="0089372D" w:rsidRDefault="00944D3B" w:rsidP="00302944">
            <w:pPr>
              <w:jc w:val="center"/>
              <w:rPr>
                <w:highlight w:val="yellow"/>
              </w:rPr>
            </w:pPr>
            <w:r w:rsidRPr="0089372D">
              <w:rPr>
                <w:highlight w:val="yellow"/>
              </w:rPr>
              <w:t>1</w:t>
            </w:r>
          </w:p>
        </w:tc>
        <w:tc>
          <w:tcPr>
            <w:tcW w:w="1620" w:type="dxa"/>
            <w:shd w:val="clear" w:color="auto" w:fill="FFFFFF" w:themeFill="background1"/>
            <w:vAlign w:val="center"/>
          </w:tcPr>
          <w:p w:rsidR="00944D3B" w:rsidRPr="0089372D" w:rsidRDefault="00944D3B" w:rsidP="00302944">
            <w:pPr>
              <w:jc w:val="center"/>
              <w:rPr>
                <w:color w:val="000000"/>
                <w:highlight w:val="yellow"/>
              </w:rPr>
            </w:pPr>
            <w:r w:rsidRPr="0089372D">
              <w:rPr>
                <w:color w:val="000000"/>
                <w:highlight w:val="yellow"/>
              </w:rPr>
              <w:t>20/60</w:t>
            </w:r>
          </w:p>
        </w:tc>
        <w:tc>
          <w:tcPr>
            <w:tcW w:w="1530" w:type="dxa"/>
            <w:shd w:val="clear" w:color="auto" w:fill="FFFFFF" w:themeFill="background1"/>
            <w:vAlign w:val="center"/>
          </w:tcPr>
          <w:p w:rsidR="00944D3B" w:rsidRPr="0089372D" w:rsidRDefault="00944D3B" w:rsidP="00302944">
            <w:pPr>
              <w:jc w:val="center"/>
              <w:rPr>
                <w:highlight w:val="yellow"/>
              </w:rPr>
            </w:pPr>
            <w:r w:rsidRPr="0089372D">
              <w:rPr>
                <w:highlight w:val="yellow"/>
              </w:rPr>
              <w:t>160</w:t>
            </w:r>
          </w:p>
        </w:tc>
      </w:tr>
      <w:tr w:rsidR="00944D3B" w:rsidRPr="00944D3B" w:rsidTr="00302944">
        <w:trPr>
          <w:trHeight w:val="678"/>
        </w:trPr>
        <w:tc>
          <w:tcPr>
            <w:tcW w:w="2070" w:type="dxa"/>
            <w:shd w:val="clear" w:color="auto" w:fill="FFFFFF" w:themeFill="background1"/>
            <w:vAlign w:val="center"/>
          </w:tcPr>
          <w:p w:rsidR="00944D3B" w:rsidRPr="00944D3B" w:rsidRDefault="00944D3B" w:rsidP="00302944">
            <w:pPr>
              <w:jc w:val="center"/>
            </w:pPr>
            <w:r w:rsidRPr="00944D3B">
              <w:t>Private Applicators</w:t>
            </w:r>
          </w:p>
        </w:tc>
        <w:tc>
          <w:tcPr>
            <w:tcW w:w="2070" w:type="dxa"/>
            <w:shd w:val="clear" w:color="auto" w:fill="FFFFFF" w:themeFill="background1"/>
            <w:vAlign w:val="center"/>
          </w:tcPr>
          <w:p w:rsidR="00944D3B" w:rsidRPr="00944D3B" w:rsidRDefault="00944D3B" w:rsidP="00302944">
            <w:pPr>
              <w:jc w:val="center"/>
            </w:pPr>
            <w:r w:rsidRPr="00944D3B">
              <w:t>BEEA Home Visit CAPI, Blood, &amp; Urine x 1</w:t>
            </w:r>
          </w:p>
          <w:p w:rsidR="00944D3B" w:rsidRPr="00944D3B" w:rsidRDefault="00944D3B" w:rsidP="00302944">
            <w:pPr>
              <w:jc w:val="center"/>
            </w:pPr>
            <w:r w:rsidRPr="00944D3B">
              <w:t>(Attachment 19)</w:t>
            </w:r>
          </w:p>
        </w:tc>
        <w:tc>
          <w:tcPr>
            <w:tcW w:w="1800" w:type="dxa"/>
            <w:shd w:val="clear" w:color="auto" w:fill="FFFFFF" w:themeFill="background1"/>
            <w:vAlign w:val="center"/>
          </w:tcPr>
          <w:p w:rsidR="00944D3B" w:rsidRPr="00944D3B" w:rsidRDefault="00944D3B" w:rsidP="00302944">
            <w:pPr>
              <w:jc w:val="center"/>
            </w:pPr>
            <w:r w:rsidRPr="00944D3B">
              <w:t>160</w:t>
            </w:r>
          </w:p>
        </w:tc>
        <w:tc>
          <w:tcPr>
            <w:tcW w:w="1620" w:type="dxa"/>
            <w:shd w:val="clear" w:color="auto" w:fill="FFFFFF" w:themeFill="background1"/>
            <w:vAlign w:val="center"/>
          </w:tcPr>
          <w:p w:rsidR="00944D3B" w:rsidRPr="00944D3B" w:rsidRDefault="00944D3B" w:rsidP="00302944">
            <w:pPr>
              <w:jc w:val="center"/>
            </w:pPr>
            <w:r w:rsidRPr="00944D3B">
              <w:t>1</w:t>
            </w:r>
          </w:p>
        </w:tc>
        <w:tc>
          <w:tcPr>
            <w:tcW w:w="1620" w:type="dxa"/>
            <w:shd w:val="clear" w:color="auto" w:fill="FFFFFF" w:themeFill="background1"/>
            <w:vAlign w:val="center"/>
          </w:tcPr>
          <w:p w:rsidR="00944D3B" w:rsidRPr="00944D3B" w:rsidRDefault="00944D3B" w:rsidP="00302944">
            <w:pPr>
              <w:jc w:val="center"/>
              <w:rPr>
                <w:color w:val="000000"/>
              </w:rPr>
            </w:pPr>
            <w:r w:rsidRPr="00944D3B">
              <w:rPr>
                <w:color w:val="000000"/>
              </w:rPr>
              <w:t>30/60</w:t>
            </w:r>
          </w:p>
        </w:tc>
        <w:tc>
          <w:tcPr>
            <w:tcW w:w="1530" w:type="dxa"/>
            <w:shd w:val="clear" w:color="auto" w:fill="FFFFFF" w:themeFill="background1"/>
            <w:vAlign w:val="center"/>
          </w:tcPr>
          <w:p w:rsidR="00944D3B" w:rsidRPr="00944D3B" w:rsidRDefault="00BB5EE9" w:rsidP="00302944">
            <w:pPr>
              <w:jc w:val="center"/>
            </w:pPr>
            <w:r>
              <w:t>80</w:t>
            </w:r>
          </w:p>
        </w:tc>
      </w:tr>
      <w:tr w:rsidR="00944D3B" w:rsidRPr="005E63C6" w:rsidTr="00302944">
        <w:trPr>
          <w:trHeight w:val="696"/>
        </w:trPr>
        <w:tc>
          <w:tcPr>
            <w:tcW w:w="2070" w:type="dxa"/>
            <w:shd w:val="clear" w:color="auto" w:fill="FFFFFF" w:themeFill="background1"/>
            <w:vAlign w:val="center"/>
          </w:tcPr>
          <w:p w:rsidR="00944D3B" w:rsidRPr="00BB5EE9" w:rsidRDefault="00944D3B" w:rsidP="00302944">
            <w:pPr>
              <w:jc w:val="center"/>
            </w:pPr>
            <w:r w:rsidRPr="00BB5EE9">
              <w:t>Private Applicators</w:t>
            </w:r>
          </w:p>
        </w:tc>
        <w:tc>
          <w:tcPr>
            <w:tcW w:w="2070" w:type="dxa"/>
            <w:shd w:val="clear" w:color="auto" w:fill="FFFFFF" w:themeFill="background1"/>
            <w:vAlign w:val="center"/>
          </w:tcPr>
          <w:p w:rsidR="00944D3B" w:rsidRPr="00BB5EE9" w:rsidRDefault="00944D3B" w:rsidP="00302944">
            <w:pPr>
              <w:jc w:val="center"/>
            </w:pPr>
            <w:r w:rsidRPr="00BB5EE9">
              <w:t>BEEA Schedule Home Visit Scripts</w:t>
            </w:r>
          </w:p>
          <w:p w:rsidR="00944D3B" w:rsidRPr="00BB5EE9" w:rsidRDefault="00944D3B" w:rsidP="00302944">
            <w:pPr>
              <w:jc w:val="center"/>
            </w:pPr>
            <w:r w:rsidRPr="00BB5EE9">
              <w:t>(Attachment 10)</w:t>
            </w:r>
          </w:p>
        </w:tc>
        <w:tc>
          <w:tcPr>
            <w:tcW w:w="1800" w:type="dxa"/>
            <w:shd w:val="clear" w:color="auto" w:fill="FFFFFF" w:themeFill="background1"/>
            <w:vAlign w:val="center"/>
          </w:tcPr>
          <w:p w:rsidR="00944D3B" w:rsidRPr="00BB5EE9" w:rsidRDefault="00944D3B" w:rsidP="00302944">
            <w:pPr>
              <w:jc w:val="center"/>
            </w:pPr>
            <w:r w:rsidRPr="00BB5EE9">
              <w:t>20</w:t>
            </w:r>
          </w:p>
        </w:tc>
        <w:tc>
          <w:tcPr>
            <w:tcW w:w="1620" w:type="dxa"/>
            <w:shd w:val="clear" w:color="auto" w:fill="FFFFFF" w:themeFill="background1"/>
            <w:vAlign w:val="center"/>
          </w:tcPr>
          <w:p w:rsidR="00944D3B" w:rsidRPr="00BB5EE9" w:rsidRDefault="00944D3B" w:rsidP="00302944">
            <w:pPr>
              <w:jc w:val="center"/>
            </w:pPr>
            <w:r w:rsidRPr="00BB5EE9">
              <w:t>3</w:t>
            </w:r>
          </w:p>
        </w:tc>
        <w:tc>
          <w:tcPr>
            <w:tcW w:w="1620" w:type="dxa"/>
            <w:shd w:val="clear" w:color="auto" w:fill="FFFFFF" w:themeFill="background1"/>
            <w:vAlign w:val="center"/>
          </w:tcPr>
          <w:p w:rsidR="00944D3B" w:rsidRPr="00BB5EE9" w:rsidDel="009E04EA" w:rsidRDefault="00944D3B" w:rsidP="00302944">
            <w:pPr>
              <w:jc w:val="center"/>
            </w:pPr>
            <w:r w:rsidRPr="00BB5EE9">
              <w:t>5/60</w:t>
            </w:r>
          </w:p>
        </w:tc>
        <w:tc>
          <w:tcPr>
            <w:tcW w:w="1530" w:type="dxa"/>
            <w:shd w:val="clear" w:color="auto" w:fill="FFFFFF" w:themeFill="background1"/>
            <w:vAlign w:val="center"/>
          </w:tcPr>
          <w:p w:rsidR="00944D3B" w:rsidRPr="00BB5EE9" w:rsidRDefault="00BB5EE9" w:rsidP="00302944">
            <w:pPr>
              <w:jc w:val="center"/>
            </w:pPr>
            <w:r w:rsidRPr="00BB5EE9">
              <w:t>5</w:t>
            </w:r>
          </w:p>
        </w:tc>
      </w:tr>
      <w:tr w:rsidR="00944D3B" w:rsidRPr="005E63C6" w:rsidTr="00302944">
        <w:trPr>
          <w:trHeight w:val="696"/>
        </w:trPr>
        <w:tc>
          <w:tcPr>
            <w:tcW w:w="2070" w:type="dxa"/>
            <w:shd w:val="clear" w:color="auto" w:fill="FFFFFF" w:themeFill="background1"/>
            <w:vAlign w:val="center"/>
          </w:tcPr>
          <w:p w:rsidR="00944D3B" w:rsidRPr="00BB5EE9" w:rsidRDefault="00944D3B" w:rsidP="00302944">
            <w:pPr>
              <w:jc w:val="center"/>
            </w:pPr>
            <w:r w:rsidRPr="00BB5EE9">
              <w:t>Private Applicators</w:t>
            </w:r>
          </w:p>
        </w:tc>
        <w:tc>
          <w:tcPr>
            <w:tcW w:w="2070" w:type="dxa"/>
            <w:shd w:val="clear" w:color="auto" w:fill="FFFFFF" w:themeFill="background1"/>
            <w:vAlign w:val="center"/>
          </w:tcPr>
          <w:p w:rsidR="00944D3B" w:rsidRPr="00BB5EE9" w:rsidRDefault="00944D3B" w:rsidP="00302944">
            <w:pPr>
              <w:jc w:val="center"/>
            </w:pPr>
            <w:r w:rsidRPr="00BB5EE9">
              <w:t>BEEA Home Visit CAPI, Blood, &amp; Urine x 3</w:t>
            </w:r>
          </w:p>
          <w:p w:rsidR="00944D3B" w:rsidRPr="00BB5EE9" w:rsidRDefault="00944D3B" w:rsidP="00302944">
            <w:pPr>
              <w:jc w:val="center"/>
            </w:pPr>
            <w:r w:rsidRPr="00BB5EE9">
              <w:t>(Attachment 19)</w:t>
            </w:r>
          </w:p>
        </w:tc>
        <w:tc>
          <w:tcPr>
            <w:tcW w:w="1800" w:type="dxa"/>
            <w:shd w:val="clear" w:color="auto" w:fill="FFFFFF" w:themeFill="background1"/>
            <w:vAlign w:val="center"/>
          </w:tcPr>
          <w:p w:rsidR="00944D3B" w:rsidRPr="00BB5EE9" w:rsidRDefault="00944D3B" w:rsidP="00302944">
            <w:pPr>
              <w:jc w:val="center"/>
            </w:pPr>
            <w:r w:rsidRPr="00BB5EE9">
              <w:t>20</w:t>
            </w:r>
          </w:p>
        </w:tc>
        <w:tc>
          <w:tcPr>
            <w:tcW w:w="1620" w:type="dxa"/>
            <w:shd w:val="clear" w:color="auto" w:fill="FFFFFF" w:themeFill="background1"/>
            <w:vAlign w:val="center"/>
          </w:tcPr>
          <w:p w:rsidR="00944D3B" w:rsidRPr="00BB5EE9" w:rsidRDefault="00944D3B" w:rsidP="00302944">
            <w:pPr>
              <w:jc w:val="center"/>
            </w:pPr>
            <w:r w:rsidRPr="00BB5EE9">
              <w:t>3</w:t>
            </w:r>
          </w:p>
        </w:tc>
        <w:tc>
          <w:tcPr>
            <w:tcW w:w="1620" w:type="dxa"/>
            <w:shd w:val="clear" w:color="auto" w:fill="FFFFFF" w:themeFill="background1"/>
            <w:vAlign w:val="center"/>
          </w:tcPr>
          <w:p w:rsidR="00944D3B" w:rsidRPr="00BB5EE9" w:rsidRDefault="00944D3B" w:rsidP="00302944">
            <w:pPr>
              <w:jc w:val="center"/>
            </w:pPr>
            <w:r w:rsidRPr="00BB5EE9">
              <w:t>30/60</w:t>
            </w:r>
          </w:p>
        </w:tc>
        <w:tc>
          <w:tcPr>
            <w:tcW w:w="1530" w:type="dxa"/>
            <w:shd w:val="clear" w:color="auto" w:fill="FFFFFF" w:themeFill="background1"/>
            <w:vAlign w:val="center"/>
          </w:tcPr>
          <w:p w:rsidR="00944D3B" w:rsidRPr="00BB5EE9" w:rsidRDefault="00BB5EE9" w:rsidP="00302944">
            <w:pPr>
              <w:jc w:val="center"/>
            </w:pPr>
            <w:r w:rsidRPr="00BB5EE9">
              <w:t>3</w:t>
            </w:r>
            <w:r w:rsidR="00944D3B" w:rsidRPr="00BB5EE9">
              <w:t>0</w:t>
            </w:r>
          </w:p>
        </w:tc>
      </w:tr>
      <w:tr w:rsidR="00944D3B" w:rsidRPr="005E63C6" w:rsidTr="00302944">
        <w:trPr>
          <w:trHeight w:val="696"/>
        </w:trPr>
        <w:tc>
          <w:tcPr>
            <w:tcW w:w="2070" w:type="dxa"/>
            <w:shd w:val="clear" w:color="auto" w:fill="FFFFFF" w:themeFill="background1"/>
            <w:vAlign w:val="center"/>
          </w:tcPr>
          <w:p w:rsidR="00944D3B" w:rsidRPr="0089372D" w:rsidRDefault="00944D3B" w:rsidP="00302944">
            <w:pPr>
              <w:jc w:val="center"/>
              <w:rPr>
                <w:highlight w:val="yellow"/>
              </w:rPr>
            </w:pPr>
            <w:r w:rsidRPr="0089372D">
              <w:rPr>
                <w:highlight w:val="yellow"/>
              </w:rPr>
              <w:t>Private Applicators</w:t>
            </w:r>
          </w:p>
        </w:tc>
        <w:tc>
          <w:tcPr>
            <w:tcW w:w="2070" w:type="dxa"/>
            <w:shd w:val="clear" w:color="auto" w:fill="FFFFFF" w:themeFill="background1"/>
            <w:vAlign w:val="center"/>
          </w:tcPr>
          <w:p w:rsidR="00944D3B" w:rsidRPr="0089372D" w:rsidRDefault="00944D3B" w:rsidP="00302944">
            <w:pPr>
              <w:jc w:val="center"/>
              <w:rPr>
                <w:highlight w:val="yellow"/>
              </w:rPr>
            </w:pPr>
            <w:r w:rsidRPr="0089372D">
              <w:rPr>
                <w:highlight w:val="yellow"/>
              </w:rPr>
              <w:t>Paper/pen, CAWI or CATI</w:t>
            </w:r>
          </w:p>
          <w:p w:rsidR="00944D3B" w:rsidRPr="0089372D" w:rsidRDefault="00944D3B" w:rsidP="00302944">
            <w:pPr>
              <w:jc w:val="center"/>
              <w:rPr>
                <w:highlight w:val="yellow"/>
              </w:rPr>
            </w:pPr>
            <w:r w:rsidRPr="0089372D">
              <w:rPr>
                <w:highlight w:val="yellow"/>
              </w:rPr>
              <w:t>(Attachment 25)</w:t>
            </w:r>
          </w:p>
        </w:tc>
        <w:tc>
          <w:tcPr>
            <w:tcW w:w="1800" w:type="dxa"/>
            <w:shd w:val="clear" w:color="auto" w:fill="FFFFFF" w:themeFill="background1"/>
            <w:vAlign w:val="center"/>
          </w:tcPr>
          <w:p w:rsidR="00944D3B" w:rsidRPr="0089372D" w:rsidDel="00833B3C" w:rsidRDefault="00944D3B" w:rsidP="00302944">
            <w:pPr>
              <w:jc w:val="center"/>
              <w:rPr>
                <w:highlight w:val="yellow"/>
              </w:rPr>
            </w:pPr>
            <w:r w:rsidRPr="0089372D">
              <w:rPr>
                <w:highlight w:val="yellow"/>
              </w:rPr>
              <w:t>13,855</w:t>
            </w:r>
          </w:p>
        </w:tc>
        <w:tc>
          <w:tcPr>
            <w:tcW w:w="1620" w:type="dxa"/>
            <w:shd w:val="clear" w:color="auto" w:fill="FFFFFF" w:themeFill="background1"/>
            <w:vAlign w:val="center"/>
          </w:tcPr>
          <w:p w:rsidR="00944D3B" w:rsidRPr="0089372D" w:rsidRDefault="00944D3B" w:rsidP="00302944">
            <w:pPr>
              <w:jc w:val="center"/>
              <w:rPr>
                <w:highlight w:val="yellow"/>
              </w:rPr>
            </w:pPr>
            <w:r w:rsidRPr="0089372D">
              <w:rPr>
                <w:highlight w:val="yellow"/>
              </w:rPr>
              <w:t>1</w:t>
            </w:r>
          </w:p>
        </w:tc>
        <w:tc>
          <w:tcPr>
            <w:tcW w:w="1620" w:type="dxa"/>
            <w:shd w:val="clear" w:color="auto" w:fill="FFFFFF" w:themeFill="background1"/>
            <w:vAlign w:val="center"/>
          </w:tcPr>
          <w:p w:rsidR="00944D3B" w:rsidRPr="0089372D" w:rsidRDefault="00944D3B" w:rsidP="00302944">
            <w:pPr>
              <w:jc w:val="center"/>
              <w:rPr>
                <w:highlight w:val="yellow"/>
              </w:rPr>
            </w:pPr>
            <w:r w:rsidRPr="0089372D">
              <w:rPr>
                <w:highlight w:val="yellow"/>
              </w:rPr>
              <w:t>25/60</w:t>
            </w:r>
          </w:p>
        </w:tc>
        <w:tc>
          <w:tcPr>
            <w:tcW w:w="1530" w:type="dxa"/>
            <w:shd w:val="clear" w:color="auto" w:fill="FFFFFF" w:themeFill="background1"/>
            <w:vAlign w:val="center"/>
          </w:tcPr>
          <w:p w:rsidR="00944D3B" w:rsidRPr="0089372D" w:rsidDel="00822202" w:rsidRDefault="00944D3B" w:rsidP="00302944">
            <w:pPr>
              <w:jc w:val="center"/>
              <w:rPr>
                <w:highlight w:val="yellow"/>
              </w:rPr>
            </w:pPr>
            <w:r w:rsidRPr="0089372D">
              <w:rPr>
                <w:highlight w:val="yellow"/>
              </w:rPr>
              <w:t>5,77</w:t>
            </w:r>
            <w:r w:rsidR="00C65BF6">
              <w:rPr>
                <w:highlight w:val="yellow"/>
              </w:rPr>
              <w:t>3</w:t>
            </w:r>
          </w:p>
        </w:tc>
      </w:tr>
      <w:tr w:rsidR="00944D3B" w:rsidRPr="005E63C6" w:rsidTr="00302944">
        <w:trPr>
          <w:trHeight w:val="696"/>
        </w:trPr>
        <w:tc>
          <w:tcPr>
            <w:tcW w:w="2070" w:type="dxa"/>
            <w:shd w:val="clear" w:color="auto" w:fill="FFFFFF" w:themeFill="background1"/>
            <w:vAlign w:val="center"/>
          </w:tcPr>
          <w:p w:rsidR="00944D3B" w:rsidRPr="0089372D" w:rsidRDefault="00944D3B" w:rsidP="00302944">
            <w:pPr>
              <w:jc w:val="center"/>
              <w:rPr>
                <w:highlight w:val="yellow"/>
              </w:rPr>
            </w:pPr>
            <w:r w:rsidRPr="0089372D">
              <w:rPr>
                <w:highlight w:val="yellow"/>
              </w:rPr>
              <w:t>Spouses</w:t>
            </w:r>
          </w:p>
        </w:tc>
        <w:tc>
          <w:tcPr>
            <w:tcW w:w="2070" w:type="dxa"/>
            <w:shd w:val="clear" w:color="auto" w:fill="FFFFFF" w:themeFill="background1"/>
            <w:vAlign w:val="center"/>
          </w:tcPr>
          <w:p w:rsidR="00944D3B" w:rsidRPr="0089372D" w:rsidRDefault="00944D3B" w:rsidP="00302944">
            <w:pPr>
              <w:jc w:val="center"/>
              <w:rPr>
                <w:highlight w:val="yellow"/>
              </w:rPr>
            </w:pPr>
            <w:r w:rsidRPr="0089372D">
              <w:rPr>
                <w:highlight w:val="yellow"/>
              </w:rPr>
              <w:t>Paper/pen, CAWI or CATI</w:t>
            </w:r>
          </w:p>
          <w:p w:rsidR="00944D3B" w:rsidRPr="0089372D" w:rsidRDefault="00944D3B" w:rsidP="00302944">
            <w:pPr>
              <w:jc w:val="center"/>
              <w:rPr>
                <w:highlight w:val="yellow"/>
              </w:rPr>
            </w:pPr>
            <w:r w:rsidRPr="0089372D">
              <w:rPr>
                <w:highlight w:val="yellow"/>
              </w:rPr>
              <w:t>(Attachment 25)</w:t>
            </w:r>
          </w:p>
        </w:tc>
        <w:tc>
          <w:tcPr>
            <w:tcW w:w="1800" w:type="dxa"/>
            <w:shd w:val="clear" w:color="auto" w:fill="FFFFFF" w:themeFill="background1"/>
            <w:vAlign w:val="center"/>
          </w:tcPr>
          <w:p w:rsidR="00944D3B" w:rsidRPr="0089372D" w:rsidDel="00833B3C" w:rsidRDefault="00944D3B" w:rsidP="00302944">
            <w:pPr>
              <w:jc w:val="center"/>
              <w:rPr>
                <w:highlight w:val="yellow"/>
              </w:rPr>
            </w:pPr>
            <w:r w:rsidRPr="0089372D">
              <w:rPr>
                <w:highlight w:val="yellow"/>
              </w:rPr>
              <w:t>10,201</w:t>
            </w:r>
          </w:p>
        </w:tc>
        <w:tc>
          <w:tcPr>
            <w:tcW w:w="1620" w:type="dxa"/>
            <w:shd w:val="clear" w:color="auto" w:fill="FFFFFF" w:themeFill="background1"/>
            <w:vAlign w:val="center"/>
          </w:tcPr>
          <w:p w:rsidR="00944D3B" w:rsidRPr="0089372D" w:rsidRDefault="00944D3B" w:rsidP="00302944">
            <w:pPr>
              <w:jc w:val="center"/>
              <w:rPr>
                <w:highlight w:val="yellow"/>
              </w:rPr>
            </w:pPr>
            <w:r w:rsidRPr="0089372D">
              <w:rPr>
                <w:highlight w:val="yellow"/>
              </w:rPr>
              <w:t>1</w:t>
            </w:r>
          </w:p>
        </w:tc>
        <w:tc>
          <w:tcPr>
            <w:tcW w:w="1620" w:type="dxa"/>
            <w:shd w:val="clear" w:color="auto" w:fill="FFFFFF" w:themeFill="background1"/>
            <w:vAlign w:val="center"/>
          </w:tcPr>
          <w:p w:rsidR="00944D3B" w:rsidRPr="0089372D" w:rsidRDefault="00944D3B" w:rsidP="00302944">
            <w:pPr>
              <w:jc w:val="center"/>
              <w:rPr>
                <w:highlight w:val="yellow"/>
              </w:rPr>
            </w:pPr>
            <w:r w:rsidRPr="0089372D">
              <w:rPr>
                <w:highlight w:val="yellow"/>
              </w:rPr>
              <w:t>25/60</w:t>
            </w:r>
          </w:p>
        </w:tc>
        <w:tc>
          <w:tcPr>
            <w:tcW w:w="1530" w:type="dxa"/>
            <w:shd w:val="clear" w:color="auto" w:fill="FFFFFF" w:themeFill="background1"/>
            <w:vAlign w:val="center"/>
          </w:tcPr>
          <w:p w:rsidR="00944D3B" w:rsidRPr="0089372D" w:rsidDel="00822202" w:rsidRDefault="00944D3B" w:rsidP="00302944">
            <w:pPr>
              <w:jc w:val="center"/>
              <w:rPr>
                <w:highlight w:val="yellow"/>
              </w:rPr>
            </w:pPr>
            <w:r w:rsidRPr="0089372D">
              <w:rPr>
                <w:highlight w:val="yellow"/>
              </w:rPr>
              <w:t>4,25</w:t>
            </w:r>
            <w:r w:rsidR="00C65BF6">
              <w:rPr>
                <w:highlight w:val="yellow"/>
              </w:rPr>
              <w:t>0</w:t>
            </w:r>
          </w:p>
        </w:tc>
      </w:tr>
      <w:tr w:rsidR="00944D3B" w:rsidRPr="005E63C6" w:rsidTr="00302944">
        <w:trPr>
          <w:trHeight w:val="696"/>
        </w:trPr>
        <w:tc>
          <w:tcPr>
            <w:tcW w:w="2070" w:type="dxa"/>
            <w:shd w:val="clear" w:color="auto" w:fill="FFFFFF" w:themeFill="background1"/>
            <w:vAlign w:val="center"/>
          </w:tcPr>
          <w:p w:rsidR="00944D3B" w:rsidRPr="0089372D" w:rsidRDefault="00944D3B" w:rsidP="00302944">
            <w:pPr>
              <w:jc w:val="center"/>
              <w:rPr>
                <w:highlight w:val="yellow"/>
              </w:rPr>
            </w:pPr>
            <w:r w:rsidRPr="0089372D">
              <w:rPr>
                <w:highlight w:val="yellow"/>
              </w:rPr>
              <w:t>Proxy</w:t>
            </w:r>
          </w:p>
        </w:tc>
        <w:tc>
          <w:tcPr>
            <w:tcW w:w="2070" w:type="dxa"/>
            <w:shd w:val="clear" w:color="auto" w:fill="FFFFFF" w:themeFill="background1"/>
            <w:vAlign w:val="center"/>
          </w:tcPr>
          <w:p w:rsidR="00944D3B" w:rsidRPr="0089372D" w:rsidRDefault="00944D3B" w:rsidP="00302944">
            <w:pPr>
              <w:jc w:val="center"/>
              <w:rPr>
                <w:highlight w:val="yellow"/>
              </w:rPr>
            </w:pPr>
            <w:r w:rsidRPr="0089372D">
              <w:rPr>
                <w:highlight w:val="yellow"/>
              </w:rPr>
              <w:t>Paper/pen, CAWI or CATI</w:t>
            </w:r>
          </w:p>
          <w:p w:rsidR="00944D3B" w:rsidRPr="0089372D" w:rsidRDefault="00944D3B" w:rsidP="00302944">
            <w:pPr>
              <w:jc w:val="center"/>
              <w:rPr>
                <w:highlight w:val="yellow"/>
              </w:rPr>
            </w:pPr>
            <w:r w:rsidRPr="0089372D">
              <w:rPr>
                <w:highlight w:val="yellow"/>
              </w:rPr>
              <w:t>(Attachment 26)</w:t>
            </w:r>
          </w:p>
        </w:tc>
        <w:tc>
          <w:tcPr>
            <w:tcW w:w="1800" w:type="dxa"/>
            <w:shd w:val="clear" w:color="auto" w:fill="FFFFFF" w:themeFill="background1"/>
            <w:vAlign w:val="center"/>
          </w:tcPr>
          <w:p w:rsidR="00944D3B" w:rsidRPr="0089372D" w:rsidDel="00833B3C" w:rsidRDefault="00944D3B" w:rsidP="00302944">
            <w:pPr>
              <w:jc w:val="center"/>
              <w:rPr>
                <w:highlight w:val="yellow"/>
              </w:rPr>
            </w:pPr>
            <w:r w:rsidRPr="0089372D">
              <w:rPr>
                <w:highlight w:val="yellow"/>
              </w:rPr>
              <w:t>635</w:t>
            </w:r>
          </w:p>
        </w:tc>
        <w:tc>
          <w:tcPr>
            <w:tcW w:w="1620" w:type="dxa"/>
            <w:shd w:val="clear" w:color="auto" w:fill="FFFFFF" w:themeFill="background1"/>
            <w:vAlign w:val="center"/>
          </w:tcPr>
          <w:p w:rsidR="00944D3B" w:rsidRPr="0089372D" w:rsidRDefault="00944D3B" w:rsidP="00302944">
            <w:pPr>
              <w:jc w:val="center"/>
              <w:rPr>
                <w:highlight w:val="yellow"/>
              </w:rPr>
            </w:pPr>
            <w:r w:rsidRPr="0089372D">
              <w:rPr>
                <w:highlight w:val="yellow"/>
              </w:rPr>
              <w:t>1</w:t>
            </w:r>
          </w:p>
        </w:tc>
        <w:tc>
          <w:tcPr>
            <w:tcW w:w="1620" w:type="dxa"/>
            <w:shd w:val="clear" w:color="auto" w:fill="FFFFFF" w:themeFill="background1"/>
            <w:vAlign w:val="center"/>
          </w:tcPr>
          <w:p w:rsidR="00944D3B" w:rsidRPr="0089372D" w:rsidRDefault="00944D3B" w:rsidP="00302944">
            <w:pPr>
              <w:jc w:val="center"/>
              <w:rPr>
                <w:highlight w:val="yellow"/>
              </w:rPr>
            </w:pPr>
            <w:r w:rsidRPr="0089372D">
              <w:rPr>
                <w:highlight w:val="yellow"/>
              </w:rPr>
              <w:t>15/60</w:t>
            </w:r>
          </w:p>
        </w:tc>
        <w:tc>
          <w:tcPr>
            <w:tcW w:w="1530" w:type="dxa"/>
            <w:shd w:val="clear" w:color="auto" w:fill="FFFFFF" w:themeFill="background1"/>
            <w:vAlign w:val="center"/>
          </w:tcPr>
          <w:p w:rsidR="00944D3B" w:rsidRPr="0089372D" w:rsidDel="00822202" w:rsidRDefault="00944D3B" w:rsidP="00302944">
            <w:pPr>
              <w:jc w:val="center"/>
              <w:rPr>
                <w:highlight w:val="yellow"/>
              </w:rPr>
            </w:pPr>
            <w:r w:rsidRPr="0089372D">
              <w:rPr>
                <w:highlight w:val="yellow"/>
              </w:rPr>
              <w:t>159</w:t>
            </w:r>
          </w:p>
        </w:tc>
      </w:tr>
      <w:tr w:rsidR="00944D3B" w:rsidRPr="005E63C6" w:rsidTr="00061354">
        <w:trPr>
          <w:trHeight w:val="375"/>
        </w:trPr>
        <w:tc>
          <w:tcPr>
            <w:tcW w:w="2070" w:type="dxa"/>
            <w:tcBorders>
              <w:top w:val="double" w:sz="4" w:space="0" w:color="auto"/>
              <w:left w:val="single" w:sz="6" w:space="0" w:color="000000"/>
              <w:bottom w:val="single" w:sz="6" w:space="0" w:color="000000"/>
              <w:right w:val="single" w:sz="6" w:space="0" w:color="000000"/>
            </w:tcBorders>
            <w:shd w:val="clear" w:color="auto" w:fill="FFFFFF" w:themeFill="background1"/>
            <w:vAlign w:val="center"/>
          </w:tcPr>
          <w:p w:rsidR="00944D3B" w:rsidRPr="00BB5EE9" w:rsidRDefault="00944D3B" w:rsidP="00BB5EE9">
            <w:pPr>
              <w:jc w:val="center"/>
            </w:pPr>
            <w:r w:rsidRPr="00BB5EE9">
              <w:t>Total</w:t>
            </w:r>
          </w:p>
        </w:tc>
        <w:tc>
          <w:tcPr>
            <w:tcW w:w="2070" w:type="dxa"/>
            <w:tcBorders>
              <w:top w:val="double" w:sz="4" w:space="0" w:color="auto"/>
              <w:left w:val="single" w:sz="6" w:space="0" w:color="000000"/>
              <w:bottom w:val="single" w:sz="6" w:space="0" w:color="000000"/>
              <w:right w:val="single" w:sz="6" w:space="0" w:color="000000"/>
            </w:tcBorders>
            <w:shd w:val="clear" w:color="auto" w:fill="FFFFFF" w:themeFill="background1"/>
            <w:vAlign w:val="center"/>
          </w:tcPr>
          <w:p w:rsidR="00944D3B" w:rsidRPr="00BB5EE9" w:rsidDel="00E467C3" w:rsidRDefault="00944D3B" w:rsidP="00BB5EE9">
            <w:pPr>
              <w:jc w:val="center"/>
            </w:pPr>
          </w:p>
        </w:tc>
        <w:tc>
          <w:tcPr>
            <w:tcW w:w="1800" w:type="dxa"/>
            <w:tcBorders>
              <w:top w:val="double" w:sz="4" w:space="0" w:color="auto"/>
              <w:left w:val="single" w:sz="6" w:space="0" w:color="000000"/>
              <w:bottom w:val="single" w:sz="6" w:space="0" w:color="000000"/>
              <w:right w:val="single" w:sz="6" w:space="0" w:color="000000"/>
            </w:tcBorders>
            <w:shd w:val="clear" w:color="auto" w:fill="FFFFFF" w:themeFill="background1"/>
            <w:vAlign w:val="center"/>
          </w:tcPr>
          <w:p w:rsidR="00944D3B" w:rsidRPr="00BB5EE9" w:rsidDel="00E467C3" w:rsidRDefault="00944D3B" w:rsidP="00BB5EE9">
            <w:pPr>
              <w:jc w:val="center"/>
            </w:pPr>
          </w:p>
        </w:tc>
        <w:tc>
          <w:tcPr>
            <w:tcW w:w="3240" w:type="dxa"/>
            <w:gridSpan w:val="2"/>
            <w:tcBorders>
              <w:top w:val="double" w:sz="4" w:space="0" w:color="auto"/>
              <w:left w:val="single" w:sz="6" w:space="0" w:color="000000"/>
              <w:bottom w:val="single" w:sz="6" w:space="0" w:color="000000"/>
              <w:right w:val="single" w:sz="6" w:space="0" w:color="000000"/>
            </w:tcBorders>
            <w:shd w:val="clear" w:color="auto" w:fill="FFFFFF" w:themeFill="background1"/>
            <w:vAlign w:val="center"/>
          </w:tcPr>
          <w:p w:rsidR="00944D3B" w:rsidRPr="00BB5EE9" w:rsidRDefault="00944D3B" w:rsidP="00BB5EE9">
            <w:pPr>
              <w:jc w:val="center"/>
            </w:pPr>
          </w:p>
        </w:tc>
        <w:tc>
          <w:tcPr>
            <w:tcW w:w="1530" w:type="dxa"/>
            <w:tcBorders>
              <w:top w:val="double" w:sz="4" w:space="0" w:color="auto"/>
              <w:left w:val="single" w:sz="6" w:space="0" w:color="000000"/>
              <w:bottom w:val="single" w:sz="6" w:space="0" w:color="000000"/>
              <w:right w:val="single" w:sz="6" w:space="0" w:color="000000"/>
            </w:tcBorders>
            <w:shd w:val="clear" w:color="auto" w:fill="FFFFFF" w:themeFill="background1"/>
            <w:vAlign w:val="center"/>
          </w:tcPr>
          <w:p w:rsidR="00944D3B" w:rsidRPr="00BB5EE9" w:rsidRDefault="00944D3B" w:rsidP="00BB5EE9">
            <w:pPr>
              <w:jc w:val="center"/>
            </w:pPr>
            <w:r w:rsidRPr="0089372D">
              <w:rPr>
                <w:highlight w:val="yellow"/>
              </w:rPr>
              <w:t>10,4</w:t>
            </w:r>
            <w:r w:rsidR="00BB5EE9" w:rsidRPr="0089372D">
              <w:rPr>
                <w:highlight w:val="yellow"/>
              </w:rPr>
              <w:t>65</w:t>
            </w:r>
          </w:p>
        </w:tc>
      </w:tr>
    </w:tbl>
    <w:p w:rsidR="00B84493" w:rsidRDefault="00B84493" w:rsidP="00B84493"/>
    <w:p w:rsidR="00BB5EE9" w:rsidRPr="00DB7536" w:rsidRDefault="00BB5EE9" w:rsidP="00BB5EE9">
      <w:pPr>
        <w:spacing w:line="480" w:lineRule="auto"/>
        <w:rPr>
          <w:snapToGrid w:val="0"/>
          <w:sz w:val="24"/>
        </w:rPr>
      </w:pPr>
      <w:r w:rsidRPr="00DB7536">
        <w:rPr>
          <w:sz w:val="22"/>
          <w:szCs w:val="22"/>
          <w:highlight w:val="yellow"/>
        </w:rPr>
        <w:t xml:space="preserve">Note:  The </w:t>
      </w:r>
      <w:proofErr w:type="gramStart"/>
      <w:r w:rsidRPr="00DB7536">
        <w:rPr>
          <w:sz w:val="22"/>
          <w:szCs w:val="22"/>
          <w:highlight w:val="yellow"/>
        </w:rPr>
        <w:t>time to collect the biological samples are</w:t>
      </w:r>
      <w:proofErr w:type="gramEnd"/>
      <w:r w:rsidRPr="00DB7536">
        <w:rPr>
          <w:sz w:val="22"/>
          <w:szCs w:val="22"/>
          <w:highlight w:val="yellow"/>
        </w:rPr>
        <w:t xml:space="preserve"> included in the burden calculation in Table A.12-1.</w:t>
      </w:r>
    </w:p>
    <w:p w:rsidR="000A5A96" w:rsidRDefault="000A5A96" w:rsidP="000A5A96">
      <w:pPr>
        <w:pStyle w:val="FootnoteText"/>
      </w:pPr>
    </w:p>
    <w:p w:rsidR="00425BF2" w:rsidRDefault="00425BF2" w:rsidP="000A5A96">
      <w:pPr>
        <w:pStyle w:val="FootnoteText"/>
      </w:pPr>
    </w:p>
    <w:p w:rsidR="000A5A96" w:rsidRDefault="000A5A96" w:rsidP="000A5A96">
      <w:pPr>
        <w:rPr>
          <w:sz w:val="22"/>
          <w:szCs w:val="22"/>
          <w:highlight w:val="red"/>
        </w:rPr>
      </w:pPr>
    </w:p>
    <w:p w:rsidR="0089372D" w:rsidRDefault="0089372D" w:rsidP="000A5A96">
      <w:pPr>
        <w:rPr>
          <w:sz w:val="22"/>
          <w:szCs w:val="22"/>
          <w:highlight w:val="red"/>
        </w:rPr>
      </w:pPr>
    </w:p>
    <w:p w:rsidR="0089372D" w:rsidRDefault="0089372D" w:rsidP="000A5A96">
      <w:pPr>
        <w:rPr>
          <w:sz w:val="22"/>
          <w:szCs w:val="22"/>
          <w:highlight w:val="red"/>
        </w:rPr>
      </w:pPr>
    </w:p>
    <w:p w:rsidR="0089372D" w:rsidRDefault="0089372D" w:rsidP="000A5A96">
      <w:pPr>
        <w:rPr>
          <w:sz w:val="22"/>
          <w:szCs w:val="22"/>
          <w:highlight w:val="red"/>
        </w:rPr>
      </w:pPr>
    </w:p>
    <w:p w:rsidR="0089372D" w:rsidRDefault="0089372D" w:rsidP="000A5A96">
      <w:pPr>
        <w:rPr>
          <w:sz w:val="22"/>
          <w:szCs w:val="22"/>
          <w:highlight w:val="red"/>
        </w:rPr>
      </w:pPr>
    </w:p>
    <w:p w:rsidR="0089372D" w:rsidRDefault="0089372D" w:rsidP="000A5A96">
      <w:pPr>
        <w:rPr>
          <w:sz w:val="22"/>
          <w:szCs w:val="22"/>
          <w:highlight w:val="red"/>
        </w:rPr>
      </w:pPr>
    </w:p>
    <w:p w:rsidR="0089372D" w:rsidRDefault="0089372D" w:rsidP="000A5A96">
      <w:pPr>
        <w:rPr>
          <w:sz w:val="22"/>
          <w:szCs w:val="22"/>
          <w:highlight w:val="red"/>
        </w:rPr>
      </w:pPr>
    </w:p>
    <w:p w:rsidR="0089372D" w:rsidRDefault="0089372D" w:rsidP="000A5A96">
      <w:pPr>
        <w:rPr>
          <w:sz w:val="22"/>
          <w:szCs w:val="22"/>
          <w:highlight w:val="red"/>
        </w:rPr>
      </w:pPr>
    </w:p>
    <w:p w:rsidR="0089372D" w:rsidRDefault="0089372D" w:rsidP="000A5A96">
      <w:pPr>
        <w:rPr>
          <w:sz w:val="22"/>
          <w:szCs w:val="22"/>
          <w:highlight w:val="red"/>
        </w:rPr>
      </w:pPr>
    </w:p>
    <w:p w:rsidR="0089372D" w:rsidRDefault="0089372D" w:rsidP="000A5A96">
      <w:pPr>
        <w:rPr>
          <w:sz w:val="22"/>
          <w:szCs w:val="22"/>
          <w:highlight w:val="red"/>
        </w:rPr>
      </w:pPr>
    </w:p>
    <w:p w:rsidR="0089372D" w:rsidRDefault="0089372D" w:rsidP="000A5A96">
      <w:pPr>
        <w:rPr>
          <w:sz w:val="22"/>
          <w:szCs w:val="22"/>
          <w:highlight w:val="red"/>
        </w:rPr>
      </w:pPr>
    </w:p>
    <w:p w:rsidR="0089372D" w:rsidRPr="00CB7F48" w:rsidRDefault="0089372D" w:rsidP="000A5A96">
      <w:pPr>
        <w:rPr>
          <w:sz w:val="22"/>
          <w:szCs w:val="22"/>
          <w:highlight w:val="red"/>
        </w:rPr>
      </w:pPr>
    </w:p>
    <w:p w:rsidR="0033296D" w:rsidRDefault="0033296D" w:rsidP="00B84493"/>
    <w:tbl>
      <w:tblPr>
        <w:tblW w:w="10170"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Look w:val="00A0" w:firstRow="1" w:lastRow="0" w:firstColumn="1" w:lastColumn="0" w:noHBand="0" w:noVBand="0"/>
      </w:tblPr>
      <w:tblGrid>
        <w:gridCol w:w="2160"/>
        <w:gridCol w:w="2520"/>
        <w:gridCol w:w="1800"/>
        <w:gridCol w:w="1710"/>
        <w:gridCol w:w="1980"/>
      </w:tblGrid>
      <w:tr w:rsidR="00E77DAF" w:rsidRPr="005E63C6" w:rsidTr="0006736C">
        <w:trPr>
          <w:trHeight w:val="435"/>
        </w:trPr>
        <w:tc>
          <w:tcPr>
            <w:tcW w:w="10170" w:type="dxa"/>
            <w:gridSpan w:val="5"/>
            <w:shd w:val="clear" w:color="auto" w:fill="FFFFFF" w:themeFill="background1"/>
            <w:vAlign w:val="center"/>
          </w:tcPr>
          <w:p w:rsidR="00E77DAF" w:rsidRPr="005E63C6" w:rsidRDefault="00E77DAF" w:rsidP="0033296D">
            <w:pPr>
              <w:rPr>
                <w:b/>
                <w:sz w:val="22"/>
                <w:szCs w:val="22"/>
              </w:rPr>
            </w:pPr>
            <w:r>
              <w:rPr>
                <w:b/>
                <w:bCs/>
                <w:sz w:val="22"/>
                <w:szCs w:val="22"/>
              </w:rPr>
              <w:lastRenderedPageBreak/>
              <w:t>Table A.12-2</w:t>
            </w:r>
            <w:r w:rsidRPr="005E63C6">
              <w:rPr>
                <w:b/>
                <w:bCs/>
                <w:sz w:val="22"/>
                <w:szCs w:val="22"/>
              </w:rPr>
              <w:t xml:space="preserve">  </w:t>
            </w:r>
            <w:r w:rsidRPr="005E63C6">
              <w:rPr>
                <w:b/>
                <w:sz w:val="22"/>
                <w:szCs w:val="22"/>
              </w:rPr>
              <w:t>ESTIMATES OF ANNUAL</w:t>
            </w:r>
            <w:r>
              <w:rPr>
                <w:b/>
                <w:sz w:val="22"/>
                <w:szCs w:val="22"/>
              </w:rPr>
              <w:t>IZED</w:t>
            </w:r>
            <w:r w:rsidRPr="005E63C6">
              <w:rPr>
                <w:b/>
                <w:sz w:val="22"/>
                <w:szCs w:val="22"/>
              </w:rPr>
              <w:t xml:space="preserve"> BURDEN HOURS</w:t>
            </w:r>
          </w:p>
        </w:tc>
      </w:tr>
      <w:tr w:rsidR="00E77DAF" w:rsidRPr="005E63C6" w:rsidTr="0006736C">
        <w:trPr>
          <w:trHeight w:val="957"/>
        </w:trPr>
        <w:tc>
          <w:tcPr>
            <w:tcW w:w="2160" w:type="dxa"/>
            <w:shd w:val="clear" w:color="auto" w:fill="FFFFFF" w:themeFill="background1"/>
            <w:vAlign w:val="center"/>
          </w:tcPr>
          <w:p w:rsidR="00E77DAF" w:rsidRPr="005E63C6" w:rsidRDefault="00E77DAF" w:rsidP="0033296D">
            <w:pPr>
              <w:jc w:val="center"/>
              <w:rPr>
                <w:b/>
                <w:sz w:val="22"/>
                <w:szCs w:val="22"/>
              </w:rPr>
            </w:pPr>
            <w:r w:rsidRPr="005E63C6">
              <w:rPr>
                <w:b/>
                <w:sz w:val="22"/>
                <w:szCs w:val="22"/>
              </w:rPr>
              <w:t>Type of Respondent</w:t>
            </w:r>
          </w:p>
        </w:tc>
        <w:tc>
          <w:tcPr>
            <w:tcW w:w="2520" w:type="dxa"/>
            <w:shd w:val="clear" w:color="auto" w:fill="FFFFFF" w:themeFill="background1"/>
            <w:vAlign w:val="center"/>
          </w:tcPr>
          <w:p w:rsidR="00E77DAF" w:rsidRPr="005E63C6" w:rsidRDefault="00E77DAF" w:rsidP="0033296D">
            <w:pPr>
              <w:jc w:val="center"/>
              <w:rPr>
                <w:b/>
                <w:sz w:val="22"/>
                <w:szCs w:val="22"/>
              </w:rPr>
            </w:pPr>
            <w:r w:rsidRPr="005E63C6">
              <w:rPr>
                <w:b/>
                <w:sz w:val="22"/>
                <w:szCs w:val="22"/>
              </w:rPr>
              <w:t>Instrument</w:t>
            </w:r>
          </w:p>
        </w:tc>
        <w:tc>
          <w:tcPr>
            <w:tcW w:w="1800" w:type="dxa"/>
            <w:shd w:val="clear" w:color="auto" w:fill="FFFFFF" w:themeFill="background1"/>
            <w:vAlign w:val="center"/>
          </w:tcPr>
          <w:p w:rsidR="00E77DAF" w:rsidRPr="005E63C6" w:rsidRDefault="00E77DAF" w:rsidP="0033296D">
            <w:pPr>
              <w:jc w:val="center"/>
              <w:rPr>
                <w:b/>
                <w:sz w:val="22"/>
                <w:szCs w:val="22"/>
              </w:rPr>
            </w:pPr>
            <w:r>
              <w:rPr>
                <w:b/>
                <w:sz w:val="22"/>
                <w:szCs w:val="22"/>
              </w:rPr>
              <w:t xml:space="preserve">Total </w:t>
            </w:r>
            <w:r w:rsidRPr="005E63C6">
              <w:rPr>
                <w:b/>
                <w:sz w:val="22"/>
                <w:szCs w:val="22"/>
              </w:rPr>
              <w:t>Annual Burden Hours</w:t>
            </w:r>
          </w:p>
        </w:tc>
        <w:tc>
          <w:tcPr>
            <w:tcW w:w="1710" w:type="dxa"/>
            <w:shd w:val="clear" w:color="auto" w:fill="FFFFFF" w:themeFill="background1"/>
            <w:vAlign w:val="center"/>
          </w:tcPr>
          <w:p w:rsidR="00E77DAF" w:rsidRPr="005E63C6" w:rsidRDefault="00E77DAF" w:rsidP="0033296D">
            <w:pPr>
              <w:jc w:val="center"/>
              <w:rPr>
                <w:b/>
                <w:sz w:val="22"/>
                <w:szCs w:val="22"/>
              </w:rPr>
            </w:pPr>
            <w:r>
              <w:rPr>
                <w:b/>
                <w:sz w:val="22"/>
                <w:szCs w:val="22"/>
              </w:rPr>
              <w:t>Hourly Wage Rate</w:t>
            </w:r>
          </w:p>
        </w:tc>
        <w:tc>
          <w:tcPr>
            <w:tcW w:w="1980" w:type="dxa"/>
            <w:shd w:val="clear" w:color="auto" w:fill="FFFFFF" w:themeFill="background1"/>
            <w:vAlign w:val="center"/>
          </w:tcPr>
          <w:p w:rsidR="00E77DAF" w:rsidRPr="005E63C6" w:rsidRDefault="00E77DAF" w:rsidP="0033296D">
            <w:pPr>
              <w:jc w:val="center"/>
              <w:rPr>
                <w:b/>
                <w:sz w:val="22"/>
                <w:szCs w:val="22"/>
              </w:rPr>
            </w:pPr>
            <w:r>
              <w:rPr>
                <w:b/>
                <w:sz w:val="22"/>
                <w:szCs w:val="22"/>
              </w:rPr>
              <w:t>Total Respondent Costs</w:t>
            </w:r>
          </w:p>
        </w:tc>
      </w:tr>
      <w:tr w:rsidR="00D83824" w:rsidRPr="005E63C6" w:rsidTr="0006736C">
        <w:trPr>
          <w:trHeight w:val="678"/>
        </w:trPr>
        <w:tc>
          <w:tcPr>
            <w:tcW w:w="2160" w:type="dxa"/>
            <w:shd w:val="clear" w:color="auto" w:fill="FFFFFF" w:themeFill="background1"/>
            <w:vAlign w:val="center"/>
          </w:tcPr>
          <w:p w:rsidR="00D83824" w:rsidRPr="006D3CF2" w:rsidRDefault="00D83824" w:rsidP="004E59C2">
            <w:pPr>
              <w:jc w:val="center"/>
            </w:pPr>
            <w:r w:rsidRPr="006D3CF2">
              <w:t>Private and Commercial Applicators and Spouses</w:t>
            </w:r>
          </w:p>
        </w:tc>
        <w:tc>
          <w:tcPr>
            <w:tcW w:w="2520" w:type="dxa"/>
            <w:shd w:val="clear" w:color="auto" w:fill="FFFFFF" w:themeFill="background1"/>
            <w:vAlign w:val="center"/>
          </w:tcPr>
          <w:p w:rsidR="00D83824" w:rsidRPr="006D3CF2" w:rsidRDefault="00D83824" w:rsidP="00D83824">
            <w:pPr>
              <w:jc w:val="center"/>
            </w:pPr>
            <w:r w:rsidRPr="006D3CF2">
              <w:t xml:space="preserve">Reminder, Missing, and Damaged Scripts for </w:t>
            </w:r>
            <w:proofErr w:type="spellStart"/>
            <w:r w:rsidRPr="006D3CF2">
              <w:t>Buccal</w:t>
            </w:r>
            <w:proofErr w:type="spellEnd"/>
            <w:r w:rsidRPr="006D3CF2">
              <w:t xml:space="preserve"> Cell</w:t>
            </w:r>
          </w:p>
        </w:tc>
        <w:tc>
          <w:tcPr>
            <w:tcW w:w="1800" w:type="dxa"/>
            <w:shd w:val="clear" w:color="auto" w:fill="FFFFFF" w:themeFill="background1"/>
            <w:vAlign w:val="center"/>
          </w:tcPr>
          <w:p w:rsidR="00D83824" w:rsidRPr="006D3CF2" w:rsidRDefault="00D83824" w:rsidP="0033296D">
            <w:pPr>
              <w:jc w:val="center"/>
            </w:pPr>
            <w:r w:rsidRPr="006D3CF2">
              <w:t>8</w:t>
            </w:r>
          </w:p>
        </w:tc>
        <w:tc>
          <w:tcPr>
            <w:tcW w:w="1710" w:type="dxa"/>
            <w:shd w:val="clear" w:color="auto" w:fill="FFFFFF" w:themeFill="background1"/>
            <w:vAlign w:val="center"/>
          </w:tcPr>
          <w:p w:rsidR="00D83824" w:rsidRPr="006D3CF2" w:rsidRDefault="00D83824" w:rsidP="003B24CA">
            <w:pPr>
              <w:jc w:val="center"/>
            </w:pPr>
            <w:r w:rsidRPr="006D3CF2">
              <w:t>11.68</w:t>
            </w:r>
          </w:p>
        </w:tc>
        <w:tc>
          <w:tcPr>
            <w:tcW w:w="1980" w:type="dxa"/>
            <w:shd w:val="clear" w:color="auto" w:fill="FFFFFF" w:themeFill="background1"/>
            <w:vAlign w:val="center"/>
          </w:tcPr>
          <w:p w:rsidR="00D83824" w:rsidRPr="006D3CF2" w:rsidRDefault="00D83824" w:rsidP="0033296D">
            <w:pPr>
              <w:jc w:val="center"/>
              <w:rPr>
                <w:color w:val="000000"/>
              </w:rPr>
            </w:pPr>
            <w:r w:rsidRPr="006D3CF2">
              <w:rPr>
                <w:color w:val="000000"/>
              </w:rPr>
              <w:t>$93.44</w:t>
            </w:r>
          </w:p>
        </w:tc>
      </w:tr>
      <w:tr w:rsidR="00D83824" w:rsidRPr="005E63C6" w:rsidTr="0006736C">
        <w:trPr>
          <w:trHeight w:val="678"/>
        </w:trPr>
        <w:tc>
          <w:tcPr>
            <w:tcW w:w="2160" w:type="dxa"/>
            <w:shd w:val="clear" w:color="auto" w:fill="FFFFFF" w:themeFill="background1"/>
            <w:vAlign w:val="center"/>
          </w:tcPr>
          <w:p w:rsidR="00D83824" w:rsidRPr="006D3CF2" w:rsidRDefault="00D83824" w:rsidP="0033296D">
            <w:pPr>
              <w:jc w:val="center"/>
            </w:pPr>
            <w:r w:rsidRPr="006D3CF2">
              <w:t>Private Applicators</w:t>
            </w:r>
          </w:p>
        </w:tc>
        <w:tc>
          <w:tcPr>
            <w:tcW w:w="2520" w:type="dxa"/>
            <w:shd w:val="clear" w:color="auto" w:fill="FFFFFF" w:themeFill="background1"/>
            <w:vAlign w:val="center"/>
          </w:tcPr>
          <w:p w:rsidR="00D83824" w:rsidRPr="006D3CF2" w:rsidRDefault="00D83824" w:rsidP="00425BF2">
            <w:pPr>
              <w:jc w:val="center"/>
            </w:pPr>
            <w:r w:rsidRPr="006D3CF2">
              <w:t>BEEA CATI Screener</w:t>
            </w:r>
          </w:p>
        </w:tc>
        <w:tc>
          <w:tcPr>
            <w:tcW w:w="1800" w:type="dxa"/>
            <w:shd w:val="clear" w:color="auto" w:fill="FFFFFF" w:themeFill="background1"/>
            <w:vAlign w:val="center"/>
          </w:tcPr>
          <w:p w:rsidR="00D83824" w:rsidRPr="006D3CF2" w:rsidRDefault="00D83824" w:rsidP="0033296D">
            <w:pPr>
              <w:jc w:val="center"/>
            </w:pPr>
            <w:r w:rsidRPr="006D3CF2">
              <w:t>160</w:t>
            </w:r>
          </w:p>
        </w:tc>
        <w:tc>
          <w:tcPr>
            <w:tcW w:w="1710" w:type="dxa"/>
            <w:shd w:val="clear" w:color="auto" w:fill="FFFFFF" w:themeFill="background1"/>
            <w:vAlign w:val="center"/>
          </w:tcPr>
          <w:p w:rsidR="00D83824" w:rsidRPr="006D3CF2" w:rsidRDefault="00D83824" w:rsidP="003B24CA">
            <w:pPr>
              <w:jc w:val="center"/>
            </w:pPr>
            <w:r w:rsidRPr="006D3CF2">
              <w:t>$11.68</w:t>
            </w:r>
          </w:p>
        </w:tc>
        <w:tc>
          <w:tcPr>
            <w:tcW w:w="1980" w:type="dxa"/>
            <w:shd w:val="clear" w:color="auto" w:fill="FFFFFF" w:themeFill="background1"/>
            <w:vAlign w:val="center"/>
          </w:tcPr>
          <w:p w:rsidR="00D83824" w:rsidRPr="006D3CF2" w:rsidRDefault="00D83824" w:rsidP="0033296D">
            <w:pPr>
              <w:jc w:val="center"/>
              <w:rPr>
                <w:color w:val="000000"/>
              </w:rPr>
            </w:pPr>
            <w:r w:rsidRPr="006D3CF2">
              <w:rPr>
                <w:color w:val="000000"/>
              </w:rPr>
              <w:t>$1,868.80</w:t>
            </w:r>
          </w:p>
        </w:tc>
      </w:tr>
      <w:tr w:rsidR="00D83824" w:rsidRPr="005E63C6" w:rsidTr="0006736C">
        <w:trPr>
          <w:trHeight w:val="678"/>
        </w:trPr>
        <w:tc>
          <w:tcPr>
            <w:tcW w:w="2160" w:type="dxa"/>
            <w:shd w:val="clear" w:color="auto" w:fill="FFFFFF" w:themeFill="background1"/>
            <w:vAlign w:val="center"/>
          </w:tcPr>
          <w:p w:rsidR="00D83824" w:rsidRPr="006D3CF2" w:rsidRDefault="00D83824" w:rsidP="0033296D">
            <w:pPr>
              <w:jc w:val="center"/>
            </w:pPr>
            <w:r w:rsidRPr="006D3CF2">
              <w:t>Private Applicators</w:t>
            </w:r>
          </w:p>
        </w:tc>
        <w:tc>
          <w:tcPr>
            <w:tcW w:w="2520" w:type="dxa"/>
            <w:shd w:val="clear" w:color="auto" w:fill="FFFFFF" w:themeFill="background1"/>
            <w:vAlign w:val="center"/>
          </w:tcPr>
          <w:p w:rsidR="00D83824" w:rsidRPr="006D3CF2" w:rsidRDefault="00D83824" w:rsidP="00425BF2">
            <w:pPr>
              <w:jc w:val="center"/>
            </w:pPr>
            <w:r w:rsidRPr="006D3CF2">
              <w:t>BEEA Home Visit CAPI, Blood, &amp; Urine x 1</w:t>
            </w:r>
          </w:p>
        </w:tc>
        <w:tc>
          <w:tcPr>
            <w:tcW w:w="1800" w:type="dxa"/>
            <w:shd w:val="clear" w:color="auto" w:fill="FFFFFF" w:themeFill="background1"/>
            <w:vAlign w:val="center"/>
          </w:tcPr>
          <w:p w:rsidR="00D83824" w:rsidRPr="006D3CF2" w:rsidRDefault="00205230" w:rsidP="0033296D">
            <w:pPr>
              <w:jc w:val="center"/>
            </w:pPr>
            <w:r>
              <w:t>80</w:t>
            </w:r>
          </w:p>
        </w:tc>
        <w:tc>
          <w:tcPr>
            <w:tcW w:w="1710" w:type="dxa"/>
            <w:shd w:val="clear" w:color="auto" w:fill="FFFFFF" w:themeFill="background1"/>
            <w:vAlign w:val="center"/>
          </w:tcPr>
          <w:p w:rsidR="00D83824" w:rsidRPr="006D3CF2" w:rsidRDefault="00D83824" w:rsidP="003B24CA">
            <w:pPr>
              <w:jc w:val="center"/>
            </w:pPr>
            <w:r w:rsidRPr="006D3CF2">
              <w:t>$11.68</w:t>
            </w:r>
          </w:p>
        </w:tc>
        <w:tc>
          <w:tcPr>
            <w:tcW w:w="1980" w:type="dxa"/>
            <w:shd w:val="clear" w:color="auto" w:fill="FFFFFF" w:themeFill="background1"/>
            <w:vAlign w:val="center"/>
          </w:tcPr>
          <w:p w:rsidR="00D83824" w:rsidRPr="006D3CF2" w:rsidRDefault="00D83824" w:rsidP="00D83824">
            <w:pPr>
              <w:jc w:val="center"/>
              <w:rPr>
                <w:color w:val="000000"/>
              </w:rPr>
            </w:pPr>
            <w:r w:rsidRPr="006D3CF2">
              <w:rPr>
                <w:color w:val="000000"/>
              </w:rPr>
              <w:t>$934.40</w:t>
            </w:r>
          </w:p>
        </w:tc>
      </w:tr>
      <w:tr w:rsidR="00D83824" w:rsidRPr="005E63C6" w:rsidTr="0006736C">
        <w:trPr>
          <w:trHeight w:val="696"/>
        </w:trPr>
        <w:tc>
          <w:tcPr>
            <w:tcW w:w="2160" w:type="dxa"/>
            <w:shd w:val="clear" w:color="auto" w:fill="FFFFFF" w:themeFill="background1"/>
            <w:vAlign w:val="center"/>
          </w:tcPr>
          <w:p w:rsidR="00D83824" w:rsidRPr="006D3CF2" w:rsidRDefault="00D83824" w:rsidP="0033296D">
            <w:pPr>
              <w:jc w:val="center"/>
            </w:pPr>
            <w:r w:rsidRPr="006D3CF2">
              <w:t>Private Applicators</w:t>
            </w:r>
          </w:p>
        </w:tc>
        <w:tc>
          <w:tcPr>
            <w:tcW w:w="2520" w:type="dxa"/>
            <w:shd w:val="clear" w:color="auto" w:fill="FFFFFF" w:themeFill="background1"/>
            <w:vAlign w:val="center"/>
          </w:tcPr>
          <w:p w:rsidR="00D83824" w:rsidRPr="006D3CF2" w:rsidRDefault="00D83824" w:rsidP="00425BF2">
            <w:pPr>
              <w:jc w:val="center"/>
            </w:pPr>
            <w:r w:rsidRPr="006D3CF2">
              <w:t>BEEA Schedule Home Visit Script</w:t>
            </w:r>
          </w:p>
        </w:tc>
        <w:tc>
          <w:tcPr>
            <w:tcW w:w="1800" w:type="dxa"/>
            <w:shd w:val="clear" w:color="auto" w:fill="FFFFFF" w:themeFill="background1"/>
            <w:vAlign w:val="center"/>
          </w:tcPr>
          <w:p w:rsidR="00D83824" w:rsidRPr="006D3CF2" w:rsidRDefault="00205230" w:rsidP="0033296D">
            <w:pPr>
              <w:jc w:val="center"/>
            </w:pPr>
            <w:r>
              <w:t>5</w:t>
            </w:r>
          </w:p>
        </w:tc>
        <w:tc>
          <w:tcPr>
            <w:tcW w:w="1710" w:type="dxa"/>
            <w:shd w:val="clear" w:color="auto" w:fill="FFFFFF" w:themeFill="background1"/>
            <w:vAlign w:val="center"/>
          </w:tcPr>
          <w:p w:rsidR="00D83824" w:rsidRPr="006D3CF2" w:rsidRDefault="00D83824" w:rsidP="003B24CA">
            <w:pPr>
              <w:jc w:val="center"/>
            </w:pPr>
            <w:r w:rsidRPr="006D3CF2">
              <w:t>$11.68</w:t>
            </w:r>
          </w:p>
        </w:tc>
        <w:tc>
          <w:tcPr>
            <w:tcW w:w="1980" w:type="dxa"/>
            <w:shd w:val="clear" w:color="auto" w:fill="FFFFFF" w:themeFill="background1"/>
            <w:vAlign w:val="center"/>
          </w:tcPr>
          <w:p w:rsidR="00D83824" w:rsidRPr="006D3CF2" w:rsidDel="009E04EA" w:rsidRDefault="00D83824" w:rsidP="00D83824">
            <w:pPr>
              <w:jc w:val="center"/>
            </w:pPr>
            <w:r w:rsidRPr="006D3CF2">
              <w:t>$58.40</w:t>
            </w:r>
          </w:p>
        </w:tc>
      </w:tr>
      <w:tr w:rsidR="00D83824" w:rsidRPr="005E63C6" w:rsidTr="0006736C">
        <w:trPr>
          <w:trHeight w:val="696"/>
        </w:trPr>
        <w:tc>
          <w:tcPr>
            <w:tcW w:w="2160" w:type="dxa"/>
            <w:shd w:val="clear" w:color="auto" w:fill="FFFFFF" w:themeFill="background1"/>
            <w:vAlign w:val="center"/>
          </w:tcPr>
          <w:p w:rsidR="00D83824" w:rsidRPr="006D3CF2" w:rsidRDefault="00D83824" w:rsidP="0033296D">
            <w:pPr>
              <w:jc w:val="center"/>
            </w:pPr>
            <w:r w:rsidRPr="006D3CF2">
              <w:t>Private Applicators</w:t>
            </w:r>
          </w:p>
        </w:tc>
        <w:tc>
          <w:tcPr>
            <w:tcW w:w="2520" w:type="dxa"/>
            <w:shd w:val="clear" w:color="auto" w:fill="FFFFFF" w:themeFill="background1"/>
            <w:vAlign w:val="center"/>
          </w:tcPr>
          <w:p w:rsidR="00D83824" w:rsidRPr="006D3CF2" w:rsidRDefault="00D83824" w:rsidP="0033296D">
            <w:pPr>
              <w:jc w:val="center"/>
            </w:pPr>
            <w:r w:rsidRPr="006D3CF2">
              <w:t>BEEA Home Visit CAPI, Blood, &amp; Urine x 3</w:t>
            </w:r>
          </w:p>
        </w:tc>
        <w:tc>
          <w:tcPr>
            <w:tcW w:w="1800" w:type="dxa"/>
            <w:shd w:val="clear" w:color="auto" w:fill="FFFFFF" w:themeFill="background1"/>
            <w:vAlign w:val="center"/>
          </w:tcPr>
          <w:p w:rsidR="00D83824" w:rsidRPr="006D3CF2" w:rsidRDefault="00205230" w:rsidP="0033296D">
            <w:pPr>
              <w:jc w:val="center"/>
            </w:pPr>
            <w:r>
              <w:t>3</w:t>
            </w:r>
            <w:r w:rsidR="00D83824" w:rsidRPr="006D3CF2">
              <w:t>0</w:t>
            </w:r>
          </w:p>
        </w:tc>
        <w:tc>
          <w:tcPr>
            <w:tcW w:w="1710" w:type="dxa"/>
            <w:shd w:val="clear" w:color="auto" w:fill="FFFFFF" w:themeFill="background1"/>
            <w:vAlign w:val="center"/>
          </w:tcPr>
          <w:p w:rsidR="00D83824" w:rsidRPr="006D3CF2" w:rsidRDefault="00D83824" w:rsidP="003B24CA">
            <w:pPr>
              <w:jc w:val="center"/>
            </w:pPr>
            <w:r w:rsidRPr="006D3CF2">
              <w:t>$11.68</w:t>
            </w:r>
          </w:p>
        </w:tc>
        <w:tc>
          <w:tcPr>
            <w:tcW w:w="1980" w:type="dxa"/>
            <w:shd w:val="clear" w:color="auto" w:fill="FFFFFF" w:themeFill="background1"/>
            <w:vAlign w:val="center"/>
          </w:tcPr>
          <w:p w:rsidR="00D83824" w:rsidRPr="006D3CF2" w:rsidRDefault="00D83824" w:rsidP="00D83824">
            <w:pPr>
              <w:jc w:val="center"/>
            </w:pPr>
            <w:r w:rsidRPr="006D3CF2">
              <w:t>$350.40</w:t>
            </w:r>
          </w:p>
        </w:tc>
      </w:tr>
      <w:tr w:rsidR="00D83824" w:rsidRPr="005E63C6" w:rsidTr="0006736C">
        <w:trPr>
          <w:trHeight w:val="696"/>
        </w:trPr>
        <w:tc>
          <w:tcPr>
            <w:tcW w:w="2160" w:type="dxa"/>
            <w:shd w:val="clear" w:color="auto" w:fill="FFFFFF" w:themeFill="background1"/>
            <w:vAlign w:val="center"/>
          </w:tcPr>
          <w:p w:rsidR="00D83824" w:rsidRPr="006D3CF2" w:rsidRDefault="00D83824" w:rsidP="0033296D">
            <w:pPr>
              <w:jc w:val="center"/>
            </w:pPr>
            <w:r w:rsidRPr="006D3CF2">
              <w:t>Private Applicators</w:t>
            </w:r>
          </w:p>
        </w:tc>
        <w:tc>
          <w:tcPr>
            <w:tcW w:w="2520" w:type="dxa"/>
            <w:shd w:val="clear" w:color="auto" w:fill="FFFFFF" w:themeFill="background1"/>
            <w:vAlign w:val="center"/>
          </w:tcPr>
          <w:p w:rsidR="00D83824" w:rsidRPr="006D3CF2" w:rsidRDefault="00D83824" w:rsidP="0033296D">
            <w:pPr>
              <w:jc w:val="center"/>
            </w:pPr>
            <w:r w:rsidRPr="006D3CF2">
              <w:t>Paper/pen, CAWI or CATI</w:t>
            </w:r>
          </w:p>
        </w:tc>
        <w:tc>
          <w:tcPr>
            <w:tcW w:w="1800" w:type="dxa"/>
            <w:shd w:val="clear" w:color="auto" w:fill="FFFFFF" w:themeFill="background1"/>
            <w:vAlign w:val="center"/>
          </w:tcPr>
          <w:p w:rsidR="00D83824" w:rsidRPr="006D3CF2" w:rsidDel="00833B3C" w:rsidRDefault="00D83824" w:rsidP="0033296D">
            <w:pPr>
              <w:jc w:val="center"/>
            </w:pPr>
            <w:r w:rsidRPr="006D3CF2">
              <w:t>5,77</w:t>
            </w:r>
            <w:r w:rsidR="00C65BF6">
              <w:t>3</w:t>
            </w:r>
          </w:p>
        </w:tc>
        <w:tc>
          <w:tcPr>
            <w:tcW w:w="1710" w:type="dxa"/>
            <w:shd w:val="clear" w:color="auto" w:fill="FFFFFF" w:themeFill="background1"/>
            <w:vAlign w:val="center"/>
          </w:tcPr>
          <w:p w:rsidR="00D83824" w:rsidRPr="006D3CF2" w:rsidRDefault="00D83824" w:rsidP="003B24CA">
            <w:pPr>
              <w:jc w:val="center"/>
            </w:pPr>
            <w:r w:rsidRPr="006D3CF2">
              <w:t>$11.68</w:t>
            </w:r>
          </w:p>
        </w:tc>
        <w:tc>
          <w:tcPr>
            <w:tcW w:w="1980" w:type="dxa"/>
            <w:shd w:val="clear" w:color="auto" w:fill="FFFFFF" w:themeFill="background1"/>
            <w:vAlign w:val="center"/>
          </w:tcPr>
          <w:p w:rsidR="00D83824" w:rsidRPr="006D3CF2" w:rsidRDefault="00D83824" w:rsidP="00D83824">
            <w:pPr>
              <w:jc w:val="center"/>
            </w:pPr>
            <w:r w:rsidRPr="006D3CF2">
              <w:t>$67,428.64</w:t>
            </w:r>
          </w:p>
        </w:tc>
      </w:tr>
      <w:tr w:rsidR="00D83824" w:rsidRPr="005E63C6" w:rsidTr="0006736C">
        <w:trPr>
          <w:trHeight w:val="696"/>
        </w:trPr>
        <w:tc>
          <w:tcPr>
            <w:tcW w:w="2160" w:type="dxa"/>
            <w:shd w:val="clear" w:color="auto" w:fill="FFFFFF" w:themeFill="background1"/>
            <w:vAlign w:val="center"/>
          </w:tcPr>
          <w:p w:rsidR="00D83824" w:rsidRPr="006D3CF2" w:rsidRDefault="00D83824" w:rsidP="0033296D">
            <w:pPr>
              <w:jc w:val="center"/>
            </w:pPr>
            <w:r w:rsidRPr="006D3CF2">
              <w:t>Spouses</w:t>
            </w:r>
          </w:p>
        </w:tc>
        <w:tc>
          <w:tcPr>
            <w:tcW w:w="2520" w:type="dxa"/>
            <w:shd w:val="clear" w:color="auto" w:fill="FFFFFF" w:themeFill="background1"/>
            <w:vAlign w:val="center"/>
          </w:tcPr>
          <w:p w:rsidR="00D83824" w:rsidRPr="006D3CF2" w:rsidRDefault="00D83824" w:rsidP="0033296D">
            <w:pPr>
              <w:jc w:val="center"/>
            </w:pPr>
            <w:r w:rsidRPr="006D3CF2">
              <w:t>Paper/pen, CAWI or CATI</w:t>
            </w:r>
          </w:p>
        </w:tc>
        <w:tc>
          <w:tcPr>
            <w:tcW w:w="1800" w:type="dxa"/>
            <w:shd w:val="clear" w:color="auto" w:fill="FFFFFF" w:themeFill="background1"/>
            <w:vAlign w:val="center"/>
          </w:tcPr>
          <w:p w:rsidR="00D83824" w:rsidRPr="006D3CF2" w:rsidDel="00833B3C" w:rsidRDefault="00D83824" w:rsidP="0033296D">
            <w:pPr>
              <w:jc w:val="center"/>
            </w:pPr>
            <w:r w:rsidRPr="006D3CF2">
              <w:t>4,25</w:t>
            </w:r>
            <w:r w:rsidR="00C65BF6">
              <w:t>0</w:t>
            </w:r>
          </w:p>
        </w:tc>
        <w:tc>
          <w:tcPr>
            <w:tcW w:w="1710" w:type="dxa"/>
            <w:shd w:val="clear" w:color="auto" w:fill="FFFFFF" w:themeFill="background1"/>
            <w:vAlign w:val="center"/>
          </w:tcPr>
          <w:p w:rsidR="00D83824" w:rsidRPr="006D3CF2" w:rsidRDefault="00D83824" w:rsidP="003B24CA">
            <w:pPr>
              <w:jc w:val="center"/>
            </w:pPr>
            <w:r w:rsidRPr="006D3CF2">
              <w:t>$11.68</w:t>
            </w:r>
          </w:p>
        </w:tc>
        <w:tc>
          <w:tcPr>
            <w:tcW w:w="1980" w:type="dxa"/>
            <w:shd w:val="clear" w:color="auto" w:fill="FFFFFF" w:themeFill="background1"/>
            <w:vAlign w:val="center"/>
          </w:tcPr>
          <w:p w:rsidR="00D83824" w:rsidRPr="006D3CF2" w:rsidRDefault="00D83824" w:rsidP="00D83824">
            <w:pPr>
              <w:jc w:val="center"/>
            </w:pPr>
            <w:r w:rsidRPr="006D3CF2">
              <w:t>$49,640.00</w:t>
            </w:r>
          </w:p>
        </w:tc>
      </w:tr>
      <w:tr w:rsidR="00D83824" w:rsidRPr="005E63C6" w:rsidTr="0006736C">
        <w:trPr>
          <w:trHeight w:val="696"/>
        </w:trPr>
        <w:tc>
          <w:tcPr>
            <w:tcW w:w="2160" w:type="dxa"/>
            <w:shd w:val="clear" w:color="auto" w:fill="FFFFFF" w:themeFill="background1"/>
            <w:vAlign w:val="center"/>
          </w:tcPr>
          <w:p w:rsidR="00D83824" w:rsidRPr="00BA22A4" w:rsidRDefault="00D83824" w:rsidP="0033296D">
            <w:pPr>
              <w:jc w:val="center"/>
              <w:rPr>
                <w:highlight w:val="yellow"/>
              </w:rPr>
            </w:pPr>
            <w:r w:rsidRPr="00BA22A4">
              <w:rPr>
                <w:highlight w:val="yellow"/>
              </w:rPr>
              <w:t>Proxy</w:t>
            </w:r>
          </w:p>
        </w:tc>
        <w:tc>
          <w:tcPr>
            <w:tcW w:w="2520" w:type="dxa"/>
            <w:shd w:val="clear" w:color="auto" w:fill="FFFFFF" w:themeFill="background1"/>
            <w:vAlign w:val="center"/>
          </w:tcPr>
          <w:p w:rsidR="00D83824" w:rsidRPr="00BA22A4" w:rsidRDefault="00D83824" w:rsidP="0033296D">
            <w:pPr>
              <w:jc w:val="center"/>
              <w:rPr>
                <w:highlight w:val="yellow"/>
              </w:rPr>
            </w:pPr>
            <w:r w:rsidRPr="00BA22A4">
              <w:rPr>
                <w:highlight w:val="yellow"/>
              </w:rPr>
              <w:t>Paper/pen, CAWI or CATI</w:t>
            </w:r>
          </w:p>
        </w:tc>
        <w:tc>
          <w:tcPr>
            <w:tcW w:w="1800" w:type="dxa"/>
            <w:shd w:val="clear" w:color="auto" w:fill="FFFFFF" w:themeFill="background1"/>
            <w:vAlign w:val="center"/>
          </w:tcPr>
          <w:p w:rsidR="00D83824" w:rsidRPr="00BA22A4" w:rsidDel="00833B3C" w:rsidRDefault="00D83824" w:rsidP="0033296D">
            <w:pPr>
              <w:jc w:val="center"/>
              <w:rPr>
                <w:highlight w:val="yellow"/>
              </w:rPr>
            </w:pPr>
            <w:r w:rsidRPr="00BA22A4">
              <w:rPr>
                <w:highlight w:val="yellow"/>
              </w:rPr>
              <w:t>159</w:t>
            </w:r>
          </w:p>
        </w:tc>
        <w:tc>
          <w:tcPr>
            <w:tcW w:w="1710" w:type="dxa"/>
            <w:tcBorders>
              <w:bottom w:val="single" w:sz="4" w:space="0" w:color="auto"/>
            </w:tcBorders>
            <w:shd w:val="clear" w:color="auto" w:fill="FFFFFF" w:themeFill="background1"/>
            <w:vAlign w:val="center"/>
          </w:tcPr>
          <w:p w:rsidR="00D83824" w:rsidRPr="00BA22A4" w:rsidRDefault="00D83824" w:rsidP="003B24CA">
            <w:pPr>
              <w:jc w:val="center"/>
              <w:rPr>
                <w:highlight w:val="yellow"/>
              </w:rPr>
            </w:pPr>
            <w:r w:rsidRPr="00BA22A4">
              <w:rPr>
                <w:highlight w:val="yellow"/>
              </w:rPr>
              <w:t>$11.68</w:t>
            </w:r>
          </w:p>
        </w:tc>
        <w:tc>
          <w:tcPr>
            <w:tcW w:w="1980" w:type="dxa"/>
            <w:tcBorders>
              <w:bottom w:val="single" w:sz="4" w:space="0" w:color="auto"/>
            </w:tcBorders>
            <w:shd w:val="clear" w:color="auto" w:fill="FFFFFF" w:themeFill="background1"/>
            <w:vAlign w:val="center"/>
          </w:tcPr>
          <w:p w:rsidR="00D83824" w:rsidRPr="00BA22A4" w:rsidRDefault="00D83824" w:rsidP="0033296D">
            <w:pPr>
              <w:jc w:val="center"/>
              <w:rPr>
                <w:highlight w:val="yellow"/>
              </w:rPr>
            </w:pPr>
            <w:r w:rsidRPr="00BA22A4">
              <w:rPr>
                <w:highlight w:val="yellow"/>
              </w:rPr>
              <w:t>$1,857.12</w:t>
            </w:r>
          </w:p>
        </w:tc>
      </w:tr>
      <w:tr w:rsidR="00D83824" w:rsidRPr="005E63C6" w:rsidTr="0089372D">
        <w:trPr>
          <w:trHeight w:val="375"/>
        </w:trPr>
        <w:tc>
          <w:tcPr>
            <w:tcW w:w="2160" w:type="dxa"/>
            <w:tcBorders>
              <w:top w:val="double" w:sz="4" w:space="0" w:color="auto"/>
              <w:left w:val="single" w:sz="6" w:space="0" w:color="000000"/>
              <w:bottom w:val="single" w:sz="6" w:space="0" w:color="000000"/>
              <w:right w:val="single" w:sz="6" w:space="0" w:color="000000"/>
            </w:tcBorders>
            <w:shd w:val="clear" w:color="auto" w:fill="FFFFFF" w:themeFill="background1"/>
            <w:vAlign w:val="center"/>
          </w:tcPr>
          <w:p w:rsidR="00D83824" w:rsidRPr="006D3CF2" w:rsidRDefault="00D83824" w:rsidP="0089372D">
            <w:pPr>
              <w:jc w:val="center"/>
            </w:pPr>
            <w:r w:rsidRPr="006D3CF2">
              <w:t>Total</w:t>
            </w:r>
          </w:p>
        </w:tc>
        <w:tc>
          <w:tcPr>
            <w:tcW w:w="2520" w:type="dxa"/>
            <w:tcBorders>
              <w:top w:val="double" w:sz="4" w:space="0" w:color="auto"/>
              <w:left w:val="single" w:sz="6" w:space="0" w:color="000000"/>
              <w:bottom w:val="single" w:sz="6" w:space="0" w:color="000000"/>
              <w:right w:val="single" w:sz="6" w:space="0" w:color="000000"/>
            </w:tcBorders>
            <w:shd w:val="clear" w:color="auto" w:fill="FFFFFF" w:themeFill="background1"/>
            <w:vAlign w:val="center"/>
          </w:tcPr>
          <w:p w:rsidR="00D83824" w:rsidRPr="006D3CF2" w:rsidDel="00E467C3" w:rsidRDefault="00D83824" w:rsidP="0089372D">
            <w:pPr>
              <w:jc w:val="center"/>
            </w:pPr>
          </w:p>
        </w:tc>
        <w:tc>
          <w:tcPr>
            <w:tcW w:w="1800" w:type="dxa"/>
            <w:tcBorders>
              <w:top w:val="double" w:sz="4" w:space="0" w:color="auto"/>
              <w:left w:val="single" w:sz="6" w:space="0" w:color="000000"/>
              <w:bottom w:val="single" w:sz="6" w:space="0" w:color="000000"/>
              <w:right w:val="single" w:sz="4" w:space="0" w:color="auto"/>
            </w:tcBorders>
            <w:shd w:val="clear" w:color="auto" w:fill="FFFFFF" w:themeFill="background1"/>
            <w:vAlign w:val="center"/>
          </w:tcPr>
          <w:p w:rsidR="00D83824" w:rsidRPr="006D3CF2" w:rsidDel="00E467C3" w:rsidRDefault="00205230" w:rsidP="0089372D">
            <w:pPr>
              <w:jc w:val="center"/>
            </w:pPr>
            <w:r>
              <w:t>10,465</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83824" w:rsidRPr="006D3CF2" w:rsidRDefault="00D83824" w:rsidP="0089372D">
            <w:pPr>
              <w:jc w:val="center"/>
            </w:pP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83824" w:rsidRPr="006D3CF2" w:rsidRDefault="00D83824" w:rsidP="0089372D">
            <w:pPr>
              <w:jc w:val="center"/>
            </w:pPr>
            <w:r w:rsidRPr="006D3CF2">
              <w:t>$122,231.20</w:t>
            </w:r>
          </w:p>
        </w:tc>
      </w:tr>
    </w:tbl>
    <w:p w:rsidR="00B84493" w:rsidRDefault="00B84493" w:rsidP="0089372D">
      <w:pPr>
        <w:rPr>
          <w:sz w:val="22"/>
          <w:szCs w:val="22"/>
        </w:rPr>
      </w:pPr>
    </w:p>
    <w:p w:rsidR="0089372D" w:rsidRPr="0098479D" w:rsidRDefault="0089372D" w:rsidP="0089372D">
      <w:pPr>
        <w:rPr>
          <w:sz w:val="22"/>
          <w:szCs w:val="22"/>
        </w:rPr>
      </w:pPr>
    </w:p>
    <w:p w:rsidR="00F06E61" w:rsidRPr="0098479D" w:rsidRDefault="003F0F43" w:rsidP="00B0545A">
      <w:pPr>
        <w:pStyle w:val="BodyText2"/>
        <w:rPr>
          <w:b/>
          <w:sz w:val="24"/>
          <w:szCs w:val="24"/>
          <w:u w:val="single"/>
        </w:rPr>
      </w:pPr>
      <w:r w:rsidRPr="0098479D">
        <w:rPr>
          <w:b/>
          <w:sz w:val="24"/>
          <w:szCs w:val="24"/>
        </w:rPr>
        <w:t>A.</w:t>
      </w:r>
      <w:r w:rsidR="00F06E61" w:rsidRPr="0098479D">
        <w:rPr>
          <w:b/>
          <w:sz w:val="24"/>
          <w:szCs w:val="24"/>
        </w:rPr>
        <w:t xml:space="preserve">13  </w:t>
      </w:r>
      <w:r w:rsidR="000B1AA5" w:rsidRPr="0098479D">
        <w:rPr>
          <w:b/>
          <w:sz w:val="24"/>
          <w:szCs w:val="24"/>
        </w:rPr>
        <w:t xml:space="preserve"> </w:t>
      </w:r>
      <w:r w:rsidR="005F0357">
        <w:rPr>
          <w:b/>
          <w:sz w:val="24"/>
          <w:szCs w:val="24"/>
        </w:rPr>
        <w:tab/>
      </w:r>
      <w:r w:rsidR="00F06E61" w:rsidRPr="0098479D">
        <w:rPr>
          <w:b/>
          <w:sz w:val="24"/>
          <w:szCs w:val="24"/>
          <w:u w:val="single"/>
        </w:rPr>
        <w:t>Estimate</w:t>
      </w:r>
      <w:r w:rsidR="00F17683" w:rsidRPr="0098479D">
        <w:rPr>
          <w:b/>
          <w:sz w:val="24"/>
          <w:szCs w:val="24"/>
          <w:u w:val="single"/>
        </w:rPr>
        <w:t>s</w:t>
      </w:r>
      <w:r w:rsidR="00F06E61" w:rsidRPr="0098479D">
        <w:rPr>
          <w:b/>
          <w:sz w:val="24"/>
          <w:szCs w:val="24"/>
          <w:u w:val="single"/>
        </w:rPr>
        <w:t xml:space="preserve"> of Other Total Annual Cost Burden to Respondents </w:t>
      </w:r>
      <w:r w:rsidR="00CF4165">
        <w:rPr>
          <w:b/>
          <w:sz w:val="24"/>
          <w:szCs w:val="24"/>
          <w:u w:val="single"/>
        </w:rPr>
        <w:t xml:space="preserve">or </w:t>
      </w:r>
      <w:r w:rsidR="00F06E61" w:rsidRPr="0098479D">
        <w:rPr>
          <w:b/>
          <w:sz w:val="24"/>
          <w:szCs w:val="24"/>
          <w:u w:val="single"/>
        </w:rPr>
        <w:t>Record</w:t>
      </w:r>
      <w:r w:rsidR="00792A9F" w:rsidRPr="0098479D">
        <w:rPr>
          <w:b/>
          <w:sz w:val="24"/>
          <w:szCs w:val="24"/>
          <w:u w:val="single"/>
        </w:rPr>
        <w:t xml:space="preserve"> </w:t>
      </w:r>
      <w:r w:rsidR="00F17683" w:rsidRPr="0098479D">
        <w:rPr>
          <w:b/>
          <w:sz w:val="24"/>
          <w:szCs w:val="24"/>
          <w:u w:val="single"/>
        </w:rPr>
        <w:t>K</w:t>
      </w:r>
      <w:r w:rsidR="00F06E61" w:rsidRPr="0098479D">
        <w:rPr>
          <w:b/>
          <w:sz w:val="24"/>
          <w:szCs w:val="24"/>
          <w:u w:val="single"/>
        </w:rPr>
        <w:t>eepers</w:t>
      </w:r>
    </w:p>
    <w:p w:rsidR="0012771D" w:rsidRPr="0098479D" w:rsidRDefault="003D0D76" w:rsidP="00B0545A">
      <w:pPr>
        <w:pStyle w:val="BodyText"/>
        <w:spacing w:line="480" w:lineRule="auto"/>
        <w:ind w:firstLine="720"/>
        <w:rPr>
          <w:sz w:val="24"/>
          <w:szCs w:val="24"/>
        </w:rPr>
      </w:pPr>
      <w:r w:rsidRPr="0098479D">
        <w:rPr>
          <w:sz w:val="24"/>
          <w:szCs w:val="24"/>
        </w:rPr>
        <w:t xml:space="preserve">There are no </w:t>
      </w:r>
      <w:r w:rsidR="00196269" w:rsidRPr="0098479D">
        <w:rPr>
          <w:sz w:val="24"/>
          <w:szCs w:val="24"/>
        </w:rPr>
        <w:t>c</w:t>
      </w:r>
      <w:r w:rsidRPr="0098479D">
        <w:rPr>
          <w:sz w:val="24"/>
          <w:szCs w:val="24"/>
        </w:rPr>
        <w:t>apit</w:t>
      </w:r>
      <w:r w:rsidR="00196269" w:rsidRPr="0098479D">
        <w:rPr>
          <w:sz w:val="24"/>
          <w:szCs w:val="24"/>
        </w:rPr>
        <w:t>a</w:t>
      </w:r>
      <w:r w:rsidRPr="0098479D">
        <w:rPr>
          <w:sz w:val="24"/>
          <w:szCs w:val="24"/>
        </w:rPr>
        <w:t xml:space="preserve">l </w:t>
      </w:r>
      <w:r w:rsidR="00196269" w:rsidRPr="0098479D">
        <w:rPr>
          <w:sz w:val="24"/>
          <w:szCs w:val="24"/>
        </w:rPr>
        <w:t>c</w:t>
      </w:r>
      <w:r w:rsidRPr="0098479D">
        <w:rPr>
          <w:sz w:val="24"/>
          <w:szCs w:val="24"/>
        </w:rPr>
        <w:t xml:space="preserve">osts, </w:t>
      </w:r>
      <w:r w:rsidR="00196269" w:rsidRPr="0098479D">
        <w:rPr>
          <w:sz w:val="24"/>
          <w:szCs w:val="24"/>
        </w:rPr>
        <w:t>o</w:t>
      </w:r>
      <w:r w:rsidRPr="0098479D">
        <w:rPr>
          <w:sz w:val="24"/>
          <w:szCs w:val="24"/>
        </w:rPr>
        <w:t xml:space="preserve">perating </w:t>
      </w:r>
      <w:r w:rsidR="00196269" w:rsidRPr="0098479D">
        <w:rPr>
          <w:sz w:val="24"/>
          <w:szCs w:val="24"/>
        </w:rPr>
        <w:t>c</w:t>
      </w:r>
      <w:r w:rsidRPr="0098479D">
        <w:rPr>
          <w:sz w:val="24"/>
          <w:szCs w:val="24"/>
        </w:rPr>
        <w:t xml:space="preserve">osts or </w:t>
      </w:r>
      <w:r w:rsidR="00196269" w:rsidRPr="0098479D">
        <w:rPr>
          <w:sz w:val="24"/>
          <w:szCs w:val="24"/>
        </w:rPr>
        <w:t>m</w:t>
      </w:r>
      <w:r w:rsidRPr="0098479D">
        <w:rPr>
          <w:sz w:val="24"/>
          <w:szCs w:val="24"/>
        </w:rPr>
        <w:t xml:space="preserve">aintenance </w:t>
      </w:r>
      <w:r w:rsidR="00196269" w:rsidRPr="0098479D">
        <w:rPr>
          <w:sz w:val="24"/>
          <w:szCs w:val="24"/>
        </w:rPr>
        <w:t>c</w:t>
      </w:r>
      <w:r w:rsidRPr="0098479D">
        <w:rPr>
          <w:sz w:val="24"/>
          <w:szCs w:val="24"/>
        </w:rPr>
        <w:t>osts to report.</w:t>
      </w:r>
    </w:p>
    <w:p w:rsidR="0012771D" w:rsidRPr="0098479D" w:rsidRDefault="0012771D" w:rsidP="00B0545A">
      <w:pPr>
        <w:pStyle w:val="BodyText"/>
        <w:spacing w:line="480" w:lineRule="auto"/>
      </w:pPr>
    </w:p>
    <w:p w:rsidR="0012771D" w:rsidRPr="0098479D" w:rsidRDefault="003F0F43" w:rsidP="00B0545A">
      <w:pPr>
        <w:pStyle w:val="BodyText"/>
        <w:spacing w:line="480" w:lineRule="auto"/>
        <w:rPr>
          <w:sz w:val="24"/>
          <w:szCs w:val="24"/>
        </w:rPr>
      </w:pPr>
      <w:r w:rsidRPr="0098479D">
        <w:rPr>
          <w:b/>
          <w:sz w:val="24"/>
          <w:szCs w:val="24"/>
        </w:rPr>
        <w:t>A.</w:t>
      </w:r>
      <w:r w:rsidR="00F06E61" w:rsidRPr="0098479D">
        <w:rPr>
          <w:b/>
          <w:sz w:val="24"/>
          <w:szCs w:val="24"/>
        </w:rPr>
        <w:t xml:space="preserve">14  </w:t>
      </w:r>
      <w:r w:rsidR="000B1AA5" w:rsidRPr="0098479D">
        <w:rPr>
          <w:b/>
          <w:sz w:val="24"/>
          <w:szCs w:val="24"/>
        </w:rPr>
        <w:t xml:space="preserve"> </w:t>
      </w:r>
      <w:r w:rsidR="005F0357">
        <w:rPr>
          <w:b/>
          <w:sz w:val="24"/>
          <w:szCs w:val="24"/>
        </w:rPr>
        <w:tab/>
      </w:r>
      <w:r w:rsidR="00F06E61" w:rsidRPr="0098479D">
        <w:rPr>
          <w:b/>
          <w:sz w:val="24"/>
          <w:szCs w:val="24"/>
          <w:u w:val="single"/>
        </w:rPr>
        <w:t>Annualized Costs to the Federal Government</w:t>
      </w:r>
      <w:r w:rsidR="00464748" w:rsidRPr="0098479D">
        <w:rPr>
          <w:sz w:val="24"/>
          <w:szCs w:val="24"/>
        </w:rPr>
        <w:t xml:space="preserve"> </w:t>
      </w:r>
    </w:p>
    <w:p w:rsidR="00F06E61" w:rsidRPr="0098479D" w:rsidRDefault="0089372D" w:rsidP="00B0545A">
      <w:pPr>
        <w:pStyle w:val="BodyText"/>
        <w:spacing w:line="480" w:lineRule="auto"/>
        <w:ind w:firstLine="720"/>
        <w:rPr>
          <w:sz w:val="24"/>
        </w:rPr>
      </w:pPr>
      <w:r>
        <w:rPr>
          <w:sz w:val="24"/>
          <w:szCs w:val="24"/>
          <w:highlight w:val="yellow"/>
        </w:rPr>
        <w:t>T</w:t>
      </w:r>
      <w:r w:rsidRPr="005F0357">
        <w:rPr>
          <w:sz w:val="24"/>
          <w:szCs w:val="24"/>
          <w:highlight w:val="yellow"/>
        </w:rPr>
        <w:t>o complete phase IV</w:t>
      </w:r>
      <w:r>
        <w:rPr>
          <w:sz w:val="24"/>
          <w:szCs w:val="24"/>
          <w:highlight w:val="yellow"/>
        </w:rPr>
        <w:t>, t</w:t>
      </w:r>
      <w:r w:rsidR="00464748" w:rsidRPr="005F0357">
        <w:rPr>
          <w:sz w:val="24"/>
          <w:szCs w:val="24"/>
          <w:highlight w:val="yellow"/>
        </w:rPr>
        <w:t xml:space="preserve">he total projected cost to the Federal Government </w:t>
      </w:r>
      <w:r w:rsidRPr="005F0357">
        <w:rPr>
          <w:sz w:val="24"/>
          <w:szCs w:val="24"/>
          <w:highlight w:val="yellow"/>
        </w:rPr>
        <w:t>over the three-year period</w:t>
      </w:r>
      <w:r>
        <w:rPr>
          <w:sz w:val="24"/>
          <w:szCs w:val="24"/>
          <w:highlight w:val="yellow"/>
        </w:rPr>
        <w:t xml:space="preserve"> --</w:t>
      </w:r>
      <w:r w:rsidRPr="005F0357">
        <w:rPr>
          <w:sz w:val="24"/>
          <w:szCs w:val="24"/>
          <w:highlight w:val="yellow"/>
        </w:rPr>
        <w:t xml:space="preserve"> </w:t>
      </w:r>
      <w:r w:rsidR="00086F5A" w:rsidRPr="005F0357">
        <w:rPr>
          <w:sz w:val="24"/>
          <w:highlight w:val="yellow"/>
        </w:rPr>
        <w:t>including the</w:t>
      </w:r>
      <w:r w:rsidR="00B84493" w:rsidRPr="005F0357">
        <w:rPr>
          <w:sz w:val="24"/>
          <w:highlight w:val="yellow"/>
        </w:rPr>
        <w:t xml:space="preserve"> </w:t>
      </w:r>
      <w:proofErr w:type="spellStart"/>
      <w:r w:rsidR="00B84493" w:rsidRPr="005F0357">
        <w:rPr>
          <w:sz w:val="24"/>
          <w:highlight w:val="yellow"/>
        </w:rPr>
        <w:t>buccal</w:t>
      </w:r>
      <w:proofErr w:type="spellEnd"/>
      <w:r w:rsidR="00B84493" w:rsidRPr="005F0357">
        <w:rPr>
          <w:sz w:val="24"/>
          <w:highlight w:val="yellow"/>
        </w:rPr>
        <w:t xml:space="preserve"> cell collection and</w:t>
      </w:r>
      <w:r w:rsidR="00086F5A" w:rsidRPr="005F0357">
        <w:rPr>
          <w:sz w:val="24"/>
          <w:highlight w:val="yellow"/>
        </w:rPr>
        <w:t xml:space="preserve"> biomarker component (BEEA) </w:t>
      </w:r>
      <w:r w:rsidR="00464748" w:rsidRPr="005F0357">
        <w:rPr>
          <w:sz w:val="24"/>
          <w:szCs w:val="24"/>
          <w:highlight w:val="yellow"/>
        </w:rPr>
        <w:t xml:space="preserve">for the Agricultural Health </w:t>
      </w:r>
      <w:r w:rsidR="00464748" w:rsidRPr="00D91C59">
        <w:rPr>
          <w:sz w:val="24"/>
          <w:szCs w:val="24"/>
          <w:highlight w:val="yellow"/>
        </w:rPr>
        <w:t xml:space="preserve">Study </w:t>
      </w:r>
      <w:r w:rsidRPr="00D91C59">
        <w:rPr>
          <w:sz w:val="24"/>
          <w:szCs w:val="24"/>
          <w:highlight w:val="yellow"/>
        </w:rPr>
        <w:t xml:space="preserve">-- </w:t>
      </w:r>
      <w:r w:rsidR="00464748" w:rsidRPr="00D91C59">
        <w:rPr>
          <w:sz w:val="24"/>
          <w:szCs w:val="24"/>
          <w:highlight w:val="yellow"/>
        </w:rPr>
        <w:t>is $</w:t>
      </w:r>
      <w:r w:rsidR="00D91C59" w:rsidRPr="00D91C59">
        <w:rPr>
          <w:sz w:val="24"/>
          <w:szCs w:val="24"/>
          <w:highlight w:val="yellow"/>
        </w:rPr>
        <w:t>3,739,115</w:t>
      </w:r>
      <w:r w:rsidR="00B84493" w:rsidRPr="00D91C59">
        <w:rPr>
          <w:sz w:val="24"/>
          <w:szCs w:val="24"/>
          <w:highlight w:val="yellow"/>
        </w:rPr>
        <w:t xml:space="preserve"> </w:t>
      </w:r>
      <w:r w:rsidR="00464748" w:rsidRPr="00D91C59">
        <w:rPr>
          <w:sz w:val="24"/>
          <w:szCs w:val="24"/>
          <w:highlight w:val="yellow"/>
        </w:rPr>
        <w:t xml:space="preserve">and the annualized cost is </w:t>
      </w:r>
      <w:r w:rsidRPr="00D91C59">
        <w:rPr>
          <w:color w:val="000000"/>
          <w:sz w:val="24"/>
          <w:szCs w:val="24"/>
          <w:highlight w:val="yellow"/>
        </w:rPr>
        <w:t>$1,</w:t>
      </w:r>
      <w:r w:rsidR="00D91C59" w:rsidRPr="00D91C59">
        <w:rPr>
          <w:color w:val="000000"/>
          <w:sz w:val="24"/>
          <w:szCs w:val="24"/>
          <w:highlight w:val="yellow"/>
        </w:rPr>
        <w:t>246</w:t>
      </w:r>
      <w:r w:rsidRPr="00D91C59">
        <w:rPr>
          <w:color w:val="000000"/>
          <w:sz w:val="24"/>
          <w:szCs w:val="24"/>
          <w:highlight w:val="yellow"/>
        </w:rPr>
        <w:t>,3</w:t>
      </w:r>
      <w:r w:rsidR="00D91C59" w:rsidRPr="00D91C59">
        <w:rPr>
          <w:color w:val="000000"/>
          <w:sz w:val="24"/>
          <w:szCs w:val="24"/>
          <w:highlight w:val="yellow"/>
        </w:rPr>
        <w:t>7</w:t>
      </w:r>
      <w:r w:rsidRPr="00D91C59">
        <w:rPr>
          <w:color w:val="000000"/>
          <w:sz w:val="24"/>
          <w:szCs w:val="24"/>
          <w:highlight w:val="yellow"/>
        </w:rPr>
        <w:t xml:space="preserve">2 </w:t>
      </w:r>
      <w:r w:rsidR="00583285" w:rsidRPr="00D91C59">
        <w:rPr>
          <w:sz w:val="24"/>
          <w:szCs w:val="24"/>
          <w:highlight w:val="yellow"/>
        </w:rPr>
        <w:t>(see</w:t>
      </w:r>
      <w:r w:rsidR="00583285" w:rsidRPr="005F0357">
        <w:rPr>
          <w:sz w:val="24"/>
          <w:szCs w:val="24"/>
          <w:highlight w:val="yellow"/>
        </w:rPr>
        <w:t xml:space="preserve"> Table A.14-1)</w:t>
      </w:r>
      <w:r w:rsidR="00464748" w:rsidRPr="005F0357">
        <w:rPr>
          <w:sz w:val="24"/>
          <w:szCs w:val="24"/>
          <w:highlight w:val="yellow"/>
        </w:rPr>
        <w:t xml:space="preserve">.  This includes contract costs for </w:t>
      </w:r>
      <w:r w:rsidR="003A2E2B" w:rsidRPr="005F0357">
        <w:rPr>
          <w:sz w:val="24"/>
          <w:szCs w:val="24"/>
          <w:highlight w:val="yellow"/>
        </w:rPr>
        <w:t xml:space="preserve">the AHS </w:t>
      </w:r>
      <w:r w:rsidR="00464748" w:rsidRPr="005F0357">
        <w:rPr>
          <w:sz w:val="24"/>
          <w:szCs w:val="24"/>
          <w:highlight w:val="yellow"/>
        </w:rPr>
        <w:t>Coordinating Center (Westat, Inc.)</w:t>
      </w:r>
      <w:r>
        <w:rPr>
          <w:sz w:val="24"/>
          <w:szCs w:val="24"/>
          <w:highlight w:val="yellow"/>
        </w:rPr>
        <w:t xml:space="preserve"> </w:t>
      </w:r>
      <w:r w:rsidR="0006736C">
        <w:rPr>
          <w:sz w:val="24"/>
          <w:szCs w:val="24"/>
          <w:highlight w:val="yellow"/>
        </w:rPr>
        <w:t>prime</w:t>
      </w:r>
      <w:r w:rsidR="00464748" w:rsidRPr="005F0357">
        <w:rPr>
          <w:sz w:val="24"/>
          <w:szCs w:val="24"/>
          <w:highlight w:val="yellow"/>
        </w:rPr>
        <w:t>, the University of Iowa</w:t>
      </w:r>
      <w:r w:rsidR="0006736C">
        <w:rPr>
          <w:sz w:val="24"/>
          <w:szCs w:val="24"/>
          <w:highlight w:val="yellow"/>
        </w:rPr>
        <w:t xml:space="preserve"> sub-contractor to Westat</w:t>
      </w:r>
      <w:r w:rsidR="00464748" w:rsidRPr="005F0357">
        <w:rPr>
          <w:sz w:val="24"/>
          <w:szCs w:val="24"/>
          <w:highlight w:val="yellow"/>
        </w:rPr>
        <w:t xml:space="preserve">, </w:t>
      </w:r>
      <w:r w:rsidR="003A2E2B" w:rsidRPr="005F0357">
        <w:rPr>
          <w:sz w:val="24"/>
          <w:szCs w:val="24"/>
          <w:highlight w:val="yellow"/>
        </w:rPr>
        <w:t xml:space="preserve">the AHS Health Follow </w:t>
      </w:r>
      <w:proofErr w:type="gramStart"/>
      <w:r w:rsidR="003A2E2B" w:rsidRPr="005F0357">
        <w:rPr>
          <w:sz w:val="24"/>
          <w:szCs w:val="24"/>
          <w:highlight w:val="yellow"/>
        </w:rPr>
        <w:t>Up</w:t>
      </w:r>
      <w:proofErr w:type="gramEnd"/>
      <w:r w:rsidR="003A2E2B" w:rsidRPr="005F0357">
        <w:rPr>
          <w:sz w:val="24"/>
          <w:szCs w:val="24"/>
          <w:highlight w:val="yellow"/>
        </w:rPr>
        <w:t xml:space="preserve"> Coordinating Center </w:t>
      </w:r>
      <w:r w:rsidR="003A2E2B" w:rsidRPr="005F0357">
        <w:rPr>
          <w:sz w:val="24"/>
          <w:szCs w:val="24"/>
          <w:highlight w:val="yellow"/>
        </w:rPr>
        <w:lastRenderedPageBreak/>
        <w:t>(Social &amp; Scientific Systems, Inc.)</w:t>
      </w:r>
      <w:r w:rsidR="00086F5A" w:rsidRPr="005F0357">
        <w:rPr>
          <w:sz w:val="24"/>
          <w:highlight w:val="yellow"/>
        </w:rPr>
        <w:t xml:space="preserve"> and various collaborating and contract laboratories.  Estimated costs for NCI </w:t>
      </w:r>
      <w:r w:rsidR="003A2E2B" w:rsidRPr="005F0357">
        <w:rPr>
          <w:sz w:val="24"/>
          <w:highlight w:val="yellow"/>
        </w:rPr>
        <w:t xml:space="preserve">and NIEHS </w:t>
      </w:r>
      <w:r w:rsidR="00086F5A" w:rsidRPr="005F0357">
        <w:rPr>
          <w:sz w:val="24"/>
          <w:highlight w:val="yellow"/>
        </w:rPr>
        <w:t>staff time are also included.</w:t>
      </w:r>
    </w:p>
    <w:p w:rsidR="00086F5A" w:rsidRPr="0098479D" w:rsidRDefault="00086F5A" w:rsidP="00B0545A">
      <w:pPr>
        <w:rPr>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2"/>
        <w:gridCol w:w="1728"/>
        <w:gridCol w:w="1728"/>
        <w:gridCol w:w="1890"/>
      </w:tblGrid>
      <w:tr w:rsidR="00086F5A" w:rsidRPr="0098479D" w:rsidTr="0049396B">
        <w:trPr>
          <w:trHeight w:val="440"/>
        </w:trPr>
        <w:tc>
          <w:tcPr>
            <w:tcW w:w="9738" w:type="dxa"/>
            <w:gridSpan w:val="4"/>
            <w:tcBorders>
              <w:top w:val="single" w:sz="4" w:space="0" w:color="auto"/>
              <w:left w:val="single" w:sz="4" w:space="0" w:color="auto"/>
              <w:bottom w:val="single" w:sz="4" w:space="0" w:color="auto"/>
              <w:right w:val="single" w:sz="4" w:space="0" w:color="auto"/>
            </w:tcBorders>
            <w:vAlign w:val="center"/>
          </w:tcPr>
          <w:p w:rsidR="00086F5A" w:rsidRPr="0098479D" w:rsidRDefault="00086F5A" w:rsidP="00B0545A">
            <w:pPr>
              <w:pStyle w:val="TT-TableTitle"/>
              <w:keepNext/>
              <w:spacing w:line="480" w:lineRule="auto"/>
              <w:rPr>
                <w:b/>
                <w:sz w:val="24"/>
                <w:szCs w:val="24"/>
              </w:rPr>
            </w:pPr>
            <w:r w:rsidRPr="0098479D">
              <w:rPr>
                <w:b/>
                <w:sz w:val="24"/>
                <w:szCs w:val="24"/>
              </w:rPr>
              <w:t>TABLE A.14-1. ANNUALIZED COSTS TO THE FEDERAL GOVERNMENT</w:t>
            </w:r>
          </w:p>
        </w:tc>
      </w:tr>
      <w:tr w:rsidR="00086F5A" w:rsidRPr="0098479D" w:rsidTr="0049396B">
        <w:trPr>
          <w:trHeight w:val="369"/>
        </w:trPr>
        <w:tc>
          <w:tcPr>
            <w:tcW w:w="4392" w:type="dxa"/>
            <w:vAlign w:val="center"/>
          </w:tcPr>
          <w:p w:rsidR="00086F5A" w:rsidRPr="0098479D" w:rsidRDefault="00086F5A" w:rsidP="00B0545A">
            <w:pPr>
              <w:pStyle w:val="SL-FlLftSgl"/>
              <w:keepNext/>
              <w:spacing w:line="240" w:lineRule="auto"/>
              <w:jc w:val="left"/>
              <w:rPr>
                <w:color w:val="000000"/>
                <w:szCs w:val="22"/>
              </w:rPr>
            </w:pPr>
          </w:p>
        </w:tc>
        <w:tc>
          <w:tcPr>
            <w:tcW w:w="1728" w:type="dxa"/>
            <w:vAlign w:val="center"/>
          </w:tcPr>
          <w:p w:rsidR="00086F5A" w:rsidRPr="0098479D" w:rsidRDefault="00086F5A" w:rsidP="00B0545A">
            <w:pPr>
              <w:pStyle w:val="SL-FlLftSgl"/>
              <w:keepNext/>
              <w:tabs>
                <w:tab w:val="decimal" w:pos="1224"/>
              </w:tabs>
              <w:spacing w:line="240" w:lineRule="auto"/>
              <w:ind w:left="144" w:right="144"/>
              <w:jc w:val="left"/>
              <w:rPr>
                <w:color w:val="000000"/>
                <w:szCs w:val="22"/>
              </w:rPr>
            </w:pPr>
            <w:r w:rsidRPr="0098479D">
              <w:rPr>
                <w:color w:val="000000"/>
                <w:szCs w:val="22"/>
              </w:rPr>
              <w:t>Labor Hours</w:t>
            </w:r>
          </w:p>
        </w:tc>
        <w:tc>
          <w:tcPr>
            <w:tcW w:w="1728" w:type="dxa"/>
            <w:vAlign w:val="center"/>
          </w:tcPr>
          <w:p w:rsidR="00086F5A" w:rsidRPr="0098479D" w:rsidRDefault="00086F5A" w:rsidP="00B0545A">
            <w:pPr>
              <w:pStyle w:val="SL-FlLftSgl"/>
              <w:keepNext/>
              <w:tabs>
                <w:tab w:val="decimal" w:pos="1224"/>
              </w:tabs>
              <w:spacing w:line="240" w:lineRule="auto"/>
              <w:ind w:left="144" w:right="144"/>
              <w:jc w:val="left"/>
              <w:rPr>
                <w:color w:val="000000"/>
                <w:szCs w:val="22"/>
              </w:rPr>
            </w:pPr>
            <w:r w:rsidRPr="0098479D">
              <w:rPr>
                <w:color w:val="000000"/>
                <w:szCs w:val="22"/>
              </w:rPr>
              <w:t>Wage Rate</w:t>
            </w:r>
          </w:p>
        </w:tc>
        <w:tc>
          <w:tcPr>
            <w:tcW w:w="1890" w:type="dxa"/>
            <w:vAlign w:val="center"/>
          </w:tcPr>
          <w:p w:rsidR="00086F5A" w:rsidRPr="0098479D" w:rsidRDefault="00086F5A" w:rsidP="00B0545A">
            <w:pPr>
              <w:pStyle w:val="SL-FlLftSgl"/>
              <w:keepNext/>
              <w:tabs>
                <w:tab w:val="decimal" w:pos="1224"/>
              </w:tabs>
              <w:spacing w:line="240" w:lineRule="auto"/>
              <w:ind w:left="144" w:right="144"/>
              <w:jc w:val="left"/>
              <w:rPr>
                <w:color w:val="000000"/>
                <w:szCs w:val="22"/>
              </w:rPr>
            </w:pPr>
            <w:r w:rsidRPr="0098479D">
              <w:rPr>
                <w:color w:val="000000"/>
                <w:szCs w:val="22"/>
              </w:rPr>
              <w:t>Total Cost</w:t>
            </w:r>
          </w:p>
        </w:tc>
      </w:tr>
      <w:tr w:rsidR="00086F5A" w:rsidRPr="0098479D" w:rsidTr="0049396B">
        <w:trPr>
          <w:trHeight w:val="332"/>
        </w:trPr>
        <w:tc>
          <w:tcPr>
            <w:tcW w:w="4392" w:type="dxa"/>
            <w:vAlign w:val="center"/>
          </w:tcPr>
          <w:p w:rsidR="00086F5A" w:rsidRPr="0098479D" w:rsidRDefault="0006736C" w:rsidP="00B0545A">
            <w:pPr>
              <w:pStyle w:val="SL-FlLftSgl"/>
              <w:keepNext/>
              <w:spacing w:line="240" w:lineRule="auto"/>
              <w:jc w:val="left"/>
              <w:rPr>
                <w:color w:val="000000"/>
                <w:szCs w:val="22"/>
              </w:rPr>
            </w:pPr>
            <w:r>
              <w:rPr>
                <w:color w:val="000000"/>
                <w:szCs w:val="22"/>
              </w:rPr>
              <w:t xml:space="preserve">AHS </w:t>
            </w:r>
            <w:r w:rsidR="00086F5A" w:rsidRPr="0098479D">
              <w:rPr>
                <w:color w:val="000000"/>
                <w:szCs w:val="22"/>
              </w:rPr>
              <w:t>Coordinating Center (Westat Inc.)</w:t>
            </w:r>
          </w:p>
        </w:tc>
        <w:tc>
          <w:tcPr>
            <w:tcW w:w="1728" w:type="dxa"/>
            <w:vAlign w:val="center"/>
          </w:tcPr>
          <w:p w:rsidR="00086F5A" w:rsidRPr="0098479D" w:rsidRDefault="003149C8" w:rsidP="00B0545A">
            <w:pPr>
              <w:pStyle w:val="SL-FlLftSgl"/>
              <w:keepNext/>
              <w:tabs>
                <w:tab w:val="decimal" w:pos="1224"/>
              </w:tabs>
              <w:spacing w:line="240" w:lineRule="auto"/>
              <w:ind w:left="144" w:right="144"/>
              <w:jc w:val="left"/>
              <w:rPr>
                <w:color w:val="000000"/>
                <w:szCs w:val="22"/>
              </w:rPr>
            </w:pPr>
            <w:r w:rsidRPr="003149C8">
              <w:rPr>
                <w:color w:val="000000"/>
                <w:szCs w:val="22"/>
                <w:highlight w:val="yellow"/>
              </w:rPr>
              <w:t>2,918</w:t>
            </w:r>
          </w:p>
        </w:tc>
        <w:tc>
          <w:tcPr>
            <w:tcW w:w="1728" w:type="dxa"/>
            <w:vAlign w:val="center"/>
          </w:tcPr>
          <w:p w:rsidR="00086F5A" w:rsidRPr="0098479D" w:rsidRDefault="003149C8" w:rsidP="00B0545A">
            <w:pPr>
              <w:pStyle w:val="SL-FlLftSgl"/>
              <w:keepNext/>
              <w:tabs>
                <w:tab w:val="decimal" w:pos="1224"/>
              </w:tabs>
              <w:spacing w:line="240" w:lineRule="auto"/>
              <w:ind w:left="144" w:right="144"/>
              <w:jc w:val="left"/>
              <w:rPr>
                <w:color w:val="000000"/>
                <w:szCs w:val="22"/>
              </w:rPr>
            </w:pPr>
            <w:r w:rsidRPr="003149C8">
              <w:rPr>
                <w:color w:val="000000"/>
                <w:szCs w:val="22"/>
                <w:highlight w:val="yellow"/>
              </w:rPr>
              <w:t>$98.36</w:t>
            </w:r>
          </w:p>
        </w:tc>
        <w:tc>
          <w:tcPr>
            <w:tcW w:w="1890" w:type="dxa"/>
            <w:vAlign w:val="center"/>
          </w:tcPr>
          <w:p w:rsidR="00086F5A" w:rsidRPr="0049396B" w:rsidRDefault="003149C8" w:rsidP="0049396B">
            <w:pPr>
              <w:pStyle w:val="SL-FlLftSgl"/>
              <w:keepNext/>
              <w:tabs>
                <w:tab w:val="decimal" w:pos="1224"/>
              </w:tabs>
              <w:spacing w:line="240" w:lineRule="auto"/>
              <w:ind w:left="144" w:right="144"/>
              <w:jc w:val="right"/>
              <w:rPr>
                <w:color w:val="000000"/>
                <w:szCs w:val="22"/>
                <w:highlight w:val="yellow"/>
              </w:rPr>
            </w:pPr>
            <w:r w:rsidRPr="0049396B">
              <w:rPr>
                <w:color w:val="000000"/>
                <w:szCs w:val="22"/>
                <w:highlight w:val="yellow"/>
              </w:rPr>
              <w:t>$287,01</w:t>
            </w:r>
            <w:r w:rsidR="0049396B" w:rsidRPr="0049396B">
              <w:rPr>
                <w:color w:val="000000"/>
                <w:szCs w:val="22"/>
                <w:highlight w:val="yellow"/>
              </w:rPr>
              <w:t>4.48</w:t>
            </w:r>
          </w:p>
        </w:tc>
      </w:tr>
      <w:tr w:rsidR="00086F5A" w:rsidRPr="0098479D" w:rsidTr="0049396B">
        <w:trPr>
          <w:trHeight w:val="351"/>
        </w:trPr>
        <w:tc>
          <w:tcPr>
            <w:tcW w:w="4392" w:type="dxa"/>
            <w:vAlign w:val="center"/>
          </w:tcPr>
          <w:p w:rsidR="00086F5A" w:rsidRPr="0098479D" w:rsidRDefault="00086F5A" w:rsidP="00B0545A">
            <w:pPr>
              <w:pStyle w:val="SL-FlLftSgl"/>
              <w:keepNext/>
              <w:spacing w:line="240" w:lineRule="auto"/>
              <w:jc w:val="left"/>
              <w:rPr>
                <w:color w:val="000000"/>
                <w:szCs w:val="22"/>
              </w:rPr>
            </w:pPr>
            <w:r w:rsidRPr="0098479D">
              <w:rPr>
                <w:color w:val="000000"/>
                <w:szCs w:val="22"/>
              </w:rPr>
              <w:t>University of Iowa</w:t>
            </w:r>
          </w:p>
        </w:tc>
        <w:tc>
          <w:tcPr>
            <w:tcW w:w="1728" w:type="dxa"/>
            <w:vAlign w:val="center"/>
          </w:tcPr>
          <w:p w:rsidR="00086F5A" w:rsidRPr="0098479D" w:rsidRDefault="003149C8" w:rsidP="00B0545A">
            <w:pPr>
              <w:pStyle w:val="SL-FlLftSgl"/>
              <w:keepNext/>
              <w:tabs>
                <w:tab w:val="decimal" w:pos="1224"/>
              </w:tabs>
              <w:spacing w:line="240" w:lineRule="auto"/>
              <w:ind w:left="144" w:right="144"/>
              <w:jc w:val="left"/>
              <w:rPr>
                <w:color w:val="000000"/>
                <w:szCs w:val="22"/>
              </w:rPr>
            </w:pPr>
            <w:r w:rsidRPr="003149C8">
              <w:rPr>
                <w:color w:val="000000"/>
                <w:szCs w:val="22"/>
                <w:highlight w:val="yellow"/>
              </w:rPr>
              <w:t>4,074</w:t>
            </w:r>
          </w:p>
        </w:tc>
        <w:tc>
          <w:tcPr>
            <w:tcW w:w="1728" w:type="dxa"/>
            <w:vAlign w:val="center"/>
          </w:tcPr>
          <w:p w:rsidR="00086F5A" w:rsidRPr="0098479D" w:rsidRDefault="003149C8" w:rsidP="00B0545A">
            <w:pPr>
              <w:pStyle w:val="SL-FlLftSgl"/>
              <w:keepNext/>
              <w:tabs>
                <w:tab w:val="decimal" w:pos="1224"/>
              </w:tabs>
              <w:spacing w:line="240" w:lineRule="auto"/>
              <w:ind w:left="144" w:right="144"/>
              <w:jc w:val="left"/>
              <w:rPr>
                <w:color w:val="000000"/>
                <w:szCs w:val="22"/>
              </w:rPr>
            </w:pPr>
            <w:r w:rsidRPr="003149C8">
              <w:rPr>
                <w:color w:val="000000"/>
                <w:szCs w:val="22"/>
                <w:highlight w:val="yellow"/>
              </w:rPr>
              <w:t>$66.81</w:t>
            </w:r>
          </w:p>
        </w:tc>
        <w:tc>
          <w:tcPr>
            <w:tcW w:w="1890" w:type="dxa"/>
            <w:vAlign w:val="center"/>
          </w:tcPr>
          <w:p w:rsidR="00086F5A" w:rsidRPr="0049396B" w:rsidRDefault="003149C8" w:rsidP="0049396B">
            <w:pPr>
              <w:pStyle w:val="SL-FlLftSgl"/>
              <w:keepNext/>
              <w:tabs>
                <w:tab w:val="decimal" w:pos="1224"/>
              </w:tabs>
              <w:spacing w:line="240" w:lineRule="auto"/>
              <w:ind w:left="144" w:right="144"/>
              <w:jc w:val="right"/>
              <w:rPr>
                <w:color w:val="000000"/>
                <w:szCs w:val="22"/>
                <w:highlight w:val="yellow"/>
              </w:rPr>
            </w:pPr>
            <w:r w:rsidRPr="0049396B">
              <w:rPr>
                <w:color w:val="000000"/>
                <w:szCs w:val="22"/>
                <w:highlight w:val="yellow"/>
              </w:rPr>
              <w:t>$272,18</w:t>
            </w:r>
            <w:r w:rsidR="0049396B" w:rsidRPr="0049396B">
              <w:rPr>
                <w:color w:val="000000"/>
                <w:szCs w:val="22"/>
                <w:highlight w:val="yellow"/>
              </w:rPr>
              <w:t>3.94</w:t>
            </w:r>
          </w:p>
        </w:tc>
      </w:tr>
      <w:tr w:rsidR="00086F5A" w:rsidRPr="0098479D" w:rsidTr="0049396B">
        <w:trPr>
          <w:trHeight w:val="360"/>
        </w:trPr>
        <w:tc>
          <w:tcPr>
            <w:tcW w:w="4392" w:type="dxa"/>
            <w:vAlign w:val="center"/>
          </w:tcPr>
          <w:p w:rsidR="00086F5A" w:rsidRPr="0098479D" w:rsidRDefault="00E31154" w:rsidP="00B0545A">
            <w:pPr>
              <w:pStyle w:val="SL-FlLftSgl"/>
              <w:keepNext/>
              <w:spacing w:line="240" w:lineRule="auto"/>
              <w:jc w:val="left"/>
              <w:rPr>
                <w:color w:val="000000"/>
                <w:szCs w:val="22"/>
              </w:rPr>
            </w:pPr>
            <w:r>
              <w:rPr>
                <w:color w:val="000000"/>
                <w:szCs w:val="22"/>
              </w:rPr>
              <w:t xml:space="preserve"> </w:t>
            </w:r>
            <w:r w:rsidRPr="003149C8">
              <w:rPr>
                <w:color w:val="000000"/>
                <w:szCs w:val="22"/>
                <w:highlight w:val="yellow"/>
              </w:rPr>
              <w:t>Social &amp; Scientific Systems, Inc.</w:t>
            </w:r>
          </w:p>
        </w:tc>
        <w:tc>
          <w:tcPr>
            <w:tcW w:w="1728" w:type="dxa"/>
            <w:vAlign w:val="center"/>
          </w:tcPr>
          <w:p w:rsidR="00086F5A" w:rsidRPr="003149C8" w:rsidRDefault="003149C8" w:rsidP="00B0545A">
            <w:pPr>
              <w:pStyle w:val="SL-FlLftSgl"/>
              <w:keepNext/>
              <w:tabs>
                <w:tab w:val="decimal" w:pos="1224"/>
              </w:tabs>
              <w:spacing w:line="240" w:lineRule="auto"/>
              <w:ind w:left="144" w:right="144"/>
              <w:jc w:val="left"/>
              <w:rPr>
                <w:color w:val="000000"/>
                <w:szCs w:val="22"/>
                <w:highlight w:val="yellow"/>
              </w:rPr>
            </w:pPr>
            <w:r w:rsidRPr="003149C8">
              <w:rPr>
                <w:color w:val="000000"/>
                <w:szCs w:val="22"/>
                <w:highlight w:val="yellow"/>
              </w:rPr>
              <w:t>10,346</w:t>
            </w:r>
          </w:p>
        </w:tc>
        <w:tc>
          <w:tcPr>
            <w:tcW w:w="1728" w:type="dxa"/>
            <w:vAlign w:val="center"/>
          </w:tcPr>
          <w:p w:rsidR="00086F5A" w:rsidRPr="003149C8" w:rsidRDefault="003149C8" w:rsidP="00B0545A">
            <w:pPr>
              <w:pStyle w:val="SL-FlLftSgl"/>
              <w:keepNext/>
              <w:tabs>
                <w:tab w:val="decimal" w:pos="1224"/>
              </w:tabs>
              <w:spacing w:line="240" w:lineRule="auto"/>
              <w:ind w:left="144" w:right="144"/>
              <w:jc w:val="left"/>
              <w:rPr>
                <w:color w:val="000000"/>
                <w:szCs w:val="22"/>
                <w:highlight w:val="yellow"/>
              </w:rPr>
            </w:pPr>
            <w:r w:rsidRPr="003149C8">
              <w:rPr>
                <w:color w:val="000000"/>
                <w:szCs w:val="22"/>
                <w:highlight w:val="yellow"/>
              </w:rPr>
              <w:t>$55.03</w:t>
            </w:r>
          </w:p>
        </w:tc>
        <w:tc>
          <w:tcPr>
            <w:tcW w:w="1890" w:type="dxa"/>
            <w:vAlign w:val="center"/>
          </w:tcPr>
          <w:p w:rsidR="00086F5A" w:rsidRPr="0049396B" w:rsidRDefault="003149C8" w:rsidP="0049396B">
            <w:pPr>
              <w:pStyle w:val="SL-FlLftSgl"/>
              <w:keepNext/>
              <w:tabs>
                <w:tab w:val="decimal" w:pos="1224"/>
              </w:tabs>
              <w:spacing w:line="240" w:lineRule="auto"/>
              <w:ind w:left="144" w:right="144"/>
              <w:jc w:val="right"/>
              <w:rPr>
                <w:color w:val="000000"/>
                <w:szCs w:val="22"/>
                <w:highlight w:val="yellow"/>
              </w:rPr>
            </w:pPr>
            <w:r w:rsidRPr="0049396B">
              <w:rPr>
                <w:color w:val="000000"/>
                <w:szCs w:val="22"/>
                <w:highlight w:val="yellow"/>
              </w:rPr>
              <w:t>$</w:t>
            </w:r>
            <w:r w:rsidR="0049396B" w:rsidRPr="0049396B">
              <w:rPr>
                <w:color w:val="000000"/>
                <w:szCs w:val="22"/>
                <w:highlight w:val="yellow"/>
              </w:rPr>
              <w:t>569,340.38</w:t>
            </w:r>
          </w:p>
        </w:tc>
      </w:tr>
      <w:tr w:rsidR="00086F5A" w:rsidRPr="0098479D" w:rsidTr="0049396B">
        <w:trPr>
          <w:trHeight w:val="360"/>
        </w:trPr>
        <w:tc>
          <w:tcPr>
            <w:tcW w:w="4392" w:type="dxa"/>
            <w:vAlign w:val="center"/>
          </w:tcPr>
          <w:p w:rsidR="00086F5A" w:rsidRPr="0098479D" w:rsidRDefault="00086F5A" w:rsidP="00B0545A">
            <w:pPr>
              <w:pStyle w:val="SL-FlLftSgl"/>
              <w:keepNext/>
              <w:spacing w:line="240" w:lineRule="auto"/>
              <w:jc w:val="left"/>
              <w:rPr>
                <w:color w:val="000000"/>
                <w:szCs w:val="22"/>
              </w:rPr>
            </w:pPr>
          </w:p>
        </w:tc>
        <w:tc>
          <w:tcPr>
            <w:tcW w:w="1728" w:type="dxa"/>
            <w:vAlign w:val="center"/>
          </w:tcPr>
          <w:p w:rsidR="00086F5A" w:rsidRPr="0098479D" w:rsidRDefault="00086F5A" w:rsidP="00B0545A">
            <w:pPr>
              <w:pStyle w:val="SL-FlLftSgl"/>
              <w:keepNext/>
              <w:tabs>
                <w:tab w:val="decimal" w:pos="1224"/>
              </w:tabs>
              <w:spacing w:line="240" w:lineRule="auto"/>
              <w:ind w:left="144" w:right="144"/>
              <w:jc w:val="left"/>
              <w:rPr>
                <w:color w:val="000000"/>
                <w:szCs w:val="22"/>
              </w:rPr>
            </w:pPr>
          </w:p>
        </w:tc>
        <w:tc>
          <w:tcPr>
            <w:tcW w:w="1728" w:type="dxa"/>
            <w:vAlign w:val="center"/>
          </w:tcPr>
          <w:p w:rsidR="00086F5A" w:rsidRPr="0098479D" w:rsidRDefault="00086F5A" w:rsidP="00B0545A">
            <w:pPr>
              <w:pStyle w:val="SL-FlLftSgl"/>
              <w:keepNext/>
              <w:tabs>
                <w:tab w:val="decimal" w:pos="1224"/>
              </w:tabs>
              <w:spacing w:line="240" w:lineRule="auto"/>
              <w:ind w:left="144" w:right="144"/>
              <w:jc w:val="left"/>
              <w:rPr>
                <w:color w:val="000000"/>
                <w:szCs w:val="22"/>
              </w:rPr>
            </w:pPr>
          </w:p>
        </w:tc>
        <w:tc>
          <w:tcPr>
            <w:tcW w:w="1890" w:type="dxa"/>
            <w:vAlign w:val="center"/>
          </w:tcPr>
          <w:p w:rsidR="00086F5A" w:rsidRPr="0049396B" w:rsidRDefault="00086F5A" w:rsidP="0049396B">
            <w:pPr>
              <w:pStyle w:val="SL-FlLftSgl"/>
              <w:keepNext/>
              <w:tabs>
                <w:tab w:val="decimal" w:pos="1224"/>
              </w:tabs>
              <w:spacing w:line="240" w:lineRule="auto"/>
              <w:ind w:left="144" w:right="144"/>
              <w:jc w:val="right"/>
              <w:rPr>
                <w:color w:val="000000"/>
                <w:szCs w:val="22"/>
                <w:highlight w:val="yellow"/>
              </w:rPr>
            </w:pPr>
          </w:p>
        </w:tc>
      </w:tr>
      <w:tr w:rsidR="00086F5A" w:rsidRPr="0098479D" w:rsidTr="0049396B">
        <w:trPr>
          <w:trHeight w:val="360"/>
        </w:trPr>
        <w:tc>
          <w:tcPr>
            <w:tcW w:w="7848" w:type="dxa"/>
            <w:gridSpan w:val="3"/>
            <w:vAlign w:val="center"/>
          </w:tcPr>
          <w:p w:rsidR="00086F5A" w:rsidRPr="0098479D" w:rsidRDefault="00086F5A" w:rsidP="00B0545A">
            <w:pPr>
              <w:pStyle w:val="SL-FlLftSgl"/>
              <w:keepNext/>
              <w:tabs>
                <w:tab w:val="decimal" w:pos="1224"/>
              </w:tabs>
              <w:spacing w:line="240" w:lineRule="auto"/>
              <w:ind w:left="144" w:right="144"/>
              <w:jc w:val="left"/>
              <w:rPr>
                <w:color w:val="000000"/>
                <w:szCs w:val="22"/>
              </w:rPr>
            </w:pPr>
            <w:r w:rsidRPr="0098479D">
              <w:rPr>
                <w:color w:val="000000"/>
                <w:szCs w:val="22"/>
              </w:rPr>
              <w:tab/>
              <w:t>TOTAL CONTRACTOR COST</w:t>
            </w:r>
          </w:p>
        </w:tc>
        <w:tc>
          <w:tcPr>
            <w:tcW w:w="1890" w:type="dxa"/>
            <w:vAlign w:val="center"/>
          </w:tcPr>
          <w:p w:rsidR="00086F5A" w:rsidRPr="0049396B" w:rsidRDefault="00086F5A" w:rsidP="0049396B">
            <w:pPr>
              <w:pStyle w:val="SL-FlLftSgl"/>
              <w:keepNext/>
              <w:tabs>
                <w:tab w:val="decimal" w:pos="1224"/>
              </w:tabs>
              <w:spacing w:line="240" w:lineRule="auto"/>
              <w:ind w:left="144" w:right="144"/>
              <w:jc w:val="right"/>
              <w:rPr>
                <w:color w:val="000000"/>
                <w:szCs w:val="22"/>
                <w:highlight w:val="yellow"/>
              </w:rPr>
            </w:pPr>
          </w:p>
        </w:tc>
      </w:tr>
      <w:tr w:rsidR="00086F5A" w:rsidRPr="0098479D" w:rsidTr="0049396B">
        <w:trPr>
          <w:trHeight w:val="360"/>
        </w:trPr>
        <w:tc>
          <w:tcPr>
            <w:tcW w:w="4392" w:type="dxa"/>
            <w:vAlign w:val="center"/>
          </w:tcPr>
          <w:p w:rsidR="00086F5A" w:rsidRPr="0098479D" w:rsidRDefault="00086F5A" w:rsidP="00B0545A">
            <w:pPr>
              <w:pStyle w:val="SL-FlLftSgl"/>
              <w:keepNext/>
              <w:spacing w:line="240" w:lineRule="auto"/>
              <w:jc w:val="left"/>
              <w:rPr>
                <w:color w:val="000000"/>
                <w:szCs w:val="22"/>
              </w:rPr>
            </w:pPr>
            <w:r w:rsidRPr="0098479D">
              <w:rPr>
                <w:color w:val="000000"/>
                <w:szCs w:val="22"/>
              </w:rPr>
              <w:t>NCI Staff</w:t>
            </w:r>
          </w:p>
        </w:tc>
        <w:tc>
          <w:tcPr>
            <w:tcW w:w="1728" w:type="dxa"/>
            <w:shd w:val="clear" w:color="auto" w:fill="auto"/>
            <w:vAlign w:val="center"/>
          </w:tcPr>
          <w:p w:rsidR="00086F5A" w:rsidRPr="0098479D" w:rsidRDefault="003149C8" w:rsidP="00B0545A">
            <w:pPr>
              <w:pStyle w:val="SL-FlLftSgl"/>
              <w:keepNext/>
              <w:tabs>
                <w:tab w:val="decimal" w:pos="1224"/>
              </w:tabs>
              <w:spacing w:line="240" w:lineRule="auto"/>
              <w:ind w:left="144" w:right="144"/>
              <w:jc w:val="left"/>
              <w:rPr>
                <w:color w:val="000000"/>
                <w:szCs w:val="22"/>
              </w:rPr>
            </w:pPr>
            <w:r w:rsidRPr="003149C8">
              <w:rPr>
                <w:color w:val="000000"/>
                <w:szCs w:val="22"/>
                <w:highlight w:val="yellow"/>
              </w:rPr>
              <w:t>78</w:t>
            </w:r>
          </w:p>
        </w:tc>
        <w:tc>
          <w:tcPr>
            <w:tcW w:w="1728" w:type="dxa"/>
            <w:shd w:val="clear" w:color="auto" w:fill="auto"/>
            <w:vAlign w:val="center"/>
          </w:tcPr>
          <w:p w:rsidR="00086F5A" w:rsidRPr="0098479D" w:rsidRDefault="003149C8" w:rsidP="00B0545A">
            <w:pPr>
              <w:pStyle w:val="SL-FlLftSgl"/>
              <w:keepNext/>
              <w:tabs>
                <w:tab w:val="decimal" w:pos="1224"/>
              </w:tabs>
              <w:spacing w:line="240" w:lineRule="auto"/>
              <w:ind w:left="144" w:right="144"/>
              <w:jc w:val="left"/>
              <w:rPr>
                <w:color w:val="000000"/>
                <w:szCs w:val="22"/>
              </w:rPr>
            </w:pPr>
            <w:r w:rsidRPr="003149C8">
              <w:rPr>
                <w:color w:val="000000"/>
                <w:szCs w:val="22"/>
                <w:highlight w:val="yellow"/>
              </w:rPr>
              <w:t>$65</w:t>
            </w:r>
          </w:p>
        </w:tc>
        <w:tc>
          <w:tcPr>
            <w:tcW w:w="1890" w:type="dxa"/>
            <w:shd w:val="clear" w:color="auto" w:fill="auto"/>
            <w:vAlign w:val="center"/>
          </w:tcPr>
          <w:p w:rsidR="00086F5A" w:rsidRPr="0049396B" w:rsidRDefault="003149C8" w:rsidP="0049396B">
            <w:pPr>
              <w:pStyle w:val="SL-FlLftSgl"/>
              <w:keepNext/>
              <w:tabs>
                <w:tab w:val="decimal" w:pos="1224"/>
              </w:tabs>
              <w:spacing w:line="240" w:lineRule="auto"/>
              <w:ind w:left="144" w:right="144"/>
              <w:jc w:val="right"/>
              <w:rPr>
                <w:color w:val="000000"/>
                <w:szCs w:val="22"/>
                <w:highlight w:val="yellow"/>
              </w:rPr>
            </w:pPr>
            <w:r w:rsidRPr="0049396B">
              <w:rPr>
                <w:color w:val="000000"/>
                <w:szCs w:val="22"/>
                <w:highlight w:val="yellow"/>
              </w:rPr>
              <w:t>$5,070</w:t>
            </w:r>
            <w:r w:rsidR="0049396B" w:rsidRPr="0049396B">
              <w:rPr>
                <w:color w:val="000000"/>
                <w:szCs w:val="22"/>
                <w:highlight w:val="yellow"/>
              </w:rPr>
              <w:t>.00</w:t>
            </w:r>
          </w:p>
        </w:tc>
      </w:tr>
      <w:tr w:rsidR="00E31154" w:rsidRPr="0098479D" w:rsidTr="0049396B">
        <w:trPr>
          <w:trHeight w:val="360"/>
        </w:trPr>
        <w:tc>
          <w:tcPr>
            <w:tcW w:w="4392" w:type="dxa"/>
            <w:vAlign w:val="center"/>
          </w:tcPr>
          <w:p w:rsidR="00E31154" w:rsidRPr="003149C8" w:rsidRDefault="00E31154" w:rsidP="00B0545A">
            <w:pPr>
              <w:pStyle w:val="SL-FlLftSgl"/>
              <w:keepNext/>
              <w:spacing w:line="240" w:lineRule="auto"/>
              <w:jc w:val="left"/>
              <w:rPr>
                <w:color w:val="000000"/>
                <w:szCs w:val="22"/>
                <w:highlight w:val="yellow"/>
              </w:rPr>
            </w:pPr>
            <w:r w:rsidRPr="003149C8">
              <w:rPr>
                <w:color w:val="000000"/>
                <w:szCs w:val="22"/>
                <w:highlight w:val="yellow"/>
              </w:rPr>
              <w:t>NIEHS Staff</w:t>
            </w:r>
          </w:p>
        </w:tc>
        <w:tc>
          <w:tcPr>
            <w:tcW w:w="1728" w:type="dxa"/>
            <w:shd w:val="clear" w:color="auto" w:fill="auto"/>
            <w:vAlign w:val="center"/>
          </w:tcPr>
          <w:p w:rsidR="00E31154" w:rsidRPr="003149C8" w:rsidDel="003A2E2B" w:rsidRDefault="003149C8" w:rsidP="00B0545A">
            <w:pPr>
              <w:pStyle w:val="SL-FlLftSgl"/>
              <w:keepNext/>
              <w:tabs>
                <w:tab w:val="decimal" w:pos="1224"/>
              </w:tabs>
              <w:spacing w:line="240" w:lineRule="auto"/>
              <w:ind w:left="144" w:right="144"/>
              <w:jc w:val="left"/>
              <w:rPr>
                <w:color w:val="000000"/>
                <w:szCs w:val="22"/>
                <w:highlight w:val="yellow"/>
              </w:rPr>
            </w:pPr>
            <w:r w:rsidRPr="003149C8">
              <w:rPr>
                <w:color w:val="000000"/>
                <w:szCs w:val="22"/>
                <w:highlight w:val="yellow"/>
              </w:rPr>
              <w:t>72</w:t>
            </w:r>
          </w:p>
        </w:tc>
        <w:tc>
          <w:tcPr>
            <w:tcW w:w="1728" w:type="dxa"/>
            <w:shd w:val="clear" w:color="auto" w:fill="auto"/>
            <w:vAlign w:val="center"/>
          </w:tcPr>
          <w:p w:rsidR="00E31154" w:rsidRPr="003149C8" w:rsidDel="003A2E2B" w:rsidRDefault="003149C8" w:rsidP="00B0545A">
            <w:pPr>
              <w:pStyle w:val="SL-FlLftSgl"/>
              <w:keepNext/>
              <w:tabs>
                <w:tab w:val="decimal" w:pos="1224"/>
              </w:tabs>
              <w:spacing w:line="240" w:lineRule="auto"/>
              <w:ind w:left="144" w:right="144"/>
              <w:jc w:val="left"/>
              <w:rPr>
                <w:color w:val="000000"/>
                <w:szCs w:val="22"/>
                <w:highlight w:val="yellow"/>
              </w:rPr>
            </w:pPr>
            <w:r w:rsidRPr="003149C8">
              <w:rPr>
                <w:color w:val="000000"/>
                <w:szCs w:val="22"/>
                <w:highlight w:val="yellow"/>
              </w:rPr>
              <w:t>$65</w:t>
            </w:r>
          </w:p>
        </w:tc>
        <w:tc>
          <w:tcPr>
            <w:tcW w:w="1890" w:type="dxa"/>
            <w:shd w:val="clear" w:color="auto" w:fill="auto"/>
            <w:vAlign w:val="center"/>
          </w:tcPr>
          <w:p w:rsidR="00E31154" w:rsidRPr="0049396B" w:rsidDel="003A2E2B" w:rsidRDefault="0006736C" w:rsidP="0049396B">
            <w:pPr>
              <w:pStyle w:val="SL-FlLftSgl"/>
              <w:keepNext/>
              <w:tabs>
                <w:tab w:val="decimal" w:pos="1224"/>
              </w:tabs>
              <w:spacing w:line="240" w:lineRule="auto"/>
              <w:ind w:left="144" w:right="144"/>
              <w:jc w:val="right"/>
              <w:rPr>
                <w:color w:val="000000"/>
                <w:szCs w:val="22"/>
                <w:highlight w:val="yellow"/>
              </w:rPr>
            </w:pPr>
            <w:r w:rsidRPr="0049396B">
              <w:rPr>
                <w:color w:val="000000"/>
                <w:szCs w:val="22"/>
                <w:highlight w:val="yellow"/>
              </w:rPr>
              <w:t>$</w:t>
            </w:r>
            <w:r w:rsidR="003149C8" w:rsidRPr="0049396B">
              <w:rPr>
                <w:color w:val="000000"/>
                <w:szCs w:val="22"/>
                <w:highlight w:val="yellow"/>
              </w:rPr>
              <w:t>4,680</w:t>
            </w:r>
            <w:r w:rsidR="0049396B" w:rsidRPr="0049396B">
              <w:rPr>
                <w:color w:val="000000"/>
                <w:szCs w:val="22"/>
                <w:highlight w:val="yellow"/>
              </w:rPr>
              <w:t>.00</w:t>
            </w:r>
          </w:p>
        </w:tc>
      </w:tr>
      <w:tr w:rsidR="00086F5A" w:rsidRPr="0098479D" w:rsidTr="0049396B">
        <w:trPr>
          <w:trHeight w:val="360"/>
        </w:trPr>
        <w:tc>
          <w:tcPr>
            <w:tcW w:w="7848" w:type="dxa"/>
            <w:gridSpan w:val="3"/>
            <w:vAlign w:val="center"/>
          </w:tcPr>
          <w:p w:rsidR="00086F5A" w:rsidRPr="0098479D" w:rsidRDefault="00086F5A" w:rsidP="003149C8">
            <w:pPr>
              <w:pStyle w:val="SL-FlLftSgl"/>
              <w:keepNext/>
              <w:tabs>
                <w:tab w:val="decimal" w:pos="1224"/>
                <w:tab w:val="left" w:pos="2610"/>
                <w:tab w:val="left" w:pos="2880"/>
              </w:tabs>
              <w:spacing w:line="240" w:lineRule="auto"/>
              <w:ind w:right="144"/>
              <w:jc w:val="left"/>
              <w:rPr>
                <w:color w:val="000000"/>
                <w:szCs w:val="22"/>
              </w:rPr>
            </w:pPr>
            <w:r w:rsidRPr="0098479D">
              <w:rPr>
                <w:color w:val="000000"/>
                <w:szCs w:val="22"/>
              </w:rPr>
              <w:t xml:space="preserve">Other Costs including:  </w:t>
            </w:r>
            <w:r w:rsidRPr="0098479D">
              <w:rPr>
                <w:color w:val="000000"/>
                <w:szCs w:val="22"/>
              </w:rPr>
              <w:tab/>
            </w:r>
          </w:p>
        </w:tc>
        <w:tc>
          <w:tcPr>
            <w:tcW w:w="1890" w:type="dxa"/>
            <w:shd w:val="clear" w:color="auto" w:fill="auto"/>
            <w:vAlign w:val="center"/>
          </w:tcPr>
          <w:p w:rsidR="00086F5A" w:rsidRPr="0049396B" w:rsidRDefault="00086F5A" w:rsidP="0049396B">
            <w:pPr>
              <w:pStyle w:val="SL-FlLftSgl"/>
              <w:keepNext/>
              <w:tabs>
                <w:tab w:val="decimal" w:pos="1224"/>
              </w:tabs>
              <w:spacing w:line="240" w:lineRule="auto"/>
              <w:ind w:left="144" w:right="144"/>
              <w:jc w:val="right"/>
              <w:rPr>
                <w:color w:val="000000"/>
                <w:szCs w:val="22"/>
                <w:highlight w:val="yellow"/>
              </w:rPr>
            </w:pPr>
          </w:p>
        </w:tc>
      </w:tr>
      <w:tr w:rsidR="00086F5A" w:rsidRPr="0098479D" w:rsidTr="0049396B">
        <w:trPr>
          <w:trHeight w:val="360"/>
        </w:trPr>
        <w:tc>
          <w:tcPr>
            <w:tcW w:w="7848" w:type="dxa"/>
            <w:gridSpan w:val="3"/>
            <w:vAlign w:val="center"/>
          </w:tcPr>
          <w:p w:rsidR="00086F5A" w:rsidRPr="0098479D" w:rsidRDefault="00086F5A" w:rsidP="00B0545A">
            <w:pPr>
              <w:pStyle w:val="SL-FlLftSgl"/>
              <w:keepNext/>
              <w:tabs>
                <w:tab w:val="decimal" w:pos="1224"/>
                <w:tab w:val="left" w:pos="2610"/>
                <w:tab w:val="left" w:pos="2880"/>
              </w:tabs>
              <w:spacing w:line="240" w:lineRule="auto"/>
              <w:ind w:left="144" w:right="144"/>
              <w:jc w:val="left"/>
              <w:rPr>
                <w:color w:val="000000"/>
                <w:szCs w:val="22"/>
              </w:rPr>
            </w:pPr>
            <w:r w:rsidRPr="0098479D">
              <w:rPr>
                <w:color w:val="000000"/>
                <w:szCs w:val="22"/>
              </w:rPr>
              <w:t xml:space="preserve"> </w:t>
            </w:r>
            <w:r w:rsidRPr="0098479D">
              <w:rPr>
                <w:color w:val="000000"/>
                <w:szCs w:val="22"/>
              </w:rPr>
              <w:tab/>
            </w:r>
            <w:r w:rsidRPr="0098479D">
              <w:rPr>
                <w:color w:val="000000"/>
                <w:szCs w:val="22"/>
              </w:rPr>
              <w:tab/>
              <w:t>Publication of Results</w:t>
            </w:r>
          </w:p>
        </w:tc>
        <w:tc>
          <w:tcPr>
            <w:tcW w:w="1890" w:type="dxa"/>
            <w:shd w:val="clear" w:color="auto" w:fill="auto"/>
            <w:vAlign w:val="center"/>
          </w:tcPr>
          <w:p w:rsidR="00086F5A" w:rsidRPr="0049396B" w:rsidRDefault="0006736C" w:rsidP="0049396B">
            <w:pPr>
              <w:pStyle w:val="SL-FlLftSgl"/>
              <w:keepNext/>
              <w:tabs>
                <w:tab w:val="decimal" w:pos="1224"/>
              </w:tabs>
              <w:spacing w:line="240" w:lineRule="auto"/>
              <w:ind w:left="144" w:right="144"/>
              <w:jc w:val="right"/>
              <w:rPr>
                <w:color w:val="000000"/>
                <w:szCs w:val="22"/>
                <w:highlight w:val="yellow"/>
              </w:rPr>
            </w:pPr>
            <w:r w:rsidRPr="0049396B">
              <w:rPr>
                <w:color w:val="000000"/>
                <w:szCs w:val="22"/>
                <w:highlight w:val="yellow"/>
              </w:rPr>
              <w:t>$3,000</w:t>
            </w:r>
          </w:p>
        </w:tc>
      </w:tr>
      <w:tr w:rsidR="00086F5A" w:rsidRPr="0098479D" w:rsidTr="0049396B">
        <w:trPr>
          <w:trHeight w:val="360"/>
        </w:trPr>
        <w:tc>
          <w:tcPr>
            <w:tcW w:w="7848" w:type="dxa"/>
            <w:gridSpan w:val="3"/>
            <w:vAlign w:val="center"/>
          </w:tcPr>
          <w:p w:rsidR="00086F5A" w:rsidRPr="0098479D" w:rsidRDefault="00086F5A" w:rsidP="003149C8">
            <w:pPr>
              <w:pStyle w:val="SL-FlLftSgl"/>
              <w:keepNext/>
              <w:tabs>
                <w:tab w:val="decimal" w:pos="1224"/>
                <w:tab w:val="left" w:pos="2610"/>
                <w:tab w:val="left" w:pos="2880"/>
              </w:tabs>
              <w:spacing w:line="240" w:lineRule="auto"/>
              <w:ind w:left="144" w:right="144"/>
              <w:jc w:val="left"/>
              <w:rPr>
                <w:color w:val="000000"/>
                <w:szCs w:val="22"/>
              </w:rPr>
            </w:pPr>
            <w:r w:rsidRPr="0098479D">
              <w:rPr>
                <w:color w:val="000000"/>
                <w:szCs w:val="22"/>
              </w:rPr>
              <w:t xml:space="preserve"> </w:t>
            </w:r>
            <w:r w:rsidRPr="0098479D">
              <w:rPr>
                <w:color w:val="000000"/>
                <w:szCs w:val="22"/>
              </w:rPr>
              <w:tab/>
            </w:r>
            <w:r w:rsidRPr="0098479D">
              <w:rPr>
                <w:color w:val="000000"/>
                <w:szCs w:val="22"/>
              </w:rPr>
              <w:tab/>
            </w:r>
            <w:r w:rsidR="003149C8" w:rsidRPr="005965D3">
              <w:rPr>
                <w:color w:val="000000"/>
                <w:szCs w:val="22"/>
              </w:rPr>
              <w:t>Laboratory Costs</w:t>
            </w:r>
          </w:p>
        </w:tc>
        <w:tc>
          <w:tcPr>
            <w:tcW w:w="1890" w:type="dxa"/>
            <w:shd w:val="clear" w:color="auto" w:fill="auto"/>
            <w:vAlign w:val="center"/>
          </w:tcPr>
          <w:p w:rsidR="00086F5A" w:rsidRPr="0049396B" w:rsidRDefault="003149C8" w:rsidP="0049396B">
            <w:pPr>
              <w:pStyle w:val="SL-FlLftSgl"/>
              <w:keepNext/>
              <w:tabs>
                <w:tab w:val="decimal" w:pos="1224"/>
              </w:tabs>
              <w:spacing w:line="240" w:lineRule="auto"/>
              <w:ind w:left="144" w:right="144"/>
              <w:jc w:val="right"/>
              <w:rPr>
                <w:color w:val="000000"/>
                <w:szCs w:val="22"/>
                <w:highlight w:val="yellow"/>
              </w:rPr>
            </w:pPr>
            <w:r w:rsidRPr="0049396B">
              <w:rPr>
                <w:color w:val="000000"/>
                <w:szCs w:val="22"/>
                <w:highlight w:val="yellow"/>
              </w:rPr>
              <w:t>$105,083</w:t>
            </w:r>
          </w:p>
        </w:tc>
      </w:tr>
      <w:tr w:rsidR="00086F5A" w:rsidRPr="0098479D" w:rsidTr="0049396B">
        <w:trPr>
          <w:trHeight w:val="360"/>
        </w:trPr>
        <w:tc>
          <w:tcPr>
            <w:tcW w:w="7848" w:type="dxa"/>
            <w:gridSpan w:val="3"/>
            <w:vAlign w:val="center"/>
          </w:tcPr>
          <w:p w:rsidR="00086F5A" w:rsidRPr="0098479D" w:rsidRDefault="00086F5A" w:rsidP="0049396B">
            <w:pPr>
              <w:pStyle w:val="SL-FlLftSgl"/>
              <w:tabs>
                <w:tab w:val="decimal" w:pos="1224"/>
              </w:tabs>
              <w:spacing w:line="240" w:lineRule="auto"/>
              <w:ind w:left="144" w:right="144"/>
              <w:jc w:val="left"/>
              <w:rPr>
                <w:color w:val="000000"/>
                <w:szCs w:val="22"/>
              </w:rPr>
            </w:pPr>
            <w:r w:rsidRPr="0098479D">
              <w:rPr>
                <w:color w:val="000000"/>
                <w:szCs w:val="22"/>
              </w:rPr>
              <w:tab/>
              <w:t>TOTAL ANNUAL COST</w:t>
            </w:r>
          </w:p>
        </w:tc>
        <w:tc>
          <w:tcPr>
            <w:tcW w:w="1890" w:type="dxa"/>
            <w:vAlign w:val="center"/>
          </w:tcPr>
          <w:p w:rsidR="00086F5A" w:rsidRPr="0049396B" w:rsidRDefault="003149C8" w:rsidP="0049396B">
            <w:pPr>
              <w:pStyle w:val="SL-FlLftSgl"/>
              <w:tabs>
                <w:tab w:val="decimal" w:pos="1224"/>
              </w:tabs>
              <w:spacing w:line="240" w:lineRule="auto"/>
              <w:ind w:left="144" w:right="144"/>
              <w:jc w:val="right"/>
              <w:rPr>
                <w:color w:val="000000"/>
                <w:szCs w:val="22"/>
                <w:highlight w:val="yellow"/>
              </w:rPr>
            </w:pPr>
            <w:r w:rsidRPr="0049396B">
              <w:rPr>
                <w:color w:val="000000"/>
                <w:szCs w:val="22"/>
                <w:highlight w:val="yellow"/>
              </w:rPr>
              <w:t>$1,</w:t>
            </w:r>
            <w:r w:rsidR="0049396B" w:rsidRPr="0049396B">
              <w:rPr>
                <w:color w:val="000000"/>
                <w:szCs w:val="22"/>
                <w:highlight w:val="yellow"/>
              </w:rPr>
              <w:t>246</w:t>
            </w:r>
            <w:r w:rsidR="0089372D" w:rsidRPr="0049396B">
              <w:rPr>
                <w:color w:val="000000"/>
                <w:szCs w:val="22"/>
                <w:highlight w:val="yellow"/>
              </w:rPr>
              <w:t>,</w:t>
            </w:r>
            <w:r w:rsidR="0049396B" w:rsidRPr="0049396B">
              <w:rPr>
                <w:color w:val="000000"/>
                <w:szCs w:val="22"/>
                <w:highlight w:val="yellow"/>
              </w:rPr>
              <w:t>371.80</w:t>
            </w:r>
          </w:p>
        </w:tc>
      </w:tr>
    </w:tbl>
    <w:p w:rsidR="004D20D7" w:rsidRDefault="004D20D7" w:rsidP="00B0545A">
      <w:pPr>
        <w:spacing w:line="480" w:lineRule="auto"/>
        <w:rPr>
          <w:b/>
          <w:bCs/>
          <w:sz w:val="24"/>
          <w:szCs w:val="24"/>
        </w:rPr>
      </w:pPr>
    </w:p>
    <w:p w:rsidR="000F36D7" w:rsidRPr="0098479D" w:rsidRDefault="000F36D7" w:rsidP="00B0545A">
      <w:pPr>
        <w:spacing w:line="480" w:lineRule="auto"/>
        <w:rPr>
          <w:b/>
          <w:bCs/>
          <w:sz w:val="24"/>
          <w:szCs w:val="24"/>
        </w:rPr>
      </w:pPr>
    </w:p>
    <w:p w:rsidR="00325CCF" w:rsidRPr="0098479D" w:rsidRDefault="003F0F43" w:rsidP="00B0545A">
      <w:pPr>
        <w:spacing w:line="480" w:lineRule="auto"/>
        <w:rPr>
          <w:b/>
          <w:bCs/>
          <w:sz w:val="24"/>
          <w:szCs w:val="24"/>
        </w:rPr>
      </w:pPr>
      <w:r w:rsidRPr="0098479D">
        <w:rPr>
          <w:b/>
          <w:bCs/>
          <w:sz w:val="24"/>
          <w:szCs w:val="24"/>
        </w:rPr>
        <w:t>A.</w:t>
      </w:r>
      <w:r w:rsidR="00555E1A" w:rsidRPr="0098479D">
        <w:rPr>
          <w:b/>
          <w:bCs/>
          <w:sz w:val="24"/>
          <w:szCs w:val="24"/>
        </w:rPr>
        <w:t>1</w:t>
      </w:r>
      <w:r w:rsidR="00F06E61" w:rsidRPr="0098479D">
        <w:rPr>
          <w:b/>
          <w:bCs/>
          <w:sz w:val="24"/>
          <w:szCs w:val="24"/>
        </w:rPr>
        <w:t>5</w:t>
      </w:r>
      <w:r w:rsidR="00325CCF" w:rsidRPr="0098479D">
        <w:rPr>
          <w:b/>
          <w:bCs/>
          <w:sz w:val="24"/>
          <w:szCs w:val="24"/>
        </w:rPr>
        <w:t xml:space="preserve">  </w:t>
      </w:r>
      <w:r w:rsidR="00BE241C" w:rsidRPr="0098479D">
        <w:rPr>
          <w:b/>
          <w:bCs/>
          <w:sz w:val="24"/>
          <w:szCs w:val="24"/>
        </w:rPr>
        <w:t xml:space="preserve"> </w:t>
      </w:r>
      <w:r w:rsidR="00325CCF" w:rsidRPr="0098479D">
        <w:rPr>
          <w:b/>
          <w:bCs/>
          <w:sz w:val="24"/>
          <w:szCs w:val="24"/>
          <w:u w:val="single"/>
        </w:rPr>
        <w:t>Explanation for Program Changes and Adjustments</w:t>
      </w:r>
    </w:p>
    <w:p w:rsidR="00BA22A4" w:rsidRPr="00BA22A4" w:rsidRDefault="00160395" w:rsidP="00160395">
      <w:pPr>
        <w:spacing w:line="480" w:lineRule="auto"/>
        <w:rPr>
          <w:sz w:val="24"/>
          <w:szCs w:val="24"/>
          <w:highlight w:val="yellow"/>
        </w:rPr>
      </w:pPr>
      <w:r>
        <w:rPr>
          <w:sz w:val="24"/>
          <w:szCs w:val="24"/>
          <w:highlight w:val="yellow"/>
        </w:rPr>
        <w:t>This revision is a program change due to agency discretion and represents an increase in burden from</w:t>
      </w:r>
      <w:r w:rsidR="000F36D7">
        <w:rPr>
          <w:sz w:val="24"/>
          <w:szCs w:val="24"/>
          <w:highlight w:val="yellow"/>
        </w:rPr>
        <w:t xml:space="preserve"> the previous submission approv</w:t>
      </w:r>
      <w:r>
        <w:rPr>
          <w:sz w:val="24"/>
          <w:szCs w:val="24"/>
          <w:highlight w:val="yellow"/>
        </w:rPr>
        <w:t xml:space="preserve">ed in 2010.  The increase in burden for this revision is accounted for by the initiation of the phase IV follow up scheduled from February 2013 through December 2015.  </w:t>
      </w:r>
      <w:r w:rsidR="000F36D7">
        <w:rPr>
          <w:sz w:val="24"/>
          <w:szCs w:val="24"/>
          <w:highlight w:val="yellow"/>
        </w:rPr>
        <w:t>T</w:t>
      </w:r>
      <w:r w:rsidR="00BA22A4" w:rsidRPr="00BA22A4">
        <w:rPr>
          <w:sz w:val="24"/>
          <w:szCs w:val="24"/>
          <w:highlight w:val="yellow"/>
        </w:rPr>
        <w:t>he phase IV follow-up interview</w:t>
      </w:r>
      <w:r w:rsidR="000F36D7">
        <w:rPr>
          <w:sz w:val="24"/>
          <w:szCs w:val="24"/>
          <w:highlight w:val="yellow"/>
        </w:rPr>
        <w:t>s will be initiated and completed</w:t>
      </w:r>
      <w:r w:rsidR="00BA22A4" w:rsidRPr="00BA22A4">
        <w:rPr>
          <w:sz w:val="24"/>
          <w:szCs w:val="24"/>
          <w:highlight w:val="yellow"/>
        </w:rPr>
        <w:t xml:space="preserve"> (2013-2015) as well as to continue and complete the ongoing </w:t>
      </w:r>
      <w:r w:rsidR="000F36D7">
        <w:rPr>
          <w:sz w:val="24"/>
          <w:szCs w:val="24"/>
          <w:highlight w:val="yellow"/>
        </w:rPr>
        <w:t xml:space="preserve">information collection related to the </w:t>
      </w:r>
      <w:r w:rsidR="00BA22A4" w:rsidRPr="00BA22A4">
        <w:rPr>
          <w:sz w:val="24"/>
          <w:szCs w:val="24"/>
          <w:highlight w:val="yellow"/>
        </w:rPr>
        <w:t xml:space="preserve">Study of Biomarkers of Exposures Effects in Agriculture (BEEA) and </w:t>
      </w:r>
      <w:proofErr w:type="spellStart"/>
      <w:r w:rsidR="00BA22A4" w:rsidRPr="00BA22A4">
        <w:rPr>
          <w:sz w:val="24"/>
          <w:szCs w:val="24"/>
          <w:highlight w:val="yellow"/>
        </w:rPr>
        <w:t>buccal</w:t>
      </w:r>
      <w:proofErr w:type="spellEnd"/>
      <w:r w:rsidR="00BA22A4" w:rsidRPr="00BA22A4">
        <w:rPr>
          <w:sz w:val="24"/>
          <w:szCs w:val="24"/>
          <w:highlight w:val="yellow"/>
        </w:rPr>
        <w:t xml:space="preserve"> cell</w:t>
      </w:r>
      <w:r w:rsidR="000F36D7">
        <w:rPr>
          <w:sz w:val="24"/>
          <w:szCs w:val="24"/>
          <w:highlight w:val="yellow"/>
        </w:rPr>
        <w:t>s</w:t>
      </w:r>
      <w:r w:rsidR="00BA22A4" w:rsidRPr="00BA22A4">
        <w:rPr>
          <w:sz w:val="24"/>
          <w:szCs w:val="24"/>
          <w:highlight w:val="yellow"/>
        </w:rPr>
        <w:t xml:space="preserve">.  The primary objective of the AHS study remains to be determination of the health effects resulting from occupational and environmental exposures in agriculture.  We are using a similar questionnaire to ones that have been employed in previous AHS interviews to obtain information on non-cancer outcomes.  </w:t>
      </w:r>
      <w:r w:rsidR="000F36D7">
        <w:rPr>
          <w:sz w:val="24"/>
          <w:szCs w:val="24"/>
          <w:highlight w:val="yellow"/>
        </w:rPr>
        <w:lastRenderedPageBreak/>
        <w:tab/>
      </w:r>
      <w:r w:rsidR="00BA22A4" w:rsidRPr="00BA22A4">
        <w:rPr>
          <w:sz w:val="24"/>
          <w:szCs w:val="24"/>
          <w:highlight w:val="yellow"/>
        </w:rPr>
        <w:t>New for phase IV, questionnaire data will be collected by using one of three methods of the cohort member’s choosing:  self-administered computer assisted web survey; self-administered paper-and-pen; or an interviewer administered computer assisted telephone interview.  Additionally, because loss to follow up of diseased individuals is a critical issue, we have added proxy interviews for those deceased or too ill to complete themselves will be completed by using one of the three methods.</w:t>
      </w:r>
    </w:p>
    <w:p w:rsidR="00956A7A" w:rsidRDefault="00956A7A" w:rsidP="00956A7A">
      <w:pPr>
        <w:spacing w:line="480" w:lineRule="auto"/>
        <w:ind w:firstLine="720"/>
        <w:rPr>
          <w:sz w:val="24"/>
          <w:szCs w:val="24"/>
        </w:rPr>
      </w:pPr>
      <w:r w:rsidRPr="00956A7A">
        <w:rPr>
          <w:sz w:val="24"/>
          <w:szCs w:val="24"/>
          <w:highlight w:val="yellow"/>
        </w:rPr>
        <w:t xml:space="preserve">The Agricultural Health Study has been conducted through contractors since its inception.  During the current Phase of the study, there is one main contractor for the study, the AHS Coordinating Center (Westat).  Westat is responsible for cohort maintenance, conduct of the BEEA study and </w:t>
      </w:r>
      <w:proofErr w:type="spellStart"/>
      <w:r w:rsidRPr="00956A7A">
        <w:rPr>
          <w:sz w:val="24"/>
          <w:szCs w:val="24"/>
          <w:highlight w:val="yellow"/>
        </w:rPr>
        <w:t>buccal</w:t>
      </w:r>
      <w:proofErr w:type="spellEnd"/>
      <w:r w:rsidRPr="00956A7A">
        <w:rPr>
          <w:sz w:val="24"/>
          <w:szCs w:val="24"/>
          <w:highlight w:val="yellow"/>
        </w:rPr>
        <w:t xml:space="preserve"> sample collection, and regular linkage to registries to update vital status and disease.  The University of Iowa is a subcontractor to Westat.  The </w:t>
      </w:r>
      <w:r w:rsidR="00160395">
        <w:rPr>
          <w:sz w:val="24"/>
          <w:szCs w:val="24"/>
          <w:highlight w:val="yellow"/>
        </w:rPr>
        <w:t xml:space="preserve">phase IV </w:t>
      </w:r>
      <w:r w:rsidRPr="00956A7A">
        <w:rPr>
          <w:sz w:val="24"/>
          <w:szCs w:val="24"/>
          <w:highlight w:val="yellow"/>
        </w:rPr>
        <w:t>Health Follow</w:t>
      </w:r>
      <w:r w:rsidR="00D91C59">
        <w:rPr>
          <w:sz w:val="24"/>
          <w:szCs w:val="24"/>
          <w:highlight w:val="yellow"/>
        </w:rPr>
        <w:t xml:space="preserve"> U</w:t>
      </w:r>
      <w:r w:rsidRPr="00956A7A">
        <w:rPr>
          <w:sz w:val="24"/>
          <w:szCs w:val="24"/>
          <w:highlight w:val="yellow"/>
        </w:rPr>
        <w:t xml:space="preserve">p portion of the AHS is being conducted by </w:t>
      </w:r>
      <w:r w:rsidR="005965D3">
        <w:rPr>
          <w:sz w:val="24"/>
          <w:szCs w:val="24"/>
          <w:highlight w:val="yellow"/>
        </w:rPr>
        <w:t>Social &amp; Scientific Systems, Inc. (</w:t>
      </w:r>
      <w:r w:rsidRPr="00956A7A">
        <w:rPr>
          <w:sz w:val="24"/>
          <w:szCs w:val="24"/>
          <w:highlight w:val="yellow"/>
        </w:rPr>
        <w:t>SSS</w:t>
      </w:r>
      <w:r w:rsidR="005965D3">
        <w:rPr>
          <w:sz w:val="24"/>
          <w:szCs w:val="24"/>
          <w:highlight w:val="yellow"/>
        </w:rPr>
        <w:t>)</w:t>
      </w:r>
      <w:r w:rsidRPr="00956A7A">
        <w:rPr>
          <w:sz w:val="24"/>
          <w:szCs w:val="24"/>
          <w:highlight w:val="yellow"/>
        </w:rPr>
        <w:t xml:space="preserve">, the support services contractor to the NIEHS Epidemiology Branch.  SSS is acting as the AHS Health Follow </w:t>
      </w:r>
      <w:proofErr w:type="gramStart"/>
      <w:r w:rsidRPr="00956A7A">
        <w:rPr>
          <w:sz w:val="24"/>
          <w:szCs w:val="24"/>
          <w:highlight w:val="yellow"/>
        </w:rPr>
        <w:t>Up</w:t>
      </w:r>
      <w:proofErr w:type="gramEnd"/>
      <w:r w:rsidRPr="00956A7A">
        <w:rPr>
          <w:sz w:val="24"/>
          <w:szCs w:val="24"/>
          <w:highlight w:val="yellow"/>
        </w:rPr>
        <w:t xml:space="preserve"> Coordinating Center.  In this role, they will be contacting eligible cohort participants for participation in the </w:t>
      </w:r>
      <w:r w:rsidR="00160395">
        <w:rPr>
          <w:sz w:val="24"/>
          <w:szCs w:val="24"/>
          <w:highlight w:val="yellow"/>
        </w:rPr>
        <w:t>p</w:t>
      </w:r>
      <w:r w:rsidR="00160395" w:rsidRPr="00956A7A">
        <w:rPr>
          <w:sz w:val="24"/>
          <w:szCs w:val="24"/>
          <w:highlight w:val="yellow"/>
        </w:rPr>
        <w:t xml:space="preserve">hase </w:t>
      </w:r>
      <w:r w:rsidRPr="00956A7A">
        <w:rPr>
          <w:sz w:val="24"/>
          <w:szCs w:val="24"/>
          <w:highlight w:val="yellow"/>
        </w:rPr>
        <w:t>IV interview.  All cohort contacts will be coordinated with Westat to ensure that participants are not overburdened with AHS related activities.</w:t>
      </w:r>
    </w:p>
    <w:p w:rsidR="00956A7A" w:rsidRDefault="00617FE1" w:rsidP="00D91C59">
      <w:pPr>
        <w:spacing w:line="480" w:lineRule="auto"/>
        <w:ind w:firstLine="720"/>
        <w:rPr>
          <w:sz w:val="24"/>
          <w:szCs w:val="24"/>
        </w:rPr>
      </w:pPr>
      <w:r w:rsidRPr="00617FE1">
        <w:rPr>
          <w:sz w:val="24"/>
          <w:szCs w:val="24"/>
          <w:highlight w:val="yellow"/>
        </w:rPr>
        <w:t xml:space="preserve">As noted </w:t>
      </w:r>
      <w:r>
        <w:rPr>
          <w:sz w:val="24"/>
          <w:szCs w:val="24"/>
          <w:highlight w:val="yellow"/>
        </w:rPr>
        <w:t>in the introduction</w:t>
      </w:r>
      <w:r w:rsidRPr="00617FE1">
        <w:rPr>
          <w:sz w:val="24"/>
          <w:szCs w:val="24"/>
          <w:highlight w:val="yellow"/>
        </w:rPr>
        <w:t xml:space="preserve"> of this supporting statement, NIEHS will be taking the lead role in collecting updated health information for this phase of the study.  For this reason, the OMB clearance </w:t>
      </w:r>
      <w:r>
        <w:rPr>
          <w:sz w:val="24"/>
          <w:szCs w:val="24"/>
          <w:highlight w:val="yellow"/>
        </w:rPr>
        <w:t xml:space="preserve">number </w:t>
      </w:r>
      <w:r w:rsidRPr="00617FE1">
        <w:rPr>
          <w:sz w:val="24"/>
          <w:szCs w:val="24"/>
          <w:highlight w:val="yellow"/>
        </w:rPr>
        <w:t>is being transferred from NCI to NIEHS.</w:t>
      </w:r>
    </w:p>
    <w:p w:rsidR="002B5249" w:rsidRPr="0098479D" w:rsidRDefault="002B5249" w:rsidP="00B0545A">
      <w:pPr>
        <w:pStyle w:val="Heading6"/>
        <w:spacing w:before="0" w:after="0" w:line="480" w:lineRule="auto"/>
        <w:rPr>
          <w:sz w:val="24"/>
          <w:szCs w:val="24"/>
        </w:rPr>
      </w:pPr>
    </w:p>
    <w:p w:rsidR="00325CCF" w:rsidRPr="0098479D" w:rsidRDefault="003F0F43" w:rsidP="00B0545A">
      <w:pPr>
        <w:pStyle w:val="Heading6"/>
        <w:spacing w:before="0" w:after="0" w:line="480" w:lineRule="auto"/>
        <w:rPr>
          <w:sz w:val="24"/>
          <w:szCs w:val="24"/>
        </w:rPr>
      </w:pPr>
      <w:r w:rsidRPr="0098479D">
        <w:rPr>
          <w:sz w:val="24"/>
          <w:szCs w:val="24"/>
        </w:rPr>
        <w:t>A.</w:t>
      </w:r>
      <w:r w:rsidR="00F06E61" w:rsidRPr="0098479D">
        <w:rPr>
          <w:sz w:val="24"/>
          <w:szCs w:val="24"/>
        </w:rPr>
        <w:t>16</w:t>
      </w:r>
      <w:r w:rsidR="00325CCF" w:rsidRPr="0098479D">
        <w:rPr>
          <w:sz w:val="24"/>
          <w:szCs w:val="24"/>
        </w:rPr>
        <w:t xml:space="preserve"> </w:t>
      </w:r>
      <w:r w:rsidR="00907987" w:rsidRPr="0098479D">
        <w:rPr>
          <w:sz w:val="24"/>
          <w:szCs w:val="24"/>
        </w:rPr>
        <w:t xml:space="preserve"> </w:t>
      </w:r>
      <w:r w:rsidR="00325CCF" w:rsidRPr="0098479D">
        <w:rPr>
          <w:sz w:val="24"/>
          <w:szCs w:val="24"/>
        </w:rPr>
        <w:t xml:space="preserve"> </w:t>
      </w:r>
      <w:r w:rsidR="00D35913">
        <w:rPr>
          <w:sz w:val="24"/>
          <w:szCs w:val="24"/>
        </w:rPr>
        <w:tab/>
      </w:r>
      <w:r w:rsidR="00325CCF" w:rsidRPr="0098479D">
        <w:rPr>
          <w:sz w:val="24"/>
          <w:szCs w:val="24"/>
          <w:u w:val="single"/>
        </w:rPr>
        <w:t>Plans for Tabulation and Publication and Project Time Schedule</w:t>
      </w:r>
    </w:p>
    <w:p w:rsidR="00D35913" w:rsidRPr="00617FE1" w:rsidRDefault="00D35913" w:rsidP="00D35913">
      <w:pPr>
        <w:spacing w:line="480" w:lineRule="auto"/>
        <w:ind w:firstLine="720"/>
        <w:rPr>
          <w:sz w:val="24"/>
          <w:szCs w:val="24"/>
        </w:rPr>
      </w:pPr>
      <w:r w:rsidRPr="00617FE1">
        <w:rPr>
          <w:sz w:val="24"/>
          <w:szCs w:val="24"/>
        </w:rPr>
        <w:t xml:space="preserve">Data obtained from the study are being analyzed using standard procedures for cohort studies.  Cox, Poisson and logistic regression will continue to be used to evaluate cancer risks </w:t>
      </w:r>
      <w:r w:rsidRPr="00617FE1">
        <w:rPr>
          <w:sz w:val="24"/>
          <w:szCs w:val="24"/>
        </w:rPr>
        <w:lastRenderedPageBreak/>
        <w:t>from agriculture and other exposures using the EPICURE, STATA and SAS package of statistical programs.  Data will be cross-classified by age, race, and sex, but analyses by race/sex specific groups will also be performed.  Adjustments for confounding factors (e.g. smoking, alcohol, diet, etc.) will depend upon the exposures and cancers under consideration.</w:t>
      </w:r>
    </w:p>
    <w:p w:rsidR="00D35913" w:rsidRPr="0098479D" w:rsidRDefault="00D35913" w:rsidP="00D35913">
      <w:pPr>
        <w:pStyle w:val="BodyText2"/>
        <w:ind w:firstLine="720"/>
        <w:rPr>
          <w:sz w:val="24"/>
          <w:szCs w:val="24"/>
        </w:rPr>
      </w:pPr>
      <w:r w:rsidRPr="00617FE1">
        <w:rPr>
          <w:sz w:val="24"/>
          <w:szCs w:val="24"/>
        </w:rPr>
        <w:t xml:space="preserve">Analysis will proceed from the simple to the complex.  The analyses of phase I involved comparing the mortality from various diseases among farmers with the mortality experience of the entire population of the states of Iowa and North Carolina.  The disease incidence of individual farmers, their spouses, and commercial pesticide applicators compare the incidence rates among exposed subjects with rates among unexposed subjects.  The objective of these detailed analyses is to evaluate the data with respect to the relationship between cancer risk and level, frequency and duration of exposure to specific chemicals.  Currently, the analyses of phase I </w:t>
      </w:r>
      <w:proofErr w:type="gramStart"/>
      <w:r w:rsidRPr="00617FE1">
        <w:rPr>
          <w:sz w:val="24"/>
          <w:szCs w:val="24"/>
        </w:rPr>
        <w:t>has</w:t>
      </w:r>
      <w:proofErr w:type="gramEnd"/>
      <w:r w:rsidRPr="00617FE1">
        <w:rPr>
          <w:sz w:val="24"/>
          <w:szCs w:val="24"/>
        </w:rPr>
        <w:t xml:space="preserve"> been completed and is being replicated with the phase II data.</w:t>
      </w:r>
      <w:r w:rsidRPr="0098479D">
        <w:rPr>
          <w:sz w:val="24"/>
          <w:szCs w:val="24"/>
        </w:rPr>
        <w:t xml:space="preserve">  </w:t>
      </w:r>
      <w:r w:rsidRPr="00617FE1">
        <w:rPr>
          <w:sz w:val="24"/>
          <w:szCs w:val="24"/>
          <w:highlight w:val="yellow"/>
        </w:rPr>
        <w:t>The goal will be to replicate findings from the phase I data collection, when the combined data of phase</w:t>
      </w:r>
      <w:r w:rsidR="009C3127" w:rsidRPr="00617FE1">
        <w:rPr>
          <w:sz w:val="24"/>
          <w:szCs w:val="24"/>
          <w:highlight w:val="yellow"/>
        </w:rPr>
        <w:t>s</w:t>
      </w:r>
      <w:r w:rsidRPr="00617FE1">
        <w:rPr>
          <w:sz w:val="24"/>
          <w:szCs w:val="24"/>
          <w:highlight w:val="yellow"/>
        </w:rPr>
        <w:t xml:space="preserve"> I</w:t>
      </w:r>
      <w:r w:rsidRPr="009C3127">
        <w:rPr>
          <w:sz w:val="24"/>
          <w:szCs w:val="24"/>
          <w:highlight w:val="yellow"/>
        </w:rPr>
        <w:t>,</w:t>
      </w:r>
      <w:r w:rsidRPr="00617FE1">
        <w:rPr>
          <w:sz w:val="24"/>
          <w:szCs w:val="24"/>
          <w:highlight w:val="yellow"/>
        </w:rPr>
        <w:t xml:space="preserve"> II </w:t>
      </w:r>
      <w:r w:rsidRPr="009C3127">
        <w:rPr>
          <w:sz w:val="24"/>
          <w:szCs w:val="24"/>
          <w:highlight w:val="yellow"/>
        </w:rPr>
        <w:t>and III</w:t>
      </w:r>
      <w:r w:rsidRPr="00617FE1">
        <w:rPr>
          <w:sz w:val="24"/>
          <w:szCs w:val="24"/>
          <w:highlight w:val="yellow"/>
        </w:rPr>
        <w:t xml:space="preserve"> are analyzed.   </w:t>
      </w:r>
      <w:r w:rsidRPr="009C3127">
        <w:rPr>
          <w:sz w:val="24"/>
          <w:szCs w:val="24"/>
          <w:highlight w:val="yellow"/>
        </w:rPr>
        <w:t>Below is an example of a sequential series of analysis for a sel</w:t>
      </w:r>
      <w:r w:rsidRPr="00B84E7E">
        <w:rPr>
          <w:sz w:val="24"/>
          <w:szCs w:val="24"/>
          <w:highlight w:val="yellow"/>
        </w:rPr>
        <w:t>ected health outcome (e.g. cancer, other chronic diseases, respiratory or neurological symptoms) and pesticide and other agricultural exposure(s).  For analysis of cancer, health outcome information is obtained through linkage to state cancer registries.  For analysis of non-cancer outcomes, health</w:t>
      </w:r>
      <w:r w:rsidR="009C3127">
        <w:rPr>
          <w:sz w:val="24"/>
          <w:szCs w:val="24"/>
          <w:highlight w:val="yellow"/>
        </w:rPr>
        <w:t xml:space="preserve"> </w:t>
      </w:r>
      <w:r w:rsidRPr="00B84E7E">
        <w:rPr>
          <w:sz w:val="24"/>
          <w:szCs w:val="24"/>
          <w:highlight w:val="yellow"/>
        </w:rPr>
        <w:t>outcome information is obtained via participant self-report, through state mortality registry links or the US End Stage Renal Disease registry (USRDS).</w:t>
      </w:r>
    </w:p>
    <w:p w:rsidR="00D35913" w:rsidRPr="0098479D" w:rsidRDefault="00D35913" w:rsidP="00D35913">
      <w:pPr>
        <w:numPr>
          <w:ilvl w:val="0"/>
          <w:numId w:val="12"/>
        </w:numPr>
        <w:spacing w:line="480" w:lineRule="auto"/>
        <w:rPr>
          <w:sz w:val="24"/>
          <w:szCs w:val="24"/>
        </w:rPr>
      </w:pPr>
      <w:r w:rsidRPr="0098479D">
        <w:rPr>
          <w:sz w:val="24"/>
          <w:szCs w:val="24"/>
        </w:rPr>
        <w:t xml:space="preserve">Ever exposed to pesticides verses never exposed.  This will include separate analyses of farmers (both men and women), spouses of farmers who may receive exposure </w:t>
      </w:r>
      <w:r w:rsidRPr="00B84E7E">
        <w:rPr>
          <w:sz w:val="24"/>
          <w:szCs w:val="24"/>
          <w:highlight w:val="yellow"/>
        </w:rPr>
        <w:t>directly or</w:t>
      </w:r>
      <w:r>
        <w:rPr>
          <w:sz w:val="24"/>
          <w:szCs w:val="24"/>
        </w:rPr>
        <w:t xml:space="preserve"> </w:t>
      </w:r>
      <w:r w:rsidRPr="0098479D">
        <w:rPr>
          <w:sz w:val="24"/>
          <w:szCs w:val="24"/>
        </w:rPr>
        <w:t>indirectly, and commercial applicators.</w:t>
      </w:r>
    </w:p>
    <w:p w:rsidR="00D35913" w:rsidRPr="0098479D" w:rsidRDefault="00D35913" w:rsidP="00D35913">
      <w:pPr>
        <w:numPr>
          <w:ilvl w:val="0"/>
          <w:numId w:val="12"/>
        </w:numPr>
        <w:spacing w:line="480" w:lineRule="auto"/>
        <w:rPr>
          <w:sz w:val="24"/>
          <w:szCs w:val="24"/>
        </w:rPr>
      </w:pPr>
      <w:r w:rsidRPr="0098479D">
        <w:rPr>
          <w:sz w:val="24"/>
          <w:szCs w:val="24"/>
        </w:rPr>
        <w:lastRenderedPageBreak/>
        <w:t>For persons directly engaged in pesticide application i.e., farmers (both men and women) and commercial applicators, risks will be assessed by specific pesticides used by year of first use, application method, frequency of use, years of use, amount applied, use of protective equipment, frequency of mixing, time spent mixing and applying, use of tractors with and without cabs, and hygienic habits (washing, changing clothes).  Continuous variables (e.g., frequency of exposure, amount applied, etc.) will be analyzed with and without categorization.  Categories will be used to provide relative risks by limited number of strata and continuous measures provide excess relative risk per unit to exposure.  For spouses of farmers who do not engage in direct application of pesticides, analyses will assess risk from handling pesticide contaminated clothing, pesticide drift from nearby fields, transporting pesticides, and household use of pesticides.</w:t>
      </w:r>
    </w:p>
    <w:p w:rsidR="00D35913" w:rsidRPr="0098479D" w:rsidRDefault="00D35913" w:rsidP="00D35913">
      <w:pPr>
        <w:numPr>
          <w:ilvl w:val="0"/>
          <w:numId w:val="12"/>
        </w:numPr>
        <w:spacing w:line="480" w:lineRule="auto"/>
        <w:rPr>
          <w:sz w:val="24"/>
          <w:szCs w:val="24"/>
        </w:rPr>
      </w:pPr>
      <w:r w:rsidRPr="0098479D">
        <w:rPr>
          <w:sz w:val="24"/>
          <w:szCs w:val="24"/>
        </w:rPr>
        <w:t xml:space="preserve">In the sample of 1,600 study subjects from the AHS who participate in the BEEA component and who are or were directly engaged in pesticide application, the risk of preclinical disease conditions, such as MGUS, </w:t>
      </w:r>
      <w:r>
        <w:rPr>
          <w:sz w:val="24"/>
          <w:szCs w:val="24"/>
        </w:rPr>
        <w:t xml:space="preserve">will be evaluated </w:t>
      </w:r>
      <w:r w:rsidRPr="0098479D">
        <w:rPr>
          <w:sz w:val="24"/>
          <w:szCs w:val="24"/>
        </w:rPr>
        <w:t>in relation to the use of specific pesticides. Estimates of specific pesticide exposure will be quantified by years of use, application method, frequency of use, amount applied, use of protective equipment, frequency of mixing, time spent mixing and applying, use of tractors with and without cabs, and hygienic habits (washing, changing clothes).  Continuous variables will be analyzed with and without categorization.</w:t>
      </w:r>
    </w:p>
    <w:p w:rsidR="00D35913" w:rsidRDefault="00D35913" w:rsidP="00D35913">
      <w:pPr>
        <w:pStyle w:val="BodyText"/>
        <w:spacing w:line="480" w:lineRule="auto"/>
        <w:ind w:firstLine="720"/>
        <w:rPr>
          <w:sz w:val="24"/>
        </w:rPr>
      </w:pPr>
      <w:r w:rsidRPr="004E7AD9">
        <w:rPr>
          <w:sz w:val="24"/>
          <w:szCs w:val="24"/>
          <w:highlight w:val="yellow"/>
        </w:rPr>
        <w:t>In addition to internal cohort analysis, the disease experience of the cohort will be compared to state and national data on mortality, cancer incidence, and end stage renal disease.  All</w:t>
      </w:r>
      <w:r>
        <w:rPr>
          <w:sz w:val="24"/>
          <w:szCs w:val="24"/>
          <w:highlight w:val="yellow"/>
        </w:rPr>
        <w:t>-</w:t>
      </w:r>
      <w:r w:rsidRPr="004E7AD9">
        <w:rPr>
          <w:sz w:val="24"/>
          <w:szCs w:val="24"/>
          <w:highlight w:val="yellow"/>
        </w:rPr>
        <w:t>cause mortality from specific chronic diseases will be evaluated by calculating expected death rates based on age-, sex-, and race-specific rates in the two states being studied.  Sim</w:t>
      </w:r>
      <w:r>
        <w:rPr>
          <w:sz w:val="24"/>
          <w:szCs w:val="24"/>
          <w:highlight w:val="yellow"/>
        </w:rPr>
        <w:t>i</w:t>
      </w:r>
      <w:r w:rsidRPr="004E7AD9">
        <w:rPr>
          <w:sz w:val="24"/>
          <w:szCs w:val="24"/>
          <w:highlight w:val="yellow"/>
        </w:rPr>
        <w:t xml:space="preserve">lar </w:t>
      </w:r>
      <w:r w:rsidRPr="004E7AD9">
        <w:rPr>
          <w:sz w:val="24"/>
          <w:szCs w:val="24"/>
          <w:highlight w:val="yellow"/>
        </w:rPr>
        <w:lastRenderedPageBreak/>
        <w:t>analyses will be conducted for cancer incidence.  Expected numbers of incident End-Stage Renal Disease (ESRD) cases will be obtained using data from the USRDS which covers the entire United States, and expected numbers are based on state-specific incidence rates will be calculated using data from the CMS</w:t>
      </w:r>
      <w:r w:rsidR="00D91C59">
        <w:rPr>
          <w:sz w:val="24"/>
          <w:szCs w:val="24"/>
          <w:highlight w:val="yellow"/>
        </w:rPr>
        <w:t xml:space="preserve"> </w:t>
      </w:r>
      <w:r w:rsidRPr="004E7AD9">
        <w:rPr>
          <w:sz w:val="24"/>
          <w:szCs w:val="24"/>
          <w:highlight w:val="yellow"/>
        </w:rPr>
        <w:t>Funded renal disease networ</w:t>
      </w:r>
      <w:r>
        <w:rPr>
          <w:sz w:val="24"/>
          <w:szCs w:val="24"/>
          <w:highlight w:val="yellow"/>
        </w:rPr>
        <w:t>k</w:t>
      </w:r>
      <w:r w:rsidRPr="004E7AD9">
        <w:rPr>
          <w:sz w:val="24"/>
          <w:szCs w:val="24"/>
          <w:highlight w:val="yellow"/>
        </w:rPr>
        <w:t>s in North Carolina and Iowa.  These databases will also be used to prospectively ascertain cases in the study cohort.  Again, the groups under study will range from the entire cohort or subgroups defined as applicators or spouses.</w:t>
      </w:r>
      <w:r>
        <w:rPr>
          <w:sz w:val="24"/>
          <w:szCs w:val="24"/>
        </w:rPr>
        <w:t xml:space="preserve">  </w:t>
      </w:r>
    </w:p>
    <w:p w:rsidR="004D7AB8" w:rsidRPr="0098479D" w:rsidRDefault="004D7AB8" w:rsidP="00B0545A">
      <w:pPr>
        <w:pStyle w:val="BodyText"/>
        <w:spacing w:line="480" w:lineRule="auto"/>
        <w:ind w:firstLine="720"/>
        <w:rPr>
          <w:sz w:val="24"/>
        </w:rPr>
      </w:pPr>
      <w:r w:rsidRPr="0098479D">
        <w:rPr>
          <w:sz w:val="24"/>
        </w:rPr>
        <w:t>Full-scale data collection</w:t>
      </w:r>
      <w:r w:rsidR="00FC37FB" w:rsidRPr="0098479D">
        <w:rPr>
          <w:sz w:val="24"/>
        </w:rPr>
        <w:t>, cleaning and analyses</w:t>
      </w:r>
      <w:r w:rsidRPr="0098479D">
        <w:rPr>
          <w:sz w:val="24"/>
        </w:rPr>
        <w:t xml:space="preserve"> will be followed by publication in </w:t>
      </w:r>
      <w:r w:rsidR="00FC37FB" w:rsidRPr="0098479D">
        <w:rPr>
          <w:sz w:val="24"/>
        </w:rPr>
        <w:t xml:space="preserve">peer-reviewed, </w:t>
      </w:r>
      <w:r w:rsidRPr="0098479D">
        <w:rPr>
          <w:sz w:val="24"/>
        </w:rPr>
        <w:t>scientific journal</w:t>
      </w:r>
      <w:r w:rsidR="00FC37FB" w:rsidRPr="0098479D">
        <w:rPr>
          <w:sz w:val="24"/>
        </w:rPr>
        <w:t>s</w:t>
      </w:r>
      <w:r w:rsidRPr="0098479D">
        <w:rPr>
          <w:sz w:val="24"/>
        </w:rPr>
        <w:t xml:space="preserve">.  Our project </w:t>
      </w:r>
      <w:r w:rsidR="00CE765B" w:rsidRPr="00D91C59">
        <w:rPr>
          <w:sz w:val="24"/>
        </w:rPr>
        <w:t xml:space="preserve">time </w:t>
      </w:r>
      <w:r w:rsidRPr="00D91C59">
        <w:rPr>
          <w:sz w:val="24"/>
        </w:rPr>
        <w:t>schedule</w:t>
      </w:r>
      <w:r w:rsidR="00FC37FB" w:rsidRPr="00D91C59">
        <w:rPr>
          <w:sz w:val="24"/>
        </w:rPr>
        <w:t xml:space="preserve"> for </w:t>
      </w:r>
      <w:r w:rsidR="00303810" w:rsidRPr="00D91C59">
        <w:rPr>
          <w:sz w:val="24"/>
        </w:rPr>
        <w:t>the completion of p</w:t>
      </w:r>
      <w:r w:rsidR="003B3E45" w:rsidRPr="00D91C59">
        <w:rPr>
          <w:sz w:val="24"/>
        </w:rPr>
        <w:t>hase</w:t>
      </w:r>
      <w:r w:rsidR="007C57E0" w:rsidRPr="00D91C59">
        <w:rPr>
          <w:sz w:val="24"/>
        </w:rPr>
        <w:t xml:space="preserve"> IV </w:t>
      </w:r>
      <w:r w:rsidRPr="00D91C59">
        <w:rPr>
          <w:sz w:val="24"/>
        </w:rPr>
        <w:t>is</w:t>
      </w:r>
      <w:r w:rsidRPr="0098479D">
        <w:rPr>
          <w:sz w:val="24"/>
        </w:rPr>
        <w:t xml:space="preserve"> </w:t>
      </w:r>
      <w:r w:rsidR="00FC37FB" w:rsidRPr="0098479D">
        <w:rPr>
          <w:sz w:val="24"/>
        </w:rPr>
        <w:t xml:space="preserve">given in Table </w:t>
      </w:r>
      <w:r w:rsidR="00CE765B" w:rsidRPr="0098479D">
        <w:rPr>
          <w:sz w:val="24"/>
        </w:rPr>
        <w:t>A.16-1</w:t>
      </w:r>
      <w:r w:rsidR="00303810" w:rsidRPr="0098479D">
        <w:rPr>
          <w:sz w:val="24"/>
        </w:rPr>
        <w:t xml:space="preserve">. </w:t>
      </w:r>
    </w:p>
    <w:tbl>
      <w:tblPr>
        <w:tblW w:w="8460" w:type="dxa"/>
        <w:tblInd w:w="7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gridCol w:w="4860"/>
      </w:tblGrid>
      <w:tr w:rsidR="00FC37FB" w:rsidRPr="0098479D" w:rsidTr="00AC7C12">
        <w:trPr>
          <w:trHeight w:val="408"/>
        </w:trPr>
        <w:tc>
          <w:tcPr>
            <w:tcW w:w="8460" w:type="dxa"/>
            <w:gridSpan w:val="2"/>
            <w:vAlign w:val="center"/>
          </w:tcPr>
          <w:p w:rsidR="00FC37FB" w:rsidRPr="0098479D" w:rsidRDefault="00FC37FB" w:rsidP="00A429CE">
            <w:pPr>
              <w:keepNext/>
              <w:keepLines/>
              <w:rPr>
                <w:b/>
                <w:sz w:val="24"/>
                <w:szCs w:val="24"/>
              </w:rPr>
            </w:pPr>
            <w:r w:rsidRPr="0098479D">
              <w:rPr>
                <w:b/>
                <w:sz w:val="24"/>
                <w:szCs w:val="24"/>
              </w:rPr>
              <w:t xml:space="preserve">TABLE </w:t>
            </w:r>
            <w:r w:rsidR="00CE765B" w:rsidRPr="0098479D">
              <w:rPr>
                <w:b/>
                <w:sz w:val="24"/>
                <w:szCs w:val="24"/>
              </w:rPr>
              <w:t>A.16-1</w:t>
            </w:r>
            <w:r w:rsidRPr="0098479D">
              <w:rPr>
                <w:b/>
                <w:sz w:val="24"/>
                <w:szCs w:val="24"/>
              </w:rPr>
              <w:t>.  P</w:t>
            </w:r>
            <w:r w:rsidR="00A429CE">
              <w:rPr>
                <w:b/>
                <w:sz w:val="24"/>
                <w:szCs w:val="24"/>
              </w:rPr>
              <w:t>roject Schedule for Phase IV</w:t>
            </w:r>
          </w:p>
        </w:tc>
      </w:tr>
      <w:tr w:rsidR="00FC37FB" w:rsidRPr="0098479D" w:rsidTr="00AC7C12">
        <w:trPr>
          <w:trHeight w:val="318"/>
        </w:trPr>
        <w:tc>
          <w:tcPr>
            <w:tcW w:w="3600" w:type="dxa"/>
          </w:tcPr>
          <w:p w:rsidR="00FC37FB" w:rsidRPr="0098479D" w:rsidRDefault="00FC37FB" w:rsidP="00B0545A">
            <w:pPr>
              <w:keepNext/>
              <w:keepLines/>
              <w:rPr>
                <w:b/>
                <w:sz w:val="24"/>
                <w:szCs w:val="24"/>
              </w:rPr>
            </w:pPr>
            <w:r w:rsidRPr="0098479D">
              <w:rPr>
                <w:b/>
                <w:sz w:val="24"/>
                <w:szCs w:val="24"/>
              </w:rPr>
              <w:t>Component</w:t>
            </w:r>
          </w:p>
        </w:tc>
        <w:tc>
          <w:tcPr>
            <w:tcW w:w="4860" w:type="dxa"/>
          </w:tcPr>
          <w:p w:rsidR="00FC37FB" w:rsidRPr="0098479D" w:rsidRDefault="00FC37FB" w:rsidP="00B0545A">
            <w:pPr>
              <w:keepNext/>
              <w:keepLines/>
              <w:rPr>
                <w:b/>
                <w:sz w:val="24"/>
                <w:szCs w:val="24"/>
              </w:rPr>
            </w:pPr>
            <w:r w:rsidRPr="0098479D">
              <w:rPr>
                <w:b/>
                <w:sz w:val="24"/>
                <w:szCs w:val="24"/>
              </w:rPr>
              <w:t>Time after OMB approval</w:t>
            </w:r>
          </w:p>
        </w:tc>
      </w:tr>
      <w:tr w:rsidR="00FC37FB" w:rsidRPr="0098479D" w:rsidTr="00AC7C12">
        <w:trPr>
          <w:trHeight w:val="282"/>
        </w:trPr>
        <w:tc>
          <w:tcPr>
            <w:tcW w:w="3600" w:type="dxa"/>
          </w:tcPr>
          <w:p w:rsidR="00FC37FB" w:rsidRPr="0098479D" w:rsidRDefault="00FC37FB" w:rsidP="00B0545A">
            <w:pPr>
              <w:keepNext/>
              <w:keepLines/>
              <w:rPr>
                <w:sz w:val="24"/>
                <w:szCs w:val="24"/>
              </w:rPr>
            </w:pPr>
            <w:r w:rsidRPr="0098479D">
              <w:rPr>
                <w:sz w:val="24"/>
                <w:szCs w:val="24"/>
              </w:rPr>
              <w:t>Data collection</w:t>
            </w:r>
          </w:p>
        </w:tc>
        <w:tc>
          <w:tcPr>
            <w:tcW w:w="4860" w:type="dxa"/>
          </w:tcPr>
          <w:p w:rsidR="00FC37FB" w:rsidRPr="0098479D" w:rsidRDefault="00303810" w:rsidP="00B0545A">
            <w:pPr>
              <w:keepNext/>
              <w:keepLines/>
              <w:rPr>
                <w:sz w:val="24"/>
                <w:szCs w:val="24"/>
              </w:rPr>
            </w:pPr>
            <w:r w:rsidRPr="0098479D">
              <w:rPr>
                <w:sz w:val="24"/>
                <w:szCs w:val="24"/>
              </w:rPr>
              <w:t>1</w:t>
            </w:r>
            <w:r w:rsidR="00FC37FB" w:rsidRPr="0098479D">
              <w:rPr>
                <w:sz w:val="24"/>
                <w:szCs w:val="24"/>
              </w:rPr>
              <w:t>-</w:t>
            </w:r>
            <w:r w:rsidR="00086F5A" w:rsidRPr="0098479D">
              <w:rPr>
                <w:sz w:val="24"/>
                <w:szCs w:val="24"/>
              </w:rPr>
              <w:t>36</w:t>
            </w:r>
            <w:r w:rsidR="00FC37FB" w:rsidRPr="0098479D">
              <w:rPr>
                <w:sz w:val="24"/>
                <w:szCs w:val="24"/>
              </w:rPr>
              <w:t xml:space="preserve"> months</w:t>
            </w:r>
            <w:r w:rsidRPr="0098479D">
              <w:rPr>
                <w:sz w:val="24"/>
                <w:szCs w:val="24"/>
              </w:rPr>
              <w:t xml:space="preserve"> after approval</w:t>
            </w:r>
          </w:p>
        </w:tc>
      </w:tr>
      <w:tr w:rsidR="00FC37FB" w:rsidRPr="0098479D" w:rsidTr="00AC7C12">
        <w:trPr>
          <w:trHeight w:val="318"/>
        </w:trPr>
        <w:tc>
          <w:tcPr>
            <w:tcW w:w="3600" w:type="dxa"/>
          </w:tcPr>
          <w:p w:rsidR="00FC37FB" w:rsidRPr="0098479D" w:rsidRDefault="00FC37FB" w:rsidP="00B0545A">
            <w:pPr>
              <w:keepNext/>
              <w:keepLines/>
              <w:rPr>
                <w:sz w:val="24"/>
                <w:szCs w:val="24"/>
              </w:rPr>
            </w:pPr>
            <w:r w:rsidRPr="0098479D">
              <w:rPr>
                <w:sz w:val="24"/>
                <w:szCs w:val="24"/>
              </w:rPr>
              <w:t xml:space="preserve">Data editing </w:t>
            </w:r>
          </w:p>
        </w:tc>
        <w:tc>
          <w:tcPr>
            <w:tcW w:w="4860" w:type="dxa"/>
          </w:tcPr>
          <w:p w:rsidR="00FC37FB" w:rsidRPr="0098479D" w:rsidRDefault="00FC37FB" w:rsidP="00D34FF1">
            <w:pPr>
              <w:keepNext/>
              <w:keepLines/>
              <w:rPr>
                <w:sz w:val="24"/>
                <w:szCs w:val="24"/>
              </w:rPr>
            </w:pPr>
            <w:r w:rsidRPr="0098479D">
              <w:rPr>
                <w:sz w:val="24"/>
                <w:szCs w:val="24"/>
              </w:rPr>
              <w:t>2-</w:t>
            </w:r>
            <w:r w:rsidR="00D34FF1">
              <w:rPr>
                <w:sz w:val="24"/>
                <w:szCs w:val="24"/>
              </w:rPr>
              <w:t>48</w:t>
            </w:r>
            <w:r w:rsidR="00D34FF1" w:rsidRPr="0098479D">
              <w:rPr>
                <w:sz w:val="24"/>
                <w:szCs w:val="24"/>
              </w:rPr>
              <w:t xml:space="preserve"> </w:t>
            </w:r>
            <w:r w:rsidRPr="0098479D">
              <w:rPr>
                <w:sz w:val="24"/>
                <w:szCs w:val="24"/>
              </w:rPr>
              <w:t>months</w:t>
            </w:r>
            <w:r w:rsidR="00303810" w:rsidRPr="0098479D">
              <w:rPr>
                <w:sz w:val="24"/>
                <w:szCs w:val="24"/>
              </w:rPr>
              <w:t xml:space="preserve"> after approval</w:t>
            </w:r>
          </w:p>
        </w:tc>
      </w:tr>
      <w:tr w:rsidR="00FC37FB" w:rsidRPr="0098479D" w:rsidTr="00AC7C12">
        <w:trPr>
          <w:trHeight w:val="345"/>
        </w:trPr>
        <w:tc>
          <w:tcPr>
            <w:tcW w:w="3600" w:type="dxa"/>
          </w:tcPr>
          <w:p w:rsidR="00FC37FB" w:rsidRPr="0098479D" w:rsidRDefault="00FC37FB" w:rsidP="00B0545A">
            <w:pPr>
              <w:keepNext/>
              <w:keepLines/>
              <w:rPr>
                <w:sz w:val="24"/>
                <w:szCs w:val="24"/>
              </w:rPr>
            </w:pPr>
            <w:r w:rsidRPr="0098479D">
              <w:rPr>
                <w:sz w:val="24"/>
                <w:szCs w:val="24"/>
              </w:rPr>
              <w:t>Data analysis</w:t>
            </w:r>
          </w:p>
        </w:tc>
        <w:tc>
          <w:tcPr>
            <w:tcW w:w="4860" w:type="dxa"/>
          </w:tcPr>
          <w:p w:rsidR="00FC37FB" w:rsidRPr="0098479D" w:rsidRDefault="00D34FF1" w:rsidP="00B0545A">
            <w:pPr>
              <w:keepNext/>
              <w:keepLines/>
              <w:rPr>
                <w:sz w:val="24"/>
                <w:szCs w:val="24"/>
              </w:rPr>
            </w:pPr>
            <w:r>
              <w:rPr>
                <w:sz w:val="24"/>
                <w:szCs w:val="24"/>
              </w:rPr>
              <w:t>24-60</w:t>
            </w:r>
            <w:r w:rsidR="00FC37FB" w:rsidRPr="0098479D">
              <w:rPr>
                <w:sz w:val="24"/>
                <w:szCs w:val="24"/>
              </w:rPr>
              <w:t xml:space="preserve"> months</w:t>
            </w:r>
            <w:r w:rsidR="00303810" w:rsidRPr="0098479D">
              <w:rPr>
                <w:sz w:val="24"/>
                <w:szCs w:val="24"/>
              </w:rPr>
              <w:t xml:space="preserve"> after approval</w:t>
            </w:r>
          </w:p>
        </w:tc>
      </w:tr>
      <w:tr w:rsidR="00FC37FB" w:rsidRPr="0098479D" w:rsidTr="00AC7C12">
        <w:trPr>
          <w:trHeight w:val="255"/>
        </w:trPr>
        <w:tc>
          <w:tcPr>
            <w:tcW w:w="3600" w:type="dxa"/>
          </w:tcPr>
          <w:p w:rsidR="00FC37FB" w:rsidRPr="0098479D" w:rsidRDefault="00FC37FB" w:rsidP="00B0545A">
            <w:pPr>
              <w:keepNext/>
              <w:keepLines/>
              <w:rPr>
                <w:sz w:val="24"/>
                <w:szCs w:val="24"/>
              </w:rPr>
            </w:pPr>
            <w:r w:rsidRPr="0098479D">
              <w:rPr>
                <w:sz w:val="24"/>
                <w:szCs w:val="24"/>
              </w:rPr>
              <w:t>Publication</w:t>
            </w:r>
          </w:p>
        </w:tc>
        <w:tc>
          <w:tcPr>
            <w:tcW w:w="4860" w:type="dxa"/>
          </w:tcPr>
          <w:p w:rsidR="00FC37FB" w:rsidRPr="0098479D" w:rsidRDefault="00D34FF1" w:rsidP="00B0545A">
            <w:pPr>
              <w:keepNext/>
              <w:keepLines/>
              <w:rPr>
                <w:sz w:val="24"/>
                <w:szCs w:val="24"/>
              </w:rPr>
            </w:pPr>
            <w:r>
              <w:rPr>
                <w:sz w:val="24"/>
                <w:szCs w:val="24"/>
              </w:rPr>
              <w:t>36-60</w:t>
            </w:r>
            <w:r w:rsidR="00FC37FB" w:rsidRPr="0098479D">
              <w:rPr>
                <w:sz w:val="24"/>
                <w:szCs w:val="24"/>
              </w:rPr>
              <w:t xml:space="preserve"> months</w:t>
            </w:r>
            <w:r w:rsidR="00303810" w:rsidRPr="0098479D">
              <w:rPr>
                <w:sz w:val="24"/>
                <w:szCs w:val="24"/>
              </w:rPr>
              <w:t xml:space="preserve"> after approval</w:t>
            </w:r>
          </w:p>
        </w:tc>
      </w:tr>
    </w:tbl>
    <w:p w:rsidR="00AC7C12" w:rsidRDefault="00AC7C12" w:rsidP="00B0545A">
      <w:pPr>
        <w:spacing w:line="480" w:lineRule="auto"/>
        <w:ind w:firstLine="720"/>
        <w:rPr>
          <w:sz w:val="24"/>
          <w:szCs w:val="24"/>
        </w:rPr>
      </w:pPr>
    </w:p>
    <w:p w:rsidR="00086F5A" w:rsidRPr="0098479D" w:rsidRDefault="00086F5A" w:rsidP="00B0545A">
      <w:pPr>
        <w:spacing w:line="480" w:lineRule="auto"/>
        <w:ind w:firstLine="720"/>
        <w:rPr>
          <w:sz w:val="24"/>
          <w:szCs w:val="24"/>
        </w:rPr>
      </w:pPr>
      <w:r w:rsidRPr="0098479D">
        <w:rPr>
          <w:sz w:val="24"/>
          <w:szCs w:val="24"/>
        </w:rPr>
        <w:t>Our project time schedule for the completion of the BEEA</w:t>
      </w:r>
      <w:r w:rsidR="00454C04" w:rsidRPr="0098479D">
        <w:rPr>
          <w:sz w:val="24"/>
          <w:szCs w:val="24"/>
        </w:rPr>
        <w:t xml:space="preserve"> </w:t>
      </w:r>
      <w:r w:rsidR="009A7027">
        <w:rPr>
          <w:sz w:val="24"/>
          <w:szCs w:val="24"/>
        </w:rPr>
        <w:t xml:space="preserve">and </w:t>
      </w:r>
      <w:proofErr w:type="spellStart"/>
      <w:r w:rsidR="009A7027">
        <w:rPr>
          <w:sz w:val="24"/>
          <w:szCs w:val="24"/>
        </w:rPr>
        <w:t>Buccal</w:t>
      </w:r>
      <w:proofErr w:type="spellEnd"/>
      <w:r w:rsidR="009A7027">
        <w:rPr>
          <w:sz w:val="24"/>
          <w:szCs w:val="24"/>
        </w:rPr>
        <w:t xml:space="preserve"> Cell collection </w:t>
      </w:r>
      <w:r w:rsidR="00454C04" w:rsidRPr="0098479D">
        <w:rPr>
          <w:sz w:val="24"/>
          <w:szCs w:val="24"/>
        </w:rPr>
        <w:t>component</w:t>
      </w:r>
      <w:r w:rsidR="009A7027">
        <w:rPr>
          <w:sz w:val="24"/>
          <w:szCs w:val="24"/>
        </w:rPr>
        <w:t>s</w:t>
      </w:r>
      <w:r w:rsidR="00454C04" w:rsidRPr="0098479D">
        <w:rPr>
          <w:sz w:val="24"/>
          <w:szCs w:val="24"/>
        </w:rPr>
        <w:t xml:space="preserve"> </w:t>
      </w:r>
      <w:r w:rsidR="009A7027">
        <w:rPr>
          <w:sz w:val="24"/>
          <w:szCs w:val="24"/>
        </w:rPr>
        <w:t>are</w:t>
      </w:r>
      <w:r w:rsidR="009A7027" w:rsidRPr="0098479D">
        <w:rPr>
          <w:sz w:val="24"/>
          <w:szCs w:val="24"/>
        </w:rPr>
        <w:t xml:space="preserve"> </w:t>
      </w:r>
      <w:r w:rsidRPr="0098479D">
        <w:rPr>
          <w:sz w:val="24"/>
          <w:szCs w:val="24"/>
        </w:rPr>
        <w:t>given in Table A.16-2.</w:t>
      </w:r>
    </w:p>
    <w:tbl>
      <w:tblPr>
        <w:tblW w:w="981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130"/>
        <w:gridCol w:w="4680"/>
      </w:tblGrid>
      <w:tr w:rsidR="00086F5A" w:rsidRPr="0098479D" w:rsidTr="00AC7C12">
        <w:trPr>
          <w:trHeight w:val="444"/>
        </w:trPr>
        <w:tc>
          <w:tcPr>
            <w:tcW w:w="9810" w:type="dxa"/>
            <w:gridSpan w:val="2"/>
            <w:shd w:val="clear" w:color="auto" w:fill="auto"/>
            <w:vAlign w:val="center"/>
          </w:tcPr>
          <w:p w:rsidR="00086F5A" w:rsidRPr="0098479D" w:rsidRDefault="00086F5A" w:rsidP="00A429CE">
            <w:pPr>
              <w:tabs>
                <w:tab w:val="left" w:pos="1692"/>
              </w:tabs>
              <w:rPr>
                <w:b/>
                <w:sz w:val="24"/>
                <w:szCs w:val="24"/>
              </w:rPr>
            </w:pPr>
            <w:r w:rsidRPr="0098479D">
              <w:rPr>
                <w:b/>
                <w:sz w:val="24"/>
                <w:szCs w:val="24"/>
              </w:rPr>
              <w:t xml:space="preserve">TABLE A.16-2.  </w:t>
            </w:r>
            <w:r w:rsidR="00A429CE" w:rsidRPr="0098479D">
              <w:rPr>
                <w:b/>
                <w:sz w:val="24"/>
                <w:szCs w:val="24"/>
              </w:rPr>
              <w:t>P</w:t>
            </w:r>
            <w:r w:rsidR="00A429CE">
              <w:rPr>
                <w:b/>
                <w:sz w:val="24"/>
                <w:szCs w:val="24"/>
              </w:rPr>
              <w:t xml:space="preserve">roject Schedule for </w:t>
            </w:r>
            <w:r w:rsidRPr="0098479D">
              <w:rPr>
                <w:b/>
                <w:sz w:val="24"/>
                <w:szCs w:val="24"/>
              </w:rPr>
              <w:t>C</w:t>
            </w:r>
            <w:r w:rsidR="00A429CE">
              <w:rPr>
                <w:b/>
                <w:sz w:val="24"/>
                <w:szCs w:val="24"/>
              </w:rPr>
              <w:t>ompletion of BEEA</w:t>
            </w:r>
            <w:r w:rsidR="003149C8">
              <w:rPr>
                <w:b/>
                <w:sz w:val="24"/>
                <w:szCs w:val="24"/>
              </w:rPr>
              <w:t xml:space="preserve"> and </w:t>
            </w:r>
            <w:proofErr w:type="spellStart"/>
            <w:r w:rsidR="003149C8">
              <w:rPr>
                <w:b/>
                <w:sz w:val="24"/>
                <w:szCs w:val="24"/>
              </w:rPr>
              <w:t>Buccal</w:t>
            </w:r>
            <w:proofErr w:type="spellEnd"/>
            <w:r w:rsidR="003149C8">
              <w:rPr>
                <w:b/>
                <w:sz w:val="24"/>
                <w:szCs w:val="24"/>
              </w:rPr>
              <w:t xml:space="preserve"> Cell </w:t>
            </w:r>
            <w:r w:rsidR="00A429CE">
              <w:rPr>
                <w:b/>
                <w:sz w:val="24"/>
                <w:szCs w:val="24"/>
              </w:rPr>
              <w:tab/>
            </w:r>
            <w:r w:rsidR="003149C8">
              <w:rPr>
                <w:b/>
                <w:sz w:val="24"/>
                <w:szCs w:val="24"/>
              </w:rPr>
              <w:t>Collection</w:t>
            </w:r>
          </w:p>
        </w:tc>
      </w:tr>
      <w:tr w:rsidR="00086F5A" w:rsidRPr="0098479D" w:rsidTr="00AC7C12">
        <w:trPr>
          <w:trHeight w:val="291"/>
        </w:trPr>
        <w:tc>
          <w:tcPr>
            <w:tcW w:w="5130" w:type="dxa"/>
            <w:shd w:val="clear" w:color="auto" w:fill="auto"/>
          </w:tcPr>
          <w:p w:rsidR="00086F5A" w:rsidRPr="0098479D" w:rsidRDefault="00086F5A" w:rsidP="00B0545A">
            <w:pPr>
              <w:rPr>
                <w:b/>
                <w:sz w:val="24"/>
                <w:szCs w:val="24"/>
              </w:rPr>
            </w:pPr>
            <w:r w:rsidRPr="0098479D">
              <w:rPr>
                <w:b/>
                <w:sz w:val="24"/>
                <w:szCs w:val="24"/>
              </w:rPr>
              <w:t>Component</w:t>
            </w:r>
          </w:p>
        </w:tc>
        <w:tc>
          <w:tcPr>
            <w:tcW w:w="4680" w:type="dxa"/>
            <w:shd w:val="clear" w:color="auto" w:fill="auto"/>
          </w:tcPr>
          <w:p w:rsidR="00086F5A" w:rsidRPr="0098479D" w:rsidRDefault="00086F5A" w:rsidP="00A429CE">
            <w:pPr>
              <w:rPr>
                <w:b/>
                <w:sz w:val="24"/>
                <w:szCs w:val="24"/>
              </w:rPr>
            </w:pPr>
            <w:r w:rsidRPr="0098479D">
              <w:rPr>
                <w:b/>
                <w:sz w:val="24"/>
                <w:szCs w:val="24"/>
              </w:rPr>
              <w:t>Time after OMB approval</w:t>
            </w:r>
          </w:p>
        </w:tc>
      </w:tr>
      <w:tr w:rsidR="00086F5A" w:rsidRPr="0098479D" w:rsidTr="00AC7C12">
        <w:trPr>
          <w:trHeight w:val="336"/>
        </w:trPr>
        <w:tc>
          <w:tcPr>
            <w:tcW w:w="5130" w:type="dxa"/>
            <w:shd w:val="clear" w:color="auto" w:fill="auto"/>
          </w:tcPr>
          <w:p w:rsidR="00086F5A" w:rsidRPr="00A429CE" w:rsidRDefault="00086F5A" w:rsidP="00B0545A">
            <w:pPr>
              <w:rPr>
                <w:sz w:val="24"/>
                <w:szCs w:val="24"/>
              </w:rPr>
            </w:pPr>
            <w:r w:rsidRPr="00A429CE">
              <w:rPr>
                <w:sz w:val="24"/>
                <w:szCs w:val="24"/>
              </w:rPr>
              <w:t>Data collection</w:t>
            </w:r>
          </w:p>
        </w:tc>
        <w:tc>
          <w:tcPr>
            <w:tcW w:w="4680" w:type="dxa"/>
            <w:shd w:val="clear" w:color="auto" w:fill="auto"/>
          </w:tcPr>
          <w:p w:rsidR="00086F5A" w:rsidRPr="00A429CE" w:rsidRDefault="00086F5A" w:rsidP="00E31154">
            <w:pPr>
              <w:rPr>
                <w:sz w:val="24"/>
                <w:szCs w:val="24"/>
              </w:rPr>
            </w:pPr>
            <w:r w:rsidRPr="00A429CE">
              <w:rPr>
                <w:sz w:val="24"/>
                <w:szCs w:val="24"/>
              </w:rPr>
              <w:t>1-</w:t>
            </w:r>
            <w:r w:rsidR="00E31154" w:rsidRPr="00A429CE">
              <w:rPr>
                <w:sz w:val="24"/>
                <w:szCs w:val="24"/>
              </w:rPr>
              <w:t xml:space="preserve">36 </w:t>
            </w:r>
            <w:r w:rsidRPr="00A429CE">
              <w:rPr>
                <w:sz w:val="24"/>
                <w:szCs w:val="24"/>
              </w:rPr>
              <w:t>months after approval</w:t>
            </w:r>
          </w:p>
        </w:tc>
      </w:tr>
      <w:tr w:rsidR="00086F5A" w:rsidRPr="0098479D" w:rsidTr="00AC7C12">
        <w:trPr>
          <w:trHeight w:val="354"/>
        </w:trPr>
        <w:tc>
          <w:tcPr>
            <w:tcW w:w="5130" w:type="dxa"/>
            <w:shd w:val="clear" w:color="auto" w:fill="auto"/>
          </w:tcPr>
          <w:p w:rsidR="00086F5A" w:rsidRPr="0098479D" w:rsidRDefault="00086F5A" w:rsidP="00B0545A">
            <w:pPr>
              <w:rPr>
                <w:sz w:val="24"/>
                <w:szCs w:val="24"/>
              </w:rPr>
            </w:pPr>
            <w:r w:rsidRPr="0098479D">
              <w:rPr>
                <w:sz w:val="24"/>
                <w:szCs w:val="24"/>
              </w:rPr>
              <w:t xml:space="preserve">Data editing </w:t>
            </w:r>
          </w:p>
        </w:tc>
        <w:tc>
          <w:tcPr>
            <w:tcW w:w="4680" w:type="dxa"/>
            <w:shd w:val="clear" w:color="auto" w:fill="auto"/>
          </w:tcPr>
          <w:p w:rsidR="00086F5A" w:rsidRPr="0098479D" w:rsidRDefault="00086F5A" w:rsidP="00B0545A">
            <w:pPr>
              <w:rPr>
                <w:sz w:val="24"/>
                <w:szCs w:val="24"/>
              </w:rPr>
            </w:pPr>
            <w:r w:rsidRPr="0098479D">
              <w:rPr>
                <w:sz w:val="24"/>
                <w:szCs w:val="24"/>
              </w:rPr>
              <w:t>2-60 months after approval</w:t>
            </w:r>
          </w:p>
        </w:tc>
      </w:tr>
      <w:tr w:rsidR="00086F5A" w:rsidRPr="0098479D" w:rsidTr="00AC7C12">
        <w:trPr>
          <w:trHeight w:val="336"/>
        </w:trPr>
        <w:tc>
          <w:tcPr>
            <w:tcW w:w="5130" w:type="dxa"/>
            <w:shd w:val="clear" w:color="auto" w:fill="auto"/>
          </w:tcPr>
          <w:p w:rsidR="00086F5A" w:rsidRPr="0098479D" w:rsidRDefault="00086F5A" w:rsidP="00B0545A">
            <w:pPr>
              <w:rPr>
                <w:sz w:val="24"/>
                <w:szCs w:val="24"/>
              </w:rPr>
            </w:pPr>
            <w:r w:rsidRPr="0098479D">
              <w:rPr>
                <w:sz w:val="24"/>
                <w:szCs w:val="24"/>
              </w:rPr>
              <w:t>Review pilot data and conduct data analyses</w:t>
            </w:r>
          </w:p>
        </w:tc>
        <w:tc>
          <w:tcPr>
            <w:tcW w:w="4680" w:type="dxa"/>
            <w:shd w:val="clear" w:color="auto" w:fill="auto"/>
          </w:tcPr>
          <w:p w:rsidR="00086F5A" w:rsidRPr="0098479D" w:rsidRDefault="00086F5A" w:rsidP="00B0545A">
            <w:pPr>
              <w:rPr>
                <w:sz w:val="24"/>
                <w:szCs w:val="24"/>
              </w:rPr>
            </w:pPr>
            <w:r w:rsidRPr="0098479D">
              <w:rPr>
                <w:sz w:val="24"/>
                <w:szCs w:val="24"/>
              </w:rPr>
              <w:t>2-60 months after approval</w:t>
            </w:r>
          </w:p>
        </w:tc>
      </w:tr>
      <w:tr w:rsidR="00086F5A" w:rsidRPr="0098479D" w:rsidTr="00AC7C12">
        <w:trPr>
          <w:trHeight w:val="354"/>
        </w:trPr>
        <w:tc>
          <w:tcPr>
            <w:tcW w:w="5130" w:type="dxa"/>
            <w:shd w:val="clear" w:color="auto" w:fill="auto"/>
          </w:tcPr>
          <w:p w:rsidR="00086F5A" w:rsidRPr="0098479D" w:rsidRDefault="00086F5A" w:rsidP="00B0545A">
            <w:pPr>
              <w:rPr>
                <w:sz w:val="24"/>
                <w:szCs w:val="24"/>
              </w:rPr>
            </w:pPr>
            <w:r w:rsidRPr="0098479D">
              <w:rPr>
                <w:sz w:val="24"/>
                <w:szCs w:val="24"/>
              </w:rPr>
              <w:t>Publication</w:t>
            </w:r>
          </w:p>
        </w:tc>
        <w:tc>
          <w:tcPr>
            <w:tcW w:w="4680" w:type="dxa"/>
            <w:shd w:val="clear" w:color="auto" w:fill="auto"/>
          </w:tcPr>
          <w:p w:rsidR="00086F5A" w:rsidRPr="0098479D" w:rsidRDefault="00086F5A" w:rsidP="00B0545A">
            <w:pPr>
              <w:rPr>
                <w:sz w:val="24"/>
                <w:szCs w:val="24"/>
              </w:rPr>
            </w:pPr>
            <w:r w:rsidRPr="0098479D">
              <w:rPr>
                <w:sz w:val="24"/>
                <w:szCs w:val="24"/>
              </w:rPr>
              <w:t>12-60 months after approval</w:t>
            </w:r>
          </w:p>
        </w:tc>
      </w:tr>
    </w:tbl>
    <w:p w:rsidR="00086F5A" w:rsidRPr="0098479D" w:rsidRDefault="00086F5A" w:rsidP="00B0545A"/>
    <w:p w:rsidR="00E31154" w:rsidRPr="0098479D" w:rsidRDefault="00E31154" w:rsidP="00E31154">
      <w:pPr>
        <w:spacing w:line="480" w:lineRule="auto"/>
        <w:ind w:firstLine="720"/>
        <w:rPr>
          <w:sz w:val="24"/>
          <w:szCs w:val="24"/>
        </w:rPr>
      </w:pPr>
    </w:p>
    <w:p w:rsidR="00086F5A" w:rsidRPr="0098479D" w:rsidRDefault="00086F5A" w:rsidP="00B0545A">
      <w:pPr>
        <w:spacing w:line="480" w:lineRule="auto"/>
        <w:rPr>
          <w:sz w:val="24"/>
          <w:szCs w:val="24"/>
        </w:rPr>
      </w:pPr>
    </w:p>
    <w:p w:rsidR="004D7AB8" w:rsidRPr="0098479D" w:rsidRDefault="003F0F43" w:rsidP="00B0545A">
      <w:pPr>
        <w:keepNext/>
        <w:keepLines/>
        <w:tabs>
          <w:tab w:val="left" w:pos="-1440"/>
        </w:tabs>
        <w:spacing w:line="480" w:lineRule="auto"/>
        <w:outlineLvl w:val="0"/>
        <w:rPr>
          <w:b/>
          <w:sz w:val="24"/>
          <w:szCs w:val="24"/>
        </w:rPr>
      </w:pPr>
      <w:r w:rsidRPr="0098479D">
        <w:rPr>
          <w:b/>
          <w:sz w:val="24"/>
          <w:szCs w:val="24"/>
        </w:rPr>
        <w:lastRenderedPageBreak/>
        <w:t>A.</w:t>
      </w:r>
      <w:r w:rsidR="004D7AB8" w:rsidRPr="0098479D">
        <w:rPr>
          <w:b/>
          <w:sz w:val="24"/>
          <w:szCs w:val="24"/>
        </w:rPr>
        <w:t>17</w:t>
      </w:r>
      <w:r w:rsidR="004D7AB8" w:rsidRPr="0098479D">
        <w:rPr>
          <w:b/>
          <w:sz w:val="24"/>
          <w:szCs w:val="24"/>
        </w:rPr>
        <w:tab/>
      </w:r>
      <w:r w:rsidR="004D7AB8" w:rsidRPr="0098479D">
        <w:rPr>
          <w:b/>
          <w:sz w:val="24"/>
          <w:szCs w:val="24"/>
          <w:u w:val="single"/>
        </w:rPr>
        <w:t>Reason(s) Display of OMB Expiration Date is Inappropriate</w:t>
      </w:r>
    </w:p>
    <w:p w:rsidR="004D7AB8" w:rsidRPr="0098479D" w:rsidRDefault="004D7AB8" w:rsidP="00B0545A">
      <w:pPr>
        <w:keepLines/>
        <w:spacing w:line="480" w:lineRule="auto"/>
        <w:ind w:firstLine="720"/>
        <w:rPr>
          <w:sz w:val="24"/>
          <w:szCs w:val="24"/>
        </w:rPr>
      </w:pPr>
      <w:r w:rsidRPr="0098479D">
        <w:rPr>
          <w:sz w:val="24"/>
          <w:szCs w:val="24"/>
        </w:rPr>
        <w:t>There are no reasons to preclude display of the OMB expiration date on the questionnaires.</w:t>
      </w:r>
    </w:p>
    <w:p w:rsidR="005D21E7" w:rsidRPr="0098479D" w:rsidRDefault="005D21E7" w:rsidP="00B0545A">
      <w:pPr>
        <w:keepLines/>
        <w:spacing w:line="480" w:lineRule="auto"/>
        <w:ind w:firstLine="720"/>
        <w:rPr>
          <w:sz w:val="24"/>
          <w:szCs w:val="24"/>
        </w:rPr>
      </w:pPr>
    </w:p>
    <w:p w:rsidR="004D7AB8" w:rsidRPr="0098479D" w:rsidRDefault="003F0F43" w:rsidP="00B0545A">
      <w:pPr>
        <w:tabs>
          <w:tab w:val="left" w:pos="-1440"/>
        </w:tabs>
        <w:spacing w:line="480" w:lineRule="auto"/>
        <w:outlineLvl w:val="0"/>
        <w:rPr>
          <w:b/>
          <w:sz w:val="24"/>
          <w:szCs w:val="24"/>
        </w:rPr>
      </w:pPr>
      <w:r w:rsidRPr="0098479D">
        <w:rPr>
          <w:b/>
          <w:sz w:val="24"/>
          <w:szCs w:val="24"/>
        </w:rPr>
        <w:t>A.</w:t>
      </w:r>
      <w:r w:rsidR="004D7AB8" w:rsidRPr="0098479D">
        <w:rPr>
          <w:b/>
          <w:sz w:val="24"/>
          <w:szCs w:val="24"/>
        </w:rPr>
        <w:t>18</w:t>
      </w:r>
      <w:r w:rsidR="004D7AB8" w:rsidRPr="0098479D">
        <w:rPr>
          <w:b/>
          <w:sz w:val="24"/>
          <w:szCs w:val="24"/>
        </w:rPr>
        <w:tab/>
      </w:r>
      <w:r w:rsidR="004D7AB8" w:rsidRPr="0098479D">
        <w:rPr>
          <w:b/>
          <w:sz w:val="24"/>
          <w:szCs w:val="24"/>
          <w:u w:val="single"/>
        </w:rPr>
        <w:t>Exceptions to Certification for Paperwork Reduction Act Submissions</w:t>
      </w:r>
    </w:p>
    <w:p w:rsidR="00082657" w:rsidRPr="00324183" w:rsidRDefault="004D7AB8" w:rsidP="00B0545A">
      <w:pPr>
        <w:spacing w:line="480" w:lineRule="auto"/>
        <w:ind w:firstLine="720"/>
        <w:rPr>
          <w:sz w:val="24"/>
          <w:szCs w:val="24"/>
        </w:rPr>
      </w:pPr>
      <w:r w:rsidRPr="0098479D">
        <w:rPr>
          <w:sz w:val="24"/>
          <w:szCs w:val="24"/>
        </w:rPr>
        <w:t>There are no exceptions to the certification statement.</w:t>
      </w:r>
    </w:p>
    <w:sectPr w:rsidR="00082657" w:rsidRPr="00324183" w:rsidSect="00C315C9">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2A4" w:rsidRDefault="00BA22A4">
      <w:r>
        <w:separator/>
      </w:r>
    </w:p>
  </w:endnote>
  <w:endnote w:type="continuationSeparator" w:id="0">
    <w:p w:rsidR="00BA22A4" w:rsidRDefault="00BA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2A4" w:rsidRDefault="00BA22A4" w:rsidP="00417B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22A4" w:rsidRDefault="00BA2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2A4" w:rsidRDefault="00BA22A4">
    <w:pPr>
      <w:pStyle w:val="Footer"/>
    </w:pPr>
    <w:r>
      <w:t>Last updated 1-1</w:t>
    </w:r>
    <w:r w:rsidR="00BC7903">
      <w:t>0</w:t>
    </w:r>
    <w:r>
      <w:t>-2013</w:t>
    </w:r>
    <w:r>
      <w:tab/>
    </w:r>
    <w:r>
      <w:ptab w:relativeTo="margin" w:alignment="center" w:leader="none"/>
    </w:r>
    <w:r>
      <w:fldChar w:fldCharType="begin"/>
    </w:r>
    <w:r>
      <w:instrText xml:space="preserve"> PAGE  \* roman  \* MERGEFORMAT </w:instrText>
    </w:r>
    <w:r>
      <w:fldChar w:fldCharType="separate"/>
    </w:r>
    <w:r w:rsidR="009F17C4">
      <w:rPr>
        <w:noProof/>
      </w:rPr>
      <w:t>iii</w:t>
    </w:r>
    <w:r>
      <w:fldChar w:fldCharType="end"/>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2A4" w:rsidRDefault="00BA22A4">
    <w:pPr>
      <w:pStyle w:val="Footer"/>
    </w:pPr>
    <w:r>
      <w:t>Last updated 1-1</w:t>
    </w:r>
    <w:r w:rsidR="00533FB6">
      <w:t>0</w:t>
    </w:r>
    <w:r>
      <w:t>-201</w:t>
    </w:r>
    <w:r w:rsidR="00533FB6">
      <w:t>3</w:t>
    </w:r>
    <w:r>
      <w:tab/>
    </w:r>
    <w:r>
      <w:fldChar w:fldCharType="begin"/>
    </w:r>
    <w:r>
      <w:instrText xml:space="preserve"> PAGE  \* Arabic  \* MERGEFORMAT </w:instrText>
    </w:r>
    <w:r>
      <w:fldChar w:fldCharType="separate"/>
    </w:r>
    <w:r w:rsidR="0076704C">
      <w:rPr>
        <w:noProof/>
      </w:rPr>
      <w:t>20</w:t>
    </w:r>
    <w: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2A4" w:rsidRDefault="00BA22A4">
      <w:r>
        <w:separator/>
      </w:r>
    </w:p>
  </w:footnote>
  <w:footnote w:type="continuationSeparator" w:id="0">
    <w:p w:rsidR="00BA22A4" w:rsidRDefault="00BA2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C4F55C2"/>
    <w:multiLevelType w:val="hybridMultilevel"/>
    <w:tmpl w:val="51F48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00774D"/>
    <w:multiLevelType w:val="singleLevel"/>
    <w:tmpl w:val="8D72F182"/>
    <w:lvl w:ilvl="0">
      <w:start w:val="5"/>
      <w:numFmt w:val="decimal"/>
      <w:lvlText w:val="%1."/>
      <w:lvlJc w:val="left"/>
      <w:pPr>
        <w:tabs>
          <w:tab w:val="num" w:pos="720"/>
        </w:tabs>
        <w:ind w:left="720" w:hanging="720"/>
      </w:pPr>
      <w:rPr>
        <w:rFonts w:hint="default"/>
      </w:rPr>
    </w:lvl>
  </w:abstractNum>
  <w:abstractNum w:abstractNumId="3">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BE3C2B"/>
    <w:multiLevelType w:val="singleLevel"/>
    <w:tmpl w:val="F7F4D4B4"/>
    <w:lvl w:ilvl="0">
      <w:start w:val="18"/>
      <w:numFmt w:val="decimal"/>
      <w:lvlText w:val="%1."/>
      <w:lvlJc w:val="left"/>
      <w:pPr>
        <w:tabs>
          <w:tab w:val="num" w:pos="1440"/>
        </w:tabs>
        <w:ind w:left="1440" w:hanging="720"/>
      </w:pPr>
      <w:rPr>
        <w:rFonts w:hint="default"/>
      </w:rPr>
    </w:lvl>
  </w:abstractNum>
  <w:abstractNum w:abstractNumId="5">
    <w:nsid w:val="1B345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9F6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28B65DA"/>
    <w:multiLevelType w:val="hybridMultilevel"/>
    <w:tmpl w:val="FEBAD3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02423C"/>
    <w:multiLevelType w:val="hybridMultilevel"/>
    <w:tmpl w:val="5D9EC9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C246B3"/>
    <w:multiLevelType w:val="hybridMultilevel"/>
    <w:tmpl w:val="0DF49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681C2B"/>
    <w:multiLevelType w:val="hybridMultilevel"/>
    <w:tmpl w:val="CE483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A30DA2"/>
    <w:multiLevelType w:val="hybridMultilevel"/>
    <w:tmpl w:val="911ECD2C"/>
    <w:lvl w:ilvl="0" w:tplc="0409000F">
      <w:start w:val="1"/>
      <w:numFmt w:val="decimal"/>
      <w:lvlText w:val="%1."/>
      <w:lvlJc w:val="left"/>
      <w:pPr>
        <w:tabs>
          <w:tab w:val="num" w:pos="720"/>
        </w:tabs>
        <w:ind w:left="720" w:hanging="360"/>
      </w:pPr>
    </w:lvl>
    <w:lvl w:ilvl="1" w:tplc="A2088ED0">
      <w:start w:val="65"/>
      <w:numFmt w:val="decimal"/>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93012C"/>
    <w:multiLevelType w:val="hybridMultilevel"/>
    <w:tmpl w:val="3BE66852"/>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051193B"/>
    <w:multiLevelType w:val="hybridMultilevel"/>
    <w:tmpl w:val="5380E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0A13E3"/>
    <w:multiLevelType w:val="hybridMultilevel"/>
    <w:tmpl w:val="3A9613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A71D7C"/>
    <w:multiLevelType w:val="hybridMultilevel"/>
    <w:tmpl w:val="4B1E1F50"/>
    <w:lvl w:ilvl="0" w:tplc="36FE30F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092E69"/>
    <w:multiLevelType w:val="hybridMultilevel"/>
    <w:tmpl w:val="349A5884"/>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4D1A2907"/>
    <w:multiLevelType w:val="hybridMultilevel"/>
    <w:tmpl w:val="771610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4D01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58817B4"/>
    <w:multiLevelType w:val="hybridMultilevel"/>
    <w:tmpl w:val="2F3A2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6E10AA"/>
    <w:multiLevelType w:val="hybridMultilevel"/>
    <w:tmpl w:val="82882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BB56EE"/>
    <w:multiLevelType w:val="hybridMultilevel"/>
    <w:tmpl w:val="CD3E7B5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E4365F"/>
    <w:multiLevelType w:val="hybridMultilevel"/>
    <w:tmpl w:val="3DB477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8584112"/>
    <w:multiLevelType w:val="hybridMultilevel"/>
    <w:tmpl w:val="8DAA4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E2019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E6449A2"/>
    <w:multiLevelType w:val="hybridMultilevel"/>
    <w:tmpl w:val="38965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8A74C2"/>
    <w:multiLevelType w:val="hybridMultilevel"/>
    <w:tmpl w:val="1FF43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5B2AA3"/>
    <w:multiLevelType w:val="hybridMultilevel"/>
    <w:tmpl w:val="D556D2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8104FBD"/>
    <w:multiLevelType w:val="hybridMultilevel"/>
    <w:tmpl w:val="78EEAED6"/>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nsid w:val="788C5F2E"/>
    <w:multiLevelType w:val="hybridMultilevel"/>
    <w:tmpl w:val="7A2C4738"/>
    <w:lvl w:ilvl="0" w:tplc="00204DA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F609BB"/>
    <w:multiLevelType w:val="hybridMultilevel"/>
    <w:tmpl w:val="1D6AE004"/>
    <w:lvl w:ilvl="0" w:tplc="E8301B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A834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FD263B5"/>
    <w:multiLevelType w:val="hybridMultilevel"/>
    <w:tmpl w:val="38B25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31"/>
  </w:num>
  <w:num w:numId="4">
    <w:abstractNumId w:val="2"/>
  </w:num>
  <w:num w:numId="5">
    <w:abstractNumId w:val="26"/>
  </w:num>
  <w:num w:numId="6">
    <w:abstractNumId w:val="33"/>
  </w:num>
  <w:num w:numId="7">
    <w:abstractNumId w:val="6"/>
  </w:num>
  <w:num w:numId="8">
    <w:abstractNumId w:val="18"/>
  </w:num>
  <w:num w:numId="9">
    <w:abstractNumId w:val="5"/>
  </w:num>
  <w:num w:numId="10">
    <w:abstractNumId w:val="8"/>
  </w:num>
  <w:num w:numId="11">
    <w:abstractNumId w:val="20"/>
  </w:num>
  <w:num w:numId="12">
    <w:abstractNumId w:val="7"/>
  </w:num>
  <w:num w:numId="13">
    <w:abstractNumId w:val="11"/>
  </w:num>
  <w:num w:numId="14">
    <w:abstractNumId w:val="30"/>
  </w:num>
  <w:num w:numId="15">
    <w:abstractNumId w:val="10"/>
  </w:num>
  <w:num w:numId="16">
    <w:abstractNumId w:val="4"/>
  </w:num>
  <w:num w:numId="17">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18">
    <w:abstractNumId w:val="27"/>
  </w:num>
  <w:num w:numId="19">
    <w:abstractNumId w:val="28"/>
  </w:num>
  <w:num w:numId="20">
    <w:abstractNumId w:val="21"/>
  </w:num>
  <w:num w:numId="21">
    <w:abstractNumId w:val="13"/>
  </w:num>
  <w:num w:numId="22">
    <w:abstractNumId w:val="1"/>
  </w:num>
  <w:num w:numId="23">
    <w:abstractNumId w:val="17"/>
  </w:num>
  <w:num w:numId="24">
    <w:abstractNumId w:val="3"/>
  </w:num>
  <w:num w:numId="25">
    <w:abstractNumId w:val="24"/>
  </w:num>
  <w:num w:numId="26">
    <w:abstractNumId w:val="34"/>
  </w:num>
  <w:num w:numId="27">
    <w:abstractNumId w:val="25"/>
  </w:num>
  <w:num w:numId="28">
    <w:abstractNumId w:val="9"/>
  </w:num>
  <w:num w:numId="29">
    <w:abstractNumId w:val="22"/>
  </w:num>
  <w:num w:numId="30">
    <w:abstractNumId w:val="14"/>
  </w:num>
  <w:num w:numId="31">
    <w:abstractNumId w:val="19"/>
  </w:num>
  <w:num w:numId="32">
    <w:abstractNumId w:val="29"/>
  </w:num>
  <w:num w:numId="33">
    <w:abstractNumId w:val="23"/>
  </w:num>
  <w:num w:numId="34">
    <w:abstractNumId w:val="15"/>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08"/>
    <w:rsid w:val="00003368"/>
    <w:rsid w:val="00004504"/>
    <w:rsid w:val="00006383"/>
    <w:rsid w:val="00012446"/>
    <w:rsid w:val="00013968"/>
    <w:rsid w:val="00013C4F"/>
    <w:rsid w:val="00013E48"/>
    <w:rsid w:val="00015D5A"/>
    <w:rsid w:val="00020ECD"/>
    <w:rsid w:val="00022F1D"/>
    <w:rsid w:val="000239BE"/>
    <w:rsid w:val="00023D8C"/>
    <w:rsid w:val="00033EA8"/>
    <w:rsid w:val="00034CE8"/>
    <w:rsid w:val="00036621"/>
    <w:rsid w:val="00037345"/>
    <w:rsid w:val="00053236"/>
    <w:rsid w:val="00061354"/>
    <w:rsid w:val="00061EBD"/>
    <w:rsid w:val="00066D39"/>
    <w:rsid w:val="00066FC8"/>
    <w:rsid w:val="000670EE"/>
    <w:rsid w:val="0006736C"/>
    <w:rsid w:val="000708FB"/>
    <w:rsid w:val="00074BFD"/>
    <w:rsid w:val="00077704"/>
    <w:rsid w:val="00077988"/>
    <w:rsid w:val="00082211"/>
    <w:rsid w:val="00082657"/>
    <w:rsid w:val="00084052"/>
    <w:rsid w:val="00086F5A"/>
    <w:rsid w:val="0009234A"/>
    <w:rsid w:val="000947F1"/>
    <w:rsid w:val="00095F02"/>
    <w:rsid w:val="000974A5"/>
    <w:rsid w:val="000A0545"/>
    <w:rsid w:val="000A2772"/>
    <w:rsid w:val="000A4347"/>
    <w:rsid w:val="000A5A96"/>
    <w:rsid w:val="000A5CF0"/>
    <w:rsid w:val="000B1AA5"/>
    <w:rsid w:val="000B3AA6"/>
    <w:rsid w:val="000B7597"/>
    <w:rsid w:val="000C173C"/>
    <w:rsid w:val="000C54AA"/>
    <w:rsid w:val="000C7DD1"/>
    <w:rsid w:val="000D6E2D"/>
    <w:rsid w:val="000D7EA0"/>
    <w:rsid w:val="000E09A4"/>
    <w:rsid w:val="000E0DC6"/>
    <w:rsid w:val="000F06FE"/>
    <w:rsid w:val="000F36D7"/>
    <w:rsid w:val="000F3DC0"/>
    <w:rsid w:val="000F7E5A"/>
    <w:rsid w:val="00102D89"/>
    <w:rsid w:val="00115FD3"/>
    <w:rsid w:val="0011719B"/>
    <w:rsid w:val="0012771D"/>
    <w:rsid w:val="00130B9B"/>
    <w:rsid w:val="00131C33"/>
    <w:rsid w:val="00132F29"/>
    <w:rsid w:val="001355F9"/>
    <w:rsid w:val="00144021"/>
    <w:rsid w:val="00144D47"/>
    <w:rsid w:val="001513A0"/>
    <w:rsid w:val="001521E7"/>
    <w:rsid w:val="00153DC2"/>
    <w:rsid w:val="00160395"/>
    <w:rsid w:val="0017259B"/>
    <w:rsid w:val="00182926"/>
    <w:rsid w:val="00183919"/>
    <w:rsid w:val="00185ECB"/>
    <w:rsid w:val="0019325A"/>
    <w:rsid w:val="00193D8F"/>
    <w:rsid w:val="001959DD"/>
    <w:rsid w:val="00196269"/>
    <w:rsid w:val="001A3351"/>
    <w:rsid w:val="001A397A"/>
    <w:rsid w:val="001A5986"/>
    <w:rsid w:val="001A7CED"/>
    <w:rsid w:val="001A7F83"/>
    <w:rsid w:val="001B5202"/>
    <w:rsid w:val="001B7FF7"/>
    <w:rsid w:val="001C0954"/>
    <w:rsid w:val="001C488E"/>
    <w:rsid w:val="001D1EE6"/>
    <w:rsid w:val="001D21EF"/>
    <w:rsid w:val="001D352A"/>
    <w:rsid w:val="001E1368"/>
    <w:rsid w:val="001E376F"/>
    <w:rsid w:val="001E471F"/>
    <w:rsid w:val="001E6424"/>
    <w:rsid w:val="001F16BE"/>
    <w:rsid w:val="001F41CB"/>
    <w:rsid w:val="001F5C34"/>
    <w:rsid w:val="0020214B"/>
    <w:rsid w:val="00205175"/>
    <w:rsid w:val="00205230"/>
    <w:rsid w:val="00217260"/>
    <w:rsid w:val="00220879"/>
    <w:rsid w:val="00221515"/>
    <w:rsid w:val="002246A1"/>
    <w:rsid w:val="00231C56"/>
    <w:rsid w:val="002345F8"/>
    <w:rsid w:val="0024160F"/>
    <w:rsid w:val="0024335B"/>
    <w:rsid w:val="002450D6"/>
    <w:rsid w:val="00245AD4"/>
    <w:rsid w:val="00246FDC"/>
    <w:rsid w:val="00250186"/>
    <w:rsid w:val="00265DDD"/>
    <w:rsid w:val="002669A1"/>
    <w:rsid w:val="00277218"/>
    <w:rsid w:val="002776CE"/>
    <w:rsid w:val="002A36ED"/>
    <w:rsid w:val="002A37F5"/>
    <w:rsid w:val="002A6ACB"/>
    <w:rsid w:val="002A6DB1"/>
    <w:rsid w:val="002B36F1"/>
    <w:rsid w:val="002B4E04"/>
    <w:rsid w:val="002B4F92"/>
    <w:rsid w:val="002B5249"/>
    <w:rsid w:val="002C016A"/>
    <w:rsid w:val="002C3FCE"/>
    <w:rsid w:val="002D7EDC"/>
    <w:rsid w:val="002E2059"/>
    <w:rsid w:val="002E37E4"/>
    <w:rsid w:val="002E3ADD"/>
    <w:rsid w:val="002E52DE"/>
    <w:rsid w:val="002F0027"/>
    <w:rsid w:val="002F2DB4"/>
    <w:rsid w:val="002F37B3"/>
    <w:rsid w:val="002F5DCC"/>
    <w:rsid w:val="002F635B"/>
    <w:rsid w:val="002F77B0"/>
    <w:rsid w:val="003019CB"/>
    <w:rsid w:val="00302944"/>
    <w:rsid w:val="00303810"/>
    <w:rsid w:val="003138E1"/>
    <w:rsid w:val="003149C8"/>
    <w:rsid w:val="00314F94"/>
    <w:rsid w:val="00323A83"/>
    <w:rsid w:val="00324183"/>
    <w:rsid w:val="00324C2D"/>
    <w:rsid w:val="00325CCF"/>
    <w:rsid w:val="00327A1B"/>
    <w:rsid w:val="00331A0F"/>
    <w:rsid w:val="00331F35"/>
    <w:rsid w:val="0033296D"/>
    <w:rsid w:val="00332C92"/>
    <w:rsid w:val="00337787"/>
    <w:rsid w:val="00344690"/>
    <w:rsid w:val="00345352"/>
    <w:rsid w:val="00351E13"/>
    <w:rsid w:val="00353B57"/>
    <w:rsid w:val="00364C92"/>
    <w:rsid w:val="00365F16"/>
    <w:rsid w:val="00366E4B"/>
    <w:rsid w:val="00366EB4"/>
    <w:rsid w:val="00371939"/>
    <w:rsid w:val="00371F42"/>
    <w:rsid w:val="00376BEA"/>
    <w:rsid w:val="00377361"/>
    <w:rsid w:val="00386B19"/>
    <w:rsid w:val="00386E19"/>
    <w:rsid w:val="0038775B"/>
    <w:rsid w:val="00394D2E"/>
    <w:rsid w:val="00395799"/>
    <w:rsid w:val="003A2E2B"/>
    <w:rsid w:val="003A36D5"/>
    <w:rsid w:val="003A3DF7"/>
    <w:rsid w:val="003B24CA"/>
    <w:rsid w:val="003B3E45"/>
    <w:rsid w:val="003B7B7D"/>
    <w:rsid w:val="003D051E"/>
    <w:rsid w:val="003D0D76"/>
    <w:rsid w:val="003D6292"/>
    <w:rsid w:val="003D728C"/>
    <w:rsid w:val="003E0D7C"/>
    <w:rsid w:val="003E4AF0"/>
    <w:rsid w:val="003E6673"/>
    <w:rsid w:val="003F018A"/>
    <w:rsid w:val="003F0F43"/>
    <w:rsid w:val="003F2E59"/>
    <w:rsid w:val="003F5D00"/>
    <w:rsid w:val="003F6654"/>
    <w:rsid w:val="00403668"/>
    <w:rsid w:val="0040407E"/>
    <w:rsid w:val="00406E03"/>
    <w:rsid w:val="00412D35"/>
    <w:rsid w:val="0041692F"/>
    <w:rsid w:val="00417BD8"/>
    <w:rsid w:val="00421E64"/>
    <w:rsid w:val="00425BF2"/>
    <w:rsid w:val="0042784B"/>
    <w:rsid w:val="004303C3"/>
    <w:rsid w:val="00433FC9"/>
    <w:rsid w:val="00434E5E"/>
    <w:rsid w:val="00436C41"/>
    <w:rsid w:val="004405B4"/>
    <w:rsid w:val="00450B09"/>
    <w:rsid w:val="00450B4C"/>
    <w:rsid w:val="00450C6D"/>
    <w:rsid w:val="0045139C"/>
    <w:rsid w:val="004526A9"/>
    <w:rsid w:val="00454387"/>
    <w:rsid w:val="00454C04"/>
    <w:rsid w:val="00464748"/>
    <w:rsid w:val="00464DED"/>
    <w:rsid w:val="00472056"/>
    <w:rsid w:val="00474F7A"/>
    <w:rsid w:val="004760D8"/>
    <w:rsid w:val="00482591"/>
    <w:rsid w:val="00490BC2"/>
    <w:rsid w:val="0049396B"/>
    <w:rsid w:val="0049593F"/>
    <w:rsid w:val="00495D71"/>
    <w:rsid w:val="00496044"/>
    <w:rsid w:val="0049714D"/>
    <w:rsid w:val="004A0857"/>
    <w:rsid w:val="004A4BB0"/>
    <w:rsid w:val="004A5B47"/>
    <w:rsid w:val="004A6AE7"/>
    <w:rsid w:val="004A70F8"/>
    <w:rsid w:val="004A7887"/>
    <w:rsid w:val="004C693C"/>
    <w:rsid w:val="004C743C"/>
    <w:rsid w:val="004C79D6"/>
    <w:rsid w:val="004D20D7"/>
    <w:rsid w:val="004D3106"/>
    <w:rsid w:val="004D4448"/>
    <w:rsid w:val="004D7AB8"/>
    <w:rsid w:val="004E1012"/>
    <w:rsid w:val="004E19B9"/>
    <w:rsid w:val="004E237D"/>
    <w:rsid w:val="004E2C21"/>
    <w:rsid w:val="004E58F1"/>
    <w:rsid w:val="004E59C2"/>
    <w:rsid w:val="004E7AD9"/>
    <w:rsid w:val="004F63FA"/>
    <w:rsid w:val="00502233"/>
    <w:rsid w:val="00505757"/>
    <w:rsid w:val="00506CC3"/>
    <w:rsid w:val="00507C21"/>
    <w:rsid w:val="0051040D"/>
    <w:rsid w:val="00510D58"/>
    <w:rsid w:val="005119D0"/>
    <w:rsid w:val="00512138"/>
    <w:rsid w:val="005171F5"/>
    <w:rsid w:val="005210AF"/>
    <w:rsid w:val="00522C95"/>
    <w:rsid w:val="00524D75"/>
    <w:rsid w:val="005273CD"/>
    <w:rsid w:val="005305C8"/>
    <w:rsid w:val="00531714"/>
    <w:rsid w:val="00533FB6"/>
    <w:rsid w:val="005342B4"/>
    <w:rsid w:val="00535417"/>
    <w:rsid w:val="005414A8"/>
    <w:rsid w:val="00545F3E"/>
    <w:rsid w:val="005464FD"/>
    <w:rsid w:val="00546640"/>
    <w:rsid w:val="00546A41"/>
    <w:rsid w:val="00547ECE"/>
    <w:rsid w:val="00550AD5"/>
    <w:rsid w:val="00550F77"/>
    <w:rsid w:val="00555E1A"/>
    <w:rsid w:val="00556244"/>
    <w:rsid w:val="0055798E"/>
    <w:rsid w:val="005703B5"/>
    <w:rsid w:val="00570A6B"/>
    <w:rsid w:val="00571672"/>
    <w:rsid w:val="00571C46"/>
    <w:rsid w:val="00577AF8"/>
    <w:rsid w:val="00577B75"/>
    <w:rsid w:val="00583285"/>
    <w:rsid w:val="005861B2"/>
    <w:rsid w:val="00591C23"/>
    <w:rsid w:val="00592C0D"/>
    <w:rsid w:val="00595557"/>
    <w:rsid w:val="00595ACE"/>
    <w:rsid w:val="005965D3"/>
    <w:rsid w:val="005978D1"/>
    <w:rsid w:val="005A1B99"/>
    <w:rsid w:val="005A3252"/>
    <w:rsid w:val="005A424C"/>
    <w:rsid w:val="005A7712"/>
    <w:rsid w:val="005B5425"/>
    <w:rsid w:val="005C010A"/>
    <w:rsid w:val="005C69B1"/>
    <w:rsid w:val="005C6BBD"/>
    <w:rsid w:val="005D21E7"/>
    <w:rsid w:val="005D626D"/>
    <w:rsid w:val="005E1A82"/>
    <w:rsid w:val="005E40E8"/>
    <w:rsid w:val="005E5D00"/>
    <w:rsid w:val="005E63C6"/>
    <w:rsid w:val="005E65C5"/>
    <w:rsid w:val="005F0357"/>
    <w:rsid w:val="005F2B42"/>
    <w:rsid w:val="006025F2"/>
    <w:rsid w:val="006037F8"/>
    <w:rsid w:val="006043D3"/>
    <w:rsid w:val="0060606F"/>
    <w:rsid w:val="00607514"/>
    <w:rsid w:val="006079B1"/>
    <w:rsid w:val="006115A6"/>
    <w:rsid w:val="00613EA1"/>
    <w:rsid w:val="00617FE1"/>
    <w:rsid w:val="0062389B"/>
    <w:rsid w:val="0063095D"/>
    <w:rsid w:val="00633ECF"/>
    <w:rsid w:val="006349D4"/>
    <w:rsid w:val="0063771A"/>
    <w:rsid w:val="00637B77"/>
    <w:rsid w:val="00637BC4"/>
    <w:rsid w:val="00637FA3"/>
    <w:rsid w:val="00645E4D"/>
    <w:rsid w:val="0065257E"/>
    <w:rsid w:val="00652A90"/>
    <w:rsid w:val="00673C45"/>
    <w:rsid w:val="00681592"/>
    <w:rsid w:val="006842FC"/>
    <w:rsid w:val="0069051B"/>
    <w:rsid w:val="00693B9C"/>
    <w:rsid w:val="00693D36"/>
    <w:rsid w:val="006A0533"/>
    <w:rsid w:val="006A0606"/>
    <w:rsid w:val="006A0B43"/>
    <w:rsid w:val="006A0F5B"/>
    <w:rsid w:val="006A2AEB"/>
    <w:rsid w:val="006A3509"/>
    <w:rsid w:val="006A4B38"/>
    <w:rsid w:val="006A6709"/>
    <w:rsid w:val="006B3741"/>
    <w:rsid w:val="006B3DAB"/>
    <w:rsid w:val="006B7295"/>
    <w:rsid w:val="006C4753"/>
    <w:rsid w:val="006C5542"/>
    <w:rsid w:val="006C6425"/>
    <w:rsid w:val="006C6E5D"/>
    <w:rsid w:val="006D2163"/>
    <w:rsid w:val="006D3CF2"/>
    <w:rsid w:val="006D6425"/>
    <w:rsid w:val="006D65FD"/>
    <w:rsid w:val="006D6C1D"/>
    <w:rsid w:val="006D7E7A"/>
    <w:rsid w:val="006E03B9"/>
    <w:rsid w:val="006E5297"/>
    <w:rsid w:val="006E6BBC"/>
    <w:rsid w:val="006F7BB2"/>
    <w:rsid w:val="006F7E80"/>
    <w:rsid w:val="007015DF"/>
    <w:rsid w:val="00704A5F"/>
    <w:rsid w:val="00711C76"/>
    <w:rsid w:val="007142A8"/>
    <w:rsid w:val="00714A9D"/>
    <w:rsid w:val="00736AE4"/>
    <w:rsid w:val="00743E11"/>
    <w:rsid w:val="007441D1"/>
    <w:rsid w:val="00746FEE"/>
    <w:rsid w:val="00750AD6"/>
    <w:rsid w:val="0075213E"/>
    <w:rsid w:val="0075526D"/>
    <w:rsid w:val="007648E9"/>
    <w:rsid w:val="007651C5"/>
    <w:rsid w:val="007663AF"/>
    <w:rsid w:val="0076704C"/>
    <w:rsid w:val="00772166"/>
    <w:rsid w:val="007736E3"/>
    <w:rsid w:val="00780847"/>
    <w:rsid w:val="007837EA"/>
    <w:rsid w:val="0078638D"/>
    <w:rsid w:val="00786434"/>
    <w:rsid w:val="00787CFD"/>
    <w:rsid w:val="00792A9F"/>
    <w:rsid w:val="0079360E"/>
    <w:rsid w:val="00793EDB"/>
    <w:rsid w:val="007A25F9"/>
    <w:rsid w:val="007A29B4"/>
    <w:rsid w:val="007A29F8"/>
    <w:rsid w:val="007A3E13"/>
    <w:rsid w:val="007A46DE"/>
    <w:rsid w:val="007A488C"/>
    <w:rsid w:val="007B46C8"/>
    <w:rsid w:val="007B5DF9"/>
    <w:rsid w:val="007B7021"/>
    <w:rsid w:val="007B7CDC"/>
    <w:rsid w:val="007C22E6"/>
    <w:rsid w:val="007C57E0"/>
    <w:rsid w:val="007D070F"/>
    <w:rsid w:val="007D6E76"/>
    <w:rsid w:val="007D7160"/>
    <w:rsid w:val="007D73E3"/>
    <w:rsid w:val="007E176A"/>
    <w:rsid w:val="007E27E2"/>
    <w:rsid w:val="007E2A92"/>
    <w:rsid w:val="007E42B7"/>
    <w:rsid w:val="007E5F35"/>
    <w:rsid w:val="007F0E33"/>
    <w:rsid w:val="007F4DE5"/>
    <w:rsid w:val="00802801"/>
    <w:rsid w:val="0080568B"/>
    <w:rsid w:val="0081271A"/>
    <w:rsid w:val="00814A27"/>
    <w:rsid w:val="008240CC"/>
    <w:rsid w:val="00827AAD"/>
    <w:rsid w:val="00830797"/>
    <w:rsid w:val="0083498A"/>
    <w:rsid w:val="0083670C"/>
    <w:rsid w:val="00840BBC"/>
    <w:rsid w:val="00840F5E"/>
    <w:rsid w:val="00841670"/>
    <w:rsid w:val="008424A8"/>
    <w:rsid w:val="00843174"/>
    <w:rsid w:val="00843709"/>
    <w:rsid w:val="008469D8"/>
    <w:rsid w:val="008474FD"/>
    <w:rsid w:val="00854CB5"/>
    <w:rsid w:val="008562B0"/>
    <w:rsid w:val="00865727"/>
    <w:rsid w:val="00887B2B"/>
    <w:rsid w:val="0089026F"/>
    <w:rsid w:val="0089372D"/>
    <w:rsid w:val="008939F8"/>
    <w:rsid w:val="0089646F"/>
    <w:rsid w:val="008975EB"/>
    <w:rsid w:val="008A2C84"/>
    <w:rsid w:val="008A3EEA"/>
    <w:rsid w:val="008A6583"/>
    <w:rsid w:val="008A755E"/>
    <w:rsid w:val="008B2278"/>
    <w:rsid w:val="008B326B"/>
    <w:rsid w:val="008B468B"/>
    <w:rsid w:val="008C018A"/>
    <w:rsid w:val="008C547C"/>
    <w:rsid w:val="008C61DB"/>
    <w:rsid w:val="008D7A15"/>
    <w:rsid w:val="008E2905"/>
    <w:rsid w:val="008E3192"/>
    <w:rsid w:val="008E32FD"/>
    <w:rsid w:val="008E3363"/>
    <w:rsid w:val="008E3C95"/>
    <w:rsid w:val="008F08D8"/>
    <w:rsid w:val="00903D25"/>
    <w:rsid w:val="00905063"/>
    <w:rsid w:val="00907987"/>
    <w:rsid w:val="009120F1"/>
    <w:rsid w:val="00926383"/>
    <w:rsid w:val="0092664B"/>
    <w:rsid w:val="00932585"/>
    <w:rsid w:val="00934BC5"/>
    <w:rsid w:val="009433BE"/>
    <w:rsid w:val="00944D3B"/>
    <w:rsid w:val="0094786E"/>
    <w:rsid w:val="00951CE3"/>
    <w:rsid w:val="00953755"/>
    <w:rsid w:val="00956A7A"/>
    <w:rsid w:val="0096318A"/>
    <w:rsid w:val="00965FF9"/>
    <w:rsid w:val="009714AF"/>
    <w:rsid w:val="0097427A"/>
    <w:rsid w:val="009749E2"/>
    <w:rsid w:val="0097615F"/>
    <w:rsid w:val="0098479D"/>
    <w:rsid w:val="009874BA"/>
    <w:rsid w:val="009920A6"/>
    <w:rsid w:val="00992837"/>
    <w:rsid w:val="009970A0"/>
    <w:rsid w:val="009A0731"/>
    <w:rsid w:val="009A2A74"/>
    <w:rsid w:val="009A5703"/>
    <w:rsid w:val="009A5BA0"/>
    <w:rsid w:val="009A7027"/>
    <w:rsid w:val="009B45CA"/>
    <w:rsid w:val="009B58BE"/>
    <w:rsid w:val="009B5FA6"/>
    <w:rsid w:val="009B6033"/>
    <w:rsid w:val="009C3122"/>
    <w:rsid w:val="009C3127"/>
    <w:rsid w:val="009C45A3"/>
    <w:rsid w:val="009D0E6C"/>
    <w:rsid w:val="009E04EA"/>
    <w:rsid w:val="009E158B"/>
    <w:rsid w:val="009E42A8"/>
    <w:rsid w:val="009E78B2"/>
    <w:rsid w:val="009F0820"/>
    <w:rsid w:val="009F1719"/>
    <w:rsid w:val="009F17C4"/>
    <w:rsid w:val="009F3314"/>
    <w:rsid w:val="009F4B87"/>
    <w:rsid w:val="009F7D05"/>
    <w:rsid w:val="00A049AC"/>
    <w:rsid w:val="00A063C3"/>
    <w:rsid w:val="00A10A37"/>
    <w:rsid w:val="00A10A40"/>
    <w:rsid w:val="00A12EBD"/>
    <w:rsid w:val="00A13585"/>
    <w:rsid w:val="00A27B97"/>
    <w:rsid w:val="00A27F7C"/>
    <w:rsid w:val="00A27FBE"/>
    <w:rsid w:val="00A3297E"/>
    <w:rsid w:val="00A342B0"/>
    <w:rsid w:val="00A36495"/>
    <w:rsid w:val="00A4088D"/>
    <w:rsid w:val="00A41F19"/>
    <w:rsid w:val="00A429CE"/>
    <w:rsid w:val="00A43244"/>
    <w:rsid w:val="00A47322"/>
    <w:rsid w:val="00A50542"/>
    <w:rsid w:val="00A507C0"/>
    <w:rsid w:val="00A50F35"/>
    <w:rsid w:val="00A52069"/>
    <w:rsid w:val="00A52A32"/>
    <w:rsid w:val="00A52CA2"/>
    <w:rsid w:val="00A53976"/>
    <w:rsid w:val="00A56557"/>
    <w:rsid w:val="00A57A66"/>
    <w:rsid w:val="00A62C78"/>
    <w:rsid w:val="00A63225"/>
    <w:rsid w:val="00A6357C"/>
    <w:rsid w:val="00A67C69"/>
    <w:rsid w:val="00A8483A"/>
    <w:rsid w:val="00A87090"/>
    <w:rsid w:val="00AA23A8"/>
    <w:rsid w:val="00AA5585"/>
    <w:rsid w:val="00AA5DAB"/>
    <w:rsid w:val="00AB3AC9"/>
    <w:rsid w:val="00AB528B"/>
    <w:rsid w:val="00AB663B"/>
    <w:rsid w:val="00AB69F2"/>
    <w:rsid w:val="00AB71FC"/>
    <w:rsid w:val="00AC0EF2"/>
    <w:rsid w:val="00AC6974"/>
    <w:rsid w:val="00AC775C"/>
    <w:rsid w:val="00AC7C12"/>
    <w:rsid w:val="00AC7C47"/>
    <w:rsid w:val="00AD253D"/>
    <w:rsid w:val="00AD5526"/>
    <w:rsid w:val="00AE0A91"/>
    <w:rsid w:val="00AE2241"/>
    <w:rsid w:val="00AE2FF8"/>
    <w:rsid w:val="00AE39F0"/>
    <w:rsid w:val="00AE798F"/>
    <w:rsid w:val="00AF3D2A"/>
    <w:rsid w:val="00AF4FD5"/>
    <w:rsid w:val="00B0545A"/>
    <w:rsid w:val="00B125B7"/>
    <w:rsid w:val="00B144A0"/>
    <w:rsid w:val="00B27392"/>
    <w:rsid w:val="00B27484"/>
    <w:rsid w:val="00B34B75"/>
    <w:rsid w:val="00B40B87"/>
    <w:rsid w:val="00B42A16"/>
    <w:rsid w:val="00B44375"/>
    <w:rsid w:val="00B44FD0"/>
    <w:rsid w:val="00B46FA0"/>
    <w:rsid w:val="00B55C3C"/>
    <w:rsid w:val="00B63F23"/>
    <w:rsid w:val="00B65760"/>
    <w:rsid w:val="00B70259"/>
    <w:rsid w:val="00B738F1"/>
    <w:rsid w:val="00B742C4"/>
    <w:rsid w:val="00B756AD"/>
    <w:rsid w:val="00B8281B"/>
    <w:rsid w:val="00B83A20"/>
    <w:rsid w:val="00B84493"/>
    <w:rsid w:val="00B84E7E"/>
    <w:rsid w:val="00B879C7"/>
    <w:rsid w:val="00B93C1D"/>
    <w:rsid w:val="00B96ABD"/>
    <w:rsid w:val="00B97ED5"/>
    <w:rsid w:val="00BA1EA7"/>
    <w:rsid w:val="00BA22A4"/>
    <w:rsid w:val="00BA5DA4"/>
    <w:rsid w:val="00BA62EE"/>
    <w:rsid w:val="00BB2181"/>
    <w:rsid w:val="00BB3B15"/>
    <w:rsid w:val="00BB5EE9"/>
    <w:rsid w:val="00BB6A65"/>
    <w:rsid w:val="00BC51DE"/>
    <w:rsid w:val="00BC5683"/>
    <w:rsid w:val="00BC7903"/>
    <w:rsid w:val="00BD4356"/>
    <w:rsid w:val="00BD4984"/>
    <w:rsid w:val="00BE241C"/>
    <w:rsid w:val="00C02E7C"/>
    <w:rsid w:val="00C03E8B"/>
    <w:rsid w:val="00C116B3"/>
    <w:rsid w:val="00C13954"/>
    <w:rsid w:val="00C173FD"/>
    <w:rsid w:val="00C259AD"/>
    <w:rsid w:val="00C315C9"/>
    <w:rsid w:val="00C31954"/>
    <w:rsid w:val="00C42B55"/>
    <w:rsid w:val="00C4359D"/>
    <w:rsid w:val="00C43CDB"/>
    <w:rsid w:val="00C47F7E"/>
    <w:rsid w:val="00C55A04"/>
    <w:rsid w:val="00C56000"/>
    <w:rsid w:val="00C56803"/>
    <w:rsid w:val="00C617D9"/>
    <w:rsid w:val="00C65BF6"/>
    <w:rsid w:val="00C70CBC"/>
    <w:rsid w:val="00C713D1"/>
    <w:rsid w:val="00C76455"/>
    <w:rsid w:val="00C770E2"/>
    <w:rsid w:val="00C81202"/>
    <w:rsid w:val="00C827EF"/>
    <w:rsid w:val="00C830E4"/>
    <w:rsid w:val="00C9229D"/>
    <w:rsid w:val="00C92F3E"/>
    <w:rsid w:val="00C96B00"/>
    <w:rsid w:val="00CA5AF8"/>
    <w:rsid w:val="00CA5B26"/>
    <w:rsid w:val="00CB34B5"/>
    <w:rsid w:val="00CB40BB"/>
    <w:rsid w:val="00CB4664"/>
    <w:rsid w:val="00CC243B"/>
    <w:rsid w:val="00CC3136"/>
    <w:rsid w:val="00CC662B"/>
    <w:rsid w:val="00CD76CE"/>
    <w:rsid w:val="00CE23AA"/>
    <w:rsid w:val="00CE765B"/>
    <w:rsid w:val="00CF4165"/>
    <w:rsid w:val="00CF5963"/>
    <w:rsid w:val="00CF6715"/>
    <w:rsid w:val="00D01663"/>
    <w:rsid w:val="00D038FD"/>
    <w:rsid w:val="00D05940"/>
    <w:rsid w:val="00D06330"/>
    <w:rsid w:val="00D07E09"/>
    <w:rsid w:val="00D10AFE"/>
    <w:rsid w:val="00D20099"/>
    <w:rsid w:val="00D24F50"/>
    <w:rsid w:val="00D27250"/>
    <w:rsid w:val="00D31753"/>
    <w:rsid w:val="00D33D32"/>
    <w:rsid w:val="00D34FF1"/>
    <w:rsid w:val="00D35913"/>
    <w:rsid w:val="00D50AF2"/>
    <w:rsid w:val="00D50D72"/>
    <w:rsid w:val="00D50DDE"/>
    <w:rsid w:val="00D54A96"/>
    <w:rsid w:val="00D6741F"/>
    <w:rsid w:val="00D71338"/>
    <w:rsid w:val="00D71434"/>
    <w:rsid w:val="00D71638"/>
    <w:rsid w:val="00D73102"/>
    <w:rsid w:val="00D80E77"/>
    <w:rsid w:val="00D83824"/>
    <w:rsid w:val="00D86684"/>
    <w:rsid w:val="00D90D77"/>
    <w:rsid w:val="00D91C59"/>
    <w:rsid w:val="00D92A83"/>
    <w:rsid w:val="00D9488A"/>
    <w:rsid w:val="00D94BE4"/>
    <w:rsid w:val="00D96757"/>
    <w:rsid w:val="00D97AFB"/>
    <w:rsid w:val="00DB7536"/>
    <w:rsid w:val="00DC06A2"/>
    <w:rsid w:val="00DC4308"/>
    <w:rsid w:val="00DC6C5F"/>
    <w:rsid w:val="00DD0812"/>
    <w:rsid w:val="00DD1A0A"/>
    <w:rsid w:val="00DD2B23"/>
    <w:rsid w:val="00DD352B"/>
    <w:rsid w:val="00DD3F7F"/>
    <w:rsid w:val="00DD464D"/>
    <w:rsid w:val="00DD5E2C"/>
    <w:rsid w:val="00DF0FD1"/>
    <w:rsid w:val="00DF15BC"/>
    <w:rsid w:val="00DF440E"/>
    <w:rsid w:val="00DF4BD8"/>
    <w:rsid w:val="00DF548C"/>
    <w:rsid w:val="00E01CC6"/>
    <w:rsid w:val="00E04608"/>
    <w:rsid w:val="00E05DB6"/>
    <w:rsid w:val="00E15E15"/>
    <w:rsid w:val="00E173C0"/>
    <w:rsid w:val="00E23F76"/>
    <w:rsid w:val="00E31154"/>
    <w:rsid w:val="00E33303"/>
    <w:rsid w:val="00E34E03"/>
    <w:rsid w:val="00E467C3"/>
    <w:rsid w:val="00E47C42"/>
    <w:rsid w:val="00E53BB0"/>
    <w:rsid w:val="00E545CA"/>
    <w:rsid w:val="00E55341"/>
    <w:rsid w:val="00E55FC2"/>
    <w:rsid w:val="00E627EE"/>
    <w:rsid w:val="00E649B0"/>
    <w:rsid w:val="00E7165B"/>
    <w:rsid w:val="00E72FCD"/>
    <w:rsid w:val="00E7450D"/>
    <w:rsid w:val="00E75452"/>
    <w:rsid w:val="00E764A3"/>
    <w:rsid w:val="00E77DAF"/>
    <w:rsid w:val="00E9373A"/>
    <w:rsid w:val="00EA1F35"/>
    <w:rsid w:val="00EA41AF"/>
    <w:rsid w:val="00EB747D"/>
    <w:rsid w:val="00EC5AD9"/>
    <w:rsid w:val="00EC68C9"/>
    <w:rsid w:val="00ED0FFF"/>
    <w:rsid w:val="00ED54D8"/>
    <w:rsid w:val="00ED71AF"/>
    <w:rsid w:val="00EE3B69"/>
    <w:rsid w:val="00EE53E7"/>
    <w:rsid w:val="00EE595F"/>
    <w:rsid w:val="00EE7873"/>
    <w:rsid w:val="00EF3696"/>
    <w:rsid w:val="00EF3D60"/>
    <w:rsid w:val="00EF54E9"/>
    <w:rsid w:val="00F0021E"/>
    <w:rsid w:val="00F0158C"/>
    <w:rsid w:val="00F03AC1"/>
    <w:rsid w:val="00F04FB9"/>
    <w:rsid w:val="00F06178"/>
    <w:rsid w:val="00F06E61"/>
    <w:rsid w:val="00F1143E"/>
    <w:rsid w:val="00F1198C"/>
    <w:rsid w:val="00F13FDD"/>
    <w:rsid w:val="00F17683"/>
    <w:rsid w:val="00F20370"/>
    <w:rsid w:val="00F257AC"/>
    <w:rsid w:val="00F307C7"/>
    <w:rsid w:val="00F35FDE"/>
    <w:rsid w:val="00F36F0A"/>
    <w:rsid w:val="00F37212"/>
    <w:rsid w:val="00F41D3C"/>
    <w:rsid w:val="00F43A40"/>
    <w:rsid w:val="00F44724"/>
    <w:rsid w:val="00F45822"/>
    <w:rsid w:val="00F50168"/>
    <w:rsid w:val="00F635DE"/>
    <w:rsid w:val="00F6416C"/>
    <w:rsid w:val="00F65601"/>
    <w:rsid w:val="00F72A7E"/>
    <w:rsid w:val="00F8043E"/>
    <w:rsid w:val="00F80D67"/>
    <w:rsid w:val="00F81B10"/>
    <w:rsid w:val="00F87EF8"/>
    <w:rsid w:val="00F912A7"/>
    <w:rsid w:val="00F913E8"/>
    <w:rsid w:val="00F95ED8"/>
    <w:rsid w:val="00F976D2"/>
    <w:rsid w:val="00FA1FF1"/>
    <w:rsid w:val="00FA5808"/>
    <w:rsid w:val="00FA729D"/>
    <w:rsid w:val="00FA763F"/>
    <w:rsid w:val="00FB6C16"/>
    <w:rsid w:val="00FC1E55"/>
    <w:rsid w:val="00FC37FB"/>
    <w:rsid w:val="00FC7E06"/>
    <w:rsid w:val="00FE5223"/>
    <w:rsid w:val="00FE661A"/>
    <w:rsid w:val="00FE6AF6"/>
    <w:rsid w:val="00FF1250"/>
    <w:rsid w:val="00FF17ED"/>
    <w:rsid w:val="00FF2314"/>
    <w:rsid w:val="00FF4AF2"/>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D5"/>
  </w:style>
  <w:style w:type="paragraph" w:styleId="Heading1">
    <w:name w:val="heading 1"/>
    <w:basedOn w:val="Normal"/>
    <w:next w:val="Normal"/>
    <w:qFormat/>
    <w:rsid w:val="00550AD5"/>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0AD5"/>
    <w:rPr>
      <w:sz w:val="22"/>
    </w:rPr>
  </w:style>
  <w:style w:type="paragraph" w:customStyle="1" w:styleId="SP-SglSpPara">
    <w:name w:val="SP-Sgl Sp Para"/>
    <w:rsid w:val="00550AD5"/>
    <w:pPr>
      <w:tabs>
        <w:tab w:val="left" w:pos="576"/>
      </w:tabs>
      <w:spacing w:line="240" w:lineRule="atLeast"/>
      <w:ind w:firstLine="576"/>
      <w:jc w:val="both"/>
    </w:pPr>
    <w:rPr>
      <w:sz w:val="22"/>
    </w:rPr>
  </w:style>
  <w:style w:type="table" w:styleId="TableGrid">
    <w:name w:val="Table Grid"/>
    <w:basedOn w:val="TableNormal"/>
    <w:rsid w:val="00EE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E7873"/>
    <w:pPr>
      <w:spacing w:after="120" w:line="480" w:lineRule="auto"/>
    </w:pPr>
  </w:style>
  <w:style w:type="paragraph" w:styleId="Header">
    <w:name w:val="header"/>
    <w:basedOn w:val="Normal"/>
    <w:link w:val="HeaderChar"/>
    <w:uiPriority w:val="99"/>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basedOn w:val="DefaultParagraphFont"/>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basedOn w:val="DefaultParagraphFont"/>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787CFD"/>
    <w:rPr>
      <w:rFonts w:ascii="Tahoma" w:hAnsi="Tahoma" w:cs="Tahoma"/>
      <w:sz w:val="16"/>
      <w:szCs w:val="16"/>
    </w:rPr>
  </w:style>
  <w:style w:type="paragraph" w:customStyle="1" w:styleId="P1-StandPara">
    <w:name w:val="P1-Stand Para"/>
    <w:rsid w:val="004E1012"/>
    <w:pPr>
      <w:spacing w:line="480" w:lineRule="auto"/>
      <w:ind w:firstLine="720"/>
    </w:pPr>
    <w:rPr>
      <w:sz w:val="22"/>
    </w:rPr>
  </w:style>
  <w:style w:type="paragraph" w:customStyle="1" w:styleId="SL-FlLftSgl">
    <w:name w:val="SL-Fl Lft Sgl"/>
    <w:rsid w:val="00F912A7"/>
    <w:pPr>
      <w:spacing w:line="240" w:lineRule="atLeast"/>
      <w:jc w:val="both"/>
    </w:pPr>
    <w:rPr>
      <w:sz w:val="22"/>
    </w:rPr>
  </w:style>
  <w:style w:type="paragraph" w:customStyle="1" w:styleId="TT-TableTitle">
    <w:name w:val="TT-Table Title"/>
    <w:rsid w:val="00F912A7"/>
    <w:pPr>
      <w:tabs>
        <w:tab w:val="left" w:pos="1152"/>
      </w:tabs>
      <w:spacing w:line="240" w:lineRule="atLeast"/>
      <w:ind w:left="1152" w:hanging="1152"/>
    </w:pPr>
    <w:rPr>
      <w:sz w:val="22"/>
    </w:rPr>
  </w:style>
  <w:style w:type="character" w:styleId="CommentReference">
    <w:name w:val="annotation reference"/>
    <w:basedOn w:val="DefaultParagraphFont"/>
    <w:uiPriority w:val="99"/>
    <w:semiHidden/>
    <w:unhideWhenUsed/>
    <w:rsid w:val="00C617D9"/>
    <w:rPr>
      <w:sz w:val="16"/>
      <w:szCs w:val="16"/>
    </w:rPr>
  </w:style>
  <w:style w:type="paragraph" w:styleId="CommentText">
    <w:name w:val="annotation text"/>
    <w:basedOn w:val="Normal"/>
    <w:link w:val="CommentTextChar"/>
    <w:uiPriority w:val="99"/>
    <w:semiHidden/>
    <w:unhideWhenUsed/>
    <w:rsid w:val="00C617D9"/>
    <w:rPr>
      <w:sz w:val="24"/>
      <w:szCs w:val="24"/>
    </w:rPr>
  </w:style>
  <w:style w:type="character" w:customStyle="1" w:styleId="CommentTextChar">
    <w:name w:val="Comment Text Char"/>
    <w:basedOn w:val="DefaultParagraphFont"/>
    <w:link w:val="CommentText"/>
    <w:uiPriority w:val="99"/>
    <w:semiHidden/>
    <w:rsid w:val="00C617D9"/>
    <w:rPr>
      <w:sz w:val="24"/>
      <w:szCs w:val="24"/>
    </w:rPr>
  </w:style>
  <w:style w:type="paragraph" w:styleId="FootnoteText">
    <w:name w:val="footnote text"/>
    <w:basedOn w:val="Normal"/>
    <w:link w:val="FootnoteTextChar"/>
    <w:uiPriority w:val="99"/>
    <w:semiHidden/>
    <w:unhideWhenUsed/>
    <w:rsid w:val="007E5F35"/>
  </w:style>
  <w:style w:type="character" w:customStyle="1" w:styleId="FootnoteTextChar">
    <w:name w:val="Footnote Text Char"/>
    <w:basedOn w:val="DefaultParagraphFont"/>
    <w:link w:val="FootnoteText"/>
    <w:uiPriority w:val="99"/>
    <w:semiHidden/>
    <w:rsid w:val="007E5F35"/>
  </w:style>
  <w:style w:type="character" w:styleId="FootnoteReference">
    <w:name w:val="footnote reference"/>
    <w:basedOn w:val="DefaultParagraphFont"/>
    <w:uiPriority w:val="99"/>
    <w:semiHidden/>
    <w:unhideWhenUsed/>
    <w:rsid w:val="007E5F35"/>
    <w:rPr>
      <w:vertAlign w:val="superscript"/>
    </w:rPr>
  </w:style>
  <w:style w:type="paragraph" w:styleId="CommentSubject">
    <w:name w:val="annotation subject"/>
    <w:basedOn w:val="CommentText"/>
    <w:next w:val="CommentText"/>
    <w:link w:val="CommentSubjectChar"/>
    <w:uiPriority w:val="99"/>
    <w:semiHidden/>
    <w:unhideWhenUsed/>
    <w:rsid w:val="00AE2241"/>
    <w:rPr>
      <w:b/>
      <w:bCs/>
      <w:sz w:val="20"/>
      <w:szCs w:val="20"/>
    </w:rPr>
  </w:style>
  <w:style w:type="character" w:customStyle="1" w:styleId="CommentSubjectChar">
    <w:name w:val="Comment Subject Char"/>
    <w:basedOn w:val="CommentTextChar"/>
    <w:link w:val="CommentSubject"/>
    <w:uiPriority w:val="99"/>
    <w:semiHidden/>
    <w:rsid w:val="00AE2241"/>
    <w:rPr>
      <w:b/>
      <w:bCs/>
      <w:sz w:val="24"/>
      <w:szCs w:val="24"/>
    </w:rPr>
  </w:style>
  <w:style w:type="paragraph" w:styleId="Revision">
    <w:name w:val="Revision"/>
    <w:hidden/>
    <w:uiPriority w:val="99"/>
    <w:semiHidden/>
    <w:rsid w:val="003A3DF7"/>
  </w:style>
  <w:style w:type="paragraph" w:styleId="ListParagraph">
    <w:name w:val="List Paragraph"/>
    <w:basedOn w:val="Normal"/>
    <w:uiPriority w:val="34"/>
    <w:qFormat/>
    <w:rsid w:val="00B0545A"/>
    <w:pPr>
      <w:ind w:left="720"/>
      <w:contextualSpacing/>
    </w:pPr>
  </w:style>
  <w:style w:type="character" w:customStyle="1" w:styleId="HeaderChar">
    <w:name w:val="Header Char"/>
    <w:basedOn w:val="DefaultParagraphFont"/>
    <w:link w:val="Header"/>
    <w:uiPriority w:val="99"/>
    <w:rsid w:val="005955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AD5"/>
  </w:style>
  <w:style w:type="paragraph" w:styleId="Heading1">
    <w:name w:val="heading 1"/>
    <w:basedOn w:val="Normal"/>
    <w:next w:val="Normal"/>
    <w:qFormat/>
    <w:rsid w:val="00550AD5"/>
    <w:pPr>
      <w:keepNext/>
      <w:jc w:val="center"/>
      <w:outlineLvl w:val="0"/>
    </w:pPr>
    <w:rPr>
      <w:b/>
      <w:sz w:val="22"/>
      <w:u w:val="single"/>
    </w:rPr>
  </w:style>
  <w:style w:type="paragraph" w:styleId="Heading2">
    <w:name w:val="heading 2"/>
    <w:basedOn w:val="Normal"/>
    <w:next w:val="Normal"/>
    <w:qFormat/>
    <w:rsid w:val="00EE7873"/>
    <w:pPr>
      <w:keepNext/>
      <w:spacing w:line="360" w:lineRule="auto"/>
      <w:ind w:left="720" w:hanging="720"/>
      <w:outlineLvl w:val="1"/>
    </w:pPr>
    <w:rPr>
      <w:b/>
      <w:color w:val="000000"/>
      <w:sz w:val="22"/>
    </w:rPr>
  </w:style>
  <w:style w:type="paragraph" w:styleId="Heading3">
    <w:name w:val="heading 3"/>
    <w:basedOn w:val="Normal"/>
    <w:next w:val="Normal"/>
    <w:qFormat/>
    <w:rsid w:val="00EE7873"/>
    <w:pPr>
      <w:keepNext/>
      <w:widowControl w:val="0"/>
      <w:autoSpaceDE w:val="0"/>
      <w:autoSpaceDN w:val="0"/>
      <w:adjustRightInd w:val="0"/>
      <w:outlineLvl w:val="2"/>
    </w:pPr>
    <w:rPr>
      <w:b/>
      <w:bCs/>
      <w:sz w:val="24"/>
      <w:szCs w:val="22"/>
    </w:rPr>
  </w:style>
  <w:style w:type="paragraph" w:styleId="Heading4">
    <w:name w:val="heading 4"/>
    <w:basedOn w:val="Normal"/>
    <w:next w:val="Normal"/>
    <w:qFormat/>
    <w:rsid w:val="00EE7873"/>
    <w:pPr>
      <w:keepNext/>
      <w:spacing w:before="240" w:after="60"/>
      <w:outlineLvl w:val="3"/>
    </w:pPr>
    <w:rPr>
      <w:b/>
      <w:bCs/>
      <w:sz w:val="28"/>
      <w:szCs w:val="28"/>
    </w:rPr>
  </w:style>
  <w:style w:type="paragraph" w:styleId="Heading5">
    <w:name w:val="heading 5"/>
    <w:basedOn w:val="Normal"/>
    <w:next w:val="Normal"/>
    <w:qFormat/>
    <w:rsid w:val="00EE7873"/>
    <w:pPr>
      <w:spacing w:before="240" w:after="60"/>
      <w:outlineLvl w:val="4"/>
    </w:pPr>
    <w:rPr>
      <w:b/>
      <w:bCs/>
      <w:i/>
      <w:iCs/>
      <w:sz w:val="26"/>
      <w:szCs w:val="26"/>
    </w:rPr>
  </w:style>
  <w:style w:type="paragraph" w:styleId="Heading6">
    <w:name w:val="heading 6"/>
    <w:basedOn w:val="Normal"/>
    <w:next w:val="Normal"/>
    <w:qFormat/>
    <w:rsid w:val="00EE7873"/>
    <w:pPr>
      <w:spacing w:before="240" w:after="60"/>
      <w:outlineLvl w:val="5"/>
    </w:pPr>
    <w:rPr>
      <w:b/>
      <w:bCs/>
      <w:sz w:val="22"/>
      <w:szCs w:val="22"/>
    </w:rPr>
  </w:style>
  <w:style w:type="paragraph" w:styleId="Heading7">
    <w:name w:val="heading 7"/>
    <w:basedOn w:val="Normal"/>
    <w:next w:val="Normal"/>
    <w:qFormat/>
    <w:rsid w:val="00EE7873"/>
    <w:pPr>
      <w:spacing w:before="240" w:after="60"/>
      <w:outlineLvl w:val="6"/>
    </w:pPr>
    <w:rPr>
      <w:sz w:val="24"/>
      <w:szCs w:val="24"/>
    </w:rPr>
  </w:style>
  <w:style w:type="paragraph" w:styleId="Heading8">
    <w:name w:val="heading 8"/>
    <w:basedOn w:val="Normal"/>
    <w:next w:val="Normal"/>
    <w:qFormat/>
    <w:rsid w:val="00EE7873"/>
    <w:pPr>
      <w:spacing w:before="240" w:after="60"/>
      <w:outlineLvl w:val="7"/>
    </w:pPr>
    <w:rPr>
      <w:i/>
      <w:iCs/>
      <w:sz w:val="24"/>
      <w:szCs w:val="24"/>
    </w:rPr>
  </w:style>
  <w:style w:type="paragraph" w:styleId="Heading9">
    <w:name w:val="heading 9"/>
    <w:basedOn w:val="Normal"/>
    <w:next w:val="Normal"/>
    <w:qFormat/>
    <w:rsid w:val="00EE787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50AD5"/>
    <w:rPr>
      <w:sz w:val="22"/>
    </w:rPr>
  </w:style>
  <w:style w:type="paragraph" w:customStyle="1" w:styleId="SP-SglSpPara">
    <w:name w:val="SP-Sgl Sp Para"/>
    <w:rsid w:val="00550AD5"/>
    <w:pPr>
      <w:tabs>
        <w:tab w:val="left" w:pos="576"/>
      </w:tabs>
      <w:spacing w:line="240" w:lineRule="atLeast"/>
      <w:ind w:firstLine="576"/>
      <w:jc w:val="both"/>
    </w:pPr>
    <w:rPr>
      <w:sz w:val="22"/>
    </w:rPr>
  </w:style>
  <w:style w:type="table" w:styleId="TableGrid">
    <w:name w:val="Table Grid"/>
    <w:basedOn w:val="TableNormal"/>
    <w:rsid w:val="00EE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E7873"/>
    <w:pPr>
      <w:spacing w:after="120" w:line="480" w:lineRule="auto"/>
    </w:pPr>
  </w:style>
  <w:style w:type="paragraph" w:styleId="Header">
    <w:name w:val="header"/>
    <w:basedOn w:val="Normal"/>
    <w:link w:val="HeaderChar"/>
    <w:uiPriority w:val="99"/>
    <w:rsid w:val="00EE7873"/>
    <w:pPr>
      <w:tabs>
        <w:tab w:val="center" w:pos="4320"/>
        <w:tab w:val="right" w:pos="8640"/>
      </w:tabs>
    </w:pPr>
  </w:style>
  <w:style w:type="paragraph" w:styleId="Footer">
    <w:name w:val="footer"/>
    <w:basedOn w:val="Normal"/>
    <w:rsid w:val="00EE7873"/>
    <w:pPr>
      <w:tabs>
        <w:tab w:val="center" w:pos="4320"/>
        <w:tab w:val="right" w:pos="8640"/>
      </w:tabs>
    </w:pPr>
  </w:style>
  <w:style w:type="paragraph" w:styleId="BodyTextIndent">
    <w:name w:val="Body Text Indent"/>
    <w:basedOn w:val="Normal"/>
    <w:rsid w:val="00EE7873"/>
    <w:pPr>
      <w:widowControl w:val="0"/>
      <w:autoSpaceDE w:val="0"/>
      <w:autoSpaceDN w:val="0"/>
      <w:adjustRightInd w:val="0"/>
      <w:ind w:left="2160"/>
    </w:pPr>
    <w:rPr>
      <w:color w:val="000000"/>
      <w:sz w:val="24"/>
      <w:szCs w:val="22"/>
    </w:rPr>
  </w:style>
  <w:style w:type="paragraph" w:styleId="List">
    <w:name w:val="List"/>
    <w:basedOn w:val="Normal"/>
    <w:rsid w:val="00EE7873"/>
    <w:pPr>
      <w:ind w:left="360" w:hanging="360"/>
    </w:pPr>
    <w:rPr>
      <w:sz w:val="24"/>
    </w:rPr>
  </w:style>
  <w:style w:type="paragraph" w:styleId="List2">
    <w:name w:val="List 2"/>
    <w:basedOn w:val="Normal"/>
    <w:rsid w:val="00EE7873"/>
    <w:pPr>
      <w:ind w:left="720" w:hanging="360"/>
    </w:pPr>
    <w:rPr>
      <w:sz w:val="24"/>
    </w:rPr>
  </w:style>
  <w:style w:type="paragraph" w:styleId="ListContinue">
    <w:name w:val="List Continue"/>
    <w:basedOn w:val="Normal"/>
    <w:rsid w:val="00EE7873"/>
    <w:pPr>
      <w:spacing w:after="120"/>
      <w:ind w:left="360"/>
    </w:pPr>
    <w:rPr>
      <w:sz w:val="24"/>
    </w:rPr>
  </w:style>
  <w:style w:type="paragraph" w:styleId="BodyTextIndent2">
    <w:name w:val="Body Text Indent 2"/>
    <w:basedOn w:val="Normal"/>
    <w:rsid w:val="00EE7873"/>
    <w:pPr>
      <w:widowControl w:val="0"/>
      <w:autoSpaceDE w:val="0"/>
      <w:autoSpaceDN w:val="0"/>
      <w:adjustRightInd w:val="0"/>
      <w:ind w:left="2880" w:hanging="720"/>
    </w:pPr>
    <w:rPr>
      <w:color w:val="000000"/>
      <w:sz w:val="24"/>
      <w:szCs w:val="22"/>
    </w:rPr>
  </w:style>
  <w:style w:type="paragraph" w:styleId="BodyTextIndent3">
    <w:name w:val="Body Text Indent 3"/>
    <w:basedOn w:val="Normal"/>
    <w:rsid w:val="00EE7873"/>
    <w:pPr>
      <w:widowControl w:val="0"/>
      <w:autoSpaceDE w:val="0"/>
      <w:autoSpaceDN w:val="0"/>
      <w:adjustRightInd w:val="0"/>
      <w:ind w:left="720"/>
    </w:pPr>
    <w:rPr>
      <w:sz w:val="24"/>
      <w:szCs w:val="22"/>
    </w:rPr>
  </w:style>
  <w:style w:type="character" w:styleId="PageNumber">
    <w:name w:val="page number"/>
    <w:basedOn w:val="DefaultParagraphFont"/>
    <w:rsid w:val="00EE7873"/>
  </w:style>
  <w:style w:type="paragraph" w:styleId="BodyText3">
    <w:name w:val="Body Text 3"/>
    <w:basedOn w:val="Normal"/>
    <w:rsid w:val="00EE7873"/>
    <w:pPr>
      <w:widowControl w:val="0"/>
      <w:tabs>
        <w:tab w:val="left" w:pos="-1440"/>
      </w:tabs>
      <w:autoSpaceDE w:val="0"/>
      <w:autoSpaceDN w:val="0"/>
      <w:adjustRightInd w:val="0"/>
    </w:pPr>
    <w:rPr>
      <w:b/>
      <w:bCs/>
      <w:sz w:val="24"/>
      <w:szCs w:val="22"/>
      <w:u w:val="single"/>
    </w:rPr>
  </w:style>
  <w:style w:type="paragraph" w:customStyle="1" w:styleId="yesno">
    <w:name w:val="yes/no"/>
    <w:basedOn w:val="Normal"/>
    <w:rsid w:val="00EE7873"/>
    <w:pPr>
      <w:widowControl w:val="0"/>
      <w:tabs>
        <w:tab w:val="left" w:pos="630"/>
        <w:tab w:val="left" w:pos="6570"/>
        <w:tab w:val="right" w:leader="dot" w:pos="10080"/>
      </w:tabs>
    </w:pPr>
    <w:rPr>
      <w:sz w:val="22"/>
    </w:rPr>
  </w:style>
  <w:style w:type="paragraph" w:customStyle="1" w:styleId="indent1">
    <w:name w:val="indent1"/>
    <w:basedOn w:val="indent1skip"/>
    <w:rsid w:val="00EE7873"/>
    <w:pPr>
      <w:tabs>
        <w:tab w:val="clear" w:pos="8100"/>
      </w:tabs>
    </w:pPr>
  </w:style>
  <w:style w:type="paragraph" w:customStyle="1" w:styleId="indent1skip">
    <w:name w:val="indent1skip"/>
    <w:basedOn w:val="skip"/>
    <w:rsid w:val="00EE7873"/>
    <w:pPr>
      <w:tabs>
        <w:tab w:val="left" w:pos="1260"/>
      </w:tabs>
    </w:pPr>
  </w:style>
  <w:style w:type="paragraph" w:customStyle="1" w:styleId="skip">
    <w:name w:val="skip"/>
    <w:basedOn w:val="yesno"/>
    <w:rsid w:val="00EE7873"/>
    <w:pPr>
      <w:tabs>
        <w:tab w:val="left" w:leader="dot" w:pos="8100"/>
      </w:tabs>
    </w:pPr>
  </w:style>
  <w:style w:type="paragraph" w:customStyle="1" w:styleId="indentage">
    <w:name w:val="indent age"/>
    <w:basedOn w:val="indentline"/>
    <w:rsid w:val="00EE7873"/>
    <w:pPr>
      <w:tabs>
        <w:tab w:val="clear" w:pos="1080"/>
        <w:tab w:val="clear" w:pos="6570"/>
        <w:tab w:val="left" w:pos="1260"/>
        <w:tab w:val="right" w:pos="10080"/>
      </w:tabs>
    </w:pPr>
  </w:style>
  <w:style w:type="paragraph" w:customStyle="1" w:styleId="indentline">
    <w:name w:val="indent line"/>
    <w:basedOn w:val="line"/>
    <w:rsid w:val="00EE7873"/>
    <w:pPr>
      <w:tabs>
        <w:tab w:val="left" w:pos="1080"/>
      </w:tabs>
    </w:pPr>
  </w:style>
  <w:style w:type="paragraph" w:customStyle="1" w:styleId="line">
    <w:name w:val="line"/>
    <w:basedOn w:val="yesno"/>
    <w:rsid w:val="00EE7873"/>
    <w:pPr>
      <w:tabs>
        <w:tab w:val="right" w:leader="underscore" w:pos="10080"/>
      </w:tabs>
    </w:pPr>
  </w:style>
  <w:style w:type="paragraph" w:customStyle="1" w:styleId="age">
    <w:name w:val="age"/>
    <w:basedOn w:val="Normal"/>
    <w:rsid w:val="00EE7873"/>
    <w:pPr>
      <w:widowControl w:val="0"/>
      <w:tabs>
        <w:tab w:val="left" w:pos="630"/>
        <w:tab w:val="right" w:pos="10080"/>
      </w:tabs>
    </w:pPr>
    <w:rPr>
      <w:sz w:val="22"/>
    </w:rPr>
  </w:style>
  <w:style w:type="character" w:styleId="Hyperlink">
    <w:name w:val="Hyperlink"/>
    <w:basedOn w:val="DefaultParagraphFont"/>
    <w:rsid w:val="00EE7873"/>
    <w:rPr>
      <w:color w:val="0000FF"/>
      <w:u w:val="single"/>
    </w:rPr>
  </w:style>
  <w:style w:type="paragraph" w:customStyle="1" w:styleId="Q1-FirstLevelQuestion">
    <w:name w:val="Q1-First Level Question"/>
    <w:rsid w:val="00EE7873"/>
    <w:pPr>
      <w:tabs>
        <w:tab w:val="left" w:pos="720"/>
      </w:tabs>
      <w:spacing w:line="240" w:lineRule="atLeast"/>
      <w:ind w:left="720" w:hanging="720"/>
      <w:jc w:val="both"/>
    </w:pPr>
    <w:rPr>
      <w:rFonts w:ascii="Arial" w:hAnsi="Arial"/>
      <w:sz w:val="18"/>
    </w:rPr>
  </w:style>
  <w:style w:type="paragraph" w:customStyle="1" w:styleId="Q2-SecondLevelQuestion">
    <w:name w:val="Q2-Second Level Question"/>
    <w:rsid w:val="00EE7873"/>
    <w:pPr>
      <w:tabs>
        <w:tab w:val="left" w:pos="1440"/>
      </w:tabs>
      <w:spacing w:line="240" w:lineRule="atLeast"/>
      <w:ind w:left="1440" w:hanging="720"/>
      <w:jc w:val="both"/>
    </w:pPr>
    <w:rPr>
      <w:rFonts w:ascii="Arial" w:hAnsi="Arial"/>
      <w:sz w:val="18"/>
    </w:rPr>
  </w:style>
  <w:style w:type="paragraph" w:customStyle="1" w:styleId="A5-2ndLeader">
    <w:name w:val="A5-2nd Leader"/>
    <w:rsid w:val="00EE7873"/>
    <w:pPr>
      <w:tabs>
        <w:tab w:val="right" w:leader="dot" w:pos="7200"/>
        <w:tab w:val="right" w:pos="7488"/>
        <w:tab w:val="left" w:pos="7632"/>
      </w:tabs>
      <w:spacing w:line="240" w:lineRule="atLeast"/>
      <w:ind w:left="3600"/>
    </w:pPr>
    <w:rPr>
      <w:rFonts w:ascii="Arial" w:hAnsi="Arial"/>
      <w:sz w:val="18"/>
    </w:rPr>
  </w:style>
  <w:style w:type="paragraph" w:styleId="List3">
    <w:name w:val="List 3"/>
    <w:basedOn w:val="Normal"/>
    <w:rsid w:val="00EE7873"/>
    <w:pPr>
      <w:ind w:left="1080" w:hanging="360"/>
    </w:pPr>
  </w:style>
  <w:style w:type="paragraph" w:styleId="ListContinue2">
    <w:name w:val="List Continue 2"/>
    <w:basedOn w:val="Normal"/>
    <w:rsid w:val="00EE7873"/>
    <w:pPr>
      <w:spacing w:after="120"/>
      <w:ind w:left="720"/>
    </w:pPr>
  </w:style>
  <w:style w:type="paragraph" w:styleId="Title">
    <w:name w:val="Title"/>
    <w:basedOn w:val="Normal"/>
    <w:qFormat/>
    <w:rsid w:val="00EE7873"/>
    <w:pPr>
      <w:spacing w:before="240" w:after="60"/>
      <w:jc w:val="center"/>
      <w:outlineLvl w:val="0"/>
    </w:pPr>
    <w:rPr>
      <w:rFonts w:ascii="Arial" w:hAnsi="Arial" w:cs="Arial"/>
      <w:b/>
      <w:bCs/>
      <w:kern w:val="28"/>
      <w:sz w:val="32"/>
      <w:szCs w:val="32"/>
    </w:rPr>
  </w:style>
  <w:style w:type="paragraph" w:styleId="Subtitle">
    <w:name w:val="Subtitle"/>
    <w:basedOn w:val="Normal"/>
    <w:qFormat/>
    <w:rsid w:val="00EE7873"/>
    <w:pPr>
      <w:spacing w:after="60"/>
      <w:jc w:val="center"/>
      <w:outlineLvl w:val="1"/>
    </w:pPr>
    <w:rPr>
      <w:rFonts w:ascii="Arial" w:hAnsi="Arial" w:cs="Arial"/>
      <w:sz w:val="24"/>
      <w:szCs w:val="24"/>
    </w:rPr>
  </w:style>
  <w:style w:type="paragraph" w:customStyle="1" w:styleId="ReferenceLine">
    <w:name w:val="Reference Line"/>
    <w:basedOn w:val="BodyText"/>
    <w:rsid w:val="00EE7873"/>
    <w:rPr>
      <w:sz w:val="28"/>
    </w:rPr>
  </w:style>
  <w:style w:type="paragraph" w:styleId="NormalIndent">
    <w:name w:val="Normal Indent"/>
    <w:basedOn w:val="Normal"/>
    <w:rsid w:val="00EE7873"/>
    <w:pPr>
      <w:ind w:left="720"/>
    </w:pPr>
  </w:style>
  <w:style w:type="paragraph" w:customStyle="1" w:styleId="Answer">
    <w:name w:val="_Answer"/>
    <w:basedOn w:val="Normal"/>
    <w:rsid w:val="00EE7873"/>
    <w:pPr>
      <w:widowControl w:val="0"/>
      <w:tabs>
        <w:tab w:val="left" w:pos="1500"/>
      </w:tabs>
      <w:autoSpaceDE w:val="0"/>
      <w:autoSpaceDN w:val="0"/>
      <w:adjustRightInd w:val="0"/>
      <w:ind w:left="1440"/>
    </w:pPr>
  </w:style>
  <w:style w:type="paragraph" w:customStyle="1" w:styleId="Question">
    <w:name w:val="_Question"/>
    <w:basedOn w:val="Normal"/>
    <w:rsid w:val="00EE7873"/>
    <w:pPr>
      <w:widowControl w:val="0"/>
      <w:tabs>
        <w:tab w:val="left" w:pos="1500"/>
      </w:tabs>
      <w:autoSpaceDE w:val="0"/>
      <w:autoSpaceDN w:val="0"/>
      <w:adjustRightInd w:val="0"/>
      <w:spacing w:after="120"/>
    </w:pPr>
  </w:style>
  <w:style w:type="paragraph" w:customStyle="1" w:styleId="Answer2">
    <w:name w:val="_Answer2"/>
    <w:basedOn w:val="Answer"/>
    <w:rsid w:val="00EE7873"/>
    <w:pPr>
      <w:tabs>
        <w:tab w:val="left" w:pos="4320"/>
      </w:tabs>
    </w:pPr>
  </w:style>
  <w:style w:type="character" w:styleId="Strong">
    <w:name w:val="Strong"/>
    <w:basedOn w:val="DefaultParagraphFont"/>
    <w:qFormat/>
    <w:rsid w:val="00325CCF"/>
    <w:rPr>
      <w:b/>
      <w:bCs/>
    </w:rPr>
  </w:style>
  <w:style w:type="paragraph" w:styleId="NormalWeb">
    <w:name w:val="Normal (Web)"/>
    <w:basedOn w:val="Normal"/>
    <w:rsid w:val="00325CCF"/>
    <w:pPr>
      <w:spacing w:before="100" w:beforeAutospacing="1" w:after="100" w:afterAutospacing="1"/>
    </w:pPr>
    <w:rPr>
      <w:rFonts w:ascii="Arial" w:hAnsi="Arial" w:cs="Arial"/>
    </w:rPr>
  </w:style>
  <w:style w:type="paragraph" w:styleId="PlainText">
    <w:name w:val="Plain Text"/>
    <w:basedOn w:val="Normal"/>
    <w:rsid w:val="00325CCF"/>
    <w:rPr>
      <w:rFonts w:ascii="Courier New" w:hAnsi="Courier New" w:cs="Courier New"/>
    </w:rPr>
  </w:style>
  <w:style w:type="paragraph" w:customStyle="1" w:styleId="a">
    <w:name w:val="_"/>
    <w:basedOn w:val="Normal"/>
    <w:rsid w:val="003E4AF0"/>
    <w:pPr>
      <w:widowControl w:val="0"/>
      <w:ind w:left="1440" w:hanging="720"/>
    </w:pPr>
    <w:rPr>
      <w:snapToGrid w:val="0"/>
      <w:sz w:val="24"/>
    </w:rPr>
  </w:style>
  <w:style w:type="paragraph" w:styleId="BalloonText">
    <w:name w:val="Balloon Text"/>
    <w:basedOn w:val="Normal"/>
    <w:semiHidden/>
    <w:rsid w:val="00787CFD"/>
    <w:rPr>
      <w:rFonts w:ascii="Tahoma" w:hAnsi="Tahoma" w:cs="Tahoma"/>
      <w:sz w:val="16"/>
      <w:szCs w:val="16"/>
    </w:rPr>
  </w:style>
  <w:style w:type="paragraph" w:customStyle="1" w:styleId="P1-StandPara">
    <w:name w:val="P1-Stand Para"/>
    <w:rsid w:val="004E1012"/>
    <w:pPr>
      <w:spacing w:line="480" w:lineRule="auto"/>
      <w:ind w:firstLine="720"/>
    </w:pPr>
    <w:rPr>
      <w:sz w:val="22"/>
    </w:rPr>
  </w:style>
  <w:style w:type="paragraph" w:customStyle="1" w:styleId="SL-FlLftSgl">
    <w:name w:val="SL-Fl Lft Sgl"/>
    <w:rsid w:val="00F912A7"/>
    <w:pPr>
      <w:spacing w:line="240" w:lineRule="atLeast"/>
      <w:jc w:val="both"/>
    </w:pPr>
    <w:rPr>
      <w:sz w:val="22"/>
    </w:rPr>
  </w:style>
  <w:style w:type="paragraph" w:customStyle="1" w:styleId="TT-TableTitle">
    <w:name w:val="TT-Table Title"/>
    <w:rsid w:val="00F912A7"/>
    <w:pPr>
      <w:tabs>
        <w:tab w:val="left" w:pos="1152"/>
      </w:tabs>
      <w:spacing w:line="240" w:lineRule="atLeast"/>
      <w:ind w:left="1152" w:hanging="1152"/>
    </w:pPr>
    <w:rPr>
      <w:sz w:val="22"/>
    </w:rPr>
  </w:style>
  <w:style w:type="character" w:styleId="CommentReference">
    <w:name w:val="annotation reference"/>
    <w:basedOn w:val="DefaultParagraphFont"/>
    <w:uiPriority w:val="99"/>
    <w:semiHidden/>
    <w:unhideWhenUsed/>
    <w:rsid w:val="00C617D9"/>
    <w:rPr>
      <w:sz w:val="16"/>
      <w:szCs w:val="16"/>
    </w:rPr>
  </w:style>
  <w:style w:type="paragraph" w:styleId="CommentText">
    <w:name w:val="annotation text"/>
    <w:basedOn w:val="Normal"/>
    <w:link w:val="CommentTextChar"/>
    <w:uiPriority w:val="99"/>
    <w:semiHidden/>
    <w:unhideWhenUsed/>
    <w:rsid w:val="00C617D9"/>
    <w:rPr>
      <w:sz w:val="24"/>
      <w:szCs w:val="24"/>
    </w:rPr>
  </w:style>
  <w:style w:type="character" w:customStyle="1" w:styleId="CommentTextChar">
    <w:name w:val="Comment Text Char"/>
    <w:basedOn w:val="DefaultParagraphFont"/>
    <w:link w:val="CommentText"/>
    <w:uiPriority w:val="99"/>
    <w:semiHidden/>
    <w:rsid w:val="00C617D9"/>
    <w:rPr>
      <w:sz w:val="24"/>
      <w:szCs w:val="24"/>
    </w:rPr>
  </w:style>
  <w:style w:type="paragraph" w:styleId="FootnoteText">
    <w:name w:val="footnote text"/>
    <w:basedOn w:val="Normal"/>
    <w:link w:val="FootnoteTextChar"/>
    <w:uiPriority w:val="99"/>
    <w:semiHidden/>
    <w:unhideWhenUsed/>
    <w:rsid w:val="007E5F35"/>
  </w:style>
  <w:style w:type="character" w:customStyle="1" w:styleId="FootnoteTextChar">
    <w:name w:val="Footnote Text Char"/>
    <w:basedOn w:val="DefaultParagraphFont"/>
    <w:link w:val="FootnoteText"/>
    <w:uiPriority w:val="99"/>
    <w:semiHidden/>
    <w:rsid w:val="007E5F35"/>
  </w:style>
  <w:style w:type="character" w:styleId="FootnoteReference">
    <w:name w:val="footnote reference"/>
    <w:basedOn w:val="DefaultParagraphFont"/>
    <w:uiPriority w:val="99"/>
    <w:semiHidden/>
    <w:unhideWhenUsed/>
    <w:rsid w:val="007E5F35"/>
    <w:rPr>
      <w:vertAlign w:val="superscript"/>
    </w:rPr>
  </w:style>
  <w:style w:type="paragraph" w:styleId="CommentSubject">
    <w:name w:val="annotation subject"/>
    <w:basedOn w:val="CommentText"/>
    <w:next w:val="CommentText"/>
    <w:link w:val="CommentSubjectChar"/>
    <w:uiPriority w:val="99"/>
    <w:semiHidden/>
    <w:unhideWhenUsed/>
    <w:rsid w:val="00AE2241"/>
    <w:rPr>
      <w:b/>
      <w:bCs/>
      <w:sz w:val="20"/>
      <w:szCs w:val="20"/>
    </w:rPr>
  </w:style>
  <w:style w:type="character" w:customStyle="1" w:styleId="CommentSubjectChar">
    <w:name w:val="Comment Subject Char"/>
    <w:basedOn w:val="CommentTextChar"/>
    <w:link w:val="CommentSubject"/>
    <w:uiPriority w:val="99"/>
    <w:semiHidden/>
    <w:rsid w:val="00AE2241"/>
    <w:rPr>
      <w:b/>
      <w:bCs/>
      <w:sz w:val="24"/>
      <w:szCs w:val="24"/>
    </w:rPr>
  </w:style>
  <w:style w:type="paragraph" w:styleId="Revision">
    <w:name w:val="Revision"/>
    <w:hidden/>
    <w:uiPriority w:val="99"/>
    <w:semiHidden/>
    <w:rsid w:val="003A3DF7"/>
  </w:style>
  <w:style w:type="paragraph" w:styleId="ListParagraph">
    <w:name w:val="List Paragraph"/>
    <w:basedOn w:val="Normal"/>
    <w:uiPriority w:val="34"/>
    <w:qFormat/>
    <w:rsid w:val="00B0545A"/>
    <w:pPr>
      <w:ind w:left="720"/>
      <w:contextualSpacing/>
    </w:pPr>
  </w:style>
  <w:style w:type="character" w:customStyle="1" w:styleId="HeaderChar">
    <w:name w:val="Header Char"/>
    <w:basedOn w:val="DefaultParagraphFont"/>
    <w:link w:val="Header"/>
    <w:uiPriority w:val="99"/>
    <w:rsid w:val="00595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511275">
      <w:bodyDiv w:val="1"/>
      <w:marLeft w:val="0"/>
      <w:marRight w:val="0"/>
      <w:marTop w:val="0"/>
      <w:marBottom w:val="0"/>
      <w:divBdr>
        <w:top w:val="none" w:sz="0" w:space="0" w:color="auto"/>
        <w:left w:val="none" w:sz="0" w:space="0" w:color="auto"/>
        <w:bottom w:val="none" w:sz="0" w:space="0" w:color="auto"/>
        <w:right w:val="none" w:sz="0" w:space="0" w:color="auto"/>
      </w:divBdr>
    </w:div>
    <w:div w:id="78172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DFBD3-F30B-4EF8-871F-832AAB96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31</Pages>
  <Words>8494</Words>
  <Characters>48981</Characters>
  <Application>Microsoft Office Word</Application>
  <DocSecurity>0</DocSecurity>
  <Lines>644</Lines>
  <Paragraphs>34</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57441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subject/>
  <dc:creator>pctech_temp</dc:creator>
  <cp:keywords/>
  <dc:description/>
  <cp:lastModifiedBy> Vivian Horovitch-Kelley</cp:lastModifiedBy>
  <cp:revision>13</cp:revision>
  <cp:lastPrinted>2013-02-05T17:18:00Z</cp:lastPrinted>
  <dcterms:created xsi:type="dcterms:W3CDTF">2012-12-13T20:50:00Z</dcterms:created>
  <dcterms:modified xsi:type="dcterms:W3CDTF">2013-02-05T17:37:00Z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