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EB2" w:rsidRDefault="00CA0EB2" w:rsidP="00F71404">
      <w:pPr>
        <w:spacing w:after="200" w:line="276" w:lineRule="auto"/>
        <w:jc w:val="center"/>
      </w:pPr>
    </w:p>
    <w:p w:rsidR="00CA0EB2" w:rsidRPr="004A1E3C" w:rsidRDefault="00CA0EB2" w:rsidP="00CA0EB2">
      <w:pPr>
        <w:spacing w:line="360" w:lineRule="auto"/>
        <w:rPr>
          <w:b/>
        </w:rPr>
      </w:pPr>
      <w:r w:rsidRPr="004A1E3C">
        <w:rPr>
          <w:b/>
        </w:rPr>
        <w:t xml:space="preserve">Risk Factors for Invasive Methicillin-resistant </w:t>
      </w:r>
      <w:r w:rsidRPr="004A1E3C">
        <w:rPr>
          <w:b/>
          <w:i/>
        </w:rPr>
        <w:t xml:space="preserve">Staphylococcus </w:t>
      </w:r>
      <w:proofErr w:type="spellStart"/>
      <w:r w:rsidRPr="004A1E3C">
        <w:rPr>
          <w:b/>
          <w:i/>
        </w:rPr>
        <w:t>aureus</w:t>
      </w:r>
      <w:proofErr w:type="spellEnd"/>
      <w:r w:rsidRPr="004A1E3C">
        <w:rPr>
          <w:b/>
        </w:rPr>
        <w:t xml:space="preserve"> (MRSA) among Patients Recently Discharged from Acute Care Hospitals through the Active Bacterial Core Surveillance for Invasive MRSA infections (ABCs MRSA)  </w:t>
      </w:r>
    </w:p>
    <w:p w:rsidR="00CA0EB2" w:rsidRDefault="00CA0EB2" w:rsidP="00CA0EB2">
      <w:pPr>
        <w:spacing w:line="360" w:lineRule="auto"/>
        <w:jc w:val="center"/>
        <w:rPr>
          <w:b/>
        </w:rPr>
      </w:pPr>
      <w:r>
        <w:rPr>
          <w:b/>
        </w:rPr>
        <w:t>Request for OMB Approval of a New Data Collection</w:t>
      </w:r>
    </w:p>
    <w:p w:rsidR="00CA0EB2" w:rsidRDefault="00CA0EB2" w:rsidP="00CA0EB2">
      <w:pPr>
        <w:spacing w:line="360" w:lineRule="auto"/>
        <w:jc w:val="center"/>
        <w:rPr>
          <w:b/>
        </w:rPr>
      </w:pPr>
      <w:r>
        <w:rPr>
          <w:b/>
        </w:rPr>
        <w:t>April 2012</w:t>
      </w:r>
    </w:p>
    <w:p w:rsidR="00DA1AEA" w:rsidRDefault="00DA1AEA" w:rsidP="00CA0EB2">
      <w:pPr>
        <w:spacing w:line="360" w:lineRule="auto"/>
        <w:jc w:val="center"/>
        <w:rPr>
          <w:b/>
        </w:rPr>
      </w:pPr>
      <w:r>
        <w:rPr>
          <w:b/>
        </w:rPr>
        <w:t xml:space="preserve">Revision Date: </w:t>
      </w:r>
      <w:r w:rsidR="00D31523">
        <w:rPr>
          <w:b/>
        </w:rPr>
        <w:t>0</w:t>
      </w:r>
      <w:r w:rsidR="00280627">
        <w:rPr>
          <w:b/>
        </w:rPr>
        <w:t>2.05.2013</w:t>
      </w:r>
    </w:p>
    <w:p w:rsidR="00CA0EB2" w:rsidRDefault="00CA0EB2" w:rsidP="00CA0EB2">
      <w:pPr>
        <w:spacing w:line="360" w:lineRule="auto"/>
        <w:jc w:val="center"/>
        <w:rPr>
          <w:b/>
        </w:rPr>
      </w:pPr>
    </w:p>
    <w:p w:rsidR="00CA0EB2" w:rsidRDefault="00280627" w:rsidP="00280627">
      <w:pPr>
        <w:tabs>
          <w:tab w:val="left" w:pos="8341"/>
        </w:tabs>
        <w:spacing w:line="360" w:lineRule="auto"/>
        <w:rPr>
          <w:b/>
        </w:rPr>
      </w:pPr>
      <w:r>
        <w:rPr>
          <w:b/>
        </w:rPr>
        <w:tab/>
      </w:r>
      <w:bookmarkStart w:id="0" w:name="_GoBack"/>
      <w:bookmarkEnd w:id="0"/>
    </w:p>
    <w:p w:rsidR="00CA0EB2" w:rsidRDefault="00CA0EB2" w:rsidP="00CA0EB2">
      <w:pPr>
        <w:spacing w:line="360" w:lineRule="auto"/>
        <w:jc w:val="center"/>
        <w:rPr>
          <w:b/>
        </w:rPr>
      </w:pPr>
    </w:p>
    <w:p w:rsidR="00CA0EB2" w:rsidRDefault="00CA0EB2" w:rsidP="00CA0EB2">
      <w:pPr>
        <w:spacing w:line="360" w:lineRule="auto"/>
        <w:jc w:val="center"/>
        <w:rPr>
          <w:b/>
        </w:rPr>
      </w:pPr>
    </w:p>
    <w:p w:rsidR="00CA0EB2" w:rsidRDefault="00CA0EB2" w:rsidP="00CA0EB2">
      <w:pPr>
        <w:spacing w:line="360" w:lineRule="auto"/>
        <w:jc w:val="center"/>
        <w:rPr>
          <w:b/>
        </w:rPr>
      </w:pPr>
    </w:p>
    <w:p w:rsidR="00CA0EB2" w:rsidRDefault="00CA0EB2" w:rsidP="00CA0EB2">
      <w:pPr>
        <w:spacing w:line="360" w:lineRule="auto"/>
        <w:jc w:val="center"/>
        <w:rPr>
          <w:b/>
        </w:rPr>
      </w:pPr>
    </w:p>
    <w:p w:rsidR="00CA0EB2" w:rsidRDefault="00CA0EB2" w:rsidP="00CA0EB2">
      <w:pPr>
        <w:spacing w:line="360" w:lineRule="auto"/>
        <w:jc w:val="center"/>
        <w:rPr>
          <w:b/>
        </w:rPr>
      </w:pPr>
    </w:p>
    <w:p w:rsidR="00CA0EB2" w:rsidRDefault="00CA0EB2" w:rsidP="00CA0EB2">
      <w:pPr>
        <w:spacing w:line="360" w:lineRule="auto"/>
        <w:jc w:val="center"/>
        <w:rPr>
          <w:b/>
        </w:rPr>
      </w:pPr>
    </w:p>
    <w:p w:rsidR="00CA0EB2" w:rsidRDefault="00CA0EB2" w:rsidP="00CA0EB2">
      <w:pPr>
        <w:spacing w:line="360" w:lineRule="auto"/>
        <w:jc w:val="center"/>
        <w:rPr>
          <w:b/>
        </w:rPr>
      </w:pPr>
    </w:p>
    <w:p w:rsidR="00CA0EB2" w:rsidRDefault="00CA0EB2" w:rsidP="00CA0EB2">
      <w:pPr>
        <w:spacing w:line="360" w:lineRule="auto"/>
        <w:jc w:val="center"/>
        <w:rPr>
          <w:b/>
        </w:rPr>
      </w:pPr>
    </w:p>
    <w:p w:rsidR="00CA0EB2" w:rsidRDefault="00CA0EB2" w:rsidP="00CA0EB2">
      <w:pPr>
        <w:spacing w:line="360" w:lineRule="auto"/>
        <w:jc w:val="center"/>
        <w:rPr>
          <w:b/>
        </w:rPr>
      </w:pPr>
    </w:p>
    <w:p w:rsidR="00CA0EB2" w:rsidRDefault="00CA0EB2" w:rsidP="00CA0EB2">
      <w:pPr>
        <w:spacing w:line="360" w:lineRule="auto"/>
        <w:rPr>
          <w:b/>
        </w:rPr>
      </w:pPr>
    </w:p>
    <w:p w:rsidR="00CA0EB2" w:rsidRDefault="00CA0EB2" w:rsidP="00CA0EB2">
      <w:pPr>
        <w:spacing w:line="360" w:lineRule="auto"/>
        <w:rPr>
          <w:b/>
        </w:rPr>
      </w:pPr>
      <w:r>
        <w:rPr>
          <w:b/>
        </w:rPr>
        <w:t>Contact:</w:t>
      </w:r>
    </w:p>
    <w:p w:rsidR="00CA0EB2" w:rsidRDefault="00CA0EB2" w:rsidP="00CA0EB2">
      <w:pPr>
        <w:spacing w:line="360" w:lineRule="auto"/>
        <w:rPr>
          <w:b/>
        </w:rPr>
      </w:pPr>
      <w:r>
        <w:rPr>
          <w:b/>
        </w:rPr>
        <w:t>Amy McMillen</w:t>
      </w:r>
    </w:p>
    <w:p w:rsidR="00CA0EB2" w:rsidRDefault="00CA0EB2" w:rsidP="00CA0EB2">
      <w:pPr>
        <w:spacing w:line="360" w:lineRule="auto"/>
        <w:rPr>
          <w:b/>
        </w:rPr>
      </w:pPr>
      <w:r>
        <w:rPr>
          <w:b/>
        </w:rPr>
        <w:t>Office of Policy and Planning</w:t>
      </w:r>
    </w:p>
    <w:p w:rsidR="00CA0EB2" w:rsidRDefault="00CA0EB2" w:rsidP="00CA0EB2">
      <w:pPr>
        <w:spacing w:line="360" w:lineRule="auto"/>
        <w:rPr>
          <w:b/>
        </w:rPr>
      </w:pPr>
      <w:r>
        <w:rPr>
          <w:b/>
        </w:rPr>
        <w:t>National Center for Emerging and Zoonotic Infections Diseases</w:t>
      </w:r>
    </w:p>
    <w:p w:rsidR="00CA0EB2" w:rsidRDefault="00CA0EB2" w:rsidP="00CA0EB2">
      <w:pPr>
        <w:spacing w:line="360" w:lineRule="auto"/>
        <w:rPr>
          <w:b/>
        </w:rPr>
      </w:pPr>
      <w:r>
        <w:rPr>
          <w:b/>
        </w:rPr>
        <w:t>Centers for Disease Control and Prevention</w:t>
      </w:r>
    </w:p>
    <w:p w:rsidR="00CA0EB2" w:rsidRDefault="00CA0EB2" w:rsidP="00CA0EB2">
      <w:pPr>
        <w:spacing w:line="360" w:lineRule="auto"/>
        <w:rPr>
          <w:b/>
        </w:rPr>
      </w:pPr>
      <w:r>
        <w:rPr>
          <w:b/>
        </w:rPr>
        <w:t>1600 Clifton Road, N.E., MS C-12</w:t>
      </w:r>
    </w:p>
    <w:p w:rsidR="00CA0EB2" w:rsidRDefault="00CA0EB2" w:rsidP="00CA0EB2">
      <w:pPr>
        <w:spacing w:line="360" w:lineRule="auto"/>
        <w:rPr>
          <w:b/>
        </w:rPr>
      </w:pPr>
      <w:r>
        <w:rPr>
          <w:b/>
        </w:rPr>
        <w:t>Atlanta, Georgia 30333</w:t>
      </w:r>
    </w:p>
    <w:p w:rsidR="00CA0EB2" w:rsidRDefault="00CA0EB2" w:rsidP="00CA0EB2">
      <w:pPr>
        <w:spacing w:line="360" w:lineRule="auto"/>
        <w:rPr>
          <w:b/>
        </w:rPr>
      </w:pPr>
      <w:r>
        <w:rPr>
          <w:b/>
        </w:rPr>
        <w:t>Phone: (404) 639-1045</w:t>
      </w:r>
    </w:p>
    <w:p w:rsidR="00CA0EB2" w:rsidRDefault="00CA0EB2" w:rsidP="00CA0EB2">
      <w:pPr>
        <w:spacing w:line="360" w:lineRule="auto"/>
        <w:rPr>
          <w:b/>
        </w:rPr>
      </w:pPr>
      <w:r>
        <w:rPr>
          <w:b/>
        </w:rPr>
        <w:t>Fax: (404) 639-7090</w:t>
      </w:r>
    </w:p>
    <w:p w:rsidR="00CA0EB2" w:rsidRDefault="00CA0EB2" w:rsidP="00CA0EB2">
      <w:pPr>
        <w:spacing w:line="360" w:lineRule="auto"/>
        <w:rPr>
          <w:b/>
        </w:rPr>
      </w:pPr>
      <w:r>
        <w:rPr>
          <w:b/>
        </w:rPr>
        <w:t xml:space="preserve">Email: </w:t>
      </w:r>
      <w:hyperlink r:id="rId9" w:history="1">
        <w:r w:rsidRPr="004F1F84">
          <w:rPr>
            <w:rStyle w:val="Hyperlink"/>
            <w:b/>
          </w:rPr>
          <w:t>auh1@cdc.gov</w:t>
        </w:r>
      </w:hyperlink>
      <w:r w:rsidDel="005D4F08">
        <w:rPr>
          <w:b/>
        </w:rPr>
        <w:t xml:space="preserve"> </w:t>
      </w:r>
    </w:p>
    <w:p w:rsidR="00CA0EB2" w:rsidRDefault="00CA0EB2">
      <w:pPr>
        <w:spacing w:after="200" w:line="276" w:lineRule="auto"/>
      </w:pPr>
    </w:p>
    <w:p w:rsidR="000574F7" w:rsidRDefault="000574F7" w:rsidP="00F71404">
      <w:pPr>
        <w:spacing w:after="200" w:line="276" w:lineRule="auto"/>
        <w:jc w:val="center"/>
      </w:pPr>
    </w:p>
    <w:p w:rsidR="00EE6D19" w:rsidRPr="00F71404" w:rsidRDefault="00EE6D19" w:rsidP="000574F7">
      <w:pPr>
        <w:spacing w:after="200" w:line="276" w:lineRule="auto"/>
        <w:jc w:val="center"/>
      </w:pPr>
      <w:r w:rsidRPr="00F71404">
        <w:lastRenderedPageBreak/>
        <w:t>Table of Contents for Part B:</w:t>
      </w:r>
    </w:p>
    <w:p w:rsidR="00EE6D19" w:rsidRPr="00F71404" w:rsidRDefault="00EE6D19">
      <w:pPr>
        <w:spacing w:after="200" w:line="276" w:lineRule="auto"/>
      </w:pPr>
    </w:p>
    <w:p w:rsidR="00EE6D19" w:rsidRPr="00F71404" w:rsidRDefault="00EE6D19">
      <w:pPr>
        <w:spacing w:after="200" w:line="276" w:lineRule="auto"/>
      </w:pPr>
      <w:r w:rsidRPr="00F71404">
        <w:t>Respondent Universe and Sampling Methods</w:t>
      </w:r>
      <w:r w:rsidRPr="00F71404">
        <w:tab/>
      </w:r>
      <w:r w:rsidRPr="00F71404">
        <w:tab/>
      </w:r>
      <w:r w:rsidRPr="00F71404">
        <w:tab/>
      </w:r>
      <w:r w:rsidR="00F25DC9">
        <w:t xml:space="preserve">                </w:t>
      </w:r>
      <w:r w:rsidR="000C35FD">
        <w:t xml:space="preserve">Pages </w:t>
      </w:r>
      <w:r w:rsidR="00CA0EB2">
        <w:t>3</w:t>
      </w:r>
      <w:r w:rsidR="000C35FD">
        <w:t>-6</w:t>
      </w:r>
    </w:p>
    <w:p w:rsidR="00EE6D19" w:rsidRPr="00F71404" w:rsidRDefault="00EE6D19">
      <w:pPr>
        <w:spacing w:after="200" w:line="276" w:lineRule="auto"/>
      </w:pPr>
      <w:r w:rsidRPr="00F71404">
        <w:t>Procedures for the Collection of Information</w:t>
      </w:r>
      <w:r w:rsidRPr="00F71404">
        <w:tab/>
      </w:r>
      <w:r w:rsidRPr="00F71404">
        <w:tab/>
      </w:r>
      <w:r w:rsidRPr="00F71404">
        <w:tab/>
      </w:r>
      <w:r w:rsidR="00F71404">
        <w:tab/>
      </w:r>
      <w:r w:rsidR="00BB4404">
        <w:t xml:space="preserve">  </w:t>
      </w:r>
      <w:r w:rsidR="00F25DC9">
        <w:t xml:space="preserve">              </w:t>
      </w:r>
      <w:r w:rsidRPr="00F71404">
        <w:t xml:space="preserve">Pages </w:t>
      </w:r>
      <w:r w:rsidR="00024567">
        <w:t>7</w:t>
      </w:r>
      <w:r w:rsidR="000C35FD">
        <w:t>-8</w:t>
      </w:r>
    </w:p>
    <w:p w:rsidR="00EE6D19" w:rsidRPr="00F71404" w:rsidRDefault="00EE6D19">
      <w:pPr>
        <w:spacing w:after="200" w:line="276" w:lineRule="auto"/>
      </w:pPr>
      <w:r w:rsidRPr="00F71404">
        <w:t xml:space="preserve">Methods to Maximize Response Rates and Deal with No Response   </w:t>
      </w:r>
      <w:r w:rsidR="00F25DC9">
        <w:t xml:space="preserve">              </w:t>
      </w:r>
      <w:r w:rsidRPr="00F71404">
        <w:t xml:space="preserve">Pages </w:t>
      </w:r>
      <w:r w:rsidR="00F25DC9">
        <w:t>9</w:t>
      </w:r>
    </w:p>
    <w:p w:rsidR="00EE6D19" w:rsidRPr="00F71404" w:rsidRDefault="00EE6D19">
      <w:pPr>
        <w:spacing w:after="200" w:line="276" w:lineRule="auto"/>
      </w:pPr>
      <w:r w:rsidRPr="00F71404">
        <w:t>Tests of Procedures or Methods to be Undertaken</w:t>
      </w:r>
      <w:r w:rsidRPr="00F71404">
        <w:tab/>
      </w:r>
      <w:r w:rsidRPr="00F71404">
        <w:tab/>
      </w:r>
      <w:r w:rsidR="00F71404">
        <w:tab/>
      </w:r>
      <w:r w:rsidR="00BB4404">
        <w:t xml:space="preserve">  </w:t>
      </w:r>
      <w:r w:rsidR="00F25DC9">
        <w:t xml:space="preserve">               </w:t>
      </w:r>
      <w:r w:rsidRPr="00F71404">
        <w:t xml:space="preserve">Page </w:t>
      </w:r>
      <w:r w:rsidR="00F25DC9">
        <w:t>9</w:t>
      </w:r>
    </w:p>
    <w:p w:rsidR="00EE6D19" w:rsidRPr="00F71404" w:rsidRDefault="00EE6D19">
      <w:pPr>
        <w:spacing w:after="200" w:line="276" w:lineRule="auto"/>
      </w:pPr>
      <w:r w:rsidRPr="00F71404">
        <w:t>Individuals Consulted on Statistical Aspects and Individuals Collecting and/or Analyzing Data</w:t>
      </w:r>
      <w:r w:rsidRPr="00F71404">
        <w:tab/>
      </w:r>
      <w:r w:rsidRPr="00F71404">
        <w:tab/>
      </w:r>
      <w:r w:rsidRPr="00F71404">
        <w:tab/>
      </w:r>
      <w:r w:rsidRPr="00F71404">
        <w:tab/>
      </w:r>
      <w:r w:rsidRPr="00F71404">
        <w:tab/>
      </w:r>
      <w:r w:rsidRPr="00F71404">
        <w:tab/>
      </w:r>
      <w:r w:rsidRPr="00F71404">
        <w:tab/>
      </w:r>
      <w:r w:rsidRPr="00F71404">
        <w:tab/>
      </w:r>
      <w:r w:rsidRPr="00F71404">
        <w:tab/>
      </w:r>
      <w:r w:rsidR="00F71404">
        <w:tab/>
      </w:r>
      <w:r w:rsidR="00F25DC9">
        <w:t xml:space="preserve">                 Page 10</w:t>
      </w:r>
    </w:p>
    <w:p w:rsidR="00EE6D19" w:rsidRDefault="00EE6D19">
      <w:pPr>
        <w:spacing w:after="200" w:line="276" w:lineRule="auto"/>
        <w:rPr>
          <w:b/>
        </w:rPr>
      </w:pPr>
    </w:p>
    <w:p w:rsidR="00EE6D19" w:rsidRDefault="00EE6D19">
      <w:pPr>
        <w:spacing w:after="200" w:line="276" w:lineRule="auto"/>
        <w:rPr>
          <w:b/>
        </w:rPr>
      </w:pPr>
      <w:r>
        <w:rPr>
          <w:b/>
        </w:rPr>
        <w:br w:type="page"/>
      </w:r>
    </w:p>
    <w:p w:rsidR="009F40E1" w:rsidRPr="00245111" w:rsidRDefault="009F40E1" w:rsidP="009F40E1">
      <w:pPr>
        <w:spacing w:line="360" w:lineRule="auto"/>
        <w:ind w:left="720" w:hanging="720"/>
      </w:pPr>
      <w:r>
        <w:rPr>
          <w:b/>
          <w:u w:val="single"/>
        </w:rPr>
        <w:lastRenderedPageBreak/>
        <w:t>Part B.</w:t>
      </w:r>
      <w:r>
        <w:rPr>
          <w:b/>
          <w:u w:val="single"/>
        </w:rPr>
        <w:tab/>
      </w:r>
      <w:r w:rsidRPr="00245111">
        <w:rPr>
          <w:b/>
          <w:u w:val="single"/>
        </w:rPr>
        <w:t>Collections of Information Employing Statistical Methods</w:t>
      </w:r>
    </w:p>
    <w:p w:rsidR="009F40E1" w:rsidRPr="00245111" w:rsidRDefault="009F40E1" w:rsidP="009F40E1">
      <w:pPr>
        <w:spacing w:line="360" w:lineRule="auto"/>
        <w:ind w:left="720" w:hanging="720"/>
      </w:pPr>
    </w:p>
    <w:p w:rsidR="009F40E1" w:rsidRPr="002D2536" w:rsidRDefault="009F40E1" w:rsidP="009F40E1">
      <w:pPr>
        <w:numPr>
          <w:ilvl w:val="0"/>
          <w:numId w:val="3"/>
        </w:numPr>
        <w:tabs>
          <w:tab w:val="left" w:pos="720"/>
        </w:tabs>
        <w:spacing w:line="360" w:lineRule="auto"/>
        <w:ind w:left="270" w:firstLine="0"/>
        <w:rPr>
          <w:b/>
        </w:rPr>
      </w:pPr>
      <w:r w:rsidRPr="002D2536">
        <w:rPr>
          <w:b/>
        </w:rPr>
        <w:t>Respondent Universe and Sampling Methods</w:t>
      </w:r>
    </w:p>
    <w:p w:rsidR="009F40E1" w:rsidRDefault="009F40E1" w:rsidP="009F40E1">
      <w:pPr>
        <w:spacing w:line="360" w:lineRule="auto"/>
        <w:ind w:left="270"/>
      </w:pPr>
      <w:r>
        <w:t xml:space="preserve">Cases will be identified through ABCs MRSA surveillance. </w:t>
      </w:r>
      <w:r w:rsidRPr="00E722EC">
        <w:t xml:space="preserve">A case for the surveillance is defined as isolation of MRSA from a normally sterile site in a surveillance area resident. </w:t>
      </w:r>
      <w:r>
        <w:t>Only cases identified as healthcare-associated community-onset (</w:t>
      </w:r>
      <w:r w:rsidRPr="00E722EC">
        <w:t>HACO</w:t>
      </w:r>
      <w:r>
        <w:t xml:space="preserve">), </w:t>
      </w:r>
      <w:r w:rsidRPr="00E722EC">
        <w:t xml:space="preserve">defined as cases with </w:t>
      </w:r>
      <w:r>
        <w:t xml:space="preserve">an initial MRSA </w:t>
      </w:r>
      <w:r w:rsidRPr="00E722EC">
        <w:t xml:space="preserve">culture </w:t>
      </w:r>
      <w:r>
        <w:t>from a normally sterile site obtained</w:t>
      </w:r>
      <w:r w:rsidRPr="00E722EC">
        <w:t xml:space="preserve"> </w:t>
      </w:r>
      <w:r w:rsidRPr="005A0A6C">
        <w:rPr>
          <w:u w:val="single"/>
        </w:rPr>
        <w:t>&lt;</w:t>
      </w:r>
      <w:r w:rsidRPr="00E722EC">
        <w:t xml:space="preserve">3days </w:t>
      </w:r>
      <w:r>
        <w:t xml:space="preserve">after </w:t>
      </w:r>
      <w:r w:rsidRPr="00E722EC">
        <w:t>hospital admission</w:t>
      </w:r>
      <w:r>
        <w:t xml:space="preserve"> and </w:t>
      </w:r>
      <w:r w:rsidRPr="00E722EC">
        <w:t>with a</w:t>
      </w:r>
      <w:r>
        <w:t xml:space="preserve"> hospitalization in the 12 weeks prior to the initial MRSA culture, will be eligible to be included in the study.  Only 2-3 hospitals in the following ABCs sites will be participating in the study: California, Connecticut, Georgia, Minnesota, New York, and Tennessee. </w:t>
      </w:r>
    </w:p>
    <w:p w:rsidR="009F40E1" w:rsidRDefault="009F40E1" w:rsidP="009F40E1">
      <w:pPr>
        <w:spacing w:line="360" w:lineRule="auto"/>
        <w:ind w:left="270"/>
      </w:pPr>
    </w:p>
    <w:p w:rsidR="009F40E1" w:rsidRDefault="009F40E1" w:rsidP="009F40E1">
      <w:pPr>
        <w:spacing w:line="360" w:lineRule="auto"/>
        <w:ind w:left="270"/>
      </w:pPr>
      <w:r>
        <w:t>The estimated number of cases by ABCs site</w:t>
      </w:r>
      <w:r w:rsidR="00DA1AEA">
        <w:t xml:space="preserve"> per year </w:t>
      </w:r>
      <w:r>
        <w:t>is shown below:</w:t>
      </w:r>
    </w:p>
    <w:p w:rsidR="009F40E1" w:rsidRDefault="009F40E1" w:rsidP="009F40E1">
      <w:pPr>
        <w:spacing w:line="360" w:lineRule="auto"/>
        <w:ind w:left="270"/>
      </w:pPr>
    </w:p>
    <w:tbl>
      <w:tblPr>
        <w:tblW w:w="8569" w:type="dxa"/>
        <w:tblInd w:w="504" w:type="dxa"/>
        <w:tblBorders>
          <w:top w:val="single" w:sz="8" w:space="0" w:color="auto"/>
          <w:left w:val="single" w:sz="8" w:space="0" w:color="FFFFFF"/>
          <w:bottom w:val="single" w:sz="8" w:space="0" w:color="auto"/>
          <w:right w:val="single" w:sz="8" w:space="0" w:color="FFFFFF"/>
          <w:insideH w:val="single" w:sz="24" w:space="0" w:color="FFFFFF"/>
          <w:insideV w:val="single" w:sz="8" w:space="0" w:color="FFFFFF"/>
        </w:tblBorders>
        <w:shd w:val="clear" w:color="auto" w:fill="FFFFFF"/>
        <w:tblCellMar>
          <w:left w:w="0" w:type="dxa"/>
          <w:right w:w="0" w:type="dxa"/>
        </w:tblCellMar>
        <w:tblLook w:val="04A0" w:firstRow="1" w:lastRow="0" w:firstColumn="1" w:lastColumn="0" w:noHBand="0" w:noVBand="1"/>
      </w:tblPr>
      <w:tblGrid>
        <w:gridCol w:w="2880"/>
        <w:gridCol w:w="1009"/>
        <w:gridCol w:w="810"/>
        <w:gridCol w:w="990"/>
        <w:gridCol w:w="990"/>
        <w:gridCol w:w="990"/>
        <w:gridCol w:w="900"/>
      </w:tblGrid>
      <w:tr w:rsidR="009F40E1" w:rsidRPr="00E722EC" w:rsidTr="00FB3AED">
        <w:trPr>
          <w:trHeight w:val="358"/>
        </w:trPr>
        <w:tc>
          <w:tcPr>
            <w:tcW w:w="2880" w:type="dxa"/>
            <w:tcBorders>
              <w:top w:val="single" w:sz="8" w:space="0" w:color="auto"/>
              <w:bottom w:val="single" w:sz="8" w:space="0" w:color="auto"/>
            </w:tcBorders>
            <w:shd w:val="clear" w:color="auto" w:fill="FFFFFF"/>
            <w:tcMar>
              <w:top w:w="72" w:type="dxa"/>
              <w:left w:w="144" w:type="dxa"/>
              <w:bottom w:w="72" w:type="dxa"/>
              <w:right w:w="144" w:type="dxa"/>
            </w:tcMar>
            <w:hideMark/>
          </w:tcPr>
          <w:p w:rsidR="009F40E1" w:rsidRPr="00E722EC" w:rsidRDefault="009F40E1" w:rsidP="00FB3AED">
            <w:pPr>
              <w:spacing w:after="200" w:line="360" w:lineRule="auto"/>
            </w:pPr>
            <w:r w:rsidRPr="00E722EC">
              <w:rPr>
                <w:b/>
                <w:bCs/>
              </w:rPr>
              <w:t xml:space="preserve">EIP SITES </w:t>
            </w:r>
          </w:p>
        </w:tc>
        <w:tc>
          <w:tcPr>
            <w:tcW w:w="1009" w:type="dxa"/>
            <w:tcBorders>
              <w:top w:val="single" w:sz="8" w:space="0" w:color="auto"/>
              <w:bottom w:val="single" w:sz="8" w:space="0" w:color="auto"/>
            </w:tcBorders>
            <w:shd w:val="clear" w:color="auto" w:fill="FFFFFF"/>
            <w:tcMar>
              <w:top w:w="72" w:type="dxa"/>
              <w:left w:w="144" w:type="dxa"/>
              <w:bottom w:w="72" w:type="dxa"/>
              <w:right w:w="144" w:type="dxa"/>
            </w:tcMar>
            <w:hideMark/>
          </w:tcPr>
          <w:p w:rsidR="009F40E1" w:rsidRPr="00E722EC" w:rsidRDefault="009F40E1" w:rsidP="00FB3AED">
            <w:pPr>
              <w:spacing w:after="200" w:line="360" w:lineRule="auto"/>
            </w:pPr>
            <w:r w:rsidRPr="00E722EC">
              <w:rPr>
                <w:b/>
                <w:bCs/>
              </w:rPr>
              <w:t xml:space="preserve"> CA </w:t>
            </w:r>
          </w:p>
        </w:tc>
        <w:tc>
          <w:tcPr>
            <w:tcW w:w="810" w:type="dxa"/>
            <w:tcBorders>
              <w:top w:val="single" w:sz="8" w:space="0" w:color="auto"/>
              <w:bottom w:val="single" w:sz="8" w:space="0" w:color="auto"/>
            </w:tcBorders>
            <w:shd w:val="clear" w:color="auto" w:fill="FFFFFF"/>
            <w:tcMar>
              <w:top w:w="72" w:type="dxa"/>
              <w:left w:w="144" w:type="dxa"/>
              <w:bottom w:w="72" w:type="dxa"/>
              <w:right w:w="144" w:type="dxa"/>
            </w:tcMar>
            <w:hideMark/>
          </w:tcPr>
          <w:p w:rsidR="009F40E1" w:rsidRPr="00E722EC" w:rsidRDefault="009F40E1" w:rsidP="00FB3AED">
            <w:pPr>
              <w:spacing w:after="200" w:line="360" w:lineRule="auto"/>
            </w:pPr>
            <w:r w:rsidRPr="00E722EC">
              <w:rPr>
                <w:b/>
                <w:bCs/>
              </w:rPr>
              <w:t xml:space="preserve">CT </w:t>
            </w:r>
          </w:p>
        </w:tc>
        <w:tc>
          <w:tcPr>
            <w:tcW w:w="990" w:type="dxa"/>
            <w:tcBorders>
              <w:top w:val="single" w:sz="8" w:space="0" w:color="auto"/>
              <w:bottom w:val="single" w:sz="8" w:space="0" w:color="auto"/>
            </w:tcBorders>
            <w:shd w:val="clear" w:color="auto" w:fill="FFFFFF"/>
            <w:tcMar>
              <w:top w:w="72" w:type="dxa"/>
              <w:left w:w="144" w:type="dxa"/>
              <w:bottom w:w="72" w:type="dxa"/>
              <w:right w:w="144" w:type="dxa"/>
            </w:tcMar>
            <w:hideMark/>
          </w:tcPr>
          <w:p w:rsidR="009F40E1" w:rsidRPr="00E722EC" w:rsidRDefault="009F40E1" w:rsidP="00FB3AED">
            <w:pPr>
              <w:spacing w:after="200" w:line="360" w:lineRule="auto"/>
            </w:pPr>
            <w:r w:rsidRPr="00E722EC">
              <w:rPr>
                <w:b/>
                <w:bCs/>
              </w:rPr>
              <w:t xml:space="preserve">GA </w:t>
            </w:r>
          </w:p>
        </w:tc>
        <w:tc>
          <w:tcPr>
            <w:tcW w:w="990" w:type="dxa"/>
            <w:tcBorders>
              <w:top w:val="single" w:sz="8" w:space="0" w:color="auto"/>
              <w:bottom w:val="single" w:sz="8" w:space="0" w:color="auto"/>
            </w:tcBorders>
            <w:shd w:val="clear" w:color="auto" w:fill="FFFFFF"/>
            <w:tcMar>
              <w:top w:w="72" w:type="dxa"/>
              <w:left w:w="144" w:type="dxa"/>
              <w:bottom w:w="72" w:type="dxa"/>
              <w:right w:w="144" w:type="dxa"/>
            </w:tcMar>
            <w:hideMark/>
          </w:tcPr>
          <w:p w:rsidR="009F40E1" w:rsidRPr="00E722EC" w:rsidRDefault="009F40E1" w:rsidP="00FB3AED">
            <w:pPr>
              <w:spacing w:after="200" w:line="360" w:lineRule="auto"/>
            </w:pPr>
            <w:r w:rsidRPr="00E722EC">
              <w:rPr>
                <w:b/>
                <w:bCs/>
              </w:rPr>
              <w:t xml:space="preserve">MN </w:t>
            </w:r>
          </w:p>
        </w:tc>
        <w:tc>
          <w:tcPr>
            <w:tcW w:w="990" w:type="dxa"/>
            <w:tcBorders>
              <w:top w:val="single" w:sz="8" w:space="0" w:color="auto"/>
              <w:bottom w:val="single" w:sz="8" w:space="0" w:color="auto"/>
            </w:tcBorders>
            <w:shd w:val="clear" w:color="auto" w:fill="FFFFFF"/>
            <w:tcMar>
              <w:top w:w="72" w:type="dxa"/>
              <w:left w:w="144" w:type="dxa"/>
              <w:bottom w:w="72" w:type="dxa"/>
              <w:right w:w="144" w:type="dxa"/>
            </w:tcMar>
            <w:hideMark/>
          </w:tcPr>
          <w:p w:rsidR="009F40E1" w:rsidRPr="00E722EC" w:rsidRDefault="009F40E1" w:rsidP="00FB3AED">
            <w:pPr>
              <w:spacing w:after="200" w:line="360" w:lineRule="auto"/>
            </w:pPr>
            <w:r w:rsidRPr="00E722EC">
              <w:rPr>
                <w:b/>
                <w:bCs/>
              </w:rPr>
              <w:t xml:space="preserve">NY </w:t>
            </w:r>
          </w:p>
        </w:tc>
        <w:tc>
          <w:tcPr>
            <w:tcW w:w="900" w:type="dxa"/>
            <w:tcBorders>
              <w:top w:val="single" w:sz="8" w:space="0" w:color="auto"/>
              <w:bottom w:val="single" w:sz="8" w:space="0" w:color="auto"/>
            </w:tcBorders>
            <w:shd w:val="clear" w:color="auto" w:fill="FFFFFF"/>
            <w:tcMar>
              <w:top w:w="72" w:type="dxa"/>
              <w:left w:w="144" w:type="dxa"/>
              <w:bottom w:w="72" w:type="dxa"/>
              <w:right w:w="144" w:type="dxa"/>
            </w:tcMar>
            <w:hideMark/>
          </w:tcPr>
          <w:p w:rsidR="009F40E1" w:rsidRPr="00E722EC" w:rsidRDefault="009F40E1" w:rsidP="00FB3AED">
            <w:pPr>
              <w:spacing w:after="200" w:line="360" w:lineRule="auto"/>
            </w:pPr>
            <w:r w:rsidRPr="00E722EC">
              <w:rPr>
                <w:b/>
                <w:bCs/>
              </w:rPr>
              <w:t xml:space="preserve">TN </w:t>
            </w:r>
          </w:p>
        </w:tc>
      </w:tr>
      <w:tr w:rsidR="009F40E1" w:rsidRPr="007B6906" w:rsidTr="00FB3AED">
        <w:trPr>
          <w:trHeight w:val="583"/>
        </w:trPr>
        <w:tc>
          <w:tcPr>
            <w:tcW w:w="2880" w:type="dxa"/>
            <w:tcBorders>
              <w:top w:val="single" w:sz="8" w:space="0" w:color="auto"/>
              <w:bottom w:val="single" w:sz="8" w:space="0" w:color="auto"/>
            </w:tcBorders>
            <w:shd w:val="clear" w:color="auto" w:fill="FFFFFF"/>
            <w:tcMar>
              <w:top w:w="72" w:type="dxa"/>
              <w:left w:w="144" w:type="dxa"/>
              <w:bottom w:w="72" w:type="dxa"/>
              <w:right w:w="144" w:type="dxa"/>
            </w:tcMar>
            <w:hideMark/>
          </w:tcPr>
          <w:p w:rsidR="009F40E1" w:rsidRPr="00E722EC" w:rsidRDefault="009F40E1" w:rsidP="00FB3AED">
            <w:pPr>
              <w:spacing w:line="360" w:lineRule="auto"/>
            </w:pPr>
            <w:r>
              <w:t>HACO MRSA</w:t>
            </w:r>
            <w:r w:rsidRPr="00E722EC">
              <w:t xml:space="preserve"> </w:t>
            </w:r>
            <w:r>
              <w:t xml:space="preserve">cases </w:t>
            </w:r>
            <w:r w:rsidRPr="00E722EC">
              <w:t xml:space="preserve">within 12 weeks after discharge </w:t>
            </w:r>
            <w:r>
              <w:t>&gt; 18 years of age</w:t>
            </w:r>
            <w:r w:rsidRPr="00E722EC">
              <w:t xml:space="preserve"> (N)</w:t>
            </w:r>
          </w:p>
        </w:tc>
        <w:tc>
          <w:tcPr>
            <w:tcW w:w="1009" w:type="dxa"/>
            <w:tcBorders>
              <w:top w:val="single" w:sz="8" w:space="0" w:color="auto"/>
              <w:bottom w:val="single" w:sz="8" w:space="0" w:color="auto"/>
            </w:tcBorders>
            <w:shd w:val="clear" w:color="auto" w:fill="FFFFFF"/>
            <w:tcMar>
              <w:top w:w="72" w:type="dxa"/>
              <w:left w:w="144" w:type="dxa"/>
              <w:bottom w:w="72" w:type="dxa"/>
              <w:right w:w="144" w:type="dxa"/>
            </w:tcMar>
            <w:hideMark/>
          </w:tcPr>
          <w:p w:rsidR="009F40E1" w:rsidRPr="00E722EC" w:rsidRDefault="009F40E1" w:rsidP="00FB3AED">
            <w:pPr>
              <w:spacing w:after="200" w:line="360" w:lineRule="auto"/>
            </w:pPr>
            <w:r>
              <w:t>110</w:t>
            </w:r>
          </w:p>
        </w:tc>
        <w:tc>
          <w:tcPr>
            <w:tcW w:w="810" w:type="dxa"/>
            <w:tcBorders>
              <w:top w:val="single" w:sz="8" w:space="0" w:color="auto"/>
              <w:bottom w:val="single" w:sz="8" w:space="0" w:color="auto"/>
            </w:tcBorders>
            <w:shd w:val="clear" w:color="auto" w:fill="FFFFFF"/>
            <w:tcMar>
              <w:top w:w="72" w:type="dxa"/>
              <w:left w:w="144" w:type="dxa"/>
              <w:bottom w:w="72" w:type="dxa"/>
              <w:right w:w="144" w:type="dxa"/>
            </w:tcMar>
            <w:hideMark/>
          </w:tcPr>
          <w:p w:rsidR="009F40E1" w:rsidRPr="00E722EC" w:rsidRDefault="009F40E1" w:rsidP="00FB3AED">
            <w:pPr>
              <w:spacing w:after="200" w:line="360" w:lineRule="auto"/>
            </w:pPr>
            <w:r>
              <w:t>188</w:t>
            </w:r>
          </w:p>
        </w:tc>
        <w:tc>
          <w:tcPr>
            <w:tcW w:w="990" w:type="dxa"/>
            <w:tcBorders>
              <w:top w:val="single" w:sz="8" w:space="0" w:color="auto"/>
              <w:bottom w:val="single" w:sz="8" w:space="0" w:color="auto"/>
            </w:tcBorders>
            <w:shd w:val="clear" w:color="auto" w:fill="FFFFFF"/>
            <w:tcMar>
              <w:top w:w="72" w:type="dxa"/>
              <w:left w:w="144" w:type="dxa"/>
              <w:bottom w:w="72" w:type="dxa"/>
              <w:right w:w="144" w:type="dxa"/>
            </w:tcMar>
            <w:hideMark/>
          </w:tcPr>
          <w:p w:rsidR="009F40E1" w:rsidRPr="00E722EC" w:rsidRDefault="009F40E1" w:rsidP="00FB3AED">
            <w:pPr>
              <w:spacing w:after="200" w:line="360" w:lineRule="auto"/>
            </w:pPr>
            <w:r>
              <w:t>179</w:t>
            </w:r>
          </w:p>
        </w:tc>
        <w:tc>
          <w:tcPr>
            <w:tcW w:w="990" w:type="dxa"/>
            <w:tcBorders>
              <w:top w:val="single" w:sz="8" w:space="0" w:color="auto"/>
              <w:bottom w:val="single" w:sz="8" w:space="0" w:color="auto"/>
            </w:tcBorders>
            <w:shd w:val="clear" w:color="auto" w:fill="FFFFFF"/>
            <w:tcMar>
              <w:top w:w="72" w:type="dxa"/>
              <w:left w:w="144" w:type="dxa"/>
              <w:bottom w:w="72" w:type="dxa"/>
              <w:right w:w="144" w:type="dxa"/>
            </w:tcMar>
            <w:hideMark/>
          </w:tcPr>
          <w:p w:rsidR="009F40E1" w:rsidRPr="00E722EC" w:rsidRDefault="009F40E1" w:rsidP="00FB3AED">
            <w:pPr>
              <w:spacing w:after="200" w:line="360" w:lineRule="auto"/>
            </w:pPr>
            <w:r>
              <w:t>43</w:t>
            </w:r>
          </w:p>
        </w:tc>
        <w:tc>
          <w:tcPr>
            <w:tcW w:w="990" w:type="dxa"/>
            <w:tcBorders>
              <w:top w:val="single" w:sz="8" w:space="0" w:color="auto"/>
              <w:bottom w:val="single" w:sz="8" w:space="0" w:color="auto"/>
            </w:tcBorders>
            <w:shd w:val="clear" w:color="auto" w:fill="FFFFFF"/>
            <w:tcMar>
              <w:top w:w="72" w:type="dxa"/>
              <w:left w:w="144" w:type="dxa"/>
              <w:bottom w:w="72" w:type="dxa"/>
              <w:right w:w="144" w:type="dxa"/>
            </w:tcMar>
            <w:hideMark/>
          </w:tcPr>
          <w:p w:rsidR="009F40E1" w:rsidRPr="00E722EC" w:rsidRDefault="009F40E1" w:rsidP="00FB3AED">
            <w:pPr>
              <w:spacing w:after="200" w:line="360" w:lineRule="auto"/>
            </w:pPr>
            <w:r>
              <w:t>54</w:t>
            </w:r>
          </w:p>
        </w:tc>
        <w:tc>
          <w:tcPr>
            <w:tcW w:w="900" w:type="dxa"/>
            <w:tcBorders>
              <w:top w:val="single" w:sz="8" w:space="0" w:color="auto"/>
              <w:bottom w:val="single" w:sz="8" w:space="0" w:color="auto"/>
            </w:tcBorders>
            <w:shd w:val="clear" w:color="auto" w:fill="FFFFFF"/>
            <w:tcMar>
              <w:top w:w="72" w:type="dxa"/>
              <w:left w:w="144" w:type="dxa"/>
              <w:bottom w:w="72" w:type="dxa"/>
              <w:right w:w="144" w:type="dxa"/>
            </w:tcMar>
            <w:hideMark/>
          </w:tcPr>
          <w:p w:rsidR="009F40E1" w:rsidRPr="007B6906" w:rsidRDefault="009F40E1" w:rsidP="00FB3AED">
            <w:pPr>
              <w:spacing w:after="200" w:line="360" w:lineRule="auto"/>
            </w:pPr>
            <w:r>
              <w:t>26</w:t>
            </w:r>
          </w:p>
        </w:tc>
      </w:tr>
      <w:tr w:rsidR="009F40E1" w:rsidRPr="007B6906" w:rsidTr="00FB3AED">
        <w:trPr>
          <w:trHeight w:val="583"/>
        </w:trPr>
        <w:tc>
          <w:tcPr>
            <w:tcW w:w="2880" w:type="dxa"/>
            <w:tcBorders>
              <w:top w:val="single" w:sz="8" w:space="0" w:color="auto"/>
            </w:tcBorders>
            <w:shd w:val="clear" w:color="auto" w:fill="FFFFFF"/>
            <w:tcMar>
              <w:top w:w="72" w:type="dxa"/>
              <w:left w:w="144" w:type="dxa"/>
              <w:bottom w:w="72" w:type="dxa"/>
              <w:right w:w="144" w:type="dxa"/>
            </w:tcMar>
          </w:tcPr>
          <w:p w:rsidR="009F40E1" w:rsidRPr="00E722EC" w:rsidRDefault="009F40E1" w:rsidP="00FB3AED">
            <w:pPr>
              <w:spacing w:line="360" w:lineRule="auto"/>
            </w:pPr>
            <w:r>
              <w:t>HACO MRSA Cases at participating facilities</w:t>
            </w:r>
          </w:p>
        </w:tc>
        <w:tc>
          <w:tcPr>
            <w:tcW w:w="1009" w:type="dxa"/>
            <w:tcBorders>
              <w:top w:val="single" w:sz="8" w:space="0" w:color="auto"/>
            </w:tcBorders>
            <w:shd w:val="clear" w:color="auto" w:fill="FFFFFF"/>
            <w:tcMar>
              <w:top w:w="72" w:type="dxa"/>
              <w:left w:w="144" w:type="dxa"/>
              <w:bottom w:w="72" w:type="dxa"/>
              <w:right w:w="144" w:type="dxa"/>
            </w:tcMar>
          </w:tcPr>
          <w:p w:rsidR="009F40E1" w:rsidRPr="00E722EC" w:rsidRDefault="006E78A1" w:rsidP="006E78A1">
            <w:pPr>
              <w:spacing w:after="200" w:line="360" w:lineRule="auto"/>
            </w:pPr>
            <w:r>
              <w:t>33</w:t>
            </w:r>
          </w:p>
        </w:tc>
        <w:tc>
          <w:tcPr>
            <w:tcW w:w="810" w:type="dxa"/>
            <w:tcBorders>
              <w:top w:val="single" w:sz="8" w:space="0" w:color="auto"/>
            </w:tcBorders>
            <w:shd w:val="clear" w:color="auto" w:fill="FFFFFF"/>
            <w:tcMar>
              <w:top w:w="72" w:type="dxa"/>
              <w:left w:w="144" w:type="dxa"/>
              <w:bottom w:w="72" w:type="dxa"/>
              <w:right w:w="144" w:type="dxa"/>
            </w:tcMar>
          </w:tcPr>
          <w:p w:rsidR="009F40E1" w:rsidRDefault="006E78A1" w:rsidP="006E78A1">
            <w:pPr>
              <w:spacing w:after="200" w:line="360" w:lineRule="auto"/>
            </w:pPr>
            <w:r>
              <w:t>45</w:t>
            </w:r>
          </w:p>
        </w:tc>
        <w:tc>
          <w:tcPr>
            <w:tcW w:w="990" w:type="dxa"/>
            <w:tcBorders>
              <w:top w:val="single" w:sz="8" w:space="0" w:color="auto"/>
            </w:tcBorders>
            <w:shd w:val="clear" w:color="auto" w:fill="FFFFFF"/>
            <w:tcMar>
              <w:top w:w="72" w:type="dxa"/>
              <w:left w:w="144" w:type="dxa"/>
              <w:bottom w:w="72" w:type="dxa"/>
              <w:right w:w="144" w:type="dxa"/>
            </w:tcMar>
          </w:tcPr>
          <w:p w:rsidR="009F40E1" w:rsidRDefault="006E78A1" w:rsidP="006E78A1">
            <w:pPr>
              <w:spacing w:after="200" w:line="360" w:lineRule="auto"/>
            </w:pPr>
            <w:r>
              <w:t>27</w:t>
            </w:r>
          </w:p>
        </w:tc>
        <w:tc>
          <w:tcPr>
            <w:tcW w:w="990" w:type="dxa"/>
            <w:tcBorders>
              <w:top w:val="single" w:sz="8" w:space="0" w:color="auto"/>
            </w:tcBorders>
            <w:shd w:val="clear" w:color="auto" w:fill="FFFFFF"/>
            <w:tcMar>
              <w:top w:w="72" w:type="dxa"/>
              <w:left w:w="144" w:type="dxa"/>
              <w:bottom w:w="72" w:type="dxa"/>
              <w:right w:w="144" w:type="dxa"/>
            </w:tcMar>
          </w:tcPr>
          <w:p w:rsidR="009F40E1" w:rsidRPr="00E722EC" w:rsidRDefault="006E78A1" w:rsidP="00FB3AED">
            <w:pPr>
              <w:spacing w:after="200" w:line="360" w:lineRule="auto"/>
            </w:pPr>
            <w:r>
              <w:t>12</w:t>
            </w:r>
          </w:p>
        </w:tc>
        <w:tc>
          <w:tcPr>
            <w:tcW w:w="990" w:type="dxa"/>
            <w:tcBorders>
              <w:top w:val="single" w:sz="8" w:space="0" w:color="auto"/>
            </w:tcBorders>
            <w:shd w:val="clear" w:color="auto" w:fill="FFFFFF"/>
            <w:tcMar>
              <w:top w:w="72" w:type="dxa"/>
              <w:left w:w="144" w:type="dxa"/>
              <w:bottom w:w="72" w:type="dxa"/>
              <w:right w:w="144" w:type="dxa"/>
            </w:tcMar>
          </w:tcPr>
          <w:p w:rsidR="009F40E1" w:rsidRPr="00E722EC" w:rsidRDefault="006E78A1" w:rsidP="006E78A1">
            <w:pPr>
              <w:spacing w:after="200" w:line="360" w:lineRule="auto"/>
            </w:pPr>
            <w:r>
              <w:t>23</w:t>
            </w:r>
          </w:p>
        </w:tc>
        <w:tc>
          <w:tcPr>
            <w:tcW w:w="900" w:type="dxa"/>
            <w:tcBorders>
              <w:top w:val="single" w:sz="8" w:space="0" w:color="auto"/>
            </w:tcBorders>
            <w:shd w:val="clear" w:color="auto" w:fill="FFFFFF"/>
            <w:tcMar>
              <w:top w:w="72" w:type="dxa"/>
              <w:left w:w="144" w:type="dxa"/>
              <w:bottom w:w="72" w:type="dxa"/>
              <w:right w:w="144" w:type="dxa"/>
            </w:tcMar>
          </w:tcPr>
          <w:p w:rsidR="009F40E1" w:rsidRPr="00E722EC" w:rsidRDefault="006E78A1" w:rsidP="006E78A1">
            <w:pPr>
              <w:spacing w:after="200" w:line="360" w:lineRule="auto"/>
            </w:pPr>
            <w:r>
              <w:t>10</w:t>
            </w:r>
          </w:p>
        </w:tc>
      </w:tr>
    </w:tbl>
    <w:p w:rsidR="009F40E1" w:rsidRPr="00E722EC" w:rsidRDefault="009F40E1" w:rsidP="009F40E1">
      <w:pPr>
        <w:spacing w:line="360" w:lineRule="auto"/>
        <w:ind w:left="270"/>
      </w:pPr>
    </w:p>
    <w:p w:rsidR="009F40E1" w:rsidRDefault="009F40E1" w:rsidP="009F40E1">
      <w:pPr>
        <w:spacing w:line="360" w:lineRule="auto"/>
        <w:ind w:left="270"/>
      </w:pPr>
    </w:p>
    <w:p w:rsidR="009F40E1" w:rsidRDefault="009F40E1" w:rsidP="009F40E1">
      <w:pPr>
        <w:spacing w:line="360" w:lineRule="auto"/>
        <w:ind w:left="630"/>
      </w:pPr>
      <w:r>
        <w:t xml:space="preserve">An eligible case for the study is defined as a patient aged 18 years or older with a positive MRSA culture from a normally sterile site (e.g. blood, pleural fluid, joint, bone) within 3 days after hospital admission (community-onset) and who was discharged from an acute care hospital in the 12 weeks prior to this invasive MRSA episode.  </w:t>
      </w:r>
    </w:p>
    <w:p w:rsidR="009F40E1" w:rsidRDefault="009F40E1" w:rsidP="009F40E1">
      <w:pPr>
        <w:spacing w:line="360" w:lineRule="auto"/>
        <w:ind w:left="630"/>
      </w:pPr>
    </w:p>
    <w:p w:rsidR="009F40E1" w:rsidRPr="00EC5191" w:rsidRDefault="009F40E1" w:rsidP="009F40E1">
      <w:pPr>
        <w:spacing w:line="360" w:lineRule="auto"/>
        <w:ind w:left="630"/>
        <w:rPr>
          <w:bCs/>
        </w:rPr>
      </w:pPr>
      <w:r>
        <w:t>Eligible c</w:t>
      </w:r>
      <w:r w:rsidRPr="00E722EC">
        <w:t>ase</w:t>
      </w:r>
      <w:r>
        <w:t>s</w:t>
      </w:r>
      <w:r w:rsidRPr="00E722EC">
        <w:t xml:space="preserve"> for the study will be identified through routine ABCs MRSA surveillance</w:t>
      </w:r>
      <w:r>
        <w:t xml:space="preserve">. After an eligible case is identified, pertinent clinical information will then be abstracted </w:t>
      </w:r>
      <w:r>
        <w:lastRenderedPageBreak/>
        <w:t xml:space="preserve">from the most recent hospitalization (i.e. the last hospitalization prior to initial MRSA invasive culture; also known as hospitalization of interest). Based on this information, EIP personnel will apply inclusion and exclusion criteria. </w:t>
      </w:r>
    </w:p>
    <w:p w:rsidR="009F40E1" w:rsidRPr="00024567" w:rsidRDefault="009F40E1" w:rsidP="009F40E1">
      <w:pPr>
        <w:spacing w:line="360" w:lineRule="auto"/>
        <w:ind w:left="630"/>
        <w:rPr>
          <w:bCs/>
        </w:rPr>
      </w:pPr>
    </w:p>
    <w:p w:rsidR="009F40E1" w:rsidRPr="00024567" w:rsidRDefault="009F40E1" w:rsidP="009F40E1">
      <w:pPr>
        <w:spacing w:line="360" w:lineRule="auto"/>
        <w:ind w:left="630"/>
        <w:rPr>
          <w:bCs/>
        </w:rPr>
      </w:pPr>
      <w:r w:rsidRPr="00024567">
        <w:t>Inclusion Criteria for Cases</w:t>
      </w:r>
      <w:r w:rsidR="00024567">
        <w:t>:</w:t>
      </w:r>
    </w:p>
    <w:p w:rsidR="009F40E1" w:rsidRDefault="009F40E1" w:rsidP="009F40E1">
      <w:pPr>
        <w:numPr>
          <w:ilvl w:val="0"/>
          <w:numId w:val="1"/>
        </w:numPr>
        <w:spacing w:line="360" w:lineRule="auto"/>
      </w:pPr>
      <w:r>
        <w:t>An eligible case, and</w:t>
      </w:r>
    </w:p>
    <w:p w:rsidR="009F40E1" w:rsidRDefault="009F40E1" w:rsidP="009F40E1">
      <w:pPr>
        <w:numPr>
          <w:ilvl w:val="0"/>
          <w:numId w:val="1"/>
        </w:numPr>
        <w:spacing w:line="360" w:lineRule="auto"/>
      </w:pPr>
      <w:r>
        <w:t>Length of stay during hospitalization of interest &gt; 3 calendar days (with admit = day 1)</w:t>
      </w:r>
    </w:p>
    <w:p w:rsidR="009F40E1" w:rsidRDefault="009F40E1" w:rsidP="009F40E1">
      <w:pPr>
        <w:spacing w:line="360" w:lineRule="auto"/>
        <w:ind w:left="630"/>
      </w:pPr>
    </w:p>
    <w:p w:rsidR="009F40E1" w:rsidRDefault="009F40E1" w:rsidP="009F40E1">
      <w:pPr>
        <w:tabs>
          <w:tab w:val="left" w:pos="630"/>
        </w:tabs>
        <w:spacing w:line="360" w:lineRule="auto"/>
        <w:ind w:left="630"/>
      </w:pPr>
      <w:r>
        <w:t xml:space="preserve">Each person can be enrolled as a case only once during the study period; from the date of most recent hospitalization forward in the study period, a person enrolled as a case cannot serve as a control. </w:t>
      </w:r>
    </w:p>
    <w:p w:rsidR="009F40E1" w:rsidRDefault="009F40E1" w:rsidP="009F40E1">
      <w:pPr>
        <w:spacing w:line="360" w:lineRule="auto"/>
        <w:ind w:left="630"/>
        <w:rPr>
          <w:b/>
        </w:rPr>
      </w:pPr>
    </w:p>
    <w:p w:rsidR="009F40E1" w:rsidRPr="00024567" w:rsidRDefault="009F40E1" w:rsidP="009F40E1">
      <w:pPr>
        <w:spacing w:line="360" w:lineRule="auto"/>
        <w:ind w:left="630"/>
        <w:rPr>
          <w:bCs/>
        </w:rPr>
      </w:pPr>
      <w:r w:rsidRPr="00024567">
        <w:t>Exclusion Criteria for Cases</w:t>
      </w:r>
      <w:r w:rsidR="00024567">
        <w:t>:</w:t>
      </w:r>
    </w:p>
    <w:p w:rsidR="009F40E1" w:rsidRPr="006C13F0" w:rsidRDefault="009F40E1" w:rsidP="009F40E1">
      <w:pPr>
        <w:numPr>
          <w:ilvl w:val="0"/>
          <w:numId w:val="4"/>
        </w:numPr>
        <w:spacing w:line="360" w:lineRule="auto"/>
        <w:rPr>
          <w:bCs/>
        </w:rPr>
      </w:pPr>
      <w:r>
        <w:t>Patient with medical record</w:t>
      </w:r>
      <w:r w:rsidRPr="006C13F0">
        <w:t xml:space="preserve"> that </w:t>
      </w:r>
      <w:r>
        <w:t>is</w:t>
      </w:r>
      <w:r w:rsidRPr="006C13F0">
        <w:t xml:space="preserve"> unavailable for review after three attempts to retrieve them, or</w:t>
      </w:r>
    </w:p>
    <w:p w:rsidR="009F40E1" w:rsidRPr="006C13F0" w:rsidRDefault="009F40E1" w:rsidP="009F40E1">
      <w:pPr>
        <w:numPr>
          <w:ilvl w:val="0"/>
          <w:numId w:val="4"/>
        </w:numPr>
        <w:spacing w:line="360" w:lineRule="auto"/>
        <w:rPr>
          <w:bCs/>
        </w:rPr>
      </w:pPr>
      <w:r>
        <w:t>Patient</w:t>
      </w:r>
      <w:r w:rsidRPr="006C13F0">
        <w:t xml:space="preserve"> admitted from or discharged to a prison, or</w:t>
      </w:r>
    </w:p>
    <w:p w:rsidR="009F40E1" w:rsidRPr="006C13F0" w:rsidRDefault="009F40E1" w:rsidP="009F40E1">
      <w:pPr>
        <w:numPr>
          <w:ilvl w:val="0"/>
          <w:numId w:val="4"/>
        </w:numPr>
        <w:spacing w:line="360" w:lineRule="auto"/>
        <w:rPr>
          <w:bCs/>
        </w:rPr>
      </w:pPr>
      <w:r>
        <w:t>Patient</w:t>
      </w:r>
      <w:r w:rsidRPr="006C13F0">
        <w:t xml:space="preserve"> who developed an invasive MRSA infection during </w:t>
      </w:r>
      <w:r>
        <w:t>hospitalization of interest</w:t>
      </w:r>
      <w:r w:rsidRPr="006C13F0">
        <w:t>, or</w:t>
      </w:r>
    </w:p>
    <w:p w:rsidR="009F40E1" w:rsidRPr="00674D3C" w:rsidRDefault="009F40E1" w:rsidP="009F40E1">
      <w:pPr>
        <w:numPr>
          <w:ilvl w:val="0"/>
          <w:numId w:val="4"/>
        </w:numPr>
        <w:tabs>
          <w:tab w:val="left" w:pos="990"/>
        </w:tabs>
        <w:spacing w:line="360" w:lineRule="auto"/>
        <w:rPr>
          <w:sz w:val="22"/>
          <w:szCs w:val="22"/>
        </w:rPr>
      </w:pPr>
      <w:r>
        <w:t xml:space="preserve">Patient where initial admission was </w:t>
      </w:r>
      <w:r w:rsidRPr="00E722EC">
        <w:t>to</w:t>
      </w:r>
      <w:r>
        <w:t xml:space="preserve"> a</w:t>
      </w:r>
      <w:r w:rsidRPr="00E722EC">
        <w:t xml:space="preserve"> </w:t>
      </w:r>
      <w:r>
        <w:t>non-acute care ward</w:t>
      </w:r>
      <w:r w:rsidRPr="004E35DE">
        <w:t xml:space="preserve"> </w:t>
      </w:r>
      <w:r w:rsidRPr="006C13F0">
        <w:t xml:space="preserve">during </w:t>
      </w:r>
      <w:r>
        <w:t>hospitalization of interest, including psychiatric units, rehabilitative or skilled nursing units, or</w:t>
      </w:r>
    </w:p>
    <w:p w:rsidR="009F40E1" w:rsidRPr="006C13F0" w:rsidRDefault="009F40E1" w:rsidP="009F40E1">
      <w:pPr>
        <w:numPr>
          <w:ilvl w:val="0"/>
          <w:numId w:val="4"/>
        </w:numPr>
        <w:spacing w:line="360" w:lineRule="auto"/>
        <w:rPr>
          <w:bCs/>
        </w:rPr>
      </w:pPr>
      <w:r>
        <w:t>Patient</w:t>
      </w:r>
      <w:r w:rsidRPr="006C13F0">
        <w:t xml:space="preserve"> who ha</w:t>
      </w:r>
      <w:r>
        <w:t>s</w:t>
      </w:r>
      <w:r w:rsidRPr="006C13F0">
        <w:t xml:space="preserve"> </w:t>
      </w:r>
      <w:r>
        <w:t>already been enrolled as a case, or</w:t>
      </w:r>
    </w:p>
    <w:p w:rsidR="009F40E1" w:rsidRPr="00F93C8F" w:rsidRDefault="009F40E1" w:rsidP="009F40E1">
      <w:pPr>
        <w:numPr>
          <w:ilvl w:val="0"/>
          <w:numId w:val="4"/>
        </w:numPr>
        <w:spacing w:line="360" w:lineRule="auto"/>
        <w:rPr>
          <w:bCs/>
        </w:rPr>
      </w:pPr>
      <w:r>
        <w:t>Patient</w:t>
      </w:r>
      <w:r w:rsidRPr="006C13F0">
        <w:t xml:space="preserve"> who w</w:t>
      </w:r>
      <w:r>
        <w:t>as</w:t>
      </w:r>
      <w:r w:rsidRPr="006C13F0">
        <w:t xml:space="preserve"> not 18 years of age or older at the time of discharge from </w:t>
      </w:r>
      <w:r>
        <w:t>hospitalization of interest, or</w:t>
      </w:r>
    </w:p>
    <w:p w:rsidR="009F40E1" w:rsidRDefault="009F40E1" w:rsidP="009F40E1">
      <w:pPr>
        <w:numPr>
          <w:ilvl w:val="0"/>
          <w:numId w:val="4"/>
        </w:numPr>
        <w:tabs>
          <w:tab w:val="left" w:pos="990"/>
        </w:tabs>
        <w:spacing w:line="360" w:lineRule="auto"/>
      </w:pPr>
      <w:r>
        <w:t xml:space="preserve">Cases initially included based on medical record review </w:t>
      </w:r>
      <w:proofErr w:type="gramStart"/>
      <w:r>
        <w:t>who</w:t>
      </w:r>
      <w:proofErr w:type="gramEnd"/>
      <w:r>
        <w:t xml:space="preserve"> are found after phone interview to have had an additional hospitalization that lasted &gt; 3 days in a </w:t>
      </w:r>
      <w:r w:rsidRPr="00683C19">
        <w:rPr>
          <w:b/>
          <w:u w:val="single"/>
        </w:rPr>
        <w:t>non-participating</w:t>
      </w:r>
      <w:r>
        <w:t xml:space="preserve"> acute care facility between discharge from hospitalization of interest and initial invasive MRSA culture.  Enrollment of this case will result in misclassification of the hospitalization of interest.</w:t>
      </w:r>
    </w:p>
    <w:p w:rsidR="009F40E1" w:rsidRDefault="009F40E1" w:rsidP="009F40E1">
      <w:pPr>
        <w:tabs>
          <w:tab w:val="left" w:pos="990"/>
        </w:tabs>
        <w:spacing w:line="360" w:lineRule="auto"/>
      </w:pPr>
    </w:p>
    <w:p w:rsidR="009F40E1" w:rsidRDefault="009F40E1" w:rsidP="009F40E1">
      <w:pPr>
        <w:tabs>
          <w:tab w:val="left" w:pos="990"/>
        </w:tabs>
        <w:spacing w:line="360" w:lineRule="auto"/>
        <w:ind w:left="630"/>
      </w:pPr>
      <w:r>
        <w:t xml:space="preserve"> If during a phone interview a case is found to have had an additional hospitalization that lasted &gt;3days in a </w:t>
      </w:r>
      <w:r w:rsidRPr="00683C19">
        <w:rPr>
          <w:b/>
          <w:u w:val="single"/>
        </w:rPr>
        <w:t>participating</w:t>
      </w:r>
      <w:r w:rsidRPr="00683C19">
        <w:rPr>
          <w:u w:val="single"/>
        </w:rPr>
        <w:t xml:space="preserve"> </w:t>
      </w:r>
      <w:r>
        <w:t xml:space="preserve">study facility, this case will be included in the study and </w:t>
      </w:r>
      <w:r>
        <w:lastRenderedPageBreak/>
        <w:t>the hospitalization of interest will be rectified.  For this case, a new medical abstraction form will need to be collected with information related to the previous hospitalization found during the interview (hospitalization of interest) and new control</w:t>
      </w:r>
      <w:r w:rsidR="006E78A1">
        <w:t xml:space="preserve"> </w:t>
      </w:r>
      <w:r>
        <w:t>will need to be selected based on the date of the new hospitalization of interest.</w:t>
      </w:r>
    </w:p>
    <w:p w:rsidR="009F40E1" w:rsidRDefault="009F40E1" w:rsidP="009F40E1">
      <w:pPr>
        <w:spacing w:line="360" w:lineRule="auto"/>
        <w:ind w:left="630"/>
        <w:rPr>
          <w:bCs/>
        </w:rPr>
      </w:pPr>
    </w:p>
    <w:p w:rsidR="009F40E1" w:rsidRPr="000F1A71" w:rsidRDefault="006E78A1" w:rsidP="009F40E1">
      <w:pPr>
        <w:spacing w:line="360" w:lineRule="auto"/>
        <w:ind w:left="630"/>
      </w:pPr>
      <w:r>
        <w:t xml:space="preserve">Two </w:t>
      </w:r>
      <w:r w:rsidR="009F40E1" w:rsidRPr="000F1A71">
        <w:t>control</w:t>
      </w:r>
      <w:r>
        <w:t>s</w:t>
      </w:r>
      <w:r w:rsidR="009F40E1" w:rsidRPr="000F1A71">
        <w:t xml:space="preserve"> will be identified for each case included in the study. Eligible controls will be randomly selected from a list of patients matched to each case on the following criteria:</w:t>
      </w:r>
    </w:p>
    <w:p w:rsidR="009F40E1" w:rsidRPr="000F1A71" w:rsidRDefault="009F40E1" w:rsidP="009F40E1">
      <w:pPr>
        <w:numPr>
          <w:ilvl w:val="0"/>
          <w:numId w:val="2"/>
        </w:numPr>
        <w:tabs>
          <w:tab w:val="left" w:pos="900"/>
          <w:tab w:val="left" w:pos="1170"/>
        </w:tabs>
        <w:spacing w:line="360" w:lineRule="auto"/>
        <w:ind w:firstLine="180"/>
      </w:pPr>
      <w:r w:rsidRPr="000F1A71">
        <w:t>Hospital where case’s most recent hospitalization occurred</w:t>
      </w:r>
    </w:p>
    <w:p w:rsidR="009F40E1" w:rsidRPr="000F1A71" w:rsidRDefault="009F40E1" w:rsidP="009F40E1">
      <w:pPr>
        <w:numPr>
          <w:ilvl w:val="0"/>
          <w:numId w:val="2"/>
        </w:numPr>
        <w:tabs>
          <w:tab w:val="left" w:pos="900"/>
          <w:tab w:val="left" w:pos="1170"/>
        </w:tabs>
        <w:spacing w:line="360" w:lineRule="auto"/>
        <w:ind w:left="1170" w:hanging="270"/>
      </w:pPr>
      <w:r w:rsidRPr="000F1A71">
        <w:t xml:space="preserve"> Date of hospital discharge on the same day or in the 29 days previous to the case’s most recent hospital discharge date</w:t>
      </w:r>
    </w:p>
    <w:p w:rsidR="009F40E1" w:rsidRPr="000F1A71" w:rsidRDefault="009F40E1" w:rsidP="009F40E1">
      <w:pPr>
        <w:numPr>
          <w:ilvl w:val="0"/>
          <w:numId w:val="2"/>
        </w:numPr>
        <w:tabs>
          <w:tab w:val="left" w:pos="900"/>
          <w:tab w:val="left" w:pos="1170"/>
        </w:tabs>
        <w:spacing w:line="360" w:lineRule="auto"/>
        <w:ind w:left="900" w:firstLine="0"/>
      </w:pPr>
      <w:r w:rsidRPr="000F1A71">
        <w:t xml:space="preserve">Age group </w:t>
      </w:r>
    </w:p>
    <w:p w:rsidR="009F40E1" w:rsidRDefault="009F40E1" w:rsidP="009F40E1">
      <w:pPr>
        <w:tabs>
          <w:tab w:val="left" w:pos="900"/>
          <w:tab w:val="left" w:pos="1170"/>
        </w:tabs>
        <w:spacing w:line="360" w:lineRule="auto"/>
      </w:pPr>
    </w:p>
    <w:p w:rsidR="009F40E1" w:rsidRDefault="009F40E1" w:rsidP="009F40E1">
      <w:pPr>
        <w:tabs>
          <w:tab w:val="left" w:pos="630"/>
        </w:tabs>
        <w:spacing w:line="360" w:lineRule="auto"/>
        <w:ind w:left="630"/>
        <w:rPr>
          <w:bCs/>
        </w:rPr>
      </w:pPr>
      <w:r>
        <w:rPr>
          <w:bCs/>
        </w:rPr>
        <w:t>A</w:t>
      </w:r>
      <w:r w:rsidRPr="00E722EC">
        <w:rPr>
          <w:bCs/>
        </w:rPr>
        <w:t>dministrative databases</w:t>
      </w:r>
      <w:r>
        <w:rPr>
          <w:bCs/>
        </w:rPr>
        <w:t xml:space="preserve"> </w:t>
      </w:r>
      <w:r w:rsidRPr="00E722EC">
        <w:rPr>
          <w:bCs/>
        </w:rPr>
        <w:t xml:space="preserve">at </w:t>
      </w:r>
      <w:r>
        <w:rPr>
          <w:bCs/>
        </w:rPr>
        <w:t>participating</w:t>
      </w:r>
      <w:r w:rsidRPr="00E722EC">
        <w:rPr>
          <w:bCs/>
        </w:rPr>
        <w:t xml:space="preserve"> hospitals will be used to </w:t>
      </w:r>
      <w:r>
        <w:rPr>
          <w:bCs/>
        </w:rPr>
        <w:t xml:space="preserve">generate a list of </w:t>
      </w:r>
      <w:r w:rsidRPr="00E722EC">
        <w:rPr>
          <w:bCs/>
        </w:rPr>
        <w:t>eligible</w:t>
      </w:r>
      <w:r>
        <w:rPr>
          <w:bCs/>
        </w:rPr>
        <w:t xml:space="preserve"> </w:t>
      </w:r>
      <w:r w:rsidRPr="00E722EC">
        <w:rPr>
          <w:bCs/>
        </w:rPr>
        <w:t>matched control</w:t>
      </w:r>
      <w:r>
        <w:rPr>
          <w:bCs/>
        </w:rPr>
        <w:t>s</w:t>
      </w:r>
      <w:r w:rsidRPr="00E722EC">
        <w:rPr>
          <w:bCs/>
        </w:rPr>
        <w:t xml:space="preserve">. </w:t>
      </w:r>
      <w:r>
        <w:rPr>
          <w:bCs/>
        </w:rPr>
        <w:t>For each eligible control randomly selected from a list of potential controls, medical record will be reviewed to determine whether this eligible control should be included in the study.</w:t>
      </w:r>
    </w:p>
    <w:p w:rsidR="009F40E1" w:rsidRDefault="009F40E1" w:rsidP="009F40E1">
      <w:pPr>
        <w:spacing w:line="360" w:lineRule="auto"/>
        <w:ind w:left="270"/>
        <w:rPr>
          <w:bCs/>
        </w:rPr>
      </w:pPr>
    </w:p>
    <w:p w:rsidR="009F40E1" w:rsidRPr="00024567" w:rsidRDefault="009F40E1" w:rsidP="009F40E1">
      <w:pPr>
        <w:spacing w:line="360" w:lineRule="auto"/>
        <w:ind w:left="630"/>
      </w:pPr>
      <w:r w:rsidRPr="00024567">
        <w:t>Inclusion Criteria for Controls</w:t>
      </w:r>
      <w:r w:rsidR="00024567">
        <w:t>:</w:t>
      </w:r>
    </w:p>
    <w:p w:rsidR="009F40E1" w:rsidRPr="00833718" w:rsidRDefault="009F40E1" w:rsidP="009F40E1">
      <w:pPr>
        <w:numPr>
          <w:ilvl w:val="0"/>
          <w:numId w:val="5"/>
        </w:numPr>
        <w:spacing w:line="360" w:lineRule="auto"/>
        <w:rPr>
          <w:sz w:val="22"/>
          <w:szCs w:val="22"/>
        </w:rPr>
      </w:pPr>
      <w:r>
        <w:t>An eligible control,</w:t>
      </w:r>
    </w:p>
    <w:p w:rsidR="009F40E1" w:rsidRPr="00833718" w:rsidRDefault="009F40E1" w:rsidP="009F40E1">
      <w:pPr>
        <w:numPr>
          <w:ilvl w:val="0"/>
          <w:numId w:val="5"/>
        </w:numPr>
        <w:spacing w:line="360" w:lineRule="auto"/>
        <w:rPr>
          <w:sz w:val="22"/>
          <w:szCs w:val="22"/>
        </w:rPr>
      </w:pPr>
      <w:r>
        <w:t xml:space="preserve">Discharged alive </w:t>
      </w:r>
      <w:r w:rsidRPr="00E722EC">
        <w:t>from the matched hospital admission, just as all the case-patients were</w:t>
      </w:r>
      <w:r>
        <w:t>, and</w:t>
      </w:r>
    </w:p>
    <w:p w:rsidR="009F40E1" w:rsidRDefault="009F40E1" w:rsidP="009F40E1">
      <w:pPr>
        <w:numPr>
          <w:ilvl w:val="0"/>
          <w:numId w:val="5"/>
        </w:numPr>
        <w:spacing w:line="360" w:lineRule="auto"/>
      </w:pPr>
      <w:r>
        <w:t>Admitted to an acute care ward during hospitalization.</w:t>
      </w:r>
    </w:p>
    <w:p w:rsidR="009F40E1" w:rsidRDefault="009F40E1" w:rsidP="009F40E1">
      <w:pPr>
        <w:spacing w:line="360" w:lineRule="auto"/>
        <w:ind w:left="990"/>
      </w:pPr>
    </w:p>
    <w:p w:rsidR="009F40E1" w:rsidRPr="00024567" w:rsidRDefault="009F40E1" w:rsidP="009F40E1">
      <w:pPr>
        <w:spacing w:line="360" w:lineRule="auto"/>
        <w:ind w:left="630"/>
      </w:pPr>
      <w:r w:rsidRPr="00024567">
        <w:t>Exclusion Criteria for Controls</w:t>
      </w:r>
      <w:r w:rsidR="00024567">
        <w:t>:</w:t>
      </w:r>
    </w:p>
    <w:p w:rsidR="009F40E1" w:rsidRPr="00DE6F63" w:rsidRDefault="009F40E1" w:rsidP="009F40E1">
      <w:pPr>
        <w:numPr>
          <w:ilvl w:val="0"/>
          <w:numId w:val="6"/>
        </w:numPr>
        <w:tabs>
          <w:tab w:val="left" w:pos="990"/>
        </w:tabs>
        <w:spacing w:line="360" w:lineRule="auto"/>
        <w:ind w:left="990"/>
        <w:rPr>
          <w:sz w:val="22"/>
          <w:szCs w:val="22"/>
        </w:rPr>
      </w:pPr>
      <w:r>
        <w:t>Patient</w:t>
      </w:r>
      <w:r w:rsidRPr="00E722EC">
        <w:t xml:space="preserve"> </w:t>
      </w:r>
      <w:r>
        <w:t>with length of hospital stay ≤3 calendar days (with admit=day 1), or</w:t>
      </w:r>
    </w:p>
    <w:p w:rsidR="009F40E1" w:rsidRPr="00674D3C" w:rsidRDefault="009F40E1" w:rsidP="009F40E1">
      <w:pPr>
        <w:numPr>
          <w:ilvl w:val="0"/>
          <w:numId w:val="6"/>
        </w:numPr>
        <w:tabs>
          <w:tab w:val="left" w:pos="990"/>
        </w:tabs>
        <w:spacing w:line="360" w:lineRule="auto"/>
        <w:ind w:left="990"/>
        <w:rPr>
          <w:sz w:val="22"/>
          <w:szCs w:val="22"/>
        </w:rPr>
      </w:pPr>
      <w:r>
        <w:t xml:space="preserve">Patient where initial admission was </w:t>
      </w:r>
      <w:r w:rsidRPr="00E722EC">
        <w:t>to</w:t>
      </w:r>
      <w:r>
        <w:t xml:space="preserve"> a</w:t>
      </w:r>
      <w:r w:rsidRPr="00E722EC">
        <w:t xml:space="preserve"> </w:t>
      </w:r>
      <w:r>
        <w:t>non-acute care ward, including psychiatric units, rehabilitative or skilled nursing units, or</w:t>
      </w:r>
    </w:p>
    <w:p w:rsidR="009F40E1" w:rsidRPr="006C13F0" w:rsidRDefault="009F40E1" w:rsidP="009F40E1">
      <w:pPr>
        <w:numPr>
          <w:ilvl w:val="0"/>
          <w:numId w:val="6"/>
        </w:numPr>
        <w:tabs>
          <w:tab w:val="left" w:pos="990"/>
        </w:tabs>
        <w:spacing w:line="360" w:lineRule="auto"/>
        <w:ind w:left="990"/>
        <w:rPr>
          <w:bCs/>
        </w:rPr>
      </w:pPr>
      <w:r>
        <w:t>Patient with medical record</w:t>
      </w:r>
      <w:r w:rsidRPr="006C13F0">
        <w:t xml:space="preserve"> that </w:t>
      </w:r>
      <w:r>
        <w:t>is</w:t>
      </w:r>
      <w:r w:rsidRPr="006C13F0">
        <w:t xml:space="preserve"> unavailable for review after three attempts to retrieve them, or</w:t>
      </w:r>
    </w:p>
    <w:p w:rsidR="009F40E1" w:rsidRPr="006C13F0" w:rsidRDefault="009F40E1" w:rsidP="009F40E1">
      <w:pPr>
        <w:numPr>
          <w:ilvl w:val="0"/>
          <w:numId w:val="6"/>
        </w:numPr>
        <w:tabs>
          <w:tab w:val="left" w:pos="990"/>
        </w:tabs>
        <w:spacing w:line="360" w:lineRule="auto"/>
        <w:ind w:left="630" w:firstLine="0"/>
        <w:rPr>
          <w:bCs/>
        </w:rPr>
      </w:pPr>
      <w:r>
        <w:t>Patient</w:t>
      </w:r>
      <w:r w:rsidRPr="006C13F0">
        <w:t xml:space="preserve"> admitted from or discharged to a prison, or</w:t>
      </w:r>
    </w:p>
    <w:p w:rsidR="009F40E1" w:rsidRPr="008356D0" w:rsidRDefault="009F40E1" w:rsidP="009F40E1">
      <w:pPr>
        <w:numPr>
          <w:ilvl w:val="0"/>
          <w:numId w:val="6"/>
        </w:numPr>
        <w:tabs>
          <w:tab w:val="left" w:pos="990"/>
        </w:tabs>
        <w:spacing w:line="360" w:lineRule="auto"/>
        <w:ind w:left="990"/>
        <w:rPr>
          <w:sz w:val="22"/>
          <w:szCs w:val="22"/>
        </w:rPr>
      </w:pPr>
      <w:r>
        <w:lastRenderedPageBreak/>
        <w:t>Patient</w:t>
      </w:r>
      <w:r w:rsidRPr="006C13F0">
        <w:t xml:space="preserve"> who developed an invasive MRSA infection </w:t>
      </w:r>
      <w:r w:rsidRPr="00E722EC">
        <w:t>in the 12 weeks after being discharged</w:t>
      </w:r>
      <w:r>
        <w:t>,</w:t>
      </w:r>
      <w:r w:rsidRPr="00E722EC">
        <w:t xml:space="preserve"> or during the hospitalization of interest</w:t>
      </w:r>
      <w:r>
        <w:t>, or</w:t>
      </w:r>
    </w:p>
    <w:p w:rsidR="009F40E1" w:rsidRPr="008356D0" w:rsidRDefault="009F40E1" w:rsidP="009F40E1">
      <w:pPr>
        <w:numPr>
          <w:ilvl w:val="0"/>
          <w:numId w:val="6"/>
        </w:numPr>
        <w:tabs>
          <w:tab w:val="left" w:pos="990"/>
        </w:tabs>
        <w:spacing w:line="360" w:lineRule="auto"/>
        <w:ind w:left="990"/>
        <w:rPr>
          <w:sz w:val="22"/>
          <w:szCs w:val="22"/>
        </w:rPr>
      </w:pPr>
      <w:r>
        <w:t>Patient already enrolled as a control for another case, or</w:t>
      </w:r>
    </w:p>
    <w:p w:rsidR="009F40E1" w:rsidRPr="008356D0" w:rsidRDefault="009F40E1" w:rsidP="009F40E1">
      <w:pPr>
        <w:numPr>
          <w:ilvl w:val="0"/>
          <w:numId w:val="6"/>
        </w:numPr>
        <w:tabs>
          <w:tab w:val="left" w:pos="990"/>
        </w:tabs>
        <w:spacing w:line="360" w:lineRule="auto"/>
        <w:ind w:left="990"/>
        <w:rPr>
          <w:sz w:val="22"/>
          <w:szCs w:val="22"/>
        </w:rPr>
      </w:pPr>
      <w:r>
        <w:t xml:space="preserve"> Patients who died between discharge date and matched-case initial invasive MRSA culture, or</w:t>
      </w:r>
    </w:p>
    <w:p w:rsidR="009F40E1" w:rsidRDefault="009F40E1" w:rsidP="009F40E1">
      <w:pPr>
        <w:numPr>
          <w:ilvl w:val="0"/>
          <w:numId w:val="6"/>
        </w:numPr>
        <w:tabs>
          <w:tab w:val="left" w:pos="990"/>
        </w:tabs>
        <w:spacing w:line="360" w:lineRule="auto"/>
        <w:ind w:left="990"/>
      </w:pPr>
      <w:r>
        <w:t>Controls that meet inclusion criteria based on medical record review, but later are found during phone interview to have had an additional hospitalization that lasted &gt; 3 days in an acute care facility between discharge from hospitalization of interest and the matched-case initial invasive MRSA culture.</w:t>
      </w:r>
    </w:p>
    <w:p w:rsidR="009F40E1" w:rsidRPr="004C2E03" w:rsidRDefault="009F40E1" w:rsidP="009F40E1">
      <w:pPr>
        <w:tabs>
          <w:tab w:val="left" w:pos="990"/>
        </w:tabs>
        <w:spacing w:line="360" w:lineRule="auto"/>
        <w:ind w:left="990"/>
        <w:rPr>
          <w:sz w:val="22"/>
          <w:szCs w:val="22"/>
        </w:rPr>
      </w:pPr>
    </w:p>
    <w:p w:rsidR="009F40E1" w:rsidRDefault="009F40E1" w:rsidP="009F40E1">
      <w:pPr>
        <w:tabs>
          <w:tab w:val="left" w:pos="990"/>
        </w:tabs>
        <w:spacing w:line="360" w:lineRule="auto"/>
        <w:ind w:left="630"/>
      </w:pPr>
      <w:r w:rsidRPr="004C2E03">
        <w:t>A patient may not serve as a control more than once in the study</w:t>
      </w:r>
      <w:r>
        <w:t xml:space="preserve">; a person enrolled as a control cannot serve as a case. </w:t>
      </w:r>
    </w:p>
    <w:p w:rsidR="00781F97" w:rsidRDefault="00781F97" w:rsidP="009F40E1">
      <w:pPr>
        <w:tabs>
          <w:tab w:val="left" w:pos="990"/>
        </w:tabs>
        <w:spacing w:line="360" w:lineRule="auto"/>
        <w:ind w:left="630"/>
      </w:pPr>
    </w:p>
    <w:p w:rsidR="00781F97" w:rsidRDefault="00781F97" w:rsidP="009F40E1">
      <w:pPr>
        <w:tabs>
          <w:tab w:val="left" w:pos="990"/>
        </w:tabs>
        <w:spacing w:line="360" w:lineRule="auto"/>
        <w:ind w:left="630"/>
      </w:pPr>
      <w:r w:rsidRPr="000F1A71">
        <w:t>We anticipate that a total of 450</w:t>
      </w:r>
      <w:r w:rsidRPr="000F1A71">
        <w:rPr>
          <w:bCs/>
        </w:rPr>
        <w:t xml:space="preserve"> patients (</w:t>
      </w:r>
      <w:r w:rsidR="006E78A1">
        <w:rPr>
          <w:bCs/>
        </w:rPr>
        <w:t xml:space="preserve">150 </w:t>
      </w:r>
      <w:r w:rsidRPr="000F1A71">
        <w:rPr>
          <w:bCs/>
        </w:rPr>
        <w:t xml:space="preserve">cases and </w:t>
      </w:r>
      <w:r w:rsidR="006E78A1">
        <w:rPr>
          <w:bCs/>
        </w:rPr>
        <w:t xml:space="preserve">300 </w:t>
      </w:r>
      <w:r w:rsidRPr="000F1A71">
        <w:rPr>
          <w:bCs/>
        </w:rPr>
        <w:t xml:space="preserve">controls) will be contacted for a telephone interview annually. All these </w:t>
      </w:r>
      <w:r w:rsidR="00593E7A">
        <w:rPr>
          <w:bCs/>
        </w:rPr>
        <w:t>150 cases and 300 controls</w:t>
      </w:r>
      <w:r w:rsidR="00593E7A" w:rsidRPr="000F1A71">
        <w:rPr>
          <w:bCs/>
        </w:rPr>
        <w:t xml:space="preserve"> </w:t>
      </w:r>
      <w:r w:rsidRPr="000F1A71">
        <w:rPr>
          <w:bCs/>
        </w:rPr>
        <w:t xml:space="preserve">will be further screened for eligibility, and, of those, we expect that </w:t>
      </w:r>
      <w:r w:rsidR="006E78A1">
        <w:rPr>
          <w:bCs/>
        </w:rPr>
        <w:t>95</w:t>
      </w:r>
      <w:r w:rsidR="000F1A71">
        <w:rPr>
          <w:bCs/>
        </w:rPr>
        <w:t xml:space="preserve"> cases and </w:t>
      </w:r>
      <w:r w:rsidR="00173B9B">
        <w:rPr>
          <w:bCs/>
        </w:rPr>
        <w:t>1</w:t>
      </w:r>
      <w:r w:rsidR="006E78A1">
        <w:rPr>
          <w:bCs/>
        </w:rPr>
        <w:t>90</w:t>
      </w:r>
      <w:r w:rsidR="000F1A71">
        <w:rPr>
          <w:bCs/>
        </w:rPr>
        <w:t xml:space="preserve"> controls will be enrolled annually (refer to Part A).</w:t>
      </w:r>
      <w:r w:rsidR="006E78A1">
        <w:rPr>
          <w:bCs/>
        </w:rPr>
        <w:t xml:space="preserve"> </w:t>
      </w:r>
      <w:r w:rsidR="000F1A71">
        <w:rPr>
          <w:bCs/>
        </w:rPr>
        <w:t xml:space="preserve"> </w:t>
      </w:r>
    </w:p>
    <w:p w:rsidR="009F40E1" w:rsidRDefault="009F40E1" w:rsidP="009F40E1">
      <w:pPr>
        <w:spacing w:line="360" w:lineRule="auto"/>
        <w:ind w:left="630"/>
      </w:pPr>
      <w:r w:rsidRPr="004C2E03">
        <w:t>Because the risk of HACO invasive MRSA infection varies with age, the following age groups will be used for matching:</w:t>
      </w:r>
    </w:p>
    <w:p w:rsidR="009F40E1" w:rsidRDefault="009F40E1" w:rsidP="009F40E1">
      <w:pPr>
        <w:spacing w:line="360" w:lineRule="auto"/>
        <w:ind w:left="270"/>
        <w:rPr>
          <w:sz w:val="22"/>
          <w:szCs w:val="22"/>
        </w:rPr>
      </w:pPr>
      <w:r>
        <w:rPr>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tblGrid>
      <w:tr w:rsidR="009F40E1" w:rsidRPr="00F67610" w:rsidTr="00FB3AED">
        <w:tc>
          <w:tcPr>
            <w:tcW w:w="1800" w:type="dxa"/>
          </w:tcPr>
          <w:p w:rsidR="009F40E1" w:rsidRPr="00F67610" w:rsidRDefault="009F40E1" w:rsidP="00FB3AED">
            <w:pPr>
              <w:spacing w:line="360" w:lineRule="auto"/>
              <w:rPr>
                <w:b/>
                <w:sz w:val="22"/>
                <w:szCs w:val="22"/>
              </w:rPr>
            </w:pPr>
            <w:r w:rsidRPr="00F67610">
              <w:rPr>
                <w:b/>
                <w:sz w:val="22"/>
                <w:szCs w:val="22"/>
              </w:rPr>
              <w:t>AGE GROUP</w:t>
            </w:r>
          </w:p>
        </w:tc>
      </w:tr>
      <w:tr w:rsidR="009F40E1" w:rsidRPr="00F67610" w:rsidTr="00FB3AED">
        <w:tc>
          <w:tcPr>
            <w:tcW w:w="1800" w:type="dxa"/>
          </w:tcPr>
          <w:p w:rsidR="009F40E1" w:rsidRPr="00F67610" w:rsidRDefault="009F40E1" w:rsidP="00FB3AED">
            <w:pPr>
              <w:spacing w:line="360" w:lineRule="auto"/>
              <w:rPr>
                <w:sz w:val="22"/>
                <w:szCs w:val="22"/>
              </w:rPr>
            </w:pPr>
            <w:r w:rsidRPr="00F67610">
              <w:rPr>
                <w:sz w:val="22"/>
                <w:szCs w:val="22"/>
              </w:rPr>
              <w:t>18–30 years</w:t>
            </w:r>
          </w:p>
        </w:tc>
      </w:tr>
      <w:tr w:rsidR="009F40E1" w:rsidRPr="00F67610" w:rsidTr="00FB3AED">
        <w:tc>
          <w:tcPr>
            <w:tcW w:w="1800" w:type="dxa"/>
          </w:tcPr>
          <w:p w:rsidR="009F40E1" w:rsidRPr="00F67610" w:rsidRDefault="009F40E1" w:rsidP="00FB3AED">
            <w:pPr>
              <w:spacing w:line="360" w:lineRule="auto"/>
              <w:rPr>
                <w:sz w:val="22"/>
                <w:szCs w:val="22"/>
              </w:rPr>
            </w:pPr>
            <w:r w:rsidRPr="00F67610">
              <w:rPr>
                <w:sz w:val="22"/>
                <w:szCs w:val="22"/>
              </w:rPr>
              <w:t>31-40 years</w:t>
            </w:r>
          </w:p>
        </w:tc>
      </w:tr>
      <w:tr w:rsidR="009F40E1" w:rsidRPr="00F67610" w:rsidTr="00FB3AED">
        <w:tc>
          <w:tcPr>
            <w:tcW w:w="1800" w:type="dxa"/>
          </w:tcPr>
          <w:p w:rsidR="009F40E1" w:rsidRPr="00F67610" w:rsidRDefault="009F40E1" w:rsidP="00FB3AED">
            <w:pPr>
              <w:spacing w:line="360" w:lineRule="auto"/>
              <w:rPr>
                <w:sz w:val="22"/>
                <w:szCs w:val="22"/>
              </w:rPr>
            </w:pPr>
            <w:r w:rsidRPr="00F67610">
              <w:rPr>
                <w:sz w:val="22"/>
                <w:szCs w:val="22"/>
              </w:rPr>
              <w:t>41-50 years</w:t>
            </w:r>
          </w:p>
        </w:tc>
      </w:tr>
      <w:tr w:rsidR="009F40E1" w:rsidRPr="00F67610" w:rsidTr="00FB3AED">
        <w:tc>
          <w:tcPr>
            <w:tcW w:w="1800" w:type="dxa"/>
          </w:tcPr>
          <w:p w:rsidR="009F40E1" w:rsidRPr="00F67610" w:rsidRDefault="009F40E1" w:rsidP="00FB3AED">
            <w:pPr>
              <w:spacing w:line="360" w:lineRule="auto"/>
              <w:rPr>
                <w:sz w:val="22"/>
                <w:szCs w:val="22"/>
              </w:rPr>
            </w:pPr>
            <w:r w:rsidRPr="00F67610">
              <w:rPr>
                <w:sz w:val="22"/>
                <w:szCs w:val="22"/>
              </w:rPr>
              <w:t>51-60 years</w:t>
            </w:r>
          </w:p>
        </w:tc>
      </w:tr>
      <w:tr w:rsidR="009F40E1" w:rsidRPr="00F67610" w:rsidTr="00FB3AED">
        <w:tc>
          <w:tcPr>
            <w:tcW w:w="1800" w:type="dxa"/>
          </w:tcPr>
          <w:p w:rsidR="009F40E1" w:rsidRPr="00F67610" w:rsidRDefault="009F40E1" w:rsidP="00FB3AED">
            <w:pPr>
              <w:spacing w:line="360" w:lineRule="auto"/>
              <w:rPr>
                <w:sz w:val="22"/>
                <w:szCs w:val="22"/>
              </w:rPr>
            </w:pPr>
            <w:r w:rsidRPr="00F67610">
              <w:rPr>
                <w:sz w:val="22"/>
                <w:szCs w:val="22"/>
              </w:rPr>
              <w:t>61-70 years</w:t>
            </w:r>
          </w:p>
        </w:tc>
      </w:tr>
      <w:tr w:rsidR="009F40E1" w:rsidRPr="00F67610" w:rsidTr="00FB3AED">
        <w:tc>
          <w:tcPr>
            <w:tcW w:w="1800" w:type="dxa"/>
          </w:tcPr>
          <w:p w:rsidR="009F40E1" w:rsidRPr="00F67610" w:rsidRDefault="009F40E1" w:rsidP="00FB3AED">
            <w:pPr>
              <w:spacing w:line="360" w:lineRule="auto"/>
              <w:rPr>
                <w:sz w:val="22"/>
                <w:szCs w:val="22"/>
              </w:rPr>
            </w:pPr>
            <w:r w:rsidRPr="00F67610">
              <w:rPr>
                <w:sz w:val="22"/>
                <w:szCs w:val="22"/>
              </w:rPr>
              <w:t>71-80 years</w:t>
            </w:r>
          </w:p>
        </w:tc>
      </w:tr>
      <w:tr w:rsidR="009F40E1" w:rsidRPr="00F67610" w:rsidTr="00FB3AED">
        <w:tc>
          <w:tcPr>
            <w:tcW w:w="1800" w:type="dxa"/>
          </w:tcPr>
          <w:p w:rsidR="009F40E1" w:rsidRPr="00F67610" w:rsidRDefault="009F40E1" w:rsidP="00FB3AED">
            <w:pPr>
              <w:spacing w:line="360" w:lineRule="auto"/>
              <w:rPr>
                <w:sz w:val="22"/>
                <w:szCs w:val="22"/>
              </w:rPr>
            </w:pPr>
            <w:r w:rsidRPr="00F67610">
              <w:rPr>
                <w:sz w:val="22"/>
                <w:szCs w:val="22"/>
              </w:rPr>
              <w:t>&gt;80 years</w:t>
            </w:r>
          </w:p>
        </w:tc>
      </w:tr>
    </w:tbl>
    <w:p w:rsidR="009F40E1" w:rsidRDefault="009F40E1" w:rsidP="009F40E1">
      <w:pPr>
        <w:spacing w:line="360" w:lineRule="auto"/>
        <w:ind w:left="270"/>
        <w:rPr>
          <w:sz w:val="22"/>
          <w:szCs w:val="22"/>
        </w:rPr>
      </w:pPr>
    </w:p>
    <w:p w:rsidR="00B06620" w:rsidRDefault="00B06620" w:rsidP="009F40E1">
      <w:pPr>
        <w:spacing w:line="360" w:lineRule="auto"/>
        <w:ind w:left="270"/>
        <w:rPr>
          <w:b/>
        </w:rPr>
      </w:pPr>
    </w:p>
    <w:p w:rsidR="00B06620" w:rsidRDefault="00B06620" w:rsidP="009F40E1">
      <w:pPr>
        <w:spacing w:line="360" w:lineRule="auto"/>
        <w:ind w:left="270"/>
        <w:rPr>
          <w:b/>
        </w:rPr>
      </w:pPr>
    </w:p>
    <w:p w:rsidR="00B06620" w:rsidRDefault="00B06620" w:rsidP="009F40E1">
      <w:pPr>
        <w:spacing w:line="360" w:lineRule="auto"/>
        <w:ind w:left="270"/>
        <w:rPr>
          <w:b/>
        </w:rPr>
      </w:pPr>
    </w:p>
    <w:p w:rsidR="009F40E1" w:rsidRDefault="009F40E1" w:rsidP="009F40E1">
      <w:pPr>
        <w:spacing w:line="360" w:lineRule="auto"/>
        <w:ind w:left="270"/>
        <w:rPr>
          <w:b/>
        </w:rPr>
      </w:pPr>
      <w:r w:rsidRPr="006712F9">
        <w:rPr>
          <w:b/>
        </w:rPr>
        <w:lastRenderedPageBreak/>
        <w:t xml:space="preserve">2. </w:t>
      </w:r>
      <w:r w:rsidRPr="006712F9">
        <w:rPr>
          <w:b/>
        </w:rPr>
        <w:tab/>
      </w:r>
      <w:r w:rsidRPr="00E61E55">
        <w:rPr>
          <w:b/>
        </w:rPr>
        <w:t>Procedures for the Collection of Information</w:t>
      </w:r>
    </w:p>
    <w:p w:rsidR="009F40E1" w:rsidRDefault="009F40E1" w:rsidP="009F40E1">
      <w:pPr>
        <w:spacing w:line="360" w:lineRule="auto"/>
      </w:pPr>
    </w:p>
    <w:p w:rsidR="009F40E1" w:rsidRPr="00705D4B" w:rsidRDefault="009F40E1" w:rsidP="009F40E1">
      <w:pPr>
        <w:spacing w:line="360" w:lineRule="auto"/>
        <w:ind w:left="270"/>
      </w:pPr>
      <w:r>
        <w:tab/>
        <w:t>ABCs MRSA</w:t>
      </w:r>
      <w:r w:rsidRPr="00D740FB">
        <w:t xml:space="preserve"> surveillance officers are employees of the State Health Department or state agents.</w:t>
      </w:r>
      <w:r>
        <w:t xml:space="preserve"> </w:t>
      </w:r>
      <w:r w:rsidRPr="00705D4B">
        <w:t xml:space="preserve">This staff will receive training by CDC and the </w:t>
      </w:r>
      <w:r>
        <w:t xml:space="preserve">EIP study </w:t>
      </w:r>
      <w:r w:rsidRPr="00705D4B">
        <w:t>princip</w:t>
      </w:r>
      <w:r>
        <w:t>al</w:t>
      </w:r>
      <w:r w:rsidRPr="00705D4B">
        <w:t xml:space="preserve"> investigator in study methods, data security, and patient confidentiality. All staff will undergo necessary ethics training by participating institutions as required by local policies. </w:t>
      </w:r>
    </w:p>
    <w:p w:rsidR="009F40E1" w:rsidRPr="00705D4B" w:rsidRDefault="009F40E1" w:rsidP="009F40E1">
      <w:pPr>
        <w:spacing w:line="360" w:lineRule="auto"/>
        <w:ind w:left="270"/>
      </w:pPr>
    </w:p>
    <w:p w:rsidR="009F40E1" w:rsidRDefault="009F40E1" w:rsidP="00AC2509">
      <w:pPr>
        <w:spacing w:line="360" w:lineRule="auto"/>
        <w:ind w:left="274" w:firstLine="446"/>
      </w:pPr>
      <w:r>
        <w:t>Over a 1 year period</w:t>
      </w:r>
      <w:r w:rsidRPr="0057166A">
        <w:t xml:space="preserve">, </w:t>
      </w:r>
      <w:r>
        <w:t xml:space="preserve">study personnel at each site will prospectively identify through routine ABCs MRSA surveillance eligible cases to be enrolled in the study. Cases and controls eligible for the study will have their medical records for the hospitalization of interest </w:t>
      </w:r>
      <w:r w:rsidRPr="0015106A">
        <w:t>reviewed</w:t>
      </w:r>
      <w:r>
        <w:t xml:space="preserve"> (appendix D), </w:t>
      </w:r>
      <w:r w:rsidRPr="0015106A">
        <w:t xml:space="preserve">and those who meet study inclusion criteria and who provide verbal informed consent (refer to Appendix </w:t>
      </w:r>
      <w:r>
        <w:t>E</w:t>
      </w:r>
      <w:r w:rsidRPr="0015106A">
        <w:t>, verbal consent) will be interviewed. Data will be abstracted from medical records using a standard data abstraction form (refer to Appendix</w:t>
      </w:r>
      <w:r>
        <w:t xml:space="preserve"> C and D</w:t>
      </w:r>
      <w:r w:rsidRPr="0015106A">
        <w:t>).  Details on the</w:t>
      </w:r>
      <w:r>
        <w:t xml:space="preserve"> hospitalization  of interest (e.g.</w:t>
      </w:r>
      <w:r w:rsidRPr="00114ADA">
        <w:t xml:space="preserve"> admit and discharge diagnoses, </w:t>
      </w:r>
      <w:r>
        <w:t xml:space="preserve">invasive procedures, placement of </w:t>
      </w:r>
      <w:r w:rsidRPr="00114ADA">
        <w:t xml:space="preserve"> device</w:t>
      </w:r>
      <w:r>
        <w:t>s,</w:t>
      </w:r>
      <w:r w:rsidRPr="00114ADA">
        <w:t xml:space="preserve"> discharge with </w:t>
      </w:r>
      <w:r>
        <w:t xml:space="preserve">an </w:t>
      </w:r>
      <w:r w:rsidRPr="00114ADA">
        <w:t>invasive device</w:t>
      </w:r>
      <w:r>
        <w:t xml:space="preserve"> (such as a central vascular catheter [CVC])</w:t>
      </w:r>
      <w:r w:rsidRPr="00114ADA">
        <w:t xml:space="preserve">, antimicrobial exposures, MRSA infection or colonization </w:t>
      </w:r>
      <w:r>
        <w:t>status</w:t>
      </w:r>
      <w:r w:rsidRPr="00114ADA">
        <w:t xml:space="preserve">, </w:t>
      </w:r>
      <w:r>
        <w:t xml:space="preserve">chronic wounds, </w:t>
      </w:r>
      <w:r w:rsidRPr="00114ADA">
        <w:t xml:space="preserve">patient disposition </w:t>
      </w:r>
      <w:r>
        <w:t>at</w:t>
      </w:r>
      <w:r w:rsidRPr="00114ADA">
        <w:t xml:space="preserve"> discharge</w:t>
      </w:r>
      <w:r>
        <w:t xml:space="preserve">, </w:t>
      </w:r>
      <w:r w:rsidRPr="00114ADA">
        <w:t>and outcome</w:t>
      </w:r>
      <w:r>
        <w:t>) will be collected. Microbiology records and infection control records will also be reviewed. Phone interview will be used to ascertain outpatient exposures that occurred from the time of hospital discharge to the onset of the invasive MRSA infection of interest. If a case cannot be reached after 8 phone attempts AND the case has an exposure period ≤ 3calendar days between the date of discharge from the hospitalization of interest and the date of the initial HACO MRSA culture, the health interview form will be completed using information available in the medical record associated with the HACO MRSA hospitalization, which is already being reviewed as part of the routine ABCs MRSA surveillance.  The Phone I</w:t>
      </w:r>
      <w:r w:rsidRPr="001B56B6">
        <w:t xml:space="preserve">nterview </w:t>
      </w:r>
      <w:r w:rsidRPr="0015106A">
        <w:t xml:space="preserve">(refer to Appendix </w:t>
      </w:r>
      <w:r>
        <w:t>F</w:t>
      </w:r>
      <w:r w:rsidRPr="0015106A">
        <w:t>) will include details on device maintenance and duration after discharge (e.g. CVC type, insertion site, duration, indication, number of lumens, use patterns, catheter care and bathing practices), outpatient surgical procedures, outpatient antimicrobial exposures, emergency room visits, type of wound care after discharge, training of caregivers, and patient functional status</w:t>
      </w:r>
      <w:r>
        <w:t xml:space="preserve">. </w:t>
      </w:r>
      <w:r w:rsidRPr="0015106A">
        <w:t>Completed copies of coded abstraction forms and interviews will be faxed (if less than 10 completed forms)</w:t>
      </w:r>
      <w:r>
        <w:t xml:space="preserve">, </w:t>
      </w:r>
      <w:r w:rsidRPr="0015106A">
        <w:t>mailed</w:t>
      </w:r>
      <w:r>
        <w:t xml:space="preserve"> or scanned and uploaded to a secure FTP site for</w:t>
      </w:r>
      <w:r w:rsidRPr="0015106A">
        <w:t xml:space="preserve"> </w:t>
      </w:r>
      <w:r>
        <w:lastRenderedPageBreak/>
        <w:t xml:space="preserve">transmission </w:t>
      </w:r>
      <w:r w:rsidRPr="0015106A">
        <w:t>to CDC on a monthly basis and</w:t>
      </w:r>
      <w:r>
        <w:t xml:space="preserve"> data will be</w:t>
      </w:r>
      <w:r w:rsidRPr="0015106A">
        <w:t xml:space="preserve"> entered in</w:t>
      </w:r>
      <w:r>
        <w:t>to</w:t>
      </w:r>
      <w:r w:rsidRPr="0015106A">
        <w:t xml:space="preserve"> a password protected database on a secure limited access server. No patient identifiers such as name, address, phone number, medical record number, and facility name will be sent to CDC.</w:t>
      </w:r>
      <w:r>
        <w:t xml:space="preserve"> </w:t>
      </w:r>
    </w:p>
    <w:p w:rsidR="009F40E1" w:rsidRDefault="009F40E1" w:rsidP="009F40E1">
      <w:pPr>
        <w:spacing w:line="360" w:lineRule="auto"/>
      </w:pPr>
    </w:p>
    <w:p w:rsidR="00BB026A" w:rsidRPr="00BB026A" w:rsidRDefault="00BB026A" w:rsidP="00FB3AED">
      <w:pPr>
        <w:spacing w:line="360" w:lineRule="auto"/>
        <w:ind w:left="360"/>
        <w:rPr>
          <w:b/>
          <w:color w:val="000000" w:themeColor="text1"/>
          <w:u w:val="single"/>
        </w:rPr>
      </w:pPr>
      <w:r w:rsidRPr="00BB026A">
        <w:rPr>
          <w:b/>
          <w:color w:val="000000" w:themeColor="text1"/>
          <w:u w:val="single"/>
        </w:rPr>
        <w:t>Power Calculation:</w:t>
      </w:r>
    </w:p>
    <w:p w:rsidR="00FB3AED" w:rsidRPr="00E722EC" w:rsidRDefault="00472722" w:rsidP="00FB3AED">
      <w:pPr>
        <w:spacing w:line="360" w:lineRule="auto"/>
        <w:ind w:left="360"/>
      </w:pPr>
      <w:r w:rsidRPr="00E722EC">
        <w:t xml:space="preserve"> </w:t>
      </w:r>
      <w:r w:rsidR="00FB3AED" w:rsidRPr="008C51F6">
        <w:t>A sample size calculation for a 1:</w:t>
      </w:r>
      <w:r w:rsidR="006E78A1">
        <w:t>2</w:t>
      </w:r>
      <w:r w:rsidR="006E78A1" w:rsidRPr="008C51F6">
        <w:t xml:space="preserve"> </w:t>
      </w:r>
      <w:r w:rsidR="00FB3AED" w:rsidRPr="008C51F6">
        <w:t xml:space="preserve">matched case-control study was done using PASS software, 2008 (NCCS Statistical Software, Kaysville, Utah). A conservative sample size calculation was performed using a power of 0.80, an alpha of 0.05, </w:t>
      </w:r>
      <w:r w:rsidR="00BB026A" w:rsidRPr="008C51F6">
        <w:t xml:space="preserve">and an estimated </w:t>
      </w:r>
      <w:r w:rsidR="00FB3AED" w:rsidRPr="008C51F6">
        <w:t>prevalence of intravascular catheterization (i.e. CVC) in control-patients of 7% to detect a matched odds ratio of 2.5 for cases compared to controls</w:t>
      </w:r>
      <w:r w:rsidR="00BB026A" w:rsidRPr="008C51F6">
        <w:t xml:space="preserve">.  The presence of CVC at the time of culture was used as the variable of interest because this is a main area where physicians can intervene to prevent invasive MRSA bloodstream infection.  The estimated prevalence of CVC was based on a pilot study done in New York using similar population, but that only involved medical record review. </w:t>
      </w:r>
      <w:r w:rsidR="00FB3AED" w:rsidRPr="008C51F6">
        <w:t xml:space="preserve"> Based on these numbers, a sample size of </w:t>
      </w:r>
      <w:r w:rsidR="004A5334" w:rsidRPr="008C51F6">
        <w:t>1</w:t>
      </w:r>
      <w:r w:rsidR="006E78A1">
        <w:t>90</w:t>
      </w:r>
      <w:r w:rsidR="004A5334">
        <w:t xml:space="preserve"> </w:t>
      </w:r>
      <w:r w:rsidR="00FB3AED" w:rsidRPr="008C51F6">
        <w:t xml:space="preserve">cases (and, therefore, </w:t>
      </w:r>
      <w:r w:rsidR="004A5334" w:rsidRPr="008C51F6">
        <w:t>3</w:t>
      </w:r>
      <w:r w:rsidR="00593E7A">
        <w:t>80</w:t>
      </w:r>
      <w:r w:rsidR="004A5334" w:rsidRPr="008C51F6">
        <w:t xml:space="preserve"> </w:t>
      </w:r>
      <w:r w:rsidR="00FB3AED" w:rsidRPr="008C51F6">
        <w:t>controls) would be required as shown on the table below. For the sample size calculation, we used the prevalence of CVC found during the pilot study conducted in New York.</w:t>
      </w:r>
      <w:r w:rsidR="00593E7A">
        <w:t xml:space="preserve"> In order for us to reach the target sample, two years of data collection will be necessary; 95 cases and 190 controls will be enrolled annually yielding to 190 cases and 380 controls at the end of two years. </w:t>
      </w:r>
    </w:p>
    <w:p w:rsidR="00FB3AED" w:rsidRDefault="00FB3AED" w:rsidP="00FB3AED">
      <w:pPr>
        <w:ind w:left="360" w:hanging="180"/>
      </w:pPr>
    </w:p>
    <w:tbl>
      <w:tblPr>
        <w:tblpPr w:leftFromText="180" w:rightFromText="180" w:vertAnchor="page" w:horzAnchor="page" w:tblpX="2208" w:tblpY="9958"/>
        <w:tblW w:w="4014" w:type="dxa"/>
        <w:tblBorders>
          <w:top w:val="single" w:sz="8" w:space="0" w:color="auto"/>
          <w:left w:val="single" w:sz="8" w:space="0" w:color="FFFFFF"/>
          <w:bottom w:val="single" w:sz="8" w:space="0" w:color="auto"/>
          <w:right w:val="single" w:sz="8" w:space="0" w:color="FFFFFF"/>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2844"/>
        <w:gridCol w:w="1170"/>
      </w:tblGrid>
      <w:tr w:rsidR="00F25DC9" w:rsidRPr="00E722EC" w:rsidTr="00B06620">
        <w:trPr>
          <w:trHeight w:val="362"/>
        </w:trPr>
        <w:tc>
          <w:tcPr>
            <w:tcW w:w="2844" w:type="dxa"/>
            <w:tcBorders>
              <w:top w:val="single" w:sz="8" w:space="0" w:color="auto"/>
              <w:bottom w:val="single" w:sz="8" w:space="0" w:color="auto"/>
            </w:tcBorders>
            <w:shd w:val="clear" w:color="auto" w:fill="auto"/>
            <w:tcMar>
              <w:top w:w="72" w:type="dxa"/>
              <w:left w:w="144" w:type="dxa"/>
              <w:bottom w:w="72" w:type="dxa"/>
              <w:right w:w="144" w:type="dxa"/>
            </w:tcMar>
            <w:hideMark/>
          </w:tcPr>
          <w:p w:rsidR="00F25DC9" w:rsidRPr="00E722EC" w:rsidRDefault="00F25DC9" w:rsidP="00B06620">
            <w:pPr>
              <w:spacing w:after="200" w:line="276" w:lineRule="auto"/>
            </w:pPr>
            <w:r w:rsidRPr="00E722EC">
              <w:rPr>
                <w:b/>
                <w:bCs/>
              </w:rPr>
              <w:t xml:space="preserve">Matched odds ratio </w:t>
            </w:r>
          </w:p>
        </w:tc>
        <w:tc>
          <w:tcPr>
            <w:tcW w:w="1170" w:type="dxa"/>
            <w:tcBorders>
              <w:top w:val="single" w:sz="8" w:space="0" w:color="auto"/>
              <w:bottom w:val="single" w:sz="8" w:space="0" w:color="auto"/>
            </w:tcBorders>
            <w:shd w:val="clear" w:color="auto" w:fill="auto"/>
            <w:tcMar>
              <w:top w:w="72" w:type="dxa"/>
              <w:left w:w="144" w:type="dxa"/>
              <w:bottom w:w="72" w:type="dxa"/>
              <w:right w:w="144" w:type="dxa"/>
            </w:tcMar>
            <w:hideMark/>
          </w:tcPr>
          <w:p w:rsidR="00F25DC9" w:rsidRPr="00E722EC" w:rsidRDefault="00F25DC9" w:rsidP="00B06620">
            <w:pPr>
              <w:spacing w:after="200" w:line="276" w:lineRule="auto"/>
            </w:pPr>
            <w:r w:rsidRPr="00E722EC">
              <w:rPr>
                <w:b/>
                <w:bCs/>
              </w:rPr>
              <w:t xml:space="preserve"> </w:t>
            </w:r>
            <w:r>
              <w:rPr>
                <w:b/>
                <w:bCs/>
              </w:rPr>
              <w:t>2.0</w:t>
            </w:r>
            <w:r w:rsidRPr="00E722EC">
              <w:rPr>
                <w:b/>
                <w:bCs/>
              </w:rPr>
              <w:t xml:space="preserve"> </w:t>
            </w:r>
          </w:p>
        </w:tc>
      </w:tr>
      <w:tr w:rsidR="00F25DC9" w:rsidRPr="00E722EC" w:rsidTr="00B06620">
        <w:trPr>
          <w:trHeight w:val="425"/>
        </w:trPr>
        <w:tc>
          <w:tcPr>
            <w:tcW w:w="2844" w:type="dxa"/>
            <w:tcBorders>
              <w:top w:val="single" w:sz="8" w:space="0" w:color="auto"/>
            </w:tcBorders>
            <w:shd w:val="clear" w:color="auto" w:fill="auto"/>
            <w:tcMar>
              <w:top w:w="72" w:type="dxa"/>
              <w:left w:w="144" w:type="dxa"/>
              <w:bottom w:w="72" w:type="dxa"/>
              <w:right w:w="144" w:type="dxa"/>
            </w:tcMar>
            <w:hideMark/>
          </w:tcPr>
          <w:p w:rsidR="00F25DC9" w:rsidRPr="00E722EC" w:rsidRDefault="00F25DC9" w:rsidP="00B06620">
            <w:pPr>
              <w:spacing w:after="200" w:line="276" w:lineRule="auto"/>
            </w:pPr>
            <w:r w:rsidRPr="00E722EC">
              <w:t xml:space="preserve">Cases (n) </w:t>
            </w:r>
          </w:p>
        </w:tc>
        <w:tc>
          <w:tcPr>
            <w:tcW w:w="1170" w:type="dxa"/>
            <w:tcBorders>
              <w:top w:val="single" w:sz="8" w:space="0" w:color="auto"/>
            </w:tcBorders>
            <w:shd w:val="clear" w:color="auto" w:fill="auto"/>
            <w:tcMar>
              <w:top w:w="72" w:type="dxa"/>
              <w:left w:w="144" w:type="dxa"/>
              <w:bottom w:w="72" w:type="dxa"/>
              <w:right w:w="144" w:type="dxa"/>
            </w:tcMar>
            <w:hideMark/>
          </w:tcPr>
          <w:p w:rsidR="00F25DC9" w:rsidRPr="00E722EC" w:rsidRDefault="00F25DC9" w:rsidP="00B06620">
            <w:pPr>
              <w:spacing w:after="200" w:line="276" w:lineRule="auto"/>
            </w:pPr>
            <w:r>
              <w:t>190</w:t>
            </w:r>
          </w:p>
        </w:tc>
      </w:tr>
      <w:tr w:rsidR="00F25DC9" w:rsidRPr="00E722EC" w:rsidTr="00B06620">
        <w:trPr>
          <w:trHeight w:val="461"/>
        </w:trPr>
        <w:tc>
          <w:tcPr>
            <w:tcW w:w="2844" w:type="dxa"/>
            <w:shd w:val="clear" w:color="auto" w:fill="auto"/>
            <w:tcMar>
              <w:top w:w="72" w:type="dxa"/>
              <w:left w:w="144" w:type="dxa"/>
              <w:bottom w:w="72" w:type="dxa"/>
              <w:right w:w="144" w:type="dxa"/>
            </w:tcMar>
            <w:hideMark/>
          </w:tcPr>
          <w:p w:rsidR="00F25DC9" w:rsidRPr="00E722EC" w:rsidRDefault="00F25DC9" w:rsidP="00B06620">
            <w:pPr>
              <w:spacing w:after="200" w:line="276" w:lineRule="auto"/>
            </w:pPr>
            <w:r w:rsidRPr="00E722EC">
              <w:t xml:space="preserve">Matched Controls (n) </w:t>
            </w:r>
          </w:p>
        </w:tc>
        <w:tc>
          <w:tcPr>
            <w:tcW w:w="1170" w:type="dxa"/>
            <w:shd w:val="clear" w:color="auto" w:fill="auto"/>
            <w:tcMar>
              <w:top w:w="72" w:type="dxa"/>
              <w:left w:w="144" w:type="dxa"/>
              <w:bottom w:w="72" w:type="dxa"/>
              <w:right w:w="144" w:type="dxa"/>
            </w:tcMar>
            <w:hideMark/>
          </w:tcPr>
          <w:p w:rsidR="00F25DC9" w:rsidRPr="00E722EC" w:rsidRDefault="00F25DC9" w:rsidP="00B06620">
            <w:pPr>
              <w:spacing w:after="200" w:line="276" w:lineRule="auto"/>
            </w:pPr>
            <w:r>
              <w:t>380</w:t>
            </w:r>
          </w:p>
        </w:tc>
      </w:tr>
      <w:tr w:rsidR="00F25DC9" w:rsidRPr="00E722EC" w:rsidTr="00B06620">
        <w:trPr>
          <w:trHeight w:val="416"/>
        </w:trPr>
        <w:tc>
          <w:tcPr>
            <w:tcW w:w="2844" w:type="dxa"/>
            <w:shd w:val="clear" w:color="auto" w:fill="auto"/>
            <w:tcMar>
              <w:top w:w="72" w:type="dxa"/>
              <w:left w:w="144" w:type="dxa"/>
              <w:bottom w:w="72" w:type="dxa"/>
              <w:right w:w="144" w:type="dxa"/>
            </w:tcMar>
            <w:hideMark/>
          </w:tcPr>
          <w:p w:rsidR="00F25DC9" w:rsidRPr="00E722EC" w:rsidRDefault="00F25DC9" w:rsidP="00B06620">
            <w:pPr>
              <w:spacing w:after="200" w:line="276" w:lineRule="auto"/>
            </w:pPr>
            <w:r w:rsidRPr="00E722EC">
              <w:t xml:space="preserve">Total Study Population </w:t>
            </w:r>
          </w:p>
        </w:tc>
        <w:tc>
          <w:tcPr>
            <w:tcW w:w="1170" w:type="dxa"/>
            <w:shd w:val="clear" w:color="auto" w:fill="auto"/>
            <w:tcMar>
              <w:top w:w="72" w:type="dxa"/>
              <w:left w:w="144" w:type="dxa"/>
              <w:bottom w:w="72" w:type="dxa"/>
              <w:right w:w="144" w:type="dxa"/>
            </w:tcMar>
            <w:hideMark/>
          </w:tcPr>
          <w:p w:rsidR="00F25DC9" w:rsidRPr="00E722EC" w:rsidRDefault="00F25DC9" w:rsidP="00B06620">
            <w:pPr>
              <w:spacing w:after="200" w:line="276" w:lineRule="auto"/>
            </w:pPr>
            <w:r>
              <w:t>570</w:t>
            </w:r>
          </w:p>
        </w:tc>
      </w:tr>
    </w:tbl>
    <w:p w:rsidR="00FB3AED" w:rsidRDefault="00FB3AED" w:rsidP="00FB3AED">
      <w:pPr>
        <w:ind w:left="360" w:hanging="180"/>
      </w:pPr>
    </w:p>
    <w:p w:rsidR="00FB3AED" w:rsidRDefault="00FB3AED" w:rsidP="00FB3AED">
      <w:pPr>
        <w:ind w:left="360" w:hanging="180"/>
      </w:pPr>
    </w:p>
    <w:p w:rsidR="00FB3AED" w:rsidRDefault="00FB3AED" w:rsidP="00FB3AED">
      <w:pPr>
        <w:ind w:left="360" w:hanging="180"/>
      </w:pPr>
    </w:p>
    <w:p w:rsidR="00FB3AED" w:rsidRDefault="00FB3AED" w:rsidP="00FB3AED">
      <w:pPr>
        <w:ind w:left="360" w:hanging="180"/>
      </w:pPr>
    </w:p>
    <w:p w:rsidR="00FB3AED" w:rsidRDefault="00FB3AED" w:rsidP="00FB3AED">
      <w:pPr>
        <w:ind w:left="360" w:hanging="180"/>
      </w:pPr>
    </w:p>
    <w:p w:rsidR="00FB3AED" w:rsidRDefault="00FB3AED" w:rsidP="00FB3AED">
      <w:pPr>
        <w:ind w:left="360" w:hanging="180"/>
      </w:pPr>
    </w:p>
    <w:p w:rsidR="00FB3AED" w:rsidRDefault="00FB3AED" w:rsidP="00FB3AED">
      <w:pPr>
        <w:ind w:left="360" w:hanging="180"/>
      </w:pPr>
    </w:p>
    <w:p w:rsidR="00FB3AED" w:rsidRDefault="00FB3AED" w:rsidP="00FB3AED">
      <w:pPr>
        <w:ind w:left="360" w:hanging="180"/>
      </w:pPr>
    </w:p>
    <w:p w:rsidR="00FB3AED" w:rsidRDefault="00FB3AED" w:rsidP="00FB3AED">
      <w:pPr>
        <w:ind w:left="360" w:hanging="180"/>
      </w:pPr>
    </w:p>
    <w:p w:rsidR="00FB3AED" w:rsidRDefault="00FB3AED" w:rsidP="00FB3AED">
      <w:pPr>
        <w:ind w:left="360" w:hanging="180"/>
      </w:pPr>
    </w:p>
    <w:p w:rsidR="00BB026A" w:rsidRDefault="00BB026A" w:rsidP="00FB3AED">
      <w:pPr>
        <w:ind w:left="360" w:hanging="180"/>
      </w:pPr>
    </w:p>
    <w:p w:rsidR="00BB026A" w:rsidRDefault="00BB026A" w:rsidP="00FB3AED">
      <w:pPr>
        <w:ind w:left="360" w:hanging="180"/>
      </w:pPr>
    </w:p>
    <w:p w:rsidR="00FB3AED" w:rsidRDefault="00FB3AED" w:rsidP="00FB3AED">
      <w:pPr>
        <w:ind w:left="360" w:hanging="180"/>
      </w:pPr>
    </w:p>
    <w:p w:rsidR="00F25DC9" w:rsidRDefault="00F25DC9" w:rsidP="00FB3AED">
      <w:pPr>
        <w:ind w:left="360" w:hanging="180"/>
      </w:pPr>
    </w:p>
    <w:p w:rsidR="00F25DC9" w:rsidRDefault="00F25DC9" w:rsidP="00FB3AED">
      <w:pPr>
        <w:ind w:left="360" w:hanging="180"/>
      </w:pPr>
    </w:p>
    <w:p w:rsidR="00F25DC9" w:rsidRDefault="00F25DC9" w:rsidP="00FB3AED">
      <w:pPr>
        <w:ind w:left="360" w:hanging="180"/>
      </w:pPr>
    </w:p>
    <w:p w:rsidR="00F25DC9" w:rsidRPr="00E722EC" w:rsidRDefault="00F25DC9" w:rsidP="00FB3AED">
      <w:pPr>
        <w:ind w:left="360" w:hanging="180"/>
      </w:pPr>
    </w:p>
    <w:p w:rsidR="00024567" w:rsidRDefault="00024567" w:rsidP="009F40E1">
      <w:pPr>
        <w:spacing w:line="360" w:lineRule="auto"/>
        <w:ind w:left="270"/>
        <w:rPr>
          <w:b/>
        </w:rPr>
      </w:pPr>
    </w:p>
    <w:p w:rsidR="009F40E1" w:rsidRDefault="009F40E1" w:rsidP="009F40E1">
      <w:pPr>
        <w:spacing w:line="360" w:lineRule="auto"/>
        <w:ind w:left="270"/>
        <w:rPr>
          <w:b/>
        </w:rPr>
      </w:pPr>
      <w:r w:rsidRPr="006712F9">
        <w:rPr>
          <w:b/>
        </w:rPr>
        <w:t>3.</w:t>
      </w:r>
      <w:r w:rsidRPr="006712F9">
        <w:rPr>
          <w:b/>
        </w:rPr>
        <w:tab/>
      </w:r>
      <w:r w:rsidRPr="00245111">
        <w:rPr>
          <w:b/>
        </w:rPr>
        <w:t>Methods to Maximize Response Rates and Deal with Nonresponse</w:t>
      </w:r>
    </w:p>
    <w:p w:rsidR="009F40E1" w:rsidRDefault="009F40E1" w:rsidP="009F40E1">
      <w:pPr>
        <w:spacing w:line="360" w:lineRule="auto"/>
        <w:ind w:left="270"/>
      </w:pPr>
    </w:p>
    <w:p w:rsidR="009F40E1" w:rsidRDefault="009F40E1" w:rsidP="009F40E1">
      <w:pPr>
        <w:spacing w:line="360" w:lineRule="auto"/>
        <w:ind w:left="274" w:firstLine="446"/>
      </w:pPr>
      <w:r>
        <w:t xml:space="preserve">This project is being conducted through the EIP infrastructure in which each of the participating sites has established relationships with laboratories and healthcare facilities within their defined catchment areas. Personnel at these sites have regular contact with the facilities and encourage all facilities and laboratories to participate. </w:t>
      </w:r>
      <w:r w:rsidRPr="00B21F90">
        <w:t>Audits of the clinical laboratories in the surveillance area will be performed 1-2 times per year by local EIP personnel to ensure complete ascertainment</w:t>
      </w:r>
      <w:r>
        <w:t xml:space="preserve"> of cases</w:t>
      </w:r>
      <w:r w:rsidRPr="00B21F90">
        <w:t xml:space="preserve">.  HIPAA regulation allows for the disclosure and use of protected health information for research purposes without individual authorization </w:t>
      </w:r>
      <w:r>
        <w:t>because criteria for a waiver were met</w:t>
      </w:r>
      <w:r w:rsidRPr="00B21F90">
        <w:t>.  CDC personnel will not perform these audits. Completeness and correctness of data collected should be assessed and cross-checked regularly to identify and address issues with the data collection or the application</w:t>
      </w:r>
      <w:r>
        <w:t xml:space="preserve"> of surveillance definitions to ensure response. </w:t>
      </w:r>
      <w:r w:rsidRPr="00B21F90">
        <w:t>CDC staff will perform site visits to the EIP</w:t>
      </w:r>
      <w:r>
        <w:t xml:space="preserve"> ABCs MRSA participating </w:t>
      </w:r>
      <w:r w:rsidRPr="00B21F90">
        <w:t xml:space="preserve">sites on a yearly basis to evaluate compliance with standard operational procedures. </w:t>
      </w:r>
    </w:p>
    <w:p w:rsidR="00FB3AED" w:rsidRDefault="00FB3AED" w:rsidP="00AC2509">
      <w:pPr>
        <w:spacing w:line="360" w:lineRule="auto"/>
        <w:ind w:left="274" w:hanging="4"/>
        <w:jc w:val="both"/>
      </w:pPr>
    </w:p>
    <w:p w:rsidR="00FB3AED" w:rsidRDefault="00FB3AED" w:rsidP="00AC2509">
      <w:pPr>
        <w:spacing w:line="360" w:lineRule="auto"/>
        <w:ind w:left="274" w:firstLine="446"/>
        <w:jc w:val="both"/>
      </w:pPr>
      <w:r>
        <w:t xml:space="preserve">Each participating site will track response rates among eligible case- and control-patients. Basic demographic information such as age, gender and race will be recorded for all eligible subjects and used </w:t>
      </w:r>
      <w:r w:rsidR="00581D4B">
        <w:t xml:space="preserve">later </w:t>
      </w:r>
      <w:r>
        <w:t xml:space="preserve">to compare characteristics </w:t>
      </w:r>
      <w:r w:rsidR="005B1F66">
        <w:t>between</w:t>
      </w:r>
      <w:r>
        <w:t xml:space="preserve"> respondents </w:t>
      </w:r>
      <w:r w:rsidR="005B1F66">
        <w:t>and</w:t>
      </w:r>
      <w:r>
        <w:t xml:space="preserve"> non-respondents in order to </w:t>
      </w:r>
      <w:r w:rsidR="005B1F66">
        <w:t xml:space="preserve">test for any potential </w:t>
      </w:r>
      <w:r>
        <w:t xml:space="preserve">response bias.  </w:t>
      </w:r>
    </w:p>
    <w:p w:rsidR="009F40E1" w:rsidRDefault="009F40E1" w:rsidP="009F40E1">
      <w:pPr>
        <w:spacing w:line="360" w:lineRule="auto"/>
        <w:ind w:left="270" w:firstLine="450"/>
      </w:pPr>
    </w:p>
    <w:p w:rsidR="009F40E1" w:rsidRPr="00685E64" w:rsidRDefault="009F40E1" w:rsidP="009F40E1">
      <w:pPr>
        <w:pStyle w:val="ListParagraph"/>
        <w:numPr>
          <w:ilvl w:val="0"/>
          <w:numId w:val="7"/>
        </w:numPr>
        <w:spacing w:line="360" w:lineRule="auto"/>
        <w:rPr>
          <w:b/>
        </w:rPr>
      </w:pPr>
      <w:r w:rsidRPr="00685E64">
        <w:rPr>
          <w:b/>
        </w:rPr>
        <w:t>Tests of Procedures or Methods to be Undertaken</w:t>
      </w:r>
    </w:p>
    <w:p w:rsidR="009F40E1" w:rsidRDefault="009F40E1" w:rsidP="009F40E1">
      <w:pPr>
        <w:spacing w:line="360" w:lineRule="auto"/>
        <w:ind w:left="270" w:firstLine="720"/>
      </w:pPr>
      <w:r w:rsidRPr="00D95535">
        <w:t xml:space="preserve">To </w:t>
      </w:r>
      <w:r>
        <w:t>assess study feasibility</w:t>
      </w:r>
      <w:r w:rsidRPr="00D95535">
        <w:t xml:space="preserve"> and</w:t>
      </w:r>
      <w:r>
        <w:t xml:space="preserve"> resources required for this prospective multi-site study. </w:t>
      </w:r>
      <w:r w:rsidRPr="00E722EC">
        <w:t xml:space="preserve">A pilot retrospective evaluation at one </w:t>
      </w:r>
      <w:r>
        <w:t xml:space="preserve">EIP </w:t>
      </w:r>
      <w:r w:rsidRPr="00E722EC">
        <w:t>ABCs MRSA site (Rochester, NY)</w:t>
      </w:r>
      <w:r>
        <w:t>,</w:t>
      </w:r>
      <w:r w:rsidRPr="00E722EC">
        <w:t xml:space="preserve"> </w:t>
      </w:r>
      <w:r>
        <w:t xml:space="preserve">that did not include interview of participants, </w:t>
      </w:r>
      <w:r w:rsidRPr="00E722EC">
        <w:t>was performed in September 2009</w:t>
      </w:r>
      <w:r>
        <w:t>.</w:t>
      </w:r>
      <w:r w:rsidRPr="00E722EC">
        <w:t xml:space="preserve"> Preliminary findings suggest</w:t>
      </w:r>
      <w:r>
        <w:t>ed</w:t>
      </w:r>
      <w:r w:rsidRPr="00E722EC">
        <w:t xml:space="preserve"> that patients discharged with chronic wounds or central venous catheters (CVC), as well as those with history of MRSA infection or colonization or hemodialysis are at increased risk of developing post-discharge MRSA infections.</w:t>
      </w:r>
      <w:r>
        <w:rPr>
          <w:vertAlign w:val="superscript"/>
        </w:rPr>
        <w:t>7</w:t>
      </w:r>
      <w:r w:rsidRPr="00E722EC">
        <w:t xml:space="preserve">  </w:t>
      </w:r>
    </w:p>
    <w:p w:rsidR="00F25DC9" w:rsidRDefault="00F25DC9" w:rsidP="009F40E1">
      <w:pPr>
        <w:spacing w:line="360" w:lineRule="auto"/>
        <w:ind w:left="270" w:firstLine="720"/>
      </w:pPr>
    </w:p>
    <w:p w:rsidR="009F40E1" w:rsidRDefault="009F40E1" w:rsidP="009F40E1">
      <w:pPr>
        <w:spacing w:line="360" w:lineRule="auto"/>
        <w:ind w:left="270" w:firstLine="450"/>
      </w:pPr>
    </w:p>
    <w:p w:rsidR="009F40E1" w:rsidRDefault="009F40E1" w:rsidP="009F40E1">
      <w:pPr>
        <w:spacing w:line="360" w:lineRule="auto"/>
        <w:ind w:left="270"/>
        <w:rPr>
          <w:b/>
        </w:rPr>
      </w:pPr>
      <w:r w:rsidRPr="006712F9">
        <w:rPr>
          <w:b/>
        </w:rPr>
        <w:lastRenderedPageBreak/>
        <w:t>5.</w:t>
      </w:r>
      <w:r w:rsidRPr="006712F9">
        <w:rPr>
          <w:b/>
        </w:rPr>
        <w:tab/>
        <w:t>Individuals Consulted on Statistical Aspects and Individuals Collecting and/or Analyzing Data</w:t>
      </w:r>
    </w:p>
    <w:p w:rsidR="009F40E1" w:rsidRDefault="009F40E1" w:rsidP="009F40E1">
      <w:pPr>
        <w:spacing w:line="360" w:lineRule="auto"/>
      </w:pPr>
      <w:r>
        <w:tab/>
        <w:t>C</w:t>
      </w:r>
      <w:r w:rsidRPr="00B1121E">
        <w:t>ontact information for the stat</w:t>
      </w:r>
      <w:r>
        <w:t>istician consulted for project design and data analysis is as follows:</w:t>
      </w:r>
    </w:p>
    <w:p w:rsidR="009F40E1" w:rsidRDefault="009F40E1" w:rsidP="009F40E1">
      <w:pPr>
        <w:spacing w:line="360" w:lineRule="auto"/>
        <w:ind w:left="1440"/>
        <w:outlineLvl w:val="0"/>
      </w:pPr>
      <w:r>
        <w:t xml:space="preserve">David Kleinbaum, PhD </w:t>
      </w:r>
    </w:p>
    <w:p w:rsidR="009F40E1" w:rsidRDefault="009F40E1" w:rsidP="009F40E1">
      <w:pPr>
        <w:spacing w:line="360" w:lineRule="auto"/>
        <w:ind w:left="1440"/>
        <w:outlineLvl w:val="0"/>
      </w:pPr>
      <w:r>
        <w:t>Statistician</w:t>
      </w:r>
    </w:p>
    <w:p w:rsidR="009F40E1" w:rsidRDefault="009F40E1" w:rsidP="009F40E1">
      <w:pPr>
        <w:spacing w:line="360" w:lineRule="auto"/>
        <w:ind w:left="1440"/>
      </w:pPr>
      <w:r>
        <w:t>Surveillance Branch, Division of Healthcare Quality Promotion</w:t>
      </w:r>
    </w:p>
    <w:p w:rsidR="009F40E1" w:rsidRDefault="009F40E1" w:rsidP="009F40E1">
      <w:pPr>
        <w:spacing w:line="360" w:lineRule="auto"/>
        <w:ind w:left="1440"/>
      </w:pPr>
      <w:r>
        <w:t>Centers for Disease Control and Prevention</w:t>
      </w:r>
    </w:p>
    <w:p w:rsidR="009F40E1" w:rsidRDefault="009F40E1" w:rsidP="009F40E1">
      <w:pPr>
        <w:spacing w:line="360" w:lineRule="auto"/>
        <w:ind w:left="1440"/>
      </w:pPr>
      <w:smartTag w:uri="urn:schemas-microsoft-com:office:smarttags" w:element="place">
        <w:smartTag w:uri="urn:schemas-microsoft-com:office:smarttags" w:element="City">
          <w:r>
            <w:t>1600</w:t>
          </w:r>
        </w:smartTag>
        <w:r>
          <w:t xml:space="preserve"> Clifton Rd, </w:t>
        </w:r>
        <w:smartTag w:uri="urn:schemas-microsoft-com:office:smarttags" w:element="State">
          <w:r>
            <w:t>NE</w:t>
          </w:r>
        </w:smartTag>
      </w:smartTag>
    </w:p>
    <w:p w:rsidR="009F40E1" w:rsidRDefault="009F40E1" w:rsidP="009F40E1">
      <w:pPr>
        <w:spacing w:line="360" w:lineRule="auto"/>
        <w:ind w:left="1440"/>
      </w:pPr>
      <w:smartTag w:uri="urn:schemas-microsoft-com:office:smarttags" w:element="place">
        <w:smartTag w:uri="urn:schemas-microsoft-com:office:smarttags" w:element="City">
          <w:r>
            <w:t>Atlanta</w:t>
          </w:r>
        </w:smartTag>
        <w:r>
          <w:t xml:space="preserve">, </w:t>
        </w:r>
        <w:smartTag w:uri="urn:schemas-microsoft-com:office:smarttags" w:element="State">
          <w:r>
            <w:t>GA</w:t>
          </w:r>
        </w:smartTag>
        <w:r>
          <w:t xml:space="preserve"> </w:t>
        </w:r>
        <w:smartTag w:uri="urn:schemas-microsoft-com:office:smarttags" w:element="PostalCode">
          <w:r>
            <w:t>30333</w:t>
          </w:r>
        </w:smartTag>
      </w:smartTag>
    </w:p>
    <w:p w:rsidR="009F40E1" w:rsidRPr="00685E64" w:rsidRDefault="009F40E1" w:rsidP="009F40E1">
      <w:pPr>
        <w:spacing w:line="360" w:lineRule="auto"/>
        <w:ind w:left="1440"/>
        <w:rPr>
          <w:rStyle w:val="baec5a81-e4d6-4674-97f3-e9220f0136c1"/>
        </w:rPr>
      </w:pPr>
      <w:r>
        <w:rPr>
          <w:rStyle w:val="baec5a81-e4d6-4674-97f3-e9220f0136c1"/>
        </w:rPr>
        <w:t xml:space="preserve">(404) </w:t>
      </w:r>
      <w:r w:rsidRPr="00685E64">
        <w:rPr>
          <w:rStyle w:val="baec5a81-e4d6-4674-97f3-e9220f0136c1"/>
        </w:rPr>
        <w:t>639-8096</w:t>
      </w:r>
    </w:p>
    <w:p w:rsidR="009F40E1" w:rsidRDefault="009F40E1" w:rsidP="009F40E1">
      <w:pPr>
        <w:spacing w:line="360" w:lineRule="auto"/>
        <w:ind w:left="1440"/>
      </w:pPr>
      <w:r>
        <w:t xml:space="preserve">Email: </w:t>
      </w:r>
      <w:hyperlink r:id="rId10" w:history="1">
        <w:r w:rsidRPr="00F01050">
          <w:rPr>
            <w:rStyle w:val="Hyperlink"/>
          </w:rPr>
          <w:t>dgk0@cdc.gov</w:t>
        </w:r>
      </w:hyperlink>
    </w:p>
    <w:p w:rsidR="009F40E1" w:rsidRDefault="009F40E1" w:rsidP="009F40E1">
      <w:pPr>
        <w:spacing w:line="360" w:lineRule="auto"/>
        <w:ind w:left="1440"/>
      </w:pPr>
    </w:p>
    <w:p w:rsidR="00FB3AED" w:rsidRDefault="009F40E1" w:rsidP="00AC2509">
      <w:pPr>
        <w:spacing w:line="360" w:lineRule="auto"/>
        <w:ind w:left="270" w:firstLine="450"/>
      </w:pPr>
      <w:r>
        <w:t>Data will be collected by EIP ABCs MRSA personnel, as described previously. Identification of the specific EIP ABCs MRSA surveillance officers who will participate in training and data collection activities is at the discretion of the participating EIP ABCs MRSA sites.</w:t>
      </w:r>
    </w:p>
    <w:sectPr w:rsidR="00FB3AE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2DA" w:rsidRDefault="004162DA" w:rsidP="00467270">
      <w:r>
        <w:separator/>
      </w:r>
    </w:p>
  </w:endnote>
  <w:endnote w:type="continuationSeparator" w:id="0">
    <w:p w:rsidR="004162DA" w:rsidRDefault="004162DA" w:rsidP="0046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39002"/>
      <w:docPartObj>
        <w:docPartGallery w:val="Page Numbers (Bottom of Page)"/>
        <w:docPartUnique/>
      </w:docPartObj>
    </w:sdtPr>
    <w:sdtEndPr>
      <w:rPr>
        <w:noProof/>
      </w:rPr>
    </w:sdtEndPr>
    <w:sdtContent>
      <w:p w:rsidR="00BB4404" w:rsidRDefault="00BB4404">
        <w:pPr>
          <w:pStyle w:val="Footer"/>
          <w:jc w:val="right"/>
        </w:pPr>
        <w:r>
          <w:fldChar w:fldCharType="begin"/>
        </w:r>
        <w:r>
          <w:instrText xml:space="preserve"> PAGE   \* MERGEFORMAT </w:instrText>
        </w:r>
        <w:r>
          <w:fldChar w:fldCharType="separate"/>
        </w:r>
        <w:r w:rsidR="00280627">
          <w:rPr>
            <w:noProof/>
          </w:rPr>
          <w:t>1</w:t>
        </w:r>
        <w:r>
          <w:rPr>
            <w:noProof/>
          </w:rPr>
          <w:fldChar w:fldCharType="end"/>
        </w:r>
      </w:p>
    </w:sdtContent>
  </w:sdt>
  <w:p w:rsidR="00BB4404" w:rsidRDefault="00BB44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2DA" w:rsidRDefault="004162DA" w:rsidP="00467270">
      <w:r>
        <w:separator/>
      </w:r>
    </w:p>
  </w:footnote>
  <w:footnote w:type="continuationSeparator" w:id="0">
    <w:p w:rsidR="004162DA" w:rsidRDefault="004162DA" w:rsidP="004672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2DDB"/>
    <w:multiLevelType w:val="hybridMultilevel"/>
    <w:tmpl w:val="B65A4C20"/>
    <w:lvl w:ilvl="0" w:tplc="7570BD5A">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9786E47"/>
    <w:multiLevelType w:val="hybridMultilevel"/>
    <w:tmpl w:val="D95C529C"/>
    <w:lvl w:ilvl="0" w:tplc="C30650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43951"/>
    <w:multiLevelType w:val="hybridMultilevel"/>
    <w:tmpl w:val="3C2CF3C8"/>
    <w:lvl w:ilvl="0" w:tplc="5914D23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7773365"/>
    <w:multiLevelType w:val="hybridMultilevel"/>
    <w:tmpl w:val="ECE6B3CE"/>
    <w:lvl w:ilvl="0" w:tplc="84C4E3E8">
      <w:start w:val="1"/>
      <w:numFmt w:val="decimal"/>
      <w:lvlText w:val="%1)"/>
      <w:lvlJc w:val="left"/>
      <w:pPr>
        <w:ind w:left="1350" w:hanging="360"/>
      </w:pPr>
      <w:rPr>
        <w:rFonts w:hint="default"/>
        <w:sz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3664674C"/>
    <w:multiLevelType w:val="hybridMultilevel"/>
    <w:tmpl w:val="8F3A4972"/>
    <w:lvl w:ilvl="0" w:tplc="78FCD57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76881783"/>
    <w:multiLevelType w:val="hybridMultilevel"/>
    <w:tmpl w:val="FEF2283A"/>
    <w:lvl w:ilvl="0" w:tplc="E7C4080C">
      <w:start w:val="1"/>
      <w:numFmt w:val="decimal"/>
      <w:lvlText w:val="%1)"/>
      <w:lvlJc w:val="left"/>
      <w:pPr>
        <w:ind w:left="990" w:hanging="360"/>
      </w:pPr>
      <w:rPr>
        <w:rFonts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7BB63FE1"/>
    <w:multiLevelType w:val="hybridMultilevel"/>
    <w:tmpl w:val="CE72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0E1"/>
    <w:rsid w:val="000161D5"/>
    <w:rsid w:val="00024567"/>
    <w:rsid w:val="000574F7"/>
    <w:rsid w:val="000747EB"/>
    <w:rsid w:val="000C35FD"/>
    <w:rsid w:val="000F1A71"/>
    <w:rsid w:val="00121728"/>
    <w:rsid w:val="0013446D"/>
    <w:rsid w:val="00173B9B"/>
    <w:rsid w:val="00280627"/>
    <w:rsid w:val="004162DA"/>
    <w:rsid w:val="00435AB0"/>
    <w:rsid w:val="00467270"/>
    <w:rsid w:val="00472722"/>
    <w:rsid w:val="004A5334"/>
    <w:rsid w:val="00581D4B"/>
    <w:rsid w:val="00593E7A"/>
    <w:rsid w:val="005B1F66"/>
    <w:rsid w:val="006B4838"/>
    <w:rsid w:val="006E78A1"/>
    <w:rsid w:val="007601FF"/>
    <w:rsid w:val="00772F55"/>
    <w:rsid w:val="00781F97"/>
    <w:rsid w:val="007E799D"/>
    <w:rsid w:val="008C51F6"/>
    <w:rsid w:val="009F40E1"/>
    <w:rsid w:val="00A71BE9"/>
    <w:rsid w:val="00AC2509"/>
    <w:rsid w:val="00B06620"/>
    <w:rsid w:val="00BB026A"/>
    <w:rsid w:val="00BB4404"/>
    <w:rsid w:val="00BF3E90"/>
    <w:rsid w:val="00CA0EB2"/>
    <w:rsid w:val="00D31523"/>
    <w:rsid w:val="00DA1AEA"/>
    <w:rsid w:val="00DF45E4"/>
    <w:rsid w:val="00E05D2E"/>
    <w:rsid w:val="00EA0BAB"/>
    <w:rsid w:val="00EA2156"/>
    <w:rsid w:val="00EE6D19"/>
    <w:rsid w:val="00F01153"/>
    <w:rsid w:val="00F25DC9"/>
    <w:rsid w:val="00F71404"/>
    <w:rsid w:val="00FA69CE"/>
    <w:rsid w:val="00FB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0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40E1"/>
    <w:rPr>
      <w:color w:val="0000FF"/>
      <w:u w:val="single"/>
    </w:rPr>
  </w:style>
  <w:style w:type="paragraph" w:styleId="ListParagraph">
    <w:name w:val="List Paragraph"/>
    <w:basedOn w:val="Normal"/>
    <w:uiPriority w:val="34"/>
    <w:qFormat/>
    <w:rsid w:val="009F40E1"/>
    <w:pPr>
      <w:ind w:left="720"/>
      <w:contextualSpacing/>
    </w:pPr>
  </w:style>
  <w:style w:type="character" w:customStyle="1" w:styleId="baec5a81-e4d6-4674-97f3-e9220f0136c1">
    <w:name w:val="baec5a81-e4d6-4674-97f3-e9220f0136c1"/>
    <w:basedOn w:val="DefaultParagraphFont"/>
    <w:rsid w:val="009F40E1"/>
  </w:style>
  <w:style w:type="paragraph" w:styleId="Header">
    <w:name w:val="header"/>
    <w:basedOn w:val="Normal"/>
    <w:link w:val="HeaderChar"/>
    <w:uiPriority w:val="99"/>
    <w:unhideWhenUsed/>
    <w:rsid w:val="00467270"/>
    <w:pPr>
      <w:tabs>
        <w:tab w:val="center" w:pos="4680"/>
        <w:tab w:val="right" w:pos="9360"/>
      </w:tabs>
    </w:pPr>
  </w:style>
  <w:style w:type="character" w:customStyle="1" w:styleId="HeaderChar">
    <w:name w:val="Header Char"/>
    <w:basedOn w:val="DefaultParagraphFont"/>
    <w:link w:val="Header"/>
    <w:uiPriority w:val="99"/>
    <w:rsid w:val="004672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7270"/>
    <w:pPr>
      <w:tabs>
        <w:tab w:val="center" w:pos="4680"/>
        <w:tab w:val="right" w:pos="9360"/>
      </w:tabs>
    </w:pPr>
  </w:style>
  <w:style w:type="character" w:customStyle="1" w:styleId="FooterChar">
    <w:name w:val="Footer Char"/>
    <w:basedOn w:val="DefaultParagraphFont"/>
    <w:link w:val="Footer"/>
    <w:uiPriority w:val="99"/>
    <w:rsid w:val="0046727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3AED"/>
    <w:rPr>
      <w:rFonts w:ascii="Tahoma" w:hAnsi="Tahoma" w:cs="Tahoma"/>
      <w:sz w:val="16"/>
      <w:szCs w:val="16"/>
    </w:rPr>
  </w:style>
  <w:style w:type="character" w:customStyle="1" w:styleId="BalloonTextChar">
    <w:name w:val="Balloon Text Char"/>
    <w:basedOn w:val="DefaultParagraphFont"/>
    <w:link w:val="BalloonText"/>
    <w:uiPriority w:val="99"/>
    <w:semiHidden/>
    <w:rsid w:val="00FB3AE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B4838"/>
    <w:rPr>
      <w:sz w:val="16"/>
      <w:szCs w:val="16"/>
    </w:rPr>
  </w:style>
  <w:style w:type="paragraph" w:styleId="CommentText">
    <w:name w:val="annotation text"/>
    <w:basedOn w:val="Normal"/>
    <w:link w:val="CommentTextChar"/>
    <w:uiPriority w:val="99"/>
    <w:semiHidden/>
    <w:unhideWhenUsed/>
    <w:rsid w:val="006B4838"/>
    <w:rPr>
      <w:sz w:val="20"/>
      <w:szCs w:val="20"/>
    </w:rPr>
  </w:style>
  <w:style w:type="character" w:customStyle="1" w:styleId="CommentTextChar">
    <w:name w:val="Comment Text Char"/>
    <w:basedOn w:val="DefaultParagraphFont"/>
    <w:link w:val="CommentText"/>
    <w:uiPriority w:val="99"/>
    <w:semiHidden/>
    <w:rsid w:val="006B48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4838"/>
    <w:rPr>
      <w:b/>
      <w:bCs/>
    </w:rPr>
  </w:style>
  <w:style w:type="character" w:customStyle="1" w:styleId="CommentSubjectChar">
    <w:name w:val="Comment Subject Char"/>
    <w:basedOn w:val="CommentTextChar"/>
    <w:link w:val="CommentSubject"/>
    <w:uiPriority w:val="99"/>
    <w:semiHidden/>
    <w:rsid w:val="006B483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0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40E1"/>
    <w:rPr>
      <w:color w:val="0000FF"/>
      <w:u w:val="single"/>
    </w:rPr>
  </w:style>
  <w:style w:type="paragraph" w:styleId="ListParagraph">
    <w:name w:val="List Paragraph"/>
    <w:basedOn w:val="Normal"/>
    <w:uiPriority w:val="34"/>
    <w:qFormat/>
    <w:rsid w:val="009F40E1"/>
    <w:pPr>
      <w:ind w:left="720"/>
      <w:contextualSpacing/>
    </w:pPr>
  </w:style>
  <w:style w:type="character" w:customStyle="1" w:styleId="baec5a81-e4d6-4674-97f3-e9220f0136c1">
    <w:name w:val="baec5a81-e4d6-4674-97f3-e9220f0136c1"/>
    <w:basedOn w:val="DefaultParagraphFont"/>
    <w:rsid w:val="009F40E1"/>
  </w:style>
  <w:style w:type="paragraph" w:styleId="Header">
    <w:name w:val="header"/>
    <w:basedOn w:val="Normal"/>
    <w:link w:val="HeaderChar"/>
    <w:uiPriority w:val="99"/>
    <w:unhideWhenUsed/>
    <w:rsid w:val="00467270"/>
    <w:pPr>
      <w:tabs>
        <w:tab w:val="center" w:pos="4680"/>
        <w:tab w:val="right" w:pos="9360"/>
      </w:tabs>
    </w:pPr>
  </w:style>
  <w:style w:type="character" w:customStyle="1" w:styleId="HeaderChar">
    <w:name w:val="Header Char"/>
    <w:basedOn w:val="DefaultParagraphFont"/>
    <w:link w:val="Header"/>
    <w:uiPriority w:val="99"/>
    <w:rsid w:val="004672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7270"/>
    <w:pPr>
      <w:tabs>
        <w:tab w:val="center" w:pos="4680"/>
        <w:tab w:val="right" w:pos="9360"/>
      </w:tabs>
    </w:pPr>
  </w:style>
  <w:style w:type="character" w:customStyle="1" w:styleId="FooterChar">
    <w:name w:val="Footer Char"/>
    <w:basedOn w:val="DefaultParagraphFont"/>
    <w:link w:val="Footer"/>
    <w:uiPriority w:val="99"/>
    <w:rsid w:val="0046727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3AED"/>
    <w:rPr>
      <w:rFonts w:ascii="Tahoma" w:hAnsi="Tahoma" w:cs="Tahoma"/>
      <w:sz w:val="16"/>
      <w:szCs w:val="16"/>
    </w:rPr>
  </w:style>
  <w:style w:type="character" w:customStyle="1" w:styleId="BalloonTextChar">
    <w:name w:val="Balloon Text Char"/>
    <w:basedOn w:val="DefaultParagraphFont"/>
    <w:link w:val="BalloonText"/>
    <w:uiPriority w:val="99"/>
    <w:semiHidden/>
    <w:rsid w:val="00FB3AE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B4838"/>
    <w:rPr>
      <w:sz w:val="16"/>
      <w:szCs w:val="16"/>
    </w:rPr>
  </w:style>
  <w:style w:type="paragraph" w:styleId="CommentText">
    <w:name w:val="annotation text"/>
    <w:basedOn w:val="Normal"/>
    <w:link w:val="CommentTextChar"/>
    <w:uiPriority w:val="99"/>
    <w:semiHidden/>
    <w:unhideWhenUsed/>
    <w:rsid w:val="006B4838"/>
    <w:rPr>
      <w:sz w:val="20"/>
      <w:szCs w:val="20"/>
    </w:rPr>
  </w:style>
  <w:style w:type="character" w:customStyle="1" w:styleId="CommentTextChar">
    <w:name w:val="Comment Text Char"/>
    <w:basedOn w:val="DefaultParagraphFont"/>
    <w:link w:val="CommentText"/>
    <w:uiPriority w:val="99"/>
    <w:semiHidden/>
    <w:rsid w:val="006B48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4838"/>
    <w:rPr>
      <w:b/>
      <w:bCs/>
    </w:rPr>
  </w:style>
  <w:style w:type="character" w:customStyle="1" w:styleId="CommentSubjectChar">
    <w:name w:val="Comment Subject Char"/>
    <w:basedOn w:val="CommentTextChar"/>
    <w:link w:val="CommentSubject"/>
    <w:uiPriority w:val="99"/>
    <w:semiHidden/>
    <w:rsid w:val="006B483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gk0@cdc.gov" TargetMode="External"/><Relationship Id="rId4" Type="http://schemas.microsoft.com/office/2007/relationships/stylesWithEffects" Target="stylesWithEffects.xml"/><Relationship Id="rId9" Type="http://schemas.openxmlformats.org/officeDocument/2006/relationships/hyperlink" Target="mailto:auh1@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78D7F-5CAE-4B80-852B-E20BBB4A1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2121</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C Lessa</dc:creator>
  <cp:lastModifiedBy>Fernanda</cp:lastModifiedBy>
  <cp:revision>5</cp:revision>
  <cp:lastPrinted>2013-01-15T15:03:00Z</cp:lastPrinted>
  <dcterms:created xsi:type="dcterms:W3CDTF">2013-02-05T21:37:00Z</dcterms:created>
  <dcterms:modified xsi:type="dcterms:W3CDTF">2013-02-05T21:52:00Z</dcterms:modified>
</cp:coreProperties>
</file>