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25" w:rsidRPr="000A0225" w:rsidRDefault="001E2CF1" w:rsidP="000A0225">
      <w:pPr>
        <w:pStyle w:val="CoverTextRed16pt"/>
        <w:ind w:left="6300"/>
        <w:rPr>
          <w:noProof/>
          <w:color w:val="DA291C" w:themeColor="accent1"/>
        </w:rPr>
      </w:pPr>
      <w:bookmarkStart w:id="0" w:name="_GoBack"/>
      <w:bookmarkEnd w:id="0"/>
      <w:r>
        <w:rPr>
          <w:noProof/>
        </w:rPr>
        <w:drawing>
          <wp:anchor distT="0" distB="0" distL="114300" distR="114300" simplePos="0" relativeHeight="251664384" behindDoc="0" locked="0" layoutInCell="1" allowOverlap="1" wp14:anchorId="5CB8E30C" wp14:editId="3BEB38D9">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225" w:rsidRPr="000A0225">
        <w:t xml:space="preserve"> </w:t>
      </w:r>
      <w:r w:rsidR="000A0225" w:rsidRPr="000A0225">
        <w:rPr>
          <w:noProof/>
          <w:color w:val="DA291C" w:themeColor="accent1"/>
        </w:rPr>
        <w:t>Arrestee Drug Abuse Monitoring (</w:t>
      </w:r>
      <w:r w:rsidR="003572EB">
        <w:rPr>
          <w:noProof/>
          <w:color w:val="DA291C" w:themeColor="accent1"/>
        </w:rPr>
        <w:t>ADAM II</w:t>
      </w:r>
      <w:r w:rsidR="000A0225" w:rsidRPr="000A0225">
        <w:rPr>
          <w:noProof/>
          <w:color w:val="DA291C" w:themeColor="accent1"/>
        </w:rPr>
        <w:t>)</w:t>
      </w:r>
    </w:p>
    <w:p w:rsidR="000A0225" w:rsidRPr="000A0225" w:rsidRDefault="000A0225" w:rsidP="000A0225">
      <w:pPr>
        <w:pStyle w:val="CoverTextRed16pt"/>
        <w:ind w:left="6300"/>
        <w:rPr>
          <w:noProof/>
          <w:color w:val="DA291C" w:themeColor="accent1"/>
        </w:rPr>
      </w:pPr>
    </w:p>
    <w:p w:rsidR="000A0225" w:rsidRPr="000A0225" w:rsidRDefault="000A0225" w:rsidP="000A0225">
      <w:pPr>
        <w:pStyle w:val="CoverTextRed16pt"/>
        <w:ind w:left="6300"/>
        <w:rPr>
          <w:noProof/>
          <w:color w:val="DA291C" w:themeColor="accent1"/>
        </w:rPr>
      </w:pPr>
    </w:p>
    <w:p w:rsidR="001E2CF1" w:rsidRPr="000A0225" w:rsidRDefault="000A0225" w:rsidP="000A0225">
      <w:pPr>
        <w:pStyle w:val="CoverTextRed16pt"/>
        <w:ind w:left="6300"/>
        <w:rPr>
          <w:noProof/>
          <w:color w:val="DA291C" w:themeColor="accent1"/>
        </w:rPr>
      </w:pPr>
      <w:r w:rsidRPr="000A0225">
        <w:rPr>
          <w:noProof/>
          <w:color w:val="DA291C" w:themeColor="accent1"/>
        </w:rPr>
        <w:t>Request for</w:t>
      </w:r>
      <w:r>
        <w:rPr>
          <w:noProof/>
          <w:color w:val="DA291C" w:themeColor="accent1"/>
        </w:rPr>
        <w:br/>
      </w:r>
      <w:r w:rsidRPr="000A0225">
        <w:rPr>
          <w:noProof/>
          <w:color w:val="DA291C" w:themeColor="accent1"/>
        </w:rPr>
        <w:t>OMB Review</w:t>
      </w:r>
    </w:p>
    <w:p w:rsidR="000A0225" w:rsidRPr="000A0225" w:rsidRDefault="000A0225" w:rsidP="000A0225">
      <w:pPr>
        <w:pStyle w:val="CoverTextRed16pt"/>
        <w:ind w:left="6300"/>
        <w:rPr>
          <w:noProof/>
          <w:color w:val="DA291C" w:themeColor="accent1"/>
        </w:rPr>
      </w:pPr>
    </w:p>
    <w:p w:rsidR="000A0225" w:rsidRPr="000A0225" w:rsidRDefault="000A0225" w:rsidP="000A0225">
      <w:pPr>
        <w:pStyle w:val="CoverTextRed16pt"/>
        <w:ind w:left="6300"/>
        <w:rPr>
          <w:noProof/>
          <w:color w:val="DA291C" w:themeColor="accent1"/>
        </w:rPr>
      </w:pPr>
      <w:r w:rsidRPr="000A0225">
        <w:rPr>
          <w:noProof/>
          <w:color w:val="DA291C" w:themeColor="accent1"/>
        </w:rPr>
        <w:t xml:space="preserve">Part </w:t>
      </w:r>
      <w:r w:rsidR="008B3C86">
        <w:rPr>
          <w:noProof/>
          <w:color w:val="DA291C" w:themeColor="accent1"/>
        </w:rPr>
        <w:t>B</w:t>
      </w:r>
    </w:p>
    <w:p w:rsidR="009565D4" w:rsidRPr="000A0225" w:rsidRDefault="009565D4" w:rsidP="000A0225">
      <w:pPr>
        <w:pStyle w:val="CoverText-Address"/>
        <w:ind w:left="6300"/>
        <w:rPr>
          <w:noProof/>
          <w:color w:val="DA291C" w:themeColor="accent1"/>
        </w:rPr>
      </w:pPr>
    </w:p>
    <w:p w:rsidR="009565D4" w:rsidRPr="000A0225" w:rsidRDefault="009565D4" w:rsidP="000A0225">
      <w:pPr>
        <w:pStyle w:val="CoverText-Address"/>
        <w:ind w:left="6300"/>
        <w:rPr>
          <w:noProof/>
          <w:color w:val="DA291C" w:themeColor="accent1"/>
        </w:rPr>
      </w:pPr>
    </w:p>
    <w:p w:rsidR="009565D4" w:rsidRDefault="009565D4" w:rsidP="000A0225">
      <w:pPr>
        <w:pStyle w:val="CoverTextGreyBold"/>
        <w:ind w:left="6300"/>
      </w:pPr>
      <w:r w:rsidRPr="00463FE0">
        <w:t>Contract #</w:t>
      </w:r>
      <w:r w:rsidR="00463FE0">
        <w:t xml:space="preserve"> TPD-NDC-10-K-00002</w:t>
      </w:r>
    </w:p>
    <w:p w:rsidR="009565D4" w:rsidRDefault="009565D4" w:rsidP="000A0225">
      <w:pPr>
        <w:pStyle w:val="CoverText-Address"/>
        <w:ind w:left="6300"/>
      </w:pPr>
    </w:p>
    <w:p w:rsidR="000A0225" w:rsidRDefault="000A0225" w:rsidP="000A0225">
      <w:pPr>
        <w:pStyle w:val="CoverText-Address"/>
        <w:ind w:left="6300"/>
      </w:pPr>
    </w:p>
    <w:p w:rsidR="009565D4" w:rsidRDefault="009565D4" w:rsidP="000A0225">
      <w:pPr>
        <w:pStyle w:val="CoverText-Address"/>
        <w:ind w:left="6300"/>
      </w:pPr>
      <w:r>
        <w:t>Revised Draft</w:t>
      </w:r>
    </w:p>
    <w:p w:rsidR="009565D4" w:rsidRDefault="009565D4" w:rsidP="000A0225">
      <w:pPr>
        <w:pStyle w:val="CoverText-Address"/>
        <w:ind w:left="6300"/>
      </w:pPr>
    </w:p>
    <w:p w:rsidR="009565D4" w:rsidRDefault="009565D4" w:rsidP="000A0225">
      <w:pPr>
        <w:pStyle w:val="CoverText-Address"/>
        <w:ind w:left="6300"/>
      </w:pPr>
    </w:p>
    <w:p w:rsidR="009565D4" w:rsidRPr="001E2CF1" w:rsidRDefault="000A0225" w:rsidP="000A0225">
      <w:pPr>
        <w:pStyle w:val="CoverText-Address"/>
        <w:ind w:left="6300"/>
      </w:pPr>
      <w:r>
        <w:t>December 11, 2012</w:t>
      </w:r>
    </w:p>
    <w:p w:rsidR="009565D4" w:rsidRPr="001E2CF1" w:rsidRDefault="009565D4" w:rsidP="000A0225">
      <w:pPr>
        <w:pStyle w:val="CoverText-Address"/>
        <w:ind w:left="6300"/>
      </w:pPr>
    </w:p>
    <w:p w:rsidR="001E2CF1" w:rsidRPr="001E2CF1" w:rsidRDefault="001E2CF1" w:rsidP="000A0225">
      <w:pPr>
        <w:tabs>
          <w:tab w:val="left" w:pos="720"/>
          <w:tab w:val="left" w:pos="1080"/>
          <w:tab w:val="left" w:pos="1440"/>
          <w:tab w:val="left" w:pos="1800"/>
          <w:tab w:val="left" w:pos="6660"/>
        </w:tabs>
        <w:spacing w:after="0"/>
        <w:ind w:left="6300" w:right="-540"/>
        <w:jc w:val="right"/>
        <w:rPr>
          <w:rFonts w:ascii="Arial" w:hAnsi="Arial"/>
          <w:szCs w:val="24"/>
        </w:rPr>
      </w:pPr>
    </w:p>
    <w:p w:rsidR="009565D4" w:rsidRDefault="001E2CF1" w:rsidP="000A0225">
      <w:pPr>
        <w:pStyle w:val="CoverText11pt"/>
        <w:ind w:left="6300"/>
      </w:pPr>
      <w:r w:rsidRPr="001E2CF1">
        <w:t>Prepared for:</w:t>
      </w:r>
    </w:p>
    <w:p w:rsidR="00197401" w:rsidRDefault="00197401" w:rsidP="000A0225">
      <w:pPr>
        <w:pStyle w:val="CoverText-Address"/>
        <w:ind w:left="6300"/>
      </w:pPr>
      <w:r>
        <w:t>Fe Caces, Ph.D.</w:t>
      </w:r>
    </w:p>
    <w:p w:rsidR="000A0225" w:rsidRDefault="000A0225" w:rsidP="000A0225">
      <w:pPr>
        <w:pStyle w:val="CoverText-Address"/>
        <w:ind w:left="6300"/>
      </w:pPr>
      <w:r>
        <w:t>Executive Office of the President</w:t>
      </w:r>
    </w:p>
    <w:p w:rsidR="000A0225" w:rsidRPr="000A0225" w:rsidRDefault="000A0225" w:rsidP="000A0225">
      <w:pPr>
        <w:pStyle w:val="CoverText-Address"/>
        <w:ind w:left="6300"/>
        <w:rPr>
          <w:b/>
          <w:color w:val="DA291C" w:themeColor="accent1"/>
        </w:rPr>
      </w:pPr>
      <w:r w:rsidRPr="000A0225">
        <w:rPr>
          <w:b/>
          <w:color w:val="DA291C" w:themeColor="accent1"/>
        </w:rPr>
        <w:t>Office of National Drug Control Policy (Planning and Budget)</w:t>
      </w:r>
    </w:p>
    <w:p w:rsidR="001E2CF1" w:rsidRDefault="000A0225" w:rsidP="000A0225">
      <w:pPr>
        <w:pStyle w:val="CoverText-Address"/>
        <w:ind w:left="6300"/>
      </w:pPr>
      <w:r>
        <w:t>Washington, DC  20503</w:t>
      </w:r>
    </w:p>
    <w:p w:rsidR="009565D4" w:rsidRDefault="009565D4" w:rsidP="000A0225">
      <w:pPr>
        <w:pStyle w:val="CoverText-Address"/>
        <w:ind w:left="6300"/>
      </w:pPr>
    </w:p>
    <w:p w:rsidR="009565D4" w:rsidRPr="001E2CF1" w:rsidRDefault="009565D4" w:rsidP="000A0225">
      <w:pPr>
        <w:pStyle w:val="CoverText-Address"/>
        <w:ind w:left="6300"/>
      </w:pPr>
    </w:p>
    <w:p w:rsidR="001E2CF1" w:rsidRPr="001E2CF1" w:rsidRDefault="001E2CF1" w:rsidP="000A0225">
      <w:pPr>
        <w:pStyle w:val="CoverText-Address"/>
        <w:ind w:left="6300"/>
      </w:pPr>
    </w:p>
    <w:p w:rsidR="001E2CF1" w:rsidRPr="001E2CF1" w:rsidRDefault="001E2CF1" w:rsidP="000A0225">
      <w:pPr>
        <w:pStyle w:val="CoverText11pt"/>
        <w:ind w:left="6300"/>
      </w:pPr>
      <w:r w:rsidRPr="001E2CF1">
        <w:t>Submitted by:</w:t>
      </w:r>
    </w:p>
    <w:p w:rsidR="00062F4C" w:rsidRDefault="000A0225" w:rsidP="000A0225">
      <w:pPr>
        <w:pStyle w:val="CoverText-Address"/>
        <w:ind w:left="6300"/>
      </w:pPr>
      <w:r>
        <w:t>Dana Hunt, Ph.D.</w:t>
      </w:r>
    </w:p>
    <w:p w:rsidR="00197401" w:rsidRDefault="00197401" w:rsidP="000A0225">
      <w:pPr>
        <w:pStyle w:val="CoverText-Address"/>
        <w:ind w:left="6300"/>
      </w:pPr>
      <w:r>
        <w:t>Yuli Almozlino</w:t>
      </w:r>
    </w:p>
    <w:p w:rsidR="00197401" w:rsidRDefault="00197401" w:rsidP="00197401">
      <w:pPr>
        <w:pStyle w:val="CoverText-Address"/>
        <w:ind w:left="6300"/>
      </w:pPr>
      <w:r>
        <w:t>Sarah Kuck Jalbert</w:t>
      </w:r>
    </w:p>
    <w:p w:rsidR="00197401" w:rsidRDefault="00197401" w:rsidP="000A0225">
      <w:pPr>
        <w:pStyle w:val="CoverText-Address"/>
        <w:ind w:left="6300"/>
      </w:pPr>
    </w:p>
    <w:p w:rsidR="001E2CF1" w:rsidRPr="000A0225" w:rsidRDefault="001E2CF1" w:rsidP="000A0225">
      <w:pPr>
        <w:pStyle w:val="CoverText-Address"/>
        <w:ind w:left="6300"/>
        <w:rPr>
          <w:b/>
          <w:color w:val="DA291C" w:themeColor="accent1"/>
        </w:rPr>
      </w:pPr>
      <w:r w:rsidRPr="000A0225">
        <w:rPr>
          <w:b/>
          <w:color w:val="DA291C" w:themeColor="accent1"/>
        </w:rPr>
        <w:t>Abt Associates Inc.</w:t>
      </w:r>
    </w:p>
    <w:p w:rsidR="001E2CF1" w:rsidRDefault="000A0225" w:rsidP="000A0225">
      <w:pPr>
        <w:pStyle w:val="CoverText-Address"/>
        <w:ind w:left="6300"/>
      </w:pPr>
      <w:r>
        <w:t>55 Wheeler Street</w:t>
      </w:r>
    </w:p>
    <w:p w:rsidR="000A0225" w:rsidRPr="001E2CF1" w:rsidRDefault="000A0225" w:rsidP="000A0225">
      <w:pPr>
        <w:pStyle w:val="CoverText-Address"/>
        <w:ind w:left="6300"/>
      </w:pPr>
      <w:r>
        <w:t>Cambridge, MA 02138</w:t>
      </w:r>
    </w:p>
    <w:p w:rsidR="001E2CF1" w:rsidRPr="001E2CF1" w:rsidRDefault="001E2CF1" w:rsidP="00354503">
      <w:pPr>
        <w:pStyle w:val="CoverText-Address"/>
      </w:pPr>
    </w:p>
    <w:p w:rsidR="001E2CF1" w:rsidRPr="001E2CF1" w:rsidRDefault="001E2CF1" w:rsidP="00354503">
      <w:pPr>
        <w:pStyle w:val="CoverText-Address"/>
      </w:pPr>
    </w:p>
    <w:p w:rsidR="00157E04" w:rsidRDefault="00157E04" w:rsidP="00D979EA">
      <w:pPr>
        <w:sectPr w:rsidR="00157E04" w:rsidSect="007969A4">
          <w:headerReference w:type="default" r:id="rId10"/>
          <w:footerReference w:type="default" r:id="rId11"/>
          <w:pgSz w:w="12240" w:h="15840" w:code="1"/>
          <w:pgMar w:top="1440" w:right="1440" w:bottom="1440" w:left="1800" w:header="720" w:footer="720" w:gutter="0"/>
          <w:pgNumType w:fmt="lowerRoman" w:start="1"/>
          <w:cols w:space="720"/>
          <w:docGrid w:linePitch="299"/>
        </w:sectPr>
      </w:pPr>
    </w:p>
    <w:p w:rsidR="007B1904" w:rsidRPr="006B1DA6" w:rsidRDefault="00EB1A04" w:rsidP="000A0225">
      <w:pPr>
        <w:pStyle w:val="ReportTitle-TOCPage"/>
      </w:pPr>
      <w:r>
        <w:lastRenderedPageBreak/>
        <w:t xml:space="preserve">Request for OMB Review </w:t>
      </w:r>
      <w:r>
        <w:rPr>
          <w:rFonts w:hint="eastAsia"/>
        </w:rPr>
        <w:t>–</w:t>
      </w:r>
      <w:r w:rsidR="000A0225">
        <w:t xml:space="preserve"> Part </w:t>
      </w:r>
      <w:r w:rsidR="008B3C86">
        <w:t>B</w:t>
      </w:r>
    </w:p>
    <w:p w:rsidR="00752119" w:rsidRPr="00A178FC" w:rsidRDefault="00752119" w:rsidP="00D979EA">
      <w:pPr>
        <w:pStyle w:val="TOCHeader"/>
      </w:pPr>
      <w:r w:rsidRPr="00A178FC">
        <w:t>Table of Contents</w:t>
      </w:r>
    </w:p>
    <w:p w:rsidR="00F33018" w:rsidRDefault="001178CA">
      <w:pPr>
        <w:pStyle w:val="TOC1"/>
        <w:tabs>
          <w:tab w:val="left" w:pos="1080"/>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43259224" w:history="1">
        <w:r w:rsidR="00F33018" w:rsidRPr="0005359D">
          <w:rPr>
            <w:rStyle w:val="Hyperlink"/>
            <w:noProof/>
          </w:rPr>
          <w:t>Part B.</w:t>
        </w:r>
        <w:r w:rsidR="00F33018">
          <w:rPr>
            <w:rFonts w:asciiTheme="minorHAnsi" w:eastAsiaTheme="minorEastAsia" w:hAnsiTheme="minorHAnsi" w:cstheme="minorBidi"/>
            <w:b w:val="0"/>
            <w:noProof/>
            <w:szCs w:val="22"/>
          </w:rPr>
          <w:tab/>
        </w:r>
        <w:r w:rsidR="00F33018" w:rsidRPr="0005359D">
          <w:rPr>
            <w:rStyle w:val="Hyperlink"/>
            <w:noProof/>
          </w:rPr>
          <w:t>Collection of Information Employing Statistical Methods</w:t>
        </w:r>
        <w:r w:rsidR="00F33018">
          <w:rPr>
            <w:noProof/>
            <w:webHidden/>
          </w:rPr>
          <w:tab/>
        </w:r>
        <w:r w:rsidR="00F33018">
          <w:rPr>
            <w:noProof/>
            <w:webHidden/>
          </w:rPr>
          <w:fldChar w:fldCharType="begin"/>
        </w:r>
        <w:r w:rsidR="00F33018">
          <w:rPr>
            <w:noProof/>
            <w:webHidden/>
          </w:rPr>
          <w:instrText xml:space="preserve"> PAGEREF _Toc343259224 \h </w:instrText>
        </w:r>
        <w:r w:rsidR="00F33018">
          <w:rPr>
            <w:noProof/>
            <w:webHidden/>
          </w:rPr>
        </w:r>
        <w:r w:rsidR="00F33018">
          <w:rPr>
            <w:noProof/>
            <w:webHidden/>
          </w:rPr>
          <w:fldChar w:fldCharType="separate"/>
        </w:r>
        <w:r w:rsidR="002B0883">
          <w:rPr>
            <w:noProof/>
            <w:webHidden/>
          </w:rPr>
          <w:t>2</w:t>
        </w:r>
        <w:r w:rsidR="00F33018">
          <w:rPr>
            <w:noProof/>
            <w:webHidden/>
          </w:rPr>
          <w:fldChar w:fldCharType="end"/>
        </w:r>
      </w:hyperlink>
    </w:p>
    <w:p w:rsidR="00F33018" w:rsidRDefault="00331A42">
      <w:pPr>
        <w:pStyle w:val="TOC2"/>
        <w:rPr>
          <w:rFonts w:asciiTheme="minorHAnsi" w:eastAsiaTheme="minorEastAsia" w:hAnsiTheme="minorHAnsi" w:cstheme="minorBidi"/>
          <w:szCs w:val="22"/>
        </w:rPr>
      </w:pPr>
      <w:hyperlink w:anchor="_Toc343259225" w:history="1">
        <w:r w:rsidR="00F33018" w:rsidRPr="0005359D">
          <w:rPr>
            <w:rStyle w:val="Hyperlink"/>
          </w:rPr>
          <w:t>B.1</w:t>
        </w:r>
        <w:r w:rsidR="00F33018">
          <w:rPr>
            <w:rFonts w:asciiTheme="minorHAnsi" w:eastAsiaTheme="minorEastAsia" w:hAnsiTheme="minorHAnsi" w:cstheme="minorBidi"/>
            <w:szCs w:val="22"/>
          </w:rPr>
          <w:tab/>
        </w:r>
        <w:r w:rsidR="00F33018" w:rsidRPr="0005359D">
          <w:rPr>
            <w:rStyle w:val="Hyperlink"/>
          </w:rPr>
          <w:t>Respondent Universe and Sampling Methods</w:t>
        </w:r>
        <w:r w:rsidR="00F33018">
          <w:rPr>
            <w:webHidden/>
          </w:rPr>
          <w:tab/>
        </w:r>
        <w:r w:rsidR="00F33018">
          <w:rPr>
            <w:webHidden/>
          </w:rPr>
          <w:fldChar w:fldCharType="begin"/>
        </w:r>
        <w:r w:rsidR="00F33018">
          <w:rPr>
            <w:webHidden/>
          </w:rPr>
          <w:instrText xml:space="preserve"> PAGEREF _Toc343259225 \h </w:instrText>
        </w:r>
        <w:r w:rsidR="00F33018">
          <w:rPr>
            <w:webHidden/>
          </w:rPr>
        </w:r>
        <w:r w:rsidR="00F33018">
          <w:rPr>
            <w:webHidden/>
          </w:rPr>
          <w:fldChar w:fldCharType="separate"/>
        </w:r>
        <w:r w:rsidR="002B0883">
          <w:rPr>
            <w:webHidden/>
          </w:rPr>
          <w:t>2</w:t>
        </w:r>
        <w:r w:rsidR="00F33018">
          <w:rPr>
            <w:webHidden/>
          </w:rPr>
          <w:fldChar w:fldCharType="end"/>
        </w:r>
      </w:hyperlink>
    </w:p>
    <w:p w:rsidR="00F33018" w:rsidRDefault="00331A42">
      <w:pPr>
        <w:pStyle w:val="TOC3"/>
        <w:tabs>
          <w:tab w:val="left" w:pos="1920"/>
          <w:tab w:val="right" w:leader="dot" w:pos="8990"/>
        </w:tabs>
        <w:rPr>
          <w:rFonts w:asciiTheme="minorHAnsi" w:eastAsiaTheme="minorEastAsia" w:hAnsiTheme="minorHAnsi" w:cstheme="minorBidi"/>
          <w:noProof/>
          <w:szCs w:val="22"/>
        </w:rPr>
      </w:pPr>
      <w:hyperlink w:anchor="_Toc343259226" w:history="1">
        <w:r w:rsidR="00F33018" w:rsidRPr="0005359D">
          <w:rPr>
            <w:rStyle w:val="Hyperlink"/>
            <w:noProof/>
          </w:rPr>
          <w:t>B.1.1</w:t>
        </w:r>
        <w:r w:rsidR="00F33018">
          <w:rPr>
            <w:rFonts w:asciiTheme="minorHAnsi" w:eastAsiaTheme="minorEastAsia" w:hAnsiTheme="minorHAnsi" w:cstheme="minorBidi"/>
            <w:noProof/>
            <w:szCs w:val="22"/>
          </w:rPr>
          <w:tab/>
        </w:r>
        <w:r w:rsidR="00F33018" w:rsidRPr="0005359D">
          <w:rPr>
            <w:rStyle w:val="Hyperlink"/>
            <w:noProof/>
          </w:rPr>
          <w:t>Sampling Sites and Facilities</w:t>
        </w:r>
        <w:r w:rsidR="00F33018">
          <w:rPr>
            <w:noProof/>
            <w:webHidden/>
          </w:rPr>
          <w:tab/>
        </w:r>
        <w:r w:rsidR="00F33018">
          <w:rPr>
            <w:noProof/>
            <w:webHidden/>
          </w:rPr>
          <w:fldChar w:fldCharType="begin"/>
        </w:r>
        <w:r w:rsidR="00F33018">
          <w:rPr>
            <w:noProof/>
            <w:webHidden/>
          </w:rPr>
          <w:instrText xml:space="preserve"> PAGEREF _Toc343259226 \h </w:instrText>
        </w:r>
        <w:r w:rsidR="00F33018">
          <w:rPr>
            <w:noProof/>
            <w:webHidden/>
          </w:rPr>
        </w:r>
        <w:r w:rsidR="00F33018">
          <w:rPr>
            <w:noProof/>
            <w:webHidden/>
          </w:rPr>
          <w:fldChar w:fldCharType="separate"/>
        </w:r>
        <w:r w:rsidR="002B0883">
          <w:rPr>
            <w:noProof/>
            <w:webHidden/>
          </w:rPr>
          <w:t>2</w:t>
        </w:r>
        <w:r w:rsidR="00F33018">
          <w:rPr>
            <w:noProof/>
            <w:webHidden/>
          </w:rPr>
          <w:fldChar w:fldCharType="end"/>
        </w:r>
      </w:hyperlink>
    </w:p>
    <w:p w:rsidR="00F33018" w:rsidRDefault="00331A42">
      <w:pPr>
        <w:pStyle w:val="TOC3"/>
        <w:tabs>
          <w:tab w:val="left" w:pos="1920"/>
          <w:tab w:val="right" w:leader="dot" w:pos="8990"/>
        </w:tabs>
        <w:rPr>
          <w:rFonts w:asciiTheme="minorHAnsi" w:eastAsiaTheme="minorEastAsia" w:hAnsiTheme="minorHAnsi" w:cstheme="minorBidi"/>
          <w:noProof/>
          <w:szCs w:val="22"/>
        </w:rPr>
      </w:pPr>
      <w:hyperlink w:anchor="_Toc343259227" w:history="1">
        <w:r w:rsidR="00F33018" w:rsidRPr="0005359D">
          <w:rPr>
            <w:rStyle w:val="Hyperlink"/>
            <w:noProof/>
          </w:rPr>
          <w:t>B.1.2</w:t>
        </w:r>
        <w:r w:rsidR="00F33018">
          <w:rPr>
            <w:rFonts w:asciiTheme="minorHAnsi" w:eastAsiaTheme="minorEastAsia" w:hAnsiTheme="minorHAnsi" w:cstheme="minorBidi"/>
            <w:noProof/>
            <w:szCs w:val="22"/>
          </w:rPr>
          <w:tab/>
        </w:r>
        <w:r w:rsidR="00F33018" w:rsidRPr="0005359D">
          <w:rPr>
            <w:rStyle w:val="Hyperlink"/>
            <w:noProof/>
          </w:rPr>
          <w:t>Estimating Trends for 2008 and Beyond</w:t>
        </w:r>
        <w:r w:rsidR="00F33018">
          <w:rPr>
            <w:noProof/>
            <w:webHidden/>
          </w:rPr>
          <w:tab/>
        </w:r>
      </w:hyperlink>
      <w:r w:rsidR="006A3B99">
        <w:rPr>
          <w:noProof/>
        </w:rPr>
        <w:t>9</w:t>
      </w:r>
    </w:p>
    <w:p w:rsidR="00F33018" w:rsidRDefault="00331A42">
      <w:pPr>
        <w:pStyle w:val="TOC3"/>
        <w:tabs>
          <w:tab w:val="left" w:pos="1920"/>
          <w:tab w:val="right" w:leader="dot" w:pos="8990"/>
        </w:tabs>
        <w:rPr>
          <w:rFonts w:asciiTheme="minorHAnsi" w:eastAsiaTheme="minorEastAsia" w:hAnsiTheme="minorHAnsi" w:cstheme="minorBidi"/>
          <w:noProof/>
          <w:szCs w:val="22"/>
        </w:rPr>
      </w:pPr>
      <w:hyperlink w:anchor="_Toc343259228" w:history="1">
        <w:r w:rsidR="00F33018" w:rsidRPr="0005359D">
          <w:rPr>
            <w:rStyle w:val="Hyperlink"/>
            <w:noProof/>
          </w:rPr>
          <w:t>B.1.3</w:t>
        </w:r>
        <w:r w:rsidR="00F33018">
          <w:rPr>
            <w:rFonts w:asciiTheme="minorHAnsi" w:eastAsiaTheme="minorEastAsia" w:hAnsiTheme="minorHAnsi" w:cstheme="minorBidi"/>
            <w:noProof/>
            <w:szCs w:val="22"/>
          </w:rPr>
          <w:tab/>
        </w:r>
        <w:r w:rsidR="00F33018" w:rsidRPr="0005359D">
          <w:rPr>
            <w:rStyle w:val="Hyperlink"/>
            <w:noProof/>
          </w:rPr>
          <w:t>Annualizing Point Prevalence Estimates</w:t>
        </w:r>
        <w:r w:rsidR="00F33018">
          <w:rPr>
            <w:noProof/>
            <w:webHidden/>
          </w:rPr>
          <w:tab/>
        </w:r>
        <w:r w:rsidR="00F33018">
          <w:rPr>
            <w:noProof/>
            <w:webHidden/>
          </w:rPr>
          <w:fldChar w:fldCharType="begin"/>
        </w:r>
        <w:r w:rsidR="00F33018">
          <w:rPr>
            <w:noProof/>
            <w:webHidden/>
          </w:rPr>
          <w:instrText xml:space="preserve"> PAGEREF _Toc343259228 \h </w:instrText>
        </w:r>
        <w:r w:rsidR="00F33018">
          <w:rPr>
            <w:noProof/>
            <w:webHidden/>
          </w:rPr>
        </w:r>
        <w:r w:rsidR="00F33018">
          <w:rPr>
            <w:noProof/>
            <w:webHidden/>
          </w:rPr>
          <w:fldChar w:fldCharType="separate"/>
        </w:r>
        <w:r w:rsidR="002B0883">
          <w:rPr>
            <w:noProof/>
            <w:webHidden/>
          </w:rPr>
          <w:t>8</w:t>
        </w:r>
        <w:r w:rsidR="00F33018">
          <w:rPr>
            <w:noProof/>
            <w:webHidden/>
          </w:rPr>
          <w:fldChar w:fldCharType="end"/>
        </w:r>
      </w:hyperlink>
    </w:p>
    <w:p w:rsidR="00F33018" w:rsidRDefault="00331A42">
      <w:pPr>
        <w:pStyle w:val="TOC2"/>
        <w:rPr>
          <w:rFonts w:asciiTheme="minorHAnsi" w:eastAsiaTheme="minorEastAsia" w:hAnsiTheme="minorHAnsi" w:cstheme="minorBidi"/>
          <w:szCs w:val="22"/>
        </w:rPr>
      </w:pPr>
      <w:hyperlink w:anchor="_Toc343259229" w:history="1">
        <w:r w:rsidR="00F33018" w:rsidRPr="0005359D">
          <w:rPr>
            <w:rStyle w:val="Hyperlink"/>
          </w:rPr>
          <w:t>B.2</w:t>
        </w:r>
        <w:r w:rsidR="00F33018">
          <w:rPr>
            <w:rFonts w:asciiTheme="minorHAnsi" w:eastAsiaTheme="minorEastAsia" w:hAnsiTheme="minorHAnsi" w:cstheme="minorBidi"/>
            <w:szCs w:val="22"/>
          </w:rPr>
          <w:tab/>
        </w:r>
        <w:r w:rsidR="00F33018" w:rsidRPr="0005359D">
          <w:rPr>
            <w:rStyle w:val="Hyperlink"/>
          </w:rPr>
          <w:t>Information Collection Procedures</w:t>
        </w:r>
        <w:r w:rsidR="00F33018">
          <w:rPr>
            <w:webHidden/>
          </w:rPr>
          <w:tab/>
        </w:r>
      </w:hyperlink>
      <w:r w:rsidR="006A3B99">
        <w:t>11</w:t>
      </w:r>
    </w:p>
    <w:p w:rsidR="00F33018" w:rsidRDefault="00331A42">
      <w:pPr>
        <w:pStyle w:val="TOC3"/>
        <w:tabs>
          <w:tab w:val="left" w:pos="1920"/>
          <w:tab w:val="right" w:leader="dot" w:pos="8990"/>
        </w:tabs>
        <w:rPr>
          <w:rFonts w:asciiTheme="minorHAnsi" w:eastAsiaTheme="minorEastAsia" w:hAnsiTheme="minorHAnsi" w:cstheme="minorBidi"/>
          <w:noProof/>
          <w:szCs w:val="22"/>
        </w:rPr>
      </w:pPr>
      <w:hyperlink w:anchor="_Toc343259230" w:history="1">
        <w:r w:rsidR="00F33018" w:rsidRPr="0005359D">
          <w:rPr>
            <w:rStyle w:val="Hyperlink"/>
            <w:noProof/>
          </w:rPr>
          <w:t>B.2.1</w:t>
        </w:r>
        <w:r w:rsidR="00F33018">
          <w:rPr>
            <w:rFonts w:asciiTheme="minorHAnsi" w:eastAsiaTheme="minorEastAsia" w:hAnsiTheme="minorHAnsi" w:cstheme="minorBidi"/>
            <w:noProof/>
            <w:szCs w:val="22"/>
          </w:rPr>
          <w:tab/>
        </w:r>
        <w:r w:rsidR="00F33018" w:rsidRPr="0005359D">
          <w:rPr>
            <w:rStyle w:val="Hyperlink"/>
            <w:noProof/>
          </w:rPr>
          <w:t>Selecting Study Subjects</w:t>
        </w:r>
        <w:r w:rsidR="00F33018">
          <w:rPr>
            <w:noProof/>
            <w:webHidden/>
          </w:rPr>
          <w:tab/>
        </w:r>
        <w:r w:rsidR="006A3B99">
          <w:rPr>
            <w:noProof/>
            <w:webHidden/>
          </w:rPr>
          <w:t>11</w:t>
        </w:r>
      </w:hyperlink>
    </w:p>
    <w:p w:rsidR="00F33018" w:rsidRDefault="00331A42">
      <w:pPr>
        <w:pStyle w:val="TOC3"/>
        <w:tabs>
          <w:tab w:val="left" w:pos="1920"/>
          <w:tab w:val="right" w:leader="dot" w:pos="8990"/>
        </w:tabs>
        <w:rPr>
          <w:rFonts w:asciiTheme="minorHAnsi" w:eastAsiaTheme="minorEastAsia" w:hAnsiTheme="minorHAnsi" w:cstheme="minorBidi"/>
          <w:noProof/>
          <w:szCs w:val="22"/>
        </w:rPr>
      </w:pPr>
      <w:hyperlink w:anchor="_Toc343259231" w:history="1">
        <w:r w:rsidR="00F33018" w:rsidRPr="0005359D">
          <w:rPr>
            <w:rStyle w:val="Hyperlink"/>
            <w:noProof/>
          </w:rPr>
          <w:t>B.2.2</w:t>
        </w:r>
        <w:r w:rsidR="00F33018">
          <w:rPr>
            <w:rFonts w:asciiTheme="minorHAnsi" w:eastAsiaTheme="minorEastAsia" w:hAnsiTheme="minorHAnsi" w:cstheme="minorBidi"/>
            <w:noProof/>
            <w:szCs w:val="22"/>
          </w:rPr>
          <w:tab/>
        </w:r>
        <w:r w:rsidR="00F33018" w:rsidRPr="0005359D">
          <w:rPr>
            <w:rStyle w:val="Hyperlink"/>
            <w:noProof/>
          </w:rPr>
          <w:t>The Role of Census Data</w:t>
        </w:r>
        <w:r w:rsidR="00F33018">
          <w:rPr>
            <w:noProof/>
            <w:webHidden/>
          </w:rPr>
          <w:tab/>
        </w:r>
        <w:r w:rsidR="006A3B99">
          <w:rPr>
            <w:noProof/>
            <w:webHidden/>
          </w:rPr>
          <w:t>12</w:t>
        </w:r>
      </w:hyperlink>
    </w:p>
    <w:p w:rsidR="00F33018" w:rsidRDefault="00331A42">
      <w:pPr>
        <w:pStyle w:val="TOC2"/>
        <w:rPr>
          <w:rFonts w:asciiTheme="minorHAnsi" w:eastAsiaTheme="minorEastAsia" w:hAnsiTheme="minorHAnsi" w:cstheme="minorBidi"/>
          <w:szCs w:val="22"/>
        </w:rPr>
      </w:pPr>
      <w:hyperlink w:anchor="_Toc343259232" w:history="1">
        <w:r w:rsidR="00F33018" w:rsidRPr="0005359D">
          <w:rPr>
            <w:rStyle w:val="Hyperlink"/>
          </w:rPr>
          <w:t>B.3</w:t>
        </w:r>
        <w:r w:rsidR="00F33018">
          <w:rPr>
            <w:rFonts w:asciiTheme="minorHAnsi" w:eastAsiaTheme="minorEastAsia" w:hAnsiTheme="minorHAnsi" w:cstheme="minorBidi"/>
            <w:szCs w:val="22"/>
          </w:rPr>
          <w:tab/>
        </w:r>
        <w:r w:rsidR="00F33018" w:rsidRPr="0005359D">
          <w:rPr>
            <w:rStyle w:val="Hyperlink"/>
          </w:rPr>
          <w:t>Methods to Maximize Response Rates</w:t>
        </w:r>
        <w:r w:rsidR="00F33018">
          <w:rPr>
            <w:webHidden/>
          </w:rPr>
          <w:tab/>
        </w:r>
      </w:hyperlink>
      <w:r w:rsidR="006A3B99">
        <w:t>15</w:t>
      </w:r>
    </w:p>
    <w:p w:rsidR="00F33018" w:rsidRDefault="00331A42">
      <w:pPr>
        <w:pStyle w:val="TOC2"/>
        <w:rPr>
          <w:rFonts w:asciiTheme="minorHAnsi" w:eastAsiaTheme="minorEastAsia" w:hAnsiTheme="minorHAnsi" w:cstheme="minorBidi"/>
          <w:szCs w:val="22"/>
        </w:rPr>
      </w:pPr>
      <w:hyperlink w:anchor="_Toc343259233" w:history="1">
        <w:r w:rsidR="00F33018" w:rsidRPr="0005359D">
          <w:rPr>
            <w:rStyle w:val="Hyperlink"/>
          </w:rPr>
          <w:t>B.4</w:t>
        </w:r>
        <w:r w:rsidR="00F33018">
          <w:rPr>
            <w:rFonts w:asciiTheme="minorHAnsi" w:eastAsiaTheme="minorEastAsia" w:hAnsiTheme="minorHAnsi" w:cstheme="minorBidi"/>
            <w:szCs w:val="22"/>
          </w:rPr>
          <w:tab/>
        </w:r>
        <w:r w:rsidR="00F33018" w:rsidRPr="0005359D">
          <w:rPr>
            <w:rStyle w:val="Hyperlink"/>
          </w:rPr>
          <w:t>Tests of Procedures</w:t>
        </w:r>
        <w:r w:rsidR="00F33018">
          <w:rPr>
            <w:webHidden/>
          </w:rPr>
          <w:tab/>
        </w:r>
        <w:r w:rsidR="006A3B99">
          <w:rPr>
            <w:webHidden/>
          </w:rPr>
          <w:t>25</w:t>
        </w:r>
      </w:hyperlink>
    </w:p>
    <w:p w:rsidR="00F33018" w:rsidRDefault="00331A42">
      <w:pPr>
        <w:pStyle w:val="TOC2"/>
        <w:rPr>
          <w:rFonts w:asciiTheme="minorHAnsi" w:eastAsiaTheme="minorEastAsia" w:hAnsiTheme="minorHAnsi" w:cstheme="minorBidi"/>
          <w:szCs w:val="22"/>
        </w:rPr>
      </w:pPr>
      <w:hyperlink w:anchor="_Toc343259234" w:history="1">
        <w:r w:rsidR="00F33018" w:rsidRPr="0005359D">
          <w:rPr>
            <w:rStyle w:val="Hyperlink"/>
          </w:rPr>
          <w:t>B.5</w:t>
        </w:r>
        <w:r w:rsidR="00F33018">
          <w:rPr>
            <w:rFonts w:asciiTheme="minorHAnsi" w:eastAsiaTheme="minorEastAsia" w:hAnsiTheme="minorHAnsi" w:cstheme="minorBidi"/>
            <w:szCs w:val="22"/>
          </w:rPr>
          <w:tab/>
        </w:r>
        <w:r w:rsidR="00F33018" w:rsidRPr="0005359D">
          <w:rPr>
            <w:rStyle w:val="Hyperlink"/>
          </w:rPr>
          <w:t>Individuals Consulted on Statistical Aspects of the Design</w:t>
        </w:r>
        <w:r w:rsidR="00F33018">
          <w:rPr>
            <w:webHidden/>
          </w:rPr>
          <w:tab/>
        </w:r>
        <w:r w:rsidR="006A3B99">
          <w:rPr>
            <w:webHidden/>
          </w:rPr>
          <w:t>26</w:t>
        </w:r>
      </w:hyperlink>
    </w:p>
    <w:p w:rsidR="00A324EA" w:rsidRPr="00A33A46" w:rsidRDefault="001178CA" w:rsidP="00D979EA">
      <w:pPr>
        <w:pStyle w:val="BodyText"/>
      </w:pPr>
      <w:r>
        <w:fldChar w:fldCharType="end"/>
      </w:r>
    </w:p>
    <w:p w:rsidR="006B1DA6" w:rsidRDefault="006B1DA6" w:rsidP="00D979EA">
      <w:pPr>
        <w:pStyle w:val="BodyText"/>
        <w:sectPr w:rsidR="006B1DA6" w:rsidSect="000A0225">
          <w:headerReference w:type="default" r:id="rId12"/>
          <w:footerReference w:type="default" r:id="rId13"/>
          <w:pgSz w:w="12240" w:h="15840" w:code="1"/>
          <w:pgMar w:top="1440" w:right="1440" w:bottom="1440" w:left="1800" w:header="864" w:footer="720" w:gutter="0"/>
          <w:pgNumType w:fmt="lowerRoman" w:start="1"/>
          <w:cols w:space="720"/>
          <w:docGrid w:linePitch="299"/>
        </w:sectPr>
      </w:pPr>
    </w:p>
    <w:p w:rsidR="007B1904" w:rsidRPr="007057ED" w:rsidRDefault="009723ED" w:rsidP="009723ED">
      <w:pPr>
        <w:pStyle w:val="Heading1"/>
      </w:pPr>
      <w:bookmarkStart w:id="1" w:name="_Toc343259224"/>
      <w:r w:rsidRPr="009723ED">
        <w:lastRenderedPageBreak/>
        <w:t>Collection of Information Employing Statistical Methods</w:t>
      </w:r>
      <w:bookmarkEnd w:id="1"/>
    </w:p>
    <w:p w:rsidR="008B3C86" w:rsidRDefault="008B3C86" w:rsidP="009723ED">
      <w:pPr>
        <w:pStyle w:val="Heading2"/>
      </w:pPr>
      <w:bookmarkStart w:id="2" w:name="_Toc249943230"/>
      <w:bookmarkStart w:id="3" w:name="_Toc343259225"/>
      <w:bookmarkStart w:id="4" w:name="_Toc249936551"/>
      <w:r>
        <w:t>Respondent Universe and Sampling Methods</w:t>
      </w:r>
      <w:bookmarkEnd w:id="2"/>
      <w:bookmarkEnd w:id="3"/>
    </w:p>
    <w:p w:rsidR="008B3C86" w:rsidRDefault="008B3C86" w:rsidP="009723ED">
      <w:r>
        <w:t>The Arrestee Drug Abuse Monitoring (ADAM) Program continu</w:t>
      </w:r>
      <w:r w:rsidR="00353CCA">
        <w:t xml:space="preserve">es the seventh year of </w:t>
      </w:r>
      <w:r>
        <w:t>ONDCP’s ADAM II program, a multi-year project designed to collect critical information about drug use among arrestees</w:t>
      </w:r>
      <w:r w:rsidR="009723ED">
        <w:t xml:space="preserve">. </w:t>
      </w:r>
      <w:r>
        <w:t xml:space="preserve">The respondent universe is booked male arrestees in </w:t>
      </w:r>
      <w:r w:rsidR="00E50584">
        <w:t>five counties</w:t>
      </w:r>
      <w:r>
        <w:t xml:space="preserve"> designated as sites in the ADAM II program, which </w:t>
      </w:r>
      <w:r w:rsidRPr="009723ED">
        <w:t>b</w:t>
      </w:r>
      <w:r>
        <w:t>egan in 2006</w:t>
      </w:r>
      <w:r w:rsidR="009723ED">
        <w:t xml:space="preserve">. </w:t>
      </w:r>
      <w:r>
        <w:t xml:space="preserve">Data collection takes place in booking facilities in the sites from an annual, county-based representative sample of 350 arrestees (within 48 hours of arrest) per </w:t>
      </w:r>
      <w:r w:rsidR="00353CCA">
        <w:t>collection cycle</w:t>
      </w:r>
      <w:r>
        <w:t>, for an approximate total of 1750 respondent arrestees</w:t>
      </w:r>
      <w:r w:rsidR="009723ED">
        <w:t xml:space="preserve">. </w:t>
      </w:r>
      <w:r>
        <w:t>Data collected include a voluntary and anonymous personal interview</w:t>
      </w:r>
      <w:r w:rsidR="00353CCA">
        <w:t>,</w:t>
      </w:r>
      <w:r>
        <w:t xml:space="preserve"> a urine specimen</w:t>
      </w:r>
      <w:r w:rsidR="00353CCA">
        <w:t>, and data from arrestee booking sheet</w:t>
      </w:r>
      <w:r>
        <w:t>.</w:t>
      </w:r>
    </w:p>
    <w:p w:rsidR="008B3C86" w:rsidRPr="00E4753D" w:rsidRDefault="008B3C86" w:rsidP="009723ED">
      <w:pPr>
        <w:pStyle w:val="Heading3"/>
      </w:pPr>
      <w:bookmarkStart w:id="5" w:name="_Toc343259226"/>
      <w:r>
        <w:t>Sampling Sites and Facilities</w:t>
      </w:r>
      <w:bookmarkEnd w:id="5"/>
    </w:p>
    <w:p w:rsidR="000441C4" w:rsidRPr="000441C4" w:rsidRDefault="000441C4" w:rsidP="000441C4">
      <w:pPr>
        <w:shd w:val="clear" w:color="auto" w:fill="FFFFFF"/>
        <w:spacing w:before="100" w:beforeAutospacing="1" w:after="100" w:afterAutospacing="1"/>
        <w:rPr>
          <w:rFonts w:cs="Calibri"/>
        </w:rPr>
      </w:pPr>
      <w:r w:rsidRPr="005F712F">
        <w:rPr>
          <w:rFonts w:cs="Calibri"/>
        </w:rPr>
        <w:t xml:space="preserve">The original 35 counties in the ADAM from 2000-2003 were selected through a competitive grant process sponsored by NIJ. Consequently, the counties did not constitute a probability-based sample of US counties, but </w:t>
      </w:r>
      <w:r>
        <w:rPr>
          <w:rFonts w:cs="Calibri"/>
        </w:rPr>
        <w:t xml:space="preserve">were instead </w:t>
      </w:r>
      <w:r w:rsidRPr="005F712F">
        <w:rPr>
          <w:rFonts w:cs="Calibri"/>
        </w:rPr>
        <w:t>an intentional</w:t>
      </w:r>
      <w:r>
        <w:rPr>
          <w:rFonts w:cs="Calibri"/>
        </w:rPr>
        <w:t xml:space="preserve"> sample of grantee cities </w:t>
      </w:r>
      <w:r w:rsidRPr="000441C4">
        <w:rPr>
          <w:rFonts w:cs="Calibri"/>
        </w:rPr>
        <w:t xml:space="preserve">selected from major US urban areas.  </w:t>
      </w:r>
    </w:p>
    <w:p w:rsidR="000441C4" w:rsidRDefault="000441C4" w:rsidP="000441C4">
      <w:pPr>
        <w:shd w:val="clear" w:color="auto" w:fill="FFFFFF"/>
        <w:spacing w:before="100" w:beforeAutospacing="1" w:after="100" w:afterAutospacing="1"/>
        <w:rPr>
          <w:rFonts w:cs="Calibri"/>
        </w:rPr>
      </w:pPr>
      <w:r w:rsidRPr="005F712F">
        <w:rPr>
          <w:rFonts w:cs="Calibri"/>
        </w:rPr>
        <w:t xml:space="preserve">In 2007 for ADAM II, ONDCP selected a </w:t>
      </w:r>
      <w:r w:rsidRPr="005F712F">
        <w:rPr>
          <w:rFonts w:cs="Calibri"/>
          <w:b/>
        </w:rPr>
        <w:t xml:space="preserve">purposive sample </w:t>
      </w:r>
      <w:r w:rsidRPr="005F712F">
        <w:rPr>
          <w:rFonts w:cs="Calibri"/>
        </w:rPr>
        <w:t>of 10 counties from the original 35 counties</w:t>
      </w:r>
      <w:r>
        <w:rPr>
          <w:rFonts w:cs="Calibri"/>
        </w:rPr>
        <w:t xml:space="preserve"> funded by NIJ to create 10 sentinel sites.</w:t>
      </w:r>
      <w:r w:rsidRPr="005F712F">
        <w:rPr>
          <w:rFonts w:cs="Calibri"/>
        </w:rPr>
        <w:t xml:space="preserve">  </w:t>
      </w:r>
      <w:r w:rsidRPr="005F712F">
        <w:rPr>
          <w:rFonts w:cs="Calibri"/>
          <w:color w:val="000000"/>
        </w:rPr>
        <w:t>Purposive sampling is not sampling by convenience, but instead is based on the broader interests of the study</w:t>
      </w:r>
      <w:r>
        <w:rPr>
          <w:rFonts w:cs="Calibri"/>
          <w:color w:val="000000"/>
        </w:rPr>
        <w:t xml:space="preserve"> and selects </w:t>
      </w:r>
      <w:r w:rsidRPr="005F712F">
        <w:rPr>
          <w:rFonts w:cs="Calibri"/>
          <w:color w:val="000000"/>
        </w:rPr>
        <w:t xml:space="preserve">sites with intent. The sites selected in 2007 were specifically identified based on </w:t>
      </w:r>
      <w:r w:rsidRPr="005F712F">
        <w:rPr>
          <w:rFonts w:cs="Calibri"/>
        </w:rPr>
        <w:t>geographic distribution (</w:t>
      </w:r>
      <w:r>
        <w:rPr>
          <w:rFonts w:cs="Calibri"/>
        </w:rPr>
        <w:t>i.e., provide data from different sites across the country)</w:t>
      </w:r>
      <w:r w:rsidRPr="005F712F">
        <w:rPr>
          <w:rFonts w:cs="Calibri"/>
        </w:rPr>
        <w:t xml:space="preserve"> and adequacy of prior data (complete quarters of collection from 2000-2003). Special consideration was given to sites east of the Mississippi to examine any possible spread of methamphetamine</w:t>
      </w:r>
      <w:r>
        <w:rPr>
          <w:rFonts w:cs="Calibri"/>
        </w:rPr>
        <w:t xml:space="preserve"> use from West to East </w:t>
      </w:r>
      <w:r w:rsidRPr="000441C4">
        <w:rPr>
          <w:rFonts w:cs="Calibri"/>
        </w:rPr>
        <w:t>in specific sites</w:t>
      </w:r>
      <w:r>
        <w:rPr>
          <w:rFonts w:cs="Calibri"/>
        </w:rPr>
        <w:t>.</w:t>
      </w:r>
      <w:r w:rsidRPr="005F712F">
        <w:rPr>
          <w:rFonts w:cs="Calibri"/>
        </w:rPr>
        <w:t xml:space="preserve">  </w:t>
      </w:r>
    </w:p>
    <w:p w:rsidR="000441C4" w:rsidRDefault="000441C4" w:rsidP="000441C4">
      <w:r>
        <w:t xml:space="preserve">A site did not need to meet all of the above criteria to be considered, but had to meet at least the majority. </w:t>
      </w:r>
      <w:r w:rsidRPr="004D689C">
        <w:t xml:space="preserve">The </w:t>
      </w:r>
      <w:r>
        <w:t xml:space="preserve">ten </w:t>
      </w:r>
      <w:r w:rsidRPr="004D689C">
        <w:t>sites from 2007 continued into data collection</w:t>
      </w:r>
      <w:r>
        <w:t xml:space="preserve"> for each year of 2008 through 2011. In 2012, federal budget reductions forced ONDCP to reduce the number of sites from 10 to 5, and to reduce data collection from two-week collections twice each year to one three-week collection period.</w:t>
      </w:r>
    </w:p>
    <w:p w:rsidR="000441C4" w:rsidRPr="000441C4" w:rsidRDefault="000441C4" w:rsidP="000441C4">
      <w:pPr>
        <w:contextualSpacing/>
        <w:rPr>
          <w:rFonts w:cs="Calibri"/>
        </w:rPr>
      </w:pPr>
      <w:r w:rsidRPr="000441C4">
        <w:rPr>
          <w:rFonts w:cs="Calibri"/>
        </w:rPr>
        <w:t xml:space="preserve">In 2012, ADAM II had to limit collection to 5 of those 10 counties, but continued to provide estimates and trend analysis for those 5 counties.  Again the selection of the 5 sites in 2011 was purposive and based on specific criteria: case production and response rates, cost efficiency and sites in different geographic areas.  For example, ONDCP wanted to retain at least one southern site (Atlanta or Charlotte) and one Western site (Sacramento or Portland), so that data on the unique drug use in those sites were collected.  The final selection resulted in the following sites for the 2012 collection: New York, NY (Borough of Manhattan); Atlanta, GA (Fulton County); Chicago, IL (Cook County); Denver, CO (Denver County) and Sacramento, CA (Sacramento, County).   </w:t>
      </w:r>
    </w:p>
    <w:p w:rsidR="00B67662" w:rsidRDefault="00B67662" w:rsidP="00EE7DC5"/>
    <w:p w:rsidR="00EE7DC5" w:rsidRPr="00EE7DC5" w:rsidRDefault="008B3C86" w:rsidP="00EE7DC5">
      <w:pPr>
        <w:rPr>
          <w:rFonts w:cs="Calibri"/>
        </w:rPr>
      </w:pPr>
      <w:r>
        <w:t xml:space="preserve">The five sites selected provide a </w:t>
      </w:r>
      <w:r w:rsidRPr="005B23C8">
        <w:rPr>
          <w:i/>
        </w:rPr>
        <w:t>sentinel</w:t>
      </w:r>
      <w:r>
        <w:t xml:space="preserve"> </w:t>
      </w:r>
      <w:r w:rsidRPr="005B23C8">
        <w:rPr>
          <w:i/>
        </w:rPr>
        <w:t>system</w:t>
      </w:r>
      <w:r w:rsidR="008500A5">
        <w:rPr>
          <w:i/>
        </w:rPr>
        <w:t>.</w:t>
      </w:r>
      <w:r w:rsidR="009723ED">
        <w:t xml:space="preserve"> </w:t>
      </w:r>
      <w:r w:rsidR="00EE7DC5" w:rsidRPr="00EE7DC5">
        <w:rPr>
          <w:rFonts w:cs="Calibri"/>
        </w:rPr>
        <w:t xml:space="preserve">Although in ADAM II the counties comprise a purposive sample and therefore a non-probability sample of counties, the sample of arrestees does constitute a probability-based sample of male arrestees booked into jails within those counties. The sites are not intended in any way to constitute a national sample nor to be generalized to represent national trends. As sentinel sites, they do not represent the Nation as a whole and national estimates </w:t>
      </w:r>
      <w:r w:rsidR="00EE7DC5" w:rsidRPr="00EE7DC5">
        <w:rPr>
          <w:rFonts w:cs="Calibri"/>
        </w:rPr>
        <w:lastRenderedPageBreak/>
        <w:t>cannot be derived from the data; data are never combined in that fashion in analysis.  However, they do represent the adult male booked arrestee population in each site, providing valuable information on variation in drug use in these sites and highlights important differences often masked in broader national estimates.  It was ONDCP’s interest in these site differences that guided the purposive selection of each ADAM II site.</w:t>
      </w:r>
    </w:p>
    <w:p w:rsidR="008B3C86" w:rsidRDefault="008B3C86" w:rsidP="00EA0BBD">
      <w:pPr>
        <w:pStyle w:val="Heading4"/>
      </w:pPr>
      <w:bookmarkStart w:id="6" w:name="_Toc249943231"/>
      <w:r>
        <w:t xml:space="preserve">Sampling </w:t>
      </w:r>
      <w:r w:rsidR="007A5EAB">
        <w:t>within</w:t>
      </w:r>
      <w:r>
        <w:t xml:space="preserve"> </w:t>
      </w:r>
      <w:r w:rsidR="00E50584">
        <w:t>a</w:t>
      </w:r>
      <w:r>
        <w:t xml:space="preserve"> County</w:t>
      </w:r>
    </w:p>
    <w:p w:rsidR="008B3C86" w:rsidRDefault="008B3C86" w:rsidP="009723ED">
      <w:r>
        <w:t xml:space="preserve">The standard catchment area for each site is the county, although the sites are referred to by the primary city in that geographic region. Within each site, the number of booking facilities and the manner in which arrestees are moved from arrest to arraignment to holding varies. </w:t>
      </w:r>
    </w:p>
    <w:p w:rsidR="008B3C86" w:rsidRDefault="008B3C86" w:rsidP="009723ED">
      <w:r>
        <w:t xml:space="preserve">In some cases, regardless of arresting agency, all bookings in the county take place in a single jail, while in other counties bookings may take place in multiple facilities across the county. Sampling plans are designed based on whether the site has a single or multiple booking facilities. </w:t>
      </w:r>
    </w:p>
    <w:p w:rsidR="008B3C86" w:rsidRDefault="008B3C86" w:rsidP="009723ED">
      <w:r>
        <w:t xml:space="preserve">Two ADAM II counties have a single jail where all arrestees arrested in the county are brought to be booked pending further processing. The remaining three ADAM II counties, however, book in multiple jails. In these cases, each jail </w:t>
      </w:r>
      <w:r w:rsidR="008500A5">
        <w:t xml:space="preserve">would </w:t>
      </w:r>
      <w:r>
        <w:t>constitute a stratum, and the result is a stratified random sample. However, resource constraints dictate that in some instances small booking facilities have to be excluded from the sample. For example, the Manhattan sample is restricted to the large central booking facility downtown (Manhattan House of Detention)</w:t>
      </w:r>
      <w:r w:rsidR="009723ED">
        <w:t xml:space="preserve">. </w:t>
      </w:r>
      <w:r>
        <w:t>The included jail, however, captures the overwhelming majority of the county bookings.</w:t>
      </w:r>
      <w:r>
        <w:rPr>
          <w:rStyle w:val="FootnoteReference"/>
        </w:rPr>
        <w:footnoteReference w:id="1"/>
      </w:r>
      <w:r w:rsidR="00EA0BBD">
        <w:t xml:space="preserve"> </w:t>
      </w:r>
      <w:r>
        <w:t>In Cook County (Chicago), the sample is limited to felony arrests and more serious misdemeanants who are brought from agencies throughout the city and county to be booked at the Cook County jail.</w:t>
      </w:r>
      <w:r>
        <w:rPr>
          <w:rStyle w:val="FootnoteReference"/>
        </w:rPr>
        <w:footnoteReference w:id="2"/>
      </w:r>
    </w:p>
    <w:p w:rsidR="008B3C86" w:rsidRDefault="008B3C86" w:rsidP="009723ED">
      <w:r>
        <w:t xml:space="preserve">ADAM II interviews </w:t>
      </w:r>
      <w:r w:rsidR="00E521E7">
        <w:t xml:space="preserve">booked male </w:t>
      </w:r>
      <w:r>
        <w:t>arrestees over 21 consecutive days in every sampled jail, with the exception of collection in Atlanta. In Atlanta (Fulton County and the City of Atlanta), there are two principal jails, one in Fulton County (Fulton County Jail) where all Fulton County felons and misdemeanants are booked. The second facility, the Atlanta Detention Center, books all misdemeanants arrested in the city proper by the Atlanta Police Department; all city felony arrests are taken to the Fulton County Jail. In 2012</w:t>
      </w:r>
      <w:r w:rsidR="008500A5">
        <w:t>,</w:t>
      </w:r>
      <w:r>
        <w:t xml:space="preserve"> ADAM II samples from the </w:t>
      </w:r>
      <w:r w:rsidRPr="00047507">
        <w:t>Atlanta Detention Center</w:t>
      </w:r>
      <w:r>
        <w:t xml:space="preserve"> for the first 10 days and the Fulton County Jail for the second 11 days.</w:t>
      </w:r>
    </w:p>
    <w:p w:rsidR="008B3C86" w:rsidRDefault="008B3C86" w:rsidP="00EA0BBD">
      <w:pPr>
        <w:pStyle w:val="Heading4"/>
      </w:pPr>
      <w:r>
        <w:t>Sampling Method for Respondent Selection</w:t>
      </w:r>
    </w:p>
    <w:p w:rsidR="001C0582" w:rsidRDefault="001C0582" w:rsidP="001C0582">
      <w:pPr>
        <w:tabs>
          <w:tab w:val="left" w:pos="720"/>
          <w:tab w:val="left" w:pos="1080"/>
          <w:tab w:val="left" w:pos="1440"/>
          <w:tab w:val="left" w:pos="1800"/>
        </w:tabs>
        <w:spacing w:after="0" w:line="240" w:lineRule="auto"/>
      </w:pPr>
    </w:p>
    <w:p w:rsidR="001C0582" w:rsidRDefault="001C0582" w:rsidP="001C0582">
      <w:r w:rsidRPr="001C0582">
        <w:rPr>
          <w:szCs w:val="22"/>
        </w:rPr>
        <w:lastRenderedPageBreak/>
        <w:t>To be eligible for</w:t>
      </w:r>
      <w:r>
        <w:rPr>
          <w:szCs w:val="22"/>
        </w:rPr>
        <w:t xml:space="preserve"> inclusion in the ADAM II sample,</w:t>
      </w:r>
      <w:r w:rsidRPr="001C0582">
        <w:rPr>
          <w:szCs w:val="22"/>
        </w:rPr>
        <w:t xml:space="preserve"> in each county an arrestee must be: male, over 18, arrested no longer than 48 hours prior to the interview, coherent enough to answer questions and not in the jail as a hold for a federal agency. </w:t>
      </w:r>
      <w:r>
        <w:t xml:space="preserve">Field supervisors managing the sample </w:t>
      </w:r>
      <w:r w:rsidR="00E521E7">
        <w:t xml:space="preserve">(Lead Interviewers) </w:t>
      </w:r>
      <w:r>
        <w:t xml:space="preserve">and interviewers are trained to recognize when an arrestee is not sufficiently aware to provide consent or be interviewed. When such an individual is sampled and brought to the interviewing area by the assisting officer, if the interviewer sees the impairment, the officer is asked to return the arrestee to the cell and the interviewer will return to him, if possible, during the course of the interview shift or a replacement is selected and the reason for non-response is recorded on the facesheet.  The sampled respondents who do not become cognizant enough to eventually be interviewed are recorded on the facesheet as the variables “violent or uncontrolled behavior” or “physically ill.”  The individual would be in one of these categories if his behavior continued to indicate serious drug or alcohol intoxication influencing his ability to give consent and be interviewed. This recording category on the facesheet would also be used for violent offenders who are deemed out of control and offenders who are brought in physically ill, not necessarily related to intoxication. </w:t>
      </w:r>
    </w:p>
    <w:p w:rsidR="008B3C86" w:rsidRDefault="008B3C86" w:rsidP="009723ED">
      <w:r>
        <w:t xml:space="preserve">There are important practical challenges inherent in surveying the ADAM </w:t>
      </w:r>
      <w:r w:rsidR="00E521E7">
        <w:t xml:space="preserve">II </w:t>
      </w:r>
      <w:r>
        <w:t xml:space="preserve">target population and creating a representative sample of all </w:t>
      </w:r>
      <w:r w:rsidR="00E521E7">
        <w:t xml:space="preserve">males over 18 who are </w:t>
      </w:r>
      <w:r>
        <w:t>arrested over the course of a typical booking day</w:t>
      </w:r>
      <w:r w:rsidR="009723ED">
        <w:t xml:space="preserve">. </w:t>
      </w:r>
      <w:r>
        <w:t>First, jails are chaotic, and law enforcement officials may not allow interviewers to be stationed within the jail during certain hours, particularly during hours when the booking process is most intense, due to security concerns and disruptions caused by our need to access booking records and arrestees</w:t>
      </w:r>
      <w:r w:rsidR="009723ED">
        <w:t xml:space="preserve">. </w:t>
      </w:r>
      <w:r>
        <w:t>In contrast, there are also certain shifts during which so few arrestees are booked into the jail that interviewers stationed in the jail during those hours of relative quiescence could interview just one or two arrestees in an eight hour shift, compared to high-volume periods when many arrestees are available to be interviewed.</w:t>
      </w:r>
    </w:p>
    <w:p w:rsidR="008B3C86" w:rsidRDefault="008B3C86" w:rsidP="009723ED">
      <w:r>
        <w:t xml:space="preserve">The sampling design in each facility divides the data collection day (and the interview cases) into periods of </w:t>
      </w:r>
      <w:r w:rsidRPr="005B23C8">
        <w:rPr>
          <w:i/>
        </w:rPr>
        <w:t>stock</w:t>
      </w:r>
      <w:r>
        <w:t xml:space="preserve"> and </w:t>
      </w:r>
      <w:r w:rsidRPr="005B23C8">
        <w:rPr>
          <w:i/>
        </w:rPr>
        <w:t>flow</w:t>
      </w:r>
      <w:r w:rsidR="009723ED">
        <w:t xml:space="preserve">. </w:t>
      </w:r>
      <w:r>
        <w:t>Interviewers arrive at the jail at a fixed time during the day</w:t>
      </w:r>
      <w:r w:rsidR="009723ED">
        <w:t xml:space="preserve">. </w:t>
      </w:r>
      <w:r>
        <w:t>Call this H</w:t>
      </w:r>
      <w:r w:rsidR="009723ED">
        <w:t xml:space="preserve">. </w:t>
      </w:r>
      <w:r>
        <w:t>They work a shift of length S</w:t>
      </w:r>
      <w:r w:rsidR="009723ED">
        <w:t xml:space="preserve">. </w:t>
      </w:r>
      <w:r>
        <w:t xml:space="preserve">The </w:t>
      </w:r>
      <w:r w:rsidRPr="005B23C8">
        <w:rPr>
          <w:i/>
        </w:rPr>
        <w:t>stock</w:t>
      </w:r>
      <w:r>
        <w:t xml:space="preserve"> comprises all arrestees booked between H-24+S and H, and the </w:t>
      </w:r>
      <w:r w:rsidRPr="005B23C8">
        <w:rPr>
          <w:i/>
        </w:rPr>
        <w:t>flow</w:t>
      </w:r>
      <w:r>
        <w:t xml:space="preserve"> comprises all arrestees booked between H and H+S</w:t>
      </w:r>
      <w:r w:rsidR="009723ED">
        <w:t xml:space="preserve">. </w:t>
      </w:r>
      <w:r>
        <w:t>For example, if interviewers start working at 4 PM and work for 8 hours, then the stock period runs from 12</w:t>
      </w:r>
      <w:r w:rsidR="008500A5">
        <w:t xml:space="preserve"> </w:t>
      </w:r>
      <w:r>
        <w:t>PM to 4</w:t>
      </w:r>
      <w:r w:rsidR="008500A5">
        <w:t xml:space="preserve"> </w:t>
      </w:r>
      <w:r>
        <w:t>PM, and the flow period runs from 4</w:t>
      </w:r>
      <w:r w:rsidR="008500A5">
        <w:t xml:space="preserve"> </w:t>
      </w:r>
      <w:r>
        <w:t>PM to 12</w:t>
      </w:r>
      <w:r w:rsidR="008500A5">
        <w:t xml:space="preserve"> </w:t>
      </w:r>
      <w:r>
        <w:t>PM</w:t>
      </w:r>
      <w:r w:rsidR="009723ED">
        <w:t xml:space="preserve">. </w:t>
      </w:r>
      <w:r>
        <w:t>Cases are sampled from the stock and flow strata.</w:t>
      </w:r>
    </w:p>
    <w:p w:rsidR="008B3C86" w:rsidRDefault="008B3C86" w:rsidP="009723ED">
      <w:r>
        <w:t>In the stock period, sampling is done from arrestees who have been arrested between H-24+S and H</w:t>
      </w:r>
      <w:r w:rsidR="009723ED">
        <w:t xml:space="preserve">. </w:t>
      </w:r>
      <w:r>
        <w:t>This sampling begins at time H, and while arrestees identified as having been brought in during that time remain in the sample frame, interviewers can only interview those arrestees who remain in jail as of time H</w:t>
      </w:r>
      <w:r w:rsidR="009723ED">
        <w:t xml:space="preserve">. </w:t>
      </w:r>
      <w:r>
        <w:t>In the flow period, sampling is done continuously for arrestees as they are booked between H and H+S.</w:t>
      </w:r>
    </w:p>
    <w:p w:rsidR="008B3C86" w:rsidRPr="00BE743D" w:rsidRDefault="008B3C86" w:rsidP="009723ED">
      <w:r w:rsidRPr="00BE743D">
        <w:t xml:space="preserve">To determine sampling rate, </w:t>
      </w:r>
      <w:r w:rsidR="008500A5">
        <w:t>analyst</w:t>
      </w:r>
      <w:r w:rsidR="008500A5" w:rsidRPr="00BE743D">
        <w:t xml:space="preserve">s </w:t>
      </w:r>
      <w:r w:rsidRPr="00BE743D">
        <w:t xml:space="preserve">estimate the number of bookings that occur during the stock and flow periods based on data for each facility </w:t>
      </w:r>
      <w:r>
        <w:t>reflecting</w:t>
      </w:r>
      <w:r w:rsidRPr="00BE743D">
        <w:t xml:space="preserve"> the </w:t>
      </w:r>
      <w:r>
        <w:t>three</w:t>
      </w:r>
      <w:r w:rsidRPr="00BE743D">
        <w:t xml:space="preserve">-week period prior to </w:t>
      </w:r>
      <w:r>
        <w:t xml:space="preserve">the quarter’s </w:t>
      </w:r>
      <w:r w:rsidRPr="00BE743D">
        <w:t>collection</w:t>
      </w:r>
      <w:r w:rsidR="009723ED">
        <w:t xml:space="preserve">. </w:t>
      </w:r>
      <w:r w:rsidRPr="00BE743D">
        <w:t>Call the daily total N; call the number booked during the stock period N</w:t>
      </w:r>
      <w:r w:rsidRPr="00BE743D">
        <w:rPr>
          <w:vertAlign w:val="subscript"/>
        </w:rPr>
        <w:t>S</w:t>
      </w:r>
      <w:r w:rsidRPr="00BE743D">
        <w:t>; and call the number booked during the flow period N</w:t>
      </w:r>
      <w:r w:rsidRPr="00BE743D">
        <w:rPr>
          <w:szCs w:val="22"/>
          <w:vertAlign w:val="subscript"/>
        </w:rPr>
        <w:t>F</w:t>
      </w:r>
      <w:r w:rsidR="009723ED">
        <w:rPr>
          <w:szCs w:val="22"/>
        </w:rPr>
        <w:t xml:space="preserve">. </w:t>
      </w:r>
      <w:proofErr w:type="gramStart"/>
      <w:r w:rsidRPr="00BE743D">
        <w:rPr>
          <w:szCs w:val="22"/>
        </w:rPr>
        <w:t>Then</w:t>
      </w:r>
      <w:r w:rsidRPr="00BE743D">
        <w:t xml:space="preserve"> </w:t>
      </w:r>
      <w:proofErr w:type="gramEnd"/>
      <w:r w:rsidRPr="00BE743D">
        <w:rPr>
          <w:position w:val="-12"/>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8.25pt" o:ole="">
            <v:imagedata r:id="rId14" o:title=""/>
          </v:shape>
          <o:OLEObject Type="Embed" ProgID="Equation.3" ShapeID="_x0000_i1025" DrawAspect="Content" ObjectID="_1428919666" r:id="rId15"/>
        </w:object>
      </w:r>
      <w:r w:rsidR="009723ED">
        <w:t xml:space="preserve">. </w:t>
      </w:r>
      <w:r w:rsidRPr="00BE743D">
        <w:t>Supervisors set quotas from the stock and flow</w:t>
      </w:r>
      <w:r>
        <w:t xml:space="preserve"> for each site </w:t>
      </w:r>
      <w:r w:rsidRPr="00BE743D">
        <w:t>equal to n</w:t>
      </w:r>
      <w:r w:rsidRPr="00BE743D">
        <w:rPr>
          <w:szCs w:val="22"/>
          <w:vertAlign w:val="subscript"/>
        </w:rPr>
        <w:t xml:space="preserve">S </w:t>
      </w:r>
      <w:r w:rsidRPr="00BE743D">
        <w:t>and n</w:t>
      </w:r>
      <w:r w:rsidRPr="00BE743D">
        <w:rPr>
          <w:szCs w:val="22"/>
          <w:vertAlign w:val="subscript"/>
        </w:rPr>
        <w:t>F</w:t>
      </w:r>
      <w:r w:rsidRPr="00BE743D">
        <w:t>, respectively, such that:</w:t>
      </w:r>
    </w:p>
    <w:p w:rsidR="008B3C86" w:rsidRPr="009723ED" w:rsidRDefault="008B3C86" w:rsidP="009723ED">
      <w:r w:rsidRPr="00BE743D">
        <w:tab/>
      </w:r>
      <w:r w:rsidRPr="00BE743D">
        <w:rPr>
          <w:position w:val="-30"/>
        </w:rPr>
        <w:object w:dxaOrig="980" w:dyaOrig="680">
          <v:shape id="_x0000_i1026" type="#_x0000_t75" style="width:48.9pt;height:33.85pt" o:ole="">
            <v:imagedata r:id="rId16" o:title=""/>
          </v:shape>
          <o:OLEObject Type="Embed" ProgID="Equation.3" ShapeID="_x0000_i1026" DrawAspect="Content" ObjectID="_1428919667" r:id="rId17"/>
        </w:object>
      </w:r>
    </w:p>
    <w:p w:rsidR="008B3C86" w:rsidRPr="00BE743D" w:rsidRDefault="008B3C86" w:rsidP="009723ED">
      <w:r w:rsidRPr="00BE743D">
        <w:lastRenderedPageBreak/>
        <w:t>The actual sample size (n=n</w:t>
      </w:r>
      <w:r w:rsidRPr="00BE743D">
        <w:rPr>
          <w:szCs w:val="22"/>
          <w:vertAlign w:val="subscript"/>
        </w:rPr>
        <w:t>S</w:t>
      </w:r>
      <w:r w:rsidRPr="00BE743D">
        <w:t>+n</w:t>
      </w:r>
      <w:r w:rsidRPr="00BE743D">
        <w:rPr>
          <w:szCs w:val="22"/>
          <w:vertAlign w:val="subscript"/>
        </w:rPr>
        <w:t>F</w:t>
      </w:r>
      <w:r w:rsidRPr="00BE743D">
        <w:t>) depends on the number of interviewers and sometimes (for small jails) the number of bookings (N=N</w:t>
      </w:r>
      <w:r w:rsidRPr="00BE743D">
        <w:rPr>
          <w:szCs w:val="22"/>
          <w:vertAlign w:val="subscript"/>
        </w:rPr>
        <w:t>S</w:t>
      </w:r>
      <w:r w:rsidRPr="00BE743D">
        <w:t>+N</w:t>
      </w:r>
      <w:r w:rsidRPr="00BE743D">
        <w:rPr>
          <w:szCs w:val="22"/>
          <w:vertAlign w:val="subscript"/>
        </w:rPr>
        <w:t>F</w:t>
      </w:r>
      <w:r w:rsidRPr="00BE743D">
        <w:t>)</w:t>
      </w:r>
      <w:r>
        <w:t>,</w:t>
      </w:r>
      <w:r w:rsidRPr="00BE743D">
        <w:t xml:space="preserve"> since n cannot exceed N.</w:t>
      </w:r>
    </w:p>
    <w:p w:rsidR="008B3C86" w:rsidRPr="00BE743D" w:rsidRDefault="008500A5" w:rsidP="009723ED">
      <w:r>
        <w:t>An analyst</w:t>
      </w:r>
      <w:r w:rsidR="008B3C86" w:rsidRPr="00BE743D">
        <w:t xml:space="preserve"> sorts arrestees based on booking time during the stock period and forms n</w:t>
      </w:r>
      <w:r w:rsidR="008B3C86" w:rsidRPr="00BE743D">
        <w:rPr>
          <w:vertAlign w:val="subscript"/>
        </w:rPr>
        <w:t>s</w:t>
      </w:r>
      <w:r w:rsidR="008B3C86" w:rsidRPr="00BE743D">
        <w:t xml:space="preserve"> equal sized strata based on that ordering</w:t>
      </w:r>
      <w:r w:rsidR="009723ED">
        <w:t xml:space="preserve">. </w:t>
      </w:r>
      <w:r w:rsidR="008B3C86" w:rsidRPr="00BE743D">
        <w:t>Sampling is systematic within each stratum: 1, n</w:t>
      </w:r>
      <w:r w:rsidR="008B3C86" w:rsidRPr="00BE743D">
        <w:rPr>
          <w:szCs w:val="22"/>
          <w:vertAlign w:val="subscript"/>
        </w:rPr>
        <w:t>S</w:t>
      </w:r>
      <w:r w:rsidR="008B3C86" w:rsidRPr="00BE743D">
        <w:t>+1, n</w:t>
      </w:r>
      <w:r w:rsidR="008B3C86" w:rsidRPr="00BE743D">
        <w:rPr>
          <w:szCs w:val="22"/>
          <w:vertAlign w:val="subscript"/>
        </w:rPr>
        <w:t>S</w:t>
      </w:r>
      <w:r w:rsidR="008B3C86" w:rsidRPr="00BE743D">
        <w:t>+2, etc</w:t>
      </w:r>
      <w:r w:rsidR="009723ED">
        <w:t xml:space="preserve">. </w:t>
      </w:r>
      <w:r w:rsidR="008B3C86" w:rsidRPr="00BE743D">
        <w:t xml:space="preserve">If the sampled arrestee is unavailable or unwilling to participate, the </w:t>
      </w:r>
      <w:r>
        <w:t>Lead Interviewer (LI)</w:t>
      </w:r>
      <w:r w:rsidRPr="00BE743D">
        <w:t xml:space="preserve"> </w:t>
      </w:r>
      <w:r w:rsidR="008B3C86" w:rsidRPr="00BE743D">
        <w:t xml:space="preserve">selects the nearest </w:t>
      </w:r>
      <w:r w:rsidR="008B3C86">
        <w:t xml:space="preserve">temporal </w:t>
      </w:r>
      <w:r w:rsidR="008B3C86" w:rsidRPr="00BE743D">
        <w:t xml:space="preserve">neighbor—meaning the arrestee whose booking time occurs immediately after </w:t>
      </w:r>
      <w:r w:rsidR="008B3C86">
        <w:t>the arrestee who is unavailable or who d</w:t>
      </w:r>
      <w:r w:rsidR="008B3C86" w:rsidRPr="00BE743D">
        <w:t>eclined</w:t>
      </w:r>
      <w:r w:rsidR="009723ED">
        <w:t xml:space="preserve">. </w:t>
      </w:r>
      <w:r w:rsidR="008B3C86" w:rsidRPr="00BE743D">
        <w:t>Replacement continues until the already established stock quota is filled</w:t>
      </w:r>
      <w:r w:rsidR="009723ED">
        <w:t xml:space="preserve">. </w:t>
      </w:r>
      <w:r w:rsidR="008B3C86" w:rsidRPr="00BE743D">
        <w:t xml:space="preserve">Because of administrative practices of jails and courts, arrestees are frequently unavailable to interviewers, i.e., they have been transferred to another facility, </w:t>
      </w:r>
      <w:r w:rsidR="008B3C86">
        <w:t xml:space="preserve">have already been </w:t>
      </w:r>
      <w:r w:rsidR="008B3C86" w:rsidRPr="00BE743D">
        <w:t>released or are in court</w:t>
      </w:r>
      <w:r w:rsidR="009723ED">
        <w:t xml:space="preserve">. </w:t>
      </w:r>
      <w:r w:rsidR="008B3C86" w:rsidRPr="00BE743D">
        <w:t>The selection of the nearest neighbor is intended to reduce or eliminate any bias that otherwise would occur from apparently low response rates.</w:t>
      </w:r>
    </w:p>
    <w:p w:rsidR="008B3C86" w:rsidRDefault="008B3C86" w:rsidP="009723ED">
      <w:r>
        <w:t xml:space="preserve">During the flow period, the </w:t>
      </w:r>
      <w:r w:rsidR="00E521E7">
        <w:t xml:space="preserve">sample manager </w:t>
      </w:r>
      <w:r w:rsidR="008500A5">
        <w:t xml:space="preserve"> </w:t>
      </w:r>
      <w:r>
        <w:t>selects the arrestee booked most recently and assigns an interviewer</w:t>
      </w:r>
      <w:r w:rsidR="009723ED">
        <w:t xml:space="preserve">. </w:t>
      </w:r>
      <w:r>
        <w:t>If the arrestee is unavailable or unwillin</w:t>
      </w:r>
      <w:r w:rsidR="00E521E7">
        <w:t>g to participate, the sample manager</w:t>
      </w:r>
      <w:r>
        <w:t xml:space="preserve"> selects the next most recently booked arrestee as a substitute</w:t>
      </w:r>
      <w:r w:rsidR="009723ED">
        <w:t xml:space="preserve">. </w:t>
      </w:r>
      <w:r>
        <w:t>This process continues until the workday ends at time H+S.</w:t>
      </w:r>
    </w:p>
    <w:p w:rsidR="00EE7DC5" w:rsidRPr="007138BC" w:rsidRDefault="00EE7DC5" w:rsidP="00EE7DC5">
      <w:pPr>
        <w:rPr>
          <w:rFonts w:cs="Calibri"/>
        </w:rPr>
      </w:pPr>
      <w:r w:rsidRPr="007138BC">
        <w:rPr>
          <w:rFonts w:cs="Calibri"/>
        </w:rPr>
        <w:t>By addressing sample replacement as described above, we are replacing either an unavailable or a non-responding arrestee.  This is a strategy well-known in the literature as “field substitution”</w:t>
      </w:r>
      <w:r w:rsidR="00BD016C">
        <w:rPr>
          <w:rStyle w:val="FootnoteReference"/>
          <w:rFonts w:cs="Calibri"/>
        </w:rPr>
        <w:footnoteReference w:id="3"/>
      </w:r>
      <w:r w:rsidRPr="007138BC">
        <w:rPr>
          <w:rFonts w:cs="Calibri"/>
        </w:rPr>
        <w:t xml:space="preserve">.  Our specific strategy for field substitution, to select the nearest temporal neighbor for replacement, maintains sample balance.  In ADAM II, we trade off a slightly less efficient variance estimate, to (1) maintain a self-balancing sample, and (2) considerably simplify the weighting procedure </w:t>
      </w:r>
    </w:p>
    <w:p w:rsidR="008B3C86" w:rsidRDefault="008B3C86" w:rsidP="009723ED">
      <w:r>
        <w:t>This procedure produces a sample that is reasonably well balanced, meaning that arrestees have about the same probability of being included in the sample</w:t>
      </w:r>
      <w:r w:rsidR="009723ED">
        <w:t xml:space="preserve">. </w:t>
      </w:r>
      <w:r>
        <w:t>If the sample were perfectly balanced, weighting would be unnecessary for unbiased estimates; and, in fact, estimates based on weighted and unweighted ADAM data are similar</w:t>
      </w:r>
      <w:r w:rsidR="009723ED">
        <w:t xml:space="preserve">. </w:t>
      </w:r>
      <w:r>
        <w:t>The sample is not perfectly balanced, however, for several reasons.</w:t>
      </w:r>
    </w:p>
    <w:p w:rsidR="008B3C86" w:rsidRPr="00C76F00" w:rsidRDefault="00E521E7" w:rsidP="009723ED">
      <w:r>
        <w:t xml:space="preserve">First, while sample </w:t>
      </w:r>
      <w:r w:rsidR="007A5EAB">
        <w:t xml:space="preserve">managers </w:t>
      </w:r>
      <w:r w:rsidR="007A5EAB" w:rsidRPr="00C76F00">
        <w:t>attempt</w:t>
      </w:r>
      <w:r w:rsidR="008B3C86" w:rsidRPr="00C76F00">
        <w:t xml:space="preserve"> to sample proportional to volume during the stock and flow periods based on recent data from the facility, achieving this proportionality requires information that is not available at the time that quotas are set</w:t>
      </w:r>
      <w:r w:rsidR="009723ED">
        <w:t xml:space="preserve">. </w:t>
      </w:r>
      <w:r w:rsidR="008B3C86" w:rsidRPr="00C76F00">
        <w:t>Analysts can only estimate N</w:t>
      </w:r>
      <w:r w:rsidR="008B3C86" w:rsidRPr="00C76F00">
        <w:rPr>
          <w:szCs w:val="22"/>
          <w:vertAlign w:val="subscript"/>
        </w:rPr>
        <w:t>S</w:t>
      </w:r>
      <w:r w:rsidR="008B3C86" w:rsidRPr="00C76F00">
        <w:t xml:space="preserve"> and N</w:t>
      </w:r>
      <w:r w:rsidR="008B3C86" w:rsidRPr="00C76F00">
        <w:rPr>
          <w:szCs w:val="22"/>
          <w:vertAlign w:val="subscript"/>
        </w:rPr>
        <w:t>F</w:t>
      </w:r>
      <w:r w:rsidR="008B3C86" w:rsidRPr="00C76F00">
        <w:t xml:space="preserve"> based on recent historical experience; furthermore, the LIs cannot know the length of time required to complete each interview because the length of the ADAM II interview depends on the extent of the arrestee’s comprehension and cooperation level, as well as the extent of his reported drug use and market activity</w:t>
      </w:r>
      <w:r w:rsidR="009723ED">
        <w:t xml:space="preserve">. </w:t>
      </w:r>
      <w:r w:rsidR="008B3C86" w:rsidRPr="00C76F00">
        <w:t>Hence, the achieved value of n</w:t>
      </w:r>
      <w:r w:rsidR="008B3C86" w:rsidRPr="00C76F00">
        <w:rPr>
          <w:szCs w:val="22"/>
          <w:vertAlign w:val="subscript"/>
        </w:rPr>
        <w:t>F</w:t>
      </w:r>
      <w:r w:rsidR="008B3C86" w:rsidRPr="00C76F00">
        <w:t xml:space="preserve"> is variable.</w:t>
      </w:r>
    </w:p>
    <w:p w:rsidR="008B3C86" w:rsidRDefault="008B3C86" w:rsidP="009723ED">
      <w:r>
        <w:t>Second, the number of bookings varies from day-to-day, but the number of interviewers arriving each day is constant</w:t>
      </w:r>
      <w:r w:rsidR="009723ED">
        <w:t xml:space="preserve">. </w:t>
      </w:r>
      <w:r>
        <w:t>Days with a high number of bookings result in lower sampling probabilities than days with a low number of bookings</w:t>
      </w:r>
      <w:r w:rsidR="009723ED">
        <w:t xml:space="preserve">. </w:t>
      </w:r>
      <w:r>
        <w:t xml:space="preserve">Furthermore, the number of bookings varies over the flow period, so that arrestees who are booked during periods with the most intensive booking activity have lower sampling rates than do arrestees who are booked during periods with the least intensive booking </w:t>
      </w:r>
      <w:r>
        <w:lastRenderedPageBreak/>
        <w:t>activity</w:t>
      </w:r>
      <w:r w:rsidR="009723ED">
        <w:t xml:space="preserve">. </w:t>
      </w:r>
      <w:r>
        <w:t>Sampling rates do not vary as much across the stock period because of the way that the period is partitioned.</w:t>
      </w:r>
    </w:p>
    <w:p w:rsidR="008B3C86" w:rsidRDefault="008B3C86" w:rsidP="009723ED">
      <w:r>
        <w:t>Third, as noted above, arrestees can exit the jail during the stock period</w:t>
      </w:r>
      <w:r w:rsidR="009723ED">
        <w:t xml:space="preserve">. </w:t>
      </w:r>
      <w:r>
        <w:t>The probability that an arrestee has been released prior to being sampled depends on both the time during the stock period when he is booked and his charge</w:t>
      </w:r>
      <w:r w:rsidR="009723ED">
        <w:t xml:space="preserve">. </w:t>
      </w:r>
      <w:r>
        <w:t>The earlier that booking occurred during the stock period, the greater the opportunity he has had to be released</w:t>
      </w:r>
      <w:r w:rsidR="009723ED">
        <w:t xml:space="preserve">. </w:t>
      </w:r>
      <w:r>
        <w:t>The more serious the charge, the lower the probability of being released, because serious offenders are more likely to be detained pending trial or require time-consuming checks for outstanding warrants</w:t>
      </w:r>
      <w:r w:rsidR="009723ED">
        <w:t xml:space="preserve">. </w:t>
      </w:r>
      <w:r>
        <w:t>Neither factor plays an important role during the flow period because of the way that the sample is selected.</w:t>
      </w:r>
    </w:p>
    <w:p w:rsidR="008B3C86" w:rsidRDefault="008B3C86" w:rsidP="009723ED">
      <w:r>
        <w:t xml:space="preserve">Cook County (Chicago) is unique to ADAM </w:t>
      </w:r>
      <w:r w:rsidR="003B46B7">
        <w:t xml:space="preserve">II </w:t>
      </w:r>
      <w:r>
        <w:t xml:space="preserve">sampling because ADAM II staff can only interview during </w:t>
      </w:r>
      <w:r w:rsidR="00792BFA">
        <w:t xml:space="preserve">more </w:t>
      </w:r>
      <w:r>
        <w:t>narrowly specified hours, precluding the use of an eight-hour flow period. In Chicago, the data collection window is 4-8 PM, the only time interviewers are allowed in the active booking area. Chicago is a flow only sample; that is, arrestees are brought in on transport buses in waves from over 100 precincts, and the sample is generated from paperwork arriving with each offender in the same manner as used with flow samples elsewhere. There is no access to those outside of the booking area, though cases are weighted using census data to represent those who were booked over the other 20 hour periods each day. By placing more interviewers in this high volume site during those hours, an adequate sample is developed.</w:t>
      </w:r>
      <w:r w:rsidRPr="0031266F">
        <w:t xml:space="preserve"> </w:t>
      </w:r>
      <w:r>
        <w:t>Eighty percent of the county’s bookings are done at this jail.</w:t>
      </w:r>
    </w:p>
    <w:p w:rsidR="008B3C86" w:rsidRDefault="008B3C86" w:rsidP="009723ED">
      <w:r>
        <w:t>The Illustration Box below shows site-specific modifications</w:t>
      </w:r>
      <w:r w:rsidR="009723ED">
        <w:t xml:space="preserve">. </w:t>
      </w:r>
    </w:p>
    <w:p w:rsidR="008B3C86" w:rsidRDefault="008B3C86" w:rsidP="008B3C86">
      <w:pPr>
        <w:pStyle w:val="BodyText"/>
        <w:jc w:val="center"/>
      </w:pPr>
      <w:r>
        <w:rPr>
          <w:noProof/>
        </w:rPr>
        <mc:AlternateContent>
          <mc:Choice Requires="wps">
            <w:drawing>
              <wp:inline distT="0" distB="0" distL="0" distR="0" wp14:anchorId="5E33CFE4" wp14:editId="04BB38A5">
                <wp:extent cx="5524500" cy="2971800"/>
                <wp:effectExtent l="38100" t="38100" r="114300" b="11430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2971800"/>
                        </a:xfrm>
                        <a:prstGeom prst="rect">
                          <a:avLst/>
                        </a:prstGeom>
                        <a:solidFill>
                          <a:schemeClr val="accent4"/>
                        </a:solidFill>
                        <a:ln w="6350">
                          <a:solidFill>
                            <a:srgbClr val="666969"/>
                          </a:solidFill>
                          <a:miter lim="800000"/>
                          <a:headEnd/>
                          <a:tailEnd/>
                        </a:ln>
                        <a:effectLst>
                          <a:outerShdw blurRad="50800" dist="38100" dir="2700000" algn="tl" rotWithShape="0">
                            <a:prstClr val="black">
                              <a:alpha val="40000"/>
                            </a:prstClr>
                          </a:outerShdw>
                        </a:effectLst>
                      </wps:spPr>
                      <wps:txbx>
                        <w:txbxContent>
                          <w:p w:rsidR="00481627" w:rsidRPr="00EA0BBD" w:rsidRDefault="00481627" w:rsidP="008B3C86">
                            <w:pPr>
                              <w:pStyle w:val="BodyText"/>
                              <w:spacing w:after="120"/>
                              <w:jc w:val="center"/>
                              <w:rPr>
                                <w:rFonts w:ascii="Arial" w:hAnsi="Arial" w:cs="Arial"/>
                                <w:b/>
                                <w:smallCaps/>
                                <w:sz w:val="20"/>
                              </w:rPr>
                            </w:pPr>
                            <w:r w:rsidRPr="00EA0BBD">
                              <w:rPr>
                                <w:rFonts w:ascii="Arial" w:hAnsi="Arial" w:cs="Arial"/>
                                <w:b/>
                                <w:smallCaps/>
                                <w:sz w:val="20"/>
                              </w:rPr>
                              <w:t>Illustration of How a Sampling Plan Is Designed</w:t>
                            </w:r>
                          </w:p>
                          <w:p w:rsidR="00481627" w:rsidRPr="00EA0BBD" w:rsidRDefault="00481627" w:rsidP="008B3C86">
                            <w:pPr>
                              <w:pStyle w:val="BodyText"/>
                              <w:rPr>
                                <w:rFonts w:ascii="Arial" w:hAnsi="Arial" w:cs="Arial"/>
                                <w:sz w:val="20"/>
                              </w:rPr>
                            </w:pPr>
                            <w:r w:rsidRPr="00EA0BBD">
                              <w:rPr>
                                <w:rFonts w:ascii="Arial" w:hAnsi="Arial" w:cs="Arial"/>
                                <w:sz w:val="20"/>
                              </w:rPr>
                              <w:t xml:space="preserve">Based on county X’s arrest data, a target of 350 cases each data collection would provide an adequate sample. In county X, all arrestees are booked into a single facility. Booking data for a seven-day period is reviewed to identify, the number of arrestees booked into the jail each hour on each day. This information is used to identify during what 8-hour period the highest proportion of arrestees are booked, and the proportion of arrestees booked during that 8-hour period versus the remaining 16-hour period. For this illustration, assume that 60% of arrestees are booked between 4:00 P.M. and 11:59 P.M., and the remaining 40% of arrestees are booked between 12:00 A.M. and 3:59 P.M. Assume also that the flow of arrestees is sufficient to produce the desired number of cases in a 21-day data collection period. This information provides the foundation for the development of the site’s sampling plan. </w:t>
                            </w:r>
                          </w:p>
                          <w:p w:rsidR="00481627" w:rsidRPr="00EA0BBD" w:rsidRDefault="00481627" w:rsidP="00EA0BBD">
                            <w:pPr>
                              <w:pStyle w:val="BodyText"/>
                              <w:rPr>
                                <w:rFonts w:ascii="Arial" w:hAnsi="Arial" w:cs="Arial"/>
                                <w:sz w:val="20"/>
                              </w:rPr>
                            </w:pPr>
                            <w:r w:rsidRPr="00EA0BBD">
                              <w:rPr>
                                <w:rFonts w:ascii="Arial" w:hAnsi="Arial" w:cs="Arial"/>
                                <w:sz w:val="20"/>
                              </w:rPr>
                              <w:t xml:space="preserve">The 350 cases would be distributed evenly across a 21-day period, resulting in a target of 17completed cases a day. The target of 17 would be divided between stock and flow, based on the percentage of bookings occurring during those time periods. In this case, interviewers would be looking to get seven interviews from stock and ten from the flow each day of data collection. </w:t>
                            </w:r>
                          </w:p>
                        </w:txbxContent>
                      </wps:txbx>
                      <wps:bodyPr rot="0" vert="horz" wrap="square" lIns="91440" tIns="45720" rIns="91440" bIns="45720" anchor="t" anchorCtr="0" upright="1">
                        <a:noAutofit/>
                      </wps:bodyPr>
                    </wps:wsp>
                  </a:graphicData>
                </a:graphic>
              </wp:inline>
            </w:drawing>
          </mc:Choice>
          <mc:Fallback>
            <w:pict>
              <v:rect id="Rectangle 4" o:spid="_x0000_s1026" style="width:43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P+hwIAAAAFAAAOAAAAZHJzL2Uyb0RvYy54bWysVFFP2zAQfp+0/2D5fSQpaWkjUoRgTJPY&#10;hmDTni+2k1g4tme7TeHX7+yUUra3aXmIfLnL5++7++zzi92gyFY4L42uaXGSUyI0M1zqrqY/vt98&#10;WFLiA2gOymhR0yfh6cX6/bvz0VZiZnqjuHAEQbSvRlvTPgRbZZlnvRjAnxgrNCZb4wYIGLou4w5G&#10;RB9UNsvzRTYax60zTHiPX6+nJF0n/LYVLHxrWy8CUTVFbiG9XXo38Z2tz6HqHNhesj0N+AcWA0iN&#10;mx6griEA2Tj5F9QgmTPetOGEmSEzbSuZSBpQTZH/oeahByuSFmyOt4c2+f8Hy75u7xyRvKYlJRoG&#10;HNE9Ng10pwQpY3tG6yuserB3Lgr09tawR0+0ueqxSlw6Z8ZeAEdSRazP3vwQA4+/kmb8YjiiwyaY&#10;1Kld64YIiD0guzSQp8NAxC4Qhh/n81k5z3FuDHOz1VmxxCDuAdXL79b58EmYgcRFTR2ST/CwvfVh&#10;Kn0pSfSNkvxGKpWC6DJxpRzZAvoDGBM6JNG4gT+uVJqMNV2czvME/ibnXdccMBaLxWqx2nN8UzbI&#10;gE5XcqgpqsAnFkEVW/dR87QOINW0xv2VjmmRPIxSYmA2CPHQ85E0auPuAac2z2NLCJdR/OmymAI0&#10;+Oxs2oSA6vBkBkWJM+GnDH1yVWx1hIy9OZBvFLDHqXvK9jB1pXzhipz21WkABzIpOuKZDBBnPnkn&#10;7JodqotGaAx/QisgjzRvvDZw0Rv3TMmIR7Cm/tcGnKBEfdZop1VRlvHMpqCcn80wcMeZ5jgDmiEU&#10;KqVkWl6F6ZxvrJNdjzsVSZo2l2jBViZzvLLaGxePWdKzvxLiOT6OU9XrxbX+DQAA//8DAFBLAwQU&#10;AAYACAAAACEA8j5aFdoAAAAFAQAADwAAAGRycy9kb3ducmV2LnhtbEyPwU7DMBBE70j8g7VI3Khd&#10;hNooxKkqBBcOIEqAqxsvdkS8jmI3DXw9Cxe4jDSa1czbajOHXkw4pi6ShuVCgUBqo+3IaWie7y4K&#10;ECkbsqaPhBo+McGmPj2pTGnjkZ5w2mUnuIRSaTT4nIdSytR6DCYt4oDE2Xscg8lsRyftaI5cHnp5&#10;qdRKBtMRL3gz4I3H9mN3CBrw6216vF+r5Wtz+4K2ydsH553W52fz9hpExjn/HcMPPqNDzUz7eCCb&#10;RK+BH8m/ylmxVmz3Gq5WhQJZV/I/ff0NAAD//wMAUEsBAi0AFAAGAAgAAAAhALaDOJL+AAAA4QEA&#10;ABMAAAAAAAAAAAAAAAAAAAAAAFtDb250ZW50X1R5cGVzXS54bWxQSwECLQAUAAYACAAAACEAOP0h&#10;/9YAAACUAQAACwAAAAAAAAAAAAAAAAAvAQAAX3JlbHMvLnJlbHNQSwECLQAUAAYACAAAACEA9sSD&#10;/ocCAAAABQAADgAAAAAAAAAAAAAAAAAuAgAAZHJzL2Uyb0RvYy54bWxQSwECLQAUAAYACAAAACEA&#10;8j5aFdoAAAAFAQAADwAAAAAAAAAAAAAAAADhBAAAZHJzL2Rvd25yZXYueG1sUEsFBgAAAAAEAAQA&#10;8wAAAOgFAAAAAA==&#10;" fillcolor="#c3c6a8 [3207]" strokecolor="#666969" strokeweight=".5pt">
                <v:shadow on="t" color="black" opacity="26214f" origin="-.5,-.5" offset=".74836mm,.74836mm"/>
                <v:textbox>
                  <w:txbxContent>
                    <w:p w:rsidR="00481627" w:rsidRPr="00EA0BBD" w:rsidRDefault="00481627" w:rsidP="008B3C86">
                      <w:pPr>
                        <w:pStyle w:val="BodyText"/>
                        <w:spacing w:after="120"/>
                        <w:jc w:val="center"/>
                        <w:rPr>
                          <w:rFonts w:ascii="Arial" w:hAnsi="Arial" w:cs="Arial"/>
                          <w:b/>
                          <w:smallCaps/>
                          <w:sz w:val="20"/>
                        </w:rPr>
                      </w:pPr>
                      <w:r w:rsidRPr="00EA0BBD">
                        <w:rPr>
                          <w:rFonts w:ascii="Arial" w:hAnsi="Arial" w:cs="Arial"/>
                          <w:b/>
                          <w:smallCaps/>
                          <w:sz w:val="20"/>
                        </w:rPr>
                        <w:t>Illustration of How a Sampling Plan Is Designed</w:t>
                      </w:r>
                    </w:p>
                    <w:p w:rsidR="00481627" w:rsidRPr="00EA0BBD" w:rsidRDefault="00481627" w:rsidP="008B3C86">
                      <w:pPr>
                        <w:pStyle w:val="BodyText"/>
                        <w:rPr>
                          <w:rFonts w:ascii="Arial" w:hAnsi="Arial" w:cs="Arial"/>
                          <w:sz w:val="20"/>
                        </w:rPr>
                      </w:pPr>
                      <w:r w:rsidRPr="00EA0BBD">
                        <w:rPr>
                          <w:rFonts w:ascii="Arial" w:hAnsi="Arial" w:cs="Arial"/>
                          <w:sz w:val="20"/>
                        </w:rPr>
                        <w:t xml:space="preserve">Based on county X’s arrest data, a target of 350 cases each data collection would provide an adequate sample. In county X, all arrestees are booked into a single facility. Booking data for a seven-day period is reviewed to identify, the number of arrestees booked into the jail each hour on each day. This information is used to identify during what 8-hour period the highest proportion of arrestees are booked, and the proportion of arrestees booked during that 8-hour period versus the remaining 16-hour period. For this illustration, assume that 60% of arrestees are booked between 4:00 P.M. and 11:59 P.M., and the remaining 40% of arrestees are booked between 12:00 A.M. and 3:59 P.M. Assume also that the flow of arrestees is sufficient to produce the desired number of cases in a 21-day data collection period. This information provides the foundation for the development of the site’s sampling plan. </w:t>
                      </w:r>
                    </w:p>
                    <w:p w:rsidR="00481627" w:rsidRPr="00EA0BBD" w:rsidRDefault="00481627" w:rsidP="00EA0BBD">
                      <w:pPr>
                        <w:pStyle w:val="BodyText"/>
                        <w:rPr>
                          <w:rFonts w:ascii="Arial" w:hAnsi="Arial" w:cs="Arial"/>
                          <w:sz w:val="20"/>
                        </w:rPr>
                      </w:pPr>
                      <w:r w:rsidRPr="00EA0BBD">
                        <w:rPr>
                          <w:rFonts w:ascii="Arial" w:hAnsi="Arial" w:cs="Arial"/>
                          <w:sz w:val="20"/>
                        </w:rPr>
                        <w:t xml:space="preserve">The 350 cases would be distributed evenly across a 21-day period, resulting in a target of 17completed cases a day. The target of 17 would be divided between stock and flow, based on the percentage of bookings occurring during those time periods. In this case, interviewers would be looking to get seven interviews from stock and ten from the flow each day of data collection. </w:t>
                      </w:r>
                    </w:p>
                  </w:txbxContent>
                </v:textbox>
                <w10:anchorlock/>
              </v:rect>
            </w:pict>
          </mc:Fallback>
        </mc:AlternateContent>
      </w:r>
    </w:p>
    <w:p w:rsidR="00EE7DC5" w:rsidRDefault="00EE7DC5" w:rsidP="00EA0BBD">
      <w:pPr>
        <w:pStyle w:val="Heading4"/>
      </w:pPr>
    </w:p>
    <w:p w:rsidR="00EE7DC5" w:rsidRDefault="00EE7DC5" w:rsidP="00EA0BBD">
      <w:pPr>
        <w:pStyle w:val="Heading4"/>
      </w:pPr>
    </w:p>
    <w:p w:rsidR="008B3C86" w:rsidRDefault="008B3C86" w:rsidP="00EA0BBD">
      <w:pPr>
        <w:pStyle w:val="Heading4"/>
      </w:pPr>
      <w:r>
        <w:t>Sample Size Determination</w:t>
      </w:r>
      <w:bookmarkEnd w:id="6"/>
      <w:r>
        <w:t xml:space="preserve"> </w:t>
      </w:r>
    </w:p>
    <w:p w:rsidR="008B3C86" w:rsidRDefault="008B3C86" w:rsidP="009723ED">
      <w:r>
        <w:t xml:space="preserve">Over 3,225 adult male </w:t>
      </w:r>
      <w:r w:rsidR="0069211A">
        <w:t xml:space="preserve">booked </w:t>
      </w:r>
      <w:r>
        <w:t xml:space="preserve">arrestees will be sampled across all sites, an average of 646 cases sampled across the 3-week period per site. </w:t>
      </w:r>
      <w:r w:rsidR="00DE072A">
        <w:t>Not all</w:t>
      </w:r>
      <w:r>
        <w:t xml:space="preserve"> sampled cases are available to be interviewed, </w:t>
      </w:r>
      <w:r w:rsidR="00DE072A">
        <w:t xml:space="preserve">however, as </w:t>
      </w:r>
      <w:r>
        <w:t xml:space="preserve">a number </w:t>
      </w:r>
      <w:r w:rsidR="00DE072A">
        <w:t>of sampled arrestees are</w:t>
      </w:r>
      <w:r>
        <w:t xml:space="preserve"> physically </w:t>
      </w:r>
      <w:r w:rsidR="00DE072A">
        <w:t>un</w:t>
      </w:r>
      <w:r>
        <w:t>available</w:t>
      </w:r>
      <w:r w:rsidR="00DE072A">
        <w:t>,</w:t>
      </w:r>
      <w:r>
        <w:t xml:space="preserve"> ha</w:t>
      </w:r>
      <w:r w:rsidR="00DE072A">
        <w:t>ving</w:t>
      </w:r>
      <w:r>
        <w:t xml:space="preserve"> been transferred to </w:t>
      </w:r>
      <w:r>
        <w:lastRenderedPageBreak/>
        <w:t xml:space="preserve">another facility, </w:t>
      </w:r>
      <w:r w:rsidR="00DE072A">
        <w:t xml:space="preserve"> </w:t>
      </w:r>
      <w:r>
        <w:t>ill and in the medical unit</w:t>
      </w:r>
      <w:r w:rsidR="00DE072A">
        <w:t>,</w:t>
      </w:r>
      <w:r>
        <w:t xml:space="preserve"> or isolated due to violent behavior (see </w:t>
      </w:r>
      <w:r w:rsidR="00EE7DC5">
        <w:t xml:space="preserve">above for </w:t>
      </w:r>
      <w:r>
        <w:t xml:space="preserve">explanation of inclusion criteria). </w:t>
      </w:r>
      <w:r w:rsidR="00DE072A">
        <w:t xml:space="preserve">Of sampled cases in </w:t>
      </w:r>
      <w:r>
        <w:t xml:space="preserve">2012, there were 2,107 adult male arrestees </w:t>
      </w:r>
      <w:r w:rsidR="00DE072A">
        <w:t xml:space="preserve">available for interview </w:t>
      </w:r>
      <w:r>
        <w:t>across all sites, with an average of 421 per site in 2012.</w:t>
      </w:r>
    </w:p>
    <w:p w:rsidR="00EE7DC5" w:rsidRPr="0058756A" w:rsidRDefault="00EE7DC5" w:rsidP="00EE7DC5">
      <w:r w:rsidRPr="00E63A9F">
        <w:t>The comparisons made in ADAM II are only within a site and within each site over time.</w:t>
      </w:r>
      <w:r w:rsidR="0069211A">
        <w:t xml:space="preserve"> </w:t>
      </w:r>
      <w:r w:rsidRPr="0058756A">
        <w:t xml:space="preserve">We do not make any statistical comparisons across sites. Therefore, the sample size of interest is one that provides adequate power for trend analyses (year to year and linear trends over the multiple years of data) </w:t>
      </w:r>
      <w:r w:rsidRPr="0058756A">
        <w:rPr>
          <w:i/>
        </w:rPr>
        <w:t>within a site</w:t>
      </w:r>
      <w:r w:rsidRPr="0058756A">
        <w:t xml:space="preserve">. From 2007-2011 ADAM II collected data for two 14 day periods in each site. In 2012, ADAM II collected data in one 21 day period, resulting in a lower sample size in each site, but one still </w:t>
      </w:r>
      <w:r>
        <w:t>sufficient</w:t>
      </w:r>
      <w:r w:rsidRPr="0058756A">
        <w:t xml:space="preserve"> to support our analyses.  As noted in the OMB submission offered earlier this year, an estimated 350 cases per site per year given to the sites as a target is more than adequate for our analyses, and we describe the calculations that lead to that target below.  Interviewed sample</w:t>
      </w:r>
      <w:r>
        <w:t>s</w:t>
      </w:r>
      <w:r w:rsidRPr="0058756A">
        <w:t xml:space="preserve"> for 2012 range</w:t>
      </w:r>
      <w:r>
        <w:t>d</w:t>
      </w:r>
      <w:r w:rsidRPr="0058756A">
        <w:t xml:space="preserve"> from 364 in Denver to 410 in Sacramento. </w:t>
      </w:r>
    </w:p>
    <w:p w:rsidR="00EE7DC5" w:rsidRDefault="00EE7DC5" w:rsidP="00EE7DC5">
      <w:r>
        <w:t xml:space="preserve">We present data on two issues regarding </w:t>
      </w:r>
      <w:r w:rsidR="0069211A">
        <w:t xml:space="preserve">statistical </w:t>
      </w:r>
      <w:r>
        <w:t>power:  1) power calculations related to</w:t>
      </w:r>
      <w:r w:rsidRPr="00792A93">
        <w:t xml:space="preserve">  minim</w:t>
      </w:r>
      <w:r>
        <w:t>um</w:t>
      </w:r>
      <w:r w:rsidRPr="00792A93">
        <w:t xml:space="preserve"> sample size number</w:t>
      </w:r>
      <w:r>
        <w:t>s</w:t>
      </w:r>
      <w:r w:rsidRPr="00792A93">
        <w:t xml:space="preserve"> for an individual site to detect  a change in a year to year trend, and 2)</w:t>
      </w:r>
      <w:r>
        <w:rPr>
          <w:color w:val="1F497D"/>
        </w:rPr>
        <w:t xml:space="preserve"> </w:t>
      </w:r>
      <w:r>
        <w:t>power calculations for looking at the significance of the trends in drug use over the entire ADAM II time period,</w:t>
      </w:r>
    </w:p>
    <w:p w:rsidR="00EE7DC5" w:rsidRDefault="00EE7DC5" w:rsidP="00EE7DC5">
      <w:r>
        <w:rPr>
          <w:b/>
        </w:rPr>
        <w:t>Testing for</w:t>
      </w:r>
      <w:r w:rsidRPr="0021144A">
        <w:rPr>
          <w:b/>
        </w:rPr>
        <w:t xml:space="preserve"> year-to-year</w:t>
      </w:r>
      <w:r w:rsidRPr="00733D9F">
        <w:t xml:space="preserve"> </w:t>
      </w:r>
      <w:r w:rsidRPr="00F5534D">
        <w:rPr>
          <w:b/>
        </w:rPr>
        <w:t>changes</w:t>
      </w:r>
      <w:r w:rsidRPr="00733D9F">
        <w:t xml:space="preserve"> can be relatively uncertain </w:t>
      </w:r>
      <w:r>
        <w:t xml:space="preserve">not only because sample sizes are small, </w:t>
      </w:r>
      <w:r w:rsidRPr="00733D9F">
        <w:t xml:space="preserve">but also because short-term idiosyncrasies existing at the time of data collection can affect estimates.  </w:t>
      </w:r>
      <w:r>
        <w:t>Therefore, w</w:t>
      </w:r>
      <w:r w:rsidRPr="00733D9F">
        <w:t xml:space="preserve">e prefer to rely on trends estimated over a longer period.  Nevertheless, Figure 1 reports power calculations for </w:t>
      </w:r>
      <w:r>
        <w:t xml:space="preserve">detecting a change in drug use </w:t>
      </w:r>
      <w:r w:rsidRPr="00733D9F">
        <w:t>for six drugs (or combinations of drugs) given the current ADAM</w:t>
      </w:r>
      <w:r>
        <w:t xml:space="preserve"> II</w:t>
      </w:r>
      <w:r w:rsidRPr="00733D9F">
        <w:t xml:space="preserve"> sampling rate</w:t>
      </w:r>
      <w:r>
        <w:t>.</w:t>
      </w:r>
      <w:r w:rsidRPr="00733D9F">
        <w:t xml:space="preserve"> Th</w:t>
      </w:r>
      <w:r>
        <w:t xml:space="preserve">ese estimates are </w:t>
      </w:r>
      <w:r w:rsidRPr="00733D9F">
        <w:t xml:space="preserve">based on the average sample accumulation over two years (2011 and 2012) of a total of 487 </w:t>
      </w:r>
      <w:r>
        <w:t xml:space="preserve">arrestees </w:t>
      </w:r>
      <w:r w:rsidRPr="00733D9F">
        <w:t xml:space="preserve">per site or roughly 244 </w:t>
      </w:r>
      <w:r>
        <w:t xml:space="preserve">arrestees </w:t>
      </w:r>
      <w:r w:rsidRPr="00733D9F">
        <w:t xml:space="preserve">per site per year. </w:t>
      </w:r>
      <w:r>
        <w:t>Our power analysis has conservatively powered detectable effect sizes.  The power curves we present depend upon an overall sample across the two years of 447 observations.  The sampling protocol for ADAM II sets targets above this (i.e., 350 cases per year, for a total of 700 across two years), and historically, the ADAM survey has exceeded its sample targets.</w:t>
      </w:r>
    </w:p>
    <w:p w:rsidR="00EE7DC5" w:rsidRPr="00733D9F" w:rsidRDefault="00EE7DC5" w:rsidP="00EE7DC5">
      <w:r>
        <w:t>T</w:t>
      </w:r>
      <w:r w:rsidRPr="00733D9F">
        <w:t xml:space="preserve">he yearly ADAM samples are well within this target (running from 364 to 410 last year). </w:t>
      </w:r>
      <w:r>
        <w:t xml:space="preserve">As noted in the OMB package submitted earlier this year (Part A, Part B and the 60 day notice) an estimated 350 cases per site is more than adequate power for these analyses. </w:t>
      </w:r>
    </w:p>
    <w:p w:rsidR="00EE7DC5" w:rsidRDefault="00EE7DC5" w:rsidP="00EE7DC5">
      <w:pPr>
        <w:pStyle w:val="Caption"/>
      </w:pPr>
      <w:r>
        <w:lastRenderedPageBreak/>
        <w:t xml:space="preserve">Figure </w:t>
      </w:r>
      <w:fldSimple w:instr=" SEQ Figure \* ARABIC ">
        <w:r>
          <w:rPr>
            <w:noProof/>
          </w:rPr>
          <w:t>1</w:t>
        </w:r>
      </w:fldSimple>
      <w:r>
        <w:t xml:space="preserve"> -- Power of Detecting a Change in Positive Drug Tests for Six Drugs given ADAM's Current Sample Sizes</w:t>
      </w:r>
    </w:p>
    <w:p w:rsidR="00EE7DC5" w:rsidRDefault="00EE7DC5" w:rsidP="00EE7DC5">
      <w:r>
        <w:rPr>
          <w:noProof/>
        </w:rPr>
        <w:drawing>
          <wp:inline distT="0" distB="0" distL="0" distR="0" wp14:anchorId="1D78CB1D" wp14:editId="3E14E1B7">
            <wp:extent cx="4586605" cy="275780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E7DC5" w:rsidRPr="00F4577A" w:rsidRDefault="00EE7DC5" w:rsidP="00EE7DC5"/>
    <w:p w:rsidR="00EE7DC5" w:rsidRDefault="00EE7DC5" w:rsidP="00EE7DC5">
      <w:r w:rsidRPr="0021144A">
        <w:rPr>
          <w:b/>
        </w:rPr>
        <w:t xml:space="preserve">Testing </w:t>
      </w:r>
      <w:r>
        <w:rPr>
          <w:b/>
        </w:rPr>
        <w:t xml:space="preserve">for </w:t>
      </w:r>
      <w:r w:rsidRPr="0021144A">
        <w:rPr>
          <w:b/>
        </w:rPr>
        <w:t>trends over time</w:t>
      </w:r>
      <w:r>
        <w:t>. Table 2 below provides power calculations for looking at the significance of the trends in drug use over the ADAM II time period, that is, the ability to reject the null hypothesis that there is no change in the proportion of arrestees testing positive for specified drugs in each of the five ADAM sites that reported urine test results between 2007 and 2012.  We have used the average sample size across these years in each site in these calculations. The table lists six types of drugs, including the categories “any drug” and the category “multiple drugs”.  The second column shows the average rate of testing positive between 2007 and 2012 where each year and each ADAM site receives the same weight.  The rest of the table reports the power of detecting changes of 0.00, 0.01, 0.025, 0.05, 0.075 and 0.10.</w:t>
      </w:r>
    </w:p>
    <w:p w:rsidR="00EE7DC5" w:rsidRDefault="00EE7DC5" w:rsidP="00EE7DC5"/>
    <w:p w:rsidR="00EE7DC5" w:rsidRPr="001B2B70" w:rsidRDefault="00B67662" w:rsidP="00481627">
      <w:pPr>
        <w:pStyle w:val="Caption"/>
      </w:pPr>
      <w:r>
        <w:t xml:space="preserve">Table 1  </w:t>
      </w:r>
      <w:r w:rsidR="00EE7DC5" w:rsidRPr="001B2B70">
        <w:t xml:space="preserve"> Power Calculations for Linear Trends is Positiv</w:t>
      </w:r>
      <w:r w:rsidR="00D9321D">
        <w:t xml:space="preserve">e Tests of Drug Use across Five </w:t>
      </w:r>
      <w:r w:rsidR="00EE7DC5" w:rsidRPr="00481627">
        <w:t>ADAM Sites between 2007 and 2012</w:t>
      </w:r>
    </w:p>
    <w:tbl>
      <w:tblPr>
        <w:tblW w:w="10040" w:type="dxa"/>
        <w:tblInd w:w="93" w:type="dxa"/>
        <w:tblLook w:val="04A0" w:firstRow="1" w:lastRow="0" w:firstColumn="1" w:lastColumn="0" w:noHBand="0" w:noVBand="1"/>
      </w:tblPr>
      <w:tblGrid>
        <w:gridCol w:w="1972"/>
        <w:gridCol w:w="1360"/>
        <w:gridCol w:w="960"/>
        <w:gridCol w:w="960"/>
        <w:gridCol w:w="960"/>
        <w:gridCol w:w="960"/>
        <w:gridCol w:w="960"/>
        <w:gridCol w:w="960"/>
        <w:gridCol w:w="960"/>
      </w:tblGrid>
      <w:tr w:rsidR="00481627" w:rsidRPr="00481627" w:rsidTr="00481627">
        <w:trPr>
          <w:trHeight w:val="684"/>
        </w:trPr>
        <w:tc>
          <w:tcPr>
            <w:tcW w:w="1960" w:type="dxa"/>
            <w:tcBorders>
              <w:top w:val="nil"/>
              <w:left w:val="nil"/>
              <w:bottom w:val="nil"/>
              <w:right w:val="nil"/>
            </w:tcBorders>
            <w:shd w:val="clear" w:color="auto" w:fill="898D8D" w:themeFill="accent2"/>
            <w:noWrap/>
            <w:vAlign w:val="bottom"/>
            <w:hideMark/>
          </w:tcPr>
          <w:p w:rsidR="00EE7DC5" w:rsidRPr="00481627" w:rsidRDefault="00EE7DC5" w:rsidP="00EE7DC5">
            <w:pPr>
              <w:spacing w:after="0" w:line="240" w:lineRule="auto"/>
              <w:rPr>
                <w:rFonts w:ascii="Arial" w:hAnsi="Arial" w:cs="Arial"/>
                <w:b/>
                <w:color w:val="F0F4F6" w:themeColor="background1" w:themeTint="33"/>
                <w:sz w:val="20"/>
              </w:rPr>
            </w:pPr>
            <w:r w:rsidRPr="00481627">
              <w:rPr>
                <w:rFonts w:ascii="Arial" w:hAnsi="Arial" w:cs="Arial"/>
                <w:b/>
                <w:color w:val="F0F4F6" w:themeColor="background1" w:themeTint="33"/>
                <w:sz w:val="20"/>
              </w:rPr>
              <w:t xml:space="preserve">       1</w:t>
            </w:r>
          </w:p>
        </w:tc>
        <w:tc>
          <w:tcPr>
            <w:tcW w:w="1360" w:type="dxa"/>
            <w:tcBorders>
              <w:top w:val="nil"/>
              <w:left w:val="nil"/>
              <w:bottom w:val="nil"/>
              <w:right w:val="nil"/>
            </w:tcBorders>
            <w:shd w:val="clear" w:color="auto" w:fill="898D8D" w:themeFill="accent2"/>
            <w:noWrap/>
            <w:vAlign w:val="bottom"/>
            <w:hideMark/>
          </w:tcPr>
          <w:p w:rsidR="00EE7DC5" w:rsidRPr="00481627" w:rsidRDefault="00EE7DC5" w:rsidP="00EE7DC5">
            <w:pPr>
              <w:spacing w:after="0" w:line="240" w:lineRule="auto"/>
              <w:rPr>
                <w:rFonts w:ascii="Arial" w:hAnsi="Arial" w:cs="Arial"/>
                <w:b/>
                <w:color w:val="F0F4F6" w:themeColor="background1" w:themeTint="33"/>
                <w:sz w:val="20"/>
              </w:rPr>
            </w:pPr>
            <w:r w:rsidRPr="00481627">
              <w:rPr>
                <w:rFonts w:ascii="Arial" w:hAnsi="Arial" w:cs="Arial"/>
                <w:b/>
                <w:color w:val="F0F4F6" w:themeColor="background1" w:themeTint="33"/>
                <w:sz w:val="20"/>
              </w:rPr>
              <w:t xml:space="preserve">             2                                                  </w:t>
            </w:r>
          </w:p>
        </w:tc>
        <w:tc>
          <w:tcPr>
            <w:tcW w:w="960" w:type="dxa"/>
            <w:tcBorders>
              <w:top w:val="nil"/>
              <w:left w:val="nil"/>
              <w:bottom w:val="nil"/>
              <w:right w:val="nil"/>
            </w:tcBorders>
            <w:shd w:val="clear" w:color="auto" w:fill="898D8D" w:themeFill="accent2"/>
            <w:noWrap/>
            <w:vAlign w:val="bottom"/>
            <w:hideMark/>
          </w:tcPr>
          <w:p w:rsidR="00EE7DC5" w:rsidRPr="00481627" w:rsidRDefault="00EE7DC5" w:rsidP="00EE7DC5">
            <w:pPr>
              <w:spacing w:after="0" w:line="240" w:lineRule="auto"/>
              <w:rPr>
                <w:rFonts w:ascii="Arial" w:hAnsi="Arial" w:cs="Arial"/>
                <w:b/>
                <w:color w:val="F0F4F6" w:themeColor="background1" w:themeTint="33"/>
                <w:sz w:val="20"/>
              </w:rPr>
            </w:pPr>
          </w:p>
        </w:tc>
        <w:tc>
          <w:tcPr>
            <w:tcW w:w="5760" w:type="dxa"/>
            <w:gridSpan w:val="6"/>
            <w:tcBorders>
              <w:top w:val="nil"/>
              <w:left w:val="nil"/>
              <w:right w:val="nil"/>
            </w:tcBorders>
            <w:shd w:val="clear" w:color="auto" w:fill="898D8D" w:themeFill="accent2"/>
            <w:noWrap/>
            <w:vAlign w:val="bottom"/>
            <w:hideMark/>
          </w:tcPr>
          <w:p w:rsidR="00EE7DC5" w:rsidRPr="00481627" w:rsidRDefault="00EE7DC5" w:rsidP="00EE7DC5">
            <w:pPr>
              <w:spacing w:after="0" w:line="240" w:lineRule="auto"/>
              <w:jc w:val="center"/>
              <w:rPr>
                <w:rFonts w:ascii="Arial" w:hAnsi="Arial" w:cs="Arial"/>
                <w:b/>
                <w:color w:val="F0F4F6" w:themeColor="background1" w:themeTint="33"/>
                <w:sz w:val="20"/>
              </w:rPr>
            </w:pPr>
            <w:r w:rsidRPr="00481627">
              <w:rPr>
                <w:rFonts w:ascii="Arial" w:hAnsi="Arial" w:cs="Arial"/>
                <w:b/>
                <w:color w:val="F0F4F6" w:themeColor="background1" w:themeTint="33"/>
                <w:sz w:val="20"/>
              </w:rPr>
              <w:t>Linear Change in Testing Positive between 2007 and 2012 (</w:t>
            </w:r>
            <w:r w:rsidRPr="00481627">
              <w:rPr>
                <w:rFonts w:cs="Calibri"/>
                <w:b/>
                <w:color w:val="F0F4F6" w:themeColor="background1" w:themeTint="33"/>
                <w:sz w:val="20"/>
              </w:rPr>
              <w:t>±</w:t>
            </w:r>
            <w:r w:rsidRPr="00481627">
              <w:rPr>
                <w:rFonts w:ascii="Arial" w:hAnsi="Arial" w:cs="Arial"/>
                <w:b/>
                <w:color w:val="F0F4F6" w:themeColor="background1" w:themeTint="33"/>
                <w:sz w:val="20"/>
              </w:rPr>
              <w:t>)</w:t>
            </w:r>
          </w:p>
          <w:p w:rsidR="00EE7DC5" w:rsidRPr="00481627" w:rsidRDefault="00EE7DC5" w:rsidP="00EE7DC5">
            <w:pPr>
              <w:spacing w:after="0" w:line="240" w:lineRule="auto"/>
              <w:jc w:val="center"/>
              <w:rPr>
                <w:rFonts w:ascii="Arial" w:hAnsi="Arial" w:cs="Arial"/>
                <w:b/>
                <w:color w:val="F0F4F6" w:themeColor="background1" w:themeTint="33"/>
                <w:sz w:val="20"/>
              </w:rPr>
            </w:pPr>
          </w:p>
          <w:p w:rsidR="00EE7DC5" w:rsidRPr="00481627" w:rsidRDefault="00EE7DC5" w:rsidP="00EE7DC5">
            <w:pPr>
              <w:spacing w:after="0" w:line="240" w:lineRule="auto"/>
              <w:rPr>
                <w:rFonts w:ascii="Arial" w:hAnsi="Arial" w:cs="Arial"/>
                <w:b/>
                <w:color w:val="F0F4F6" w:themeColor="background1" w:themeTint="33"/>
                <w:sz w:val="20"/>
              </w:rPr>
            </w:pPr>
            <w:r w:rsidRPr="00481627">
              <w:rPr>
                <w:rFonts w:ascii="Arial" w:hAnsi="Arial" w:cs="Arial"/>
                <w:b/>
                <w:color w:val="F0F4F6" w:themeColor="background1" w:themeTint="33"/>
                <w:sz w:val="20"/>
              </w:rPr>
              <w:t xml:space="preserve">         3               4              5               6                 7             8</w:t>
            </w:r>
          </w:p>
        </w:tc>
      </w:tr>
      <w:tr w:rsidR="00EE7DC5" w:rsidRPr="000F4AA2" w:rsidTr="00481627">
        <w:trPr>
          <w:trHeight w:val="510"/>
        </w:trPr>
        <w:tc>
          <w:tcPr>
            <w:tcW w:w="1960" w:type="dxa"/>
            <w:tcBorders>
              <w:top w:val="nil"/>
              <w:left w:val="nil"/>
              <w:bottom w:val="nil"/>
              <w:right w:val="nil"/>
            </w:tcBorders>
            <w:shd w:val="clear" w:color="auto" w:fill="C3C6A8" w:themeFill="accent4"/>
            <w:noWrap/>
            <w:vAlign w:val="center"/>
            <w:hideMark/>
          </w:tcPr>
          <w:p w:rsidR="00EE7DC5" w:rsidRPr="00D9321D" w:rsidRDefault="00EE7DC5" w:rsidP="00481627">
            <w:pPr>
              <w:spacing w:after="0" w:line="240" w:lineRule="auto"/>
              <w:rPr>
                <w:rFonts w:ascii="Arial" w:hAnsi="Arial" w:cs="Arial"/>
                <w:b/>
                <w:sz w:val="20"/>
              </w:rPr>
            </w:pPr>
            <w:r w:rsidRPr="00D9321D">
              <w:rPr>
                <w:rFonts w:ascii="Arial" w:hAnsi="Arial" w:cs="Arial"/>
                <w:b/>
                <w:sz w:val="20"/>
              </w:rPr>
              <w:t>Drug Type</w:t>
            </w:r>
          </w:p>
        </w:tc>
        <w:tc>
          <w:tcPr>
            <w:tcW w:w="1360" w:type="dxa"/>
            <w:tcBorders>
              <w:top w:val="nil"/>
              <w:left w:val="nil"/>
              <w:bottom w:val="nil"/>
              <w:right w:val="nil"/>
            </w:tcBorders>
            <w:shd w:val="clear" w:color="auto" w:fill="auto"/>
            <w:vAlign w:val="center"/>
            <w:hideMark/>
          </w:tcPr>
          <w:p w:rsidR="00EE7DC5" w:rsidRPr="00D9321D" w:rsidRDefault="00EE7DC5" w:rsidP="00481627">
            <w:pPr>
              <w:spacing w:after="0" w:line="240" w:lineRule="auto"/>
              <w:jc w:val="center"/>
              <w:rPr>
                <w:rFonts w:ascii="Arial" w:hAnsi="Arial" w:cs="Arial"/>
                <w:b/>
                <w:sz w:val="20"/>
              </w:rPr>
            </w:pPr>
            <w:r w:rsidRPr="00D9321D">
              <w:rPr>
                <w:rFonts w:ascii="Arial" w:hAnsi="Arial" w:cs="Arial"/>
                <w:b/>
                <w:sz w:val="20"/>
              </w:rPr>
              <w:t>rate of testing positive</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w:t>
            </w:r>
            <w:r>
              <w:rPr>
                <w:rFonts w:ascii="Arial" w:hAnsi="Arial" w:cs="Arial"/>
                <w:sz w:val="20"/>
              </w:rPr>
              <w:t>.00</w:t>
            </w:r>
          </w:p>
        </w:tc>
        <w:tc>
          <w:tcPr>
            <w:tcW w:w="960" w:type="dxa"/>
            <w:tcBorders>
              <w:top w:val="nil"/>
              <w:left w:val="nil"/>
              <w:bottom w:val="single" w:sz="4" w:space="0" w:color="auto"/>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0.01</w:t>
            </w:r>
          </w:p>
        </w:tc>
        <w:tc>
          <w:tcPr>
            <w:tcW w:w="960" w:type="dxa"/>
            <w:tcBorders>
              <w:top w:val="nil"/>
              <w:left w:val="nil"/>
              <w:bottom w:val="single" w:sz="4" w:space="0" w:color="auto"/>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0.025</w:t>
            </w:r>
          </w:p>
        </w:tc>
        <w:tc>
          <w:tcPr>
            <w:tcW w:w="960" w:type="dxa"/>
            <w:tcBorders>
              <w:top w:val="nil"/>
              <w:left w:val="nil"/>
              <w:bottom w:val="single" w:sz="4" w:space="0" w:color="auto"/>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0.05</w:t>
            </w:r>
          </w:p>
        </w:tc>
        <w:tc>
          <w:tcPr>
            <w:tcW w:w="960" w:type="dxa"/>
            <w:tcBorders>
              <w:top w:val="nil"/>
              <w:left w:val="nil"/>
              <w:bottom w:val="single" w:sz="4" w:space="0" w:color="auto"/>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0.075</w:t>
            </w:r>
          </w:p>
        </w:tc>
        <w:tc>
          <w:tcPr>
            <w:tcW w:w="960" w:type="dxa"/>
            <w:tcBorders>
              <w:top w:val="nil"/>
              <w:left w:val="nil"/>
              <w:bottom w:val="single" w:sz="4" w:space="0" w:color="auto"/>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0.1</w:t>
            </w:r>
            <w:r>
              <w:rPr>
                <w:rFonts w:ascii="Arial" w:hAnsi="Arial" w:cs="Arial"/>
                <w:sz w:val="20"/>
              </w:rPr>
              <w:t>0</w:t>
            </w:r>
          </w:p>
        </w:tc>
      </w:tr>
      <w:tr w:rsidR="00EE7DC5" w:rsidRPr="000F4AA2" w:rsidTr="00481627">
        <w:trPr>
          <w:trHeight w:val="255"/>
        </w:trPr>
        <w:tc>
          <w:tcPr>
            <w:tcW w:w="1960" w:type="dxa"/>
            <w:tcBorders>
              <w:top w:val="nil"/>
              <w:left w:val="nil"/>
              <w:bottom w:val="nil"/>
              <w:right w:val="nil"/>
            </w:tcBorders>
            <w:shd w:val="clear" w:color="auto" w:fill="C3C6A8" w:themeFill="accent4"/>
            <w:noWrap/>
            <w:vAlign w:val="bottom"/>
            <w:hideMark/>
          </w:tcPr>
          <w:p w:rsidR="00EE7DC5" w:rsidRPr="00D9321D" w:rsidRDefault="00EE7DC5" w:rsidP="00EE7DC5">
            <w:pPr>
              <w:spacing w:after="0" w:line="240" w:lineRule="auto"/>
              <w:rPr>
                <w:rFonts w:ascii="Arial" w:hAnsi="Arial" w:cs="Arial"/>
                <w:b/>
                <w:sz w:val="20"/>
              </w:rPr>
            </w:pPr>
            <w:r w:rsidRPr="00D9321D">
              <w:rPr>
                <w:rFonts w:ascii="Arial" w:hAnsi="Arial" w:cs="Arial"/>
                <w:b/>
                <w:sz w:val="20"/>
              </w:rPr>
              <w:t>Any drug</w:t>
            </w:r>
          </w:p>
        </w:tc>
        <w:tc>
          <w:tcPr>
            <w:tcW w:w="13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69.4%</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rPr>
                <w:rFonts w:ascii="Arial" w:hAnsi="Arial" w:cs="Arial"/>
                <w:sz w:val="20"/>
              </w:rPr>
            </w:pPr>
          </w:p>
        </w:tc>
        <w:tc>
          <w:tcPr>
            <w:tcW w:w="960" w:type="dxa"/>
            <w:tcBorders>
              <w:top w:val="single" w:sz="4" w:space="0" w:color="auto"/>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0.050</w:t>
            </w:r>
          </w:p>
        </w:tc>
        <w:tc>
          <w:tcPr>
            <w:tcW w:w="960" w:type="dxa"/>
            <w:tcBorders>
              <w:top w:val="single" w:sz="4" w:space="0" w:color="auto"/>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0.147</w:t>
            </w:r>
          </w:p>
        </w:tc>
        <w:tc>
          <w:tcPr>
            <w:tcW w:w="960" w:type="dxa"/>
            <w:tcBorders>
              <w:top w:val="single" w:sz="4" w:space="0" w:color="auto"/>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0.439</w:t>
            </w:r>
          </w:p>
        </w:tc>
        <w:tc>
          <w:tcPr>
            <w:tcW w:w="960" w:type="dxa"/>
            <w:tcBorders>
              <w:top w:val="single" w:sz="4" w:space="0" w:color="auto"/>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0.910</w:t>
            </w:r>
          </w:p>
        </w:tc>
        <w:tc>
          <w:tcPr>
            <w:tcW w:w="960" w:type="dxa"/>
            <w:tcBorders>
              <w:top w:val="single" w:sz="4" w:space="0" w:color="auto"/>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0.998</w:t>
            </w:r>
          </w:p>
        </w:tc>
        <w:tc>
          <w:tcPr>
            <w:tcW w:w="960" w:type="dxa"/>
            <w:tcBorders>
              <w:top w:val="single" w:sz="4" w:space="0" w:color="auto"/>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r>
      <w:tr w:rsidR="00EE7DC5" w:rsidRPr="000F4AA2" w:rsidTr="00481627">
        <w:trPr>
          <w:trHeight w:val="255"/>
        </w:trPr>
        <w:tc>
          <w:tcPr>
            <w:tcW w:w="1960" w:type="dxa"/>
            <w:tcBorders>
              <w:top w:val="nil"/>
              <w:left w:val="nil"/>
              <w:bottom w:val="nil"/>
              <w:right w:val="nil"/>
            </w:tcBorders>
            <w:shd w:val="clear" w:color="auto" w:fill="C3C6A8" w:themeFill="accent4"/>
            <w:noWrap/>
            <w:vAlign w:val="bottom"/>
            <w:hideMark/>
          </w:tcPr>
          <w:p w:rsidR="00EE7DC5" w:rsidRPr="00D9321D" w:rsidRDefault="00EE7DC5" w:rsidP="00EE7DC5">
            <w:pPr>
              <w:spacing w:after="0" w:line="240" w:lineRule="auto"/>
              <w:rPr>
                <w:rFonts w:ascii="Arial" w:hAnsi="Arial" w:cs="Arial"/>
                <w:b/>
                <w:sz w:val="20"/>
              </w:rPr>
            </w:pPr>
            <w:r w:rsidRPr="00D9321D">
              <w:rPr>
                <w:rFonts w:ascii="Arial" w:hAnsi="Arial" w:cs="Arial"/>
                <w:b/>
                <w:sz w:val="20"/>
              </w:rPr>
              <w:t>Cocaine</w:t>
            </w:r>
          </w:p>
        </w:tc>
        <w:tc>
          <w:tcPr>
            <w:tcW w:w="13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25.8%</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rPr>
                <w:rFonts w:ascii="Arial" w:hAnsi="Arial" w:cs="Arial"/>
                <w:sz w:val="20"/>
              </w:rPr>
            </w:pP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0.050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0.164</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0.509</w:t>
            </w:r>
          </w:p>
        </w:tc>
        <w:tc>
          <w:tcPr>
            <w:tcW w:w="960" w:type="dxa"/>
            <w:tcBorders>
              <w:top w:val="nil"/>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0.955</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r>
      <w:tr w:rsidR="00EE7DC5" w:rsidRPr="000F4AA2" w:rsidTr="00481627">
        <w:trPr>
          <w:trHeight w:val="255"/>
        </w:trPr>
        <w:tc>
          <w:tcPr>
            <w:tcW w:w="1960" w:type="dxa"/>
            <w:tcBorders>
              <w:top w:val="nil"/>
              <w:left w:val="nil"/>
              <w:bottom w:val="nil"/>
              <w:right w:val="nil"/>
            </w:tcBorders>
            <w:shd w:val="clear" w:color="auto" w:fill="C3C6A8" w:themeFill="accent4"/>
            <w:noWrap/>
            <w:vAlign w:val="bottom"/>
            <w:hideMark/>
          </w:tcPr>
          <w:p w:rsidR="00EE7DC5" w:rsidRPr="00D9321D" w:rsidRDefault="00EE7DC5" w:rsidP="00EE7DC5">
            <w:pPr>
              <w:spacing w:after="0" w:line="240" w:lineRule="auto"/>
              <w:rPr>
                <w:rFonts w:ascii="Arial" w:hAnsi="Arial" w:cs="Arial"/>
                <w:b/>
                <w:sz w:val="20"/>
              </w:rPr>
            </w:pPr>
            <w:r w:rsidRPr="00D9321D">
              <w:rPr>
                <w:rFonts w:ascii="Arial" w:hAnsi="Arial" w:cs="Arial"/>
                <w:b/>
                <w:sz w:val="20"/>
              </w:rPr>
              <w:t>Marijuana</w:t>
            </w:r>
          </w:p>
        </w:tc>
        <w:tc>
          <w:tcPr>
            <w:tcW w:w="13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46.6%</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rPr>
                <w:rFonts w:ascii="Arial" w:hAnsi="Arial" w:cs="Arial"/>
                <w:sz w:val="20"/>
              </w:rPr>
            </w:pP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0.050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0.141</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0.412</w:t>
            </w:r>
          </w:p>
        </w:tc>
        <w:tc>
          <w:tcPr>
            <w:tcW w:w="960" w:type="dxa"/>
            <w:tcBorders>
              <w:top w:val="nil"/>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0.885</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0.996</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r>
      <w:tr w:rsidR="00EE7DC5" w:rsidRPr="000F4AA2" w:rsidTr="00481627">
        <w:trPr>
          <w:trHeight w:val="255"/>
        </w:trPr>
        <w:tc>
          <w:tcPr>
            <w:tcW w:w="1960" w:type="dxa"/>
            <w:tcBorders>
              <w:top w:val="nil"/>
              <w:left w:val="nil"/>
              <w:bottom w:val="nil"/>
              <w:right w:val="nil"/>
            </w:tcBorders>
            <w:shd w:val="clear" w:color="auto" w:fill="C3C6A8" w:themeFill="accent4"/>
            <w:noWrap/>
            <w:vAlign w:val="bottom"/>
            <w:hideMark/>
          </w:tcPr>
          <w:p w:rsidR="00EE7DC5" w:rsidRPr="00D9321D" w:rsidRDefault="00EE7DC5" w:rsidP="00EE7DC5">
            <w:pPr>
              <w:spacing w:after="0" w:line="240" w:lineRule="auto"/>
              <w:rPr>
                <w:rFonts w:ascii="Arial" w:hAnsi="Arial" w:cs="Arial"/>
                <w:b/>
                <w:sz w:val="20"/>
              </w:rPr>
            </w:pPr>
            <w:r w:rsidRPr="00D9321D">
              <w:rPr>
                <w:rFonts w:ascii="Arial" w:hAnsi="Arial" w:cs="Arial"/>
                <w:b/>
                <w:sz w:val="20"/>
              </w:rPr>
              <w:t>Opiates</w:t>
            </w:r>
          </w:p>
        </w:tc>
        <w:tc>
          <w:tcPr>
            <w:tcW w:w="13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8.4%</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rPr>
                <w:rFonts w:ascii="Arial" w:hAnsi="Arial" w:cs="Arial"/>
                <w:sz w:val="20"/>
              </w:rPr>
            </w:pP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0.050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0.285</w:t>
            </w:r>
          </w:p>
        </w:tc>
        <w:tc>
          <w:tcPr>
            <w:tcW w:w="960" w:type="dxa"/>
            <w:tcBorders>
              <w:top w:val="nil"/>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0.853</w:t>
            </w:r>
          </w:p>
        </w:tc>
        <w:tc>
          <w:tcPr>
            <w:tcW w:w="960" w:type="dxa"/>
            <w:tcBorders>
              <w:top w:val="nil"/>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1.000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r>
      <w:tr w:rsidR="00EE7DC5" w:rsidRPr="000F4AA2" w:rsidTr="00481627">
        <w:trPr>
          <w:trHeight w:val="255"/>
        </w:trPr>
        <w:tc>
          <w:tcPr>
            <w:tcW w:w="1960" w:type="dxa"/>
            <w:tcBorders>
              <w:top w:val="nil"/>
              <w:left w:val="nil"/>
              <w:bottom w:val="nil"/>
              <w:right w:val="nil"/>
            </w:tcBorders>
            <w:shd w:val="clear" w:color="auto" w:fill="C3C6A8" w:themeFill="accent4"/>
            <w:noWrap/>
            <w:vAlign w:val="bottom"/>
            <w:hideMark/>
          </w:tcPr>
          <w:p w:rsidR="00EE7DC5" w:rsidRPr="00D9321D" w:rsidRDefault="00EE7DC5" w:rsidP="00EE7DC5">
            <w:pPr>
              <w:spacing w:after="0" w:line="240" w:lineRule="auto"/>
              <w:rPr>
                <w:rFonts w:ascii="Arial" w:hAnsi="Arial" w:cs="Arial"/>
                <w:b/>
                <w:sz w:val="20"/>
              </w:rPr>
            </w:pPr>
            <w:r w:rsidRPr="00D9321D">
              <w:rPr>
                <w:rFonts w:ascii="Arial" w:hAnsi="Arial" w:cs="Arial"/>
                <w:b/>
                <w:sz w:val="20"/>
              </w:rPr>
              <w:t>Methamphetamine</w:t>
            </w:r>
          </w:p>
        </w:tc>
        <w:tc>
          <w:tcPr>
            <w:tcW w:w="13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8.2%</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rPr>
                <w:rFonts w:ascii="Arial" w:hAnsi="Arial" w:cs="Arial"/>
                <w:sz w:val="20"/>
              </w:rPr>
            </w:pP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0.050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0.480</w:t>
            </w:r>
          </w:p>
        </w:tc>
        <w:tc>
          <w:tcPr>
            <w:tcW w:w="960" w:type="dxa"/>
            <w:tcBorders>
              <w:top w:val="nil"/>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0.990</w:t>
            </w:r>
          </w:p>
        </w:tc>
        <w:tc>
          <w:tcPr>
            <w:tcW w:w="960" w:type="dxa"/>
            <w:tcBorders>
              <w:top w:val="nil"/>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1.000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r>
      <w:tr w:rsidR="00EE7DC5" w:rsidRPr="000F4AA2" w:rsidTr="00481627">
        <w:trPr>
          <w:trHeight w:val="255"/>
        </w:trPr>
        <w:tc>
          <w:tcPr>
            <w:tcW w:w="1960" w:type="dxa"/>
            <w:tcBorders>
              <w:top w:val="nil"/>
              <w:left w:val="nil"/>
              <w:bottom w:val="nil"/>
              <w:right w:val="nil"/>
            </w:tcBorders>
            <w:shd w:val="clear" w:color="auto" w:fill="C3C6A8" w:themeFill="accent4"/>
            <w:noWrap/>
            <w:vAlign w:val="bottom"/>
            <w:hideMark/>
          </w:tcPr>
          <w:p w:rsidR="00EE7DC5" w:rsidRPr="00D9321D" w:rsidRDefault="00EE7DC5" w:rsidP="00EE7DC5">
            <w:pPr>
              <w:spacing w:after="0" w:line="240" w:lineRule="auto"/>
              <w:rPr>
                <w:rFonts w:ascii="Arial" w:hAnsi="Arial" w:cs="Arial"/>
                <w:b/>
                <w:sz w:val="20"/>
              </w:rPr>
            </w:pPr>
            <w:r w:rsidRPr="00D9321D">
              <w:rPr>
                <w:rFonts w:ascii="Arial" w:hAnsi="Arial" w:cs="Arial"/>
                <w:b/>
                <w:sz w:val="20"/>
              </w:rPr>
              <w:t>Multiple drugs</w:t>
            </w:r>
          </w:p>
        </w:tc>
        <w:tc>
          <w:tcPr>
            <w:tcW w:w="13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22.2%</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rPr>
                <w:rFonts w:ascii="Arial" w:hAnsi="Arial" w:cs="Arial"/>
                <w:sz w:val="20"/>
              </w:rPr>
            </w:pP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0.050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0.182</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0.577</w:t>
            </w:r>
          </w:p>
        </w:tc>
        <w:tc>
          <w:tcPr>
            <w:tcW w:w="960" w:type="dxa"/>
            <w:tcBorders>
              <w:top w:val="nil"/>
              <w:left w:val="nil"/>
              <w:bottom w:val="nil"/>
              <w:right w:val="nil"/>
            </w:tcBorders>
            <w:shd w:val="clear" w:color="auto" w:fill="auto"/>
            <w:noWrap/>
            <w:vAlign w:val="bottom"/>
            <w:hideMark/>
          </w:tcPr>
          <w:p w:rsidR="00EE7DC5" w:rsidRPr="002648BE" w:rsidRDefault="00EE7DC5" w:rsidP="00EE7DC5">
            <w:pPr>
              <w:spacing w:after="0" w:line="240" w:lineRule="auto"/>
              <w:jc w:val="right"/>
              <w:rPr>
                <w:rFonts w:ascii="Arial" w:hAnsi="Arial" w:cs="Arial"/>
                <w:sz w:val="20"/>
                <w:highlight w:val="yellow"/>
              </w:rPr>
            </w:pPr>
            <w:r w:rsidRPr="002648BE">
              <w:rPr>
                <w:rFonts w:ascii="Arial" w:hAnsi="Arial" w:cs="Arial"/>
                <w:sz w:val="20"/>
                <w:highlight w:val="yellow"/>
              </w:rPr>
              <w:t>0.979</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c>
          <w:tcPr>
            <w:tcW w:w="960" w:type="dxa"/>
            <w:tcBorders>
              <w:top w:val="nil"/>
              <w:left w:val="nil"/>
              <w:bottom w:val="nil"/>
              <w:right w:val="nil"/>
            </w:tcBorders>
            <w:shd w:val="clear" w:color="auto" w:fill="auto"/>
            <w:noWrap/>
            <w:vAlign w:val="bottom"/>
            <w:hideMark/>
          </w:tcPr>
          <w:p w:rsidR="00EE7DC5" w:rsidRPr="000F4AA2" w:rsidRDefault="00EE7DC5" w:rsidP="00EE7DC5">
            <w:pPr>
              <w:spacing w:after="0" w:line="240" w:lineRule="auto"/>
              <w:jc w:val="right"/>
              <w:rPr>
                <w:rFonts w:ascii="Arial" w:hAnsi="Arial" w:cs="Arial"/>
                <w:sz w:val="20"/>
              </w:rPr>
            </w:pPr>
            <w:r w:rsidRPr="000F4AA2">
              <w:rPr>
                <w:rFonts w:ascii="Arial" w:hAnsi="Arial" w:cs="Arial"/>
                <w:sz w:val="20"/>
              </w:rPr>
              <w:t>1.000</w:t>
            </w:r>
          </w:p>
        </w:tc>
      </w:tr>
    </w:tbl>
    <w:p w:rsidR="00EE7DC5" w:rsidRDefault="00EE7DC5" w:rsidP="00EE7DC5"/>
    <w:p w:rsidR="00EE7DC5" w:rsidRPr="00A10C7A" w:rsidRDefault="00EE7DC5" w:rsidP="00EE7DC5">
      <w:r>
        <w:lastRenderedPageBreak/>
        <w:t xml:space="preserve">As indicated by the third column, all power calculations were based on type-1 error of 0.05.  Using 0.80 as the criterion for “sufficient power”, ADAM II lacks sufficient power to detect a very small linear change in illegal drug use of 0.01 regardless of the drug (Column 4).  This means, for example, that ADAM II could not reliably detect a one percentage point change in cocaine use that went from 25.8% to 24.8 %. But ADAM II samples have acceptable power to detect a linear </w:t>
      </w:r>
      <w:r w:rsidR="003B46B7">
        <w:t>trend of 0.025 (C</w:t>
      </w:r>
      <w:r>
        <w:t xml:space="preserve">olumn 5) or a 2.5 percentage point change for drugs that are used relatively infrequently (opiates and methamphetamine).  However, at .05 (Column 6), current ADAM sample sizes provide more than sufficient </w:t>
      </w:r>
      <w:r w:rsidRPr="00A10C7A">
        <w:t xml:space="preserve"> </w:t>
      </w:r>
      <w:r>
        <w:t xml:space="preserve">power to detect a 5 percentage point change </w:t>
      </w:r>
      <w:r w:rsidRPr="00A10C7A">
        <w:t>trend over time for each of the six categories of illegal drugs.</w:t>
      </w:r>
      <w:r>
        <w:t xml:space="preserve"> </w:t>
      </w:r>
    </w:p>
    <w:p w:rsidR="00EE7DC5" w:rsidRDefault="00EE7DC5" w:rsidP="009723ED"/>
    <w:p w:rsidR="008B3C86" w:rsidRDefault="008B3C86" w:rsidP="00EA0BBD">
      <w:pPr>
        <w:pStyle w:val="Heading3"/>
      </w:pPr>
      <w:bookmarkStart w:id="7" w:name="_Toc249943233"/>
      <w:bookmarkStart w:id="8" w:name="_Toc343259227"/>
      <w:r>
        <w:t xml:space="preserve">Estimating Trends </w:t>
      </w:r>
      <w:bookmarkEnd w:id="7"/>
      <w:r>
        <w:t>for 2008 and Beyond</w:t>
      </w:r>
      <w:bookmarkEnd w:id="8"/>
    </w:p>
    <w:p w:rsidR="008B3C86" w:rsidRDefault="008B3C86" w:rsidP="009723ED">
      <w:r>
        <w:t>From 2000 through 2003, ADAM used post</w:t>
      </w:r>
      <w:r w:rsidR="00792BFA">
        <w:t xml:space="preserve">-sampling </w:t>
      </w:r>
      <w:r>
        <w:t xml:space="preserve">stratification </w:t>
      </w:r>
      <w:r w:rsidR="00792BFA">
        <w:t xml:space="preserve">methods </w:t>
      </w:r>
      <w:r>
        <w:t>to estimate sampling probabilities and to calculate weights</w:t>
      </w:r>
      <w:r w:rsidR="009723ED">
        <w:t xml:space="preserve">. </w:t>
      </w:r>
      <w:r>
        <w:t>Data were stratified by jail, stock and flow, and day of the week</w:t>
      </w:r>
      <w:r w:rsidR="009723ED">
        <w:t xml:space="preserve">. </w:t>
      </w:r>
      <w:r>
        <w:t>Within each stratum, the sampling probability was estimated as the number sampled per number booked</w:t>
      </w:r>
      <w:r w:rsidR="009723ED">
        <w:t xml:space="preserve">. </w:t>
      </w:r>
      <w:r>
        <w:t>Although conceptually simple, the approach was operationally difficult</w:t>
      </w:r>
      <w:r w:rsidR="009723ED">
        <w:t xml:space="preserve">. </w:t>
      </w:r>
      <w:r>
        <w:t>The principal difficulty was that strata sometimes had no or few members of the sample</w:t>
      </w:r>
      <w:r w:rsidR="009723ED">
        <w:t xml:space="preserve">. </w:t>
      </w:r>
      <w:r>
        <w:t>This meant that strata had to be merged, and it often resulted in heterogeneous strata being combined.</w:t>
      </w:r>
    </w:p>
    <w:p w:rsidR="008B3C86" w:rsidRDefault="008B3C86" w:rsidP="009723ED">
      <w:r>
        <w:t>To avoid these complications, ADAM II adopted propensity scores as an alternative device for estimating sampling probabilities and computing weights</w:t>
      </w:r>
      <w:r w:rsidR="009723ED">
        <w:t xml:space="preserve">. </w:t>
      </w:r>
      <w:r>
        <w:t>The propensity score approach does not require stratification, because the sampling probability can be modeled as a continuous function of factors that affect the sampling rate</w:t>
      </w:r>
      <w:r w:rsidR="00792BFA">
        <w:t xml:space="preserve"> (time of day, day of the week, charge)</w:t>
      </w:r>
      <w:r w:rsidR="009723ED">
        <w:t xml:space="preserve">. </w:t>
      </w:r>
      <w:r>
        <w:t>Because 2000 and 2001 ADAM data provided the necessary census data, the survey team replaced the original weights for the 2000 and 2001 ADAM data with new weights based on propensity scores</w:t>
      </w:r>
      <w:r w:rsidR="009723ED">
        <w:t xml:space="preserve">. </w:t>
      </w:r>
      <w:r>
        <w:t>That is, the survey team replicated the ADAM II weighting procedure using the 2000 and 2001 ADAM data.</w:t>
      </w:r>
    </w:p>
    <w:p w:rsidR="008B3C86" w:rsidRDefault="008B3C86" w:rsidP="009723ED">
      <w:r>
        <w:t xml:space="preserve">This replication was not possible for the 2002 and 2003 ADAM data because the </w:t>
      </w:r>
      <w:r w:rsidR="00792BFA">
        <w:t xml:space="preserve">national </w:t>
      </w:r>
      <w:r>
        <w:t xml:space="preserve">ADAM contractor </w:t>
      </w:r>
      <w:r w:rsidR="00792BFA">
        <w:t xml:space="preserve">during that period </w:t>
      </w:r>
      <w:r>
        <w:t>did not retain the census data for those years</w:t>
      </w:r>
      <w:r w:rsidR="009723ED">
        <w:t xml:space="preserve">. </w:t>
      </w:r>
      <w:r>
        <w:t>Thus, for purposes of reporting trend statistics, the ADAM II survey team:</w:t>
      </w:r>
    </w:p>
    <w:p w:rsidR="008B3C86" w:rsidRDefault="008B3C86" w:rsidP="00EA0BBD">
      <w:pPr>
        <w:pStyle w:val="Bullets"/>
      </w:pPr>
      <w:r>
        <w:t>Uses the reweighted ADAM data for 2000 and 2001;</w:t>
      </w:r>
    </w:p>
    <w:p w:rsidR="008B3C86" w:rsidRDefault="008B3C86" w:rsidP="00EA0BBD">
      <w:pPr>
        <w:pStyle w:val="Bullets"/>
      </w:pPr>
      <w:r>
        <w:t>Uses the ADAM data for 2002 and 2003 without changing the weights; and</w:t>
      </w:r>
    </w:p>
    <w:p w:rsidR="008B3C86" w:rsidRDefault="008B3C86" w:rsidP="00EA0BBD">
      <w:pPr>
        <w:pStyle w:val="BulletsLast"/>
      </w:pPr>
      <w:r>
        <w:t>Uses the propensity score weights for the ADAM II data.</w:t>
      </w:r>
    </w:p>
    <w:p w:rsidR="008B3C86" w:rsidRDefault="008B3C86" w:rsidP="00EA0BBD">
      <w:r>
        <w:t>It is important to note that there was nothing wrong with the original ADAM weights</w:t>
      </w:r>
      <w:r w:rsidR="009723ED">
        <w:t xml:space="preserve">. </w:t>
      </w:r>
      <w:r>
        <w:t>They simply led to sampling variances that were larger than necessary, so the ADAM II study team improved the weights when possible</w:t>
      </w:r>
      <w:r w:rsidR="009723ED">
        <w:t xml:space="preserve">. </w:t>
      </w:r>
      <w:r>
        <w:t>Because there was nothing wrong with the original sampling weights, there is nothing misleading about mixing the reweighted data for 2000-2001, the 2002-2003 data with their original weights, and the new ADAM II data in producing trend estimates.</w:t>
      </w:r>
    </w:p>
    <w:p w:rsidR="008B3C86" w:rsidRDefault="008B3C86" w:rsidP="009723ED">
      <w:r>
        <w:t>However, reweighting has two consequences</w:t>
      </w:r>
      <w:r w:rsidR="009723ED">
        <w:t xml:space="preserve">. </w:t>
      </w:r>
      <w:r>
        <w:t>The first is that the 2000- 2001 estimates changed slightly from those reported earlier</w:t>
      </w:r>
      <w:r w:rsidR="009723ED">
        <w:t xml:space="preserve">. </w:t>
      </w:r>
      <w:r>
        <w:t>The second is that estimates from year-to-year in reweighted years are no longer independent</w:t>
      </w:r>
      <w:r w:rsidR="009723ED">
        <w:t xml:space="preserve">. </w:t>
      </w:r>
      <w:r>
        <w:t>Consequently, to test for trends, an analyst requires an estimate of the parameter covariance matrix.</w:t>
      </w:r>
    </w:p>
    <w:p w:rsidR="001E32E0" w:rsidRPr="001E32E0" w:rsidRDefault="008B3C86" w:rsidP="001E32E0">
      <w:r w:rsidRPr="00770E2B">
        <w:lastRenderedPageBreak/>
        <w:t>As anticipated, this has the result of potentially slightly changing the prior years’ estimates that appeared first in the 2007 report</w:t>
      </w:r>
      <w:r w:rsidR="009723ED">
        <w:t xml:space="preserve">. </w:t>
      </w:r>
      <w:r w:rsidRPr="00770E2B">
        <w:t>Although this approach improves the efficiency of the estimates, there is concern that yearly revisions going forward, regardless how slight, would be confusing</w:t>
      </w:r>
      <w:r w:rsidR="009723ED">
        <w:t xml:space="preserve">. </w:t>
      </w:r>
      <w:r w:rsidRPr="001E32E0">
        <w:t>Consequently, 2008-2012 estimates are developed holding earlier estimates at their previously reported levels</w:t>
      </w:r>
      <w:r w:rsidRPr="00770E2B">
        <w:t>.</w:t>
      </w:r>
      <w:r>
        <w:t xml:space="preserve"> </w:t>
      </w:r>
      <w:r w:rsidR="001E32E0" w:rsidRPr="001E32E0">
        <w:t xml:space="preserve">In theory, we could update the propensity weights at each data collection.  In practice, we freeze the weights for each year at the end of the year, and use those weights in any analyses that include older data.  We do this for three reasons.  One, while the propensity weights are made more precise by adding new data, the weights themselves do not change </w:t>
      </w:r>
      <w:r w:rsidR="0069211A">
        <w:t>appreciably.</w:t>
      </w:r>
      <w:r w:rsidR="001E32E0" w:rsidRPr="001E32E0">
        <w:t>  Two, the ADAM data need to be archived at the end of the year, and we do not want to re-archive data if possible.  Three, ONDCP requires that past estimates may be re-created, which may only be achieved by freezing the weights at the end of each year.</w:t>
      </w:r>
    </w:p>
    <w:p w:rsidR="00197401" w:rsidRDefault="0069211A" w:rsidP="00EA0BBD">
      <w:r>
        <w:t>The ADAM II 2012</w:t>
      </w:r>
      <w:r w:rsidR="008B3C86">
        <w:t xml:space="preserve"> technical documentation </w:t>
      </w:r>
      <w:r w:rsidR="007A5EAB">
        <w:t>report details</w:t>
      </w:r>
      <w:r w:rsidR="008B3C86">
        <w:t xml:space="preserve"> the estimation procedures for 2008-2012. Th</w:t>
      </w:r>
      <w:r>
        <w:t>at report</w:t>
      </w:r>
      <w:r w:rsidR="008B3C86">
        <w:t xml:space="preserve"> is attached to this request; previous year’s reports are available at the University of Michigan’s </w:t>
      </w:r>
      <w:r w:rsidR="008B3C86" w:rsidRPr="00DA3F28">
        <w:t>Inter-university Consortium for Political and Social Research</w:t>
      </w:r>
      <w:r w:rsidR="00514F70">
        <w:t>:</w:t>
      </w:r>
      <w:r w:rsidR="008B3C86">
        <w:t xml:space="preserve"> </w:t>
      </w:r>
    </w:p>
    <w:p w:rsidR="008B3C86" w:rsidRDefault="008B3C86" w:rsidP="00EA0BBD">
      <w:r>
        <w:t>(</w:t>
      </w:r>
      <w:hyperlink r:id="rId19" w:history="1">
        <w:r w:rsidRPr="00011E97">
          <w:rPr>
            <w:rStyle w:val="Hyperlink"/>
          </w:rPr>
          <w:t>http://www.icpsr.umich.edu/icpsrweb/ICPSR/studies/27221?q=ADAM&amp;permit%5B0%5D=AVAILABLE</w:t>
        </w:r>
      </w:hyperlink>
      <w:r>
        <w:t>)</w:t>
      </w:r>
    </w:p>
    <w:p w:rsidR="00B67662" w:rsidRDefault="00B67662" w:rsidP="00EA0BBD"/>
    <w:p w:rsidR="00B67662" w:rsidRDefault="00B67662" w:rsidP="00EA0BBD">
      <w:r>
        <w:t>Table 2 reports the standard errors for the reweighted 2000-2003 trend estimates and the standard errors achieved for 2007-2012 ADAM II data collection. The trends were estimated as percentage changes. Standard errors for linear trends from 2007-2012 are available in the Annual Reports published on the ONDCP website.</w:t>
      </w:r>
      <w:r>
        <w:rPr>
          <w:rStyle w:val="FootnoteReference"/>
        </w:rPr>
        <w:footnoteReference w:id="4"/>
      </w:r>
    </w:p>
    <w:p w:rsidR="00B67662" w:rsidRDefault="00B67662" w:rsidP="00EA0BBD"/>
    <w:p w:rsidR="00B67662" w:rsidRDefault="00B67662" w:rsidP="00EA0BBD"/>
    <w:p w:rsidR="00B67662" w:rsidRDefault="00B67662" w:rsidP="00EA0BBD"/>
    <w:p w:rsidR="00B67662" w:rsidRDefault="00B67662" w:rsidP="00EA0BBD"/>
    <w:p w:rsidR="00B67662" w:rsidRDefault="00B67662" w:rsidP="00EA0BBD"/>
    <w:p w:rsidR="00B67662" w:rsidRDefault="00B67662" w:rsidP="00EA0BBD"/>
    <w:p w:rsidR="00B67662" w:rsidRDefault="00B67662" w:rsidP="00EA0BBD"/>
    <w:p w:rsidR="00B67662" w:rsidRDefault="00B67662" w:rsidP="00EA0BBD"/>
    <w:p w:rsidR="00B67662" w:rsidRDefault="00B67662" w:rsidP="00EA0BBD"/>
    <w:p w:rsidR="00B67662" w:rsidRDefault="00B67662" w:rsidP="00EA0BBD"/>
    <w:p w:rsidR="00B67662" w:rsidRDefault="00B67662" w:rsidP="00EA0BBD"/>
    <w:tbl>
      <w:tblPr>
        <w:tblW w:w="9123" w:type="dxa"/>
        <w:tblInd w:w="93" w:type="dxa"/>
        <w:tblLook w:val="04A0" w:firstRow="1" w:lastRow="0" w:firstColumn="1" w:lastColumn="0" w:noHBand="0" w:noVBand="1"/>
      </w:tblPr>
      <w:tblGrid>
        <w:gridCol w:w="1725"/>
        <w:gridCol w:w="1548"/>
        <w:gridCol w:w="585"/>
        <w:gridCol w:w="585"/>
        <w:gridCol w:w="585"/>
        <w:gridCol w:w="585"/>
        <w:gridCol w:w="585"/>
        <w:gridCol w:w="585"/>
        <w:gridCol w:w="585"/>
        <w:gridCol w:w="585"/>
        <w:gridCol w:w="585"/>
        <w:gridCol w:w="585"/>
      </w:tblGrid>
      <w:tr w:rsidR="00D209B1" w:rsidRPr="00D209B1" w:rsidTr="00D209B1">
        <w:trPr>
          <w:trHeight w:val="270"/>
        </w:trPr>
        <w:tc>
          <w:tcPr>
            <w:tcW w:w="1725" w:type="dxa"/>
            <w:vMerge w:val="restart"/>
            <w:tcBorders>
              <w:top w:val="single" w:sz="8" w:space="0" w:color="666969"/>
              <w:left w:val="nil"/>
              <w:bottom w:val="single" w:sz="8" w:space="0" w:color="666969"/>
              <w:right w:val="single" w:sz="8" w:space="0" w:color="666969"/>
            </w:tcBorders>
            <w:shd w:val="clear" w:color="000000" w:fill="C3C6A8"/>
            <w:noWrap/>
            <w:vAlign w:val="center"/>
            <w:hideMark/>
          </w:tcPr>
          <w:p w:rsidR="00D209B1" w:rsidRPr="00D209B1" w:rsidRDefault="00B67662" w:rsidP="00B67662">
            <w:pPr>
              <w:spacing w:after="0" w:line="240" w:lineRule="auto"/>
              <w:jc w:val="center"/>
              <w:rPr>
                <w:rFonts w:ascii="Arial Narrow" w:hAnsi="Arial Narrow" w:cs="Arial"/>
                <w:b/>
                <w:bCs/>
                <w:sz w:val="20"/>
              </w:rPr>
            </w:pPr>
            <w:r>
              <w:rPr>
                <w:rFonts w:ascii="Arial Narrow" w:hAnsi="Arial Narrow" w:cs="Arial"/>
                <w:b/>
                <w:bCs/>
                <w:sz w:val="20"/>
              </w:rPr>
              <w:lastRenderedPageBreak/>
              <w:t>Table 2</w:t>
            </w:r>
            <w:r w:rsidR="00D209B1">
              <w:rPr>
                <w:rFonts w:ascii="Arial Narrow" w:hAnsi="Arial Narrow" w:cs="Arial"/>
                <w:b/>
                <w:bCs/>
                <w:sz w:val="20"/>
              </w:rPr>
              <w:t xml:space="preserve"> </w:t>
            </w:r>
            <w:r w:rsidR="00D209B1" w:rsidRPr="00D209B1">
              <w:rPr>
                <w:rFonts w:ascii="Arial Narrow" w:hAnsi="Arial Narrow" w:cs="Arial"/>
                <w:b/>
                <w:bCs/>
                <w:sz w:val="20"/>
              </w:rPr>
              <w:t> </w:t>
            </w:r>
          </w:p>
        </w:tc>
        <w:tc>
          <w:tcPr>
            <w:tcW w:w="1548" w:type="dxa"/>
            <w:tcBorders>
              <w:top w:val="single" w:sz="8" w:space="0" w:color="666969"/>
              <w:left w:val="nil"/>
              <w:bottom w:val="single" w:sz="8" w:space="0" w:color="666969"/>
              <w:right w:val="single" w:sz="8" w:space="0" w:color="666969"/>
            </w:tcBorders>
            <w:shd w:val="clear" w:color="000000" w:fill="C3C6A8"/>
            <w:noWrap/>
            <w:vAlign w:val="center"/>
            <w:hideMark/>
          </w:tcPr>
          <w:p w:rsidR="00D209B1" w:rsidRPr="00D209B1" w:rsidRDefault="00D209B1" w:rsidP="00D209B1">
            <w:pPr>
              <w:spacing w:after="0" w:line="240" w:lineRule="auto"/>
              <w:jc w:val="center"/>
              <w:rPr>
                <w:rFonts w:ascii="Arial Narrow" w:hAnsi="Arial Narrow" w:cs="Arial"/>
                <w:b/>
                <w:bCs/>
                <w:sz w:val="20"/>
              </w:rPr>
            </w:pPr>
            <w:r w:rsidRPr="00D209B1">
              <w:rPr>
                <w:rFonts w:ascii="Arial Narrow" w:hAnsi="Arial Narrow" w:cs="Arial"/>
                <w:b/>
                <w:bCs/>
                <w:sz w:val="20"/>
              </w:rPr>
              <w:t> </w:t>
            </w:r>
          </w:p>
        </w:tc>
        <w:tc>
          <w:tcPr>
            <w:tcW w:w="5850" w:type="dxa"/>
            <w:gridSpan w:val="10"/>
            <w:tcBorders>
              <w:top w:val="single" w:sz="8" w:space="0" w:color="666969"/>
              <w:left w:val="nil"/>
              <w:bottom w:val="single" w:sz="8" w:space="0" w:color="666969"/>
              <w:right w:val="single" w:sz="8" w:space="0" w:color="666969"/>
            </w:tcBorders>
            <w:shd w:val="clear" w:color="000000" w:fill="C3C6A8"/>
            <w:noWrap/>
            <w:vAlign w:val="center"/>
            <w:hideMark/>
          </w:tcPr>
          <w:p w:rsidR="00D209B1" w:rsidRPr="00D209B1" w:rsidRDefault="00594C46" w:rsidP="00594C46">
            <w:pPr>
              <w:spacing w:after="0" w:line="240" w:lineRule="auto"/>
              <w:jc w:val="center"/>
              <w:rPr>
                <w:rFonts w:ascii="Arial Narrow" w:hAnsi="Arial Narrow" w:cs="Arial"/>
                <w:b/>
                <w:bCs/>
                <w:sz w:val="20"/>
              </w:rPr>
            </w:pPr>
            <w:r>
              <w:rPr>
                <w:rFonts w:ascii="Arial Narrow" w:hAnsi="Arial Narrow" w:cs="Arial"/>
                <w:b/>
                <w:bCs/>
                <w:sz w:val="20"/>
              </w:rPr>
              <w:t xml:space="preserve">2000-2012 </w:t>
            </w:r>
            <w:r w:rsidR="00D209B1" w:rsidRPr="00D209B1">
              <w:rPr>
                <w:rFonts w:ascii="Arial Narrow" w:hAnsi="Arial Narrow" w:cs="Arial"/>
                <w:b/>
                <w:bCs/>
                <w:sz w:val="20"/>
              </w:rPr>
              <w:t>Standard errors for urine test trends</w:t>
            </w:r>
          </w:p>
        </w:tc>
      </w:tr>
      <w:tr w:rsidR="00D209B1" w:rsidRPr="00D209B1" w:rsidTr="00D209B1">
        <w:trPr>
          <w:trHeight w:val="270"/>
        </w:trPr>
        <w:tc>
          <w:tcPr>
            <w:tcW w:w="1725" w:type="dxa"/>
            <w:vMerge/>
            <w:tcBorders>
              <w:top w:val="single" w:sz="8" w:space="0" w:color="666969"/>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single" w:sz="8" w:space="0" w:color="666969"/>
              <w:right w:val="nil"/>
            </w:tcBorders>
            <w:shd w:val="clear" w:color="000000" w:fill="898D8D"/>
            <w:vAlign w:val="center"/>
            <w:hideMark/>
          </w:tcPr>
          <w:p w:rsidR="00D209B1" w:rsidRPr="00D209B1" w:rsidRDefault="00D209B1" w:rsidP="00D209B1">
            <w:pPr>
              <w:spacing w:after="0" w:line="240" w:lineRule="auto"/>
              <w:rPr>
                <w:rFonts w:ascii="Arial Narrow" w:hAnsi="Arial Narrow" w:cs="Arial"/>
                <w:b/>
                <w:bCs/>
                <w:color w:val="FFFFFF"/>
                <w:sz w:val="20"/>
              </w:rPr>
            </w:pPr>
            <w:r w:rsidRPr="00D209B1">
              <w:rPr>
                <w:rFonts w:ascii="Arial Narrow" w:hAnsi="Arial Narrow" w:cs="Arial"/>
                <w:b/>
                <w:bCs/>
                <w:color w:val="FFFFFF"/>
                <w:sz w:val="20"/>
              </w:rPr>
              <w:t>Site</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2000</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2001</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2002</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2003</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2007</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2008</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2009</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2010</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2011</w:t>
            </w:r>
          </w:p>
        </w:tc>
        <w:tc>
          <w:tcPr>
            <w:tcW w:w="585" w:type="dxa"/>
            <w:tcBorders>
              <w:top w:val="nil"/>
              <w:left w:val="nil"/>
              <w:bottom w:val="single" w:sz="8" w:space="0" w:color="666969"/>
              <w:right w:val="nil"/>
            </w:tcBorders>
            <w:shd w:val="clear" w:color="000000" w:fill="898D8D"/>
            <w:noWrap/>
            <w:vAlign w:val="center"/>
            <w:hideMark/>
          </w:tcPr>
          <w:p w:rsidR="00D209B1" w:rsidRPr="00D209B1" w:rsidRDefault="00D209B1" w:rsidP="00D209B1">
            <w:pPr>
              <w:spacing w:after="0" w:line="240" w:lineRule="auto"/>
              <w:jc w:val="right"/>
              <w:rPr>
                <w:rFonts w:ascii="Arial Narrow" w:hAnsi="Arial Narrow" w:cs="Arial"/>
                <w:b/>
                <w:bCs/>
                <w:color w:val="FFFFFF"/>
                <w:sz w:val="20"/>
              </w:rPr>
            </w:pPr>
            <w:r w:rsidRPr="00D209B1">
              <w:rPr>
                <w:rFonts w:ascii="Arial Narrow" w:hAnsi="Arial Narrow" w:cs="Arial"/>
                <w:b/>
                <w:bCs/>
                <w:color w:val="FFFFFF"/>
                <w:sz w:val="20"/>
              </w:rPr>
              <w:t>2012</w:t>
            </w:r>
          </w:p>
        </w:tc>
      </w:tr>
      <w:tr w:rsidR="00D209B1" w:rsidRPr="00D209B1" w:rsidTr="00D209B1">
        <w:trPr>
          <w:trHeight w:val="255"/>
        </w:trPr>
        <w:tc>
          <w:tcPr>
            <w:tcW w:w="1725" w:type="dxa"/>
            <w:vMerge w:val="restart"/>
            <w:tcBorders>
              <w:top w:val="nil"/>
              <w:left w:val="nil"/>
              <w:bottom w:val="single" w:sz="8" w:space="0" w:color="666969"/>
              <w:right w:val="single" w:sz="8" w:space="0" w:color="666969"/>
            </w:tcBorders>
            <w:shd w:val="clear" w:color="000000" w:fill="C3C6A8"/>
            <w:vAlign w:val="center"/>
            <w:hideMark/>
          </w:tcPr>
          <w:p w:rsidR="00D209B1" w:rsidRPr="00D209B1" w:rsidRDefault="00D209B1" w:rsidP="00D209B1">
            <w:pPr>
              <w:spacing w:after="0" w:line="240" w:lineRule="auto"/>
              <w:jc w:val="center"/>
              <w:rPr>
                <w:rFonts w:ascii="Arial Narrow" w:hAnsi="Arial Narrow" w:cs="Arial"/>
                <w:b/>
                <w:bCs/>
                <w:sz w:val="20"/>
              </w:rPr>
            </w:pPr>
            <w:r w:rsidRPr="00D209B1">
              <w:rPr>
                <w:rFonts w:ascii="Arial Narrow" w:hAnsi="Arial Narrow" w:cs="Arial"/>
                <w:b/>
                <w:bCs/>
                <w:sz w:val="20"/>
              </w:rPr>
              <w:t>Any drug positive</w:t>
            </w: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Atlanta</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0.06</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0.06</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Chicago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Denver</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New York</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70"/>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Sacramento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val="restart"/>
            <w:tcBorders>
              <w:top w:val="nil"/>
              <w:left w:val="nil"/>
              <w:bottom w:val="single" w:sz="8" w:space="0" w:color="666969"/>
              <w:right w:val="single" w:sz="8" w:space="0" w:color="666969"/>
            </w:tcBorders>
            <w:shd w:val="clear" w:color="000000" w:fill="C3C6A8"/>
            <w:noWrap/>
            <w:vAlign w:val="center"/>
            <w:hideMark/>
          </w:tcPr>
          <w:p w:rsidR="00D209B1" w:rsidRPr="00D209B1" w:rsidRDefault="00D209B1" w:rsidP="00D209B1">
            <w:pPr>
              <w:spacing w:after="0" w:line="240" w:lineRule="auto"/>
              <w:jc w:val="center"/>
              <w:rPr>
                <w:rFonts w:ascii="Arial Narrow" w:hAnsi="Arial Narrow" w:cs="Arial"/>
                <w:b/>
                <w:bCs/>
                <w:sz w:val="20"/>
              </w:rPr>
            </w:pPr>
            <w:r w:rsidRPr="00D209B1">
              <w:rPr>
                <w:rFonts w:ascii="Arial Narrow" w:hAnsi="Arial Narrow" w:cs="Arial"/>
                <w:b/>
                <w:bCs/>
                <w:sz w:val="20"/>
              </w:rPr>
              <w:t>Cocaine</w:t>
            </w: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Atlanta</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Chicago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0.09</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0.08</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Denver</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New York</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70"/>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Sacramento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r>
      <w:tr w:rsidR="00D209B1" w:rsidRPr="00D209B1" w:rsidTr="00D209B1">
        <w:trPr>
          <w:trHeight w:val="255"/>
        </w:trPr>
        <w:tc>
          <w:tcPr>
            <w:tcW w:w="1725" w:type="dxa"/>
            <w:vMerge w:val="restart"/>
            <w:tcBorders>
              <w:top w:val="nil"/>
              <w:left w:val="nil"/>
              <w:bottom w:val="single" w:sz="8" w:space="0" w:color="666969"/>
              <w:right w:val="single" w:sz="8" w:space="0" w:color="666969"/>
            </w:tcBorders>
            <w:shd w:val="clear" w:color="000000" w:fill="C3C6A8"/>
            <w:noWrap/>
            <w:vAlign w:val="center"/>
            <w:hideMark/>
          </w:tcPr>
          <w:p w:rsidR="00D209B1" w:rsidRPr="00D209B1" w:rsidRDefault="00D209B1" w:rsidP="00D209B1">
            <w:pPr>
              <w:spacing w:after="0" w:line="240" w:lineRule="auto"/>
              <w:jc w:val="center"/>
              <w:rPr>
                <w:rFonts w:ascii="Arial Narrow" w:hAnsi="Arial Narrow" w:cs="Arial"/>
                <w:b/>
                <w:bCs/>
                <w:sz w:val="20"/>
              </w:rPr>
            </w:pPr>
            <w:r w:rsidRPr="00D209B1">
              <w:rPr>
                <w:rFonts w:ascii="Arial Narrow" w:hAnsi="Arial Narrow" w:cs="Arial"/>
                <w:b/>
                <w:bCs/>
                <w:sz w:val="20"/>
              </w:rPr>
              <w:t>Methamphetamine</w:t>
            </w: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Atlanta</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Chicago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Denver</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New York</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0.00</w:t>
            </w:r>
          </w:p>
        </w:tc>
      </w:tr>
      <w:tr w:rsidR="00D209B1" w:rsidRPr="00D209B1" w:rsidTr="00D209B1">
        <w:trPr>
          <w:trHeight w:val="270"/>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Sacramento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r>
      <w:tr w:rsidR="00D209B1" w:rsidRPr="00D209B1" w:rsidTr="00D209B1">
        <w:trPr>
          <w:trHeight w:val="255"/>
        </w:trPr>
        <w:tc>
          <w:tcPr>
            <w:tcW w:w="1725" w:type="dxa"/>
            <w:vMerge w:val="restart"/>
            <w:tcBorders>
              <w:top w:val="nil"/>
              <w:left w:val="nil"/>
              <w:bottom w:val="single" w:sz="8" w:space="0" w:color="666969"/>
              <w:right w:val="single" w:sz="8" w:space="0" w:color="666969"/>
            </w:tcBorders>
            <w:shd w:val="clear" w:color="000000" w:fill="C3C6A8"/>
            <w:noWrap/>
            <w:vAlign w:val="center"/>
            <w:hideMark/>
          </w:tcPr>
          <w:p w:rsidR="00D209B1" w:rsidRPr="00D209B1" w:rsidRDefault="00D209B1" w:rsidP="00D209B1">
            <w:pPr>
              <w:spacing w:after="0" w:line="240" w:lineRule="auto"/>
              <w:jc w:val="center"/>
              <w:rPr>
                <w:rFonts w:ascii="Arial Narrow" w:hAnsi="Arial Narrow" w:cs="Arial"/>
                <w:b/>
                <w:bCs/>
                <w:sz w:val="20"/>
              </w:rPr>
            </w:pPr>
            <w:r w:rsidRPr="00D209B1">
              <w:rPr>
                <w:rFonts w:ascii="Arial Narrow" w:hAnsi="Arial Narrow" w:cs="Arial"/>
                <w:b/>
                <w:bCs/>
                <w:sz w:val="20"/>
              </w:rPr>
              <w:t>Marijuana</w:t>
            </w: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Atlanta</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0.06</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Chicago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0.08</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0.08</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Denver</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New York</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r>
      <w:tr w:rsidR="00D209B1" w:rsidRPr="00D209B1" w:rsidTr="00D209B1">
        <w:trPr>
          <w:trHeight w:val="270"/>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Sacramento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r>
      <w:tr w:rsidR="00D209B1" w:rsidRPr="00D209B1" w:rsidTr="00D209B1">
        <w:trPr>
          <w:trHeight w:val="255"/>
        </w:trPr>
        <w:tc>
          <w:tcPr>
            <w:tcW w:w="1725" w:type="dxa"/>
            <w:vMerge w:val="restart"/>
            <w:tcBorders>
              <w:top w:val="nil"/>
              <w:left w:val="nil"/>
              <w:bottom w:val="single" w:sz="8" w:space="0" w:color="666969"/>
              <w:right w:val="single" w:sz="8" w:space="0" w:color="666969"/>
            </w:tcBorders>
            <w:shd w:val="clear" w:color="000000" w:fill="C3C6A8"/>
            <w:noWrap/>
            <w:vAlign w:val="center"/>
            <w:hideMark/>
          </w:tcPr>
          <w:p w:rsidR="00D209B1" w:rsidRPr="00D209B1" w:rsidRDefault="00D209B1" w:rsidP="00D209B1">
            <w:pPr>
              <w:spacing w:after="0" w:line="240" w:lineRule="auto"/>
              <w:jc w:val="center"/>
              <w:rPr>
                <w:rFonts w:ascii="Arial Narrow" w:hAnsi="Arial Narrow" w:cs="Arial"/>
                <w:b/>
                <w:bCs/>
                <w:sz w:val="20"/>
              </w:rPr>
            </w:pPr>
            <w:r w:rsidRPr="00D209B1">
              <w:rPr>
                <w:rFonts w:ascii="Arial Narrow" w:hAnsi="Arial Narrow" w:cs="Arial"/>
                <w:b/>
                <w:bCs/>
                <w:sz w:val="20"/>
              </w:rPr>
              <w:t>Multiple drugs positive</w:t>
            </w: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Atlanta</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Chicago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0.08</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0.07</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0.05</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Denver</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New York</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70"/>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Sacramento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r>
      <w:tr w:rsidR="00D209B1" w:rsidRPr="00D209B1" w:rsidTr="00D209B1">
        <w:trPr>
          <w:trHeight w:val="255"/>
        </w:trPr>
        <w:tc>
          <w:tcPr>
            <w:tcW w:w="1725" w:type="dxa"/>
            <w:vMerge w:val="restart"/>
            <w:tcBorders>
              <w:top w:val="nil"/>
              <w:left w:val="nil"/>
              <w:bottom w:val="single" w:sz="8" w:space="0" w:color="666969"/>
              <w:right w:val="single" w:sz="8" w:space="0" w:color="666969"/>
            </w:tcBorders>
            <w:shd w:val="clear" w:color="000000" w:fill="C3C6A8"/>
            <w:noWrap/>
            <w:vAlign w:val="center"/>
            <w:hideMark/>
          </w:tcPr>
          <w:p w:rsidR="00D209B1" w:rsidRPr="00D209B1" w:rsidRDefault="00D209B1" w:rsidP="00D209B1">
            <w:pPr>
              <w:spacing w:after="0" w:line="240" w:lineRule="auto"/>
              <w:jc w:val="center"/>
              <w:rPr>
                <w:rFonts w:ascii="Arial Narrow" w:hAnsi="Arial Narrow" w:cs="Arial"/>
                <w:b/>
                <w:bCs/>
                <w:sz w:val="20"/>
              </w:rPr>
            </w:pPr>
            <w:r w:rsidRPr="00D209B1">
              <w:rPr>
                <w:rFonts w:ascii="Arial Narrow" w:hAnsi="Arial Narrow" w:cs="Arial"/>
                <w:b/>
                <w:bCs/>
                <w:sz w:val="20"/>
              </w:rPr>
              <w:t>Opiates</w:t>
            </w: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Atlanta</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18"/>
              </w:rPr>
            </w:pP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Chicago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0.09</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0.07</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0.03</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0.04</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Denver</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r>
      <w:tr w:rsidR="00D209B1" w:rsidRPr="00D209B1" w:rsidTr="00D209B1">
        <w:trPr>
          <w:trHeight w:val="255"/>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New York</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r>
      <w:tr w:rsidR="00D209B1" w:rsidRPr="00D209B1" w:rsidTr="00D209B1">
        <w:trPr>
          <w:trHeight w:val="270"/>
        </w:trPr>
        <w:tc>
          <w:tcPr>
            <w:tcW w:w="1725" w:type="dxa"/>
            <w:vMerge/>
            <w:tcBorders>
              <w:top w:val="nil"/>
              <w:left w:val="nil"/>
              <w:bottom w:val="single" w:sz="8" w:space="0" w:color="666969"/>
              <w:right w:val="single" w:sz="8" w:space="0" w:color="666969"/>
            </w:tcBorders>
            <w:vAlign w:val="center"/>
            <w:hideMark/>
          </w:tcPr>
          <w:p w:rsidR="00D209B1" w:rsidRPr="00D209B1" w:rsidRDefault="00D209B1" w:rsidP="00D209B1">
            <w:pPr>
              <w:spacing w:after="0" w:line="240" w:lineRule="auto"/>
              <w:rPr>
                <w:rFonts w:ascii="Arial Narrow" w:hAnsi="Arial Narrow" w:cs="Arial"/>
                <w:b/>
                <w:bCs/>
                <w:sz w:val="20"/>
              </w:rPr>
            </w:pPr>
          </w:p>
        </w:tc>
        <w:tc>
          <w:tcPr>
            <w:tcW w:w="1548"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rPr>
                <w:rFonts w:ascii="Arial" w:hAnsi="Arial" w:cs="Arial"/>
                <w:sz w:val="20"/>
              </w:rPr>
            </w:pPr>
            <w:r w:rsidRPr="00D209B1">
              <w:rPr>
                <w:rFonts w:ascii="Arial" w:hAnsi="Arial" w:cs="Arial"/>
                <w:sz w:val="20"/>
              </w:rPr>
              <w:t>Sacramento</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0.01</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c>
          <w:tcPr>
            <w:tcW w:w="585" w:type="dxa"/>
            <w:tcBorders>
              <w:top w:val="nil"/>
              <w:left w:val="nil"/>
              <w:bottom w:val="nil"/>
              <w:right w:val="nil"/>
            </w:tcBorders>
            <w:shd w:val="clear" w:color="auto" w:fill="auto"/>
            <w:noWrap/>
            <w:vAlign w:val="bottom"/>
            <w:hideMark/>
          </w:tcPr>
          <w:p w:rsidR="00D209B1" w:rsidRPr="00D209B1" w:rsidRDefault="00D209B1" w:rsidP="00D209B1">
            <w:pPr>
              <w:spacing w:after="0" w:line="240" w:lineRule="auto"/>
              <w:jc w:val="right"/>
              <w:rPr>
                <w:rFonts w:ascii="Arial" w:hAnsi="Arial" w:cs="Arial"/>
                <w:sz w:val="18"/>
              </w:rPr>
            </w:pPr>
            <w:r w:rsidRPr="00D209B1">
              <w:rPr>
                <w:rFonts w:ascii="Arial" w:hAnsi="Arial" w:cs="Arial"/>
                <w:sz w:val="18"/>
              </w:rPr>
              <w:t>0.02</w:t>
            </w:r>
          </w:p>
        </w:tc>
      </w:tr>
    </w:tbl>
    <w:p w:rsidR="00514F70" w:rsidRDefault="00514F70" w:rsidP="00EA0BBD"/>
    <w:p w:rsidR="008B3C86" w:rsidRDefault="008B3C86" w:rsidP="00EA0BBD">
      <w:pPr>
        <w:pStyle w:val="Heading3"/>
      </w:pPr>
      <w:bookmarkStart w:id="9" w:name="_Toc343259228"/>
      <w:bookmarkStart w:id="10" w:name="_Toc249943234"/>
      <w:r>
        <w:t>Annualizing Point Prevalence Estimates</w:t>
      </w:r>
      <w:bookmarkEnd w:id="9"/>
      <w:r>
        <w:t xml:space="preserve"> </w:t>
      </w:r>
      <w:bookmarkEnd w:id="10"/>
    </w:p>
    <w:p w:rsidR="008B3C86" w:rsidRDefault="008B3C86" w:rsidP="009723ED">
      <w:r>
        <w:t>Most of the statistics appearing in the ADAM II reports are point prevalence estimates</w:t>
      </w:r>
      <w:r w:rsidR="009723ED">
        <w:t xml:space="preserve">. </w:t>
      </w:r>
      <w:r>
        <w:t>A point prevalence estimate is straightforward, because it only requires weighting the desired variable by the propensity score weights</w:t>
      </w:r>
      <w:r w:rsidR="009723ED">
        <w:t xml:space="preserve">. </w:t>
      </w:r>
      <w:r>
        <w:t>The statistics reported in the 2007-</w:t>
      </w:r>
      <w:r w:rsidR="007E73F0">
        <w:t xml:space="preserve">2012 </w:t>
      </w:r>
      <w:r>
        <w:t>ADAM II reports use this estimator.</w:t>
      </w:r>
    </w:p>
    <w:p w:rsidR="008B3C86" w:rsidRDefault="00197401" w:rsidP="009723ED">
      <w:r>
        <w:t>I</w:t>
      </w:r>
      <w:r w:rsidR="008B3C86">
        <w:t xml:space="preserve">n preparation for the 2007 ADAM II report, </w:t>
      </w:r>
      <w:r>
        <w:t>the team</w:t>
      </w:r>
      <w:r w:rsidR="008B3C86">
        <w:t xml:space="preserve"> determined that the prevalence estimates should be annualized to account for the fact that the ADAM sample was collected at different times during the year (three or four quarters versus two quarters in ADAM II or one quarter in 2012 and beyond)</w:t>
      </w:r>
      <w:r w:rsidR="009723ED">
        <w:t xml:space="preserve">. </w:t>
      </w:r>
      <w:r w:rsidR="008B3C86">
        <w:t>This complicates the estimation explained in the previous subsection. The statistical procedure for producing annualized estimates is detailed in the attached technical documentation report.</w:t>
      </w:r>
    </w:p>
    <w:p w:rsidR="008B3C86" w:rsidRDefault="008B3C86" w:rsidP="00EA0BBD">
      <w:pPr>
        <w:pStyle w:val="Heading2"/>
      </w:pPr>
      <w:bookmarkStart w:id="11" w:name="_Toc249943238"/>
      <w:bookmarkStart w:id="12" w:name="_Toc343259229"/>
      <w:r>
        <w:lastRenderedPageBreak/>
        <w:t>Information Collection Procedures</w:t>
      </w:r>
      <w:bookmarkEnd w:id="11"/>
      <w:bookmarkEnd w:id="12"/>
    </w:p>
    <w:p w:rsidR="008B3C86" w:rsidRDefault="008B3C86" w:rsidP="009723ED">
      <w:r>
        <w:t xml:space="preserve">Data collection protocols are described in detail in the </w:t>
      </w:r>
      <w:r w:rsidRPr="00CB5C40">
        <w:rPr>
          <w:i/>
        </w:rPr>
        <w:t>ADAM II 20</w:t>
      </w:r>
      <w:r>
        <w:rPr>
          <w:i/>
        </w:rPr>
        <w:t xml:space="preserve">12 </w:t>
      </w:r>
      <w:r w:rsidRPr="00CB5C40">
        <w:rPr>
          <w:i/>
        </w:rPr>
        <w:t>Annual Report</w:t>
      </w:r>
      <w:r>
        <w:t xml:space="preserve"> available through ONDCP’s website</w:t>
      </w:r>
      <w:r w:rsidR="009723ED">
        <w:t xml:space="preserve">. </w:t>
      </w:r>
      <w:r>
        <w:t>The protocols are briefly summarized here to provide some context for the discussion of weighting and estimation methodologies.</w:t>
      </w:r>
    </w:p>
    <w:p w:rsidR="008B3C86" w:rsidRDefault="008B3C86" w:rsidP="00EA0BBD">
      <w:pPr>
        <w:pStyle w:val="Heading3"/>
      </w:pPr>
      <w:bookmarkStart w:id="13" w:name="_Toc249943239"/>
      <w:bookmarkStart w:id="14" w:name="_Toc343259230"/>
      <w:r>
        <w:t>Selecting Study Subjects</w:t>
      </w:r>
      <w:bookmarkEnd w:id="13"/>
      <w:bookmarkEnd w:id="14"/>
    </w:p>
    <w:p w:rsidR="008B3C86" w:rsidRDefault="008B3C86" w:rsidP="009723ED">
      <w:r>
        <w:t>Interviewers work in teams in each jail</w:t>
      </w:r>
      <w:r w:rsidR="009723ED">
        <w:t xml:space="preserve">. </w:t>
      </w:r>
      <w:r>
        <w:t xml:space="preserve">The </w:t>
      </w:r>
      <w:r w:rsidR="0069211A">
        <w:t>sample manager</w:t>
      </w:r>
      <w:r>
        <w:t xml:space="preserve"> samples from the stock and flow</w:t>
      </w:r>
      <w:r w:rsidR="009723ED">
        <w:t xml:space="preserve">. </w:t>
      </w:r>
      <w:r>
        <w:t>Sampling from the stock requires a list of all individuals who were booked since the interviewer’s last work period</w:t>
      </w:r>
      <w:r w:rsidR="009723ED">
        <w:t xml:space="preserve">. </w:t>
      </w:r>
      <w:r>
        <w:t xml:space="preserve">Not all arrestees are still in the facility, but the </w:t>
      </w:r>
      <w:r w:rsidR="0069211A">
        <w:t>sample manager</w:t>
      </w:r>
      <w:r>
        <w:t xml:space="preserve"> does not know that</w:t>
      </w:r>
      <w:r w:rsidR="009723ED">
        <w:t xml:space="preserve">. </w:t>
      </w:r>
      <w:r>
        <w:t xml:space="preserve">He or she seeks the sampled arrestee, and, if that arrestee is unavailable or unwilling to be interviewed, the </w:t>
      </w:r>
      <w:r w:rsidR="0069211A">
        <w:t xml:space="preserve">sample </w:t>
      </w:r>
      <w:r w:rsidR="007A5EAB">
        <w:t>manager records</w:t>
      </w:r>
      <w:r>
        <w:t xml:space="preserve"> the reason and seeks a replacement</w:t>
      </w:r>
      <w:r w:rsidR="009723ED">
        <w:t xml:space="preserve">. </w:t>
      </w:r>
      <w:r>
        <w:t>Sampling from the flow requires a list of individuals as they are booked into the jail</w:t>
      </w:r>
      <w:r w:rsidR="009723ED">
        <w:t xml:space="preserve">. </w:t>
      </w:r>
      <w:r>
        <w:t xml:space="preserve">The </w:t>
      </w:r>
      <w:r w:rsidR="0069211A">
        <w:t>sample manager</w:t>
      </w:r>
      <w:r>
        <w:t xml:space="preserve"> continuously compiles a list of incoming arrestees and seeks the most recently booked arrestee. If that arrestee is unavailable or unwilling to be interviewed, the </w:t>
      </w:r>
      <w:r w:rsidR="0069211A">
        <w:t>sample manager</w:t>
      </w:r>
      <w:r>
        <w:t xml:space="preserve"> records the reason and seeks the closest temporal replacement.</w:t>
      </w:r>
    </w:p>
    <w:p w:rsidR="008B3C86" w:rsidRDefault="008B3C86" w:rsidP="009723ED">
      <w:r>
        <w:t xml:space="preserve">When any arrestee is sampled (regardless of their availability), the </w:t>
      </w:r>
      <w:r w:rsidR="0069211A">
        <w:t>sample manager</w:t>
      </w:r>
      <w:r>
        <w:t xml:space="preserve"> completes </w:t>
      </w:r>
      <w:r w:rsidRPr="003B46B7">
        <w:t>a facesheet</w:t>
      </w:r>
      <w:r w:rsidR="009723ED">
        <w:t xml:space="preserve">. </w:t>
      </w:r>
      <w:r>
        <w:t>The facesheet contains sufficient identifying information that the arrestee can be matched with census data (that is, a census or records representing all bookings into the jail in each of the fourteen data collection days) that are collected long after sampling</w:t>
      </w:r>
      <w:r w:rsidR="009723ED">
        <w:t xml:space="preserve">. </w:t>
      </w:r>
      <w:r>
        <w:t>The role of the census data is described in Section</w:t>
      </w:r>
      <w:r w:rsidR="007E73F0">
        <w:t xml:space="preserve"> B.</w:t>
      </w:r>
      <w:r>
        <w:t>2.2</w:t>
      </w:r>
      <w:r w:rsidR="009723ED">
        <w:t xml:space="preserve">. </w:t>
      </w:r>
      <w:r>
        <w:t xml:space="preserve">The </w:t>
      </w:r>
      <w:r w:rsidR="0069211A">
        <w:t>sample managers</w:t>
      </w:r>
      <w:r>
        <w:t xml:space="preserve"> use the facesheet to record that an interview occurred, and if it did not, the reasons why it did not</w:t>
      </w:r>
      <w:r w:rsidR="009723ED">
        <w:t xml:space="preserve">. </w:t>
      </w:r>
      <w:r>
        <w:t>Analysts use the facesheet to compute response rates</w:t>
      </w:r>
      <w:r w:rsidR="009723ED">
        <w:t xml:space="preserve">. </w:t>
      </w:r>
      <w:r>
        <w:t>Bar-coded labels are attached to the facesheet, the interview form and the urine specimen bottle, tying all data together</w:t>
      </w:r>
      <w:r w:rsidR="009723ED">
        <w:t xml:space="preserve">. </w:t>
      </w:r>
      <w:r>
        <w:t>All arrestees sampled have a facesheet, but not all have the other components of the collection (interview, urine specimen)</w:t>
      </w:r>
      <w:r w:rsidR="009723ED">
        <w:t>.</w:t>
      </w:r>
      <w:r>
        <w:t xml:space="preserve"> </w:t>
      </w:r>
    </w:p>
    <w:p w:rsidR="008B3C86" w:rsidRDefault="0069211A" w:rsidP="009723ED">
      <w:r>
        <w:t>Eligible a</w:t>
      </w:r>
      <w:r w:rsidR="008B3C86">
        <w:t>rrestees who consent to an interview are administered the ADAM series questionnaire</w:t>
      </w:r>
      <w:r w:rsidR="009723ED">
        <w:t xml:space="preserve">. </w:t>
      </w:r>
      <w:r w:rsidR="008B3C86">
        <w:t>The request for a urine sample is made at the beginning of the interview and repeated at its completion. If the arrestee consents, he is given a specimen bottle which he takes to a nearby lavatory to produce a sample. The bottle is returned to the interviewer, bagged and sent at the end of the shift to a national laboratory for urinalysis. In most sites over 85% of arrestees consent to provide a urine specimen</w:t>
      </w:r>
      <w:r w:rsidR="009723ED">
        <w:t xml:space="preserve">. </w:t>
      </w:r>
      <w:r w:rsidR="008B3C86">
        <w:t xml:space="preserve">The urine specimen is linked to the facesheet and the interview through common bar-coded labels. </w:t>
      </w:r>
    </w:p>
    <w:p w:rsidR="008B3C86" w:rsidRDefault="008B3C86" w:rsidP="00E50584">
      <w:pPr>
        <w:pStyle w:val="Heading3"/>
      </w:pPr>
      <w:bookmarkStart w:id="15" w:name="_Toc249943240"/>
      <w:bookmarkStart w:id="16" w:name="_Toc343259231"/>
      <w:r>
        <w:t>The Role of Census Data</w:t>
      </w:r>
      <w:bookmarkEnd w:id="15"/>
      <w:bookmarkEnd w:id="16"/>
    </w:p>
    <w:p w:rsidR="008B3C86" w:rsidRPr="00770E2B" w:rsidRDefault="008B3C86" w:rsidP="009723ED">
      <w:r w:rsidRPr="00770E2B">
        <w:t>Developing propensity scores for case weighting requires complete data on all bookings (a census) that occurred in each ADAM II facility during the 21-</w:t>
      </w:r>
      <w:r w:rsidR="00E50584" w:rsidRPr="00770E2B">
        <w:t>day period</w:t>
      </w:r>
      <w:r w:rsidRPr="00770E2B">
        <w:t xml:space="preserve"> of data collection</w:t>
      </w:r>
      <w:r w:rsidR="009723ED">
        <w:t xml:space="preserve">. </w:t>
      </w:r>
      <w:r w:rsidRPr="00770E2B">
        <w:t>These data are provided by each law enforcement agency participating in ADAM II after their data collection is completed</w:t>
      </w:r>
      <w:r w:rsidR="009723ED">
        <w:t xml:space="preserve">. </w:t>
      </w:r>
      <w:r w:rsidRPr="00770E2B">
        <w:t>Site law enforcement partners submit census data in a variety of forms: electronic files listing each case, PDF, or other text files of cases and paper format listing all cases</w:t>
      </w:r>
      <w:r w:rsidR="009723ED">
        <w:t xml:space="preserve">. </w:t>
      </w:r>
      <w:r w:rsidRPr="00770E2B">
        <w:t>The Abt Data Center staff transforms each into site and facility specific data sets containing the following data elements for each arrestee:</w:t>
      </w:r>
    </w:p>
    <w:p w:rsidR="008B3C86" w:rsidRPr="00EA0BBD" w:rsidRDefault="008B3C86" w:rsidP="00EA0BBD">
      <w:pPr>
        <w:pStyle w:val="Bullets"/>
      </w:pPr>
      <w:r w:rsidRPr="00EA0BBD">
        <w:t>Date of Birth and or Age</w:t>
      </w:r>
    </w:p>
    <w:p w:rsidR="008B3C86" w:rsidRPr="00EA0BBD" w:rsidRDefault="008B3C86" w:rsidP="00EA0BBD">
      <w:pPr>
        <w:pStyle w:val="Bullets"/>
      </w:pPr>
      <w:r w:rsidRPr="00EA0BBD">
        <w:t>ID (computer generated number)</w:t>
      </w:r>
    </w:p>
    <w:p w:rsidR="008B3C86" w:rsidRPr="00EA0BBD" w:rsidRDefault="008B3C86" w:rsidP="00EA0BBD">
      <w:pPr>
        <w:pStyle w:val="Bullets"/>
      </w:pPr>
      <w:r w:rsidRPr="00EA0BBD">
        <w:t>Charges</w:t>
      </w:r>
    </w:p>
    <w:p w:rsidR="008B3C86" w:rsidRPr="00EA0BBD" w:rsidRDefault="008B3C86" w:rsidP="00EA0BBD">
      <w:pPr>
        <w:pStyle w:val="Bullets"/>
      </w:pPr>
      <w:r w:rsidRPr="00EA0BBD">
        <w:lastRenderedPageBreak/>
        <w:t>Time of arrest</w:t>
      </w:r>
    </w:p>
    <w:p w:rsidR="008B3C86" w:rsidRPr="00EA0BBD" w:rsidRDefault="008B3C86" w:rsidP="00EA0BBD">
      <w:pPr>
        <w:pStyle w:val="Bullets"/>
      </w:pPr>
      <w:r w:rsidRPr="00EA0BBD">
        <w:t>Time of booking</w:t>
      </w:r>
    </w:p>
    <w:p w:rsidR="008B3C86" w:rsidRPr="00EA0BBD" w:rsidRDefault="008B3C86" w:rsidP="00EA0BBD">
      <w:pPr>
        <w:pStyle w:val="Bullets"/>
      </w:pPr>
      <w:r w:rsidRPr="00EA0BBD">
        <w:t>Day of arrest</w:t>
      </w:r>
    </w:p>
    <w:p w:rsidR="008B3C86" w:rsidRDefault="008B3C86" w:rsidP="00EA0BBD">
      <w:pPr>
        <w:pStyle w:val="BulletsLast"/>
      </w:pPr>
      <w:r>
        <w:t>Race</w:t>
      </w:r>
    </w:p>
    <w:p w:rsidR="008B3C86" w:rsidRDefault="008B3C86" w:rsidP="009723ED">
      <w:r>
        <w:t>Whether the census data are transmitted electronically, as a PDF file, or a paper file, the data are transformed into a SAS dataset</w:t>
      </w:r>
      <w:r w:rsidR="009723ED">
        <w:t xml:space="preserve">. </w:t>
      </w:r>
      <w:r>
        <w:t xml:space="preserve">The census data become the sampling frame. As noted, ADAM </w:t>
      </w:r>
      <w:r w:rsidR="007A5EAB">
        <w:t>II interviewers</w:t>
      </w:r>
      <w:r>
        <w:t xml:space="preserve"> complete a facesheet that includes the above variables for every arrestee sampled for the study, records whether the arrestee answered the interview and whether he provided a urine specimen</w:t>
      </w:r>
      <w:r w:rsidR="009723ED">
        <w:t xml:space="preserve">. </w:t>
      </w:r>
    </w:p>
    <w:p w:rsidR="008B3C86" w:rsidRDefault="008B3C86" w:rsidP="009723ED">
      <w:r w:rsidRPr="00FB13AB">
        <w:rPr>
          <w:b/>
        </w:rPr>
        <w:t>Figure 1</w:t>
      </w:r>
      <w:r>
        <w:t xml:space="preserve"> represents the steps included in the manipulation of the raw census data done in preparation for matching with the ADAM </w:t>
      </w:r>
      <w:r w:rsidR="0069211A">
        <w:t xml:space="preserve">II </w:t>
      </w:r>
      <w:r>
        <w:t>facesheet data</w:t>
      </w:r>
      <w:r w:rsidR="009723ED">
        <w:t xml:space="preserve">. </w:t>
      </w:r>
      <w:r>
        <w:t>The raw census data received from booking facilities are cleaned to correct invalid data and reformatted for compatibility with the other data components</w:t>
      </w:r>
      <w:r w:rsidR="009723ED">
        <w:t xml:space="preserve">. </w:t>
      </w:r>
      <w:r>
        <w:t>The census data typically have one row of data per charge and must be converted to single records identifying arrestees with multiple charges</w:t>
      </w:r>
      <w:r w:rsidR="009723ED">
        <w:t xml:space="preserve">. </w:t>
      </w:r>
      <w:r>
        <w:t>First, arrestees are excluded in the census data who are ineligible for the ADAM</w:t>
      </w:r>
      <w:r w:rsidR="0069211A">
        <w:t xml:space="preserve"> II</w:t>
      </w:r>
      <w:r>
        <w:t xml:space="preserve"> survey: juveniles, women and people booked on days other than those when ADAM </w:t>
      </w:r>
      <w:r w:rsidR="0069211A">
        <w:t xml:space="preserve">II </w:t>
      </w:r>
      <w:r>
        <w:t>surveys were conducted</w:t>
      </w:r>
      <w:r w:rsidR="009723ED">
        <w:t xml:space="preserve">. </w:t>
      </w:r>
      <w:r>
        <w:t>Second, charges recorded in the census data are converted into a set of standardized ADAM</w:t>
      </w:r>
      <w:r w:rsidR="0069211A">
        <w:t xml:space="preserve"> II</w:t>
      </w:r>
      <w:r>
        <w:t xml:space="preserve"> charges</w:t>
      </w:r>
      <w:r w:rsidR="009723ED">
        <w:t xml:space="preserve">. </w:t>
      </w:r>
      <w:r>
        <w:t>Additionally, the top severity, top charge and top charge category (violent, property, drug, other) are determined for each individual.</w:t>
      </w:r>
    </w:p>
    <w:p w:rsidR="00EA0BBD" w:rsidRPr="00BE743D" w:rsidRDefault="00EA0BBD" w:rsidP="00EA0BBD">
      <w:pPr>
        <w:pStyle w:val="Caption"/>
        <w:jc w:val="center"/>
      </w:pPr>
      <w:r>
        <w:t>Figure 1.</w:t>
      </w:r>
      <w:r>
        <w:tab/>
      </w:r>
      <w:r w:rsidRPr="00BE743D">
        <w:t>First Step in Matching Process</w:t>
      </w:r>
    </w:p>
    <w:p w:rsidR="008B3C86" w:rsidRPr="00EA0BBD" w:rsidRDefault="00EA0BBD" w:rsidP="00EA0BBD">
      <w:pPr>
        <w:spacing w:before="240"/>
        <w:jc w:val="center"/>
      </w:pPr>
      <w:r>
        <w:rPr>
          <w:noProof/>
        </w:rPr>
        <w:drawing>
          <wp:inline distT="0" distB="0" distL="0" distR="0" wp14:anchorId="4223FC93" wp14:editId="799D7E19">
            <wp:extent cx="3390900" cy="295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90900" cy="2952750"/>
                    </a:xfrm>
                    <a:prstGeom prst="rect">
                      <a:avLst/>
                    </a:prstGeom>
                    <a:noFill/>
                    <a:ln>
                      <a:noFill/>
                    </a:ln>
                  </pic:spPr>
                </pic:pic>
              </a:graphicData>
            </a:graphic>
          </wp:inline>
        </w:drawing>
      </w:r>
    </w:p>
    <w:p w:rsidR="00EA0BBD" w:rsidRDefault="00EA0BBD" w:rsidP="008B3C86">
      <w:pPr>
        <w:pStyle w:val="BodyText"/>
      </w:pPr>
    </w:p>
    <w:p w:rsidR="008B3C86" w:rsidRDefault="008B3C86" w:rsidP="00EA0BBD">
      <w:r w:rsidRPr="006C265B">
        <w:rPr>
          <w:b/>
        </w:rPr>
        <w:t>Figure 2</w:t>
      </w:r>
      <w:r>
        <w:t xml:space="preserve"> shows the process of matching the census records to the ADAM</w:t>
      </w:r>
      <w:r w:rsidR="0069211A">
        <w:t xml:space="preserve"> II</w:t>
      </w:r>
      <w:r>
        <w:t xml:space="preserve"> facesheet records</w:t>
      </w:r>
      <w:r w:rsidR="009723ED">
        <w:t xml:space="preserve">. </w:t>
      </w:r>
      <w:r>
        <w:t>The variables common to both the facesheet and the census data that are used to match the records are: booking date/booking time, date of birth, arrest date/arrest time, charges and race</w:t>
      </w:r>
      <w:r w:rsidR="009723ED">
        <w:t xml:space="preserve">. </w:t>
      </w:r>
      <w:r>
        <w:t>Potential matches are outputted if records match on any single key variables; they are then ranked into tiers based on the goodness of the fit</w:t>
      </w:r>
      <w:r w:rsidR="009723ED">
        <w:t xml:space="preserve">. </w:t>
      </w:r>
      <w:r>
        <w:t xml:space="preserve">For example, a facesheet record that matches a census record on just booking </w:t>
      </w:r>
      <w:r>
        <w:lastRenderedPageBreak/>
        <w:t>date/booking time and charges will be superseded in rank by a facesheet-census match that links on booking date/booking time, charges and date of birth</w:t>
      </w:r>
      <w:r w:rsidR="009723ED">
        <w:t xml:space="preserve">. </w:t>
      </w:r>
      <w:r>
        <w:t>Out of all the potential matches the best census match is selected for each facesheet</w:t>
      </w:r>
      <w:r w:rsidR="009723ED">
        <w:t xml:space="preserve">. </w:t>
      </w:r>
      <w:r>
        <w:t>If, in fact, multiple census records match the same facesheet, and these duplicate matches have equivalent rankings, booking date/time is used as a tiebreaker</w:t>
      </w:r>
      <w:r w:rsidR="009723ED">
        <w:t xml:space="preserve">. </w:t>
      </w:r>
      <w:r>
        <w:t>The output dataset from this process is a one-to-one match between each facesheet record and census records.</w:t>
      </w:r>
    </w:p>
    <w:p w:rsidR="008B3C86" w:rsidRDefault="008B3C86" w:rsidP="009723ED">
      <w:r>
        <w:t>Rarely, a facesheet fails to match any booking record</w:t>
      </w:r>
      <w:r w:rsidR="009723ED">
        <w:t xml:space="preserve">. </w:t>
      </w:r>
      <w:r>
        <w:t>When this happens, a pseudo-booking sheet is created and inserted into the booking data</w:t>
      </w:r>
      <w:r w:rsidR="009723ED">
        <w:t xml:space="preserve">. </w:t>
      </w:r>
      <w:r>
        <w:t>This process is represented by the right-hand flow in Figure 2.</w:t>
      </w:r>
    </w:p>
    <w:p w:rsidR="00EA0BBD" w:rsidRDefault="00EA0BBD" w:rsidP="00EA0BBD">
      <w:pPr>
        <w:pStyle w:val="Caption"/>
        <w:jc w:val="center"/>
      </w:pPr>
      <w:r w:rsidRPr="00BE743D">
        <w:t>Figure 2</w:t>
      </w:r>
      <w:r>
        <w:t>.</w:t>
      </w:r>
      <w:r>
        <w:tab/>
      </w:r>
      <w:r w:rsidRPr="00BE743D">
        <w:t>Matching Census with Facesheet Data</w:t>
      </w:r>
    </w:p>
    <w:p w:rsidR="008B3C86" w:rsidRPr="00EA0BBD" w:rsidRDefault="00EA0BBD" w:rsidP="00EA0BBD">
      <w:pPr>
        <w:spacing w:before="240"/>
        <w:jc w:val="center"/>
      </w:pPr>
      <w:r>
        <w:rPr>
          <w:noProof/>
        </w:rPr>
        <w:drawing>
          <wp:inline distT="0" distB="0" distL="0" distR="0" wp14:anchorId="29FB7819" wp14:editId="2F3B2A07">
            <wp:extent cx="4076700" cy="2981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76700" cy="2981325"/>
                    </a:xfrm>
                    <a:prstGeom prst="rect">
                      <a:avLst/>
                    </a:prstGeom>
                    <a:noFill/>
                    <a:ln>
                      <a:noFill/>
                    </a:ln>
                  </pic:spPr>
                </pic:pic>
              </a:graphicData>
            </a:graphic>
          </wp:inline>
        </w:drawing>
      </w:r>
    </w:p>
    <w:p w:rsidR="00EA0BBD" w:rsidRDefault="00EA0BBD" w:rsidP="009723ED">
      <w:pPr>
        <w:rPr>
          <w:b/>
        </w:rPr>
      </w:pPr>
    </w:p>
    <w:p w:rsidR="008B3C86" w:rsidRDefault="008B3C86" w:rsidP="009723ED">
      <w:r w:rsidRPr="006C265B">
        <w:rPr>
          <w:b/>
        </w:rPr>
        <w:t>Figure 3</w:t>
      </w:r>
      <w:r>
        <w:t xml:space="preserve"> demonstrates the last step in the construction of the analysis file for each site and each data collection quarter</w:t>
      </w:r>
      <w:r w:rsidR="009723ED">
        <w:t xml:space="preserve">. </w:t>
      </w:r>
      <w:r>
        <w:t>The linked census-facesheet data are merged with the appropriate urinalysis and survey record using unique identification numbers recorded in barcoded labels on the facesheet, interview and urine specimen</w:t>
      </w:r>
      <w:r w:rsidR="009723ED">
        <w:t xml:space="preserve">. </w:t>
      </w:r>
      <w:r>
        <w:t xml:space="preserve">The result is the final analysis dataset for each quarter for each particular ADAM </w:t>
      </w:r>
      <w:r w:rsidR="007E73F0">
        <w:t xml:space="preserve">II </w:t>
      </w:r>
      <w:r>
        <w:t>site.</w:t>
      </w:r>
    </w:p>
    <w:p w:rsidR="00EA0BBD" w:rsidRPr="00BE743D" w:rsidRDefault="00EA0BBD" w:rsidP="00EA0BBD">
      <w:pPr>
        <w:pStyle w:val="Caption"/>
        <w:jc w:val="center"/>
      </w:pPr>
      <w:r w:rsidRPr="00BE743D">
        <w:lastRenderedPageBreak/>
        <w:t>Figure 3</w:t>
      </w:r>
      <w:r>
        <w:t>.</w:t>
      </w:r>
      <w:r>
        <w:tab/>
      </w:r>
      <w:r w:rsidRPr="00BE743D">
        <w:t>Creation of Final Analysis File</w:t>
      </w:r>
    </w:p>
    <w:p w:rsidR="00EA0BBD" w:rsidRPr="00EA0BBD" w:rsidRDefault="00EA0BBD" w:rsidP="00EA0BBD">
      <w:pPr>
        <w:spacing w:before="240"/>
        <w:jc w:val="center"/>
      </w:pPr>
      <w:r>
        <w:rPr>
          <w:noProof/>
        </w:rPr>
        <w:drawing>
          <wp:inline distT="0" distB="0" distL="0" distR="0" wp14:anchorId="0BC82B4F" wp14:editId="1932243B">
            <wp:extent cx="4067175" cy="2447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7175" cy="2447925"/>
                    </a:xfrm>
                    <a:prstGeom prst="rect">
                      <a:avLst/>
                    </a:prstGeom>
                    <a:noFill/>
                    <a:ln>
                      <a:noFill/>
                    </a:ln>
                  </pic:spPr>
                </pic:pic>
              </a:graphicData>
            </a:graphic>
          </wp:inline>
        </w:drawing>
      </w:r>
    </w:p>
    <w:p w:rsidR="008B3C86" w:rsidRDefault="008B3C86" w:rsidP="008B3C86">
      <w:pPr>
        <w:pStyle w:val="BodyText"/>
      </w:pPr>
    </w:p>
    <w:p w:rsidR="008B3C86" w:rsidRDefault="008B3C86" w:rsidP="00EA0BBD">
      <w:pPr>
        <w:pStyle w:val="Heading2"/>
      </w:pPr>
      <w:bookmarkStart w:id="17" w:name="_Toc249943241"/>
      <w:bookmarkStart w:id="18" w:name="_Toc343259232"/>
      <w:r>
        <w:t>Methods to Maximize Response Rates</w:t>
      </w:r>
      <w:bookmarkEnd w:id="17"/>
      <w:bookmarkEnd w:id="18"/>
    </w:p>
    <w:p w:rsidR="00EE68B0" w:rsidRDefault="00EE68B0" w:rsidP="00EE68B0"/>
    <w:p w:rsidR="00C14493" w:rsidRDefault="00EE68B0" w:rsidP="00C14493">
      <w:r>
        <w:t>In ADAM II we re</w:t>
      </w:r>
      <w:r w:rsidR="00B67662">
        <w:t>port two response rates (Table 3</w:t>
      </w:r>
      <w:r>
        <w:t xml:space="preserve">): the </w:t>
      </w:r>
      <w:r w:rsidRPr="009444E8">
        <w:rPr>
          <w:i/>
        </w:rPr>
        <w:t>overall response rate</w:t>
      </w:r>
      <w:r>
        <w:t xml:space="preserve"> (identical to the OMB designated “unit response rate” or RRU) that indicates the number of eligible  booked arrestees who were interviewed, relative to all of those eligible booked arrestees</w:t>
      </w:r>
      <w:r>
        <w:rPr>
          <w:rStyle w:val="FootnoteReference"/>
        </w:rPr>
        <w:footnoteReference w:id="5"/>
      </w:r>
      <w:r>
        <w:t xml:space="preserve"> sampled, (regardless of whether they were physically available); and the </w:t>
      </w:r>
      <w:r w:rsidRPr="009444E8">
        <w:rPr>
          <w:i/>
        </w:rPr>
        <w:t>conditional response rate</w:t>
      </w:r>
      <w:r>
        <w:t xml:space="preserve"> that indicates the number of booked arrestees who were interviewed, relative to the total number of eligible arrestees sampled (and available for interview; that is, physically in the facility.) </w:t>
      </w:r>
      <w:r w:rsidRPr="00DF0C0D">
        <w:t xml:space="preserve">For 2012, the overall response rate for interviews for the program was 60%, ranging from </w:t>
      </w:r>
      <w:r>
        <w:t>38% in New York</w:t>
      </w:r>
      <w:r w:rsidRPr="00DF0C0D">
        <w:t xml:space="preserve"> to</w:t>
      </w:r>
      <w:r>
        <w:t xml:space="preserve"> 92% in Chicago, and </w:t>
      </w:r>
      <w:r w:rsidRPr="00DF0C0D">
        <w:t>the conditional response rate was 9</w:t>
      </w:r>
      <w:r>
        <w:t xml:space="preserve">2%, </w:t>
      </w:r>
      <w:r w:rsidRPr="00DF0C0D">
        <w:t xml:space="preserve">ranging </w:t>
      </w:r>
      <w:r>
        <w:t>f</w:t>
      </w:r>
      <w:r w:rsidRPr="00DF0C0D">
        <w:t xml:space="preserve">rom </w:t>
      </w:r>
      <w:r>
        <w:t xml:space="preserve">84% in Denver to 96% in Sacramento. </w:t>
      </w:r>
      <w:r w:rsidR="00C14493">
        <w:t xml:space="preserve">A key to conducting a successful study is ensuring that response rates remain at acceptable levels throughout the study. Abt Associates’ rigorous procedures for interviewer selection, training, and quality control have resulted in steadily improving response rates for ADAM II sites since 2006. </w:t>
      </w:r>
    </w:p>
    <w:p w:rsidR="00EE68B0" w:rsidRPr="00BD016C" w:rsidRDefault="00EE68B0" w:rsidP="00EE68B0">
      <w:pPr>
        <w:rPr>
          <w:color w:val="DA291C" w:themeColor="accent1"/>
        </w:rPr>
      </w:pPr>
      <w:r>
        <w:rPr>
          <w:lang w:val="en"/>
        </w:rPr>
        <w:t xml:space="preserve">The overall response rate in ADAM II for 2012 (60%) reflects the difficulty that the interview setting presents. </w:t>
      </w:r>
      <w:r>
        <w:t xml:space="preserve">  Because we are surveying booked arrestees within 48 hours of arrest, we have to station ourselves in the active booking areas of jails. Consequently, offenders are continuously being brought in, processed, moved to court or housing, or released</w:t>
      </w:r>
      <w:r w:rsidR="003B46B7">
        <w:t xml:space="preserve">. </w:t>
      </w:r>
      <w:r w:rsidRPr="00BD016C">
        <w:rPr>
          <w:color w:val="DA291C" w:themeColor="accent1"/>
        </w:rPr>
        <w:t xml:space="preserve"> </w:t>
      </w:r>
    </w:p>
    <w:p w:rsidR="00EE68B0" w:rsidRDefault="00EE68B0" w:rsidP="00EE68B0">
      <w:r>
        <w:t xml:space="preserve">Prior to discussing the actual response rates, it is important to remember that the most critical part of the ADAM II sampling and weighting strategy is to provide the basis for making inferences about booked arrestees given the idiosyncrasies imposed on ADAM II sample due to the setting (booking facilities). The sampling strategy balances the sample, and the propensity score weights control for </w:t>
      </w:r>
      <w:r>
        <w:lastRenderedPageBreak/>
        <w:t xml:space="preserve">things correlated to testing positive for drugs, such as day and time of booking and severity of offense. This sampling and weighting strategy, rather than simply pure response rates, justifies the ADAM II sample as a valid indicator of the </w:t>
      </w:r>
      <w:r w:rsidR="0069211A">
        <w:t xml:space="preserve">adult male </w:t>
      </w:r>
      <w:r>
        <w:t>booked population.</w:t>
      </w:r>
    </w:p>
    <w:p w:rsidR="00EE68B0" w:rsidRDefault="00EE68B0" w:rsidP="00EE68B0">
      <w:r>
        <w:t xml:space="preserve">The </w:t>
      </w:r>
      <w:r>
        <w:rPr>
          <w:i/>
        </w:rPr>
        <w:t>overall response rate</w:t>
      </w:r>
      <w:r>
        <w:t xml:space="preserve"> is computed as the number of arrestees completing interviews divided by the sum of the number of arrestees completing interviews and the number of sampled eligible arrestees not completing interviews. We partition the eligible arrestees not completing interviews into two subgroups: arrestees not available for interview (e.g. taken to court) and arrestees available for interview but refusing or unable to take the interview (e.g. a language barrier) or who agree to the interview but do not complete it. For any ADAM II site </w:t>
      </w:r>
      <w:r>
        <w:rPr>
          <w:i/>
        </w:rPr>
        <w:t>i</w:t>
      </w:r>
      <w:r>
        <w:t>, this may be written as:</w:t>
      </w:r>
    </w:p>
    <w:p w:rsidR="00EE68B0" w:rsidRPr="00130E20" w:rsidRDefault="00EE68B0" w:rsidP="00EE68B0">
      <w:pPr>
        <w:tabs>
          <w:tab w:val="right" w:pos="9000"/>
        </w:tabs>
      </w:pPr>
      <w:r>
        <w:object w:dxaOrig="6380" w:dyaOrig="700">
          <v:shape id="_x0000_i1027" type="#_x0000_t75" style="width:318.65pt;height:35.45pt" o:ole="">
            <v:imagedata r:id="rId23" o:title=""/>
          </v:shape>
          <o:OLEObject Type="Embed" ProgID="Equation.3" ShapeID="_x0000_i1027" DrawAspect="Content" ObjectID="_1428919668" r:id="rId24"/>
        </w:object>
      </w:r>
      <w:r w:rsidRPr="00130E20">
        <w:rPr>
          <w:position w:val="32"/>
        </w:rPr>
        <w:tab/>
        <w:t xml:space="preserve">        (B.2)</w:t>
      </w:r>
    </w:p>
    <w:p w:rsidR="00EE68B0" w:rsidRPr="00130E20" w:rsidRDefault="00EE68B0" w:rsidP="00EE68B0">
      <w:r>
        <w:t>Where</w:t>
      </w:r>
    </w:p>
    <w:p w:rsidR="00EE68B0" w:rsidRPr="00130E20" w:rsidRDefault="00EE68B0" w:rsidP="00EE68B0">
      <w:pPr>
        <w:tabs>
          <w:tab w:val="left" w:pos="2160"/>
        </w:tabs>
      </w:pPr>
      <w:r>
        <w:rPr>
          <w:i/>
        </w:rPr>
        <w:t>ResponseRate</w:t>
      </w:r>
      <w:r>
        <w:tab/>
        <w:t>The response rate to the interview</w:t>
      </w:r>
    </w:p>
    <w:p w:rsidR="00EE68B0" w:rsidRPr="00130E20" w:rsidRDefault="00EE68B0" w:rsidP="00EE68B0">
      <w:pPr>
        <w:tabs>
          <w:tab w:val="left" w:pos="2160"/>
        </w:tabs>
      </w:pPr>
      <w:r>
        <w:rPr>
          <w:i/>
        </w:rPr>
        <w:t>Resp</w:t>
      </w:r>
      <w:r>
        <w:tab/>
        <w:t xml:space="preserve">The number of </w:t>
      </w:r>
      <w:r>
        <w:rPr>
          <w:i/>
        </w:rPr>
        <w:t>eligible and availabl</w:t>
      </w:r>
      <w:r>
        <w:t>e arrestees responding to the interview</w:t>
      </w:r>
    </w:p>
    <w:p w:rsidR="00EE68B0" w:rsidRPr="00130E20" w:rsidRDefault="00EE68B0" w:rsidP="00EE68B0">
      <w:pPr>
        <w:tabs>
          <w:tab w:val="left" w:pos="2160"/>
        </w:tabs>
      </w:pPr>
      <w:r>
        <w:t>EligUnavailable</w:t>
      </w:r>
      <w:r>
        <w:tab/>
        <w:t>The number of eligible but unavailable arrestees</w:t>
      </w:r>
    </w:p>
    <w:p w:rsidR="00EE68B0" w:rsidRPr="00130E20" w:rsidRDefault="00EE68B0" w:rsidP="00EE68B0">
      <w:pPr>
        <w:tabs>
          <w:tab w:val="left" w:pos="2160"/>
        </w:tabs>
      </w:pPr>
      <w:r>
        <w:rPr>
          <w:i/>
        </w:rPr>
        <w:t>AvailableNonResp</w:t>
      </w:r>
      <w:r>
        <w:tab/>
        <w:t xml:space="preserve">The number of </w:t>
      </w:r>
      <w:r>
        <w:rPr>
          <w:i/>
        </w:rPr>
        <w:t>eligible and available</w:t>
      </w:r>
      <w:r>
        <w:t xml:space="preserve"> arrestees not completing an interview</w:t>
      </w:r>
    </w:p>
    <w:p w:rsidR="00EE68B0" w:rsidRDefault="00EE68B0" w:rsidP="00EE68B0">
      <w:r>
        <w:t xml:space="preserve">The </w:t>
      </w:r>
      <w:r>
        <w:rPr>
          <w:i/>
        </w:rPr>
        <w:t>conditional response rate</w:t>
      </w:r>
      <w:r>
        <w:t xml:space="preserve"> is nested within the overall response rate, and is written as the number of arrestees completing interviews divided by the sum of the number of arrestees completing interviews and the number of sampled eligible and available arrestees not completing interviews. For any ADAM II site </w:t>
      </w:r>
      <w:r>
        <w:rPr>
          <w:i/>
        </w:rPr>
        <w:t>i</w:t>
      </w:r>
      <w:r>
        <w:t>, this may be written as:</w:t>
      </w:r>
    </w:p>
    <w:p w:rsidR="00EE68B0" w:rsidRDefault="00EE68B0" w:rsidP="00EE68B0">
      <w:pPr>
        <w:tabs>
          <w:tab w:val="right" w:pos="9000"/>
        </w:tabs>
      </w:pPr>
      <w:r>
        <w:rPr>
          <w:position w:val="-30"/>
        </w:rPr>
        <w:object w:dxaOrig="5000" w:dyaOrig="700">
          <v:shape id="_x0000_i1028" type="#_x0000_t75" style="width:249.85pt;height:35.45pt" o:ole="">
            <v:imagedata r:id="rId25" o:title=""/>
          </v:shape>
          <o:OLEObject Type="Embed" ProgID="Equation.3" ShapeID="_x0000_i1028" DrawAspect="Content" ObjectID="_1428919669" r:id="rId26"/>
        </w:object>
      </w:r>
      <w:r>
        <w:tab/>
        <w:t>(B.3)</w:t>
      </w:r>
    </w:p>
    <w:p w:rsidR="00EE68B0" w:rsidRDefault="00EE68B0" w:rsidP="00EE68B0">
      <w:r>
        <w:t>Overall response rates for the interview may be computed according to Equation (B.2), and conditional response rates may be computed according to Equation (B.3).</w:t>
      </w:r>
      <w:r w:rsidR="00C14493">
        <w:t xml:space="preserve"> For each ADAM II site, Table 2</w:t>
      </w:r>
      <w:r>
        <w:t xml:space="preserve"> reports the number of arrestees eligible to be interviewed, eligible and available for the interview, completing the interview,</w:t>
      </w:r>
      <w:r w:rsidR="00C14493">
        <w:t xml:space="preserve"> and providing a urine specimen in 2012.</w:t>
      </w:r>
    </w:p>
    <w:p w:rsidR="00EE68B0" w:rsidRDefault="00EE68B0" w:rsidP="00EE68B0">
      <w:r>
        <w:t xml:space="preserve">In 2012, amongst those eligible and available to be interviewed, ADAM II sites had an overall conditional response rate of 92% for the questionnaire. Amongst those completing interviews, ADAM II sites had a 90% agreement rate for providing the urine specimen. The study team anticipates an even higher conditional response rate in 2013. </w:t>
      </w:r>
    </w:p>
    <w:p w:rsidR="00B67662" w:rsidRDefault="00B67662" w:rsidP="00EE68B0"/>
    <w:p w:rsidR="00B67662" w:rsidRDefault="00B67662" w:rsidP="00EE68B0"/>
    <w:p w:rsidR="00B67662" w:rsidRDefault="00B67662" w:rsidP="00EE68B0"/>
    <w:p w:rsidR="00EE68B0" w:rsidRPr="009039E4" w:rsidRDefault="00B67662" w:rsidP="00EE68B0">
      <w:pPr>
        <w:pStyle w:val="Caption"/>
        <w:rPr>
          <w:rFonts w:ascii="Arial Narrow" w:hAnsi="Arial Narrow" w:cs="Arial"/>
          <w:szCs w:val="18"/>
        </w:rPr>
      </w:pPr>
      <w:r>
        <w:lastRenderedPageBreak/>
        <w:t>Table 3</w:t>
      </w:r>
      <w:r w:rsidR="00EE68B0" w:rsidRPr="00C14493">
        <w:tab/>
        <w:t>Sample Sizes and Response Rates for Interview and Urine Specimen</w:t>
      </w:r>
    </w:p>
    <w:tbl>
      <w:tblPr>
        <w:tblW w:w="8730" w:type="dxa"/>
        <w:tblInd w:w="108" w:type="dxa"/>
        <w:tblBorders>
          <w:top w:val="single" w:sz="4" w:space="0" w:color="666969"/>
          <w:bottom w:val="single" w:sz="4" w:space="0" w:color="666969"/>
          <w:insideH w:val="single" w:sz="4" w:space="0" w:color="666969"/>
          <w:insideV w:val="single" w:sz="4" w:space="0" w:color="666969"/>
        </w:tblBorders>
        <w:tblLook w:val="0000" w:firstRow="0" w:lastRow="0" w:firstColumn="0" w:lastColumn="0" w:noHBand="0" w:noVBand="0"/>
      </w:tblPr>
      <w:tblGrid>
        <w:gridCol w:w="3150"/>
        <w:gridCol w:w="772"/>
        <w:gridCol w:w="863"/>
        <w:gridCol w:w="792"/>
        <w:gridCol w:w="1083"/>
        <w:gridCol w:w="1155"/>
        <w:gridCol w:w="915"/>
      </w:tblGrid>
      <w:tr w:rsidR="00EE68B0" w:rsidRPr="006E2799" w:rsidTr="00EE68B0">
        <w:trPr>
          <w:cantSplit/>
          <w:trHeight w:val="432"/>
        </w:trPr>
        <w:tc>
          <w:tcPr>
            <w:tcW w:w="3150" w:type="dxa"/>
            <w:tcBorders>
              <w:bottom w:val="single" w:sz="4" w:space="0" w:color="666969"/>
            </w:tcBorders>
            <w:shd w:val="clear" w:color="auto" w:fill="C3C6A8" w:themeFill="accent4"/>
            <w:noWrap/>
            <w:vAlign w:val="bottom"/>
          </w:tcPr>
          <w:p w:rsidR="00EE68B0" w:rsidRPr="006E2799" w:rsidRDefault="00EE68B0" w:rsidP="00EE68B0">
            <w:pPr>
              <w:spacing w:after="0" w:line="240" w:lineRule="auto"/>
              <w:rPr>
                <w:rFonts w:ascii="Arial Narrow" w:hAnsi="Arial Narrow"/>
                <w:b/>
                <w:sz w:val="20"/>
              </w:rPr>
            </w:pPr>
          </w:p>
        </w:tc>
        <w:tc>
          <w:tcPr>
            <w:tcW w:w="772" w:type="dxa"/>
            <w:tcBorders>
              <w:bottom w:val="single" w:sz="4" w:space="0" w:color="666969"/>
            </w:tcBorders>
            <w:shd w:val="clear" w:color="auto" w:fill="C3C6A8" w:themeFill="accent4"/>
            <w:noWrap/>
            <w:vAlign w:val="center"/>
          </w:tcPr>
          <w:p w:rsidR="00EE68B0" w:rsidRPr="00C14493" w:rsidRDefault="00EE68B0" w:rsidP="00EE68B0">
            <w:pPr>
              <w:spacing w:after="0" w:line="240" w:lineRule="auto"/>
              <w:jc w:val="center"/>
              <w:rPr>
                <w:rFonts w:ascii="Arial Narrow" w:hAnsi="Arial Narrow"/>
                <w:b/>
                <w:sz w:val="20"/>
              </w:rPr>
            </w:pPr>
            <w:r w:rsidRPr="00C14493">
              <w:rPr>
                <w:rFonts w:ascii="Arial Narrow" w:hAnsi="Arial Narrow"/>
                <w:b/>
                <w:sz w:val="20"/>
              </w:rPr>
              <w:t>Atlanta</w:t>
            </w:r>
          </w:p>
        </w:tc>
        <w:tc>
          <w:tcPr>
            <w:tcW w:w="863" w:type="dxa"/>
            <w:tcBorders>
              <w:bottom w:val="single" w:sz="4" w:space="0" w:color="666969"/>
            </w:tcBorders>
            <w:shd w:val="clear" w:color="auto" w:fill="C3C6A8" w:themeFill="accent4"/>
            <w:noWrap/>
            <w:vAlign w:val="center"/>
          </w:tcPr>
          <w:p w:rsidR="00EE68B0" w:rsidRPr="00C14493" w:rsidRDefault="00EE68B0" w:rsidP="00EE68B0">
            <w:pPr>
              <w:spacing w:after="0" w:line="240" w:lineRule="auto"/>
              <w:jc w:val="center"/>
              <w:rPr>
                <w:rFonts w:ascii="Arial Narrow" w:hAnsi="Arial Narrow"/>
                <w:b/>
                <w:sz w:val="20"/>
              </w:rPr>
            </w:pPr>
            <w:r w:rsidRPr="00C14493">
              <w:rPr>
                <w:rFonts w:ascii="Arial Narrow" w:hAnsi="Arial Narrow"/>
                <w:b/>
                <w:sz w:val="20"/>
              </w:rPr>
              <w:t>Chicago</w:t>
            </w:r>
          </w:p>
        </w:tc>
        <w:tc>
          <w:tcPr>
            <w:tcW w:w="792" w:type="dxa"/>
            <w:tcBorders>
              <w:bottom w:val="single" w:sz="4" w:space="0" w:color="666969"/>
            </w:tcBorders>
            <w:shd w:val="clear" w:color="auto" w:fill="C3C6A8" w:themeFill="accent4"/>
            <w:noWrap/>
            <w:vAlign w:val="center"/>
          </w:tcPr>
          <w:p w:rsidR="00EE68B0" w:rsidRPr="00C14493" w:rsidRDefault="00EE68B0" w:rsidP="00EE68B0">
            <w:pPr>
              <w:spacing w:after="0" w:line="240" w:lineRule="auto"/>
              <w:jc w:val="center"/>
              <w:rPr>
                <w:rFonts w:ascii="Arial Narrow" w:hAnsi="Arial Narrow"/>
                <w:b/>
                <w:sz w:val="20"/>
              </w:rPr>
            </w:pPr>
            <w:r w:rsidRPr="00C14493">
              <w:rPr>
                <w:rFonts w:ascii="Arial Narrow" w:hAnsi="Arial Narrow"/>
                <w:b/>
                <w:sz w:val="20"/>
              </w:rPr>
              <w:t>Denver</w:t>
            </w:r>
          </w:p>
        </w:tc>
        <w:tc>
          <w:tcPr>
            <w:tcW w:w="1083" w:type="dxa"/>
            <w:tcBorders>
              <w:bottom w:val="single" w:sz="4" w:space="0" w:color="666969"/>
            </w:tcBorders>
            <w:shd w:val="clear" w:color="auto" w:fill="C3C6A8" w:themeFill="accent4"/>
            <w:noWrap/>
            <w:vAlign w:val="center"/>
          </w:tcPr>
          <w:p w:rsidR="00EE68B0" w:rsidRPr="00C14493" w:rsidRDefault="00EE68B0" w:rsidP="00EE68B0">
            <w:pPr>
              <w:spacing w:after="0" w:line="240" w:lineRule="auto"/>
              <w:jc w:val="center"/>
              <w:rPr>
                <w:rFonts w:ascii="Arial Narrow" w:hAnsi="Arial Narrow"/>
                <w:b/>
                <w:sz w:val="20"/>
              </w:rPr>
            </w:pPr>
            <w:r w:rsidRPr="00C14493">
              <w:rPr>
                <w:rFonts w:ascii="Arial Narrow" w:hAnsi="Arial Narrow"/>
                <w:b/>
                <w:sz w:val="20"/>
              </w:rPr>
              <w:t>New York</w:t>
            </w:r>
          </w:p>
        </w:tc>
        <w:tc>
          <w:tcPr>
            <w:tcW w:w="1155" w:type="dxa"/>
            <w:tcBorders>
              <w:bottom w:val="single" w:sz="4" w:space="0" w:color="666969"/>
            </w:tcBorders>
            <w:shd w:val="clear" w:color="auto" w:fill="C3C6A8" w:themeFill="accent4"/>
            <w:noWrap/>
            <w:vAlign w:val="center"/>
          </w:tcPr>
          <w:p w:rsidR="00EE68B0" w:rsidRPr="00C14493" w:rsidRDefault="00EE68B0" w:rsidP="00EE68B0">
            <w:pPr>
              <w:spacing w:after="0" w:line="240" w:lineRule="auto"/>
              <w:jc w:val="center"/>
              <w:rPr>
                <w:rFonts w:ascii="Arial Narrow" w:hAnsi="Arial Narrow"/>
                <w:b/>
                <w:sz w:val="20"/>
              </w:rPr>
            </w:pPr>
            <w:r w:rsidRPr="00C14493">
              <w:rPr>
                <w:rFonts w:ascii="Arial Narrow" w:hAnsi="Arial Narrow"/>
                <w:b/>
                <w:sz w:val="20"/>
              </w:rPr>
              <w:t>Sacramento</w:t>
            </w:r>
          </w:p>
        </w:tc>
        <w:tc>
          <w:tcPr>
            <w:tcW w:w="915" w:type="dxa"/>
            <w:tcBorders>
              <w:bottom w:val="single" w:sz="4" w:space="0" w:color="666969"/>
            </w:tcBorders>
            <w:shd w:val="clear" w:color="auto" w:fill="C3C6A8" w:themeFill="accent4"/>
            <w:noWrap/>
            <w:vAlign w:val="center"/>
          </w:tcPr>
          <w:p w:rsidR="00EE68B0" w:rsidRPr="006E2799" w:rsidRDefault="00EE68B0" w:rsidP="00EE68B0">
            <w:pPr>
              <w:spacing w:after="0" w:line="240" w:lineRule="auto"/>
              <w:jc w:val="center"/>
              <w:rPr>
                <w:rFonts w:ascii="Arial Narrow" w:hAnsi="Arial Narrow"/>
                <w:b/>
                <w:sz w:val="20"/>
              </w:rPr>
            </w:pPr>
            <w:r w:rsidRPr="00C14493">
              <w:rPr>
                <w:rFonts w:ascii="Arial Narrow" w:hAnsi="Arial Narrow"/>
                <w:b/>
                <w:sz w:val="20"/>
              </w:rPr>
              <w:t>Overall</w:t>
            </w:r>
          </w:p>
        </w:tc>
      </w:tr>
      <w:tr w:rsidR="00EE68B0" w:rsidRPr="006E2799" w:rsidTr="00EE68B0">
        <w:trPr>
          <w:cantSplit/>
          <w:trHeight w:val="288"/>
        </w:trPr>
        <w:tc>
          <w:tcPr>
            <w:tcW w:w="3150" w:type="dxa"/>
            <w:tcBorders>
              <w:right w:val="nil"/>
            </w:tcBorders>
            <w:shd w:val="clear" w:color="auto" w:fill="898D8D"/>
            <w:noWrap/>
            <w:vAlign w:val="center"/>
          </w:tcPr>
          <w:p w:rsidR="00EE68B0" w:rsidRPr="006E2799" w:rsidRDefault="00EE68B0" w:rsidP="00EE68B0">
            <w:pPr>
              <w:spacing w:after="0" w:line="240" w:lineRule="auto"/>
              <w:rPr>
                <w:rFonts w:ascii="Arial Narrow" w:hAnsi="Arial Narrow"/>
                <w:b/>
                <w:color w:val="FFFFFF"/>
                <w:sz w:val="20"/>
              </w:rPr>
            </w:pPr>
            <w:r w:rsidRPr="006E2799">
              <w:rPr>
                <w:rFonts w:ascii="Arial Narrow" w:hAnsi="Arial Narrow"/>
                <w:b/>
                <w:color w:val="FFFFFF"/>
                <w:sz w:val="20"/>
              </w:rPr>
              <w:t>Sample Sizes</w:t>
            </w:r>
          </w:p>
        </w:tc>
        <w:tc>
          <w:tcPr>
            <w:tcW w:w="772" w:type="dxa"/>
            <w:tcBorders>
              <w:left w:val="nil"/>
              <w:right w:val="nil"/>
            </w:tcBorders>
            <w:shd w:val="clear" w:color="auto" w:fill="898D8D"/>
            <w:noWrap/>
            <w:textDirection w:val="btLr"/>
            <w:vAlign w:val="bottom"/>
          </w:tcPr>
          <w:p w:rsidR="00EE68B0" w:rsidRPr="006E2799" w:rsidRDefault="00EE68B0" w:rsidP="00EE68B0">
            <w:pPr>
              <w:spacing w:after="0" w:line="240" w:lineRule="auto"/>
              <w:rPr>
                <w:rFonts w:ascii="Arial Narrow" w:hAnsi="Arial Narrow"/>
                <w:b/>
                <w:color w:val="FFFFFF"/>
                <w:sz w:val="20"/>
              </w:rPr>
            </w:pPr>
          </w:p>
        </w:tc>
        <w:tc>
          <w:tcPr>
            <w:tcW w:w="863" w:type="dxa"/>
            <w:tcBorders>
              <w:left w:val="nil"/>
              <w:right w:val="nil"/>
            </w:tcBorders>
            <w:shd w:val="clear" w:color="auto" w:fill="898D8D"/>
            <w:noWrap/>
            <w:textDirection w:val="btLr"/>
            <w:vAlign w:val="bottom"/>
          </w:tcPr>
          <w:p w:rsidR="00EE68B0" w:rsidRPr="006E2799" w:rsidRDefault="00EE68B0" w:rsidP="00EE68B0">
            <w:pPr>
              <w:spacing w:after="0" w:line="240" w:lineRule="auto"/>
              <w:rPr>
                <w:rFonts w:ascii="Arial Narrow" w:hAnsi="Arial Narrow"/>
                <w:b/>
                <w:color w:val="FFFFFF"/>
                <w:sz w:val="20"/>
              </w:rPr>
            </w:pPr>
          </w:p>
        </w:tc>
        <w:tc>
          <w:tcPr>
            <w:tcW w:w="792" w:type="dxa"/>
            <w:tcBorders>
              <w:left w:val="nil"/>
              <w:right w:val="nil"/>
            </w:tcBorders>
            <w:shd w:val="clear" w:color="auto" w:fill="898D8D"/>
            <w:noWrap/>
            <w:textDirection w:val="btLr"/>
            <w:vAlign w:val="bottom"/>
          </w:tcPr>
          <w:p w:rsidR="00EE68B0" w:rsidRPr="006E2799" w:rsidRDefault="00EE68B0" w:rsidP="00EE68B0">
            <w:pPr>
              <w:spacing w:after="0" w:line="240" w:lineRule="auto"/>
              <w:rPr>
                <w:rFonts w:ascii="Arial Narrow" w:hAnsi="Arial Narrow"/>
                <w:b/>
                <w:color w:val="FFFFFF"/>
                <w:sz w:val="20"/>
              </w:rPr>
            </w:pPr>
          </w:p>
        </w:tc>
        <w:tc>
          <w:tcPr>
            <w:tcW w:w="1083" w:type="dxa"/>
            <w:tcBorders>
              <w:left w:val="nil"/>
              <w:right w:val="nil"/>
            </w:tcBorders>
            <w:shd w:val="clear" w:color="auto" w:fill="898D8D"/>
            <w:noWrap/>
            <w:textDirection w:val="btLr"/>
            <w:vAlign w:val="bottom"/>
          </w:tcPr>
          <w:p w:rsidR="00EE68B0" w:rsidRPr="006E2799" w:rsidRDefault="00EE68B0" w:rsidP="00EE68B0">
            <w:pPr>
              <w:spacing w:after="0" w:line="240" w:lineRule="auto"/>
              <w:rPr>
                <w:rFonts w:ascii="Arial Narrow" w:hAnsi="Arial Narrow"/>
                <w:b/>
                <w:color w:val="FFFFFF"/>
                <w:sz w:val="20"/>
              </w:rPr>
            </w:pPr>
          </w:p>
        </w:tc>
        <w:tc>
          <w:tcPr>
            <w:tcW w:w="1155" w:type="dxa"/>
            <w:tcBorders>
              <w:left w:val="nil"/>
              <w:right w:val="nil"/>
            </w:tcBorders>
            <w:shd w:val="clear" w:color="auto" w:fill="898D8D"/>
            <w:noWrap/>
            <w:textDirection w:val="btLr"/>
            <w:vAlign w:val="bottom"/>
          </w:tcPr>
          <w:p w:rsidR="00EE68B0" w:rsidRPr="006E2799" w:rsidRDefault="00EE68B0" w:rsidP="00EE68B0">
            <w:pPr>
              <w:spacing w:after="0" w:line="240" w:lineRule="auto"/>
              <w:rPr>
                <w:rFonts w:ascii="Arial Narrow" w:hAnsi="Arial Narrow"/>
                <w:b/>
                <w:color w:val="FFFFFF"/>
                <w:sz w:val="20"/>
              </w:rPr>
            </w:pPr>
          </w:p>
        </w:tc>
        <w:tc>
          <w:tcPr>
            <w:tcW w:w="915" w:type="dxa"/>
            <w:tcBorders>
              <w:left w:val="nil"/>
            </w:tcBorders>
            <w:shd w:val="clear" w:color="auto" w:fill="898D8D"/>
            <w:noWrap/>
            <w:textDirection w:val="btLr"/>
            <w:vAlign w:val="bottom"/>
          </w:tcPr>
          <w:p w:rsidR="00EE68B0" w:rsidRPr="006E2799" w:rsidRDefault="00EE68B0" w:rsidP="00EE68B0">
            <w:pPr>
              <w:spacing w:after="0" w:line="240" w:lineRule="auto"/>
              <w:rPr>
                <w:rFonts w:ascii="Arial Narrow" w:hAnsi="Arial Narrow"/>
                <w:b/>
                <w:color w:val="FFFFFF"/>
                <w:sz w:val="20"/>
              </w:rPr>
            </w:pPr>
          </w:p>
        </w:tc>
      </w:tr>
      <w:tr w:rsidR="00EE68B0" w:rsidRPr="006E2799" w:rsidTr="00EE68B0">
        <w:trPr>
          <w:cantSplit/>
          <w:trHeight w:val="288"/>
        </w:trPr>
        <w:tc>
          <w:tcPr>
            <w:tcW w:w="3150" w:type="dxa"/>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Provided Urine Specimen</w:t>
            </w:r>
          </w:p>
        </w:tc>
        <w:tc>
          <w:tcPr>
            <w:tcW w:w="77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323</w:t>
            </w:r>
          </w:p>
        </w:tc>
        <w:tc>
          <w:tcPr>
            <w:tcW w:w="86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374</w:t>
            </w:r>
          </w:p>
        </w:tc>
        <w:tc>
          <w:tcPr>
            <w:tcW w:w="79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324</w:t>
            </w:r>
          </w:p>
        </w:tc>
        <w:tc>
          <w:tcPr>
            <w:tcW w:w="108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351</w:t>
            </w:r>
          </w:p>
        </w:tc>
        <w:tc>
          <w:tcPr>
            <w:tcW w:w="115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364</w:t>
            </w:r>
          </w:p>
        </w:tc>
        <w:tc>
          <w:tcPr>
            <w:tcW w:w="91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1,736</w:t>
            </w:r>
          </w:p>
        </w:tc>
      </w:tr>
      <w:tr w:rsidR="00EE68B0" w:rsidRPr="006E2799" w:rsidTr="00EE68B0">
        <w:trPr>
          <w:cantSplit/>
          <w:trHeight w:val="288"/>
        </w:trPr>
        <w:tc>
          <w:tcPr>
            <w:tcW w:w="3150" w:type="dxa"/>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Completed Interviews</w:t>
            </w:r>
          </w:p>
        </w:tc>
        <w:tc>
          <w:tcPr>
            <w:tcW w:w="77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367</w:t>
            </w:r>
          </w:p>
        </w:tc>
        <w:tc>
          <w:tcPr>
            <w:tcW w:w="86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395</w:t>
            </w:r>
          </w:p>
        </w:tc>
        <w:tc>
          <w:tcPr>
            <w:tcW w:w="79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364</w:t>
            </w:r>
          </w:p>
        </w:tc>
        <w:tc>
          <w:tcPr>
            <w:tcW w:w="108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402</w:t>
            </w:r>
          </w:p>
        </w:tc>
        <w:tc>
          <w:tcPr>
            <w:tcW w:w="115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410</w:t>
            </w:r>
          </w:p>
        </w:tc>
        <w:tc>
          <w:tcPr>
            <w:tcW w:w="91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1,938</w:t>
            </w:r>
          </w:p>
        </w:tc>
      </w:tr>
      <w:tr w:rsidR="00EE68B0" w:rsidRPr="006E2799" w:rsidTr="00EE68B0">
        <w:trPr>
          <w:cantSplit/>
          <w:trHeight w:val="288"/>
        </w:trPr>
        <w:tc>
          <w:tcPr>
            <w:tcW w:w="3150" w:type="dxa"/>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Eligible and Available to be Interviewed</w:t>
            </w:r>
          </w:p>
        </w:tc>
        <w:tc>
          <w:tcPr>
            <w:tcW w:w="77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395</w:t>
            </w:r>
          </w:p>
        </w:tc>
        <w:tc>
          <w:tcPr>
            <w:tcW w:w="86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418</w:t>
            </w:r>
          </w:p>
        </w:tc>
        <w:tc>
          <w:tcPr>
            <w:tcW w:w="79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432</w:t>
            </w:r>
          </w:p>
        </w:tc>
        <w:tc>
          <w:tcPr>
            <w:tcW w:w="108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433</w:t>
            </w:r>
          </w:p>
        </w:tc>
        <w:tc>
          <w:tcPr>
            <w:tcW w:w="115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429</w:t>
            </w:r>
          </w:p>
        </w:tc>
        <w:tc>
          <w:tcPr>
            <w:tcW w:w="91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2,107</w:t>
            </w:r>
          </w:p>
        </w:tc>
      </w:tr>
      <w:tr w:rsidR="00EE68B0" w:rsidRPr="006E2799" w:rsidTr="00EE68B0">
        <w:trPr>
          <w:cantSplit/>
          <w:trHeight w:val="288"/>
        </w:trPr>
        <w:tc>
          <w:tcPr>
            <w:tcW w:w="3150" w:type="dxa"/>
            <w:tcBorders>
              <w:bottom w:val="single" w:sz="4" w:space="0" w:color="666969"/>
            </w:tcBorders>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Eligible to be Interviewed</w:t>
            </w:r>
          </w:p>
        </w:tc>
        <w:tc>
          <w:tcPr>
            <w:tcW w:w="772"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528</w:t>
            </w:r>
          </w:p>
        </w:tc>
        <w:tc>
          <w:tcPr>
            <w:tcW w:w="863"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430</w:t>
            </w:r>
          </w:p>
        </w:tc>
        <w:tc>
          <w:tcPr>
            <w:tcW w:w="792"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597</w:t>
            </w:r>
          </w:p>
        </w:tc>
        <w:tc>
          <w:tcPr>
            <w:tcW w:w="1083"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1,056</w:t>
            </w:r>
          </w:p>
        </w:tc>
        <w:tc>
          <w:tcPr>
            <w:tcW w:w="1155"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618</w:t>
            </w:r>
          </w:p>
        </w:tc>
        <w:tc>
          <w:tcPr>
            <w:tcW w:w="915"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3,229</w:t>
            </w:r>
          </w:p>
        </w:tc>
      </w:tr>
      <w:tr w:rsidR="00EE68B0" w:rsidRPr="006E2799" w:rsidTr="00EE68B0">
        <w:trPr>
          <w:cantSplit/>
          <w:trHeight w:val="288"/>
        </w:trPr>
        <w:tc>
          <w:tcPr>
            <w:tcW w:w="3150" w:type="dxa"/>
            <w:tcBorders>
              <w:right w:val="nil"/>
            </w:tcBorders>
            <w:shd w:val="clear" w:color="auto" w:fill="898D8D"/>
            <w:noWrap/>
            <w:vAlign w:val="center"/>
          </w:tcPr>
          <w:p w:rsidR="00EE68B0" w:rsidRPr="006E2799" w:rsidRDefault="00EE68B0" w:rsidP="00EE68B0">
            <w:pPr>
              <w:spacing w:after="0" w:line="240" w:lineRule="auto"/>
              <w:rPr>
                <w:rFonts w:ascii="Arial Narrow" w:hAnsi="Arial Narrow"/>
                <w:b/>
                <w:color w:val="FFFFFF"/>
                <w:sz w:val="20"/>
              </w:rPr>
            </w:pPr>
            <w:r w:rsidRPr="006E2799">
              <w:rPr>
                <w:rFonts w:ascii="Arial Narrow" w:hAnsi="Arial Narrow"/>
                <w:b/>
                <w:color w:val="FFFFFF"/>
                <w:sz w:val="20"/>
              </w:rPr>
              <w:t>Interview Response Rates</w:t>
            </w:r>
          </w:p>
        </w:tc>
        <w:tc>
          <w:tcPr>
            <w:tcW w:w="772" w:type="dxa"/>
            <w:tcBorders>
              <w:left w:val="nil"/>
              <w:right w:val="nil"/>
            </w:tcBorders>
            <w:shd w:val="clear" w:color="auto" w:fill="898D8D"/>
            <w:vAlign w:val="center"/>
          </w:tcPr>
          <w:p w:rsidR="00EE68B0" w:rsidRPr="006E2799" w:rsidRDefault="00EE68B0" w:rsidP="00EE68B0">
            <w:pPr>
              <w:spacing w:after="0" w:line="240" w:lineRule="auto"/>
              <w:jc w:val="center"/>
              <w:rPr>
                <w:rFonts w:ascii="Arial Narrow" w:hAnsi="Arial Narrow"/>
                <w:b/>
                <w:color w:val="FFFFFF"/>
                <w:sz w:val="20"/>
              </w:rPr>
            </w:pPr>
          </w:p>
        </w:tc>
        <w:tc>
          <w:tcPr>
            <w:tcW w:w="863"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792"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1083"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1155"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915" w:type="dxa"/>
            <w:tcBorders>
              <w:lef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r>
      <w:tr w:rsidR="00EE68B0" w:rsidRPr="006E2799" w:rsidTr="00EE68B0">
        <w:trPr>
          <w:cantSplit/>
          <w:trHeight w:val="288"/>
        </w:trPr>
        <w:tc>
          <w:tcPr>
            <w:tcW w:w="3150" w:type="dxa"/>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Conditional Response Rate</w:t>
            </w:r>
          </w:p>
        </w:tc>
        <w:tc>
          <w:tcPr>
            <w:tcW w:w="77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0.929</w:t>
            </w:r>
          </w:p>
        </w:tc>
        <w:tc>
          <w:tcPr>
            <w:tcW w:w="86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0.945</w:t>
            </w:r>
          </w:p>
        </w:tc>
        <w:tc>
          <w:tcPr>
            <w:tcW w:w="79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0.843</w:t>
            </w:r>
          </w:p>
        </w:tc>
        <w:tc>
          <w:tcPr>
            <w:tcW w:w="108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0.928</w:t>
            </w:r>
          </w:p>
        </w:tc>
        <w:tc>
          <w:tcPr>
            <w:tcW w:w="115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0.956</w:t>
            </w:r>
          </w:p>
        </w:tc>
        <w:tc>
          <w:tcPr>
            <w:tcW w:w="91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0.920</w:t>
            </w:r>
          </w:p>
        </w:tc>
      </w:tr>
      <w:tr w:rsidR="00EE68B0" w:rsidRPr="006E2799" w:rsidTr="00EE68B0">
        <w:trPr>
          <w:cantSplit/>
          <w:trHeight w:val="288"/>
        </w:trPr>
        <w:tc>
          <w:tcPr>
            <w:tcW w:w="3150" w:type="dxa"/>
            <w:tcBorders>
              <w:bottom w:val="single" w:sz="4" w:space="0" w:color="666969"/>
            </w:tcBorders>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Overall Response Rate</w:t>
            </w:r>
          </w:p>
        </w:tc>
        <w:tc>
          <w:tcPr>
            <w:tcW w:w="772"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0.695</w:t>
            </w:r>
          </w:p>
        </w:tc>
        <w:tc>
          <w:tcPr>
            <w:tcW w:w="863"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0.919</w:t>
            </w:r>
          </w:p>
        </w:tc>
        <w:tc>
          <w:tcPr>
            <w:tcW w:w="792"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0.610</w:t>
            </w:r>
          </w:p>
        </w:tc>
        <w:tc>
          <w:tcPr>
            <w:tcW w:w="1083"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0.381</w:t>
            </w:r>
          </w:p>
        </w:tc>
        <w:tc>
          <w:tcPr>
            <w:tcW w:w="1155"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0.663</w:t>
            </w:r>
          </w:p>
        </w:tc>
        <w:tc>
          <w:tcPr>
            <w:tcW w:w="915" w:type="dxa"/>
            <w:tcBorders>
              <w:bottom w:val="single" w:sz="4" w:space="0" w:color="666969"/>
            </w:tcBorders>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0.600</w:t>
            </w:r>
          </w:p>
        </w:tc>
      </w:tr>
      <w:tr w:rsidR="00EE68B0" w:rsidRPr="006E2799" w:rsidTr="00EE68B0">
        <w:trPr>
          <w:cantSplit/>
          <w:trHeight w:val="288"/>
        </w:trPr>
        <w:tc>
          <w:tcPr>
            <w:tcW w:w="3150" w:type="dxa"/>
            <w:tcBorders>
              <w:right w:val="nil"/>
            </w:tcBorders>
            <w:shd w:val="clear" w:color="auto" w:fill="898D8D"/>
            <w:noWrap/>
            <w:vAlign w:val="center"/>
          </w:tcPr>
          <w:p w:rsidR="00EE68B0" w:rsidRPr="006E2799" w:rsidRDefault="00EE68B0" w:rsidP="00EE68B0">
            <w:pPr>
              <w:spacing w:after="0" w:line="240" w:lineRule="auto"/>
              <w:rPr>
                <w:rFonts w:ascii="Arial Narrow" w:hAnsi="Arial Narrow"/>
                <w:b/>
                <w:color w:val="FFFFFF"/>
                <w:sz w:val="20"/>
              </w:rPr>
            </w:pPr>
            <w:r w:rsidRPr="006E2799">
              <w:rPr>
                <w:rFonts w:ascii="Arial Narrow" w:hAnsi="Arial Narrow"/>
                <w:b/>
                <w:color w:val="FFFFFF"/>
                <w:sz w:val="20"/>
              </w:rPr>
              <w:t>Urine Response Rates</w:t>
            </w:r>
          </w:p>
        </w:tc>
        <w:tc>
          <w:tcPr>
            <w:tcW w:w="772" w:type="dxa"/>
            <w:tcBorders>
              <w:left w:val="nil"/>
              <w:right w:val="nil"/>
            </w:tcBorders>
            <w:shd w:val="clear" w:color="auto" w:fill="898D8D"/>
            <w:vAlign w:val="center"/>
          </w:tcPr>
          <w:p w:rsidR="00EE68B0" w:rsidRPr="006E2799" w:rsidRDefault="00EE68B0" w:rsidP="00EE68B0">
            <w:pPr>
              <w:spacing w:after="0" w:line="240" w:lineRule="auto"/>
              <w:jc w:val="center"/>
              <w:rPr>
                <w:rFonts w:ascii="Arial Narrow" w:hAnsi="Arial Narrow"/>
                <w:b/>
                <w:color w:val="FFFFFF"/>
                <w:sz w:val="20"/>
              </w:rPr>
            </w:pPr>
          </w:p>
        </w:tc>
        <w:tc>
          <w:tcPr>
            <w:tcW w:w="863"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792"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1083"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1155" w:type="dxa"/>
            <w:tcBorders>
              <w:left w:val="nil"/>
              <w:righ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c>
          <w:tcPr>
            <w:tcW w:w="915" w:type="dxa"/>
            <w:tcBorders>
              <w:left w:val="nil"/>
            </w:tcBorders>
            <w:shd w:val="clear" w:color="auto" w:fill="898D8D"/>
            <w:noWrap/>
            <w:vAlign w:val="center"/>
          </w:tcPr>
          <w:p w:rsidR="00EE68B0" w:rsidRPr="006E2799" w:rsidRDefault="00EE68B0" w:rsidP="00EE68B0">
            <w:pPr>
              <w:spacing w:after="0" w:line="240" w:lineRule="auto"/>
              <w:jc w:val="center"/>
              <w:rPr>
                <w:rFonts w:ascii="Arial Narrow" w:hAnsi="Arial Narrow"/>
                <w:b/>
                <w:color w:val="FFFFFF"/>
                <w:sz w:val="20"/>
              </w:rPr>
            </w:pPr>
          </w:p>
        </w:tc>
      </w:tr>
      <w:tr w:rsidR="00EE68B0" w:rsidRPr="006E2799" w:rsidTr="00EE68B0">
        <w:trPr>
          <w:cantSplit/>
          <w:trHeight w:val="288"/>
        </w:trPr>
        <w:tc>
          <w:tcPr>
            <w:tcW w:w="3150" w:type="dxa"/>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Urine Agreement Rate</w:t>
            </w:r>
          </w:p>
        </w:tc>
        <w:tc>
          <w:tcPr>
            <w:tcW w:w="77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0.880</w:t>
            </w:r>
          </w:p>
        </w:tc>
        <w:tc>
          <w:tcPr>
            <w:tcW w:w="86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0.947</w:t>
            </w:r>
          </w:p>
        </w:tc>
        <w:tc>
          <w:tcPr>
            <w:tcW w:w="79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0.890</w:t>
            </w:r>
          </w:p>
        </w:tc>
        <w:tc>
          <w:tcPr>
            <w:tcW w:w="108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0.873</w:t>
            </w:r>
          </w:p>
        </w:tc>
        <w:tc>
          <w:tcPr>
            <w:tcW w:w="115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0.888</w:t>
            </w:r>
          </w:p>
        </w:tc>
        <w:tc>
          <w:tcPr>
            <w:tcW w:w="91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0.896</w:t>
            </w:r>
          </w:p>
        </w:tc>
      </w:tr>
      <w:tr w:rsidR="00EE68B0" w:rsidRPr="006E2799" w:rsidTr="00EE68B0">
        <w:trPr>
          <w:cantSplit/>
          <w:trHeight w:val="288"/>
        </w:trPr>
        <w:tc>
          <w:tcPr>
            <w:tcW w:w="3150" w:type="dxa"/>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Conditional Response Rate</w:t>
            </w:r>
          </w:p>
        </w:tc>
        <w:tc>
          <w:tcPr>
            <w:tcW w:w="77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0.818</w:t>
            </w:r>
          </w:p>
        </w:tc>
        <w:tc>
          <w:tcPr>
            <w:tcW w:w="86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0.895</w:t>
            </w:r>
          </w:p>
        </w:tc>
        <w:tc>
          <w:tcPr>
            <w:tcW w:w="79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0.750</w:t>
            </w:r>
          </w:p>
        </w:tc>
        <w:tc>
          <w:tcPr>
            <w:tcW w:w="108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0.811</w:t>
            </w:r>
          </w:p>
        </w:tc>
        <w:tc>
          <w:tcPr>
            <w:tcW w:w="115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0.848</w:t>
            </w:r>
          </w:p>
        </w:tc>
        <w:tc>
          <w:tcPr>
            <w:tcW w:w="91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0.824</w:t>
            </w:r>
          </w:p>
        </w:tc>
      </w:tr>
      <w:tr w:rsidR="00EE68B0" w:rsidRPr="006E2799" w:rsidTr="00EE68B0">
        <w:trPr>
          <w:cantSplit/>
          <w:trHeight w:val="288"/>
        </w:trPr>
        <w:tc>
          <w:tcPr>
            <w:tcW w:w="3150" w:type="dxa"/>
            <w:noWrap/>
            <w:vAlign w:val="center"/>
          </w:tcPr>
          <w:p w:rsidR="00EE68B0" w:rsidRPr="006E2799" w:rsidRDefault="00EE68B0" w:rsidP="00EE68B0">
            <w:pPr>
              <w:spacing w:after="0" w:line="240" w:lineRule="auto"/>
              <w:rPr>
                <w:rFonts w:ascii="Arial Narrow" w:hAnsi="Arial Narrow"/>
                <w:sz w:val="20"/>
              </w:rPr>
            </w:pPr>
            <w:r w:rsidRPr="006E2799">
              <w:rPr>
                <w:rFonts w:ascii="Arial Narrow" w:hAnsi="Arial Narrow"/>
                <w:sz w:val="20"/>
              </w:rPr>
              <w:t>Overall Response Rate</w:t>
            </w:r>
          </w:p>
        </w:tc>
        <w:tc>
          <w:tcPr>
            <w:tcW w:w="77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0.612</w:t>
            </w:r>
          </w:p>
        </w:tc>
        <w:tc>
          <w:tcPr>
            <w:tcW w:w="86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0.870</w:t>
            </w:r>
          </w:p>
        </w:tc>
        <w:tc>
          <w:tcPr>
            <w:tcW w:w="792"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0.543</w:t>
            </w:r>
          </w:p>
        </w:tc>
        <w:tc>
          <w:tcPr>
            <w:tcW w:w="1083"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0.332</w:t>
            </w:r>
          </w:p>
        </w:tc>
        <w:tc>
          <w:tcPr>
            <w:tcW w:w="115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0.589</w:t>
            </w:r>
          </w:p>
        </w:tc>
        <w:tc>
          <w:tcPr>
            <w:tcW w:w="915" w:type="dxa"/>
            <w:noWrap/>
            <w:vAlign w:val="center"/>
          </w:tcPr>
          <w:p w:rsidR="00EE68B0" w:rsidRPr="006E2799" w:rsidRDefault="00EE68B0" w:rsidP="00EE68B0">
            <w:pPr>
              <w:spacing w:after="0" w:line="240" w:lineRule="auto"/>
              <w:jc w:val="center"/>
              <w:rPr>
                <w:rFonts w:ascii="Arial Narrow" w:hAnsi="Arial Narrow"/>
                <w:sz w:val="20"/>
              </w:rPr>
            </w:pPr>
            <w:r w:rsidRPr="006E2799">
              <w:rPr>
                <w:rFonts w:ascii="Arial Narrow" w:hAnsi="Arial Narrow"/>
                <w:sz w:val="20"/>
              </w:rPr>
              <w:t>0.538</w:t>
            </w:r>
          </w:p>
        </w:tc>
      </w:tr>
    </w:tbl>
    <w:p w:rsidR="00EE68B0" w:rsidRPr="006E2799" w:rsidRDefault="00EE68B0" w:rsidP="00EE68B0"/>
    <w:p w:rsidR="00C14493" w:rsidRDefault="00C14493" w:rsidP="00C14493">
      <w:r>
        <w:t>Table 3 shows the final disposition of the sample, based on facesheet information.</w:t>
      </w:r>
    </w:p>
    <w:tbl>
      <w:tblPr>
        <w:tblW w:w="3612" w:type="pct"/>
        <w:tblInd w:w="108" w:type="dxa"/>
        <w:tblLook w:val="0000" w:firstRow="0" w:lastRow="0" w:firstColumn="0" w:lastColumn="0" w:noHBand="0" w:noVBand="0"/>
      </w:tblPr>
      <w:tblGrid>
        <w:gridCol w:w="4930"/>
        <w:gridCol w:w="550"/>
        <w:gridCol w:w="550"/>
        <w:gridCol w:w="550"/>
        <w:gridCol w:w="550"/>
        <w:gridCol w:w="550"/>
        <w:gridCol w:w="684"/>
        <w:gridCol w:w="33"/>
      </w:tblGrid>
      <w:tr w:rsidR="00C14493" w:rsidRPr="00094C4A" w:rsidTr="00481627">
        <w:trPr>
          <w:gridAfter w:val="1"/>
          <w:wAfter w:w="20" w:type="pct"/>
          <w:cantSplit/>
          <w:trHeight w:val="288"/>
        </w:trPr>
        <w:tc>
          <w:tcPr>
            <w:tcW w:w="4980" w:type="pct"/>
            <w:gridSpan w:val="7"/>
            <w:tcBorders>
              <w:left w:val="nil"/>
              <w:right w:val="nil"/>
            </w:tcBorders>
            <w:noWrap/>
            <w:vAlign w:val="bottom"/>
          </w:tcPr>
          <w:p w:rsidR="00C14493" w:rsidRPr="00094C4A" w:rsidRDefault="00B67662" w:rsidP="00B67662">
            <w:pPr>
              <w:pStyle w:val="ExhibitTitle"/>
            </w:pPr>
            <w:bookmarkStart w:id="19" w:name="_Toc194813000"/>
            <w:bookmarkStart w:id="20" w:name="_Toc285528910"/>
            <w:r>
              <w:t>Table 4</w:t>
            </w:r>
            <w:r w:rsidR="00C14493">
              <w:tab/>
            </w:r>
            <w:r w:rsidR="00C14493" w:rsidRPr="00094C4A">
              <w:t>Final Disposition of Completed Facesheets</w:t>
            </w:r>
            <w:bookmarkEnd w:id="19"/>
            <w:bookmarkEnd w:id="20"/>
          </w:p>
        </w:tc>
      </w:tr>
      <w:tr w:rsidR="00C14493" w:rsidRPr="00130E20" w:rsidTr="00D9321D">
        <w:trPr>
          <w:cantSplit/>
          <w:trHeight w:val="1485"/>
        </w:trPr>
        <w:tc>
          <w:tcPr>
            <w:tcW w:w="2671" w:type="pct"/>
            <w:tcBorders>
              <w:left w:val="nil"/>
              <w:right w:val="nil"/>
            </w:tcBorders>
            <w:shd w:val="clear" w:color="auto" w:fill="C3C6A8" w:themeFill="accent4"/>
            <w:noWrap/>
            <w:vAlign w:val="bottom"/>
          </w:tcPr>
          <w:p w:rsidR="00C14493" w:rsidRPr="00130E20" w:rsidRDefault="00C14493" w:rsidP="00C14493">
            <w:pPr>
              <w:pStyle w:val="NoSpacing"/>
              <w:rPr>
                <w:rFonts w:ascii="Arial" w:hAnsi="Arial" w:cs="Arial"/>
                <w:sz w:val="20"/>
                <w:szCs w:val="20"/>
              </w:rPr>
            </w:pPr>
          </w:p>
        </w:tc>
        <w:tc>
          <w:tcPr>
            <w:tcW w:w="379" w:type="pct"/>
            <w:tcBorders>
              <w:left w:val="nil"/>
              <w:right w:val="nil"/>
            </w:tcBorders>
            <w:shd w:val="clear" w:color="auto" w:fill="C3C6A8" w:themeFill="accent4"/>
            <w:noWrap/>
            <w:textDirection w:val="btLr"/>
            <w:vAlign w:val="bottom"/>
          </w:tcPr>
          <w:p w:rsidR="00C14493" w:rsidRPr="00130E20" w:rsidRDefault="00C14493" w:rsidP="00C14493">
            <w:pPr>
              <w:pStyle w:val="NoSpacing"/>
              <w:ind w:left="72"/>
              <w:rPr>
                <w:rFonts w:ascii="Arial" w:hAnsi="Arial" w:cs="Arial"/>
                <w:b/>
                <w:sz w:val="20"/>
                <w:szCs w:val="20"/>
              </w:rPr>
            </w:pPr>
            <w:r w:rsidRPr="00130E20">
              <w:rPr>
                <w:rFonts w:ascii="Arial" w:hAnsi="Arial" w:cs="Arial"/>
                <w:b/>
                <w:sz w:val="20"/>
                <w:szCs w:val="20"/>
              </w:rPr>
              <w:t>Atlanta</w:t>
            </w:r>
          </w:p>
        </w:tc>
        <w:tc>
          <w:tcPr>
            <w:tcW w:w="380" w:type="pct"/>
            <w:tcBorders>
              <w:left w:val="nil"/>
              <w:right w:val="nil"/>
            </w:tcBorders>
            <w:shd w:val="clear" w:color="auto" w:fill="C3C6A8" w:themeFill="accent4"/>
            <w:noWrap/>
            <w:textDirection w:val="btLr"/>
            <w:vAlign w:val="bottom"/>
          </w:tcPr>
          <w:p w:rsidR="00C14493" w:rsidRPr="00130E20" w:rsidRDefault="00C14493" w:rsidP="00C14493">
            <w:pPr>
              <w:pStyle w:val="NoSpacing"/>
              <w:ind w:left="72"/>
              <w:rPr>
                <w:rFonts w:ascii="Arial" w:hAnsi="Arial" w:cs="Arial"/>
                <w:b/>
                <w:sz w:val="20"/>
                <w:szCs w:val="20"/>
              </w:rPr>
            </w:pPr>
            <w:r w:rsidRPr="00130E20">
              <w:rPr>
                <w:rFonts w:ascii="Arial" w:hAnsi="Arial" w:cs="Arial"/>
                <w:b/>
                <w:sz w:val="20"/>
                <w:szCs w:val="20"/>
              </w:rPr>
              <w:t>Chicago</w:t>
            </w:r>
          </w:p>
        </w:tc>
        <w:tc>
          <w:tcPr>
            <w:tcW w:w="382" w:type="pct"/>
            <w:tcBorders>
              <w:left w:val="nil"/>
              <w:right w:val="nil"/>
            </w:tcBorders>
            <w:shd w:val="clear" w:color="auto" w:fill="C3C6A8" w:themeFill="accent4"/>
            <w:noWrap/>
            <w:textDirection w:val="btLr"/>
            <w:vAlign w:val="bottom"/>
          </w:tcPr>
          <w:p w:rsidR="00C14493" w:rsidRPr="00130E20" w:rsidRDefault="00C14493" w:rsidP="00C14493">
            <w:pPr>
              <w:pStyle w:val="NoSpacing"/>
              <w:ind w:left="72"/>
              <w:rPr>
                <w:rFonts w:ascii="Arial" w:hAnsi="Arial" w:cs="Arial"/>
                <w:b/>
                <w:sz w:val="20"/>
                <w:szCs w:val="20"/>
              </w:rPr>
            </w:pPr>
            <w:r w:rsidRPr="00130E20">
              <w:rPr>
                <w:rFonts w:ascii="Arial" w:hAnsi="Arial" w:cs="Arial"/>
                <w:b/>
                <w:sz w:val="20"/>
                <w:szCs w:val="20"/>
              </w:rPr>
              <w:t>Denver</w:t>
            </w:r>
          </w:p>
        </w:tc>
        <w:tc>
          <w:tcPr>
            <w:tcW w:w="382" w:type="pct"/>
            <w:tcBorders>
              <w:left w:val="nil"/>
              <w:right w:val="nil"/>
            </w:tcBorders>
            <w:shd w:val="clear" w:color="auto" w:fill="C3C6A8" w:themeFill="accent4"/>
            <w:noWrap/>
            <w:textDirection w:val="btLr"/>
            <w:vAlign w:val="bottom"/>
          </w:tcPr>
          <w:p w:rsidR="00C14493" w:rsidRPr="00130E20" w:rsidRDefault="00C14493" w:rsidP="00C14493">
            <w:pPr>
              <w:pStyle w:val="NoSpacing"/>
              <w:ind w:left="72"/>
              <w:rPr>
                <w:rFonts w:ascii="Arial" w:hAnsi="Arial" w:cs="Arial"/>
                <w:b/>
                <w:sz w:val="20"/>
                <w:szCs w:val="20"/>
              </w:rPr>
            </w:pPr>
            <w:r w:rsidRPr="00130E20">
              <w:rPr>
                <w:rFonts w:ascii="Arial" w:hAnsi="Arial" w:cs="Arial"/>
                <w:b/>
                <w:sz w:val="20"/>
                <w:szCs w:val="20"/>
              </w:rPr>
              <w:t>New York</w:t>
            </w:r>
          </w:p>
        </w:tc>
        <w:tc>
          <w:tcPr>
            <w:tcW w:w="382" w:type="pct"/>
            <w:tcBorders>
              <w:left w:val="nil"/>
              <w:right w:val="nil"/>
            </w:tcBorders>
            <w:shd w:val="clear" w:color="auto" w:fill="C3C6A8" w:themeFill="accent4"/>
            <w:noWrap/>
            <w:textDirection w:val="btLr"/>
            <w:vAlign w:val="bottom"/>
          </w:tcPr>
          <w:p w:rsidR="00C14493" w:rsidRPr="00130E20" w:rsidRDefault="00C14493" w:rsidP="00C14493">
            <w:pPr>
              <w:pStyle w:val="NoSpacing"/>
              <w:ind w:left="72"/>
              <w:rPr>
                <w:rFonts w:ascii="Arial" w:hAnsi="Arial" w:cs="Arial"/>
                <w:b/>
                <w:sz w:val="20"/>
                <w:szCs w:val="20"/>
              </w:rPr>
            </w:pPr>
            <w:r w:rsidRPr="00130E20">
              <w:rPr>
                <w:rFonts w:ascii="Arial" w:hAnsi="Arial" w:cs="Arial"/>
                <w:b/>
                <w:sz w:val="20"/>
                <w:szCs w:val="20"/>
              </w:rPr>
              <w:t>Sacramento</w:t>
            </w:r>
          </w:p>
        </w:tc>
        <w:tc>
          <w:tcPr>
            <w:tcW w:w="424" w:type="pct"/>
            <w:gridSpan w:val="2"/>
            <w:tcBorders>
              <w:left w:val="nil"/>
              <w:right w:val="nil"/>
            </w:tcBorders>
            <w:shd w:val="clear" w:color="auto" w:fill="C3C6A8" w:themeFill="accent4"/>
            <w:noWrap/>
            <w:textDirection w:val="btLr"/>
            <w:vAlign w:val="bottom"/>
          </w:tcPr>
          <w:p w:rsidR="00C14493" w:rsidRPr="00130E20" w:rsidRDefault="00C14493" w:rsidP="00C14493">
            <w:pPr>
              <w:pStyle w:val="NoSpacing"/>
              <w:ind w:left="72"/>
              <w:rPr>
                <w:rFonts w:ascii="Arial" w:hAnsi="Arial" w:cs="Arial"/>
                <w:b/>
                <w:sz w:val="20"/>
                <w:szCs w:val="20"/>
              </w:rPr>
            </w:pPr>
            <w:r w:rsidRPr="00130E20">
              <w:rPr>
                <w:rFonts w:ascii="Arial" w:hAnsi="Arial" w:cs="Arial"/>
                <w:b/>
                <w:sz w:val="20"/>
                <w:szCs w:val="20"/>
              </w:rPr>
              <w:t>Overall</w:t>
            </w:r>
          </w:p>
        </w:tc>
      </w:tr>
      <w:tr w:rsidR="00481627" w:rsidRPr="00481627" w:rsidTr="00D9321D">
        <w:trPr>
          <w:trHeight w:val="288"/>
        </w:trPr>
        <w:tc>
          <w:tcPr>
            <w:tcW w:w="2671" w:type="pct"/>
            <w:tcBorders>
              <w:left w:val="nil"/>
              <w:bottom w:val="nil"/>
              <w:right w:val="nil"/>
            </w:tcBorders>
            <w:shd w:val="clear" w:color="auto" w:fill="898D8D" w:themeFill="accent2"/>
            <w:noWrap/>
            <w:vAlign w:val="center"/>
          </w:tcPr>
          <w:p w:rsidR="00C14493" w:rsidRPr="00481627" w:rsidRDefault="00C14493" w:rsidP="00C14493">
            <w:pPr>
              <w:pStyle w:val="NoSpacing"/>
              <w:rPr>
                <w:rFonts w:ascii="Arial" w:hAnsi="Arial" w:cs="Arial"/>
                <w:b/>
                <w:color w:val="F0F4F6" w:themeColor="background1" w:themeTint="33"/>
                <w:sz w:val="20"/>
                <w:szCs w:val="20"/>
              </w:rPr>
            </w:pPr>
            <w:r w:rsidRPr="00481627">
              <w:rPr>
                <w:rFonts w:ascii="Arial" w:hAnsi="Arial" w:cs="Arial"/>
                <w:b/>
                <w:color w:val="F0F4F6" w:themeColor="background1" w:themeTint="33"/>
                <w:sz w:val="20"/>
                <w:szCs w:val="20"/>
              </w:rPr>
              <w:t>Ineligible for the Interview</w:t>
            </w:r>
          </w:p>
        </w:tc>
        <w:tc>
          <w:tcPr>
            <w:tcW w:w="379" w:type="pct"/>
            <w:tcBorders>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b/>
                <w:color w:val="F0F4F6" w:themeColor="background1" w:themeTint="33"/>
                <w:sz w:val="20"/>
                <w:szCs w:val="20"/>
              </w:rPr>
            </w:pPr>
          </w:p>
        </w:tc>
        <w:tc>
          <w:tcPr>
            <w:tcW w:w="380" w:type="pct"/>
            <w:tcBorders>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b/>
                <w:color w:val="F0F4F6" w:themeColor="background1" w:themeTint="33"/>
                <w:sz w:val="20"/>
                <w:szCs w:val="20"/>
              </w:rPr>
            </w:pPr>
          </w:p>
        </w:tc>
        <w:tc>
          <w:tcPr>
            <w:tcW w:w="382" w:type="pct"/>
            <w:tcBorders>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b/>
                <w:color w:val="F0F4F6" w:themeColor="background1" w:themeTint="33"/>
                <w:sz w:val="20"/>
                <w:szCs w:val="20"/>
              </w:rPr>
            </w:pPr>
          </w:p>
        </w:tc>
        <w:tc>
          <w:tcPr>
            <w:tcW w:w="382" w:type="pct"/>
            <w:tcBorders>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b/>
                <w:color w:val="F0F4F6" w:themeColor="background1" w:themeTint="33"/>
                <w:sz w:val="20"/>
                <w:szCs w:val="20"/>
              </w:rPr>
            </w:pPr>
          </w:p>
        </w:tc>
        <w:tc>
          <w:tcPr>
            <w:tcW w:w="382" w:type="pct"/>
            <w:tcBorders>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b/>
                <w:color w:val="F0F4F6" w:themeColor="background1" w:themeTint="33"/>
                <w:sz w:val="20"/>
                <w:szCs w:val="20"/>
              </w:rPr>
            </w:pPr>
          </w:p>
        </w:tc>
        <w:tc>
          <w:tcPr>
            <w:tcW w:w="424" w:type="pct"/>
            <w:gridSpan w:val="2"/>
            <w:tcBorders>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b/>
                <w:color w:val="F0F4F6" w:themeColor="background1" w:themeTint="33"/>
                <w:sz w:val="20"/>
                <w:szCs w:val="20"/>
              </w:rPr>
            </w:pP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Arrested More than 48 Hours Ago</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r>
      <w:tr w:rsidR="00481627" w:rsidRPr="00481627" w:rsidTr="00481627">
        <w:trPr>
          <w:trHeight w:val="288"/>
        </w:trPr>
        <w:tc>
          <w:tcPr>
            <w:tcW w:w="2671" w:type="pct"/>
            <w:tcBorders>
              <w:top w:val="nil"/>
              <w:left w:val="nil"/>
              <w:bottom w:val="nil"/>
              <w:right w:val="nil"/>
            </w:tcBorders>
            <w:shd w:val="clear" w:color="auto" w:fill="898D8D" w:themeFill="accent2"/>
            <w:noWrap/>
            <w:vAlign w:val="center"/>
          </w:tcPr>
          <w:p w:rsidR="00C14493" w:rsidRPr="00481627" w:rsidRDefault="00C14493" w:rsidP="00C14493">
            <w:pPr>
              <w:pStyle w:val="NoSpacing"/>
              <w:rPr>
                <w:rFonts w:ascii="Arial" w:hAnsi="Arial" w:cs="Arial"/>
                <w:color w:val="F0F4F6" w:themeColor="background1" w:themeTint="33"/>
                <w:sz w:val="20"/>
                <w:szCs w:val="20"/>
              </w:rPr>
            </w:pPr>
            <w:r w:rsidRPr="00481627">
              <w:rPr>
                <w:rFonts w:ascii="Arial" w:hAnsi="Arial" w:cs="Arial"/>
                <w:b/>
                <w:color w:val="F0F4F6" w:themeColor="background1" w:themeTint="33"/>
                <w:sz w:val="20"/>
                <w:szCs w:val="20"/>
              </w:rPr>
              <w:t>Eligible but Unavailable for the Interview</w:t>
            </w:r>
          </w:p>
        </w:tc>
        <w:tc>
          <w:tcPr>
            <w:tcW w:w="379"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0"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424" w:type="pct"/>
            <w:gridSpan w:val="2"/>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Taken to Court</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118</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6</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125</w:t>
            </w: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Released</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88</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121</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142</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352</w:t>
            </w: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Transferred</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5</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499</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506</w:t>
            </w: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Medical Unit</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6</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7</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18</w:t>
            </w: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Violent or Uncontrolled Behavior</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23</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21</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66</w:t>
            </w: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Physically Ill</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8</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11</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26</w:t>
            </w: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Shift Ended</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w:t>
            </w:r>
          </w:p>
        </w:tc>
      </w:tr>
      <w:tr w:rsidR="00C14493" w:rsidRPr="00130E20" w:rsidTr="00C14493">
        <w:trPr>
          <w:trHeight w:val="288"/>
        </w:trPr>
        <w:tc>
          <w:tcPr>
            <w:tcW w:w="2671" w:type="pct"/>
            <w:tcBorders>
              <w:top w:val="nil"/>
              <w:left w:val="nil"/>
              <w:bottom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Other/Missing</w:t>
            </w:r>
          </w:p>
        </w:tc>
        <w:tc>
          <w:tcPr>
            <w:tcW w:w="379"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11</w:t>
            </w:r>
          </w:p>
        </w:tc>
        <w:tc>
          <w:tcPr>
            <w:tcW w:w="380"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10</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w:t>
            </w:r>
          </w:p>
        </w:tc>
        <w:tc>
          <w:tcPr>
            <w:tcW w:w="382" w:type="pct"/>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424" w:type="pct"/>
            <w:gridSpan w:val="2"/>
            <w:tcBorders>
              <w:top w:val="nil"/>
              <w:left w:val="nil"/>
              <w:bottom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25</w:t>
            </w:r>
          </w:p>
        </w:tc>
      </w:tr>
      <w:tr w:rsidR="00481627" w:rsidRPr="00481627" w:rsidTr="00481627">
        <w:trPr>
          <w:trHeight w:val="288"/>
        </w:trPr>
        <w:tc>
          <w:tcPr>
            <w:tcW w:w="2671" w:type="pct"/>
            <w:tcBorders>
              <w:top w:val="nil"/>
              <w:left w:val="nil"/>
              <w:bottom w:val="nil"/>
              <w:right w:val="nil"/>
            </w:tcBorders>
            <w:shd w:val="clear" w:color="auto" w:fill="898D8D" w:themeFill="accent2"/>
            <w:noWrap/>
            <w:vAlign w:val="center"/>
          </w:tcPr>
          <w:p w:rsidR="00C14493" w:rsidRPr="00481627" w:rsidRDefault="00C14493" w:rsidP="00C14493">
            <w:pPr>
              <w:pStyle w:val="NoSpacing"/>
              <w:rPr>
                <w:rFonts w:ascii="Arial" w:hAnsi="Arial" w:cs="Arial"/>
                <w:b/>
                <w:color w:val="F0F4F6" w:themeColor="background1" w:themeTint="33"/>
                <w:sz w:val="20"/>
                <w:szCs w:val="20"/>
              </w:rPr>
            </w:pPr>
            <w:r w:rsidRPr="00481627">
              <w:rPr>
                <w:rFonts w:ascii="Arial" w:hAnsi="Arial" w:cs="Arial"/>
                <w:b/>
                <w:color w:val="F0F4F6" w:themeColor="background1" w:themeTint="33"/>
                <w:sz w:val="20"/>
                <w:szCs w:val="20"/>
              </w:rPr>
              <w:t>Eligible and Available for the Interview</w:t>
            </w:r>
          </w:p>
        </w:tc>
        <w:tc>
          <w:tcPr>
            <w:tcW w:w="379"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0"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424" w:type="pct"/>
            <w:gridSpan w:val="2"/>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r>
      <w:tr w:rsidR="00C14493" w:rsidRPr="00130E20" w:rsidTr="00C14493">
        <w:trPr>
          <w:trHeight w:val="288"/>
        </w:trPr>
        <w:tc>
          <w:tcPr>
            <w:tcW w:w="2671" w:type="pct"/>
            <w:tcBorders>
              <w:top w:val="nil"/>
              <w:left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Did Not Want to Answer Interview</w:t>
            </w:r>
          </w:p>
        </w:tc>
        <w:tc>
          <w:tcPr>
            <w:tcW w:w="379"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25</w:t>
            </w:r>
          </w:p>
        </w:tc>
        <w:tc>
          <w:tcPr>
            <w:tcW w:w="380"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20</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65</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23</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19</w:t>
            </w:r>
          </w:p>
        </w:tc>
        <w:tc>
          <w:tcPr>
            <w:tcW w:w="424" w:type="pct"/>
            <w:gridSpan w:val="2"/>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152</w:t>
            </w:r>
          </w:p>
        </w:tc>
      </w:tr>
      <w:tr w:rsidR="00C14493" w:rsidRPr="00130E20" w:rsidTr="00C14493">
        <w:trPr>
          <w:trHeight w:val="288"/>
        </w:trPr>
        <w:tc>
          <w:tcPr>
            <w:tcW w:w="2671" w:type="pct"/>
            <w:tcBorders>
              <w:top w:val="nil"/>
              <w:left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Could Not Answer Interview Due to Language Barrier</w:t>
            </w:r>
          </w:p>
        </w:tc>
        <w:tc>
          <w:tcPr>
            <w:tcW w:w="379"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0"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424" w:type="pct"/>
            <w:gridSpan w:val="2"/>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5</w:t>
            </w:r>
          </w:p>
        </w:tc>
      </w:tr>
      <w:tr w:rsidR="00C14493" w:rsidRPr="00130E20" w:rsidTr="00C14493">
        <w:trPr>
          <w:trHeight w:val="288"/>
        </w:trPr>
        <w:tc>
          <w:tcPr>
            <w:tcW w:w="2671" w:type="pct"/>
            <w:tcBorders>
              <w:top w:val="nil"/>
              <w:left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Other/Missing</w:t>
            </w:r>
          </w:p>
        </w:tc>
        <w:tc>
          <w:tcPr>
            <w:tcW w:w="379"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0"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424" w:type="pct"/>
            <w:gridSpan w:val="2"/>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w:t>
            </w:r>
          </w:p>
        </w:tc>
      </w:tr>
      <w:tr w:rsidR="00C14493" w:rsidRPr="00130E20" w:rsidTr="00C14493">
        <w:trPr>
          <w:trHeight w:val="288"/>
        </w:trPr>
        <w:tc>
          <w:tcPr>
            <w:tcW w:w="2671" w:type="pct"/>
            <w:tcBorders>
              <w:top w:val="nil"/>
              <w:left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Agreed, Did not Complete Interview</w:t>
            </w:r>
          </w:p>
        </w:tc>
        <w:tc>
          <w:tcPr>
            <w:tcW w:w="379"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w:t>
            </w:r>
          </w:p>
        </w:tc>
        <w:tc>
          <w:tcPr>
            <w:tcW w:w="380"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0</w:t>
            </w:r>
          </w:p>
        </w:tc>
        <w:tc>
          <w:tcPr>
            <w:tcW w:w="424" w:type="pct"/>
            <w:gridSpan w:val="2"/>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9</w:t>
            </w:r>
          </w:p>
        </w:tc>
      </w:tr>
      <w:tr w:rsidR="00481627" w:rsidRPr="00481627" w:rsidTr="00481627">
        <w:trPr>
          <w:trHeight w:val="288"/>
        </w:trPr>
        <w:tc>
          <w:tcPr>
            <w:tcW w:w="2671" w:type="pct"/>
            <w:tcBorders>
              <w:top w:val="nil"/>
              <w:left w:val="nil"/>
              <w:bottom w:val="nil"/>
              <w:right w:val="nil"/>
            </w:tcBorders>
            <w:shd w:val="clear" w:color="auto" w:fill="898D8D" w:themeFill="accent2"/>
            <w:noWrap/>
            <w:vAlign w:val="center"/>
          </w:tcPr>
          <w:p w:rsidR="00C14493" w:rsidRPr="00481627" w:rsidRDefault="00C14493" w:rsidP="00C14493">
            <w:pPr>
              <w:pStyle w:val="NoSpacing"/>
              <w:rPr>
                <w:rFonts w:ascii="Arial" w:hAnsi="Arial" w:cs="Arial"/>
                <w:b/>
                <w:color w:val="F0F4F6" w:themeColor="background1" w:themeTint="33"/>
                <w:sz w:val="20"/>
                <w:szCs w:val="20"/>
              </w:rPr>
            </w:pPr>
            <w:r w:rsidRPr="00481627">
              <w:rPr>
                <w:rFonts w:ascii="Arial" w:hAnsi="Arial" w:cs="Arial"/>
                <w:b/>
                <w:color w:val="F0F4F6" w:themeColor="background1" w:themeTint="33"/>
                <w:sz w:val="20"/>
                <w:szCs w:val="20"/>
              </w:rPr>
              <w:t>Completed Interview</w:t>
            </w:r>
          </w:p>
        </w:tc>
        <w:tc>
          <w:tcPr>
            <w:tcW w:w="379"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0"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382" w:type="pct"/>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c>
          <w:tcPr>
            <w:tcW w:w="424" w:type="pct"/>
            <w:gridSpan w:val="2"/>
            <w:tcBorders>
              <w:top w:val="nil"/>
              <w:left w:val="nil"/>
              <w:bottom w:val="nil"/>
              <w:right w:val="nil"/>
            </w:tcBorders>
            <w:shd w:val="clear" w:color="auto" w:fill="898D8D" w:themeFill="accent2"/>
            <w:noWrap/>
            <w:vAlign w:val="center"/>
          </w:tcPr>
          <w:p w:rsidR="00C14493" w:rsidRPr="00481627" w:rsidRDefault="00C14493" w:rsidP="00C14493">
            <w:pPr>
              <w:pStyle w:val="NoSpacing"/>
              <w:jc w:val="right"/>
              <w:rPr>
                <w:rFonts w:ascii="Arial" w:hAnsi="Arial" w:cs="Arial"/>
                <w:color w:val="F0F4F6" w:themeColor="background1" w:themeTint="33"/>
                <w:sz w:val="20"/>
                <w:szCs w:val="20"/>
              </w:rPr>
            </w:pPr>
          </w:p>
        </w:tc>
      </w:tr>
      <w:tr w:rsidR="00C14493" w:rsidRPr="00130E20" w:rsidTr="00C14493">
        <w:trPr>
          <w:trHeight w:val="288"/>
        </w:trPr>
        <w:tc>
          <w:tcPr>
            <w:tcW w:w="2671" w:type="pct"/>
            <w:tcBorders>
              <w:top w:val="nil"/>
              <w:left w:val="nil"/>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No Urine Sample</w:t>
            </w:r>
          </w:p>
        </w:tc>
        <w:tc>
          <w:tcPr>
            <w:tcW w:w="379"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44</w:t>
            </w:r>
          </w:p>
        </w:tc>
        <w:tc>
          <w:tcPr>
            <w:tcW w:w="380"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21</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40</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51</w:t>
            </w:r>
          </w:p>
        </w:tc>
        <w:tc>
          <w:tcPr>
            <w:tcW w:w="382" w:type="pct"/>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46</w:t>
            </w:r>
          </w:p>
        </w:tc>
        <w:tc>
          <w:tcPr>
            <w:tcW w:w="424" w:type="pct"/>
            <w:gridSpan w:val="2"/>
            <w:tcBorders>
              <w:top w:val="nil"/>
              <w:left w:val="nil"/>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202</w:t>
            </w:r>
          </w:p>
        </w:tc>
      </w:tr>
      <w:tr w:rsidR="00C14493" w:rsidRPr="00130E20" w:rsidTr="00C14493">
        <w:trPr>
          <w:trHeight w:val="288"/>
        </w:trPr>
        <w:tc>
          <w:tcPr>
            <w:tcW w:w="2671" w:type="pct"/>
            <w:tcBorders>
              <w:top w:val="nil"/>
              <w:left w:val="nil"/>
              <w:bottom w:val="single" w:sz="8" w:space="0" w:color="auto"/>
              <w:right w:val="nil"/>
            </w:tcBorders>
            <w:noWrap/>
            <w:vAlign w:val="center"/>
          </w:tcPr>
          <w:p w:rsidR="00C14493" w:rsidRPr="00130E20" w:rsidRDefault="00C14493" w:rsidP="00C14493">
            <w:pPr>
              <w:pStyle w:val="NoSpacing"/>
              <w:rPr>
                <w:rFonts w:ascii="Arial" w:hAnsi="Arial" w:cs="Arial"/>
                <w:sz w:val="20"/>
                <w:szCs w:val="20"/>
              </w:rPr>
            </w:pPr>
            <w:r w:rsidRPr="00130E20">
              <w:rPr>
                <w:rFonts w:ascii="Arial" w:hAnsi="Arial" w:cs="Arial"/>
                <w:sz w:val="20"/>
                <w:szCs w:val="20"/>
              </w:rPr>
              <w:t>Provided Urine Sample</w:t>
            </w:r>
          </w:p>
        </w:tc>
        <w:tc>
          <w:tcPr>
            <w:tcW w:w="379" w:type="pct"/>
            <w:tcBorders>
              <w:top w:val="nil"/>
              <w:left w:val="nil"/>
              <w:bottom w:val="single" w:sz="8" w:space="0" w:color="auto"/>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323</w:t>
            </w:r>
          </w:p>
        </w:tc>
        <w:tc>
          <w:tcPr>
            <w:tcW w:w="380" w:type="pct"/>
            <w:tcBorders>
              <w:top w:val="nil"/>
              <w:left w:val="nil"/>
              <w:bottom w:val="single" w:sz="8" w:space="0" w:color="auto"/>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374</w:t>
            </w:r>
          </w:p>
        </w:tc>
        <w:tc>
          <w:tcPr>
            <w:tcW w:w="382" w:type="pct"/>
            <w:tcBorders>
              <w:top w:val="nil"/>
              <w:left w:val="nil"/>
              <w:bottom w:val="single" w:sz="8" w:space="0" w:color="auto"/>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324</w:t>
            </w:r>
          </w:p>
        </w:tc>
        <w:tc>
          <w:tcPr>
            <w:tcW w:w="382" w:type="pct"/>
            <w:tcBorders>
              <w:top w:val="nil"/>
              <w:left w:val="nil"/>
              <w:bottom w:val="single" w:sz="8" w:space="0" w:color="auto"/>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351</w:t>
            </w:r>
          </w:p>
        </w:tc>
        <w:tc>
          <w:tcPr>
            <w:tcW w:w="382" w:type="pct"/>
            <w:tcBorders>
              <w:top w:val="nil"/>
              <w:left w:val="nil"/>
              <w:bottom w:val="single" w:sz="8" w:space="0" w:color="auto"/>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364</w:t>
            </w:r>
          </w:p>
        </w:tc>
        <w:tc>
          <w:tcPr>
            <w:tcW w:w="424" w:type="pct"/>
            <w:gridSpan w:val="2"/>
            <w:tcBorders>
              <w:top w:val="nil"/>
              <w:left w:val="nil"/>
              <w:bottom w:val="single" w:sz="8" w:space="0" w:color="auto"/>
              <w:right w:val="nil"/>
            </w:tcBorders>
            <w:noWrap/>
            <w:vAlign w:val="center"/>
          </w:tcPr>
          <w:p w:rsidR="00C14493" w:rsidRPr="00130E20" w:rsidRDefault="00C14493" w:rsidP="00C14493">
            <w:pPr>
              <w:pStyle w:val="NoSpacing"/>
              <w:jc w:val="right"/>
              <w:rPr>
                <w:rFonts w:ascii="Arial" w:hAnsi="Arial" w:cs="Arial"/>
                <w:sz w:val="20"/>
                <w:szCs w:val="20"/>
              </w:rPr>
            </w:pPr>
            <w:r w:rsidRPr="00130E20">
              <w:rPr>
                <w:rFonts w:ascii="Arial" w:hAnsi="Arial" w:cs="Arial"/>
                <w:sz w:val="20"/>
                <w:szCs w:val="20"/>
              </w:rPr>
              <w:t>1,736</w:t>
            </w:r>
          </w:p>
        </w:tc>
      </w:tr>
    </w:tbl>
    <w:p w:rsidR="00C14493" w:rsidRDefault="00C14493" w:rsidP="00C14493"/>
    <w:p w:rsidR="00C14493" w:rsidRDefault="00B67662">
      <w:pPr>
        <w:spacing w:after="0" w:line="240" w:lineRule="auto"/>
      </w:pPr>
      <w:r>
        <w:t>Table 5</w:t>
      </w:r>
      <w:r w:rsidR="00C14493">
        <w:t xml:space="preserve"> indicates the factors that can </w:t>
      </w:r>
      <w:r w:rsidR="007A5EAB">
        <w:t>affect</w:t>
      </w:r>
      <w:r w:rsidR="00C14493">
        <w:t xml:space="preserve"> the response rates to the sur</w:t>
      </w:r>
      <w:r w:rsidR="003B46B7">
        <w:t>v</w:t>
      </w:r>
      <w:r w:rsidR="00C14493">
        <w:t xml:space="preserve">ey. </w:t>
      </w:r>
      <w:r w:rsidR="00C14493">
        <w:br w:type="page"/>
      </w:r>
    </w:p>
    <w:p w:rsidR="00C14493" w:rsidRDefault="00B67662" w:rsidP="00C14493">
      <w:pPr>
        <w:pStyle w:val="Caption"/>
      </w:pPr>
      <w:r>
        <w:lastRenderedPageBreak/>
        <w:t>Table 5</w:t>
      </w:r>
      <w:r w:rsidR="00C14493">
        <w:tab/>
      </w:r>
      <w:r w:rsidR="00C14493" w:rsidRPr="006E2799">
        <w:t>Characteristics of Response to the Survey</w:t>
      </w:r>
    </w:p>
    <w:tbl>
      <w:tblPr>
        <w:tblW w:w="8460" w:type="dxa"/>
        <w:tblInd w:w="115" w:type="dxa"/>
        <w:tblBorders>
          <w:top w:val="single" w:sz="4" w:space="0" w:color="666969"/>
          <w:bottom w:val="single" w:sz="4" w:space="0" w:color="666969"/>
          <w:insideH w:val="single" w:sz="4" w:space="0" w:color="666969"/>
          <w:insideV w:val="single" w:sz="4" w:space="0" w:color="666969"/>
        </w:tblBorders>
        <w:tblLayout w:type="fixed"/>
        <w:tblCellMar>
          <w:left w:w="115" w:type="dxa"/>
          <w:right w:w="115" w:type="dxa"/>
        </w:tblCellMar>
        <w:tblLook w:val="0000" w:firstRow="0" w:lastRow="0" w:firstColumn="0" w:lastColumn="0" w:noHBand="0" w:noVBand="0"/>
      </w:tblPr>
      <w:tblGrid>
        <w:gridCol w:w="2430"/>
        <w:gridCol w:w="1206"/>
        <w:gridCol w:w="1206"/>
        <w:gridCol w:w="1206"/>
        <w:gridCol w:w="1206"/>
        <w:gridCol w:w="1206"/>
      </w:tblGrid>
      <w:tr w:rsidR="00C14493" w:rsidRPr="006E2799" w:rsidTr="00C14493">
        <w:trPr>
          <w:trHeight w:val="288"/>
          <w:tblHeader/>
        </w:trPr>
        <w:tc>
          <w:tcPr>
            <w:tcW w:w="2430" w:type="dxa"/>
            <w:tcBorders>
              <w:bottom w:val="single" w:sz="4" w:space="0" w:color="666969"/>
            </w:tcBorders>
            <w:shd w:val="clear" w:color="auto" w:fill="C3C6A8" w:themeFill="accent4"/>
            <w:noWrap/>
            <w:vAlign w:val="center"/>
          </w:tcPr>
          <w:p w:rsidR="00C14493" w:rsidRPr="00ED06DB" w:rsidRDefault="00C14493" w:rsidP="00C14493">
            <w:pPr>
              <w:spacing w:after="0" w:line="240" w:lineRule="auto"/>
              <w:jc w:val="center"/>
              <w:rPr>
                <w:rFonts w:ascii="Arial Narrow" w:hAnsi="Arial Narrow"/>
                <w:b/>
                <w:sz w:val="20"/>
              </w:rPr>
            </w:pPr>
          </w:p>
        </w:tc>
        <w:tc>
          <w:tcPr>
            <w:tcW w:w="1206" w:type="dxa"/>
            <w:tcBorders>
              <w:bottom w:val="single" w:sz="4" w:space="0" w:color="666969"/>
            </w:tcBorders>
            <w:shd w:val="clear" w:color="auto" w:fill="C3C6A8" w:themeFill="accent4"/>
            <w:vAlign w:val="center"/>
          </w:tcPr>
          <w:p w:rsidR="00C14493" w:rsidRPr="006E2799" w:rsidRDefault="00C14493" w:rsidP="00C14493">
            <w:pPr>
              <w:spacing w:after="0" w:line="240" w:lineRule="auto"/>
              <w:jc w:val="center"/>
              <w:rPr>
                <w:rFonts w:ascii="Arial Narrow" w:hAnsi="Arial Narrow"/>
                <w:b/>
                <w:sz w:val="20"/>
              </w:rPr>
            </w:pPr>
            <w:r w:rsidRPr="006E2799">
              <w:rPr>
                <w:rFonts w:ascii="Arial Narrow" w:hAnsi="Arial Narrow"/>
                <w:b/>
                <w:sz w:val="20"/>
              </w:rPr>
              <w:t>Atlanta</w:t>
            </w:r>
          </w:p>
        </w:tc>
        <w:tc>
          <w:tcPr>
            <w:tcW w:w="1206" w:type="dxa"/>
            <w:tcBorders>
              <w:bottom w:val="single" w:sz="4" w:space="0" w:color="666969"/>
            </w:tcBorders>
            <w:shd w:val="clear" w:color="auto" w:fill="C3C6A8" w:themeFill="accent4"/>
            <w:noWrap/>
            <w:vAlign w:val="center"/>
          </w:tcPr>
          <w:p w:rsidR="00C14493" w:rsidRPr="006E2799" w:rsidRDefault="00C14493" w:rsidP="00C14493">
            <w:pPr>
              <w:spacing w:after="0" w:line="240" w:lineRule="auto"/>
              <w:jc w:val="center"/>
              <w:rPr>
                <w:rFonts w:ascii="Arial Narrow" w:hAnsi="Arial Narrow"/>
                <w:b/>
                <w:sz w:val="20"/>
              </w:rPr>
            </w:pPr>
            <w:r w:rsidRPr="006E2799">
              <w:rPr>
                <w:rFonts w:ascii="Arial Narrow" w:hAnsi="Arial Narrow"/>
                <w:b/>
                <w:sz w:val="20"/>
              </w:rPr>
              <w:t>Chicago</w:t>
            </w:r>
          </w:p>
        </w:tc>
        <w:tc>
          <w:tcPr>
            <w:tcW w:w="1206" w:type="dxa"/>
            <w:tcBorders>
              <w:bottom w:val="single" w:sz="4" w:space="0" w:color="666969"/>
            </w:tcBorders>
            <w:shd w:val="clear" w:color="auto" w:fill="C3C6A8" w:themeFill="accent4"/>
            <w:noWrap/>
            <w:vAlign w:val="center"/>
          </w:tcPr>
          <w:p w:rsidR="00C14493" w:rsidRPr="006E2799" w:rsidRDefault="00C14493" w:rsidP="00C14493">
            <w:pPr>
              <w:spacing w:after="0" w:line="240" w:lineRule="auto"/>
              <w:jc w:val="center"/>
              <w:rPr>
                <w:rFonts w:ascii="Arial Narrow" w:hAnsi="Arial Narrow"/>
                <w:b/>
                <w:sz w:val="20"/>
              </w:rPr>
            </w:pPr>
            <w:r w:rsidRPr="006E2799">
              <w:rPr>
                <w:rFonts w:ascii="Arial Narrow" w:hAnsi="Arial Narrow"/>
                <w:b/>
                <w:sz w:val="20"/>
              </w:rPr>
              <w:t>Denver</w:t>
            </w:r>
          </w:p>
        </w:tc>
        <w:tc>
          <w:tcPr>
            <w:tcW w:w="1206" w:type="dxa"/>
            <w:tcBorders>
              <w:bottom w:val="single" w:sz="4" w:space="0" w:color="666969"/>
            </w:tcBorders>
            <w:shd w:val="clear" w:color="auto" w:fill="C3C6A8" w:themeFill="accent4"/>
            <w:vAlign w:val="center"/>
          </w:tcPr>
          <w:p w:rsidR="00C14493" w:rsidRPr="006E2799" w:rsidRDefault="00C14493" w:rsidP="00C14493">
            <w:pPr>
              <w:spacing w:after="0" w:line="240" w:lineRule="auto"/>
              <w:jc w:val="center"/>
              <w:rPr>
                <w:rFonts w:ascii="Arial Narrow" w:hAnsi="Arial Narrow"/>
                <w:b/>
                <w:sz w:val="20"/>
              </w:rPr>
            </w:pPr>
            <w:r w:rsidRPr="006E2799">
              <w:rPr>
                <w:rFonts w:ascii="Arial Narrow" w:hAnsi="Arial Narrow"/>
                <w:b/>
                <w:sz w:val="20"/>
              </w:rPr>
              <w:t>New York</w:t>
            </w:r>
          </w:p>
        </w:tc>
        <w:tc>
          <w:tcPr>
            <w:tcW w:w="1206" w:type="dxa"/>
            <w:tcBorders>
              <w:bottom w:val="single" w:sz="4" w:space="0" w:color="666969"/>
            </w:tcBorders>
            <w:shd w:val="clear" w:color="auto" w:fill="C3C6A8" w:themeFill="accent4"/>
            <w:noWrap/>
            <w:vAlign w:val="center"/>
          </w:tcPr>
          <w:p w:rsidR="00C14493" w:rsidRPr="006E2799" w:rsidRDefault="00C14493" w:rsidP="00C14493">
            <w:pPr>
              <w:spacing w:after="0" w:line="240" w:lineRule="auto"/>
              <w:jc w:val="center"/>
              <w:rPr>
                <w:rFonts w:ascii="Arial Narrow" w:hAnsi="Arial Narrow"/>
                <w:b/>
                <w:sz w:val="20"/>
              </w:rPr>
            </w:pPr>
            <w:r w:rsidRPr="006E2799">
              <w:rPr>
                <w:rFonts w:ascii="Arial Narrow" w:hAnsi="Arial Narrow"/>
                <w:b/>
                <w:sz w:val="20"/>
              </w:rPr>
              <w:t>Sacramento</w:t>
            </w:r>
          </w:p>
        </w:tc>
      </w:tr>
      <w:tr w:rsidR="00C14493" w:rsidRPr="006E2799" w:rsidTr="00C14493">
        <w:trPr>
          <w:trHeight w:val="288"/>
        </w:trPr>
        <w:tc>
          <w:tcPr>
            <w:tcW w:w="2430" w:type="dxa"/>
            <w:tcBorders>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Day of Week</w:t>
            </w:r>
          </w:p>
        </w:tc>
        <w:tc>
          <w:tcPr>
            <w:tcW w:w="1206" w:type="dxa"/>
            <w:tcBorders>
              <w:left w:val="nil"/>
              <w:right w:val="nil"/>
            </w:tcBorders>
            <w:shd w:val="clear" w:color="auto" w:fill="898D8D"/>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 </w:t>
            </w: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 </w:t>
            </w: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 </w:t>
            </w: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 </w:t>
            </w:r>
          </w:p>
        </w:tc>
        <w:tc>
          <w:tcPr>
            <w:tcW w:w="1206" w:type="dxa"/>
            <w:tcBorders>
              <w:lef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 </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Monday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65%</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Tuesday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69%</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Wednesday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66%</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Thursday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71%</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Friday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73%</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Saturday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70%</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Sunday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55%</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Total N (non-missing)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527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430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1056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618</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Chi-Square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8.47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3.60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2.95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18.10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9.85</w:t>
            </w:r>
          </w:p>
        </w:tc>
      </w:tr>
      <w:tr w:rsidR="00C14493" w:rsidRPr="006E2799" w:rsidTr="00C14493">
        <w:trPr>
          <w:trHeight w:val="288"/>
        </w:trPr>
        <w:tc>
          <w:tcPr>
            <w:tcW w:w="2430" w:type="dxa"/>
            <w:tcBorders>
              <w:bottom w:val="single" w:sz="4" w:space="0" w:color="666969"/>
            </w:tcBorders>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p-value</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0.206</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0.730</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0.815</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0.006</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0.131</w:t>
            </w:r>
          </w:p>
        </w:tc>
      </w:tr>
      <w:tr w:rsidR="00C14493" w:rsidRPr="006E2799" w:rsidTr="00C14493">
        <w:trPr>
          <w:trHeight w:val="288"/>
        </w:trPr>
        <w:tc>
          <w:tcPr>
            <w:tcW w:w="2430" w:type="dxa"/>
            <w:tcBorders>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Booking Time</w:t>
            </w:r>
          </w:p>
        </w:tc>
        <w:tc>
          <w:tcPr>
            <w:tcW w:w="1206" w:type="dxa"/>
            <w:tcBorders>
              <w:left w:val="nil"/>
              <w:right w:val="nil"/>
            </w:tcBorders>
            <w:shd w:val="clear" w:color="auto" w:fill="898D8D"/>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12:00am-8:59am</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50%</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9:00am-3:59pm</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70%</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4:00pm-11:59pm</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85%</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Total N (non-missing)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525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132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1054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618</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Chi-Square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64.09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4.35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4.93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244.34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65.24</w:t>
            </w:r>
          </w:p>
        </w:tc>
      </w:tr>
      <w:tr w:rsidR="00C14493" w:rsidRPr="006E2799" w:rsidTr="00C14493">
        <w:trPr>
          <w:trHeight w:val="288"/>
        </w:trPr>
        <w:tc>
          <w:tcPr>
            <w:tcW w:w="2430" w:type="dxa"/>
            <w:tcBorders>
              <w:bottom w:val="single" w:sz="4" w:space="0" w:color="666969"/>
            </w:tcBorders>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p-value</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0.114</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0.085</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r>
      <w:tr w:rsidR="00C14493" w:rsidRPr="006E2799" w:rsidTr="00C14493">
        <w:trPr>
          <w:trHeight w:val="288"/>
        </w:trPr>
        <w:tc>
          <w:tcPr>
            <w:tcW w:w="2430" w:type="dxa"/>
            <w:tcBorders>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Sample Type</w:t>
            </w:r>
          </w:p>
        </w:tc>
        <w:tc>
          <w:tcPr>
            <w:tcW w:w="1206" w:type="dxa"/>
            <w:tcBorders>
              <w:left w:val="nil"/>
              <w:right w:val="nil"/>
            </w:tcBorders>
            <w:shd w:val="clear" w:color="auto" w:fill="898D8D"/>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Stock</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n/a</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56%</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Flow</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85%</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Total N (non-missing)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527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430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1054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618</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Chi-Square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19.72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n/a</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5.47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289.22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52.36</w:t>
            </w:r>
          </w:p>
        </w:tc>
      </w:tr>
      <w:tr w:rsidR="00C14493" w:rsidRPr="006E2799" w:rsidTr="00C14493">
        <w:trPr>
          <w:trHeight w:val="288"/>
        </w:trPr>
        <w:tc>
          <w:tcPr>
            <w:tcW w:w="2430" w:type="dxa"/>
            <w:tcBorders>
              <w:bottom w:val="single" w:sz="4" w:space="0" w:color="666969"/>
            </w:tcBorders>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p-value</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n/a</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0.019</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r>
      <w:tr w:rsidR="00C14493" w:rsidRPr="006E2799" w:rsidTr="00C14493">
        <w:trPr>
          <w:trHeight w:val="288"/>
        </w:trPr>
        <w:tc>
          <w:tcPr>
            <w:tcW w:w="2430" w:type="dxa"/>
            <w:tcBorders>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Age</w:t>
            </w:r>
          </w:p>
        </w:tc>
        <w:tc>
          <w:tcPr>
            <w:tcW w:w="1206" w:type="dxa"/>
            <w:tcBorders>
              <w:left w:val="nil"/>
              <w:right w:val="nil"/>
            </w:tcBorders>
            <w:shd w:val="clear" w:color="auto" w:fill="898D8D"/>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18-23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69%</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24-29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60%</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30-35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36-44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69%</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45+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74%</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Total N (non-missing)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524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429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1054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612</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Chi-Square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5.30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1.32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5.38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8.51</w:t>
            </w:r>
          </w:p>
        </w:tc>
      </w:tr>
      <w:tr w:rsidR="00C14493" w:rsidRPr="006E2799" w:rsidTr="00C14493">
        <w:trPr>
          <w:trHeight w:val="288"/>
        </w:trPr>
        <w:tc>
          <w:tcPr>
            <w:tcW w:w="2430" w:type="dxa"/>
            <w:tcBorders>
              <w:bottom w:val="single" w:sz="4" w:space="0" w:color="666969"/>
            </w:tcBorders>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p-value</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0.999</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0.258</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0.859</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0.250</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0.075</w:t>
            </w:r>
          </w:p>
        </w:tc>
      </w:tr>
      <w:tr w:rsidR="00C14493" w:rsidRPr="006E2799" w:rsidTr="00C14493">
        <w:trPr>
          <w:trHeight w:val="288"/>
        </w:trPr>
        <w:tc>
          <w:tcPr>
            <w:tcW w:w="2430" w:type="dxa"/>
            <w:tcBorders>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Race</w:t>
            </w:r>
          </w:p>
        </w:tc>
        <w:tc>
          <w:tcPr>
            <w:tcW w:w="1206" w:type="dxa"/>
            <w:tcBorders>
              <w:left w:val="nil"/>
              <w:right w:val="nil"/>
            </w:tcBorders>
            <w:shd w:val="clear" w:color="auto" w:fill="898D8D"/>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Black</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74%</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Hispanic</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66%</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White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Other</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65%</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Total N (non-missing)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528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430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1056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618</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Chi-Square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10.66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0.97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5.00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13.75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7.96</w:t>
            </w:r>
          </w:p>
        </w:tc>
      </w:tr>
      <w:tr w:rsidR="00C14493" w:rsidRPr="006E2799" w:rsidTr="00C14493">
        <w:trPr>
          <w:trHeight w:val="288"/>
        </w:trPr>
        <w:tc>
          <w:tcPr>
            <w:tcW w:w="2430" w:type="dxa"/>
            <w:tcBorders>
              <w:bottom w:val="single" w:sz="4" w:space="0" w:color="666969"/>
            </w:tcBorders>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p-value</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0.014</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0.615</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0.172</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0.003</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0.047</w:t>
            </w:r>
          </w:p>
        </w:tc>
      </w:tr>
      <w:tr w:rsidR="00C14493" w:rsidRPr="006E2799" w:rsidTr="00C14493">
        <w:trPr>
          <w:trHeight w:val="288"/>
        </w:trPr>
        <w:tc>
          <w:tcPr>
            <w:tcW w:w="2430" w:type="dxa"/>
            <w:tcBorders>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lastRenderedPageBreak/>
              <w:t>Top Severity</w:t>
            </w:r>
          </w:p>
        </w:tc>
        <w:tc>
          <w:tcPr>
            <w:tcW w:w="1206" w:type="dxa"/>
            <w:tcBorders>
              <w:left w:val="nil"/>
              <w:right w:val="nil"/>
            </w:tcBorders>
            <w:shd w:val="clear" w:color="auto" w:fill="898D8D"/>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Felony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80%</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Misdemeanor</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39%</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Other</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Total N (non-missing)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528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430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1056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618</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Chi-Square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15.24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2.70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12.15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1.90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102.52</w:t>
            </w:r>
          </w:p>
        </w:tc>
      </w:tr>
      <w:tr w:rsidR="00C14493" w:rsidRPr="006E2799" w:rsidTr="00C14493">
        <w:trPr>
          <w:trHeight w:val="288"/>
        </w:trPr>
        <w:tc>
          <w:tcPr>
            <w:tcW w:w="2430" w:type="dxa"/>
            <w:tcBorders>
              <w:bottom w:val="single" w:sz="4" w:space="0" w:color="666969"/>
            </w:tcBorders>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p-value</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0.259</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0.002</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0.388</w:t>
            </w:r>
          </w:p>
        </w:tc>
        <w:tc>
          <w:tcPr>
            <w:tcW w:w="1206" w:type="dxa"/>
            <w:tcBorders>
              <w:bottom w:val="single" w:sz="4" w:space="0" w:color="666969"/>
            </w:tcBorders>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r>
      <w:tr w:rsidR="00C14493" w:rsidRPr="006E2799" w:rsidTr="00C14493">
        <w:trPr>
          <w:trHeight w:val="288"/>
        </w:trPr>
        <w:tc>
          <w:tcPr>
            <w:tcW w:w="2430" w:type="dxa"/>
            <w:tcBorders>
              <w:right w:val="nil"/>
            </w:tcBorders>
            <w:shd w:val="clear" w:color="auto" w:fill="898D8D"/>
            <w:noWrap/>
            <w:vAlign w:val="center"/>
          </w:tcPr>
          <w:p w:rsidR="00C14493" w:rsidRPr="006E2799" w:rsidRDefault="00C14493" w:rsidP="00C14493">
            <w:pPr>
              <w:spacing w:after="0" w:line="240" w:lineRule="auto"/>
              <w:rPr>
                <w:rFonts w:ascii="Arial Narrow" w:hAnsi="Arial Narrow"/>
                <w:b/>
                <w:color w:val="FFFFFF"/>
                <w:sz w:val="20"/>
              </w:rPr>
            </w:pPr>
            <w:r w:rsidRPr="006E2799">
              <w:rPr>
                <w:rFonts w:ascii="Arial Narrow" w:hAnsi="Arial Narrow"/>
                <w:b/>
                <w:color w:val="FFFFFF"/>
                <w:sz w:val="20"/>
              </w:rPr>
              <w:t>Top Charge Type</w:t>
            </w:r>
          </w:p>
        </w:tc>
        <w:tc>
          <w:tcPr>
            <w:tcW w:w="1206" w:type="dxa"/>
            <w:tcBorders>
              <w:left w:val="nil"/>
              <w:right w:val="nil"/>
            </w:tcBorders>
            <w:shd w:val="clear" w:color="auto" w:fill="898D8D"/>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righ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c>
          <w:tcPr>
            <w:tcW w:w="1206" w:type="dxa"/>
            <w:tcBorders>
              <w:left w:val="nil"/>
            </w:tcBorders>
            <w:shd w:val="clear" w:color="auto" w:fill="898D8D"/>
            <w:noWrap/>
            <w:vAlign w:val="center"/>
          </w:tcPr>
          <w:p w:rsidR="00C14493" w:rsidRPr="006E2799" w:rsidRDefault="00C14493" w:rsidP="00C14493">
            <w:pPr>
              <w:spacing w:after="0" w:line="240" w:lineRule="auto"/>
              <w:jc w:val="center"/>
              <w:rPr>
                <w:rFonts w:ascii="Arial Narrow" w:hAnsi="Arial Narrow"/>
                <w:b/>
                <w:color w:val="FFFFFF"/>
                <w:sz w:val="20"/>
              </w:rPr>
            </w:pP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Violent</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82%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78%</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Drug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51%</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Property</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44%</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72%</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Other</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67%</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73%</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Total N (non-missing)</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519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419</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593</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1028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606</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Chi-Square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15.40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2.08</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6.11</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9.60</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37.26</w:t>
            </w:r>
          </w:p>
        </w:tc>
      </w:tr>
      <w:tr w:rsidR="00C14493" w:rsidRPr="006E2799" w:rsidTr="00C14493">
        <w:trPr>
          <w:trHeight w:val="288"/>
        </w:trPr>
        <w:tc>
          <w:tcPr>
            <w:tcW w:w="2430" w:type="dxa"/>
            <w:noWrap/>
            <w:vAlign w:val="center"/>
          </w:tcPr>
          <w:p w:rsidR="00C14493" w:rsidRPr="006E2799" w:rsidRDefault="00C14493" w:rsidP="00C14493">
            <w:pPr>
              <w:spacing w:after="0" w:line="240" w:lineRule="auto"/>
              <w:rPr>
                <w:rFonts w:ascii="Arial Narrow" w:hAnsi="Arial Narrow"/>
                <w:sz w:val="20"/>
              </w:rPr>
            </w:pPr>
            <w:r w:rsidRPr="006E2799">
              <w:rPr>
                <w:rFonts w:ascii="Arial Narrow" w:hAnsi="Arial Narrow"/>
                <w:sz w:val="20"/>
              </w:rPr>
              <w:t>p-value</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0.002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0.555</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0.106</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0.022</w:t>
            </w:r>
          </w:p>
        </w:tc>
        <w:tc>
          <w:tcPr>
            <w:tcW w:w="1206" w:type="dxa"/>
            <w:noWrap/>
            <w:vAlign w:val="center"/>
          </w:tcPr>
          <w:p w:rsidR="00C14493" w:rsidRPr="006E2799" w:rsidRDefault="00C14493" w:rsidP="00C14493">
            <w:pPr>
              <w:spacing w:after="0" w:line="240" w:lineRule="auto"/>
              <w:jc w:val="center"/>
              <w:rPr>
                <w:rFonts w:ascii="Arial Narrow" w:hAnsi="Arial Narrow"/>
                <w:sz w:val="20"/>
              </w:rPr>
            </w:pPr>
            <w:r w:rsidRPr="006E2799">
              <w:rPr>
                <w:rFonts w:ascii="Arial Narrow" w:hAnsi="Arial Narrow"/>
                <w:sz w:val="20"/>
              </w:rPr>
              <w:t>&lt;0.001</w:t>
            </w:r>
          </w:p>
        </w:tc>
      </w:tr>
    </w:tbl>
    <w:p w:rsidR="00EE68B0" w:rsidRDefault="00EE68B0" w:rsidP="00EE68B0"/>
    <w:p w:rsidR="00EE68B0" w:rsidRPr="007138BC" w:rsidRDefault="00EE68B0" w:rsidP="00EE68B0">
      <w:pPr>
        <w:rPr>
          <w:rFonts w:cs="Calibri"/>
        </w:rPr>
      </w:pPr>
      <w:r w:rsidRPr="007138BC">
        <w:rPr>
          <w:rFonts w:cs="Calibri"/>
          <w:color w:val="333333"/>
          <w:lang w:val="en"/>
        </w:rPr>
        <w:t>Low response rates are often linked to worries about low data quality, but it is the bias that non</w:t>
      </w:r>
      <w:r>
        <w:rPr>
          <w:rFonts w:cs="Calibri"/>
          <w:color w:val="333333"/>
          <w:lang w:val="en"/>
        </w:rPr>
        <w:t>-</w:t>
      </w:r>
      <w:r w:rsidRPr="007138BC">
        <w:rPr>
          <w:rFonts w:cs="Calibri"/>
          <w:color w:val="333333"/>
          <w:lang w:val="en"/>
        </w:rPr>
        <w:t xml:space="preserve"> response can introduce </w:t>
      </w:r>
      <w:r w:rsidRPr="007138BC">
        <w:rPr>
          <w:rFonts w:cs="Calibri"/>
          <w:b/>
          <w:color w:val="333333"/>
          <w:lang w:val="en"/>
        </w:rPr>
        <w:t>—</w:t>
      </w:r>
      <w:r w:rsidRPr="007138BC">
        <w:rPr>
          <w:rFonts w:cs="Calibri"/>
          <w:color w:val="333333"/>
          <w:lang w:val="en"/>
        </w:rPr>
        <w:t xml:space="preserve">which is independent of response rate—that is the concern for considerations about the quality of the data.  ADAM II analysts are also concerned with the issue of non-response as it relates to bias. </w:t>
      </w:r>
      <w:r w:rsidRPr="007138BC">
        <w:rPr>
          <w:rFonts w:cs="Calibri"/>
        </w:rPr>
        <w:t xml:space="preserve"> This is why we take critical diagnostic steps to determine bias due to non-response and incorporate the information gained from those steps into our weighting scheme.  </w:t>
      </w:r>
    </w:p>
    <w:p w:rsidR="00EE68B0" w:rsidRPr="007138BC" w:rsidRDefault="00EE68B0" w:rsidP="00EE68B0">
      <w:pPr>
        <w:rPr>
          <w:rFonts w:cs="Calibri"/>
        </w:rPr>
      </w:pPr>
      <w:r w:rsidRPr="007138BC">
        <w:rPr>
          <w:rFonts w:cs="Calibri"/>
        </w:rPr>
        <w:t xml:space="preserve">We have a distinct advantage in dealing with non-response bias in ADAM II in that we can utilize two rich sources of data on persons who are sampled and not available, those sampled and refuse and those in the universe of all arrested and booked during the data collection periods: 1) the official booking sheets on all arrestees and, 2) each sites’ data on all persons arrested in the time period in which we are collecting data (the census data). Data from the booking sheets on each sampled arrestee are recorded on the study facesheet and include arrest date and time, arresting agency and arrest location, arrestee birthdate, </w:t>
      </w:r>
      <w:r>
        <w:rPr>
          <w:rFonts w:cs="Calibri"/>
        </w:rPr>
        <w:t>race/ethnicity</w:t>
      </w:r>
      <w:r w:rsidRPr="007138BC">
        <w:rPr>
          <w:rFonts w:cs="Calibri"/>
        </w:rPr>
        <w:t>, three most serious charges, and booking date and time. Interviewers also record on this sheet the status of the interview (agreed, declined) and the reason for non-response  (did not want  to, taken to court, released, transferred, in medical unit, violent or uncontrolled behavior, physically ill, language diffic</w:t>
      </w:r>
      <w:r>
        <w:rPr>
          <w:rFonts w:cs="Calibri"/>
        </w:rPr>
        <w:t>ulty, other). The census data (</w:t>
      </w:r>
      <w:r w:rsidRPr="007138BC">
        <w:rPr>
          <w:rFonts w:cs="Calibri"/>
        </w:rPr>
        <w:t>an electronic record of all males booked on the data collection days with the same data as found on the booking sheet) includes all but the reason for non-response data cited above, allowing a direct comparison of observables on who , once sampled, was interviewed.</w:t>
      </w:r>
    </w:p>
    <w:p w:rsidR="00EE68B0" w:rsidRPr="007138BC" w:rsidRDefault="00EE68B0" w:rsidP="00EE68B0">
      <w:pPr>
        <w:rPr>
          <w:rFonts w:cs="Calibri"/>
        </w:rPr>
      </w:pPr>
      <w:r w:rsidRPr="007138BC">
        <w:rPr>
          <w:rFonts w:cs="Calibri"/>
        </w:rPr>
        <w:t xml:space="preserve">Using these data sources, we take three steps in adjusting for potential bias in the sample due to non-response: </w:t>
      </w:r>
    </w:p>
    <w:p w:rsidR="00EE68B0" w:rsidRPr="007138BC" w:rsidRDefault="00EE68B0" w:rsidP="00EE68B0">
      <w:pPr>
        <w:numPr>
          <w:ilvl w:val="0"/>
          <w:numId w:val="50"/>
        </w:numPr>
        <w:spacing w:after="200" w:line="276" w:lineRule="auto"/>
        <w:rPr>
          <w:rFonts w:cs="Calibri"/>
        </w:rPr>
      </w:pPr>
      <w:r w:rsidRPr="007138BC">
        <w:rPr>
          <w:rFonts w:cs="Calibri"/>
        </w:rPr>
        <w:t>Diagnostic analyses to determine the source of  non-response, using data on all arrested (census data) and all sampled (booking data and reason for non-response recorded on facesheets)</w:t>
      </w:r>
    </w:p>
    <w:p w:rsidR="00EE68B0" w:rsidRPr="007138BC" w:rsidRDefault="00EE68B0" w:rsidP="00EE68B0">
      <w:pPr>
        <w:numPr>
          <w:ilvl w:val="0"/>
          <w:numId w:val="50"/>
        </w:numPr>
        <w:spacing w:after="200" w:line="276" w:lineRule="auto"/>
        <w:rPr>
          <w:rFonts w:cs="Calibri"/>
        </w:rPr>
      </w:pPr>
      <w:r w:rsidRPr="007138BC">
        <w:rPr>
          <w:rFonts w:cs="Calibri"/>
        </w:rPr>
        <w:lastRenderedPageBreak/>
        <w:t xml:space="preserve">Based on diagnostic analysis results, adjusting bias through weighting with propensity scores </w:t>
      </w:r>
    </w:p>
    <w:p w:rsidR="00EE68B0" w:rsidRPr="007138BC" w:rsidRDefault="00EE68B0" w:rsidP="00EE68B0">
      <w:pPr>
        <w:numPr>
          <w:ilvl w:val="0"/>
          <w:numId w:val="50"/>
        </w:numPr>
        <w:spacing w:after="200" w:line="276" w:lineRule="auto"/>
        <w:rPr>
          <w:rFonts w:cs="Calibri"/>
        </w:rPr>
      </w:pPr>
      <w:r w:rsidRPr="007138BC">
        <w:rPr>
          <w:rFonts w:cs="Calibri"/>
        </w:rPr>
        <w:t>Adjusting bias related to non-response to urine test  (missing urine test data)through data imputation</w:t>
      </w:r>
    </w:p>
    <w:p w:rsidR="00EE68B0" w:rsidRPr="007138BC" w:rsidRDefault="00EE68B0" w:rsidP="00EE68B0">
      <w:pPr>
        <w:rPr>
          <w:rFonts w:cs="Calibri"/>
          <w:b/>
        </w:rPr>
      </w:pPr>
    </w:p>
    <w:p w:rsidR="00EE68B0" w:rsidRPr="007138BC" w:rsidRDefault="00EE68B0" w:rsidP="00EE68B0">
      <w:pPr>
        <w:rPr>
          <w:rFonts w:cs="Calibri"/>
        </w:rPr>
      </w:pPr>
      <w:r w:rsidRPr="007138BC">
        <w:rPr>
          <w:rFonts w:cs="Calibri"/>
          <w:b/>
        </w:rPr>
        <w:t>Diagnostic analysis to determine the source of non-response</w:t>
      </w:r>
      <w:r w:rsidRPr="007138BC">
        <w:rPr>
          <w:rFonts w:cs="Calibri"/>
        </w:rPr>
        <w:t xml:space="preserve">. </w:t>
      </w:r>
    </w:p>
    <w:p w:rsidR="00EE68B0" w:rsidRPr="0038607F" w:rsidRDefault="00EE68B0" w:rsidP="00EE68B0">
      <w:pPr>
        <w:rPr>
          <w:rFonts w:cs="Calibri"/>
        </w:rPr>
      </w:pPr>
      <w:r w:rsidRPr="007138BC">
        <w:rPr>
          <w:rFonts w:cs="Calibri"/>
        </w:rPr>
        <w:t xml:space="preserve">For each year and each site in the ADAM II sample, we look for statistically-significant correlates of non-response with characteristics we are able to observe on all sampled cases and available in what we term </w:t>
      </w:r>
      <w:r w:rsidRPr="007138BC">
        <w:rPr>
          <w:rFonts w:cs="Calibri"/>
          <w:i/>
        </w:rPr>
        <w:t>the census data</w:t>
      </w:r>
      <w:r w:rsidRPr="007138BC">
        <w:rPr>
          <w:rFonts w:cs="Calibri"/>
        </w:rPr>
        <w:t>.  The census data are data available on all arrests occurring in each site on all days on which data collection occurred for ADAM</w:t>
      </w:r>
      <w:r>
        <w:rPr>
          <w:rFonts w:cs="Calibri"/>
        </w:rPr>
        <w:t xml:space="preserve"> II</w:t>
      </w:r>
      <w:r w:rsidRPr="007138BC">
        <w:rPr>
          <w:rFonts w:cs="Calibri"/>
        </w:rPr>
        <w:t xml:space="preserve">.  The comparison of ADAM </w:t>
      </w:r>
      <w:r>
        <w:rPr>
          <w:rFonts w:cs="Calibri"/>
        </w:rPr>
        <w:t xml:space="preserve">II </w:t>
      </w:r>
      <w:r w:rsidRPr="007138BC">
        <w:rPr>
          <w:rFonts w:cs="Calibri"/>
        </w:rPr>
        <w:t>facesheet data and the census data allow a direct examination of the representativeness of the final ADAM</w:t>
      </w:r>
      <w:r>
        <w:rPr>
          <w:rFonts w:cs="Calibri"/>
        </w:rPr>
        <w:t xml:space="preserve"> II </w:t>
      </w:r>
      <w:r w:rsidRPr="007138BC">
        <w:rPr>
          <w:rFonts w:cs="Calibri"/>
        </w:rPr>
        <w:t>interview cases.  We use these data to create the variables linked to the probability of selection (booking day and time,</w:t>
      </w:r>
      <w:r w:rsidRPr="007138BC">
        <w:rPr>
          <w:rStyle w:val="FootnoteReference"/>
          <w:rFonts w:cs="Calibri"/>
        </w:rPr>
        <w:footnoteReference w:id="6"/>
      </w:r>
      <w:r w:rsidRPr="007138BC">
        <w:rPr>
          <w:rFonts w:cs="Calibri"/>
        </w:rPr>
        <w:t xml:space="preserve"> the booking charge and severity, the age of respondent, sample type [stock or flow] and the </w:t>
      </w:r>
      <w:r>
        <w:rPr>
          <w:rFonts w:cs="Calibri"/>
        </w:rPr>
        <w:t>race/ethnicity</w:t>
      </w:r>
      <w:r w:rsidRPr="007138BC">
        <w:rPr>
          <w:rFonts w:cs="Calibri"/>
        </w:rPr>
        <w:t xml:space="preserve"> of the respondent), the stratifying variables that  are the basis of  the propensity scor</w:t>
      </w:r>
      <w:r w:rsidRPr="0038607F">
        <w:rPr>
          <w:rFonts w:cs="Calibri"/>
        </w:rPr>
        <w:t xml:space="preserve">e weights. </w:t>
      </w:r>
    </w:p>
    <w:p w:rsidR="00EE68B0" w:rsidRPr="00C14493" w:rsidRDefault="00EE68B0" w:rsidP="00EE68B0">
      <w:pPr>
        <w:rPr>
          <w:rFonts w:cs="Calibri"/>
        </w:rPr>
      </w:pPr>
      <w:r w:rsidRPr="0038607F">
        <w:rPr>
          <w:rFonts w:cs="Calibri"/>
        </w:rPr>
        <w:t>Not every arrestee sampled answers a survey, but facesheet information is collected on all sampled cases</w:t>
      </w:r>
      <w:r>
        <w:rPr>
          <w:rFonts w:cs="Calibri"/>
        </w:rPr>
        <w:t xml:space="preserve"> and </w:t>
      </w:r>
      <w:r w:rsidRPr="0038607F">
        <w:rPr>
          <w:rFonts w:cs="Calibri"/>
        </w:rPr>
        <w:t>includes the reasons arrestees do not respon</w:t>
      </w:r>
      <w:r w:rsidR="0069211A">
        <w:rPr>
          <w:rFonts w:cs="Calibri"/>
        </w:rPr>
        <w:t xml:space="preserve">d to the interview.  As Table </w:t>
      </w:r>
      <w:r w:rsidRPr="0038607F">
        <w:rPr>
          <w:rFonts w:cs="Calibri"/>
        </w:rPr>
        <w:t>3 shows, for 2012 the overwhelming numbers of arrestees who are eligible, but were not interviewed, were those not physically available to be interview</w:t>
      </w:r>
      <w:r>
        <w:rPr>
          <w:rFonts w:cs="Calibri"/>
        </w:rPr>
        <w:t>ed</w:t>
      </w:r>
      <w:r w:rsidRPr="0038607F">
        <w:rPr>
          <w:rFonts w:cs="Calibri"/>
        </w:rPr>
        <w:t xml:space="preserve">. Most frequently, this was due to early release, taken to court or transferred out (30% of those sampled).  </w:t>
      </w:r>
      <w:r>
        <w:rPr>
          <w:rFonts w:cs="Calibri"/>
        </w:rPr>
        <w:t>In Chicago in 2012, there were</w:t>
      </w:r>
      <w:r w:rsidRPr="0038607F">
        <w:rPr>
          <w:rFonts w:cs="Calibri"/>
        </w:rPr>
        <w:t xml:space="preserve"> very few unavailable arrestees and most of these were physically ill.</w:t>
      </w:r>
      <w:r>
        <w:rPr>
          <w:rFonts w:cs="Calibri"/>
        </w:rPr>
        <w:t xml:space="preserve"> </w:t>
      </w:r>
      <w:r w:rsidRPr="00C14493">
        <w:rPr>
          <w:rFonts w:cs="Calibri"/>
        </w:rPr>
        <w:t>The examination of differences between those interviewed and those not interviewed (both through refusal and non-availability) form the basis of the ADAM II propensity scores (discussed below).</w:t>
      </w:r>
    </w:p>
    <w:p w:rsidR="00EE68B0" w:rsidRPr="0038607F" w:rsidRDefault="00EE68B0" w:rsidP="00EE68B0">
      <w:pPr>
        <w:rPr>
          <w:rFonts w:cs="Calibri"/>
        </w:rPr>
      </w:pPr>
      <w:r>
        <w:t xml:space="preserve"> </w:t>
      </w:r>
      <w:r w:rsidRPr="0038607F">
        <w:rPr>
          <w:rFonts w:cs="Calibri"/>
        </w:rPr>
        <w:t xml:space="preserve">For eligible arrestees </w:t>
      </w:r>
      <w:r w:rsidRPr="0038607F">
        <w:rPr>
          <w:rFonts w:cs="Calibri"/>
          <w:i/>
        </w:rPr>
        <w:t>physically in the facility at the time of interview</w:t>
      </w:r>
      <w:r w:rsidRPr="0038607F">
        <w:rPr>
          <w:rFonts w:cs="Calibri"/>
        </w:rPr>
        <w:t>, in every site the most frequent reason for non-response is the arrestee not wanting to participate.  Of the 3229 arrestees eligible and sampled, 2107 arrestees were available to be interviewed; of those available, 7% (152) did not want to participate. Because we use Spanish speaking interviewers in all sites, there were few refusals due to language difficulties – only 5 across all 5 sites.</w:t>
      </w:r>
    </w:p>
    <w:p w:rsidR="00EE68B0" w:rsidRPr="0038607F" w:rsidRDefault="00EE68B0" w:rsidP="00EE68B0">
      <w:pPr>
        <w:rPr>
          <w:rFonts w:cs="Calibri"/>
        </w:rPr>
      </w:pPr>
      <w:r w:rsidRPr="0038607F">
        <w:rPr>
          <w:rFonts w:cs="Calibri"/>
        </w:rPr>
        <w:t>We examine each year for each site potential sources of bias due to differences in response rates among subpopulations of t</w:t>
      </w:r>
      <w:r w:rsidR="0069211A">
        <w:rPr>
          <w:rFonts w:cs="Calibri"/>
        </w:rPr>
        <w:t xml:space="preserve">he eligible arrestees. </w:t>
      </w:r>
      <w:r w:rsidRPr="0038607F">
        <w:rPr>
          <w:rFonts w:cs="Calibri"/>
        </w:rPr>
        <w:t>For each of the stratifying va</w:t>
      </w:r>
      <w:r w:rsidR="0069211A">
        <w:rPr>
          <w:rFonts w:cs="Calibri"/>
        </w:rPr>
        <w:t xml:space="preserve">riables described above, Tables </w:t>
      </w:r>
      <w:r w:rsidR="00B67662">
        <w:rPr>
          <w:rFonts w:cs="Calibri"/>
        </w:rPr>
        <w:t>5</w:t>
      </w:r>
      <w:r w:rsidRPr="0038607F">
        <w:rPr>
          <w:rFonts w:cs="Calibri"/>
        </w:rPr>
        <w:t xml:space="preserve"> reports the number of facesheets with non-missing values for the set of stratifying variables, the percentage of arrestees among the subpopulations with facesheets that</w:t>
      </w:r>
      <w:r>
        <w:rPr>
          <w:rFonts w:cs="Calibri"/>
        </w:rPr>
        <w:t xml:space="preserve"> agree to the interview, and a</w:t>
      </w:r>
      <w:r w:rsidRPr="0038607F">
        <w:rPr>
          <w:rFonts w:cs="Calibri"/>
        </w:rPr>
        <w:t xml:space="preserve"> </w:t>
      </w:r>
      <w:r>
        <w:rPr>
          <w:rFonts w:cs="Calibri"/>
        </w:rPr>
        <w:t xml:space="preserve">Chi-square </w:t>
      </w:r>
      <w:r w:rsidRPr="0038607F">
        <w:rPr>
          <w:rFonts w:cs="Calibri"/>
        </w:rPr>
        <w:t>test of significance that assesses whether the response percentages are statistically different across the subpopulations.  We consider a difference statistically significant if its p-value is less than or equal to 0.05.</w:t>
      </w:r>
    </w:p>
    <w:p w:rsidR="00EE68B0" w:rsidRPr="0038607F" w:rsidRDefault="00EE68B0" w:rsidP="00EE68B0">
      <w:pPr>
        <w:rPr>
          <w:rFonts w:cs="Calibri"/>
        </w:rPr>
      </w:pPr>
      <w:r>
        <w:rPr>
          <w:rFonts w:cs="Calibri"/>
        </w:rPr>
        <w:t>For example, f</w:t>
      </w:r>
      <w:r w:rsidRPr="0038607F">
        <w:rPr>
          <w:rFonts w:cs="Calibri"/>
        </w:rPr>
        <w:t xml:space="preserve">or eligible arrestees in Atlanta, New York, and Sacramento, the </w:t>
      </w:r>
      <w:r w:rsidRPr="0038607F">
        <w:rPr>
          <w:rFonts w:cs="Calibri"/>
          <w:i/>
        </w:rPr>
        <w:t>time when an arrestee is booked</w:t>
      </w:r>
      <w:r w:rsidRPr="0038607F">
        <w:rPr>
          <w:rFonts w:cs="Calibri"/>
        </w:rPr>
        <w:t xml:space="preserve">   differentiates respondents from non-respondents.  In all three sites arrestees booked earlier in the day</w:t>
      </w:r>
      <w:r>
        <w:rPr>
          <w:rFonts w:cs="Calibri"/>
        </w:rPr>
        <w:t xml:space="preserve"> are interviewed </w:t>
      </w:r>
      <w:r w:rsidRPr="0038607F">
        <w:rPr>
          <w:rFonts w:cs="Calibri"/>
        </w:rPr>
        <w:t xml:space="preserve">at a lower rate, as the lowest rate is always from 12:00 AM – 8:59 AM. For </w:t>
      </w:r>
      <w:r w:rsidRPr="0038607F">
        <w:rPr>
          <w:rFonts w:cs="Calibri"/>
        </w:rPr>
        <w:lastRenderedPageBreak/>
        <w:t>Atlanta, the highest rate is in the middle of the day (9:00 AM – 3:59 PM), while in New York and Sacramento the highest interview response rates are late in the day (4:00 PM – 11:59 PM).</w:t>
      </w:r>
      <w:r>
        <w:rPr>
          <w:rFonts w:cs="Calibri"/>
        </w:rPr>
        <w:t xml:space="preserve"> </w:t>
      </w:r>
      <w:r w:rsidRPr="0038607F">
        <w:rPr>
          <w:rFonts w:cs="Calibri"/>
        </w:rPr>
        <w:t>For all four sites where there is both a stock and flow sample (Chicago is a flow-only sample), the highest response rates come from those respondents entering during the flow period.</w:t>
      </w:r>
    </w:p>
    <w:p w:rsidR="00EE68B0" w:rsidRPr="0038607F" w:rsidRDefault="00EE68B0" w:rsidP="00EE68B0">
      <w:pPr>
        <w:rPr>
          <w:rFonts w:cs="Calibri"/>
        </w:rPr>
      </w:pPr>
      <w:r>
        <w:rPr>
          <w:rFonts w:cs="Calibri"/>
          <w:i/>
        </w:rPr>
        <w:t>Race/ethnicity</w:t>
      </w:r>
      <w:r w:rsidRPr="0038607F">
        <w:rPr>
          <w:rFonts w:cs="Calibri"/>
        </w:rPr>
        <w:t xml:space="preserve"> is a factor that differentiates responders from non-responders in Atlanta, New York, and Sacramento. In Atlanta and New York, Hispanics are more likely to be interviewed, while in Sacramento, blacks are more likely to be respondents.</w:t>
      </w:r>
    </w:p>
    <w:p w:rsidR="00EE68B0" w:rsidRPr="0038607F" w:rsidRDefault="00EE68B0" w:rsidP="00EE68B0">
      <w:pPr>
        <w:rPr>
          <w:rFonts w:cs="Calibri"/>
        </w:rPr>
      </w:pPr>
      <w:r w:rsidRPr="0038607F">
        <w:rPr>
          <w:rFonts w:cs="Calibri"/>
        </w:rPr>
        <w:t xml:space="preserve">The </w:t>
      </w:r>
      <w:r w:rsidRPr="0038607F">
        <w:rPr>
          <w:rFonts w:cs="Calibri"/>
          <w:i/>
        </w:rPr>
        <w:t>severity of the most serious charge</w:t>
      </w:r>
      <w:r w:rsidRPr="0038607F">
        <w:rPr>
          <w:rFonts w:cs="Calibri"/>
        </w:rPr>
        <w:t xml:space="preserve"> at the time of arrest differentiates responders from non-responders in Atlanta, Denver, and Sacramento. In all three sites, those with felony charges were more likely to be interviewed.</w:t>
      </w:r>
    </w:p>
    <w:p w:rsidR="00EE68B0" w:rsidRPr="0038607F" w:rsidRDefault="00EE68B0" w:rsidP="00EE68B0">
      <w:pPr>
        <w:rPr>
          <w:rFonts w:cs="Calibri"/>
        </w:rPr>
      </w:pPr>
      <w:r w:rsidRPr="0038607F">
        <w:rPr>
          <w:rFonts w:cs="Calibri"/>
        </w:rPr>
        <w:t xml:space="preserve">Responders and non-responders differ in terms of the </w:t>
      </w:r>
      <w:r w:rsidRPr="0038607F">
        <w:rPr>
          <w:rFonts w:cs="Calibri"/>
          <w:i/>
        </w:rPr>
        <w:t>type of arrest</w:t>
      </w:r>
      <w:r w:rsidRPr="0038607F">
        <w:rPr>
          <w:rFonts w:cs="Calibri"/>
        </w:rPr>
        <w:t xml:space="preserve"> for the most serious charge in Atlanta, New York, and Sacramento. In all three sites, those with drug charges were less likely to be respondents than those with other charges.</w:t>
      </w:r>
    </w:p>
    <w:p w:rsidR="00EE68B0" w:rsidRDefault="00EE68B0" w:rsidP="00EE68B0">
      <w:pPr>
        <w:rPr>
          <w:rFonts w:cs="Calibri"/>
        </w:rPr>
      </w:pPr>
      <w:r w:rsidRPr="0038607F">
        <w:rPr>
          <w:rFonts w:cs="Calibri"/>
        </w:rPr>
        <w:t>We conduct the same analysis to look at response bias in pr</w:t>
      </w:r>
      <w:r w:rsidR="00624B55">
        <w:rPr>
          <w:rFonts w:cs="Calibri"/>
        </w:rPr>
        <w:t xml:space="preserve">oviding a urine sample (Table </w:t>
      </w:r>
      <w:r w:rsidR="00B67662">
        <w:rPr>
          <w:rFonts w:cs="Calibri"/>
        </w:rPr>
        <w:t>6</w:t>
      </w:r>
      <w:r w:rsidRPr="0038607F">
        <w:rPr>
          <w:rFonts w:cs="Calibri"/>
        </w:rPr>
        <w:t>). There are no statistically significant associations between facesheet variables and the agreement to provide a urine sample.</w:t>
      </w:r>
      <w:r>
        <w:rPr>
          <w:rFonts w:cs="Calibri"/>
        </w:rPr>
        <w:t xml:space="preserve"> Therefore, we can conclude that based on observable characteristics there is no bias related to willingness to provide a urine specimen for testing.  </w:t>
      </w:r>
    </w:p>
    <w:p w:rsidR="00624B55" w:rsidRDefault="00624B55">
      <w:pPr>
        <w:spacing w:after="0" w:line="240" w:lineRule="auto"/>
        <w:rPr>
          <w:rFonts w:cs="Calibri"/>
        </w:rPr>
      </w:pPr>
      <w:r>
        <w:rPr>
          <w:rFonts w:cs="Calibri"/>
        </w:rPr>
        <w:br w:type="page"/>
      </w:r>
    </w:p>
    <w:tbl>
      <w:tblPr>
        <w:tblW w:w="7830" w:type="dxa"/>
        <w:tblLayout w:type="fixed"/>
        <w:tblCellMar>
          <w:left w:w="0" w:type="dxa"/>
          <w:right w:w="58" w:type="dxa"/>
        </w:tblCellMar>
        <w:tblLook w:val="0000" w:firstRow="0" w:lastRow="0" w:firstColumn="0" w:lastColumn="0" w:noHBand="0" w:noVBand="0"/>
      </w:tblPr>
      <w:tblGrid>
        <w:gridCol w:w="2610"/>
        <w:gridCol w:w="670"/>
        <w:gridCol w:w="1040"/>
        <w:gridCol w:w="990"/>
        <w:gridCol w:w="1170"/>
        <w:gridCol w:w="1350"/>
      </w:tblGrid>
      <w:tr w:rsidR="00624B55" w:rsidRPr="00130E20" w:rsidTr="00D9321D">
        <w:tc>
          <w:tcPr>
            <w:tcW w:w="7830" w:type="dxa"/>
            <w:gridSpan w:val="6"/>
            <w:tcBorders>
              <w:left w:val="nil"/>
              <w:right w:val="nil"/>
            </w:tcBorders>
            <w:noWrap/>
            <w:vAlign w:val="bottom"/>
          </w:tcPr>
          <w:p w:rsidR="00624B55" w:rsidRPr="00130E20" w:rsidRDefault="00624B55" w:rsidP="00A14F7B">
            <w:pPr>
              <w:pStyle w:val="ExhibitTitle"/>
            </w:pPr>
            <w:r>
              <w:lastRenderedPageBreak/>
              <w:t xml:space="preserve">Table </w:t>
            </w:r>
            <w:r w:rsidR="00B67662">
              <w:t>6</w:t>
            </w:r>
            <w:r>
              <w:tab/>
            </w:r>
            <w:r w:rsidRPr="00130E20">
              <w:t>Characteristics of Non-Response to the Urine Test</w:t>
            </w:r>
          </w:p>
        </w:tc>
      </w:tr>
      <w:tr w:rsidR="00624B55" w:rsidRPr="00EC259D" w:rsidTr="00D9321D">
        <w:trPr>
          <w:trHeight w:val="288"/>
        </w:trPr>
        <w:tc>
          <w:tcPr>
            <w:tcW w:w="2610" w:type="dxa"/>
            <w:tcBorders>
              <w:left w:val="nil"/>
              <w:bottom w:val="single" w:sz="8" w:space="0" w:color="auto"/>
              <w:right w:val="nil"/>
            </w:tcBorders>
            <w:shd w:val="clear" w:color="auto" w:fill="C3C6A8" w:themeFill="accent4"/>
            <w:noWrap/>
            <w:vAlign w:val="bottom"/>
          </w:tcPr>
          <w:p w:rsidR="00624B55" w:rsidRPr="00130E20" w:rsidRDefault="00624B55" w:rsidP="00A14F7B">
            <w:pPr>
              <w:pStyle w:val="NoSpacing"/>
              <w:rPr>
                <w:rFonts w:ascii="Arial" w:hAnsi="Arial" w:cs="Arial"/>
                <w:sz w:val="18"/>
                <w:szCs w:val="18"/>
              </w:rPr>
            </w:pPr>
          </w:p>
        </w:tc>
        <w:tc>
          <w:tcPr>
            <w:tcW w:w="670" w:type="dxa"/>
            <w:tcBorders>
              <w:left w:val="nil"/>
              <w:bottom w:val="single" w:sz="8" w:space="0" w:color="auto"/>
              <w:right w:val="nil"/>
            </w:tcBorders>
            <w:shd w:val="clear" w:color="auto" w:fill="C3C6A8" w:themeFill="accent4"/>
            <w:vAlign w:val="center"/>
          </w:tcPr>
          <w:p w:rsidR="00624B55" w:rsidRPr="00EC259D" w:rsidRDefault="00624B55" w:rsidP="00A14F7B">
            <w:pPr>
              <w:pStyle w:val="NoSpacing"/>
              <w:jc w:val="right"/>
              <w:rPr>
                <w:rFonts w:ascii="Arial" w:hAnsi="Arial" w:cs="Arial"/>
                <w:b/>
                <w:sz w:val="18"/>
                <w:szCs w:val="18"/>
              </w:rPr>
            </w:pPr>
            <w:r w:rsidRPr="00EC259D">
              <w:rPr>
                <w:rFonts w:ascii="Arial" w:hAnsi="Arial" w:cs="Arial"/>
                <w:b/>
                <w:sz w:val="18"/>
                <w:szCs w:val="18"/>
              </w:rPr>
              <w:t xml:space="preserve">Atlanta </w:t>
            </w:r>
          </w:p>
        </w:tc>
        <w:tc>
          <w:tcPr>
            <w:tcW w:w="1040" w:type="dxa"/>
            <w:tcBorders>
              <w:left w:val="nil"/>
              <w:bottom w:val="single" w:sz="8" w:space="0" w:color="auto"/>
              <w:right w:val="nil"/>
            </w:tcBorders>
            <w:shd w:val="clear" w:color="auto" w:fill="C3C6A8" w:themeFill="accent4"/>
            <w:noWrap/>
            <w:vAlign w:val="center"/>
          </w:tcPr>
          <w:p w:rsidR="00624B55" w:rsidRPr="00EC259D" w:rsidRDefault="00624B55" w:rsidP="00A14F7B">
            <w:pPr>
              <w:pStyle w:val="NoSpacing"/>
              <w:jc w:val="right"/>
              <w:rPr>
                <w:rFonts w:ascii="Arial" w:hAnsi="Arial" w:cs="Arial"/>
                <w:b/>
                <w:sz w:val="18"/>
                <w:szCs w:val="18"/>
              </w:rPr>
            </w:pPr>
            <w:r w:rsidRPr="00EC259D">
              <w:rPr>
                <w:rFonts w:ascii="Arial" w:hAnsi="Arial" w:cs="Arial"/>
                <w:b/>
                <w:sz w:val="18"/>
                <w:szCs w:val="18"/>
              </w:rPr>
              <w:t>Chicago</w:t>
            </w:r>
          </w:p>
        </w:tc>
        <w:tc>
          <w:tcPr>
            <w:tcW w:w="990" w:type="dxa"/>
            <w:tcBorders>
              <w:left w:val="nil"/>
              <w:bottom w:val="single" w:sz="8" w:space="0" w:color="auto"/>
              <w:right w:val="nil"/>
            </w:tcBorders>
            <w:shd w:val="clear" w:color="auto" w:fill="C3C6A8" w:themeFill="accent4"/>
            <w:noWrap/>
            <w:vAlign w:val="center"/>
          </w:tcPr>
          <w:p w:rsidR="00624B55" w:rsidRPr="00EC259D" w:rsidRDefault="00624B55" w:rsidP="00A14F7B">
            <w:pPr>
              <w:pStyle w:val="NoSpacing"/>
              <w:jc w:val="right"/>
              <w:rPr>
                <w:rFonts w:ascii="Arial" w:hAnsi="Arial" w:cs="Arial"/>
                <w:b/>
                <w:sz w:val="18"/>
                <w:szCs w:val="18"/>
              </w:rPr>
            </w:pPr>
            <w:r w:rsidRPr="00EC259D">
              <w:rPr>
                <w:rFonts w:ascii="Arial" w:hAnsi="Arial" w:cs="Arial"/>
                <w:b/>
                <w:sz w:val="18"/>
                <w:szCs w:val="18"/>
              </w:rPr>
              <w:t>Denver</w:t>
            </w:r>
          </w:p>
        </w:tc>
        <w:tc>
          <w:tcPr>
            <w:tcW w:w="1170" w:type="dxa"/>
            <w:tcBorders>
              <w:left w:val="nil"/>
              <w:bottom w:val="single" w:sz="8" w:space="0" w:color="auto"/>
              <w:right w:val="nil"/>
            </w:tcBorders>
            <w:shd w:val="clear" w:color="auto" w:fill="C3C6A8" w:themeFill="accent4"/>
            <w:vAlign w:val="center"/>
          </w:tcPr>
          <w:p w:rsidR="00624B55" w:rsidRPr="00EC259D" w:rsidRDefault="00624B55" w:rsidP="00A14F7B">
            <w:pPr>
              <w:pStyle w:val="NoSpacing"/>
              <w:jc w:val="right"/>
              <w:rPr>
                <w:rFonts w:ascii="Arial" w:hAnsi="Arial" w:cs="Arial"/>
                <w:b/>
                <w:sz w:val="18"/>
                <w:szCs w:val="18"/>
              </w:rPr>
            </w:pPr>
            <w:r w:rsidRPr="00EC259D">
              <w:rPr>
                <w:rFonts w:ascii="Arial" w:hAnsi="Arial" w:cs="Arial"/>
                <w:b/>
                <w:sz w:val="18"/>
                <w:szCs w:val="18"/>
              </w:rPr>
              <w:t>New York</w:t>
            </w:r>
          </w:p>
        </w:tc>
        <w:tc>
          <w:tcPr>
            <w:tcW w:w="1350" w:type="dxa"/>
            <w:tcBorders>
              <w:left w:val="nil"/>
              <w:bottom w:val="single" w:sz="8" w:space="0" w:color="auto"/>
              <w:right w:val="nil"/>
            </w:tcBorders>
            <w:shd w:val="clear" w:color="auto" w:fill="C3C6A8" w:themeFill="accent4"/>
            <w:noWrap/>
            <w:vAlign w:val="center"/>
          </w:tcPr>
          <w:p w:rsidR="00624B55" w:rsidRPr="00EC259D" w:rsidRDefault="00624B55" w:rsidP="00A14F7B">
            <w:pPr>
              <w:pStyle w:val="NoSpacing"/>
              <w:jc w:val="right"/>
              <w:rPr>
                <w:rFonts w:ascii="Arial" w:hAnsi="Arial" w:cs="Arial"/>
                <w:b/>
                <w:sz w:val="18"/>
                <w:szCs w:val="18"/>
              </w:rPr>
            </w:pPr>
            <w:r w:rsidRPr="00EC259D">
              <w:rPr>
                <w:rFonts w:ascii="Arial" w:hAnsi="Arial" w:cs="Arial"/>
                <w:b/>
                <w:sz w:val="18"/>
                <w:szCs w:val="18"/>
              </w:rPr>
              <w:t>Sacramento</w:t>
            </w:r>
          </w:p>
        </w:tc>
      </w:tr>
      <w:tr w:rsidR="00624B55" w:rsidRPr="00D9321D" w:rsidTr="00D9321D">
        <w:tc>
          <w:tcPr>
            <w:tcW w:w="2610" w:type="dxa"/>
            <w:tcBorders>
              <w:top w:val="single" w:sz="8" w:space="0" w:color="auto"/>
              <w:left w:val="nil"/>
              <w:bottom w:val="nil"/>
              <w:right w:val="nil"/>
            </w:tcBorders>
            <w:shd w:val="clear" w:color="auto" w:fill="898D8D" w:themeFill="accent2"/>
            <w:noWrap/>
            <w:vAlign w:val="center"/>
          </w:tcPr>
          <w:p w:rsidR="00624B55" w:rsidRPr="00D9321D" w:rsidRDefault="00624B55" w:rsidP="00A14F7B">
            <w:pPr>
              <w:pStyle w:val="NoSpacing"/>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Day of Week</w:t>
            </w:r>
          </w:p>
        </w:tc>
        <w:tc>
          <w:tcPr>
            <w:tcW w:w="670" w:type="dxa"/>
            <w:tcBorders>
              <w:top w:val="single" w:sz="8" w:space="0" w:color="auto"/>
              <w:left w:val="nil"/>
              <w:bottom w:val="nil"/>
              <w:right w:val="nil"/>
            </w:tcBorders>
            <w:shd w:val="clear" w:color="auto" w:fill="898D8D" w:themeFill="accent2"/>
            <w:vAlign w:val="center"/>
          </w:tcPr>
          <w:p w:rsidR="00624B55" w:rsidRPr="00D9321D" w:rsidRDefault="00624B55" w:rsidP="00A14F7B">
            <w:pPr>
              <w:pStyle w:val="NoSpacing"/>
              <w:jc w:val="right"/>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 </w:t>
            </w:r>
          </w:p>
        </w:tc>
        <w:tc>
          <w:tcPr>
            <w:tcW w:w="1040" w:type="dxa"/>
            <w:tcBorders>
              <w:top w:val="single" w:sz="8" w:space="0" w:color="auto"/>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 </w:t>
            </w:r>
          </w:p>
        </w:tc>
        <w:tc>
          <w:tcPr>
            <w:tcW w:w="990" w:type="dxa"/>
            <w:tcBorders>
              <w:top w:val="single" w:sz="8" w:space="0" w:color="auto"/>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 </w:t>
            </w:r>
          </w:p>
        </w:tc>
        <w:tc>
          <w:tcPr>
            <w:tcW w:w="1170" w:type="dxa"/>
            <w:tcBorders>
              <w:top w:val="single" w:sz="8" w:space="0" w:color="auto"/>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 </w:t>
            </w:r>
          </w:p>
        </w:tc>
        <w:tc>
          <w:tcPr>
            <w:tcW w:w="1350" w:type="dxa"/>
            <w:tcBorders>
              <w:top w:val="single" w:sz="8" w:space="0" w:color="auto"/>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 </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Monday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93%</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98%</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85%</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95%</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Tuesday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81%</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Wednesday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100%</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81%</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Thursday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Friday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93%</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94%</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Saturday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98%</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85%</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Sunday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97%</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84%</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85%</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Total N (non-missing)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366</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364</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402</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410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Chi-Square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5.44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9.76</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6.50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5.38</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10.46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p-value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0.489</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0.135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0.369</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0.496</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0.107</w:t>
            </w:r>
          </w:p>
        </w:tc>
      </w:tr>
      <w:tr w:rsidR="00624B55" w:rsidRPr="00D9321D" w:rsidTr="00D9321D">
        <w:tc>
          <w:tcPr>
            <w:tcW w:w="261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Booking Time</w:t>
            </w:r>
          </w:p>
        </w:tc>
        <w:tc>
          <w:tcPr>
            <w:tcW w:w="670" w:type="dxa"/>
            <w:tcBorders>
              <w:top w:val="nil"/>
              <w:left w:val="nil"/>
              <w:bottom w:val="nil"/>
              <w:right w:val="nil"/>
            </w:tcBorders>
            <w:shd w:val="clear" w:color="auto" w:fill="898D8D" w:themeFill="accent2"/>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04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99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17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35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12:00am-8:59am</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75%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92%</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9:00am-3:59pm</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94%</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4:00pm-11:59pm</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85%</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Total N (non-missing)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118</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363</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401</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410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Chi-Square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2.49</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2.56</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0.96</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0.39</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3.16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p-value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0.288</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0.278</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0.619</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0.824</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0.206</w:t>
            </w:r>
          </w:p>
        </w:tc>
      </w:tr>
      <w:tr w:rsidR="00624B55" w:rsidRPr="00D9321D" w:rsidTr="00D9321D">
        <w:tc>
          <w:tcPr>
            <w:tcW w:w="261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Sample Type</w:t>
            </w:r>
          </w:p>
        </w:tc>
        <w:tc>
          <w:tcPr>
            <w:tcW w:w="670" w:type="dxa"/>
            <w:tcBorders>
              <w:top w:val="nil"/>
              <w:left w:val="nil"/>
              <w:bottom w:val="nil"/>
              <w:right w:val="nil"/>
            </w:tcBorders>
            <w:shd w:val="clear" w:color="auto" w:fill="898D8D" w:themeFill="accent2"/>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04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99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17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35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Stock</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n/a</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Flow</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85%</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Total N (non-missing)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366</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364</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401</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410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Chi-Square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1.90</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n/a</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0.51</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0.50</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3.22</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p-value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0.168</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n/a</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0.477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0.481</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0.073</w:t>
            </w:r>
          </w:p>
        </w:tc>
      </w:tr>
      <w:tr w:rsidR="00624B55" w:rsidRPr="00D9321D" w:rsidTr="00D9321D">
        <w:tc>
          <w:tcPr>
            <w:tcW w:w="261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Age</w:t>
            </w:r>
          </w:p>
        </w:tc>
        <w:tc>
          <w:tcPr>
            <w:tcW w:w="670" w:type="dxa"/>
            <w:tcBorders>
              <w:top w:val="nil"/>
              <w:left w:val="nil"/>
              <w:bottom w:val="nil"/>
              <w:right w:val="nil"/>
            </w:tcBorders>
            <w:shd w:val="clear" w:color="auto" w:fill="898D8D" w:themeFill="accent2"/>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04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99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17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35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18-23</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93%</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84%</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94%</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24-29</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83%</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97%</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92%</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85%</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30-35</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92%</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36-44</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93%</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85%</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45+</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98%</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Total N (non-missing)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366</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394</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363</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400</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Chi-Square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3.19</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4.21</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2.36</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3.04</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5.45</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p-value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0.526</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0.379</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0.669</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0.551</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0.244</w:t>
            </w:r>
          </w:p>
        </w:tc>
      </w:tr>
      <w:tr w:rsidR="00624B55" w:rsidRPr="00D9321D" w:rsidTr="00D9321D">
        <w:tc>
          <w:tcPr>
            <w:tcW w:w="261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Race/ethnicity</w:t>
            </w:r>
          </w:p>
        </w:tc>
        <w:tc>
          <w:tcPr>
            <w:tcW w:w="670" w:type="dxa"/>
            <w:tcBorders>
              <w:top w:val="nil"/>
              <w:left w:val="nil"/>
              <w:bottom w:val="nil"/>
              <w:right w:val="nil"/>
            </w:tcBorders>
            <w:shd w:val="clear" w:color="auto" w:fill="898D8D" w:themeFill="accent2"/>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04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99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17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35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Black</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Hispanic</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100%</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98%</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White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95%</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93%</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75%</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Other</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100%</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94%</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Total N (non-missing)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367</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364</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402</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410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Chi-Square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3.72</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1.01</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0.41</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6.19</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1.07</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p-value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0.294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0.604</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0.937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0.103</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0.783</w:t>
            </w:r>
          </w:p>
        </w:tc>
      </w:tr>
      <w:tr w:rsidR="00D9321D" w:rsidRPr="00D9321D" w:rsidTr="00D9321D">
        <w:tc>
          <w:tcPr>
            <w:tcW w:w="261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Top Severity</w:t>
            </w:r>
          </w:p>
        </w:tc>
        <w:tc>
          <w:tcPr>
            <w:tcW w:w="670" w:type="dxa"/>
            <w:tcBorders>
              <w:top w:val="nil"/>
              <w:left w:val="nil"/>
              <w:bottom w:val="nil"/>
              <w:right w:val="nil"/>
            </w:tcBorders>
            <w:shd w:val="clear" w:color="auto" w:fill="898D8D" w:themeFill="accent2"/>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04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99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17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35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Felony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Misdemeanor</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92%</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86%</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Other</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94%</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Total N (non-missing)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367</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395</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364</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402</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410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Chi-Square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0.64</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0.04</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2.18</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0.03</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0.72</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p-value</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0.726</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0.981</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0.336</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0.985</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0.397</w:t>
            </w:r>
          </w:p>
        </w:tc>
      </w:tr>
      <w:tr w:rsidR="00D9321D" w:rsidRPr="00D9321D" w:rsidTr="00D9321D">
        <w:tc>
          <w:tcPr>
            <w:tcW w:w="261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rPr>
                <w:rFonts w:ascii="Arial" w:hAnsi="Arial" w:cs="Arial"/>
                <w:b/>
                <w:color w:val="F0F4F6" w:themeColor="background1" w:themeTint="33"/>
                <w:sz w:val="18"/>
                <w:szCs w:val="18"/>
              </w:rPr>
            </w:pPr>
            <w:r w:rsidRPr="00D9321D">
              <w:rPr>
                <w:rFonts w:ascii="Arial" w:hAnsi="Arial" w:cs="Arial"/>
                <w:b/>
                <w:color w:val="F0F4F6" w:themeColor="background1" w:themeTint="33"/>
                <w:sz w:val="18"/>
                <w:szCs w:val="18"/>
              </w:rPr>
              <w:t>Top Charge Type</w:t>
            </w:r>
          </w:p>
        </w:tc>
        <w:tc>
          <w:tcPr>
            <w:tcW w:w="670" w:type="dxa"/>
            <w:tcBorders>
              <w:top w:val="nil"/>
              <w:left w:val="nil"/>
              <w:bottom w:val="nil"/>
              <w:right w:val="nil"/>
            </w:tcBorders>
            <w:shd w:val="clear" w:color="auto" w:fill="898D8D" w:themeFill="accent2"/>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04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99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17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c>
          <w:tcPr>
            <w:tcW w:w="1350" w:type="dxa"/>
            <w:tcBorders>
              <w:top w:val="nil"/>
              <w:left w:val="nil"/>
              <w:bottom w:val="nil"/>
              <w:right w:val="nil"/>
            </w:tcBorders>
            <w:shd w:val="clear" w:color="auto" w:fill="898D8D" w:themeFill="accent2"/>
            <w:noWrap/>
            <w:vAlign w:val="center"/>
          </w:tcPr>
          <w:p w:rsidR="00624B55" w:rsidRPr="00D9321D" w:rsidRDefault="00624B55" w:rsidP="00A14F7B">
            <w:pPr>
              <w:pStyle w:val="NoSpacing"/>
              <w:jc w:val="right"/>
              <w:rPr>
                <w:rFonts w:ascii="Arial" w:hAnsi="Arial" w:cs="Arial"/>
                <w:b/>
                <w:color w:val="F0F4F6" w:themeColor="background1" w:themeTint="33"/>
                <w:sz w:val="18"/>
                <w:szCs w:val="18"/>
              </w:rPr>
            </w:pP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Violent</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93%</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91%</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Drug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83%</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92%</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Property</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92%</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100%</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84%</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83%</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87%</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Other</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88%</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97%</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89%</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90%</w:t>
            </w:r>
          </w:p>
        </w:tc>
      </w:tr>
      <w:tr w:rsidR="00624B55" w:rsidRPr="00EC259D" w:rsidTr="00A14F7B">
        <w:tc>
          <w:tcPr>
            <w:tcW w:w="2610" w:type="dxa"/>
            <w:tcBorders>
              <w:top w:val="nil"/>
              <w:left w:val="nil"/>
              <w:bottom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Total N (non-missing)</w:t>
            </w:r>
          </w:p>
        </w:tc>
        <w:tc>
          <w:tcPr>
            <w:tcW w:w="6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363</w:t>
            </w:r>
          </w:p>
        </w:tc>
        <w:tc>
          <w:tcPr>
            <w:tcW w:w="104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387</w:t>
            </w:r>
          </w:p>
        </w:tc>
        <w:tc>
          <w:tcPr>
            <w:tcW w:w="99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361</w:t>
            </w:r>
          </w:p>
        </w:tc>
        <w:tc>
          <w:tcPr>
            <w:tcW w:w="117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384</w:t>
            </w:r>
          </w:p>
        </w:tc>
        <w:tc>
          <w:tcPr>
            <w:tcW w:w="1350" w:type="dxa"/>
            <w:tcBorders>
              <w:top w:val="nil"/>
              <w:left w:val="nil"/>
              <w:bottom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402</w:t>
            </w:r>
          </w:p>
        </w:tc>
      </w:tr>
      <w:tr w:rsidR="00624B55" w:rsidRPr="00EC259D" w:rsidTr="00A14F7B">
        <w:tc>
          <w:tcPr>
            <w:tcW w:w="2610" w:type="dxa"/>
            <w:tcBorders>
              <w:top w:val="nil"/>
              <w:left w:val="nil"/>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Chi-Square</w:t>
            </w:r>
          </w:p>
        </w:tc>
        <w:tc>
          <w:tcPr>
            <w:tcW w:w="670" w:type="dxa"/>
            <w:tcBorders>
              <w:top w:val="nil"/>
              <w:left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3.19</w:t>
            </w:r>
          </w:p>
        </w:tc>
        <w:tc>
          <w:tcPr>
            <w:tcW w:w="1040" w:type="dxa"/>
            <w:tcBorders>
              <w:top w:val="nil"/>
              <w:left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6.24</w:t>
            </w:r>
          </w:p>
        </w:tc>
        <w:tc>
          <w:tcPr>
            <w:tcW w:w="990" w:type="dxa"/>
            <w:tcBorders>
              <w:top w:val="nil"/>
              <w:left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1.92</w:t>
            </w:r>
          </w:p>
        </w:tc>
        <w:tc>
          <w:tcPr>
            <w:tcW w:w="1170" w:type="dxa"/>
            <w:tcBorders>
              <w:top w:val="nil"/>
              <w:left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2.20</w:t>
            </w:r>
          </w:p>
        </w:tc>
        <w:tc>
          <w:tcPr>
            <w:tcW w:w="1350" w:type="dxa"/>
            <w:tcBorders>
              <w:top w:val="nil"/>
              <w:left w:val="nil"/>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0.84</w:t>
            </w:r>
          </w:p>
        </w:tc>
      </w:tr>
      <w:tr w:rsidR="00624B55" w:rsidRPr="00EC259D" w:rsidTr="00A14F7B">
        <w:tc>
          <w:tcPr>
            <w:tcW w:w="2610" w:type="dxa"/>
            <w:tcBorders>
              <w:top w:val="nil"/>
              <w:left w:val="nil"/>
              <w:bottom w:val="single" w:sz="8" w:space="0" w:color="auto"/>
              <w:right w:val="nil"/>
            </w:tcBorders>
            <w:noWrap/>
            <w:vAlign w:val="center"/>
          </w:tcPr>
          <w:p w:rsidR="00624B55" w:rsidRPr="00EC259D" w:rsidRDefault="00624B55" w:rsidP="00A14F7B">
            <w:pPr>
              <w:pStyle w:val="NoSpacing"/>
              <w:rPr>
                <w:rFonts w:ascii="Arial" w:hAnsi="Arial" w:cs="Arial"/>
                <w:sz w:val="18"/>
                <w:szCs w:val="18"/>
              </w:rPr>
            </w:pPr>
            <w:r w:rsidRPr="00EC259D">
              <w:rPr>
                <w:rFonts w:ascii="Arial" w:hAnsi="Arial" w:cs="Arial"/>
                <w:sz w:val="18"/>
                <w:szCs w:val="18"/>
              </w:rPr>
              <w:t>p-value</w:t>
            </w:r>
          </w:p>
        </w:tc>
        <w:tc>
          <w:tcPr>
            <w:tcW w:w="670" w:type="dxa"/>
            <w:tcBorders>
              <w:top w:val="nil"/>
              <w:left w:val="nil"/>
              <w:bottom w:val="single" w:sz="8" w:space="0" w:color="auto"/>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0.363</w:t>
            </w:r>
          </w:p>
        </w:tc>
        <w:tc>
          <w:tcPr>
            <w:tcW w:w="1040" w:type="dxa"/>
            <w:tcBorders>
              <w:top w:val="nil"/>
              <w:left w:val="nil"/>
              <w:bottom w:val="single" w:sz="8" w:space="0" w:color="auto"/>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0.101</w:t>
            </w:r>
          </w:p>
        </w:tc>
        <w:tc>
          <w:tcPr>
            <w:tcW w:w="990" w:type="dxa"/>
            <w:tcBorders>
              <w:top w:val="nil"/>
              <w:left w:val="nil"/>
              <w:bottom w:val="single" w:sz="8" w:space="0" w:color="auto"/>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0.589</w:t>
            </w:r>
          </w:p>
        </w:tc>
        <w:tc>
          <w:tcPr>
            <w:tcW w:w="1170" w:type="dxa"/>
            <w:tcBorders>
              <w:top w:val="nil"/>
              <w:left w:val="nil"/>
              <w:bottom w:val="single" w:sz="8" w:space="0" w:color="auto"/>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0.533</w:t>
            </w:r>
          </w:p>
        </w:tc>
        <w:tc>
          <w:tcPr>
            <w:tcW w:w="1350" w:type="dxa"/>
            <w:tcBorders>
              <w:top w:val="nil"/>
              <w:left w:val="nil"/>
              <w:bottom w:val="single" w:sz="8" w:space="0" w:color="auto"/>
              <w:right w:val="nil"/>
            </w:tcBorders>
            <w:noWrap/>
            <w:vAlign w:val="center"/>
          </w:tcPr>
          <w:p w:rsidR="00624B55" w:rsidRPr="00EC259D" w:rsidRDefault="00624B55" w:rsidP="00A14F7B">
            <w:pPr>
              <w:pStyle w:val="NoSpacing"/>
              <w:jc w:val="right"/>
              <w:rPr>
                <w:rFonts w:ascii="Arial" w:hAnsi="Arial" w:cs="Arial"/>
                <w:sz w:val="18"/>
                <w:szCs w:val="18"/>
              </w:rPr>
            </w:pPr>
            <w:r w:rsidRPr="00EC259D">
              <w:rPr>
                <w:rFonts w:ascii="Arial" w:hAnsi="Arial" w:cs="Arial"/>
                <w:sz w:val="18"/>
                <w:szCs w:val="18"/>
              </w:rPr>
              <w:t>0.839</w:t>
            </w:r>
          </w:p>
        </w:tc>
      </w:tr>
    </w:tbl>
    <w:p w:rsidR="00A14F7B" w:rsidRDefault="00A14F7B" w:rsidP="00EE68B0">
      <w:pPr>
        <w:rPr>
          <w:b/>
          <w:szCs w:val="22"/>
        </w:rPr>
      </w:pPr>
    </w:p>
    <w:p w:rsidR="00EE68B0" w:rsidRPr="00C14493" w:rsidRDefault="00EE68B0" w:rsidP="00EE68B0">
      <w:pPr>
        <w:rPr>
          <w:b/>
          <w:szCs w:val="22"/>
        </w:rPr>
      </w:pPr>
      <w:r w:rsidRPr="00C14493">
        <w:rPr>
          <w:b/>
          <w:szCs w:val="22"/>
        </w:rPr>
        <w:lastRenderedPageBreak/>
        <w:t xml:space="preserve">Based on diagnostic analyses, adjusting bias through weighting with propensity scores. </w:t>
      </w:r>
    </w:p>
    <w:p w:rsidR="00BD016C" w:rsidRDefault="00EE68B0" w:rsidP="00EE68B0">
      <w:pPr>
        <w:rPr>
          <w:rFonts w:cs="Calibri"/>
        </w:rPr>
      </w:pPr>
      <w:r w:rsidRPr="0038607F">
        <w:rPr>
          <w:rFonts w:cs="Calibri"/>
        </w:rPr>
        <w:t>As is clear from the discussion above, there is sampling rate variance that occurs during data collection based primarily on releases during the non-interview hours. Originally, ADAM assigned weights by assigning all arrestees to strata based on offenses and the time they were booked. This approach was not altogether satisfactory because samples were often small or even missing within a stratum, so that strata had to be merged. Merging required considerable manual manipulation of the data, and too frequently disparate strata were merged.</w:t>
      </w:r>
      <w:r>
        <w:rPr>
          <w:rFonts w:cs="Calibri"/>
        </w:rPr>
        <w:t xml:space="preserve"> As a result ADAM II statisticians turned to another method that has been developed to adjust for sampling bias, the use of propensity scores</w:t>
      </w:r>
      <w:r w:rsidR="00BD016C">
        <w:rPr>
          <w:rFonts w:cs="Calibri"/>
        </w:rPr>
        <w:t>.</w:t>
      </w:r>
      <w:r>
        <w:rPr>
          <w:rFonts w:cs="Calibri"/>
        </w:rPr>
        <w:t xml:space="preserve"> </w:t>
      </w:r>
    </w:p>
    <w:p w:rsidR="00EE68B0" w:rsidRPr="0038607F" w:rsidRDefault="00EE68B0" w:rsidP="00EE68B0">
      <w:pPr>
        <w:rPr>
          <w:rFonts w:cs="Calibri"/>
        </w:rPr>
      </w:pPr>
      <w:r w:rsidRPr="0038607F">
        <w:rPr>
          <w:rFonts w:cs="Calibri"/>
        </w:rPr>
        <w:t xml:space="preserve">Since 2007, ADAM II has developed </w:t>
      </w:r>
      <w:r w:rsidRPr="0038607F">
        <w:rPr>
          <w:rFonts w:cs="Calibri"/>
          <w:b/>
          <w:i/>
        </w:rPr>
        <w:t>propensity scores</w:t>
      </w:r>
      <w:r w:rsidRPr="0038607F">
        <w:rPr>
          <w:rFonts w:cs="Calibri"/>
        </w:rPr>
        <w:t xml:space="preserve"> to weight the data</w:t>
      </w:r>
      <w:r>
        <w:rPr>
          <w:rFonts w:cs="Calibri"/>
        </w:rPr>
        <w:t xml:space="preserve"> to address </w:t>
      </w:r>
      <w:r w:rsidRPr="0038607F">
        <w:rPr>
          <w:rFonts w:cs="Calibri"/>
        </w:rPr>
        <w:t>the sampling bias inherent in working in this dynamic setting. A propensity score is the estimated probability that a member of the population of arrestees is included in the sample and ultimately interviewed. The use of propensity scores dates to work such as Rosenbaum and Rosenbaum and Rubin</w:t>
      </w:r>
      <w:r w:rsidR="009770C3">
        <w:rPr>
          <w:rStyle w:val="FootnoteReference"/>
          <w:rFonts w:cs="Calibri"/>
        </w:rPr>
        <w:footnoteReference w:id="7"/>
      </w:r>
      <w:r w:rsidR="009770C3">
        <w:rPr>
          <w:rFonts w:cs="Calibri"/>
        </w:rPr>
        <w:t xml:space="preserve">.  Rotnitzky and Robins </w:t>
      </w:r>
      <w:r w:rsidR="009770C3">
        <w:rPr>
          <w:rStyle w:val="FootnoteReference"/>
          <w:rFonts w:cs="Calibri"/>
        </w:rPr>
        <w:footnoteReference w:id="8"/>
      </w:r>
      <w:r w:rsidRPr="0038607F">
        <w:rPr>
          <w:rFonts w:cs="Calibri"/>
        </w:rPr>
        <w:t>, among others, proposed using “inverse probability weighting” as a solution for missing data problems, of which non-response is one.  Wooldridge</w:t>
      </w:r>
      <w:r w:rsidR="009770C3">
        <w:rPr>
          <w:rStyle w:val="FootnoteReference"/>
          <w:rFonts w:cs="Calibri"/>
        </w:rPr>
        <w:footnoteReference w:id="9"/>
      </w:r>
      <w:r w:rsidRPr="0038607F">
        <w:rPr>
          <w:rFonts w:cs="Calibri"/>
        </w:rPr>
        <w:t xml:space="preserve"> proposed a generalized two-step estimation method, which produces consistent and asymptotically normal estimates.  This method estimates propensity scores (i.e., probabilities of being sampled) in the first step, and uses inverses of the estimated propensity scores as weights when estimating the parameters of interest in the second step.    </w:t>
      </w:r>
    </w:p>
    <w:p w:rsidR="00EE68B0" w:rsidRPr="0038607F" w:rsidRDefault="00EE68B0" w:rsidP="00EE68B0">
      <w:pPr>
        <w:rPr>
          <w:rFonts w:cs="Calibri"/>
        </w:rPr>
      </w:pPr>
      <w:r w:rsidRPr="0038607F">
        <w:rPr>
          <w:rFonts w:cs="Calibri"/>
        </w:rPr>
        <w:t xml:space="preserve">Using this method, we calculate the propensity score for each arrestee using </w:t>
      </w:r>
      <w:r>
        <w:rPr>
          <w:rFonts w:cs="Calibri"/>
        </w:rPr>
        <w:t>a logistic regression,</w:t>
      </w:r>
      <w:r w:rsidRPr="0038607F">
        <w:rPr>
          <w:rFonts w:cs="Calibri"/>
        </w:rPr>
        <w:t xml:space="preserve"> where the explanatory variables are those things we can observe that impact the probability of an arrestee being sampled and interviewed: time of day of the arrest, type and severity of the offense, day of the week, age</w:t>
      </w:r>
      <w:r>
        <w:rPr>
          <w:rFonts w:cs="Calibri"/>
        </w:rPr>
        <w:t>, and sample type (stock or flow).</w:t>
      </w:r>
      <w:r w:rsidRPr="0038607F">
        <w:rPr>
          <w:rFonts w:cs="Calibri"/>
        </w:rPr>
        <w:t xml:space="preserve"> The inverse of the propensity score is the ADAM II case weight.</w:t>
      </w:r>
    </w:p>
    <w:p w:rsidR="00EE68B0" w:rsidRPr="0038607F" w:rsidRDefault="00EE68B0" w:rsidP="00EE68B0">
      <w:pPr>
        <w:rPr>
          <w:rFonts w:cs="Calibri"/>
        </w:rPr>
      </w:pPr>
      <w:r w:rsidRPr="0038607F">
        <w:rPr>
          <w:rFonts w:cs="Calibri"/>
        </w:rPr>
        <w:t xml:space="preserve"> Again, we kn</w:t>
      </w:r>
      <w:r>
        <w:rPr>
          <w:rFonts w:cs="Calibri"/>
        </w:rPr>
        <w:t>ow these sources of bias</w:t>
      </w:r>
      <w:r w:rsidRPr="0038607F">
        <w:rPr>
          <w:rFonts w:cs="Calibri"/>
        </w:rPr>
        <w:t xml:space="preserve"> from year to year and site by site through examination of the sample data and the census data</w:t>
      </w:r>
      <w:r>
        <w:rPr>
          <w:rFonts w:cs="Calibri"/>
        </w:rPr>
        <w:t>.</w:t>
      </w:r>
      <w:r w:rsidRPr="0038607F">
        <w:rPr>
          <w:rFonts w:cs="Calibri"/>
        </w:rPr>
        <w:t xml:space="preserve"> </w:t>
      </w:r>
    </w:p>
    <w:p w:rsidR="00EE68B0" w:rsidRPr="006E693A" w:rsidRDefault="00EE68B0" w:rsidP="00EE68B0">
      <w:pPr>
        <w:rPr>
          <w:rFonts w:cs="Calibri"/>
          <w:b/>
        </w:rPr>
      </w:pPr>
      <w:r w:rsidRPr="006E693A">
        <w:rPr>
          <w:rFonts w:cs="Calibri"/>
          <w:b/>
        </w:rPr>
        <w:t>Adjusting bias related to non-response to urine test (missing urine test data) through data imputation</w:t>
      </w:r>
    </w:p>
    <w:p w:rsidR="00EE68B0" w:rsidRPr="006E693A" w:rsidRDefault="00EE68B0" w:rsidP="00EE68B0">
      <w:pPr>
        <w:pStyle w:val="BodyText"/>
        <w:spacing w:line="276" w:lineRule="auto"/>
      </w:pPr>
      <w:r w:rsidRPr="006E693A">
        <w:t xml:space="preserve">Another possible source of bias in the ADAM II samples comes from those interviewed who refuse to (or cannot) produce a urine specimen for testing.  Approximately 11% of those interviewed fail to provide a urine specimen for testing.  A common way of dealing with missing data is to discard data that are missing and only work with data that are not missing. However, this approach for ADAM II </w:t>
      </w:r>
      <w:r w:rsidRPr="006E693A">
        <w:lastRenderedPageBreak/>
        <w:t xml:space="preserve">introduces a possible bias because those arrestees who fail to provide a urine specimen may differ systematically from those who provide a urine specimen, and the propensity score may fail to control for those differences.  </w:t>
      </w:r>
    </w:p>
    <w:p w:rsidR="00EE68B0" w:rsidRPr="006E693A" w:rsidRDefault="00EE68B0" w:rsidP="00EE68B0">
      <w:pPr>
        <w:pStyle w:val="BodyText"/>
        <w:spacing w:line="276" w:lineRule="auto"/>
      </w:pPr>
      <w:r w:rsidRPr="006E693A">
        <w:t>We explored several statistical approaches to dealing with missing data  in 2007 with the reinstatement of ADAM data collection and the following method successfully used in other studies</w:t>
      </w:r>
      <w:r w:rsidR="00A14F7B">
        <w:rPr>
          <w:rStyle w:val="FootnoteReference"/>
        </w:rPr>
        <w:footnoteReference w:id="10"/>
      </w:r>
      <w:r w:rsidRPr="006E693A">
        <w:t xml:space="preserve"> to address issues of bias was determined the most robust.  There is a high correlation between self-reported drug use during the last three days and the results of the urine test.  When an arrestee admits to using a drug during the last three days, it comes as no surprise that his drug test will usually be positive.  Not all arrestees tell the truth, however, and many deny recent drug use.  Nevertheless, self-reports of recent drug use are highly correlated with urine test results, so self-reports (which are known provided the arrestees answered the survey) can be used to impute urine test results when the latter were missing.  </w:t>
      </w:r>
    </w:p>
    <w:p w:rsidR="00EE68B0" w:rsidRPr="006E693A" w:rsidRDefault="00EE68B0" w:rsidP="00EE68B0">
      <w:pPr>
        <w:pStyle w:val="BodyText"/>
        <w:spacing w:line="276" w:lineRule="auto"/>
      </w:pPr>
      <w:r w:rsidRPr="006E693A">
        <w:t>Deriving an imputation is as follows.  The probability that a urine test result is positive when an arrestee said that he had used a drug during the last three days can be estimated.  In fact, the probability is close to 1. The probability that a urine test result is positive when an arrestee said that he had not used a drug during the last three days can be estimated.  In fact, the probability is positive, but much closer to 0.  Basically, the approach is to estimate this probability, draw a random sample from a Bernoulli distribution, and thereby assign a value of 1 or 0 to replace the missing value.</w:t>
      </w:r>
    </w:p>
    <w:p w:rsidR="00EE68B0" w:rsidRPr="006E693A" w:rsidRDefault="00EE68B0" w:rsidP="00EE68B0">
      <w:pPr>
        <w:pStyle w:val="BodyText"/>
        <w:spacing w:line="276" w:lineRule="auto"/>
      </w:pPr>
      <w:r w:rsidRPr="006E693A">
        <w:t>Although the basic approach to the imputation is simple in theory, using the imputation when estimating the proportion of arrestees who tested positive for drug use is more complicated.  Although a value of 1 or 0 based on the above procedure can be imputed, subsequent statistical analysis would not reflect two forms of sampling error without additional steps.  First, the estimates of the probability of testing positive conditional on a self-report of recent drug use is in fact an estimate with its own sampling variance.  Second, the random draw from the Bernoulli distribution is only one possible realization of a random process.  Estimation takes that additional sampling variation into account.  A step-by-step explanation is provided below:</w:t>
      </w:r>
    </w:p>
    <w:p w:rsidR="00EE68B0" w:rsidRPr="006E693A" w:rsidRDefault="00EE68B0" w:rsidP="00EE68B0">
      <w:pPr>
        <w:pStyle w:val="BodyText"/>
        <w:spacing w:line="276" w:lineRule="auto"/>
      </w:pPr>
    </w:p>
    <w:p w:rsidR="00EE68B0" w:rsidRPr="006E693A" w:rsidRDefault="00EE68B0" w:rsidP="00EE68B0">
      <w:pPr>
        <w:pStyle w:val="BodyText"/>
        <w:tabs>
          <w:tab w:val="left" w:pos="360"/>
        </w:tabs>
        <w:spacing w:after="60" w:line="276" w:lineRule="auto"/>
        <w:ind w:left="720" w:hanging="720"/>
      </w:pPr>
      <w:r w:rsidRPr="006E693A">
        <w:tab/>
        <w:t>1.</w:t>
      </w:r>
      <w:r w:rsidRPr="006E693A">
        <w:tab/>
        <w:t xml:space="preserve">The probability of testing positive conditional on admission of use in the last three days does not vary much over time. Conditional on the respondent saying “YES” to the three day use question, the probability of testing positive when the urine test is known is estimated.  Call this P1.  The same can be done when the respondent says “NO” to the three day use question.  Call this P2. </w:t>
      </w:r>
    </w:p>
    <w:p w:rsidR="00EE68B0" w:rsidRPr="006E693A" w:rsidRDefault="00EE68B0" w:rsidP="00EE68B0">
      <w:pPr>
        <w:pStyle w:val="BodyText"/>
        <w:tabs>
          <w:tab w:val="left" w:pos="360"/>
        </w:tabs>
        <w:spacing w:after="60" w:line="276" w:lineRule="auto"/>
        <w:ind w:left="720" w:hanging="720"/>
      </w:pPr>
      <w:r w:rsidRPr="006E693A">
        <w:tab/>
        <w:t>2.</w:t>
      </w:r>
      <w:r w:rsidRPr="006E693A">
        <w:tab/>
        <w:t>P1 and P2 are estimates, but the distribution of the estimates is known—they are asymptotically normal with estimated variances of P1(1-P1)/N1 and P2(1-P2)/N2 respectively, where N1 and N2 are the number of observations with self-reports of “YES” and “NO” that have corresponding urine test results.</w:t>
      </w:r>
    </w:p>
    <w:p w:rsidR="00EE68B0" w:rsidRPr="006E693A" w:rsidRDefault="00EE68B0" w:rsidP="00EE68B0">
      <w:pPr>
        <w:pStyle w:val="BodyText"/>
        <w:tabs>
          <w:tab w:val="left" w:pos="360"/>
        </w:tabs>
        <w:spacing w:after="60" w:line="276" w:lineRule="auto"/>
        <w:ind w:left="720" w:hanging="720"/>
      </w:pPr>
      <w:r w:rsidRPr="006E693A">
        <w:lastRenderedPageBreak/>
        <w:tab/>
        <w:t>3.</w:t>
      </w:r>
      <w:r w:rsidRPr="006E693A">
        <w:tab/>
        <w:t>Estimates of P1 and P2 are drawn from these distributions.  Given these estimates, first round imputations for missing urine test results are done.  Using the resulting sample (which now includes the imputed responses), P1 and P2 are re-estimated.</w:t>
      </w:r>
    </w:p>
    <w:p w:rsidR="00EE68B0" w:rsidRPr="006E693A" w:rsidRDefault="00EE68B0" w:rsidP="00EE68B0">
      <w:pPr>
        <w:pStyle w:val="BodyText"/>
        <w:tabs>
          <w:tab w:val="left" w:pos="360"/>
        </w:tabs>
        <w:spacing w:after="60" w:line="276" w:lineRule="auto"/>
        <w:ind w:left="720" w:hanging="720"/>
      </w:pPr>
      <w:r w:rsidRPr="006E693A">
        <w:tab/>
        <w:t>4.</w:t>
      </w:r>
      <w:r w:rsidRPr="006E693A">
        <w:tab/>
        <w:t>Assuming that the posterior distribution is normal, a new P1 and P2 are sampled from the posterior distribution.</w:t>
      </w:r>
    </w:p>
    <w:p w:rsidR="00EE68B0" w:rsidRPr="006E693A" w:rsidRDefault="00EE68B0" w:rsidP="00EE68B0">
      <w:pPr>
        <w:pStyle w:val="BodyText"/>
        <w:tabs>
          <w:tab w:val="left" w:pos="360"/>
        </w:tabs>
        <w:spacing w:after="60" w:line="276" w:lineRule="auto"/>
        <w:ind w:left="720" w:hanging="720"/>
      </w:pPr>
      <w:r w:rsidRPr="006E693A">
        <w:tab/>
        <w:t>5.</w:t>
      </w:r>
      <w:r w:rsidRPr="006E693A">
        <w:tab/>
        <w:t>The approach runs the algorithm through a burn period of 1000 iterations; then imputes the missing values.  This is repeated until there are 20 simulated data sets.</w:t>
      </w:r>
    </w:p>
    <w:p w:rsidR="00EE68B0" w:rsidRPr="006E693A" w:rsidRDefault="00EE68B0" w:rsidP="00EE68B0">
      <w:pPr>
        <w:pStyle w:val="BodyText"/>
        <w:tabs>
          <w:tab w:val="left" w:pos="360"/>
        </w:tabs>
        <w:spacing w:after="60" w:line="276" w:lineRule="auto"/>
        <w:ind w:left="720" w:hanging="720"/>
      </w:pPr>
      <w:r w:rsidRPr="006E693A">
        <w:tab/>
        <w:t>6.</w:t>
      </w:r>
      <w:r w:rsidRPr="006E693A">
        <w:tab/>
        <w:t>When the urine test results are reported, they do not change from data set to data set.  Only the imputed data vary across the 20 simulated data sets.</w:t>
      </w:r>
    </w:p>
    <w:p w:rsidR="00EE68B0" w:rsidRPr="006E693A" w:rsidRDefault="00EE68B0" w:rsidP="00EE68B0">
      <w:pPr>
        <w:pStyle w:val="BodyText"/>
        <w:tabs>
          <w:tab w:val="left" w:pos="360"/>
        </w:tabs>
        <w:spacing w:after="60" w:line="276" w:lineRule="auto"/>
        <w:ind w:left="720" w:hanging="720"/>
      </w:pPr>
      <w:r w:rsidRPr="006E693A">
        <w:tab/>
        <w:t>7.</w:t>
      </w:r>
      <w:r w:rsidRPr="006E693A">
        <w:tab/>
        <w:t>Each of the 20 data sets is used to estimate the weighted probability of testing positive in each of the 20 data sets.</w:t>
      </w:r>
    </w:p>
    <w:p w:rsidR="00EE68B0" w:rsidRPr="006E693A" w:rsidRDefault="00EE68B0" w:rsidP="00EE68B0">
      <w:pPr>
        <w:pStyle w:val="BodyText"/>
        <w:tabs>
          <w:tab w:val="left" w:pos="360"/>
        </w:tabs>
        <w:ind w:left="720" w:hanging="720"/>
      </w:pPr>
      <w:r w:rsidRPr="006E693A">
        <w:tab/>
        <w:t>8.</w:t>
      </w:r>
      <w:r w:rsidRPr="006E693A">
        <w:tab/>
        <w:t>Each of these analyses yields parameter estimates and a parameter covariance matrix.</w:t>
      </w:r>
    </w:p>
    <w:p w:rsidR="00EE68B0" w:rsidRPr="006E693A" w:rsidRDefault="00EE68B0" w:rsidP="00EE68B0">
      <w:pPr>
        <w:pStyle w:val="BodyText"/>
        <w:tabs>
          <w:tab w:val="left" w:pos="360"/>
        </w:tabs>
        <w:ind w:left="1080" w:hanging="1080"/>
      </w:pPr>
      <w:r w:rsidRPr="006E693A">
        <w:tab/>
      </w:r>
      <w:r w:rsidRPr="006E693A">
        <w:tab/>
        <w:t>a.</w:t>
      </w:r>
      <w:r w:rsidRPr="006E693A">
        <w:tab/>
        <w:t>These are used to compute 20 point estimates for the probability of testing positive conditional on the offense and year.  These estimates are averaged to produce the grand estimate.  This is reported as the estimate.</w:t>
      </w:r>
    </w:p>
    <w:p w:rsidR="00EE68B0" w:rsidRPr="006E693A" w:rsidRDefault="00EE68B0" w:rsidP="00EE68B0">
      <w:pPr>
        <w:pStyle w:val="BodyText"/>
        <w:tabs>
          <w:tab w:val="left" w:pos="360"/>
        </w:tabs>
        <w:ind w:left="1080" w:hanging="1080"/>
      </w:pPr>
      <w:r w:rsidRPr="006E693A">
        <w:tab/>
      </w:r>
      <w:r w:rsidRPr="006E693A">
        <w:tab/>
        <w:t>b.</w:t>
      </w:r>
      <w:r w:rsidRPr="006E693A">
        <w:tab/>
        <w:t>Twenty variance estimates are computed for each of the 20 point estimates.  These are averaged to produce a grand estimate of the variance.  Call this V1.</w:t>
      </w:r>
    </w:p>
    <w:p w:rsidR="00EE68B0" w:rsidRPr="006E693A" w:rsidRDefault="00EE68B0" w:rsidP="00EE68B0">
      <w:pPr>
        <w:pStyle w:val="BodyText"/>
        <w:tabs>
          <w:tab w:val="left" w:pos="360"/>
        </w:tabs>
        <w:ind w:left="1080" w:hanging="1080"/>
      </w:pPr>
      <w:r w:rsidRPr="006E693A">
        <w:tab/>
      </w:r>
      <w:r w:rsidRPr="006E693A">
        <w:tab/>
        <w:t>c.</w:t>
      </w:r>
      <w:r w:rsidRPr="006E693A">
        <w:tab/>
        <w:t>The variance of the 20 point estimates is computed.  Call this V2.</w:t>
      </w:r>
    </w:p>
    <w:p w:rsidR="00EE68B0" w:rsidRPr="006E693A" w:rsidRDefault="00EE68B0" w:rsidP="00EE68B0">
      <w:pPr>
        <w:pStyle w:val="BodyText"/>
        <w:tabs>
          <w:tab w:val="left" w:pos="360"/>
        </w:tabs>
        <w:ind w:left="1080" w:hanging="1080"/>
      </w:pPr>
      <w:r w:rsidRPr="006E693A">
        <w:tab/>
      </w:r>
      <w:r w:rsidRPr="006E693A">
        <w:tab/>
        <w:t>d.</w:t>
      </w:r>
      <w:r w:rsidRPr="006E693A">
        <w:tab/>
        <w:t>The variance estimates used for reporting is V=V1+V2.</w:t>
      </w:r>
    </w:p>
    <w:p w:rsidR="00EE68B0" w:rsidRPr="006E693A" w:rsidRDefault="00EE68B0" w:rsidP="00EE68B0"/>
    <w:p w:rsidR="00EE68B0" w:rsidRPr="006E693A" w:rsidRDefault="00EE68B0" w:rsidP="00EE68B0">
      <w:r w:rsidRPr="006E693A">
        <w:t xml:space="preserve">The three steps outlined above (diagnostics, propensity score weighting and imputation of missing test data) form the basis of ADAM II’s comprehensive approach to addressing the important  issue of non-response and the bias that non-response may introduce into results.  We are fortunate to have access to official records (booking sheets on all sampled and a complete census of all arrested) that can be used to compare respondents from non-respondents on observable characteristics.  Case weighting can then be developed for each arrestee in each site on those observables that impact the probability that he is interviewed. This is accomplished through the use of propensity scoring. Lastly, the imputation of missing urine test data is conducted to address the potential that those who refuse or cannot supply a urine sample for testing are appreciably different from those who are tested. </w:t>
      </w:r>
    </w:p>
    <w:p w:rsidR="00EE68B0" w:rsidRPr="006E693A" w:rsidRDefault="00EE68B0" w:rsidP="009723ED"/>
    <w:p w:rsidR="00EE68B0" w:rsidRPr="006E693A" w:rsidRDefault="00EE68B0" w:rsidP="009723ED"/>
    <w:p w:rsidR="008B3C86" w:rsidRDefault="008B3C86" w:rsidP="006E2799">
      <w:pPr>
        <w:pStyle w:val="Heading2"/>
      </w:pPr>
      <w:bookmarkStart w:id="21" w:name="_Toc249943242"/>
      <w:bookmarkStart w:id="22" w:name="_Toc343259233"/>
      <w:r>
        <w:t>Tests of Procedures</w:t>
      </w:r>
      <w:bookmarkEnd w:id="21"/>
      <w:bookmarkEnd w:id="22"/>
    </w:p>
    <w:p w:rsidR="008B3C86" w:rsidRPr="00943E73" w:rsidRDefault="008B3C86" w:rsidP="009723ED">
      <w:pPr>
        <w:rPr>
          <w:color w:val="1F497D"/>
        </w:rPr>
      </w:pPr>
      <w:r>
        <w:t xml:space="preserve">The utility of the core </w:t>
      </w:r>
      <w:r w:rsidRPr="00943E73">
        <w:t>ADAM</w:t>
      </w:r>
      <w:r w:rsidR="00B67662">
        <w:t xml:space="preserve"> II</w:t>
      </w:r>
      <w:r w:rsidRPr="00943E73">
        <w:t xml:space="preserve"> instrument for analysis and ease of administration has been demonstrated in the over 115,000 interviews collected since 2000</w:t>
      </w:r>
      <w:r w:rsidR="009723ED">
        <w:t xml:space="preserve">. </w:t>
      </w:r>
      <w:r w:rsidRPr="00943E73">
        <w:t>This instrument was developed beginning with de novo question creation in a series of focus groups of drug users and sellers in sites throughout the country</w:t>
      </w:r>
      <w:r w:rsidR="009723ED">
        <w:t xml:space="preserve">. </w:t>
      </w:r>
      <w:r w:rsidRPr="00943E73">
        <w:t>Final sets of questions</w:t>
      </w:r>
      <w:r>
        <w:t xml:space="preserve"> underwent cognitive testing with heavy drug users</w:t>
      </w:r>
      <w:r w:rsidR="00E50584">
        <w:t>.</w:t>
      </w:r>
      <w:r>
        <w:t xml:space="preserve"> </w:t>
      </w:r>
      <w:r>
        <w:lastRenderedPageBreak/>
        <w:t>Additional validity testing of specific sections</w:t>
      </w:r>
      <w:r>
        <w:rPr>
          <w:rStyle w:val="FootnoteReference"/>
        </w:rPr>
        <w:footnoteReference w:id="11"/>
      </w:r>
      <w:r w:rsidR="00E50584">
        <w:t xml:space="preserve"> </w:t>
      </w:r>
      <w:r>
        <w:t>was undertaken during development (the calendar portion and the dependency screener)</w:t>
      </w:r>
      <w:r w:rsidR="009723ED">
        <w:t xml:space="preserve">. </w:t>
      </w:r>
      <w:r>
        <w:t xml:space="preserve">The entire instrument and sampling protocols underwent beta testing and revisions at two large ADAM sites (New York and San Antonio) in the </w:t>
      </w:r>
      <w:r w:rsidR="007A5EAB">
        <w:t>fall</w:t>
      </w:r>
      <w:r>
        <w:t xml:space="preserve"> of 1999</w:t>
      </w:r>
      <w:r w:rsidR="009723ED">
        <w:t xml:space="preserve">. </w:t>
      </w:r>
      <w:r>
        <w:t>The modifications (see below) are minimal and designed to capture updated information on prescription drug prices, combat veteran status and eligibility for Veteran’s Administration benefits, and better understand the changing legal climate for marijuana purchasers.</w:t>
      </w:r>
    </w:p>
    <w:p w:rsidR="008B3C86" w:rsidRPr="006E2799" w:rsidRDefault="003572EB" w:rsidP="006E2799">
      <w:r>
        <w:t>ADAM II</w:t>
      </w:r>
      <w:r w:rsidR="008B3C86" w:rsidRPr="006E2799">
        <w:t xml:space="preserve"> has the advantage of being able to assess the validity of one of its most important pieces of data, self-report of drug use, through a separate source, the urine test results</w:t>
      </w:r>
      <w:r w:rsidR="009723ED" w:rsidRPr="006E2799">
        <w:t xml:space="preserve">. </w:t>
      </w:r>
      <w:r w:rsidR="008B3C86" w:rsidRPr="006E2799">
        <w:t>While there is variation in the reliability of time frames for particular drugs in urine tests, the rate of truth telling can be approximated</w:t>
      </w:r>
      <w:r w:rsidR="009723ED" w:rsidRPr="006E2799">
        <w:t xml:space="preserve">. </w:t>
      </w:r>
      <w:r w:rsidR="008B3C86" w:rsidRPr="006E2799">
        <w:t>Specifically, ignoring a small rate of false positive tests, arrestees who test positive for a drug have used that drug within the last two or three days (</w:t>
      </w:r>
      <w:r w:rsidR="00A3745D">
        <w:t>30 days</w:t>
      </w:r>
      <w:r w:rsidR="00A3745D" w:rsidRPr="006E2799">
        <w:t xml:space="preserve"> </w:t>
      </w:r>
      <w:r w:rsidR="008B3C86" w:rsidRPr="006E2799">
        <w:t>for marijuana)</w:t>
      </w:r>
      <w:r w:rsidR="009723ED" w:rsidRPr="006E2799">
        <w:t xml:space="preserve">. </w:t>
      </w:r>
      <w:r w:rsidR="008B3C86" w:rsidRPr="006E2799">
        <w:rPr>
          <w:rFonts w:eastAsia="Calibri"/>
        </w:rPr>
        <w:t xml:space="preserve">Across 4 drugs and all 5 ADAM II sites, the proportion telling the truth was extremely high in 2012. For marijuana, 82 percent of arrestees were consistent in their response to self-reported use and the results of the testing of their urine specimen. A similar percent of congruence was identified for cocaine (88 percent) and even higher rates for heroin (95 percent) and methamphetamine (96 percent). </w:t>
      </w:r>
      <w:r w:rsidR="008B3C86" w:rsidRPr="006E2799">
        <w:t>This proportion is driven, in large part, by the high number of arrestees who do not report any drug use and do not test positive for any drugs</w:t>
      </w:r>
      <w:r w:rsidR="009723ED" w:rsidRPr="006E2799">
        <w:t xml:space="preserve">. </w:t>
      </w:r>
    </w:p>
    <w:p w:rsidR="008B3C86" w:rsidRDefault="008B3C86" w:rsidP="009723ED">
      <w:r>
        <w:t xml:space="preserve">Protocols for sampling in </w:t>
      </w:r>
      <w:r w:rsidR="003572EB">
        <w:t>ADAM II</w:t>
      </w:r>
      <w:r>
        <w:t xml:space="preserve"> are identical to those used and approved in ADAM</w:t>
      </w:r>
      <w:r w:rsidR="009723ED">
        <w:t xml:space="preserve">. </w:t>
      </w:r>
      <w:r>
        <w:t xml:space="preserve">For </w:t>
      </w:r>
      <w:r w:rsidR="003572EB">
        <w:t>ADAM II</w:t>
      </w:r>
      <w:r>
        <w:t>, revisions to the original ADAM instrument and protocols are minimal</w:t>
      </w:r>
      <w:r w:rsidR="009723ED">
        <w:t xml:space="preserve">. </w:t>
      </w:r>
      <w:r>
        <w:t xml:space="preserve">As discussed in Section A, due to budgetary constraints, </w:t>
      </w:r>
      <w:r w:rsidR="003572EB">
        <w:t>ADAM II</w:t>
      </w:r>
      <w:r>
        <w:t xml:space="preserve"> will have fewer sentinel sites than past ADAM data collections; </w:t>
      </w:r>
      <w:r w:rsidR="003572EB">
        <w:t>ADAM II</w:t>
      </w:r>
      <w:r>
        <w:t xml:space="preserve"> will study five sit</w:t>
      </w:r>
      <w:r w:rsidRPr="009723ED">
        <w:t>e</w:t>
      </w:r>
      <w:r>
        <w:t>s</w:t>
      </w:r>
      <w:r w:rsidRPr="00770E2B">
        <w:t>.</w:t>
      </w:r>
      <w:r>
        <w:t xml:space="preserve"> Other p</w:t>
      </w:r>
      <w:r w:rsidRPr="00770E2B">
        <w:t xml:space="preserve">rocedural changes </w:t>
      </w:r>
      <w:r>
        <w:t>are</w:t>
      </w:r>
      <w:r w:rsidRPr="00770E2B">
        <w:t xml:space="preserve"> limited to a shorter total number of days for the data collection period (21 days instead of 28 days) and the elimination of one of the collection cycles (one quarter of collec</w:t>
      </w:r>
      <w:r>
        <w:t xml:space="preserve">tion instead of two quarters).The ONDCP ADAM </w:t>
      </w:r>
      <w:r w:rsidR="00A3745D">
        <w:t xml:space="preserve">II </w:t>
      </w:r>
      <w:r>
        <w:t>team has also added two questions designed to correct an omission in the original ADAM instrument—namely regarding community supervision and veteran status. Please refer to Section A for a more detailed discussion</w:t>
      </w:r>
      <w:r w:rsidR="009723ED">
        <w:t xml:space="preserve">. </w:t>
      </w:r>
    </w:p>
    <w:p w:rsidR="008B3C86" w:rsidRPr="006E2799" w:rsidRDefault="008B3C86" w:rsidP="006E2799">
      <w:r w:rsidRPr="006E2799">
        <w:t>No additional tests of procedures will be necessary for these changes</w:t>
      </w:r>
      <w:r w:rsidR="009723ED" w:rsidRPr="006E2799">
        <w:t xml:space="preserve">. </w:t>
      </w:r>
    </w:p>
    <w:p w:rsidR="008B3C86" w:rsidRDefault="008B3C86" w:rsidP="006E2799">
      <w:pPr>
        <w:pStyle w:val="Heading2"/>
      </w:pPr>
      <w:bookmarkStart w:id="23" w:name="_Toc249943243"/>
      <w:bookmarkStart w:id="24" w:name="_Toc343259234"/>
      <w:r>
        <w:t>Individuals Consulted on Statistical Aspects of the Design</w:t>
      </w:r>
      <w:bookmarkEnd w:id="23"/>
      <w:bookmarkEnd w:id="24"/>
    </w:p>
    <w:tbl>
      <w:tblPr>
        <w:tblW w:w="0" w:type="auto"/>
        <w:jc w:val="center"/>
        <w:shd w:val="clear" w:color="auto" w:fill="C3C6A8" w:themeFill="accent4"/>
        <w:tblLook w:val="0000" w:firstRow="0" w:lastRow="0" w:firstColumn="0" w:lastColumn="0" w:noHBand="0" w:noVBand="0"/>
      </w:tblPr>
      <w:tblGrid>
        <w:gridCol w:w="4024"/>
        <w:gridCol w:w="4004"/>
      </w:tblGrid>
      <w:tr w:rsidR="008B3C86" w:rsidRPr="006E2799" w:rsidTr="00D9321D">
        <w:trPr>
          <w:jc w:val="center"/>
        </w:trPr>
        <w:tc>
          <w:tcPr>
            <w:tcW w:w="4024" w:type="dxa"/>
            <w:shd w:val="clear" w:color="auto" w:fill="C3C6A8" w:themeFill="accent4"/>
          </w:tcPr>
          <w:p w:rsidR="008B3C86" w:rsidRPr="006E2799" w:rsidRDefault="003572EB" w:rsidP="006E2799">
            <w:pPr>
              <w:spacing w:after="0"/>
              <w:rPr>
                <w:rFonts w:ascii="Arial Narrow" w:hAnsi="Arial Narrow"/>
                <w:sz w:val="20"/>
              </w:rPr>
            </w:pPr>
            <w:r>
              <w:rPr>
                <w:rFonts w:ascii="Arial Narrow" w:hAnsi="Arial Narrow"/>
                <w:sz w:val="20"/>
              </w:rPr>
              <w:t>William Rhodes, Ph.D.</w:t>
            </w:r>
          </w:p>
        </w:tc>
        <w:tc>
          <w:tcPr>
            <w:tcW w:w="4004" w:type="dxa"/>
            <w:shd w:val="clear" w:color="auto" w:fill="C3C6A8" w:themeFill="accent4"/>
          </w:tcPr>
          <w:p w:rsidR="008B3C86" w:rsidRPr="006E2799" w:rsidRDefault="003572EB" w:rsidP="006E2799">
            <w:pPr>
              <w:spacing w:after="0"/>
              <w:rPr>
                <w:rFonts w:ascii="Arial Narrow" w:hAnsi="Arial Narrow"/>
                <w:sz w:val="20"/>
              </w:rPr>
            </w:pPr>
            <w:r>
              <w:rPr>
                <w:rFonts w:ascii="Arial Narrow" w:hAnsi="Arial Narrow"/>
                <w:sz w:val="20"/>
              </w:rPr>
              <w:t>Dana Hunt, Ph.D.</w:t>
            </w:r>
          </w:p>
        </w:tc>
      </w:tr>
      <w:tr w:rsidR="006E2799" w:rsidRPr="006E2799" w:rsidTr="00D9321D">
        <w:trPr>
          <w:jc w:val="center"/>
        </w:trPr>
        <w:tc>
          <w:tcPr>
            <w:tcW w:w="4024" w:type="dxa"/>
            <w:shd w:val="clear" w:color="auto" w:fill="C3C6A8" w:themeFill="accent4"/>
          </w:tcPr>
          <w:p w:rsidR="006E2799" w:rsidRPr="006E2799" w:rsidRDefault="003572EB" w:rsidP="006E2799">
            <w:pPr>
              <w:spacing w:after="0"/>
              <w:rPr>
                <w:rFonts w:ascii="Arial Narrow" w:hAnsi="Arial Narrow"/>
                <w:sz w:val="20"/>
              </w:rPr>
            </w:pPr>
            <w:r>
              <w:rPr>
                <w:rFonts w:ascii="Arial Narrow" w:hAnsi="Arial Narrow"/>
                <w:sz w:val="20"/>
              </w:rPr>
              <w:t>Fe Caces, Ph.D.</w:t>
            </w:r>
          </w:p>
        </w:tc>
        <w:tc>
          <w:tcPr>
            <w:tcW w:w="4004" w:type="dxa"/>
            <w:shd w:val="clear" w:color="auto" w:fill="C3C6A8" w:themeFill="accent4"/>
          </w:tcPr>
          <w:p w:rsidR="006E2799" w:rsidRPr="006E2799" w:rsidRDefault="003572EB" w:rsidP="006E2799">
            <w:pPr>
              <w:spacing w:after="0"/>
              <w:rPr>
                <w:rFonts w:ascii="Arial Narrow" w:hAnsi="Arial Narrow"/>
                <w:sz w:val="20"/>
              </w:rPr>
            </w:pPr>
            <w:r>
              <w:rPr>
                <w:rFonts w:ascii="Arial Narrow" w:hAnsi="Arial Narrow"/>
                <w:sz w:val="20"/>
              </w:rPr>
              <w:t xml:space="preserve">Terry Zobeck, Ph.D. </w:t>
            </w:r>
          </w:p>
        </w:tc>
      </w:tr>
      <w:tr w:rsidR="003572EB" w:rsidRPr="006E2799" w:rsidTr="00D9321D">
        <w:trPr>
          <w:jc w:val="center"/>
        </w:trPr>
        <w:tc>
          <w:tcPr>
            <w:tcW w:w="4024" w:type="dxa"/>
            <w:shd w:val="clear" w:color="auto" w:fill="C3C6A8" w:themeFill="accent4"/>
          </w:tcPr>
          <w:p w:rsidR="003572EB" w:rsidRDefault="003572EB" w:rsidP="006E2799">
            <w:pPr>
              <w:spacing w:after="0"/>
              <w:rPr>
                <w:rFonts w:ascii="Arial Narrow" w:hAnsi="Arial Narrow"/>
                <w:sz w:val="20"/>
              </w:rPr>
            </w:pPr>
            <w:r>
              <w:rPr>
                <w:rFonts w:ascii="Arial Narrow" w:hAnsi="Arial Narrow"/>
                <w:sz w:val="20"/>
              </w:rPr>
              <w:t>Ryan Kling, M.A.</w:t>
            </w:r>
          </w:p>
        </w:tc>
        <w:tc>
          <w:tcPr>
            <w:tcW w:w="4004" w:type="dxa"/>
            <w:shd w:val="clear" w:color="auto" w:fill="C3C6A8" w:themeFill="accent4"/>
          </w:tcPr>
          <w:p w:rsidR="003572EB" w:rsidRDefault="00530A34" w:rsidP="006E2799">
            <w:pPr>
              <w:spacing w:after="0"/>
              <w:rPr>
                <w:rFonts w:ascii="Arial Narrow" w:hAnsi="Arial Narrow"/>
                <w:sz w:val="20"/>
              </w:rPr>
            </w:pPr>
            <w:r>
              <w:rPr>
                <w:rFonts w:ascii="Arial Narrow" w:hAnsi="Arial Narrow"/>
                <w:sz w:val="20"/>
              </w:rPr>
              <w:t>Richard Kulka, Ph.D.</w:t>
            </w:r>
          </w:p>
        </w:tc>
      </w:tr>
      <w:tr w:rsidR="00530A34" w:rsidRPr="006E2799" w:rsidTr="00D9321D">
        <w:trPr>
          <w:jc w:val="center"/>
        </w:trPr>
        <w:tc>
          <w:tcPr>
            <w:tcW w:w="4024" w:type="dxa"/>
            <w:shd w:val="clear" w:color="auto" w:fill="C3C6A8" w:themeFill="accent4"/>
          </w:tcPr>
          <w:p w:rsidR="00530A34" w:rsidRDefault="00530A34" w:rsidP="00F33018">
            <w:pPr>
              <w:spacing w:after="0"/>
              <w:rPr>
                <w:rFonts w:ascii="Arial Narrow" w:hAnsi="Arial Narrow"/>
                <w:sz w:val="20"/>
              </w:rPr>
            </w:pPr>
            <w:r>
              <w:rPr>
                <w:rFonts w:ascii="Arial Narrow" w:hAnsi="Arial Narrow"/>
                <w:sz w:val="20"/>
              </w:rPr>
              <w:t xml:space="preserve">Michael Battaglia </w:t>
            </w:r>
          </w:p>
        </w:tc>
        <w:tc>
          <w:tcPr>
            <w:tcW w:w="4004" w:type="dxa"/>
            <w:shd w:val="clear" w:color="auto" w:fill="C3C6A8" w:themeFill="accent4"/>
          </w:tcPr>
          <w:p w:rsidR="00530A34" w:rsidRDefault="00530A34" w:rsidP="006E2799">
            <w:pPr>
              <w:spacing w:after="0"/>
              <w:rPr>
                <w:rFonts w:ascii="Arial Narrow" w:hAnsi="Arial Narrow"/>
                <w:sz w:val="20"/>
              </w:rPr>
            </w:pPr>
          </w:p>
        </w:tc>
      </w:tr>
      <w:bookmarkEnd w:id="4"/>
    </w:tbl>
    <w:p w:rsidR="008B3C86" w:rsidRPr="006E2799" w:rsidRDefault="008B3C86" w:rsidP="006E2799"/>
    <w:sectPr w:rsidR="008B3C86" w:rsidRPr="006E2799" w:rsidSect="008B3C86">
      <w:footerReference w:type="default" r:id="rId27"/>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6D" w:rsidRDefault="00FB236D" w:rsidP="00D979EA">
      <w:r>
        <w:separator/>
      </w:r>
    </w:p>
  </w:endnote>
  <w:endnote w:type="continuationSeparator" w:id="0">
    <w:p w:rsidR="00FB236D" w:rsidRDefault="00FB236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27" w:rsidRDefault="0048162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27" w:rsidRPr="0066134E" w:rsidRDefault="00481627" w:rsidP="00D979EA">
    <w:pPr>
      <w:pStyle w:val="Footer"/>
    </w:pPr>
    <w:r w:rsidRPr="00967D7C">
      <w:rPr>
        <w:color w:val="DA291C"/>
      </w:rPr>
      <w:t>Abt Associates Inc.</w:t>
    </w: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31A42">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27" w:rsidRPr="0066134E" w:rsidRDefault="00481627" w:rsidP="000A0225">
    <w:pPr>
      <w:pStyle w:val="Footer"/>
      <w:tabs>
        <w:tab w:val="clear" w:pos="4507"/>
      </w:tabs>
    </w:pPr>
    <w:r w:rsidRPr="00967D7C">
      <w:rPr>
        <w:color w:val="DA291C"/>
      </w:rPr>
      <w:t>Abt Associates Inc.</w:t>
    </w:r>
    <w:r>
      <w:tab/>
    </w:r>
    <w:r w:rsidRPr="000A0225">
      <w:rPr>
        <w:rStyle w:val="PageNumber"/>
        <w:b/>
      </w:rPr>
      <w:t>Request for</w:t>
    </w:r>
    <w:r>
      <w:rPr>
        <w:rStyle w:val="PageNumber"/>
        <w:b/>
      </w:rPr>
      <w:t xml:space="preserve"> </w:t>
    </w:r>
    <w:r w:rsidRPr="000A0225">
      <w:rPr>
        <w:rStyle w:val="PageNumber"/>
        <w:b/>
      </w:rPr>
      <w:t>OMB Review</w:t>
    </w:r>
    <w:r>
      <w:rPr>
        <w:rStyle w:val="PageNumber"/>
        <w:b/>
      </w:rPr>
      <w:t xml:space="preserve"> –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31A42">
      <w:rPr>
        <w:rStyle w:val="PageNumber"/>
        <w:b/>
        <w:noProof/>
        <w:color w:val="DA291C"/>
      </w:rPr>
      <w:t>27</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6D" w:rsidRDefault="00FB236D" w:rsidP="00D979EA">
      <w:r>
        <w:separator/>
      </w:r>
    </w:p>
  </w:footnote>
  <w:footnote w:type="continuationSeparator" w:id="0">
    <w:p w:rsidR="00FB236D" w:rsidRDefault="00FB236D" w:rsidP="00D979EA">
      <w:r>
        <w:continuationSeparator/>
      </w:r>
    </w:p>
  </w:footnote>
  <w:footnote w:id="1">
    <w:p w:rsidR="00481627" w:rsidRDefault="00481627" w:rsidP="00EA0BBD">
      <w:pPr>
        <w:pStyle w:val="FootnoteText"/>
      </w:pPr>
      <w:r>
        <w:rPr>
          <w:rStyle w:val="FootnoteReference"/>
        </w:rPr>
        <w:footnoteRef/>
      </w:r>
      <w:r>
        <w:t xml:space="preserve"> </w:t>
      </w:r>
      <w:r>
        <w:tab/>
        <w:t xml:space="preserve">It would have been possible to sample small jails and station interviewers in those facilities to provide representation for arrestees who do not appear in the included jails. However, so few arrestees are booked into the small jails that interviewers would spend most of their time waiting for arrivals. The resulting sample from the small jails would have a sampling variance that was so large that the small-jail estimate could not add appreciable information to a sample based exclusively on the large jail. A second jail in </w:t>
      </w:r>
      <w:smartTag w:uri="urn:schemas-microsoft-com:office:smarttags" w:element="City">
        <w:smartTag w:uri="urn:schemas-microsoft-com:office:smarttags" w:element="place">
          <w:r>
            <w:t>Manhattan</w:t>
          </w:r>
        </w:smartTag>
      </w:smartTag>
      <w:r>
        <w:t xml:space="preserve"> was eliminated because it has a specialized caseload of public nuisance crimes and was excluded during 2002 and 2003 by ADAM.</w:t>
      </w:r>
    </w:p>
  </w:footnote>
  <w:footnote w:id="2">
    <w:p w:rsidR="00481627" w:rsidRDefault="00481627" w:rsidP="00EA0BBD">
      <w:pPr>
        <w:pStyle w:val="FootnoteText"/>
      </w:pPr>
      <w:r>
        <w:rPr>
          <w:rStyle w:val="FootnoteReference"/>
        </w:rPr>
        <w:footnoteRef/>
      </w:r>
      <w:r>
        <w:t xml:space="preserve"> </w:t>
      </w:r>
      <w:r>
        <w:tab/>
        <w:t>A large proportion of minor misdemeanants is booked and released from over 100 small city precincts and suburban law enforcement facilities. It is impractical to sample from those facilities and, in any case, does not impact substantially estimates obtained from the facilities selected.</w:t>
      </w:r>
    </w:p>
  </w:footnote>
  <w:footnote w:id="3">
    <w:p w:rsidR="00481627" w:rsidRPr="00B67662" w:rsidRDefault="00481627" w:rsidP="0069211A">
      <w:pPr>
        <w:rPr>
          <w:sz w:val="20"/>
        </w:rPr>
      </w:pPr>
      <w:r>
        <w:rPr>
          <w:rStyle w:val="FootnoteReference"/>
        </w:rPr>
        <w:footnoteRef/>
      </w:r>
      <w:r>
        <w:t xml:space="preserve"> </w:t>
      </w:r>
      <w:r w:rsidRPr="00B67662">
        <w:rPr>
          <w:sz w:val="20"/>
        </w:rPr>
        <w:t xml:space="preserve">Kish, L, (1965), </w:t>
      </w:r>
      <w:r w:rsidRPr="00B67662">
        <w:rPr>
          <w:i/>
          <w:iCs/>
          <w:sz w:val="20"/>
        </w:rPr>
        <w:t>Survey Sampling</w:t>
      </w:r>
      <w:r w:rsidRPr="00B67662">
        <w:rPr>
          <w:sz w:val="20"/>
        </w:rPr>
        <w:t xml:space="preserve">, New York: John Wiley &amp; Sons, </w:t>
      </w:r>
      <w:r w:rsidR="00F551E7" w:rsidRPr="00B67662">
        <w:rPr>
          <w:sz w:val="20"/>
        </w:rPr>
        <w:t>Inc. Lohr</w:t>
      </w:r>
      <w:r w:rsidRPr="00B67662">
        <w:rPr>
          <w:sz w:val="20"/>
        </w:rPr>
        <w:t xml:space="preserve">, S, (1999), </w:t>
      </w:r>
      <w:r w:rsidRPr="00B67662">
        <w:rPr>
          <w:i/>
          <w:iCs/>
          <w:sz w:val="20"/>
        </w:rPr>
        <w:t>Sampling: Design and Analysis</w:t>
      </w:r>
      <w:r w:rsidRPr="00B67662">
        <w:rPr>
          <w:sz w:val="20"/>
        </w:rPr>
        <w:t>, Pacific Grove, CA: Duxbury Press</w:t>
      </w:r>
    </w:p>
  </w:footnote>
  <w:footnote w:id="4">
    <w:p w:rsidR="00B67662" w:rsidRPr="00850F06" w:rsidRDefault="00B67662" w:rsidP="00B67662">
      <w:pPr>
        <w:pStyle w:val="Bullets"/>
        <w:numPr>
          <w:ilvl w:val="0"/>
          <w:numId w:val="0"/>
        </w:numPr>
        <w:spacing w:line="240" w:lineRule="auto"/>
        <w:rPr>
          <w:sz w:val="20"/>
        </w:rPr>
      </w:pPr>
      <w:r>
        <w:rPr>
          <w:rStyle w:val="FootnoteReference"/>
        </w:rPr>
        <w:footnoteRef/>
      </w:r>
      <w:r>
        <w:t xml:space="preserve"> </w:t>
      </w:r>
      <w:hyperlink r:id="rId1" w:history="1">
        <w:r w:rsidRPr="00850F06">
          <w:rPr>
            <w:rStyle w:val="Hyperlink"/>
            <w:sz w:val="20"/>
          </w:rPr>
          <w:t>http://www.whitehouse.gov/sites/default/files/ondcp/policy-and-research/adam2011.pdf</w:t>
        </w:r>
      </w:hyperlink>
    </w:p>
    <w:p w:rsidR="00B67662" w:rsidRDefault="00B67662" w:rsidP="00B67662">
      <w:pPr>
        <w:pStyle w:val="FootnoteText"/>
      </w:pPr>
    </w:p>
  </w:footnote>
  <w:footnote w:id="5">
    <w:p w:rsidR="00481627" w:rsidRDefault="00481627" w:rsidP="00EE68B0">
      <w:pPr>
        <w:tabs>
          <w:tab w:val="left" w:pos="720"/>
          <w:tab w:val="left" w:pos="1080"/>
          <w:tab w:val="left" w:pos="1440"/>
          <w:tab w:val="left" w:pos="1800"/>
        </w:tabs>
        <w:spacing w:after="0" w:line="240" w:lineRule="auto"/>
        <w:rPr>
          <w:sz w:val="18"/>
          <w:szCs w:val="18"/>
        </w:rPr>
      </w:pPr>
      <w:r>
        <w:rPr>
          <w:rStyle w:val="FootnoteReference"/>
        </w:rPr>
        <w:footnoteRef/>
      </w:r>
      <w:r>
        <w:t xml:space="preserve"> Again, t</w:t>
      </w:r>
      <w:r w:rsidRPr="0068518C">
        <w:rPr>
          <w:sz w:val="18"/>
          <w:szCs w:val="18"/>
        </w:rPr>
        <w:t>o be eligible for interview, in each county an arrestee must be: male, over 18, arrested no longer than 48 hours prior to the interview, coherent enough to answer questions and not</w:t>
      </w:r>
      <w:r>
        <w:rPr>
          <w:sz w:val="18"/>
          <w:szCs w:val="18"/>
        </w:rPr>
        <w:t xml:space="preserve"> in the jail as a hold for a federal agency.</w:t>
      </w:r>
      <w:r w:rsidRPr="0068518C">
        <w:rPr>
          <w:sz w:val="18"/>
          <w:szCs w:val="18"/>
        </w:rPr>
        <w:t xml:space="preserve"> </w:t>
      </w:r>
    </w:p>
    <w:p w:rsidR="00481627" w:rsidRPr="0068518C" w:rsidRDefault="00481627" w:rsidP="00EE68B0">
      <w:pPr>
        <w:tabs>
          <w:tab w:val="left" w:pos="720"/>
          <w:tab w:val="left" w:pos="1080"/>
          <w:tab w:val="left" w:pos="1440"/>
          <w:tab w:val="left" w:pos="1800"/>
        </w:tabs>
        <w:spacing w:after="0" w:line="240" w:lineRule="auto"/>
        <w:rPr>
          <w:sz w:val="18"/>
          <w:szCs w:val="18"/>
        </w:rPr>
      </w:pPr>
    </w:p>
  </w:footnote>
  <w:footnote w:id="6">
    <w:p w:rsidR="00481627" w:rsidRDefault="00481627" w:rsidP="00EE68B0">
      <w:pPr>
        <w:pStyle w:val="FootnoteText"/>
      </w:pPr>
      <w:r>
        <w:rPr>
          <w:rStyle w:val="FootnoteReference"/>
        </w:rPr>
        <w:footnoteRef/>
      </w:r>
      <w:r>
        <w:t xml:space="preserve"> The probability of selection is lower on busier days and at busier times of the day.</w:t>
      </w:r>
    </w:p>
  </w:footnote>
  <w:footnote w:id="7">
    <w:p w:rsidR="00481627" w:rsidRPr="00B67662" w:rsidRDefault="00481627" w:rsidP="004475E0">
      <w:pPr>
        <w:tabs>
          <w:tab w:val="left" w:pos="720"/>
          <w:tab w:val="left" w:pos="1080"/>
          <w:tab w:val="left" w:pos="1440"/>
          <w:tab w:val="left" w:pos="1800"/>
        </w:tabs>
        <w:spacing w:after="0" w:line="240" w:lineRule="auto"/>
        <w:mirrorIndents/>
        <w:rPr>
          <w:rFonts w:cs="Calibri"/>
          <w:sz w:val="20"/>
        </w:rPr>
      </w:pPr>
      <w:r>
        <w:rPr>
          <w:rStyle w:val="FootnoteReference"/>
        </w:rPr>
        <w:footnoteRef/>
      </w:r>
      <w:r>
        <w:t xml:space="preserve"> </w:t>
      </w:r>
      <w:r w:rsidRPr="00B67662">
        <w:rPr>
          <w:rFonts w:cs="Calibri"/>
          <w:sz w:val="20"/>
        </w:rPr>
        <w:t xml:space="preserve">Rosenbaum, P. (1984) “From association to causation in observational studies: The role of tests of strongly ignorable treatment assignment,” </w:t>
      </w:r>
      <w:r w:rsidRPr="00B67662">
        <w:rPr>
          <w:rFonts w:cs="Calibri"/>
          <w:i/>
          <w:iCs/>
          <w:sz w:val="20"/>
        </w:rPr>
        <w:t>Journal of the American Statistical Association</w:t>
      </w:r>
      <w:r w:rsidRPr="00B67662">
        <w:rPr>
          <w:rFonts w:cs="Calibri"/>
          <w:sz w:val="20"/>
        </w:rPr>
        <w:t xml:space="preserve"> Vol 79 (385): 41-48; Rosenbaum, P. and Rubin, D (1984) “Reducing bias in observational studies using sub classification on the propensity score,” </w:t>
      </w:r>
      <w:r w:rsidRPr="00B67662">
        <w:rPr>
          <w:rFonts w:cs="Calibri"/>
          <w:i/>
          <w:iCs/>
          <w:sz w:val="20"/>
        </w:rPr>
        <w:t>Journal of the American Statistical Association</w:t>
      </w:r>
      <w:r w:rsidRPr="00B67662">
        <w:rPr>
          <w:rFonts w:cs="Calibri"/>
          <w:sz w:val="20"/>
        </w:rPr>
        <w:t>, Vol 79 (387): 516-524.</w:t>
      </w:r>
    </w:p>
    <w:p w:rsidR="00481627" w:rsidRPr="00B67662" w:rsidRDefault="00481627">
      <w:pPr>
        <w:pStyle w:val="FootnoteText"/>
      </w:pPr>
    </w:p>
  </w:footnote>
  <w:footnote w:id="8">
    <w:p w:rsidR="00481627" w:rsidRPr="00B67662" w:rsidRDefault="00481627" w:rsidP="004475E0">
      <w:pPr>
        <w:tabs>
          <w:tab w:val="left" w:pos="720"/>
          <w:tab w:val="left" w:pos="1080"/>
          <w:tab w:val="left" w:pos="1440"/>
          <w:tab w:val="left" w:pos="1800"/>
        </w:tabs>
        <w:spacing w:after="0" w:line="240" w:lineRule="auto"/>
        <w:mirrorIndents/>
        <w:rPr>
          <w:rFonts w:cs="Calibri"/>
          <w:sz w:val="20"/>
        </w:rPr>
      </w:pPr>
      <w:r w:rsidRPr="00B67662">
        <w:rPr>
          <w:rStyle w:val="FootnoteReference"/>
          <w:sz w:val="20"/>
        </w:rPr>
        <w:footnoteRef/>
      </w:r>
      <w:r w:rsidRPr="00B67662">
        <w:rPr>
          <w:sz w:val="20"/>
        </w:rPr>
        <w:t xml:space="preserve"> </w:t>
      </w:r>
      <w:r w:rsidRPr="00B67662">
        <w:rPr>
          <w:rFonts w:cs="Calibri"/>
          <w:sz w:val="20"/>
        </w:rPr>
        <w:t xml:space="preserve">Rotnitzky, A. and Robins, J. (1995) “Semi parametric regression estimation in the presence of dependent censoring,” </w:t>
      </w:r>
      <w:r w:rsidRPr="00B67662">
        <w:rPr>
          <w:rFonts w:cs="Calibri"/>
          <w:i/>
          <w:iCs/>
          <w:sz w:val="20"/>
        </w:rPr>
        <w:t>Biometrica</w:t>
      </w:r>
      <w:r w:rsidRPr="00B67662">
        <w:rPr>
          <w:rFonts w:cs="Calibri"/>
          <w:sz w:val="20"/>
        </w:rPr>
        <w:t xml:space="preserve"> Vol 82 (4): 805-820.</w:t>
      </w:r>
    </w:p>
    <w:p w:rsidR="00481627" w:rsidRPr="00B67662" w:rsidRDefault="00481627">
      <w:pPr>
        <w:pStyle w:val="FootnoteText"/>
      </w:pPr>
    </w:p>
  </w:footnote>
  <w:footnote w:id="9">
    <w:p w:rsidR="00481627" w:rsidRPr="00B67662" w:rsidRDefault="00481627" w:rsidP="004475E0">
      <w:pPr>
        <w:tabs>
          <w:tab w:val="left" w:pos="720"/>
          <w:tab w:val="left" w:pos="1080"/>
          <w:tab w:val="left" w:pos="1440"/>
          <w:tab w:val="left" w:pos="1800"/>
        </w:tabs>
        <w:spacing w:after="0" w:line="240" w:lineRule="auto"/>
        <w:mirrorIndents/>
        <w:rPr>
          <w:rFonts w:cs="Calibri"/>
          <w:sz w:val="20"/>
        </w:rPr>
      </w:pPr>
      <w:r w:rsidRPr="00B67662">
        <w:rPr>
          <w:rStyle w:val="FootnoteReference"/>
          <w:sz w:val="20"/>
        </w:rPr>
        <w:footnoteRef/>
      </w:r>
      <w:r w:rsidRPr="00B67662">
        <w:rPr>
          <w:sz w:val="20"/>
        </w:rPr>
        <w:t xml:space="preserve"> </w:t>
      </w:r>
      <w:r w:rsidRPr="00B67662">
        <w:rPr>
          <w:rFonts w:cs="Calibri"/>
          <w:sz w:val="20"/>
        </w:rPr>
        <w:t xml:space="preserve">Wooldridge, J (2003) Cluster sample methods in applied econometrics,” </w:t>
      </w:r>
      <w:r w:rsidRPr="00B67662">
        <w:rPr>
          <w:rFonts w:cs="Calibri"/>
          <w:i/>
          <w:iCs/>
          <w:sz w:val="20"/>
        </w:rPr>
        <w:t xml:space="preserve">The American Economic Review </w:t>
      </w:r>
      <w:r w:rsidRPr="00B67662">
        <w:rPr>
          <w:rFonts w:cs="Calibri"/>
          <w:sz w:val="20"/>
        </w:rPr>
        <w:t>Vol 93 (2): 133-138.</w:t>
      </w:r>
    </w:p>
    <w:p w:rsidR="00481627" w:rsidRDefault="00481627" w:rsidP="004475E0">
      <w:pPr>
        <w:pStyle w:val="FootnoteText"/>
        <w:ind w:left="0" w:firstLine="0"/>
      </w:pPr>
    </w:p>
  </w:footnote>
  <w:footnote w:id="10">
    <w:p w:rsidR="00481627" w:rsidRPr="002A01BF" w:rsidRDefault="00481627" w:rsidP="002A01BF">
      <w:pPr>
        <w:tabs>
          <w:tab w:val="left" w:pos="720"/>
          <w:tab w:val="left" w:pos="1080"/>
          <w:tab w:val="left" w:pos="1440"/>
          <w:tab w:val="left" w:pos="1800"/>
        </w:tabs>
        <w:spacing w:after="0" w:line="240" w:lineRule="auto"/>
        <w:mirrorIndents/>
        <w:rPr>
          <w:rFonts w:cs="Calibri"/>
          <w:sz w:val="18"/>
          <w:szCs w:val="18"/>
        </w:rPr>
      </w:pPr>
      <w:r w:rsidRPr="002A01BF">
        <w:rPr>
          <w:rStyle w:val="FootnoteReference"/>
          <w:sz w:val="18"/>
          <w:szCs w:val="18"/>
        </w:rPr>
        <w:footnoteRef/>
      </w:r>
      <w:r w:rsidRPr="002A01BF">
        <w:rPr>
          <w:sz w:val="18"/>
          <w:szCs w:val="18"/>
        </w:rPr>
        <w:t xml:space="preserve"> </w:t>
      </w:r>
      <w:r w:rsidRPr="002A01BF">
        <w:rPr>
          <w:rFonts w:cs="Calibri"/>
          <w:sz w:val="18"/>
          <w:szCs w:val="18"/>
        </w:rPr>
        <w:t>Rubin, D.  (1987)  Multiple Imputation for Nonresponse in Surveys.  New York, John Wiley &amp; Sons; Schaefer, J.  (1997)  Analysis of Incomplete Multivariate Data, New York, Chapman and Hall.</w:t>
      </w:r>
    </w:p>
    <w:p w:rsidR="00481627" w:rsidRDefault="00481627" w:rsidP="002A01BF">
      <w:pPr>
        <w:pStyle w:val="FootnoteText"/>
      </w:pPr>
      <w:r w:rsidRPr="006E693A">
        <w:t xml:space="preserve"> </w:t>
      </w:r>
    </w:p>
  </w:footnote>
  <w:footnote w:id="11">
    <w:p w:rsidR="00481627" w:rsidRDefault="00481627" w:rsidP="006E2799">
      <w:pPr>
        <w:pStyle w:val="FootnoteText"/>
      </w:pPr>
      <w:r>
        <w:rPr>
          <w:rStyle w:val="FootnoteReference"/>
        </w:rPr>
        <w:footnoteRef/>
      </w:r>
      <w:r>
        <w:t xml:space="preserve"> </w:t>
      </w:r>
      <w:r>
        <w:tab/>
        <w:t xml:space="preserve">Hoffman, N., Hunt, D., Rhodes, W. and Riley, J. (2003). UNCOPE:  A brief substance abuse screener for use with arrestees, </w:t>
      </w:r>
      <w:r>
        <w:rPr>
          <w:i/>
          <w:iCs/>
        </w:rPr>
        <w:t>Journal of Drug Issues</w:t>
      </w:r>
      <w:r>
        <w:t>, Winter, 29–44.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27" w:rsidRPr="0005750B" w:rsidRDefault="00481627"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27" w:rsidRDefault="00481627" w:rsidP="0082033D">
    <w:pPr>
      <w:pStyle w:val="Header"/>
    </w:pPr>
    <w:r w:rsidRPr="000A0225">
      <w:t>Arrestee Drug Abuse Monitoring (</w:t>
    </w:r>
    <w:r>
      <w:t>ADAM II</w:t>
    </w:r>
    <w:r w:rsidRPr="000A0225">
      <w:t>)</w:t>
    </w:r>
    <w:r>
      <w:tab/>
    </w:r>
    <w:r>
      <w:tab/>
    </w:r>
    <w:r w:rsidRPr="00463FE0">
      <w:t>Contract #</w:t>
    </w:r>
    <w:r>
      <w:t xml:space="preserve"> TPD-NDC-10-K-00002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26C0FE5"/>
    <w:multiLevelType w:val="hybridMultilevel"/>
    <w:tmpl w:val="F364E9A4"/>
    <w:lvl w:ilvl="0" w:tplc="A56CD3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3EAD33C4"/>
    <w:multiLevelType w:val="multilevel"/>
    <w:tmpl w:val="757A6A1C"/>
    <w:lvl w:ilvl="0">
      <w:start w:val="2"/>
      <w:numFmt w:val="upperLetter"/>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02A3F95"/>
    <w:multiLevelType w:val="hybridMultilevel"/>
    <w:tmpl w:val="03FC5CCE"/>
    <w:lvl w:ilvl="0" w:tplc="6A70C5FC">
      <w:start w:val="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5">
    <w:nsid w:val="4A0E370F"/>
    <w:multiLevelType w:val="singleLevel"/>
    <w:tmpl w:val="B20018D2"/>
    <w:lvl w:ilvl="0">
      <w:start w:val="1"/>
      <w:numFmt w:val="decimal"/>
      <w:lvlText w:val="%1."/>
      <w:lvlJc w:val="left"/>
      <w:pPr>
        <w:tabs>
          <w:tab w:val="num" w:pos="1080"/>
        </w:tabs>
        <w:ind w:left="1080" w:hanging="360"/>
      </w:pPr>
    </w:lvl>
  </w:abstractNum>
  <w:abstractNum w:abstractNumId="26">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8">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9">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0">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5E1ED3"/>
    <w:multiLevelType w:val="hybridMultilevel"/>
    <w:tmpl w:val="8F902718"/>
    <w:lvl w:ilvl="0" w:tplc="EDB8682C">
      <w:start w:val="1"/>
      <w:numFmt w:val="bullet"/>
      <w:lvlText w:val=""/>
      <w:lvlJc w:val="left"/>
      <w:pPr>
        <w:tabs>
          <w:tab w:val="num" w:pos="720"/>
        </w:tabs>
        <w:ind w:left="720" w:hanging="360"/>
      </w:pPr>
      <w:rPr>
        <w:rFonts w:ascii="Symbol" w:hAnsi="Symbol" w:hint="default"/>
      </w:rPr>
    </w:lvl>
    <w:lvl w:ilvl="1" w:tplc="CF5ED57E" w:tentative="1">
      <w:start w:val="1"/>
      <w:numFmt w:val="bullet"/>
      <w:lvlText w:val="o"/>
      <w:lvlJc w:val="left"/>
      <w:pPr>
        <w:tabs>
          <w:tab w:val="num" w:pos="1440"/>
        </w:tabs>
        <w:ind w:left="1440" w:hanging="360"/>
      </w:pPr>
      <w:rPr>
        <w:rFonts w:ascii="Arial" w:hAnsi="Arial" w:cs="Arial" w:hint="default"/>
      </w:rPr>
    </w:lvl>
    <w:lvl w:ilvl="2" w:tplc="F9606132" w:tentative="1">
      <w:start w:val="1"/>
      <w:numFmt w:val="bullet"/>
      <w:lvlText w:val=""/>
      <w:lvlJc w:val="left"/>
      <w:pPr>
        <w:tabs>
          <w:tab w:val="num" w:pos="2160"/>
        </w:tabs>
        <w:ind w:left="2160" w:hanging="360"/>
      </w:pPr>
      <w:rPr>
        <w:rFonts w:ascii="Arial Narrow" w:hAnsi="Arial Narrow" w:hint="default"/>
      </w:rPr>
    </w:lvl>
    <w:lvl w:ilvl="3" w:tplc="56845B5C" w:tentative="1">
      <w:start w:val="1"/>
      <w:numFmt w:val="bullet"/>
      <w:lvlText w:val=""/>
      <w:lvlJc w:val="left"/>
      <w:pPr>
        <w:tabs>
          <w:tab w:val="num" w:pos="2880"/>
        </w:tabs>
        <w:ind w:left="2880" w:hanging="360"/>
      </w:pPr>
      <w:rPr>
        <w:rFonts w:ascii="Symbol" w:hAnsi="Symbol" w:hint="default"/>
      </w:rPr>
    </w:lvl>
    <w:lvl w:ilvl="4" w:tplc="35987B5C" w:tentative="1">
      <w:start w:val="1"/>
      <w:numFmt w:val="bullet"/>
      <w:lvlText w:val="o"/>
      <w:lvlJc w:val="left"/>
      <w:pPr>
        <w:tabs>
          <w:tab w:val="num" w:pos="3600"/>
        </w:tabs>
        <w:ind w:left="3600" w:hanging="360"/>
      </w:pPr>
      <w:rPr>
        <w:rFonts w:ascii="Arial" w:hAnsi="Arial" w:cs="Arial" w:hint="default"/>
      </w:rPr>
    </w:lvl>
    <w:lvl w:ilvl="5" w:tplc="EAE84394" w:tentative="1">
      <w:start w:val="1"/>
      <w:numFmt w:val="bullet"/>
      <w:lvlText w:val=""/>
      <w:lvlJc w:val="left"/>
      <w:pPr>
        <w:tabs>
          <w:tab w:val="num" w:pos="4320"/>
        </w:tabs>
        <w:ind w:left="4320" w:hanging="360"/>
      </w:pPr>
      <w:rPr>
        <w:rFonts w:ascii="Arial Narrow" w:hAnsi="Arial Narrow" w:hint="default"/>
      </w:rPr>
    </w:lvl>
    <w:lvl w:ilvl="6" w:tplc="F7BA606E" w:tentative="1">
      <w:start w:val="1"/>
      <w:numFmt w:val="bullet"/>
      <w:lvlText w:val=""/>
      <w:lvlJc w:val="left"/>
      <w:pPr>
        <w:tabs>
          <w:tab w:val="num" w:pos="5040"/>
        </w:tabs>
        <w:ind w:left="5040" w:hanging="360"/>
      </w:pPr>
      <w:rPr>
        <w:rFonts w:ascii="Symbol" w:hAnsi="Symbol" w:hint="default"/>
      </w:rPr>
    </w:lvl>
    <w:lvl w:ilvl="7" w:tplc="FB92ABCC" w:tentative="1">
      <w:start w:val="1"/>
      <w:numFmt w:val="bullet"/>
      <w:lvlText w:val="o"/>
      <w:lvlJc w:val="left"/>
      <w:pPr>
        <w:tabs>
          <w:tab w:val="num" w:pos="5760"/>
        </w:tabs>
        <w:ind w:left="5760" w:hanging="360"/>
      </w:pPr>
      <w:rPr>
        <w:rFonts w:ascii="Arial" w:hAnsi="Arial" w:cs="Arial" w:hint="default"/>
      </w:rPr>
    </w:lvl>
    <w:lvl w:ilvl="8" w:tplc="2176F736" w:tentative="1">
      <w:start w:val="1"/>
      <w:numFmt w:val="bullet"/>
      <w:lvlText w:val=""/>
      <w:lvlJc w:val="left"/>
      <w:pPr>
        <w:tabs>
          <w:tab w:val="num" w:pos="6480"/>
        </w:tabs>
        <w:ind w:left="6480" w:hanging="360"/>
      </w:pPr>
      <w:rPr>
        <w:rFonts w:ascii="Arial Narrow" w:hAnsi="Arial Narrow" w:hint="default"/>
      </w:rPr>
    </w:lvl>
  </w:abstractNum>
  <w:abstractNum w:abstractNumId="32">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6">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9">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4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41">
    <w:nsid w:val="777769B3"/>
    <w:multiLevelType w:val="singleLevel"/>
    <w:tmpl w:val="0409000F"/>
    <w:lvl w:ilvl="0">
      <w:start w:val="1"/>
      <w:numFmt w:val="decimal"/>
      <w:lvlText w:val="%1."/>
      <w:lvlJc w:val="left"/>
      <w:pPr>
        <w:tabs>
          <w:tab w:val="num" w:pos="360"/>
        </w:tabs>
        <w:ind w:left="360" w:hanging="360"/>
      </w:pPr>
    </w:lvl>
  </w:abstractNum>
  <w:abstractNum w:abstractNumId="42">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AD63DA6"/>
    <w:multiLevelType w:val="singleLevel"/>
    <w:tmpl w:val="93DCFEA0"/>
    <w:lvl w:ilvl="0">
      <w:start w:val="1"/>
      <w:numFmt w:val="bullet"/>
      <w:pStyle w:val="Bullets"/>
      <w:lvlText w:val=""/>
      <w:lvlJc w:val="left"/>
      <w:pPr>
        <w:ind w:left="360" w:hanging="360"/>
      </w:pPr>
      <w:rPr>
        <w:rFonts w:ascii="Symbol" w:hAnsi="Symbol" w:hint="default"/>
        <w:color w:val="DA291C"/>
        <w:sz w:val="22"/>
      </w:rPr>
    </w:lvl>
  </w:abstractNum>
  <w:abstractNum w:abstractNumId="46">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CB041E7"/>
    <w:multiLevelType w:val="singleLevel"/>
    <w:tmpl w:val="0ADE279C"/>
    <w:lvl w:ilvl="0">
      <w:start w:val="1"/>
      <w:numFmt w:val="decimal"/>
      <w:lvlText w:val="%1."/>
      <w:lvlJc w:val="left"/>
      <w:pPr>
        <w:tabs>
          <w:tab w:val="num" w:pos="720"/>
        </w:tabs>
        <w:ind w:left="720" w:hanging="360"/>
      </w:pPr>
    </w:lvl>
  </w:abstractNum>
  <w:abstractNum w:abstractNumId="48">
    <w:nsid w:val="7FCF753D"/>
    <w:multiLevelType w:val="hybridMultilevel"/>
    <w:tmpl w:val="BA1EB060"/>
    <w:lvl w:ilvl="0" w:tplc="CFBCE5A8">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9"/>
  </w:num>
  <w:num w:numId="4">
    <w:abstractNumId w:val="19"/>
  </w:num>
  <w:num w:numId="5">
    <w:abstractNumId w:val="38"/>
  </w:num>
  <w:num w:numId="6">
    <w:abstractNumId w:val="47"/>
  </w:num>
  <w:num w:numId="7">
    <w:abstractNumId w:val="40"/>
  </w:num>
  <w:num w:numId="8">
    <w:abstractNumId w:val="25"/>
  </w:num>
  <w:num w:numId="9">
    <w:abstractNumId w:val="2"/>
  </w:num>
  <w:num w:numId="10">
    <w:abstractNumId w:val="41"/>
  </w:num>
  <w:num w:numId="11">
    <w:abstractNumId w:val="27"/>
  </w:num>
  <w:num w:numId="12">
    <w:abstractNumId w:val="5"/>
  </w:num>
  <w:num w:numId="13">
    <w:abstractNumId w:val="5"/>
  </w:num>
  <w:num w:numId="14">
    <w:abstractNumId w:val="7"/>
  </w:num>
  <w:num w:numId="15">
    <w:abstractNumId w:val="37"/>
  </w:num>
  <w:num w:numId="16">
    <w:abstractNumId w:val="45"/>
  </w:num>
  <w:num w:numId="17">
    <w:abstractNumId w:val="34"/>
  </w:num>
  <w:num w:numId="18">
    <w:abstractNumId w:val="0"/>
  </w:num>
  <w:num w:numId="19">
    <w:abstractNumId w:val="30"/>
  </w:num>
  <w:num w:numId="20">
    <w:abstractNumId w:val="9"/>
  </w:num>
  <w:num w:numId="21">
    <w:abstractNumId w:val="12"/>
  </w:num>
  <w:num w:numId="22">
    <w:abstractNumId w:val="17"/>
  </w:num>
  <w:num w:numId="23">
    <w:abstractNumId w:val="6"/>
  </w:num>
  <w:num w:numId="24">
    <w:abstractNumId w:val="14"/>
  </w:num>
  <w:num w:numId="25">
    <w:abstractNumId w:val="22"/>
  </w:num>
  <w:num w:numId="26">
    <w:abstractNumId w:val="23"/>
  </w:num>
  <w:num w:numId="27">
    <w:abstractNumId w:val="43"/>
  </w:num>
  <w:num w:numId="28">
    <w:abstractNumId w:val="32"/>
  </w:num>
  <w:num w:numId="29">
    <w:abstractNumId w:val="3"/>
  </w:num>
  <w:num w:numId="30">
    <w:abstractNumId w:val="24"/>
  </w:num>
  <w:num w:numId="31">
    <w:abstractNumId w:val="42"/>
  </w:num>
  <w:num w:numId="32">
    <w:abstractNumId w:val="44"/>
  </w:num>
  <w:num w:numId="33">
    <w:abstractNumId w:val="1"/>
  </w:num>
  <w:num w:numId="34">
    <w:abstractNumId w:val="18"/>
  </w:num>
  <w:num w:numId="35">
    <w:abstractNumId w:val="10"/>
  </w:num>
  <w:num w:numId="36">
    <w:abstractNumId w:val="8"/>
  </w:num>
  <w:num w:numId="37">
    <w:abstractNumId w:val="33"/>
  </w:num>
  <w:num w:numId="38">
    <w:abstractNumId w:val="39"/>
  </w:num>
  <w:num w:numId="39">
    <w:abstractNumId w:val="4"/>
  </w:num>
  <w:num w:numId="40">
    <w:abstractNumId w:val="35"/>
  </w:num>
  <w:num w:numId="41">
    <w:abstractNumId w:val="26"/>
  </w:num>
  <w:num w:numId="42">
    <w:abstractNumId w:val="28"/>
  </w:num>
  <w:num w:numId="43">
    <w:abstractNumId w:val="36"/>
  </w:num>
  <w:num w:numId="44">
    <w:abstractNumId w:val="20"/>
  </w:num>
  <w:num w:numId="45">
    <w:abstractNumId w:val="11"/>
  </w:num>
  <w:num w:numId="46">
    <w:abstractNumId w:val="48"/>
  </w:num>
  <w:num w:numId="47">
    <w:abstractNumId w:val="46"/>
  </w:num>
  <w:num w:numId="48">
    <w:abstractNumId w:val="13"/>
  </w:num>
  <w:num w:numId="49">
    <w:abstractNumId w:val="3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25"/>
    <w:rsid w:val="00001D8E"/>
    <w:rsid w:val="00003A2C"/>
    <w:rsid w:val="00006B3A"/>
    <w:rsid w:val="000136F3"/>
    <w:rsid w:val="00016E17"/>
    <w:rsid w:val="0002216E"/>
    <w:rsid w:val="00040E00"/>
    <w:rsid w:val="000441C4"/>
    <w:rsid w:val="00046728"/>
    <w:rsid w:val="000525E0"/>
    <w:rsid w:val="00053EEF"/>
    <w:rsid w:val="000543DC"/>
    <w:rsid w:val="00055022"/>
    <w:rsid w:val="0005750B"/>
    <w:rsid w:val="0006045E"/>
    <w:rsid w:val="00062F4C"/>
    <w:rsid w:val="0006587B"/>
    <w:rsid w:val="00070322"/>
    <w:rsid w:val="00082D01"/>
    <w:rsid w:val="00087856"/>
    <w:rsid w:val="000902AA"/>
    <w:rsid w:val="00095D40"/>
    <w:rsid w:val="000A00A2"/>
    <w:rsid w:val="000A0225"/>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1937"/>
    <w:rsid w:val="00172119"/>
    <w:rsid w:val="00197401"/>
    <w:rsid w:val="001A04CE"/>
    <w:rsid w:val="001A0E0A"/>
    <w:rsid w:val="001A23B5"/>
    <w:rsid w:val="001A403F"/>
    <w:rsid w:val="001A4633"/>
    <w:rsid w:val="001B4509"/>
    <w:rsid w:val="001C0582"/>
    <w:rsid w:val="001C0891"/>
    <w:rsid w:val="001C10AF"/>
    <w:rsid w:val="001D4FDD"/>
    <w:rsid w:val="001E2CF1"/>
    <w:rsid w:val="001E32E0"/>
    <w:rsid w:val="00200E58"/>
    <w:rsid w:val="002064D3"/>
    <w:rsid w:val="002106BF"/>
    <w:rsid w:val="00214241"/>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01BF"/>
    <w:rsid w:val="002A4078"/>
    <w:rsid w:val="002A5CE0"/>
    <w:rsid w:val="002B0883"/>
    <w:rsid w:val="002B2F3C"/>
    <w:rsid w:val="002B4560"/>
    <w:rsid w:val="002C32AB"/>
    <w:rsid w:val="002C41F9"/>
    <w:rsid w:val="002C4495"/>
    <w:rsid w:val="002C5AC8"/>
    <w:rsid w:val="002C76AB"/>
    <w:rsid w:val="002D4536"/>
    <w:rsid w:val="002F48C8"/>
    <w:rsid w:val="002F55CE"/>
    <w:rsid w:val="002F76F5"/>
    <w:rsid w:val="00314A8A"/>
    <w:rsid w:val="00324EC2"/>
    <w:rsid w:val="003279F2"/>
    <w:rsid w:val="00331A42"/>
    <w:rsid w:val="00342BA9"/>
    <w:rsid w:val="003455BC"/>
    <w:rsid w:val="00353CCA"/>
    <w:rsid w:val="00354503"/>
    <w:rsid w:val="003572EB"/>
    <w:rsid w:val="003623F0"/>
    <w:rsid w:val="00370164"/>
    <w:rsid w:val="003711CD"/>
    <w:rsid w:val="00374C4B"/>
    <w:rsid w:val="00380DB1"/>
    <w:rsid w:val="00383BFC"/>
    <w:rsid w:val="00384611"/>
    <w:rsid w:val="00384CA0"/>
    <w:rsid w:val="003870BA"/>
    <w:rsid w:val="003931AE"/>
    <w:rsid w:val="00395A89"/>
    <w:rsid w:val="003A2FA8"/>
    <w:rsid w:val="003A3403"/>
    <w:rsid w:val="003B46B7"/>
    <w:rsid w:val="003B4770"/>
    <w:rsid w:val="003C20BF"/>
    <w:rsid w:val="003D5616"/>
    <w:rsid w:val="003E3CEC"/>
    <w:rsid w:val="003E666B"/>
    <w:rsid w:val="003F3E19"/>
    <w:rsid w:val="00423092"/>
    <w:rsid w:val="004253E8"/>
    <w:rsid w:val="00427EA9"/>
    <w:rsid w:val="004319BC"/>
    <w:rsid w:val="004350B0"/>
    <w:rsid w:val="00436CE5"/>
    <w:rsid w:val="004475E0"/>
    <w:rsid w:val="00463FE0"/>
    <w:rsid w:val="00470AB4"/>
    <w:rsid w:val="00472E16"/>
    <w:rsid w:val="004734DF"/>
    <w:rsid w:val="00481627"/>
    <w:rsid w:val="00486943"/>
    <w:rsid w:val="00495B91"/>
    <w:rsid w:val="004A5408"/>
    <w:rsid w:val="004C18DF"/>
    <w:rsid w:val="004C29E5"/>
    <w:rsid w:val="004C2B46"/>
    <w:rsid w:val="004D4C6D"/>
    <w:rsid w:val="004E01A4"/>
    <w:rsid w:val="004F6742"/>
    <w:rsid w:val="004F709B"/>
    <w:rsid w:val="00503049"/>
    <w:rsid w:val="00514F70"/>
    <w:rsid w:val="00530A34"/>
    <w:rsid w:val="00534B03"/>
    <w:rsid w:val="00534C33"/>
    <w:rsid w:val="00536DB4"/>
    <w:rsid w:val="0054025D"/>
    <w:rsid w:val="0055123E"/>
    <w:rsid w:val="00574572"/>
    <w:rsid w:val="00585CA4"/>
    <w:rsid w:val="00594C46"/>
    <w:rsid w:val="00597948"/>
    <w:rsid w:val="005A595B"/>
    <w:rsid w:val="005B1AC5"/>
    <w:rsid w:val="005B6A25"/>
    <w:rsid w:val="005B7B0A"/>
    <w:rsid w:val="005C4647"/>
    <w:rsid w:val="005E0CF2"/>
    <w:rsid w:val="005E2AEA"/>
    <w:rsid w:val="005E6B70"/>
    <w:rsid w:val="00610375"/>
    <w:rsid w:val="006122D8"/>
    <w:rsid w:val="0061247A"/>
    <w:rsid w:val="00615938"/>
    <w:rsid w:val="00624B55"/>
    <w:rsid w:val="0063014E"/>
    <w:rsid w:val="0065112D"/>
    <w:rsid w:val="0066134E"/>
    <w:rsid w:val="006814BB"/>
    <w:rsid w:val="006840EB"/>
    <w:rsid w:val="0069211A"/>
    <w:rsid w:val="0069342C"/>
    <w:rsid w:val="006A3B99"/>
    <w:rsid w:val="006A541C"/>
    <w:rsid w:val="006A5B3B"/>
    <w:rsid w:val="006B1DA6"/>
    <w:rsid w:val="006C7A4C"/>
    <w:rsid w:val="006D406B"/>
    <w:rsid w:val="006E2799"/>
    <w:rsid w:val="006E2B32"/>
    <w:rsid w:val="006E693A"/>
    <w:rsid w:val="006F2B34"/>
    <w:rsid w:val="007057ED"/>
    <w:rsid w:val="0070672F"/>
    <w:rsid w:val="007105A6"/>
    <w:rsid w:val="00715417"/>
    <w:rsid w:val="00726DD4"/>
    <w:rsid w:val="00730F56"/>
    <w:rsid w:val="00744E2C"/>
    <w:rsid w:val="00752119"/>
    <w:rsid w:val="00754408"/>
    <w:rsid w:val="007631C7"/>
    <w:rsid w:val="00763CCC"/>
    <w:rsid w:val="00773C48"/>
    <w:rsid w:val="00776C72"/>
    <w:rsid w:val="0078258F"/>
    <w:rsid w:val="007846BC"/>
    <w:rsid w:val="00792BFA"/>
    <w:rsid w:val="00794B6E"/>
    <w:rsid w:val="007969A4"/>
    <w:rsid w:val="007A0114"/>
    <w:rsid w:val="007A5EAB"/>
    <w:rsid w:val="007B1321"/>
    <w:rsid w:val="007B1904"/>
    <w:rsid w:val="007D6370"/>
    <w:rsid w:val="007E092F"/>
    <w:rsid w:val="007E5EC0"/>
    <w:rsid w:val="007E73F0"/>
    <w:rsid w:val="0080098A"/>
    <w:rsid w:val="00801761"/>
    <w:rsid w:val="008111EB"/>
    <w:rsid w:val="0081208F"/>
    <w:rsid w:val="008130C9"/>
    <w:rsid w:val="00813D02"/>
    <w:rsid w:val="00814833"/>
    <w:rsid w:val="0082033D"/>
    <w:rsid w:val="008222AD"/>
    <w:rsid w:val="0083104D"/>
    <w:rsid w:val="008349AE"/>
    <w:rsid w:val="00846D77"/>
    <w:rsid w:val="008500A5"/>
    <w:rsid w:val="00852480"/>
    <w:rsid w:val="00856632"/>
    <w:rsid w:val="00867308"/>
    <w:rsid w:val="008B0543"/>
    <w:rsid w:val="008B3C86"/>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23ED"/>
    <w:rsid w:val="009770C3"/>
    <w:rsid w:val="00977D73"/>
    <w:rsid w:val="0099262A"/>
    <w:rsid w:val="009A05F3"/>
    <w:rsid w:val="009B56DA"/>
    <w:rsid w:val="009D13BB"/>
    <w:rsid w:val="009D50EB"/>
    <w:rsid w:val="009E32F5"/>
    <w:rsid w:val="009E6279"/>
    <w:rsid w:val="009F2649"/>
    <w:rsid w:val="009F704C"/>
    <w:rsid w:val="00A0215D"/>
    <w:rsid w:val="00A06666"/>
    <w:rsid w:val="00A105E0"/>
    <w:rsid w:val="00A14F7B"/>
    <w:rsid w:val="00A3018B"/>
    <w:rsid w:val="00A3128D"/>
    <w:rsid w:val="00A324EA"/>
    <w:rsid w:val="00A33A46"/>
    <w:rsid w:val="00A3745D"/>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274B"/>
    <w:rsid w:val="00B3357C"/>
    <w:rsid w:val="00B56F31"/>
    <w:rsid w:val="00B61C4A"/>
    <w:rsid w:val="00B61EC9"/>
    <w:rsid w:val="00B67662"/>
    <w:rsid w:val="00B679AD"/>
    <w:rsid w:val="00B7744A"/>
    <w:rsid w:val="00B82D4D"/>
    <w:rsid w:val="00B87EE6"/>
    <w:rsid w:val="00B9260A"/>
    <w:rsid w:val="00B96ABD"/>
    <w:rsid w:val="00BD016C"/>
    <w:rsid w:val="00BD3FC0"/>
    <w:rsid w:val="00BF18DC"/>
    <w:rsid w:val="00C04B4F"/>
    <w:rsid w:val="00C13DE2"/>
    <w:rsid w:val="00C14408"/>
    <w:rsid w:val="00C14493"/>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C41AC"/>
    <w:rsid w:val="00CD4B2E"/>
    <w:rsid w:val="00CD4DE4"/>
    <w:rsid w:val="00CD6527"/>
    <w:rsid w:val="00CD6B3F"/>
    <w:rsid w:val="00CF3E63"/>
    <w:rsid w:val="00CF561E"/>
    <w:rsid w:val="00D143BA"/>
    <w:rsid w:val="00D209B1"/>
    <w:rsid w:val="00D20DD2"/>
    <w:rsid w:val="00D304CD"/>
    <w:rsid w:val="00D309F1"/>
    <w:rsid w:val="00D34EEE"/>
    <w:rsid w:val="00D37BAF"/>
    <w:rsid w:val="00D51B1E"/>
    <w:rsid w:val="00D9321D"/>
    <w:rsid w:val="00D96598"/>
    <w:rsid w:val="00D979EA"/>
    <w:rsid w:val="00DA02B9"/>
    <w:rsid w:val="00DA42EA"/>
    <w:rsid w:val="00DA7FEA"/>
    <w:rsid w:val="00DB269B"/>
    <w:rsid w:val="00DC02B5"/>
    <w:rsid w:val="00DD27D1"/>
    <w:rsid w:val="00DE072A"/>
    <w:rsid w:val="00DE221A"/>
    <w:rsid w:val="00DE2334"/>
    <w:rsid w:val="00DE5C1E"/>
    <w:rsid w:val="00DF68F0"/>
    <w:rsid w:val="00DF6CDE"/>
    <w:rsid w:val="00E0113D"/>
    <w:rsid w:val="00E039CB"/>
    <w:rsid w:val="00E1423B"/>
    <w:rsid w:val="00E317E1"/>
    <w:rsid w:val="00E33231"/>
    <w:rsid w:val="00E50584"/>
    <w:rsid w:val="00E521E7"/>
    <w:rsid w:val="00E6186E"/>
    <w:rsid w:val="00E72F03"/>
    <w:rsid w:val="00E7429A"/>
    <w:rsid w:val="00E75D89"/>
    <w:rsid w:val="00E84434"/>
    <w:rsid w:val="00E91395"/>
    <w:rsid w:val="00EA0512"/>
    <w:rsid w:val="00EA0BBD"/>
    <w:rsid w:val="00EB1A04"/>
    <w:rsid w:val="00EB30F5"/>
    <w:rsid w:val="00EB5C8B"/>
    <w:rsid w:val="00EC3CC1"/>
    <w:rsid w:val="00EC47CA"/>
    <w:rsid w:val="00ED06DB"/>
    <w:rsid w:val="00ED263C"/>
    <w:rsid w:val="00ED2A92"/>
    <w:rsid w:val="00ED503D"/>
    <w:rsid w:val="00EE11FD"/>
    <w:rsid w:val="00EE1D07"/>
    <w:rsid w:val="00EE68B0"/>
    <w:rsid w:val="00EE7DC5"/>
    <w:rsid w:val="00F13235"/>
    <w:rsid w:val="00F1494E"/>
    <w:rsid w:val="00F23798"/>
    <w:rsid w:val="00F260AC"/>
    <w:rsid w:val="00F26DFB"/>
    <w:rsid w:val="00F27043"/>
    <w:rsid w:val="00F32C54"/>
    <w:rsid w:val="00F32E6E"/>
    <w:rsid w:val="00F33018"/>
    <w:rsid w:val="00F4263A"/>
    <w:rsid w:val="00F47E96"/>
    <w:rsid w:val="00F50A3A"/>
    <w:rsid w:val="00F551E7"/>
    <w:rsid w:val="00F62A1E"/>
    <w:rsid w:val="00F64DB9"/>
    <w:rsid w:val="00F65513"/>
    <w:rsid w:val="00F85399"/>
    <w:rsid w:val="00F93183"/>
    <w:rsid w:val="00FA035F"/>
    <w:rsid w:val="00FA686C"/>
    <w:rsid w:val="00FA6932"/>
    <w:rsid w:val="00FB236D"/>
    <w:rsid w:val="00FB3972"/>
    <w:rsid w:val="00FB70DE"/>
    <w:rsid w:val="00FC2BD1"/>
    <w:rsid w:val="00FD17C2"/>
    <w:rsid w:val="00FD634F"/>
    <w:rsid w:val="00FE0A7C"/>
    <w:rsid w:val="00FE2611"/>
    <w:rsid w:val="00FF2067"/>
    <w:rsid w:val="00FF3FFA"/>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E91395"/>
    <w:pPr>
      <w:keepNext/>
      <w:keepLines/>
      <w:pageBreakBefore/>
      <w:numPr>
        <w:numId w:val="44"/>
      </w:numPr>
      <w:pBdr>
        <w:top w:val="single" w:sz="6" w:space="3" w:color="DA291C"/>
        <w:bottom w:val="single" w:sz="6" w:space="3" w:color="DA291C"/>
      </w:pBdr>
      <w:shd w:val="clear" w:color="auto" w:fill="DA291C"/>
      <w:spacing w:after="240"/>
      <w:outlineLvl w:val="0"/>
    </w:pPr>
    <w:rPr>
      <w:rFonts w:ascii="Arial" w:hAnsi="Arial"/>
      <w:b/>
      <w:color w:val="FFFFFF"/>
      <w:kern w:val="28"/>
      <w:sz w:val="28"/>
    </w:rPr>
  </w:style>
  <w:style w:type="paragraph" w:styleId="Heading2">
    <w:name w:val="heading 2"/>
    <w:basedOn w:val="Normal"/>
    <w:next w:val="BodyText"/>
    <w:qFormat/>
    <w:rsid w:val="00EB1A04"/>
    <w:pPr>
      <w:keepNext/>
      <w:numPr>
        <w:ilvl w:val="1"/>
        <w:numId w:val="44"/>
      </w:numPr>
      <w:pBdr>
        <w:top w:val="single" w:sz="6" w:space="1" w:color="D0D3D4"/>
        <w:bottom w:val="single" w:sz="6" w:space="1" w:color="D0D3D4"/>
      </w:pBdr>
      <w:shd w:val="clear" w:color="auto" w:fill="D0D3D4"/>
      <w:spacing w:before="24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EA0BBD"/>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374C4B"/>
    <w:pPr>
      <w:numPr>
        <w:numId w:val="16"/>
      </w:numPr>
      <w:spacing w:after="120"/>
      <w:ind w:left="7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EB1A04"/>
    <w:pPr>
      <w:tabs>
        <w:tab w:val="left" w:pos="1080"/>
        <w:tab w:val="right" w:leader="dot" w:pos="9000"/>
      </w:tabs>
      <w:ind w:left="1080" w:right="540" w:hanging="720"/>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B56F31"/>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374C4B"/>
    <w:pPr>
      <w:numPr>
        <w:numId w:val="46"/>
      </w:numPr>
      <w:tabs>
        <w:tab w:val="clear" w:pos="720"/>
        <w:tab w:val="num" w:pos="1080"/>
      </w:tabs>
      <w:spacing w:after="120"/>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E91395"/>
    <w:pPr>
      <w:keepNext/>
      <w:keepLines/>
      <w:tabs>
        <w:tab w:val="left" w:pos="720"/>
        <w:tab w:val="left" w:pos="1080"/>
        <w:tab w:val="left" w:pos="1440"/>
        <w:tab w:val="left" w:pos="1800"/>
      </w:tabs>
      <w:spacing w:after="280"/>
      <w:ind w:left="540" w:hanging="540"/>
      <w:outlineLvl w:val="1"/>
    </w:pPr>
    <w:rPr>
      <w:rFonts w:ascii="Arial" w:hAnsi="Arial"/>
      <w:b/>
      <w:sz w:val="28"/>
    </w:rPr>
  </w:style>
  <w:style w:type="paragraph" w:customStyle="1" w:styleId="Table">
    <w:name w:val="Table"/>
    <w:basedOn w:val="Normal"/>
    <w:rsid w:val="00E91395"/>
    <w:pPr>
      <w:tabs>
        <w:tab w:val="left" w:pos="720"/>
        <w:tab w:val="left" w:pos="1080"/>
        <w:tab w:val="left" w:pos="1440"/>
        <w:tab w:val="left" w:pos="1800"/>
      </w:tabs>
      <w:spacing w:after="0"/>
    </w:pPr>
    <w:rPr>
      <w:rFonts w:ascii="Arial" w:hAnsi="Arial"/>
      <w:sz w:val="20"/>
    </w:rPr>
  </w:style>
  <w:style w:type="character" w:customStyle="1" w:styleId="CommentTextChar">
    <w:name w:val="Comment Text Char"/>
    <w:basedOn w:val="DefaultParagraphFont"/>
    <w:link w:val="CommentText"/>
    <w:rsid w:val="00E91395"/>
  </w:style>
  <w:style w:type="paragraph" w:customStyle="1" w:styleId="Bullet2Last">
    <w:name w:val="Bullet2Last"/>
    <w:basedOn w:val="Bullet2"/>
    <w:qFormat/>
    <w:rsid w:val="00374C4B"/>
    <w:pPr>
      <w:spacing w:after="240"/>
    </w:pPr>
  </w:style>
  <w:style w:type="paragraph" w:customStyle="1" w:styleId="AbtHeadA">
    <w:name w:val="AbtHead A"/>
    <w:basedOn w:val="Normal"/>
    <w:next w:val="BodyText"/>
    <w:rsid w:val="008B3C86"/>
    <w:pPr>
      <w:keepNext/>
      <w:keepLines/>
      <w:tabs>
        <w:tab w:val="left" w:pos="720"/>
        <w:tab w:val="left" w:pos="1080"/>
        <w:tab w:val="left" w:pos="1440"/>
        <w:tab w:val="left" w:pos="1800"/>
      </w:tabs>
      <w:spacing w:after="360"/>
      <w:outlineLvl w:val="0"/>
    </w:pPr>
    <w:rPr>
      <w:rFonts w:ascii="Arial" w:hAnsi="Arial"/>
      <w:b/>
      <w:sz w:val="36"/>
    </w:rPr>
  </w:style>
  <w:style w:type="paragraph" w:customStyle="1" w:styleId="AbtHeadC">
    <w:name w:val="AbtHead C"/>
    <w:basedOn w:val="Normal"/>
    <w:next w:val="BodyText"/>
    <w:rsid w:val="008B3C86"/>
    <w:pPr>
      <w:keepNext/>
      <w:keepLines/>
      <w:tabs>
        <w:tab w:val="left" w:pos="720"/>
        <w:tab w:val="left" w:pos="1080"/>
        <w:tab w:val="left" w:pos="1440"/>
        <w:tab w:val="left" w:pos="1800"/>
      </w:tabs>
      <w:spacing w:after="240"/>
      <w:outlineLvl w:val="2"/>
    </w:pPr>
    <w:rPr>
      <w:rFonts w:ascii="Arial" w:hAnsi="Arial"/>
      <w:b/>
      <w:sz w:val="20"/>
    </w:rPr>
  </w:style>
  <w:style w:type="paragraph" w:customStyle="1" w:styleId="LOT">
    <w:name w:val="LOT"/>
    <w:basedOn w:val="Normal"/>
    <w:rsid w:val="008B3C86"/>
    <w:pPr>
      <w:tabs>
        <w:tab w:val="left" w:pos="720"/>
        <w:tab w:val="left" w:pos="1080"/>
        <w:tab w:val="left" w:pos="1440"/>
        <w:tab w:val="left" w:pos="1800"/>
      </w:tabs>
      <w:spacing w:before="60" w:after="60"/>
    </w:pPr>
    <w:rPr>
      <w:rFonts w:ascii="Arial" w:hAnsi="Arial"/>
      <w:b/>
      <w:sz w:val="20"/>
    </w:rPr>
  </w:style>
  <w:style w:type="paragraph" w:styleId="NoSpacing">
    <w:name w:val="No Spacing"/>
    <w:basedOn w:val="Normal"/>
    <w:uiPriority w:val="1"/>
    <w:qFormat/>
    <w:rsid w:val="008B3C86"/>
    <w:pPr>
      <w:spacing w:after="0" w:line="240" w:lineRule="auto"/>
    </w:pPr>
    <w:rPr>
      <w:rFonts w:ascii="Calibri" w:eastAsia="Calibri" w:hAnsi="Calibri"/>
      <w:szCs w:val="22"/>
    </w:rPr>
  </w:style>
  <w:style w:type="paragraph" w:styleId="BodyText2">
    <w:name w:val="Body Text 2"/>
    <w:basedOn w:val="Normal"/>
    <w:link w:val="BodyText2Char"/>
    <w:rsid w:val="008B3C86"/>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8B3C86"/>
    <w:rPr>
      <w:sz w:val="22"/>
    </w:rPr>
  </w:style>
  <w:style w:type="table" w:styleId="TableClassic1">
    <w:name w:val="Table Classic 1"/>
    <w:basedOn w:val="TableNormal"/>
    <w:rsid w:val="00514F70"/>
    <w:pPr>
      <w:spacing w:after="18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xhibitTitle">
    <w:name w:val="ExhibitTitle"/>
    <w:basedOn w:val="Normal"/>
    <w:next w:val="Normal"/>
    <w:rsid w:val="00EE68B0"/>
    <w:pPr>
      <w:keepNext/>
      <w:tabs>
        <w:tab w:val="left" w:pos="1440"/>
      </w:tabs>
      <w:spacing w:before="80" w:after="120" w:line="240" w:lineRule="auto"/>
      <w:ind w:left="1440" w:hanging="1440"/>
    </w:pPr>
    <w:rPr>
      <w:rFonts w:ascii="Arial" w:hAnsi="Arial" w:cs="Calibri"/>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E91395"/>
    <w:pPr>
      <w:keepNext/>
      <w:keepLines/>
      <w:pageBreakBefore/>
      <w:numPr>
        <w:numId w:val="44"/>
      </w:numPr>
      <w:pBdr>
        <w:top w:val="single" w:sz="6" w:space="3" w:color="DA291C"/>
        <w:bottom w:val="single" w:sz="6" w:space="3" w:color="DA291C"/>
      </w:pBdr>
      <w:shd w:val="clear" w:color="auto" w:fill="DA291C"/>
      <w:spacing w:after="240"/>
      <w:outlineLvl w:val="0"/>
    </w:pPr>
    <w:rPr>
      <w:rFonts w:ascii="Arial" w:hAnsi="Arial"/>
      <w:b/>
      <w:color w:val="FFFFFF"/>
      <w:kern w:val="28"/>
      <w:sz w:val="28"/>
    </w:rPr>
  </w:style>
  <w:style w:type="paragraph" w:styleId="Heading2">
    <w:name w:val="heading 2"/>
    <w:basedOn w:val="Normal"/>
    <w:next w:val="BodyText"/>
    <w:qFormat/>
    <w:rsid w:val="00EB1A04"/>
    <w:pPr>
      <w:keepNext/>
      <w:numPr>
        <w:ilvl w:val="1"/>
        <w:numId w:val="44"/>
      </w:numPr>
      <w:pBdr>
        <w:top w:val="single" w:sz="6" w:space="1" w:color="D0D3D4"/>
        <w:bottom w:val="single" w:sz="6" w:space="1" w:color="D0D3D4"/>
      </w:pBdr>
      <w:shd w:val="clear" w:color="auto" w:fill="D0D3D4"/>
      <w:spacing w:before="24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EA0BBD"/>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374C4B"/>
    <w:pPr>
      <w:numPr>
        <w:numId w:val="16"/>
      </w:numPr>
      <w:spacing w:after="120"/>
      <w:ind w:left="7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EB1A04"/>
    <w:pPr>
      <w:tabs>
        <w:tab w:val="left" w:pos="1080"/>
        <w:tab w:val="right" w:leader="dot" w:pos="9000"/>
      </w:tabs>
      <w:ind w:left="1080" w:right="540" w:hanging="720"/>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B56F31"/>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374C4B"/>
    <w:pPr>
      <w:numPr>
        <w:numId w:val="46"/>
      </w:numPr>
      <w:tabs>
        <w:tab w:val="clear" w:pos="720"/>
        <w:tab w:val="num" w:pos="1080"/>
      </w:tabs>
      <w:spacing w:after="120"/>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E91395"/>
    <w:pPr>
      <w:keepNext/>
      <w:keepLines/>
      <w:tabs>
        <w:tab w:val="left" w:pos="720"/>
        <w:tab w:val="left" w:pos="1080"/>
        <w:tab w:val="left" w:pos="1440"/>
        <w:tab w:val="left" w:pos="1800"/>
      </w:tabs>
      <w:spacing w:after="280"/>
      <w:ind w:left="540" w:hanging="540"/>
      <w:outlineLvl w:val="1"/>
    </w:pPr>
    <w:rPr>
      <w:rFonts w:ascii="Arial" w:hAnsi="Arial"/>
      <w:b/>
      <w:sz w:val="28"/>
    </w:rPr>
  </w:style>
  <w:style w:type="paragraph" w:customStyle="1" w:styleId="Table">
    <w:name w:val="Table"/>
    <w:basedOn w:val="Normal"/>
    <w:rsid w:val="00E91395"/>
    <w:pPr>
      <w:tabs>
        <w:tab w:val="left" w:pos="720"/>
        <w:tab w:val="left" w:pos="1080"/>
        <w:tab w:val="left" w:pos="1440"/>
        <w:tab w:val="left" w:pos="1800"/>
      </w:tabs>
      <w:spacing w:after="0"/>
    </w:pPr>
    <w:rPr>
      <w:rFonts w:ascii="Arial" w:hAnsi="Arial"/>
      <w:sz w:val="20"/>
    </w:rPr>
  </w:style>
  <w:style w:type="character" w:customStyle="1" w:styleId="CommentTextChar">
    <w:name w:val="Comment Text Char"/>
    <w:basedOn w:val="DefaultParagraphFont"/>
    <w:link w:val="CommentText"/>
    <w:rsid w:val="00E91395"/>
  </w:style>
  <w:style w:type="paragraph" w:customStyle="1" w:styleId="Bullet2Last">
    <w:name w:val="Bullet2Last"/>
    <w:basedOn w:val="Bullet2"/>
    <w:qFormat/>
    <w:rsid w:val="00374C4B"/>
    <w:pPr>
      <w:spacing w:after="240"/>
    </w:pPr>
  </w:style>
  <w:style w:type="paragraph" w:customStyle="1" w:styleId="AbtHeadA">
    <w:name w:val="AbtHead A"/>
    <w:basedOn w:val="Normal"/>
    <w:next w:val="BodyText"/>
    <w:rsid w:val="008B3C86"/>
    <w:pPr>
      <w:keepNext/>
      <w:keepLines/>
      <w:tabs>
        <w:tab w:val="left" w:pos="720"/>
        <w:tab w:val="left" w:pos="1080"/>
        <w:tab w:val="left" w:pos="1440"/>
        <w:tab w:val="left" w:pos="1800"/>
      </w:tabs>
      <w:spacing w:after="360"/>
      <w:outlineLvl w:val="0"/>
    </w:pPr>
    <w:rPr>
      <w:rFonts w:ascii="Arial" w:hAnsi="Arial"/>
      <w:b/>
      <w:sz w:val="36"/>
    </w:rPr>
  </w:style>
  <w:style w:type="paragraph" w:customStyle="1" w:styleId="AbtHeadC">
    <w:name w:val="AbtHead C"/>
    <w:basedOn w:val="Normal"/>
    <w:next w:val="BodyText"/>
    <w:rsid w:val="008B3C86"/>
    <w:pPr>
      <w:keepNext/>
      <w:keepLines/>
      <w:tabs>
        <w:tab w:val="left" w:pos="720"/>
        <w:tab w:val="left" w:pos="1080"/>
        <w:tab w:val="left" w:pos="1440"/>
        <w:tab w:val="left" w:pos="1800"/>
      </w:tabs>
      <w:spacing w:after="240"/>
      <w:outlineLvl w:val="2"/>
    </w:pPr>
    <w:rPr>
      <w:rFonts w:ascii="Arial" w:hAnsi="Arial"/>
      <w:b/>
      <w:sz w:val="20"/>
    </w:rPr>
  </w:style>
  <w:style w:type="paragraph" w:customStyle="1" w:styleId="LOT">
    <w:name w:val="LOT"/>
    <w:basedOn w:val="Normal"/>
    <w:rsid w:val="008B3C86"/>
    <w:pPr>
      <w:tabs>
        <w:tab w:val="left" w:pos="720"/>
        <w:tab w:val="left" w:pos="1080"/>
        <w:tab w:val="left" w:pos="1440"/>
        <w:tab w:val="left" w:pos="1800"/>
      </w:tabs>
      <w:spacing w:before="60" w:after="60"/>
    </w:pPr>
    <w:rPr>
      <w:rFonts w:ascii="Arial" w:hAnsi="Arial"/>
      <w:b/>
      <w:sz w:val="20"/>
    </w:rPr>
  </w:style>
  <w:style w:type="paragraph" w:styleId="NoSpacing">
    <w:name w:val="No Spacing"/>
    <w:basedOn w:val="Normal"/>
    <w:uiPriority w:val="1"/>
    <w:qFormat/>
    <w:rsid w:val="008B3C86"/>
    <w:pPr>
      <w:spacing w:after="0" w:line="240" w:lineRule="auto"/>
    </w:pPr>
    <w:rPr>
      <w:rFonts w:ascii="Calibri" w:eastAsia="Calibri" w:hAnsi="Calibri"/>
      <w:szCs w:val="22"/>
    </w:rPr>
  </w:style>
  <w:style w:type="paragraph" w:styleId="BodyText2">
    <w:name w:val="Body Text 2"/>
    <w:basedOn w:val="Normal"/>
    <w:link w:val="BodyText2Char"/>
    <w:rsid w:val="008B3C86"/>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8B3C86"/>
    <w:rPr>
      <w:sz w:val="22"/>
    </w:rPr>
  </w:style>
  <w:style w:type="table" w:styleId="TableClassic1">
    <w:name w:val="Table Classic 1"/>
    <w:basedOn w:val="TableNormal"/>
    <w:rsid w:val="00514F70"/>
    <w:pPr>
      <w:spacing w:after="180"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xhibitTitle">
    <w:name w:val="ExhibitTitle"/>
    <w:basedOn w:val="Normal"/>
    <w:next w:val="Normal"/>
    <w:rsid w:val="00EE68B0"/>
    <w:pPr>
      <w:keepNext/>
      <w:tabs>
        <w:tab w:val="left" w:pos="1440"/>
      </w:tabs>
      <w:spacing w:before="80" w:after="120" w:line="240" w:lineRule="auto"/>
      <w:ind w:left="1440" w:hanging="1440"/>
    </w:pPr>
    <w:rPr>
      <w:rFonts w:ascii="Arial" w:hAnsi="Arial" w:cs="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06615">
      <w:bodyDiv w:val="1"/>
      <w:marLeft w:val="0"/>
      <w:marRight w:val="0"/>
      <w:marTop w:val="0"/>
      <w:marBottom w:val="0"/>
      <w:divBdr>
        <w:top w:val="none" w:sz="0" w:space="0" w:color="auto"/>
        <w:left w:val="none" w:sz="0" w:space="0" w:color="auto"/>
        <w:bottom w:val="none" w:sz="0" w:space="0" w:color="auto"/>
        <w:right w:val="none" w:sz="0" w:space="0" w:color="auto"/>
      </w:divBdr>
    </w:div>
    <w:div w:id="1449161578">
      <w:bodyDiv w:val="1"/>
      <w:marLeft w:val="0"/>
      <w:marRight w:val="0"/>
      <w:marTop w:val="0"/>
      <w:marBottom w:val="0"/>
      <w:divBdr>
        <w:top w:val="none" w:sz="0" w:space="0" w:color="auto"/>
        <w:left w:val="none" w:sz="0" w:space="0" w:color="auto"/>
        <w:bottom w:val="none" w:sz="0" w:space="0" w:color="auto"/>
        <w:right w:val="none" w:sz="0" w:space="0" w:color="auto"/>
      </w:divBdr>
    </w:div>
    <w:div w:id="149869388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icpsr.umich.edu/icpsrweb/ICPSR/studies/27221?q=ADAM&amp;permit%5B0%5D=AVAILABL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image" Target="media/image6.emf"/><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ndcp/policy-and-research/adam20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Average_All!$B$35</c:f>
              <c:strCache>
                <c:ptCount val="1"/>
                <c:pt idx="0">
                  <c:v>Any drug</c:v>
                </c:pt>
              </c:strCache>
            </c:strRef>
          </c:tx>
          <c:marker>
            <c:symbol val="none"/>
          </c:marker>
          <c:cat>
            <c:numRef>
              <c:f>Average_All!$H$34:$W$34</c:f>
              <c:numCache>
                <c:formatCode>General</c:formatCode>
                <c:ptCount val="16"/>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numCache>
            </c:numRef>
          </c:cat>
          <c:val>
            <c:numRef>
              <c:f>Average_All!$H$35:$W$35</c:f>
              <c:numCache>
                <c:formatCode>0.000</c:formatCode>
                <c:ptCount val="16"/>
                <c:pt idx="0">
                  <c:v>5.0000000000000044E-2</c:v>
                </c:pt>
                <c:pt idx="1">
                  <c:v>7.8129808096091824E-2</c:v>
                </c:pt>
                <c:pt idx="2">
                  <c:v>0.11689063817542422</c:v>
                </c:pt>
                <c:pt idx="3">
                  <c:v>0.16762691994084578</c:v>
                </c:pt>
                <c:pt idx="4">
                  <c:v>0.2307144616087603</c:v>
                </c:pt>
                <c:pt idx="5">
                  <c:v>0.30523364392210139</c:v>
                </c:pt>
                <c:pt idx="6">
                  <c:v>0.38885017523709631</c:v>
                </c:pt>
                <c:pt idx="7">
                  <c:v>0.47797852431156485</c:v>
                </c:pt>
                <c:pt idx="8">
                  <c:v>0.56822687129818472</c:v>
                </c:pt>
                <c:pt idx="9">
                  <c:v>0.65503538797270722</c:v>
                </c:pt>
                <c:pt idx="10">
                  <c:v>0.73435582182442583</c:v>
                </c:pt>
                <c:pt idx="11">
                  <c:v>0.80320637724907562</c:v>
                </c:pt>
                <c:pt idx="12">
                  <c:v>0.85997774620327572</c:v>
                </c:pt>
                <c:pt idx="13">
                  <c:v>0.90444606815839013</c:v>
                </c:pt>
                <c:pt idx="14">
                  <c:v>0.93753413934740504</c:v>
                </c:pt>
                <c:pt idx="15">
                  <c:v>0.960922045984131</c:v>
                </c:pt>
              </c:numCache>
            </c:numRef>
          </c:val>
          <c:smooth val="0"/>
        </c:ser>
        <c:ser>
          <c:idx val="1"/>
          <c:order val="1"/>
          <c:tx>
            <c:strRef>
              <c:f>Average_All!$B$36</c:f>
              <c:strCache>
                <c:ptCount val="1"/>
                <c:pt idx="0">
                  <c:v>Cocaine</c:v>
                </c:pt>
              </c:strCache>
            </c:strRef>
          </c:tx>
          <c:marker>
            <c:symbol val="none"/>
          </c:marker>
          <c:cat>
            <c:numRef>
              <c:f>Average_All!$H$34:$W$34</c:f>
              <c:numCache>
                <c:formatCode>General</c:formatCode>
                <c:ptCount val="16"/>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numCache>
            </c:numRef>
          </c:cat>
          <c:val>
            <c:numRef>
              <c:f>Average_All!$H$36:$W$36</c:f>
              <c:numCache>
                <c:formatCode>0.000</c:formatCode>
                <c:ptCount val="16"/>
                <c:pt idx="0">
                  <c:v>5.0000000000000044E-2</c:v>
                </c:pt>
                <c:pt idx="1">
                  <c:v>8.9344041477097402E-2</c:v>
                </c:pt>
                <c:pt idx="2">
                  <c:v>0.14806760228127891</c:v>
                </c:pt>
                <c:pt idx="3">
                  <c:v>0.22822383643961253</c:v>
                </c:pt>
                <c:pt idx="4">
                  <c:v>0.3282824667260078</c:v>
                </c:pt>
                <c:pt idx="5">
                  <c:v>0.44250839837706812</c:v>
                </c:pt>
                <c:pt idx="6">
                  <c:v>0.56176107082545335</c:v>
                </c:pt>
                <c:pt idx="7">
                  <c:v>0.67561942485726356</c:v>
                </c:pt>
                <c:pt idx="8">
                  <c:v>0.77503511450925255</c:v>
                </c:pt>
                <c:pt idx="9">
                  <c:v>0.8544200046748287</c:v>
                </c:pt>
                <c:pt idx="10">
                  <c:v>0.91239130825932591</c:v>
                </c:pt>
                <c:pt idx="11">
                  <c:v>0.95110635264548449</c:v>
                </c:pt>
                <c:pt idx="12">
                  <c:v>0.97475122005633219</c:v>
                </c:pt>
                <c:pt idx="13">
                  <c:v>0.98795758078712437</c:v>
                </c:pt>
                <c:pt idx="14">
                  <c:v>0.99470312642839076</c:v>
                </c:pt>
                <c:pt idx="15">
                  <c:v>0.99785404341993489</c:v>
                </c:pt>
              </c:numCache>
            </c:numRef>
          </c:val>
          <c:smooth val="0"/>
        </c:ser>
        <c:ser>
          <c:idx val="2"/>
          <c:order val="2"/>
          <c:tx>
            <c:strRef>
              <c:f>Average_All!$B$37</c:f>
              <c:strCache>
                <c:ptCount val="1"/>
                <c:pt idx="0">
                  <c:v>Methamphetamine</c:v>
                </c:pt>
              </c:strCache>
            </c:strRef>
          </c:tx>
          <c:marker>
            <c:symbol val="none"/>
          </c:marker>
          <c:cat>
            <c:numRef>
              <c:f>Average_All!$H$34:$W$34</c:f>
              <c:numCache>
                <c:formatCode>General</c:formatCode>
                <c:ptCount val="16"/>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numCache>
            </c:numRef>
          </c:cat>
          <c:val>
            <c:numRef>
              <c:f>Average_All!$H$37:$W$37</c:f>
              <c:numCache>
                <c:formatCode>0.000</c:formatCode>
                <c:ptCount val="16"/>
                <c:pt idx="0">
                  <c:v>5.0000000000000044E-2</c:v>
                </c:pt>
                <c:pt idx="1">
                  <c:v>0.11296837617775357</c:v>
                </c:pt>
                <c:pt idx="2">
                  <c:v>0.2185998532977268</c:v>
                </c:pt>
                <c:pt idx="3">
                  <c:v>0.36581084883210435</c:v>
                </c:pt>
                <c:pt idx="4">
                  <c:v>0.53625068242162732</c:v>
                </c:pt>
                <c:pt idx="5">
                  <c:v>0.70019238023100716</c:v>
                </c:pt>
                <c:pt idx="6">
                  <c:v>0.83119931790113333</c:v>
                </c:pt>
                <c:pt idx="7">
                  <c:v>0.91817149186733982</c:v>
                </c:pt>
                <c:pt idx="8">
                  <c:v>0.96613796585862022</c:v>
                </c:pt>
                <c:pt idx="9">
                  <c:v>0.98811417518301814</c:v>
                </c:pt>
                <c:pt idx="10">
                  <c:v>0.99647804769252979</c:v>
                </c:pt>
                <c:pt idx="11">
                  <c:v>0.99912216112876784</c:v>
                </c:pt>
                <c:pt idx="12">
                  <c:v>0.99981645907998151</c:v>
                </c:pt>
                <c:pt idx="13">
                  <c:v>0.99996787685969213</c:v>
                </c:pt>
                <c:pt idx="14">
                  <c:v>0.99999530159935823</c:v>
                </c:pt>
                <c:pt idx="15">
                  <c:v>0.99999942646741913</c:v>
                </c:pt>
              </c:numCache>
            </c:numRef>
          </c:val>
          <c:smooth val="0"/>
        </c:ser>
        <c:ser>
          <c:idx val="3"/>
          <c:order val="3"/>
          <c:tx>
            <c:strRef>
              <c:f>Average_All!$B$38</c:f>
              <c:strCache>
                <c:ptCount val="1"/>
                <c:pt idx="0">
                  <c:v>Marijuana</c:v>
                </c:pt>
              </c:strCache>
            </c:strRef>
          </c:tx>
          <c:marker>
            <c:symbol val="none"/>
          </c:marker>
          <c:cat>
            <c:numRef>
              <c:f>Average_All!$H$34:$W$34</c:f>
              <c:numCache>
                <c:formatCode>General</c:formatCode>
                <c:ptCount val="16"/>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numCache>
            </c:numRef>
          </c:cat>
          <c:val>
            <c:numRef>
              <c:f>Average_All!$H$38:$W$38</c:f>
              <c:numCache>
                <c:formatCode>0.000</c:formatCode>
                <c:ptCount val="16"/>
                <c:pt idx="0">
                  <c:v>5.0000000000000044E-2</c:v>
                </c:pt>
                <c:pt idx="1">
                  <c:v>7.7149539083963936E-2</c:v>
                </c:pt>
                <c:pt idx="2">
                  <c:v>0.11426288830946385</c:v>
                </c:pt>
                <c:pt idx="3">
                  <c:v>0.16260181044245636</c:v>
                </c:pt>
                <c:pt idx="4">
                  <c:v>0.22258962107010749</c:v>
                </c:pt>
                <c:pt idx="5">
                  <c:v>0.29351936402017953</c:v>
                </c:pt>
                <c:pt idx="6">
                  <c:v>0.37342789631481876</c:v>
                </c:pt>
                <c:pt idx="7">
                  <c:v>0.45920223234818525</c:v>
                </c:pt>
                <c:pt idx="8">
                  <c:v>0.54692676199215939</c:v>
                </c:pt>
                <c:pt idx="9">
                  <c:v>0.63241063951152321</c:v>
                </c:pt>
                <c:pt idx="10">
                  <c:v>0.71177889770326175</c:v>
                </c:pt>
                <c:pt idx="11">
                  <c:v>0.78199050671777492</c:v>
                </c:pt>
                <c:pt idx="12">
                  <c:v>0.8411698840864571</c:v>
                </c:pt>
                <c:pt idx="13">
                  <c:v>0.88869587454355314</c:v>
                </c:pt>
                <c:pt idx="14">
                  <c:v>0.92506151075682286</c:v>
                </c:pt>
                <c:pt idx="15">
                  <c:v>0.95157398879529898</c:v>
                </c:pt>
              </c:numCache>
            </c:numRef>
          </c:val>
          <c:smooth val="0"/>
        </c:ser>
        <c:ser>
          <c:idx val="4"/>
          <c:order val="4"/>
          <c:tx>
            <c:strRef>
              <c:f>Average_All!$B$39</c:f>
              <c:strCache>
                <c:ptCount val="1"/>
                <c:pt idx="0">
                  <c:v>Multidrugs</c:v>
                </c:pt>
              </c:strCache>
            </c:strRef>
          </c:tx>
          <c:marker>
            <c:symbol val="none"/>
          </c:marker>
          <c:cat>
            <c:numRef>
              <c:f>Average_All!$H$34:$W$34</c:f>
              <c:numCache>
                <c:formatCode>General</c:formatCode>
                <c:ptCount val="16"/>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numCache>
            </c:numRef>
          </c:cat>
          <c:val>
            <c:numRef>
              <c:f>Average_All!$H$39:$W$39</c:f>
              <c:numCache>
                <c:formatCode>0.000</c:formatCode>
                <c:ptCount val="16"/>
                <c:pt idx="0">
                  <c:v>5.0000000000000044E-2</c:v>
                </c:pt>
                <c:pt idx="1">
                  <c:v>8.6642458114279064E-2</c:v>
                </c:pt>
                <c:pt idx="2">
                  <c:v>0.14038417120753743</c:v>
                </c:pt>
                <c:pt idx="3">
                  <c:v>0.21317136218427113</c:v>
                </c:pt>
                <c:pt idx="4">
                  <c:v>0.30420785546500007</c:v>
                </c:pt>
                <c:pt idx="5">
                  <c:v>0.40935406087756565</c:v>
                </c:pt>
                <c:pt idx="6">
                  <c:v>0.52150153036639924</c:v>
                </c:pt>
                <c:pt idx="7">
                  <c:v>0.63196107879011454</c:v>
                </c:pt>
                <c:pt idx="8">
                  <c:v>0.73243073833389338</c:v>
                </c:pt>
                <c:pt idx="9">
                  <c:v>0.81681943969681592</c:v>
                </c:pt>
                <c:pt idx="10">
                  <c:v>0.8822756803342956</c:v>
                </c:pt>
                <c:pt idx="11">
                  <c:v>0.92916076723041108</c:v>
                </c:pt>
                <c:pt idx="12">
                  <c:v>0.96017311799837768</c:v>
                </c:pt>
                <c:pt idx="13">
                  <c:v>0.97911618024146163</c:v>
                </c:pt>
                <c:pt idx="14">
                  <c:v>0.98980132281988253</c:v>
                </c:pt>
                <c:pt idx="15">
                  <c:v>0.9953670774328448</c:v>
                </c:pt>
              </c:numCache>
            </c:numRef>
          </c:val>
          <c:smooth val="0"/>
        </c:ser>
        <c:ser>
          <c:idx val="5"/>
          <c:order val="5"/>
          <c:tx>
            <c:strRef>
              <c:f>Average_All!$B$40</c:f>
              <c:strCache>
                <c:ptCount val="1"/>
                <c:pt idx="0">
                  <c:v>Opiates</c:v>
                </c:pt>
              </c:strCache>
            </c:strRef>
          </c:tx>
          <c:marker>
            <c:symbol val="none"/>
          </c:marker>
          <c:cat>
            <c:numRef>
              <c:f>Average_All!$H$34:$W$34</c:f>
              <c:numCache>
                <c:formatCode>General</c:formatCode>
                <c:ptCount val="16"/>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numCache>
            </c:numRef>
          </c:cat>
          <c:val>
            <c:numRef>
              <c:f>Average_All!$H$40:$W$40</c:f>
              <c:numCache>
                <c:formatCode>0.000</c:formatCode>
                <c:ptCount val="16"/>
                <c:pt idx="0">
                  <c:v>5.0000000000000044E-2</c:v>
                </c:pt>
                <c:pt idx="1">
                  <c:v>0.10631083413044429</c:v>
                </c:pt>
                <c:pt idx="2">
                  <c:v>0.19824012171794658</c:v>
                </c:pt>
                <c:pt idx="3">
                  <c:v>0.32655016923396063</c:v>
                </c:pt>
                <c:pt idx="4">
                  <c:v>0.47966492468296162</c:v>
                </c:pt>
                <c:pt idx="5">
                  <c:v>0.63588094774816029</c:v>
                </c:pt>
                <c:pt idx="6">
                  <c:v>0.77214664797572519</c:v>
                </c:pt>
                <c:pt idx="7">
                  <c:v>0.87377104929621252</c:v>
                </c:pt>
                <c:pt idx="8">
                  <c:v>0.93856817111583912</c:v>
                </c:pt>
                <c:pt idx="9">
                  <c:v>0.97389082348370115</c:v>
                </c:pt>
                <c:pt idx="10">
                  <c:v>0.9903528111132559</c:v>
                </c:pt>
                <c:pt idx="11">
                  <c:v>0.9969117274111583</c:v>
                </c:pt>
                <c:pt idx="12">
                  <c:v>0.99914576432430169</c:v>
                </c:pt>
                <c:pt idx="13">
                  <c:v>0.99979625767608449</c:v>
                </c:pt>
                <c:pt idx="14">
                  <c:v>0.99995816774335922</c:v>
                </c:pt>
                <c:pt idx="15">
                  <c:v>0.99999261590729327</c:v>
                </c:pt>
              </c:numCache>
            </c:numRef>
          </c:val>
          <c:smooth val="0"/>
        </c:ser>
        <c:dLbls>
          <c:showLegendKey val="0"/>
          <c:showVal val="0"/>
          <c:showCatName val="0"/>
          <c:showSerName val="0"/>
          <c:showPercent val="0"/>
          <c:showBubbleSize val="0"/>
        </c:dLbls>
        <c:marker val="1"/>
        <c:smooth val="0"/>
        <c:axId val="161155328"/>
        <c:axId val="161157504"/>
      </c:lineChart>
      <c:catAx>
        <c:axId val="161155328"/>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en-US"/>
                  <a:t>percentage change in testing positive</a:t>
                </a:r>
              </a:p>
            </c:rich>
          </c:tx>
          <c:overlay val="0"/>
        </c:title>
        <c:numFmt formatCode="General" sourceLinked="1"/>
        <c:majorTickMark val="out"/>
        <c:minorTickMark val="none"/>
        <c:tickLblPos val="nextTo"/>
        <c:crossAx val="161157504"/>
        <c:crosses val="autoZero"/>
        <c:auto val="1"/>
        <c:lblAlgn val="ctr"/>
        <c:lblOffset val="100"/>
        <c:noMultiLvlLbl val="0"/>
      </c:catAx>
      <c:valAx>
        <c:axId val="161157504"/>
        <c:scaling>
          <c:orientation val="minMax"/>
          <c:max val="1"/>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statistical power</a:t>
                </a:r>
              </a:p>
            </c:rich>
          </c:tx>
          <c:overlay val="0"/>
        </c:title>
        <c:numFmt formatCode="0.000" sourceLinked="1"/>
        <c:majorTickMark val="out"/>
        <c:minorTickMark val="none"/>
        <c:tickLblPos val="nextTo"/>
        <c:crossAx val="1611553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BA83-626A-4231-90B7-66865868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28</Pages>
  <Words>9407</Words>
  <Characters>53624</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62906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Terry Zobeck</cp:lastModifiedBy>
  <cp:revision>2</cp:revision>
  <cp:lastPrinted>2013-05-01T13:43:00Z</cp:lastPrinted>
  <dcterms:created xsi:type="dcterms:W3CDTF">2013-05-01T17:21:00Z</dcterms:created>
  <dcterms:modified xsi:type="dcterms:W3CDTF">2013-05-01T17:21:00Z</dcterms:modified>
  <cp:category>Templates</cp:category>
</cp:coreProperties>
</file>