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D2" w:rsidRDefault="009F3FD2" w:rsidP="009F3FD2">
      <w:pPr>
        <w:pStyle w:val="AbtHeadA"/>
      </w:pPr>
      <w:bookmarkStart w:id="0" w:name="_Toc310937504"/>
      <w:bookmarkStart w:id="1" w:name="_GoBack"/>
      <w:bookmarkEnd w:id="1"/>
      <w:r>
        <w:t>Part A Justification</w:t>
      </w:r>
      <w:bookmarkEnd w:id="0"/>
    </w:p>
    <w:p w:rsidR="009F3FD2" w:rsidRPr="000B7D63" w:rsidRDefault="009F3FD2" w:rsidP="009F3FD2">
      <w:pPr>
        <w:pStyle w:val="AbtHeadB"/>
        <w:rPr>
          <w:rFonts w:cs="Arial"/>
          <w:szCs w:val="24"/>
        </w:rPr>
      </w:pPr>
      <w:bookmarkStart w:id="2" w:name="_Toc310937505"/>
      <w:bookmarkStart w:id="3" w:name="_Toc224972096"/>
      <w:bookmarkStart w:id="4" w:name="_Toc233444276"/>
      <w:r w:rsidRPr="000B7D63">
        <w:rPr>
          <w:rFonts w:cs="Arial"/>
        </w:rPr>
        <w:t>Introduction</w:t>
      </w:r>
      <w:bookmarkEnd w:id="2"/>
    </w:p>
    <w:p w:rsidR="00987999" w:rsidRDefault="009F3FD2" w:rsidP="009F3FD2">
      <w:pPr>
        <w:pStyle w:val="AbtHeadB"/>
        <w:rPr>
          <w:rFonts w:ascii="Times New Roman" w:hAnsi="Times New Roman"/>
          <w:b w:val="0"/>
          <w:sz w:val="24"/>
          <w:szCs w:val="24"/>
        </w:rPr>
      </w:pPr>
      <w:bookmarkStart w:id="5" w:name="_Toc310931645"/>
      <w:bookmarkStart w:id="6" w:name="_Toc310937506"/>
      <w:r w:rsidRPr="000B7D63">
        <w:rPr>
          <w:rFonts w:ascii="Times New Roman" w:hAnsi="Times New Roman"/>
          <w:b w:val="0"/>
          <w:sz w:val="24"/>
          <w:szCs w:val="24"/>
        </w:rPr>
        <w:t xml:space="preserve">This submission is to request a </w:t>
      </w:r>
      <w:r w:rsidR="00987999" w:rsidRPr="00987999">
        <w:rPr>
          <w:rFonts w:ascii="Times New Roman" w:hAnsi="Times New Roman"/>
          <w:b w:val="0"/>
          <w:sz w:val="24"/>
          <w:szCs w:val="24"/>
        </w:rPr>
        <w:t>reinstatement with revisions</w:t>
      </w:r>
      <w:r w:rsidR="00987999">
        <w:rPr>
          <w:rFonts w:ascii="Times New Roman" w:hAnsi="Times New Roman"/>
          <w:b w:val="0"/>
          <w:sz w:val="24"/>
          <w:szCs w:val="24"/>
        </w:rPr>
        <w:t xml:space="preserve"> </w:t>
      </w:r>
      <w:r w:rsidRPr="000B7D63">
        <w:rPr>
          <w:rFonts w:ascii="Times New Roman" w:hAnsi="Times New Roman"/>
          <w:b w:val="0"/>
          <w:sz w:val="24"/>
          <w:szCs w:val="24"/>
        </w:rPr>
        <w:t xml:space="preserve">for the </w:t>
      </w:r>
      <w:r>
        <w:rPr>
          <w:rFonts w:ascii="Times New Roman" w:hAnsi="Times New Roman"/>
          <w:b w:val="0"/>
          <w:sz w:val="24"/>
          <w:szCs w:val="24"/>
        </w:rPr>
        <w:t>recordkeeping</w:t>
      </w:r>
      <w:r w:rsidRPr="000B7D63">
        <w:rPr>
          <w:rFonts w:ascii="Times New Roman" w:hAnsi="Times New Roman"/>
          <w:b w:val="0"/>
          <w:sz w:val="24"/>
          <w:szCs w:val="24"/>
        </w:rPr>
        <w:t xml:space="preserve"> burden associated with program requirements that Emergency Solutions Grants (ESG) program recipients will be expected to implement and retain. </w:t>
      </w:r>
      <w:r w:rsidR="00987999">
        <w:rPr>
          <w:rFonts w:ascii="Times New Roman" w:hAnsi="Times New Roman"/>
          <w:b w:val="0"/>
          <w:sz w:val="24"/>
          <w:szCs w:val="24"/>
        </w:rPr>
        <w:t xml:space="preserve"> The revisions were made</w:t>
      </w:r>
      <w:r w:rsidRPr="000B7D63">
        <w:rPr>
          <w:rFonts w:ascii="Times New Roman" w:hAnsi="Times New Roman"/>
          <w:b w:val="0"/>
          <w:sz w:val="24"/>
          <w:szCs w:val="24"/>
        </w:rPr>
        <w:t xml:space="preserve"> </w:t>
      </w:r>
      <w:r w:rsidR="00987999" w:rsidRPr="00987999">
        <w:rPr>
          <w:rFonts w:ascii="Times New Roman" w:hAnsi="Times New Roman"/>
          <w:b w:val="0"/>
          <w:sz w:val="24"/>
          <w:szCs w:val="24"/>
        </w:rPr>
        <w:t>in order to reflect our program experience after 6 months of implementation with the Emergency Solutions Grant program under the newly implemented HEARTH Act.  The previous package, approved 7/31/12, incorporated the new name of the grant program “Emergency Solutions Grant” and referenced the newly approved rule.  For this package, the term “reporting” was removed from the title and the document because none of the items included in the burden calculation were related to reporting, only recordkeeping.  No changes were made that affected the burden calculation fr</w:t>
      </w:r>
      <w:r w:rsidR="00987999">
        <w:rPr>
          <w:rFonts w:ascii="Times New Roman" w:hAnsi="Times New Roman"/>
          <w:b w:val="0"/>
          <w:sz w:val="24"/>
          <w:szCs w:val="24"/>
        </w:rPr>
        <w:t xml:space="preserve">om the most recent collection. </w:t>
      </w:r>
    </w:p>
    <w:p w:rsidR="009F3FD2" w:rsidRPr="00987999" w:rsidRDefault="009F3FD2" w:rsidP="009F3FD2">
      <w:pPr>
        <w:pStyle w:val="AbtHeadB"/>
        <w:rPr>
          <w:rFonts w:ascii="Times New Roman" w:hAnsi="Times New Roman"/>
          <w:b w:val="0"/>
          <w:sz w:val="24"/>
          <w:szCs w:val="24"/>
        </w:rPr>
      </w:pPr>
      <w:r w:rsidRPr="00987999">
        <w:rPr>
          <w:rFonts w:ascii="Times New Roman" w:hAnsi="Times New Roman"/>
          <w:b w:val="0"/>
          <w:sz w:val="24"/>
          <w:szCs w:val="24"/>
        </w:rPr>
        <w:t xml:space="preserve">This submission is limited to the recordkeeping burden under the ESG program, which is covered by OMB control number 2506-0089.  </w:t>
      </w:r>
      <w:r w:rsidR="00987999" w:rsidRPr="00987999">
        <w:rPr>
          <w:rFonts w:ascii="Times New Roman" w:hAnsi="Times New Roman"/>
          <w:b w:val="0"/>
          <w:sz w:val="24"/>
          <w:szCs w:val="24"/>
        </w:rPr>
        <w:t>In assessing the burden hours in light of OMB’s previous request that the recordkeeping and reporting items be separated accordingly, it became clear that all of the items already in the burden list were entirely related to recordkeeping. The requirements regarding ESG Reporting fall under the approved Consolidated Plan PRA Collection</w:t>
      </w:r>
      <w:r w:rsidR="00987999">
        <w:rPr>
          <w:rFonts w:ascii="Times New Roman" w:hAnsi="Times New Roman"/>
          <w:b w:val="0"/>
          <w:sz w:val="24"/>
          <w:szCs w:val="24"/>
        </w:rPr>
        <w:t>.</w:t>
      </w:r>
    </w:p>
    <w:p w:rsidR="009F3FD2" w:rsidRDefault="009F3FD2" w:rsidP="009F3FD2">
      <w:pPr>
        <w:pStyle w:val="AbtHeadB"/>
        <w:rPr>
          <w:rFonts w:ascii="Times New Roman" w:hAnsi="Times New Roman"/>
          <w:b w:val="0"/>
          <w:sz w:val="22"/>
        </w:rPr>
      </w:pPr>
      <w:bookmarkStart w:id="7" w:name="_Toc310931646"/>
      <w:bookmarkStart w:id="8" w:name="_Toc310937507"/>
      <w:bookmarkEnd w:id="5"/>
      <w:bookmarkEnd w:id="6"/>
      <w:r>
        <w:t>A1</w:t>
      </w:r>
      <w:r>
        <w:tab/>
        <w:t>Need and Legal Basis</w:t>
      </w:r>
      <w:bookmarkEnd w:id="3"/>
      <w:bookmarkEnd w:id="4"/>
      <w:bookmarkEnd w:id="7"/>
      <w:bookmarkEnd w:id="8"/>
    </w:p>
    <w:p w:rsidR="009F3FD2" w:rsidRDefault="009F3FD2" w:rsidP="009F3FD2">
      <w:pPr>
        <w:pStyle w:val="AbtHeadB"/>
        <w:rPr>
          <w:b w:val="0"/>
          <w:i/>
          <w:sz w:val="24"/>
        </w:rPr>
      </w:pPr>
      <w:bookmarkStart w:id="9" w:name="_Toc228162069"/>
      <w:bookmarkStart w:id="10" w:name="_Toc228162169"/>
      <w:bookmarkStart w:id="11" w:name="_Toc228162241"/>
      <w:bookmarkStart w:id="12" w:name="_Toc233444277"/>
      <w:bookmarkStart w:id="13" w:name="_Toc310931647"/>
      <w:bookmarkStart w:id="14" w:name="_Toc310937508"/>
      <w:bookmarkStart w:id="15" w:name="_Toc224972097"/>
      <w:bookmarkStart w:id="16" w:name="_Toc224972193"/>
      <w:bookmarkStart w:id="17" w:name="_Toc224972249"/>
      <w:bookmarkStart w:id="18" w:name="_Toc224972307"/>
      <w:bookmarkStart w:id="19" w:name="_Toc224976962"/>
      <w:r>
        <w:rPr>
          <w:b w:val="0"/>
          <w:i/>
          <w:sz w:val="24"/>
        </w:rPr>
        <w:t>Why is this information necessary?  Identify any legal or administrative requirements that necessitate the collection.</w:t>
      </w:r>
      <w:bookmarkEnd w:id="9"/>
      <w:bookmarkEnd w:id="10"/>
      <w:bookmarkEnd w:id="11"/>
      <w:bookmarkEnd w:id="12"/>
      <w:bookmarkEnd w:id="13"/>
      <w:bookmarkEnd w:id="14"/>
      <w:r>
        <w:rPr>
          <w:b w:val="0"/>
          <w:i/>
          <w:sz w:val="24"/>
        </w:rPr>
        <w:t xml:space="preserve">  </w:t>
      </w:r>
      <w:bookmarkEnd w:id="15"/>
      <w:bookmarkEnd w:id="16"/>
      <w:bookmarkEnd w:id="17"/>
      <w:bookmarkEnd w:id="18"/>
      <w:bookmarkEnd w:id="19"/>
    </w:p>
    <w:p w:rsidR="009F3FD2" w:rsidRPr="001E289C" w:rsidRDefault="009F3FD2" w:rsidP="009F3FD2">
      <w:pPr>
        <w:pStyle w:val="AbtHeadB"/>
        <w:rPr>
          <w:rFonts w:ascii="Times New Roman" w:hAnsi="Times New Roman"/>
          <w:b w:val="0"/>
          <w:sz w:val="24"/>
        </w:rPr>
      </w:pPr>
      <w:bookmarkStart w:id="20" w:name="_Toc310931648"/>
      <w:bookmarkStart w:id="21" w:name="_Toc310937509"/>
      <w:bookmarkStart w:id="22" w:name="_Toc224972098"/>
      <w:bookmarkStart w:id="23" w:name="_Toc233444278"/>
      <w:r w:rsidRPr="001E289C">
        <w:rPr>
          <w:rFonts w:ascii="Times New Roman" w:hAnsi="Times New Roman"/>
          <w:b w:val="0"/>
          <w:sz w:val="24"/>
        </w:rPr>
        <w:t xml:space="preserve">On May 20, 2009, Congress passed the Homeless Emergency Assistance and Rapid Transition to Housing Act of 2009 (HEARTH Act).  The HEARTH Act revises the Emergency Shelter Grants program and renames the program the Emergency Solutions Grants </w:t>
      </w:r>
      <w:r>
        <w:rPr>
          <w:rFonts w:ascii="Times New Roman" w:hAnsi="Times New Roman"/>
          <w:b w:val="0"/>
          <w:sz w:val="24"/>
        </w:rPr>
        <w:t xml:space="preserve">(ESG) </w:t>
      </w:r>
      <w:r w:rsidRPr="001E289C">
        <w:rPr>
          <w:rFonts w:ascii="Times New Roman" w:hAnsi="Times New Roman"/>
          <w:b w:val="0"/>
          <w:sz w:val="24"/>
        </w:rPr>
        <w:t>program.  The change in the program’s name reflects the change in the program’s focus from addressing the needs of homeless people in emergency or transitional shelters to assisting people in quickly regaining stability in permanent housing after experiencing a housing crisis and/or homelessness.  The key changes that reflect this new emphasis are the expansion of the homelessness prevention component of the program and the addition of new rapid re-housing assistance components.</w:t>
      </w:r>
      <w:bookmarkEnd w:id="20"/>
      <w:bookmarkEnd w:id="21"/>
      <w:r w:rsidRPr="001E289C">
        <w:rPr>
          <w:rFonts w:ascii="Times New Roman" w:hAnsi="Times New Roman"/>
          <w:b w:val="0"/>
          <w:sz w:val="24"/>
        </w:rPr>
        <w:t xml:space="preserve">  </w:t>
      </w:r>
    </w:p>
    <w:p w:rsidR="009F3FD2" w:rsidRPr="001E289C" w:rsidRDefault="009F3FD2" w:rsidP="009F3FD2">
      <w:pPr>
        <w:pStyle w:val="AbtHeadB"/>
        <w:rPr>
          <w:rFonts w:ascii="Times New Roman" w:hAnsi="Times New Roman"/>
          <w:b w:val="0"/>
          <w:sz w:val="24"/>
        </w:rPr>
      </w:pPr>
      <w:bookmarkStart w:id="24" w:name="_Toc310931650"/>
      <w:bookmarkStart w:id="25" w:name="_Toc310937511"/>
      <w:r w:rsidRPr="001E289C">
        <w:rPr>
          <w:rFonts w:ascii="Times New Roman" w:hAnsi="Times New Roman"/>
          <w:b w:val="0"/>
          <w:sz w:val="24"/>
        </w:rPr>
        <w:t>The statutory provisions and the implementing interim regulations found at 24 CFR 576 that govern the program require recordkeeping requirements</w:t>
      </w:r>
      <w:r>
        <w:rPr>
          <w:rFonts w:ascii="Times New Roman" w:hAnsi="Times New Roman"/>
          <w:b w:val="0"/>
          <w:sz w:val="24"/>
        </w:rPr>
        <w:t xml:space="preserve"> first captured in the 6 month clearance package approved in June 2012</w:t>
      </w:r>
      <w:r w:rsidRPr="001E289C">
        <w:rPr>
          <w:rFonts w:ascii="Times New Roman" w:hAnsi="Times New Roman"/>
          <w:b w:val="0"/>
          <w:sz w:val="24"/>
        </w:rPr>
        <w:t>.</w:t>
      </w:r>
      <w:bookmarkEnd w:id="24"/>
      <w:bookmarkEnd w:id="25"/>
      <w:r w:rsidRPr="001E289C">
        <w:rPr>
          <w:rFonts w:ascii="Times New Roman" w:hAnsi="Times New Roman"/>
          <w:b w:val="0"/>
          <w:sz w:val="24"/>
        </w:rPr>
        <w:t xml:space="preserve">  </w:t>
      </w:r>
    </w:p>
    <w:p w:rsidR="009F3FD2" w:rsidRDefault="009F3FD2" w:rsidP="009F3FD2">
      <w:pPr>
        <w:pStyle w:val="AbtHeadB"/>
        <w:rPr>
          <w:rFonts w:ascii="Times New Roman" w:hAnsi="Times New Roman"/>
          <w:b w:val="0"/>
          <w:sz w:val="24"/>
        </w:rPr>
      </w:pPr>
      <w:bookmarkStart w:id="26" w:name="_Toc310931651"/>
      <w:bookmarkStart w:id="27" w:name="_Toc310937512"/>
      <w:r w:rsidRPr="001E289C">
        <w:rPr>
          <w:rFonts w:ascii="Times New Roman" w:hAnsi="Times New Roman"/>
          <w:b w:val="0"/>
          <w:sz w:val="24"/>
        </w:rPr>
        <w:lastRenderedPageBreak/>
        <w:t>The Emergency Solutions Grants program places an increased emphasis on targeted and coordinated use of local resources.  The implementing interim regulations require that ESG recipients consult with local Continuums of Care within their geographic areas (§ 576.400(a)) and requires recipients and subrecipients to coordinate ESG assistance to program participants with other targeted homeless services (§ 576.400(b)) and other mainstream resources available within the community (§ 576.400(c)).</w:t>
      </w:r>
      <w:bookmarkEnd w:id="26"/>
      <w:bookmarkEnd w:id="27"/>
      <w:r w:rsidRPr="001E289C">
        <w:rPr>
          <w:rFonts w:ascii="Times New Roman" w:hAnsi="Times New Roman"/>
          <w:b w:val="0"/>
          <w:sz w:val="24"/>
        </w:rPr>
        <w:t xml:space="preserve">  </w:t>
      </w:r>
    </w:p>
    <w:p w:rsidR="009F3FD2" w:rsidRDefault="009F3FD2" w:rsidP="009F3FD2">
      <w:pPr>
        <w:pStyle w:val="BodyText"/>
      </w:pPr>
      <w:r>
        <w:t xml:space="preserve">All persons who receive ESG assistance must have an initial evaluation and periodic re-evaluations (every three months for homelessness prevention assistance and annually for rapid re-housing assistance) to ensure that they meet HUD’s eligibility criteria </w:t>
      </w:r>
      <w:r w:rsidRPr="001E289C">
        <w:t>(§ 576.401(a)</w:t>
      </w:r>
      <w:r>
        <w:t xml:space="preserve"> and (b)</w:t>
      </w:r>
      <w:r w:rsidRPr="001E289C">
        <w:t>)</w:t>
      </w:r>
      <w:r>
        <w:t>.  The implementing regulations for the ESG program also require recipients to develop written standards to determine, among other things, the amount and type of assistance each eligible individual or family may receive when they present for assistance (</w:t>
      </w:r>
      <w:r w:rsidRPr="001E289C">
        <w:t>§ 576.400(d)</w:t>
      </w:r>
      <w:r>
        <w:t>)</w:t>
      </w:r>
      <w:r w:rsidRPr="001E289C">
        <w:t xml:space="preserve">. </w:t>
      </w:r>
      <w:r>
        <w:t xml:space="preserve"> </w:t>
      </w:r>
      <w:r w:rsidRPr="001E289C">
        <w:t xml:space="preserve">  </w:t>
      </w:r>
    </w:p>
    <w:p w:rsidR="009F3FD2" w:rsidRDefault="009F3FD2" w:rsidP="009F3FD2">
      <w:pPr>
        <w:pStyle w:val="BodyText"/>
      </w:pPr>
      <w:r w:rsidRPr="000B7D63">
        <w:t xml:space="preserve">Once an individual or family becomes a program participant, the ESG recipient or subrecipient must connect the program participant to other mainstream resources to help the individual or family obtain and maintain housing stability (§ 576.401(d)), develop a housing retention plan (§ 576.401(e)), and ensure that the individual or family is residing in a unit or shelter that meets habitability standards (§ 576.401(d)).  </w:t>
      </w:r>
    </w:p>
    <w:p w:rsidR="009F3FD2" w:rsidRPr="000B7D63" w:rsidRDefault="009F3FD2" w:rsidP="009F3FD2">
      <w:pPr>
        <w:pStyle w:val="BodyText"/>
      </w:pPr>
      <w:r w:rsidRPr="000B7D63">
        <w:t xml:space="preserve">The recipient must establish termination of assistance procedures and must follow them before terminating assistance to any program participant receiving ESG assistance (§ 576.402).  </w:t>
      </w:r>
    </w:p>
    <w:p w:rsidR="009F3FD2" w:rsidRPr="000B7D63" w:rsidRDefault="009F3FD2" w:rsidP="009F3FD2">
      <w:pPr>
        <w:pStyle w:val="BodyText"/>
      </w:pPr>
      <w:r w:rsidRPr="000B7D63">
        <w:t xml:space="preserve">To ensure that </w:t>
      </w:r>
      <w:r>
        <w:t>programs</w:t>
      </w:r>
      <w:r w:rsidRPr="000B7D63">
        <w:t xml:space="preserve"> carried out with ESG funds meet the needs of homeless persons and persons at risk of homelessness within the geographic area,</w:t>
      </w:r>
      <w:r>
        <w:t xml:space="preserve"> ESG </w:t>
      </w:r>
      <w:r w:rsidRPr="000B7D63">
        <w:t xml:space="preserve">recipients and subrecipients, not including States, must have a homeless or formerly homeless person serve on the board or other decision making body (§ 576.405).  </w:t>
      </w:r>
    </w:p>
    <w:p w:rsidR="009F3FD2" w:rsidRDefault="009F3FD2" w:rsidP="009F3FD2">
      <w:pPr>
        <w:pStyle w:val="BodyText"/>
      </w:pPr>
      <w:r w:rsidRPr="000B7D63">
        <w:t xml:space="preserve">The recipient and subrecipient must keep records verifying that all of the program requirements have been met (§ 576.500) and ensure that these records are maintained in a secure and confidential manner.  Recipients must monitor subrecipients to ensure that program requirements are being met and take sanctions against subrecipients if the requirements are not being met (§ 576.501(c)).  </w:t>
      </w:r>
    </w:p>
    <w:p w:rsidR="009F3FD2" w:rsidRPr="009F3FD2" w:rsidRDefault="009F3FD2" w:rsidP="009F3FD2">
      <w:pPr>
        <w:spacing w:after="120"/>
      </w:pPr>
      <w:r w:rsidRPr="007F1A34">
        <w:t xml:space="preserve">Due to the repeal of </w:t>
      </w:r>
      <w:r>
        <w:t>S</w:t>
      </w:r>
      <w:r w:rsidRPr="007F1A34">
        <w:t xml:space="preserve">ection 443 of the McKinney-Vento Homeless Assistance Act, ESG </w:t>
      </w:r>
      <w:r>
        <w:t xml:space="preserve">recipients initially </w:t>
      </w:r>
      <w:r w:rsidRPr="007F1A34">
        <w:t>had to follow the environmental review procedures under 24 CFR part 50, which assigns HUD all environmental review responsibilities.</w:t>
      </w:r>
      <w:r>
        <w:t xml:space="preserve"> However, </w:t>
      </w:r>
      <w:r w:rsidRPr="007F1A34">
        <w:rPr>
          <w:bCs/>
        </w:rPr>
        <w:t>the President signed into law H.R. 4348</w:t>
      </w:r>
      <w:r>
        <w:rPr>
          <w:bCs/>
        </w:rPr>
        <w:t xml:space="preserve"> o</w:t>
      </w:r>
      <w:r w:rsidRPr="007F1A34">
        <w:rPr>
          <w:bCs/>
        </w:rPr>
        <w:t xml:space="preserve">n July 6, 2012, which corrects certain provisions of the HEARTH Act, including the requirement that ESG recipients follow 24 CFR part 50.  As a result, </w:t>
      </w:r>
      <w:r>
        <w:rPr>
          <w:bCs/>
        </w:rPr>
        <w:t xml:space="preserve">recipients and subrecipients assume environmental review responsibilities under </w:t>
      </w:r>
      <w:r w:rsidRPr="007F1A34">
        <w:rPr>
          <w:bCs/>
        </w:rPr>
        <w:t xml:space="preserve">24 CFR </w:t>
      </w:r>
      <w:r>
        <w:rPr>
          <w:bCs/>
        </w:rPr>
        <w:t>p</w:t>
      </w:r>
      <w:r w:rsidRPr="007F1A34">
        <w:rPr>
          <w:bCs/>
        </w:rPr>
        <w:t>art 58</w:t>
      </w:r>
      <w:r>
        <w:rPr>
          <w:bCs/>
        </w:rPr>
        <w:t xml:space="preserve">. </w:t>
      </w:r>
      <w:r>
        <w:rPr>
          <w:b/>
          <w:bCs/>
        </w:rPr>
        <w:t xml:space="preserve"> </w:t>
      </w:r>
      <w:r>
        <w:rPr>
          <w:bCs/>
        </w:rPr>
        <w:t>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rsidR="009F3FD2" w:rsidRPr="000B7D63" w:rsidRDefault="009F3FD2" w:rsidP="009F3FD2">
      <w:pPr>
        <w:pStyle w:val="BodyText"/>
      </w:pPr>
    </w:p>
    <w:p w:rsidR="009F3FD2" w:rsidRDefault="009F3FD2" w:rsidP="009F3FD2">
      <w:pPr>
        <w:pStyle w:val="AbtHeadB"/>
      </w:pPr>
      <w:bookmarkStart w:id="28" w:name="_Toc310937513"/>
      <w:r>
        <w:lastRenderedPageBreak/>
        <w:t>A2</w:t>
      </w:r>
      <w:r>
        <w:tab/>
        <w:t>Information Users</w:t>
      </w:r>
      <w:bookmarkEnd w:id="22"/>
      <w:bookmarkEnd w:id="23"/>
      <w:bookmarkEnd w:id="28"/>
    </w:p>
    <w:p w:rsidR="009F3FD2" w:rsidRPr="000B7D63" w:rsidRDefault="009F3FD2" w:rsidP="009F3FD2">
      <w:pPr>
        <w:pStyle w:val="AbtHeadB"/>
        <w:rPr>
          <w:b w:val="0"/>
          <w:i/>
          <w:sz w:val="24"/>
        </w:rPr>
      </w:pPr>
      <w:bookmarkStart w:id="29" w:name="_Toc310931653"/>
      <w:bookmarkStart w:id="30" w:name="_Toc310937514"/>
      <w:r w:rsidRPr="000B7D63">
        <w:rPr>
          <w:b w:val="0"/>
          <w:i/>
          <w:sz w:val="24"/>
        </w:rPr>
        <w:t>How is the information collected and how is the information to be used?</w:t>
      </w:r>
      <w:bookmarkEnd w:id="29"/>
      <w:bookmarkEnd w:id="30"/>
      <w:r w:rsidRPr="000B7D63">
        <w:rPr>
          <w:b w:val="0"/>
          <w:i/>
          <w:sz w:val="24"/>
        </w:rPr>
        <w:t xml:space="preserve">  </w:t>
      </w:r>
    </w:p>
    <w:p w:rsidR="009F3FD2" w:rsidRDefault="009F3FD2" w:rsidP="009F3FD2">
      <w:pPr>
        <w:autoSpaceDE w:val="0"/>
        <w:autoSpaceDN w:val="0"/>
        <w:adjustRightInd w:val="0"/>
      </w:pPr>
      <w:r w:rsidRPr="000B7D63">
        <w:t xml:space="preserve">HUD requires recipients of ESG funds to carry out certain program requirements and maintain records that the program requirements were carried out.  HUD Field Offices, HUD Headquarters, and ESG recipients use this information to track compliance with the statutory and regulatory provisions.   If HUD identifies that the recipient has not been meeting the requirements of this program, it may take the remedial actions set forth in § 576.501(b).  </w:t>
      </w:r>
    </w:p>
    <w:p w:rsidR="006B71AC" w:rsidRDefault="006B71AC">
      <w:pPr>
        <w:spacing w:after="200" w:line="276" w:lineRule="auto"/>
        <w:rPr>
          <w:rFonts w:ascii="Arial" w:hAnsi="Arial"/>
          <w:b/>
          <w:sz w:val="28"/>
          <w:szCs w:val="20"/>
        </w:rPr>
      </w:pPr>
      <w:bookmarkStart w:id="31" w:name="_Toc224972102"/>
      <w:bookmarkStart w:id="32" w:name="_Toc233444279"/>
      <w:bookmarkStart w:id="33" w:name="_Toc310937515"/>
    </w:p>
    <w:p w:rsidR="009F3FD2" w:rsidRDefault="009F3FD2" w:rsidP="009F3FD2">
      <w:pPr>
        <w:pStyle w:val="AbtHeadB"/>
      </w:pPr>
      <w:r>
        <w:t>A3</w:t>
      </w:r>
      <w:r>
        <w:tab/>
        <w:t>Improved Information Technologies</w:t>
      </w:r>
      <w:bookmarkEnd w:id="31"/>
      <w:bookmarkEnd w:id="32"/>
      <w:bookmarkEnd w:id="33"/>
    </w:p>
    <w:p w:rsidR="009F3FD2" w:rsidRDefault="009F3FD2" w:rsidP="009F3FD2">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9F3FD2" w:rsidRDefault="009F3FD2" w:rsidP="009F3FD2">
      <w:pPr>
        <w:pStyle w:val="NormalWeb"/>
      </w:pPr>
      <w:r w:rsidRPr="000B7D63">
        <w:t>HUD does not require the use of any form to document compliance with program regulations; however, the implementing interim regulation allows communities to maintain documentation by microfilming, photocopying, or other similar methods, including electronic.  HUD expects that some communities will maintain paper records, while others will maintain electronic records</w:t>
      </w:r>
      <w:r>
        <w:t xml:space="preserve">. </w:t>
      </w:r>
    </w:p>
    <w:p w:rsidR="009F3FD2" w:rsidRDefault="009F3FD2" w:rsidP="009F3FD2">
      <w:pPr>
        <w:pStyle w:val="AbtHeadB"/>
      </w:pPr>
      <w:bookmarkStart w:id="34" w:name="_Toc224972104"/>
      <w:bookmarkStart w:id="35" w:name="_Toc233444280"/>
      <w:bookmarkStart w:id="36" w:name="_Toc310937516"/>
      <w:r>
        <w:t>A4</w:t>
      </w:r>
      <w:r>
        <w:tab/>
        <w:t>Duplication of Similar Information</w:t>
      </w:r>
      <w:bookmarkEnd w:id="34"/>
      <w:bookmarkEnd w:id="35"/>
      <w:bookmarkEnd w:id="36"/>
    </w:p>
    <w:p w:rsidR="009F3FD2" w:rsidRDefault="009F3FD2" w:rsidP="009F3FD2">
      <w:pPr>
        <w:keepLines/>
        <w:tabs>
          <w:tab w:val="left" w:pos="0"/>
        </w:tabs>
        <w:spacing w:after="80"/>
        <w:rPr>
          <w:rFonts w:ascii="Arial" w:hAnsi="Arial"/>
          <w:i/>
          <w:color w:val="000000"/>
        </w:rPr>
      </w:pPr>
      <w:r>
        <w:rPr>
          <w:rFonts w:ascii="Arial" w:hAnsi="Arial"/>
          <w:i/>
          <w:color w:val="000000"/>
        </w:rPr>
        <w:t>Is this information collected elsewhere?  If so, why cannot any similar information already available be used or modified?</w:t>
      </w:r>
    </w:p>
    <w:p w:rsidR="009F3FD2" w:rsidRDefault="009F3FD2" w:rsidP="009F3FD2">
      <w:pPr>
        <w:keepLines/>
        <w:tabs>
          <w:tab w:val="left" w:pos="0"/>
        </w:tabs>
        <w:spacing w:after="80"/>
        <w:rPr>
          <w:rFonts w:ascii="Arial" w:hAnsi="Arial"/>
          <w:i/>
          <w:color w:val="000000"/>
        </w:rPr>
      </w:pPr>
    </w:p>
    <w:p w:rsidR="009F3FD2" w:rsidRDefault="009F3FD2" w:rsidP="009F3FD2">
      <w:r w:rsidRPr="000B7D63">
        <w:t>No similar information exists.  The program and recordkeeping requirements are unique to the ESG program.  The planning and reporting requirements for this program are already covered in the Consolidated Plan &amp; Annual Performance Report for Grantees, which is covered by OMB control number 2506-0117</w:t>
      </w:r>
      <w:r w:rsidRPr="00D8058E">
        <w:t xml:space="preserve">.  </w:t>
      </w:r>
    </w:p>
    <w:p w:rsidR="009F3FD2" w:rsidRDefault="009F3FD2" w:rsidP="009F3FD2"/>
    <w:p w:rsidR="009F3FD2" w:rsidRDefault="009F3FD2" w:rsidP="009F3FD2"/>
    <w:p w:rsidR="009F3FD2" w:rsidRDefault="009F3FD2" w:rsidP="009F3FD2">
      <w:pPr>
        <w:pStyle w:val="AbtHeadB"/>
      </w:pPr>
      <w:bookmarkStart w:id="37" w:name="_Toc224972105"/>
      <w:bookmarkStart w:id="38" w:name="_Toc233444281"/>
      <w:bookmarkStart w:id="39" w:name="_Toc310937517"/>
      <w:r>
        <w:t>A5</w:t>
      </w:r>
      <w:r>
        <w:tab/>
        <w:t>Small Businesses</w:t>
      </w:r>
      <w:bookmarkEnd w:id="37"/>
      <w:bookmarkEnd w:id="38"/>
      <w:bookmarkEnd w:id="39"/>
    </w:p>
    <w:p w:rsidR="009F3FD2" w:rsidRDefault="009F3FD2" w:rsidP="009F3FD2">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9F3FD2" w:rsidRDefault="009F3FD2" w:rsidP="009F3FD2"/>
    <w:p w:rsidR="009F3FD2" w:rsidRPr="00C369F5" w:rsidRDefault="009F3FD2" w:rsidP="009F3FD2">
      <w:r w:rsidRPr="000B7D63">
        <w:t>There is no burden on small businesses or other small entities</w:t>
      </w:r>
      <w:r>
        <w:t>.</w:t>
      </w:r>
    </w:p>
    <w:p w:rsidR="009F3FD2" w:rsidRDefault="009F3FD2" w:rsidP="009F3FD2"/>
    <w:p w:rsidR="009F3FD2" w:rsidRPr="00553BCC" w:rsidRDefault="009F3FD2" w:rsidP="009F3FD2">
      <w:pPr>
        <w:pStyle w:val="BodyText"/>
      </w:pPr>
      <w:bookmarkStart w:id="40" w:name="_Toc224972106"/>
      <w:bookmarkStart w:id="41" w:name="_Toc233444282"/>
    </w:p>
    <w:p w:rsidR="009F3FD2" w:rsidRDefault="009F3FD2" w:rsidP="009F3FD2">
      <w:pPr>
        <w:pStyle w:val="AbtHeadB"/>
      </w:pPr>
      <w:bookmarkStart w:id="42" w:name="_Toc310937518"/>
      <w:r>
        <w:lastRenderedPageBreak/>
        <w:t>A6</w:t>
      </w:r>
      <w:r>
        <w:tab/>
        <w:t>Less Frequent Data Collection</w:t>
      </w:r>
      <w:bookmarkEnd w:id="40"/>
      <w:bookmarkEnd w:id="41"/>
      <w:bookmarkEnd w:id="42"/>
    </w:p>
    <w:p w:rsidR="009F3FD2" w:rsidRDefault="009F3FD2" w:rsidP="009F3FD2">
      <w:pPr>
        <w:keepLines/>
        <w:tabs>
          <w:tab w:val="left" w:pos="0"/>
        </w:tabs>
        <w:spacing w:after="8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9F3FD2" w:rsidRDefault="009F3FD2" w:rsidP="009F3FD2">
      <w:pPr>
        <w:keepLines/>
        <w:tabs>
          <w:tab w:val="left" w:pos="0"/>
        </w:tabs>
        <w:spacing w:after="80"/>
        <w:rPr>
          <w:rFonts w:ascii="Arial" w:hAnsi="Arial"/>
          <w:i/>
          <w:color w:val="000000"/>
        </w:rPr>
      </w:pPr>
    </w:p>
    <w:p w:rsidR="009F3FD2" w:rsidRDefault="009F3FD2" w:rsidP="009F3FD2">
      <w:pPr>
        <w:rPr>
          <w:spacing w:val="-2"/>
        </w:rPr>
      </w:pPr>
      <w:r w:rsidRPr="000B7D63">
        <w:rPr>
          <w:spacing w:val="-2"/>
        </w:rPr>
        <w:t>If no records are collected on this aspect of the program, program regulatory compliance will not be able to be determined.  The information is collected on a p</w:t>
      </w:r>
      <w:r>
        <w:rPr>
          <w:spacing w:val="-2"/>
        </w:rPr>
        <w:t>rogram</w:t>
      </w:r>
      <w:r w:rsidRPr="000B7D63">
        <w:rPr>
          <w:spacing w:val="-2"/>
        </w:rPr>
        <w:t>-by-pro</w:t>
      </w:r>
      <w:r>
        <w:rPr>
          <w:spacing w:val="-2"/>
        </w:rPr>
        <w:t>gram</w:t>
      </w:r>
      <w:r w:rsidRPr="000B7D63">
        <w:rPr>
          <w:spacing w:val="-2"/>
        </w:rPr>
        <w:t xml:space="preserve"> basis to permit ESG recipients to draw down ESG funds from the U.S. Treasury and to ensure ESG funds are used for eligible purposes.  It is not possible to collect the information less frequently</w:t>
      </w:r>
      <w:r>
        <w:rPr>
          <w:spacing w:val="-2"/>
        </w:rPr>
        <w:t>.</w:t>
      </w:r>
    </w:p>
    <w:p w:rsidR="005E0F05" w:rsidRDefault="005E0F05" w:rsidP="009F3FD2">
      <w:pPr>
        <w:rPr>
          <w:spacing w:val="-2"/>
        </w:rPr>
      </w:pPr>
    </w:p>
    <w:p w:rsidR="009F3FD2" w:rsidRPr="000E1981" w:rsidRDefault="009F3FD2" w:rsidP="009F3FD2">
      <w:pPr>
        <w:pStyle w:val="AbtHeadB"/>
      </w:pPr>
      <w:bookmarkStart w:id="43" w:name="_Toc224972107"/>
      <w:bookmarkStart w:id="44" w:name="_Toc233444283"/>
      <w:bookmarkStart w:id="45" w:name="_Toc310937519"/>
      <w:r>
        <w:t>A7</w:t>
      </w:r>
      <w:r>
        <w:tab/>
        <w:t>Special Circumstances</w:t>
      </w:r>
      <w:bookmarkEnd w:id="43"/>
      <w:bookmarkEnd w:id="44"/>
      <w:bookmarkEnd w:id="45"/>
    </w:p>
    <w:p w:rsidR="009F3FD2" w:rsidRDefault="009F3FD2" w:rsidP="009F3FD2">
      <w:pPr>
        <w:rPr>
          <w:i/>
        </w:rPr>
      </w:pPr>
      <w:r w:rsidRPr="00CD521F">
        <w:rPr>
          <w:i/>
        </w:rPr>
        <w:t>Explain any special circumstances that would cause an information collection to be conducted in a manner that would impose additional workload burden on recipients</w:t>
      </w:r>
      <w:r>
        <w:rPr>
          <w:i/>
        </w:rPr>
        <w:t xml:space="preserve"> (see </w:t>
      </w:r>
      <w:r w:rsidRPr="00CD521F">
        <w:rPr>
          <w:i/>
        </w:rPr>
        <w:t>eight items listed</w:t>
      </w:r>
      <w:r>
        <w:rPr>
          <w:i/>
        </w:rPr>
        <w:t xml:space="preserve"> in OMB guidance</w:t>
      </w:r>
      <w:r w:rsidRPr="00CD521F">
        <w:rPr>
          <w:i/>
        </w:rPr>
        <w:t>)</w:t>
      </w:r>
      <w:r>
        <w:rPr>
          <w:i/>
        </w:rPr>
        <w:t>.</w:t>
      </w:r>
    </w:p>
    <w:p w:rsidR="009F3FD2" w:rsidRPr="00CD521F" w:rsidRDefault="009F3FD2" w:rsidP="009F3FD2">
      <w:pPr>
        <w:rPr>
          <w:i/>
        </w:rPr>
      </w:pPr>
      <w:r>
        <w:rPr>
          <w:i/>
        </w:rPr>
        <w:t xml:space="preserve"> </w:t>
      </w:r>
    </w:p>
    <w:p w:rsidR="009F3FD2" w:rsidRDefault="009F3FD2" w:rsidP="009F3FD2">
      <w:r w:rsidRPr="000B7D63">
        <w:t>There are no special circumstances that would cause this information collection to be conducted in a manner that would impose one or more of the additional requirements identified under this item</w:t>
      </w:r>
      <w:r w:rsidRPr="005F6633">
        <w:t>.</w:t>
      </w:r>
    </w:p>
    <w:p w:rsidR="009F3FD2" w:rsidRPr="000E1981" w:rsidRDefault="009F3FD2" w:rsidP="009F3FD2">
      <w:pPr>
        <w:rPr>
          <w:rFonts w:ascii="Arial" w:hAnsi="Arial" w:cs="Arial"/>
          <w:sz w:val="28"/>
        </w:rPr>
      </w:pPr>
    </w:p>
    <w:p w:rsidR="009F3FD2" w:rsidRDefault="009F3FD2" w:rsidP="009F3FD2">
      <w:pPr>
        <w:pStyle w:val="AbtHeadB"/>
      </w:pPr>
      <w:bookmarkStart w:id="46" w:name="_Toc224972108"/>
      <w:bookmarkStart w:id="47" w:name="_Toc233444284"/>
      <w:bookmarkStart w:id="48" w:name="_Toc310937520"/>
      <w:r w:rsidRPr="005F6633">
        <w:t>A8</w:t>
      </w:r>
      <w:r w:rsidRPr="005F6633">
        <w:tab/>
        <w:t>Federal Register Notice/Outside Consultation</w:t>
      </w:r>
      <w:bookmarkEnd w:id="46"/>
      <w:bookmarkEnd w:id="47"/>
      <w:bookmarkEnd w:id="48"/>
    </w:p>
    <w:p w:rsidR="009F3FD2" w:rsidRDefault="009F3FD2" w:rsidP="009F3FD2">
      <w:pPr>
        <w:keepLines/>
        <w:tabs>
          <w:tab w:val="left" w:pos="-110"/>
        </w:tabs>
        <w:spacing w:after="8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9F3FD2" w:rsidRDefault="009F3FD2" w:rsidP="009F3FD2">
      <w:pPr>
        <w:keepLines/>
        <w:tabs>
          <w:tab w:val="left" w:pos="-110"/>
        </w:tabs>
        <w:spacing w:after="80"/>
        <w:rPr>
          <w:rFonts w:ascii="Arial" w:hAnsi="Arial"/>
          <w:i/>
          <w:color w:val="000000"/>
        </w:rPr>
      </w:pPr>
    </w:p>
    <w:p w:rsidR="009F3FD2" w:rsidRDefault="009F3FD2" w:rsidP="009F3FD2">
      <w:r w:rsidRPr="00D77C7C">
        <w:t xml:space="preserve">In accordance with the Paperwork Reduction Act of 1995, the Department of Housing and Urban Development published a notice in the Federal Register </w:t>
      </w:r>
      <w:r>
        <w:t xml:space="preserve">XXXXX XX, 2012 (XX FR XXXX, page XXXX) </w:t>
      </w:r>
      <w:r w:rsidRPr="00D77C7C">
        <w:t xml:space="preserve">announcing the agency’s intention to request an OMB review of data collection activities for the </w:t>
      </w:r>
      <w:r>
        <w:t>ESG</w:t>
      </w:r>
      <w:r w:rsidRPr="00D77C7C">
        <w:t xml:space="preserve">.  The notice provided a </w:t>
      </w:r>
      <w:r>
        <w:t>7</w:t>
      </w:r>
      <w:r w:rsidRPr="00D77C7C">
        <w:t>-day period for public comments</w:t>
      </w:r>
      <w:r>
        <w:t xml:space="preserve"> and XX comments were received</w:t>
      </w:r>
      <w:r w:rsidRPr="00D77C7C">
        <w:t xml:space="preserve">.  </w:t>
      </w:r>
    </w:p>
    <w:p w:rsidR="009F3FD2" w:rsidRDefault="009F3FD2" w:rsidP="009F3FD2"/>
    <w:p w:rsidR="009F3FD2" w:rsidRDefault="009F3FD2" w:rsidP="009F3FD2"/>
    <w:p w:rsidR="009F3FD2" w:rsidRDefault="009F3FD2" w:rsidP="009F3FD2">
      <w:pPr>
        <w:pStyle w:val="AbtHeadB"/>
      </w:pPr>
      <w:bookmarkStart w:id="49" w:name="_Toc224972111"/>
      <w:bookmarkStart w:id="50" w:name="_Toc233444285"/>
      <w:bookmarkStart w:id="51" w:name="_Toc310937521"/>
      <w:r>
        <w:t>A9</w:t>
      </w:r>
      <w:r>
        <w:tab/>
        <w:t>Payment/Gift to Respondents</w:t>
      </w:r>
      <w:bookmarkEnd w:id="49"/>
      <w:bookmarkEnd w:id="50"/>
      <w:bookmarkEnd w:id="51"/>
    </w:p>
    <w:p w:rsidR="009F3FD2" w:rsidRDefault="009F3FD2" w:rsidP="009F3FD2">
      <w:pPr>
        <w:keepLines/>
        <w:tabs>
          <w:tab w:val="left" w:pos="360"/>
        </w:tabs>
        <w:spacing w:after="80"/>
        <w:rPr>
          <w:rFonts w:ascii="Arial" w:hAnsi="Arial"/>
          <w:i/>
          <w:color w:val="000000"/>
        </w:rPr>
      </w:pPr>
      <w:r>
        <w:rPr>
          <w:rFonts w:ascii="Arial" w:hAnsi="Arial"/>
          <w:i/>
          <w:color w:val="000000"/>
        </w:rPr>
        <w:t>Explain any payments or gifts to respondents, other than remuneration of contractors or grantees.</w:t>
      </w:r>
    </w:p>
    <w:p w:rsidR="009F3FD2" w:rsidRDefault="009F3FD2" w:rsidP="009F3FD2">
      <w:pPr>
        <w:keepLines/>
        <w:tabs>
          <w:tab w:val="left" w:pos="360"/>
        </w:tabs>
        <w:rPr>
          <w:rFonts w:ascii="Arial" w:hAnsi="Arial"/>
          <w:color w:val="000000"/>
        </w:rPr>
      </w:pPr>
    </w:p>
    <w:p w:rsidR="009F3FD2" w:rsidRDefault="009F3FD2" w:rsidP="009F3FD2">
      <w:r w:rsidRPr="000B7D63">
        <w:t>Not applicable.  No payment or gifts are provided to any respondents for any information</w:t>
      </w:r>
      <w:r w:rsidRPr="00ED7E08">
        <w:t>.</w:t>
      </w:r>
    </w:p>
    <w:p w:rsidR="009F3FD2" w:rsidRDefault="009F3FD2" w:rsidP="009F3FD2"/>
    <w:p w:rsidR="009F3FD2" w:rsidRDefault="009F3FD2" w:rsidP="009F3FD2">
      <w:pPr>
        <w:pStyle w:val="AbtHeadB"/>
      </w:pPr>
      <w:bookmarkStart w:id="52" w:name="_Toc224972112"/>
      <w:bookmarkStart w:id="53" w:name="_Toc233444286"/>
      <w:bookmarkStart w:id="54" w:name="_Toc310937522"/>
      <w:r>
        <w:lastRenderedPageBreak/>
        <w:t>A10</w:t>
      </w:r>
      <w:r>
        <w:tab/>
        <w:t>Confidentiality</w:t>
      </w:r>
      <w:bookmarkEnd w:id="52"/>
      <w:bookmarkEnd w:id="53"/>
      <w:bookmarkEnd w:id="54"/>
    </w:p>
    <w:p w:rsidR="009F3FD2" w:rsidRDefault="009F3FD2" w:rsidP="009F3FD2">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9F3FD2" w:rsidRDefault="009F3FD2" w:rsidP="009F3FD2"/>
    <w:p w:rsidR="009F3FD2" w:rsidRDefault="009F3FD2" w:rsidP="009F3FD2">
      <w:r w:rsidRPr="000B7D63">
        <w:t>§ 576.500(w) of the interim ESG regulations states that recipients and subrecipient must develop and implement procedures to ensure that all records containing personally identifying information will be kept secure and confidential; the address or location of any domestic violence, dating violence, sexual assault, or stalking shelter project will not be made public, except with written authorization of the person responsible for the operation of shelter; and the address or location of any housing of a program participant will not be made public, except as provided under a preexisting privacy policy of the recipient or subrecipient and consistent with state and local laws regarding privacy and obligations of confidentiality.</w:t>
      </w:r>
      <w:r>
        <w:t xml:space="preserve">  </w:t>
      </w:r>
    </w:p>
    <w:p w:rsidR="005E0F05" w:rsidRDefault="005E0F05" w:rsidP="009F3FD2"/>
    <w:p w:rsidR="009F3FD2" w:rsidRDefault="009F3FD2" w:rsidP="009F3FD2">
      <w:pPr>
        <w:pStyle w:val="AbtHeadB"/>
      </w:pPr>
      <w:bookmarkStart w:id="55" w:name="_Toc224972113"/>
      <w:bookmarkStart w:id="56" w:name="_Toc233444287"/>
      <w:bookmarkStart w:id="57" w:name="_Toc310937523"/>
      <w:r>
        <w:t>A11</w:t>
      </w:r>
      <w:r>
        <w:tab/>
        <w:t>Sensitive Questions</w:t>
      </w:r>
      <w:bookmarkEnd w:id="55"/>
      <w:bookmarkEnd w:id="56"/>
      <w:bookmarkEnd w:id="57"/>
    </w:p>
    <w:p w:rsidR="009F3FD2" w:rsidRDefault="009F3FD2" w:rsidP="009F3FD2">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rsidR="009F3FD2" w:rsidRPr="00BB6789" w:rsidRDefault="009F3FD2" w:rsidP="009F3FD2">
      <w:pPr>
        <w:keepLines/>
        <w:tabs>
          <w:tab w:val="left" w:pos="360"/>
          <w:tab w:val="left" w:pos="720"/>
        </w:tabs>
        <w:rPr>
          <w:rFonts w:ascii="Arial" w:hAnsi="Arial"/>
          <w:color w:val="000000"/>
        </w:rPr>
      </w:pPr>
    </w:p>
    <w:p w:rsidR="009F3FD2" w:rsidRDefault="009F3FD2" w:rsidP="009F3FD2">
      <w:pPr>
        <w:pStyle w:val="BodyText"/>
      </w:pPr>
      <w:r w:rsidRPr="000B7D63">
        <w:t>Not applicable.  The information collection request does not include any sensitive questions</w:t>
      </w:r>
      <w:r w:rsidRPr="005F6633">
        <w:t>.</w:t>
      </w:r>
    </w:p>
    <w:p w:rsidR="009F3FD2" w:rsidRDefault="009F3FD2" w:rsidP="009F3FD2"/>
    <w:p w:rsidR="009F3FD2" w:rsidRDefault="009F3FD2" w:rsidP="009F3FD2">
      <w:pPr>
        <w:pStyle w:val="AbtHeadB"/>
      </w:pPr>
      <w:bookmarkStart w:id="58" w:name="_Toc224972114"/>
      <w:bookmarkStart w:id="59" w:name="_Toc233444288"/>
      <w:bookmarkStart w:id="60" w:name="_Toc310937524"/>
      <w:r>
        <w:t>A12</w:t>
      </w:r>
      <w:r>
        <w:tab/>
        <w:t>Burden Estimate (Total Hours and Wages)</w:t>
      </w:r>
      <w:bookmarkEnd w:id="58"/>
      <w:bookmarkEnd w:id="59"/>
      <w:bookmarkEnd w:id="60"/>
    </w:p>
    <w:p w:rsidR="009F3FD2" w:rsidRDefault="009F3FD2" w:rsidP="009F3FD2">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rsidR="009F3FD2" w:rsidRDefault="009F3FD2" w:rsidP="009F3FD2"/>
    <w:p w:rsidR="009F3FD2" w:rsidRDefault="009F3FD2" w:rsidP="009F3FD2">
      <w:pPr>
        <w:autoSpaceDE w:val="0"/>
        <w:autoSpaceDN w:val="0"/>
        <w:adjustRightInd w:val="0"/>
        <w:rPr>
          <w:color w:val="000000"/>
        </w:rPr>
      </w:pPr>
      <w:r w:rsidRPr="004443D8">
        <w:rPr>
          <w:color w:val="000000"/>
        </w:rPr>
        <w:t>Exhibit A-</w:t>
      </w:r>
      <w:r>
        <w:rPr>
          <w:color w:val="000000"/>
        </w:rPr>
        <w:t>1</w:t>
      </w:r>
      <w:r w:rsidRPr="004443D8">
        <w:rPr>
          <w:color w:val="000000"/>
        </w:rPr>
        <w:t xml:space="preserve"> </w:t>
      </w:r>
      <w:r w:rsidRPr="004443D8">
        <w:rPr>
          <w:color w:val="000000"/>
          <w:szCs w:val="22"/>
        </w:rPr>
        <w:t>below demonstrat</w:t>
      </w:r>
      <w:r>
        <w:rPr>
          <w:color w:val="000000"/>
          <w:szCs w:val="22"/>
        </w:rPr>
        <w:t xml:space="preserve">e how the public burden for ESG Data Collection was calculated based on estimated time and expenditures required to complete the record-keeping collection. The total burden for data collection from all recipients and subrecipients </w:t>
      </w:r>
      <w:r w:rsidRPr="005F6633">
        <w:rPr>
          <w:color w:val="000000"/>
          <w:szCs w:val="22"/>
        </w:rPr>
        <w:t>is estim</w:t>
      </w:r>
      <w:r>
        <w:rPr>
          <w:color w:val="000000"/>
          <w:szCs w:val="22"/>
        </w:rPr>
        <w:t>ated at 367,441</w:t>
      </w:r>
      <w:r w:rsidRPr="008B3E91">
        <w:rPr>
          <w:color w:val="000000"/>
          <w:szCs w:val="22"/>
        </w:rPr>
        <w:t xml:space="preserve"> hours.</w:t>
      </w:r>
      <w:r>
        <w:rPr>
          <w:color w:val="000000"/>
          <w:szCs w:val="22"/>
        </w:rPr>
        <w:t xml:space="preserve">  </w:t>
      </w:r>
      <w:r>
        <w:rPr>
          <w:color w:val="000000"/>
        </w:rPr>
        <w:t xml:space="preserve">The table estimates the amount of time required for each individual data collection activity including the number of times the activity is carried out during the year and the number of responses expected per activity. </w:t>
      </w:r>
    </w:p>
    <w:p w:rsidR="00075008" w:rsidRDefault="00075008"/>
    <w:p w:rsidR="006B71AC" w:rsidRDefault="006B71AC">
      <w:pPr>
        <w:spacing w:after="200" w:line="276" w:lineRule="auto"/>
        <w:rPr>
          <w:rFonts w:ascii="Arial" w:hAnsi="Arial"/>
          <w:b/>
          <w:sz w:val="20"/>
        </w:rPr>
      </w:pPr>
      <w:r>
        <w:rPr>
          <w:rFonts w:ascii="Arial" w:hAnsi="Arial"/>
          <w:b/>
          <w:sz w:val="20"/>
        </w:rPr>
        <w:br w:type="page"/>
      </w:r>
    </w:p>
    <w:p w:rsidR="006B71AC" w:rsidRDefault="006B71AC" w:rsidP="006B71AC">
      <w:pPr>
        <w:jc w:val="center"/>
        <w:rPr>
          <w:rFonts w:ascii="Arial" w:hAnsi="Arial"/>
          <w:b/>
          <w:sz w:val="20"/>
        </w:rPr>
      </w:pPr>
      <w:r>
        <w:rPr>
          <w:rFonts w:ascii="Arial" w:hAnsi="Arial"/>
          <w:b/>
          <w:sz w:val="20"/>
        </w:rPr>
        <w:lastRenderedPageBreak/>
        <w:t xml:space="preserve">Exhibit A-1: Estimated </w:t>
      </w:r>
      <w:r w:rsidRPr="00ED7E08">
        <w:rPr>
          <w:rFonts w:ascii="Arial" w:hAnsi="Arial"/>
          <w:b/>
          <w:sz w:val="20"/>
        </w:rPr>
        <w:t>Annual</w:t>
      </w:r>
      <w:r>
        <w:rPr>
          <w:rFonts w:ascii="Arial" w:hAnsi="Arial"/>
          <w:b/>
          <w:sz w:val="20"/>
        </w:rPr>
        <w:t xml:space="preserve"> Burden Hours for ESG Data Collection</w:t>
      </w:r>
    </w:p>
    <w:p w:rsidR="006B71AC" w:rsidRDefault="006B71AC" w:rsidP="006B71AC">
      <w:pPr>
        <w:jc w:val="center"/>
        <w:rPr>
          <w:rFonts w:ascii="Arial" w:hAnsi="Arial"/>
          <w:b/>
          <w:sz w:val="20"/>
        </w:rPr>
      </w:pPr>
    </w:p>
    <w:tbl>
      <w:tblPr>
        <w:tblW w:w="10045" w:type="dxa"/>
        <w:tblInd w:w="-127" w:type="dxa"/>
        <w:tblLayout w:type="fixed"/>
        <w:tblLook w:val="0000" w:firstRow="0" w:lastRow="0" w:firstColumn="0" w:lastColumn="0" w:noHBand="0" w:noVBand="0"/>
      </w:tblPr>
      <w:tblGrid>
        <w:gridCol w:w="3066"/>
        <w:gridCol w:w="1578"/>
        <w:gridCol w:w="1354"/>
        <w:gridCol w:w="1337"/>
        <w:gridCol w:w="1421"/>
        <w:gridCol w:w="1289"/>
      </w:tblGrid>
      <w:tr w:rsidR="006B71AC" w:rsidRPr="009613CA" w:rsidTr="001E0A52">
        <w:tc>
          <w:tcPr>
            <w:tcW w:w="3066" w:type="dxa"/>
            <w:tcBorders>
              <w:top w:val="single" w:sz="4" w:space="0" w:color="000000"/>
              <w:left w:val="single" w:sz="4" w:space="0" w:color="000000"/>
              <w:bottom w:val="single" w:sz="4" w:space="0" w:color="000000"/>
            </w:tcBorders>
            <w:shd w:val="clear" w:color="auto" w:fill="808080" w:themeFill="background1" w:themeFillShade="80"/>
            <w:vAlign w:val="center"/>
          </w:tcPr>
          <w:p w:rsidR="006B71AC" w:rsidRPr="009613CA" w:rsidRDefault="006B71AC" w:rsidP="001E0A52">
            <w:pPr>
              <w:snapToGrid w:val="0"/>
              <w:jc w:val="center"/>
              <w:rPr>
                <w:b/>
                <w:bCs/>
              </w:rPr>
            </w:pPr>
            <w:r>
              <w:rPr>
                <w:rFonts w:ascii="Arial" w:hAnsi="Arial"/>
                <w:b/>
                <w:color w:val="FFFFFF"/>
                <w:sz w:val="20"/>
              </w:rPr>
              <w:t>A</w:t>
            </w:r>
          </w:p>
        </w:tc>
        <w:tc>
          <w:tcPr>
            <w:tcW w:w="1578" w:type="dxa"/>
            <w:tcBorders>
              <w:top w:val="single" w:sz="4" w:space="0" w:color="000000"/>
              <w:left w:val="single" w:sz="4" w:space="0" w:color="000000"/>
              <w:bottom w:val="single" w:sz="4" w:space="0" w:color="000000"/>
            </w:tcBorders>
            <w:shd w:val="clear" w:color="auto" w:fill="808080" w:themeFill="background1" w:themeFillShade="80"/>
            <w:vAlign w:val="center"/>
          </w:tcPr>
          <w:p w:rsidR="006B71AC" w:rsidRPr="009613CA" w:rsidRDefault="006B71AC" w:rsidP="001E0A52">
            <w:pPr>
              <w:snapToGrid w:val="0"/>
              <w:jc w:val="center"/>
              <w:rPr>
                <w:b/>
                <w:bCs/>
              </w:rPr>
            </w:pPr>
            <w:r>
              <w:rPr>
                <w:rFonts w:ascii="Arial" w:hAnsi="Arial"/>
                <w:b/>
                <w:color w:val="FFFFFF"/>
                <w:sz w:val="20"/>
              </w:rPr>
              <w:t>B</w:t>
            </w:r>
          </w:p>
        </w:tc>
        <w:tc>
          <w:tcPr>
            <w:tcW w:w="1354" w:type="dxa"/>
            <w:tcBorders>
              <w:top w:val="single" w:sz="4" w:space="0" w:color="000000"/>
              <w:left w:val="single" w:sz="4" w:space="0" w:color="000000"/>
              <w:bottom w:val="single" w:sz="4" w:space="0" w:color="000000"/>
            </w:tcBorders>
            <w:shd w:val="clear" w:color="auto" w:fill="808080" w:themeFill="background1" w:themeFillShade="80"/>
            <w:vAlign w:val="center"/>
          </w:tcPr>
          <w:p w:rsidR="006B71AC" w:rsidRPr="000B7D63" w:rsidRDefault="006B71AC" w:rsidP="001E0A52">
            <w:pPr>
              <w:snapToGrid w:val="0"/>
              <w:jc w:val="center"/>
              <w:rPr>
                <w:rFonts w:ascii="Arial" w:hAnsi="Arial" w:cs="Arial"/>
                <w:b/>
                <w:bCs/>
                <w:color w:val="FFFFFF" w:themeColor="background1"/>
                <w:sz w:val="20"/>
              </w:rPr>
            </w:pPr>
            <w:r w:rsidRPr="000B7D63">
              <w:rPr>
                <w:rFonts w:ascii="Arial" w:hAnsi="Arial" w:cs="Arial"/>
                <w:b/>
                <w:bCs/>
                <w:color w:val="FFFFFF" w:themeColor="background1"/>
                <w:sz w:val="20"/>
              </w:rPr>
              <w:t>C</w:t>
            </w:r>
          </w:p>
        </w:tc>
        <w:tc>
          <w:tcPr>
            <w:tcW w:w="1337" w:type="dxa"/>
            <w:tcBorders>
              <w:top w:val="single" w:sz="4" w:space="0" w:color="000000"/>
              <w:left w:val="single" w:sz="4" w:space="0" w:color="000000"/>
              <w:bottom w:val="single" w:sz="4" w:space="0" w:color="000000"/>
            </w:tcBorders>
            <w:shd w:val="clear" w:color="auto" w:fill="808080" w:themeFill="background1" w:themeFillShade="80"/>
            <w:vAlign w:val="center"/>
          </w:tcPr>
          <w:p w:rsidR="006B71AC" w:rsidRPr="000B7D63" w:rsidRDefault="006B71AC" w:rsidP="001E0A52">
            <w:pPr>
              <w:snapToGrid w:val="0"/>
              <w:jc w:val="center"/>
              <w:rPr>
                <w:rFonts w:ascii="Arial" w:hAnsi="Arial" w:cs="Arial"/>
                <w:b/>
                <w:bCs/>
                <w:color w:val="FFFFFF" w:themeColor="background1"/>
                <w:sz w:val="20"/>
              </w:rPr>
            </w:pPr>
            <w:r w:rsidRPr="000B7D63">
              <w:rPr>
                <w:rFonts w:ascii="Arial" w:hAnsi="Arial" w:cs="Arial"/>
                <w:b/>
                <w:bCs/>
                <w:color w:val="FFFFFF" w:themeColor="background1"/>
                <w:sz w:val="20"/>
              </w:rPr>
              <w:t>D</w:t>
            </w:r>
          </w:p>
        </w:tc>
        <w:tc>
          <w:tcPr>
            <w:tcW w:w="1421" w:type="dxa"/>
            <w:tcBorders>
              <w:top w:val="single" w:sz="4" w:space="0" w:color="000000"/>
              <w:left w:val="single" w:sz="4" w:space="0" w:color="000000"/>
              <w:bottom w:val="single" w:sz="4" w:space="0" w:color="000000"/>
            </w:tcBorders>
            <w:shd w:val="clear" w:color="auto" w:fill="808080" w:themeFill="background1" w:themeFillShade="80"/>
            <w:vAlign w:val="center"/>
          </w:tcPr>
          <w:p w:rsidR="006B71AC" w:rsidRPr="000B7D63" w:rsidRDefault="006B71AC" w:rsidP="001E0A52">
            <w:pPr>
              <w:snapToGrid w:val="0"/>
              <w:jc w:val="center"/>
              <w:rPr>
                <w:rFonts w:ascii="Arial" w:hAnsi="Arial" w:cs="Arial"/>
                <w:b/>
                <w:bCs/>
                <w:color w:val="FFFFFF" w:themeColor="background1"/>
                <w:sz w:val="20"/>
              </w:rPr>
            </w:pPr>
            <w:r w:rsidRPr="000B7D63">
              <w:rPr>
                <w:rFonts w:ascii="Arial" w:hAnsi="Arial" w:cs="Arial"/>
                <w:b/>
                <w:bCs/>
                <w:color w:val="FFFFFF" w:themeColor="background1"/>
                <w:sz w:val="20"/>
              </w:rPr>
              <w:t>E</w:t>
            </w:r>
          </w:p>
        </w:tc>
        <w:tc>
          <w:tcPr>
            <w:tcW w:w="128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6B71AC" w:rsidRPr="000B7D63" w:rsidRDefault="006B71AC" w:rsidP="001E0A52">
            <w:pPr>
              <w:snapToGrid w:val="0"/>
              <w:jc w:val="center"/>
              <w:rPr>
                <w:rFonts w:ascii="Arial" w:hAnsi="Arial" w:cs="Arial"/>
                <w:b/>
                <w:bCs/>
                <w:color w:val="FFFFFF" w:themeColor="background1"/>
                <w:sz w:val="20"/>
              </w:rPr>
            </w:pPr>
            <w:r w:rsidRPr="000B7D63">
              <w:rPr>
                <w:rFonts w:ascii="Arial" w:hAnsi="Arial" w:cs="Arial"/>
                <w:b/>
                <w:bCs/>
                <w:color w:val="FFFFFF" w:themeColor="background1"/>
                <w:sz w:val="20"/>
              </w:rPr>
              <w:t>F</w:t>
            </w:r>
          </w:p>
        </w:tc>
      </w:tr>
      <w:tr w:rsidR="006B71AC" w:rsidRPr="009613CA" w:rsidTr="001E0A52">
        <w:tc>
          <w:tcPr>
            <w:tcW w:w="3066"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b/>
                <w:bCs/>
              </w:rPr>
            </w:pPr>
          </w:p>
          <w:p w:rsidR="006B71AC" w:rsidRPr="009613CA" w:rsidRDefault="006B71AC" w:rsidP="001E0A52">
            <w:pPr>
              <w:rPr>
                <w:b/>
                <w:bCs/>
              </w:rPr>
            </w:pPr>
          </w:p>
          <w:p w:rsidR="006B71AC" w:rsidRPr="009613CA" w:rsidRDefault="006B71AC" w:rsidP="001E0A52">
            <w:pPr>
              <w:rPr>
                <w:b/>
                <w:bCs/>
              </w:rPr>
            </w:pPr>
            <w:r w:rsidRPr="009613CA">
              <w:rPr>
                <w:b/>
                <w:bCs/>
              </w:rPr>
              <w:t>Information Collection</w:t>
            </w:r>
          </w:p>
        </w:tc>
        <w:tc>
          <w:tcPr>
            <w:tcW w:w="1578"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b/>
                <w:bCs/>
              </w:rPr>
            </w:pPr>
          </w:p>
          <w:p w:rsidR="006B71AC" w:rsidRPr="009613CA" w:rsidRDefault="006B71AC" w:rsidP="001E0A52">
            <w:pPr>
              <w:jc w:val="center"/>
              <w:rPr>
                <w:b/>
                <w:bCs/>
              </w:rPr>
            </w:pPr>
          </w:p>
          <w:p w:rsidR="006B71AC" w:rsidRPr="009613CA" w:rsidRDefault="006B71AC" w:rsidP="001E0A52">
            <w:pPr>
              <w:jc w:val="center"/>
              <w:rPr>
                <w:b/>
                <w:bCs/>
              </w:rPr>
            </w:pPr>
            <w:r w:rsidRPr="009613CA">
              <w:rPr>
                <w:b/>
                <w:bCs/>
              </w:rPr>
              <w:t>Number of Respondents</w:t>
            </w:r>
          </w:p>
        </w:tc>
        <w:tc>
          <w:tcPr>
            <w:tcW w:w="1354" w:type="dxa"/>
            <w:tcBorders>
              <w:top w:val="single" w:sz="4" w:space="0" w:color="000000"/>
              <w:left w:val="single" w:sz="4" w:space="0" w:color="000000"/>
              <w:bottom w:val="single" w:sz="4" w:space="0" w:color="000000"/>
            </w:tcBorders>
          </w:tcPr>
          <w:p w:rsidR="006B71AC" w:rsidRPr="009613CA" w:rsidRDefault="006B71AC" w:rsidP="001E0A52">
            <w:pPr>
              <w:snapToGrid w:val="0"/>
              <w:rPr>
                <w:b/>
                <w:bCs/>
              </w:rPr>
            </w:pPr>
          </w:p>
          <w:p w:rsidR="006B71AC" w:rsidRPr="009613CA" w:rsidRDefault="006B71AC" w:rsidP="001E0A52">
            <w:pPr>
              <w:rPr>
                <w:b/>
                <w:bCs/>
              </w:rPr>
            </w:pPr>
            <w:r w:rsidRPr="009613CA">
              <w:rPr>
                <w:b/>
                <w:bCs/>
              </w:rPr>
              <w:t>Response Frequency (average)</w:t>
            </w:r>
          </w:p>
        </w:tc>
        <w:tc>
          <w:tcPr>
            <w:tcW w:w="1337"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b/>
                <w:bCs/>
              </w:rPr>
            </w:pPr>
          </w:p>
          <w:p w:rsidR="006B71AC" w:rsidRPr="009613CA" w:rsidRDefault="006B71AC" w:rsidP="001E0A52">
            <w:pPr>
              <w:jc w:val="center"/>
              <w:rPr>
                <w:b/>
                <w:bCs/>
              </w:rPr>
            </w:pPr>
            <w:r w:rsidRPr="009613CA">
              <w:rPr>
                <w:b/>
                <w:bCs/>
              </w:rPr>
              <w:t>Total Annual Responses</w:t>
            </w:r>
          </w:p>
        </w:tc>
        <w:tc>
          <w:tcPr>
            <w:tcW w:w="1421"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b/>
                <w:bCs/>
              </w:rPr>
            </w:pPr>
          </w:p>
          <w:p w:rsidR="006B71AC" w:rsidRPr="009613CA" w:rsidRDefault="006B71AC" w:rsidP="001E0A52">
            <w:pPr>
              <w:jc w:val="center"/>
              <w:rPr>
                <w:b/>
                <w:bCs/>
              </w:rPr>
            </w:pPr>
            <w:r w:rsidRPr="009613CA">
              <w:rPr>
                <w:b/>
                <w:bCs/>
              </w:rPr>
              <w:t>Burden Hours Per Response</w:t>
            </w:r>
          </w:p>
        </w:tc>
        <w:tc>
          <w:tcPr>
            <w:tcW w:w="1289" w:type="dxa"/>
            <w:tcBorders>
              <w:top w:val="single" w:sz="4" w:space="0" w:color="000000"/>
              <w:left w:val="single" w:sz="4" w:space="0" w:color="000000"/>
              <w:bottom w:val="single" w:sz="4" w:space="0" w:color="000000"/>
              <w:right w:val="single" w:sz="4" w:space="0" w:color="000000"/>
            </w:tcBorders>
          </w:tcPr>
          <w:p w:rsidR="006B71AC" w:rsidRPr="009613CA" w:rsidRDefault="006B71AC" w:rsidP="001E0A52">
            <w:pPr>
              <w:snapToGrid w:val="0"/>
              <w:jc w:val="center"/>
              <w:rPr>
                <w:b/>
                <w:bCs/>
              </w:rPr>
            </w:pPr>
          </w:p>
          <w:p w:rsidR="006B71AC" w:rsidRPr="009613CA" w:rsidRDefault="006B71AC" w:rsidP="001E0A52">
            <w:pPr>
              <w:jc w:val="center"/>
              <w:rPr>
                <w:b/>
                <w:bCs/>
              </w:rPr>
            </w:pPr>
            <w:r w:rsidRPr="009613CA">
              <w:rPr>
                <w:b/>
                <w:bCs/>
              </w:rPr>
              <w:t>Total Annual Hours</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576.100(b)(2) Emergency Shelter and Street Outreach Cap</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360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360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1.0</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360</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576.400(a) Consultation with Continuums of Care</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360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360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6.0</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2,160</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576.400(b) Coordination with other Targeted Homeless Services</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2,360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2,360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8.0</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18,880</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576.400(c) System and Program Coordination with Mainstream Resources</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2,360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2,360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16.0</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37,760</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576.400(d) Centralized or Coordinated Assessment</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2,000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2,000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3.0</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6,000</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576.400(e) Written Standards for Determining the Amount of Assistance</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808</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808</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5.0</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4,040</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576.400(f) Participation in HMIS</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78,000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78,000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0.5</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39,000</w:t>
            </w:r>
          </w:p>
        </w:tc>
      </w:tr>
      <w:tr w:rsidR="006B71AC" w:rsidRPr="009613CA" w:rsidTr="001E0A52">
        <w:trPr>
          <w:trHeight w:val="350"/>
        </w:trPr>
        <w:tc>
          <w:tcPr>
            <w:tcW w:w="3066" w:type="dxa"/>
            <w:tcBorders>
              <w:top w:val="single" w:sz="4" w:space="0" w:color="000000"/>
              <w:left w:val="single" w:sz="4" w:space="0" w:color="000000"/>
              <w:bottom w:val="single" w:sz="4" w:space="0" w:color="000000"/>
            </w:tcBorders>
          </w:tcPr>
          <w:p w:rsidR="006B71AC" w:rsidRPr="009613CA" w:rsidRDefault="006B71AC" w:rsidP="001E0A52">
            <w:pPr>
              <w:snapToGrid w:val="0"/>
            </w:pPr>
            <w:r>
              <w:t>576.401(a) Initial Evaluation</w:t>
            </w:r>
          </w:p>
        </w:tc>
        <w:tc>
          <w:tcPr>
            <w:tcW w:w="1578"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50,000</w:t>
            </w:r>
          </w:p>
        </w:tc>
        <w:tc>
          <w:tcPr>
            <w:tcW w:w="1354"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30,000</w:t>
            </w:r>
          </w:p>
        </w:tc>
        <w:tc>
          <w:tcPr>
            <w:tcW w:w="1421"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1.0</w:t>
            </w:r>
          </w:p>
        </w:tc>
        <w:tc>
          <w:tcPr>
            <w:tcW w:w="1289" w:type="dxa"/>
            <w:tcBorders>
              <w:top w:val="single" w:sz="4" w:space="0" w:color="000000"/>
              <w:left w:val="single" w:sz="4" w:space="0" w:color="000000"/>
              <w:bottom w:val="single" w:sz="4" w:space="0" w:color="000000"/>
              <w:right w:val="single" w:sz="4" w:space="0" w:color="000000"/>
            </w:tcBorders>
          </w:tcPr>
          <w:p w:rsidR="006B71AC" w:rsidRPr="009613CA" w:rsidRDefault="006B71AC" w:rsidP="001E0A52">
            <w:pPr>
              <w:snapToGrid w:val="0"/>
              <w:jc w:val="center"/>
              <w:rPr>
                <w:sz w:val="22"/>
              </w:rPr>
            </w:pPr>
            <w:r>
              <w:rPr>
                <w:sz w:val="22"/>
              </w:rPr>
              <w:t>30,000</w:t>
            </w:r>
          </w:p>
        </w:tc>
      </w:tr>
      <w:tr w:rsidR="006B71AC" w:rsidRPr="009613CA" w:rsidTr="001E0A52">
        <w:tc>
          <w:tcPr>
            <w:tcW w:w="3066" w:type="dxa"/>
            <w:tcBorders>
              <w:top w:val="single" w:sz="4" w:space="0" w:color="000000"/>
              <w:left w:val="single" w:sz="4" w:space="0" w:color="000000"/>
              <w:bottom w:val="single" w:sz="4" w:space="0" w:color="000000"/>
            </w:tcBorders>
          </w:tcPr>
          <w:p w:rsidR="006B71AC" w:rsidRPr="00DA6497" w:rsidRDefault="006B71AC" w:rsidP="001E0A52">
            <w:pPr>
              <w:snapToGrid w:val="0"/>
            </w:pPr>
            <w:r>
              <w:t>576.401(b) Recertification</w:t>
            </w:r>
          </w:p>
        </w:tc>
        <w:tc>
          <w:tcPr>
            <w:tcW w:w="1578"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20,000</w:t>
            </w:r>
          </w:p>
        </w:tc>
        <w:tc>
          <w:tcPr>
            <w:tcW w:w="1354"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2</w:t>
            </w:r>
          </w:p>
        </w:tc>
        <w:tc>
          <w:tcPr>
            <w:tcW w:w="1337"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40,000</w:t>
            </w:r>
          </w:p>
        </w:tc>
        <w:tc>
          <w:tcPr>
            <w:tcW w:w="1421" w:type="dxa"/>
            <w:tcBorders>
              <w:top w:val="single" w:sz="4" w:space="0" w:color="000000"/>
              <w:left w:val="single" w:sz="4" w:space="0" w:color="000000"/>
              <w:bottom w:val="single" w:sz="4" w:space="0" w:color="000000"/>
            </w:tcBorders>
          </w:tcPr>
          <w:p w:rsidR="006B71AC" w:rsidRPr="009613CA" w:rsidRDefault="006B71AC" w:rsidP="001E0A52">
            <w:pPr>
              <w:snapToGrid w:val="0"/>
              <w:jc w:val="center"/>
              <w:rPr>
                <w:sz w:val="22"/>
              </w:rPr>
            </w:pPr>
            <w:r>
              <w:rPr>
                <w:sz w:val="22"/>
              </w:rPr>
              <w:t>0.5</w:t>
            </w:r>
          </w:p>
        </w:tc>
        <w:tc>
          <w:tcPr>
            <w:tcW w:w="1289" w:type="dxa"/>
            <w:tcBorders>
              <w:top w:val="single" w:sz="4" w:space="0" w:color="000000"/>
              <w:left w:val="single" w:sz="4" w:space="0" w:color="000000"/>
              <w:bottom w:val="single" w:sz="4" w:space="0" w:color="000000"/>
              <w:right w:val="single" w:sz="4" w:space="0" w:color="000000"/>
            </w:tcBorders>
          </w:tcPr>
          <w:p w:rsidR="006B71AC" w:rsidRPr="009613CA" w:rsidRDefault="006B71AC" w:rsidP="001E0A52">
            <w:pPr>
              <w:snapToGrid w:val="0"/>
              <w:jc w:val="center"/>
              <w:rPr>
                <w:sz w:val="22"/>
              </w:rPr>
            </w:pPr>
            <w:r>
              <w:rPr>
                <w:sz w:val="22"/>
              </w:rPr>
              <w:t>20,000</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Pr="00DA6497" w:rsidRDefault="006B71AC" w:rsidP="001E0A52">
            <w:pPr>
              <w:snapToGrid w:val="0"/>
            </w:pPr>
            <w:r w:rsidRPr="006C4286">
              <w:t>576.401 (</w:t>
            </w:r>
            <w:r>
              <w:t>d</w:t>
            </w:r>
            <w:r w:rsidRPr="006C4286">
              <w:t xml:space="preserve">) </w:t>
            </w:r>
            <w:r>
              <w:t>Connection to Mainstream Resources</w:t>
            </w:r>
          </w:p>
        </w:tc>
        <w:tc>
          <w:tcPr>
            <w:tcW w:w="1578"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78,000</w:t>
            </w:r>
          </w:p>
        </w:tc>
        <w:tc>
          <w:tcPr>
            <w:tcW w:w="1354"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3</w:t>
            </w:r>
          </w:p>
        </w:tc>
        <w:tc>
          <w:tcPr>
            <w:tcW w:w="1337"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234,000</w:t>
            </w:r>
          </w:p>
        </w:tc>
        <w:tc>
          <w:tcPr>
            <w:tcW w:w="1421"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0.25</w:t>
            </w:r>
          </w:p>
        </w:tc>
        <w:tc>
          <w:tcPr>
            <w:tcW w:w="1289" w:type="dxa"/>
            <w:tcBorders>
              <w:top w:val="single" w:sz="4" w:space="0" w:color="000000"/>
              <w:left w:val="single" w:sz="4" w:space="0" w:color="000000"/>
              <w:bottom w:val="single" w:sz="4" w:space="0" w:color="000000"/>
              <w:right w:val="single" w:sz="4" w:space="0" w:color="000000"/>
            </w:tcBorders>
          </w:tcPr>
          <w:p w:rsidR="006B71AC" w:rsidRPr="00DA6497" w:rsidRDefault="006B71AC" w:rsidP="001E0A52">
            <w:pPr>
              <w:snapToGrid w:val="0"/>
              <w:jc w:val="center"/>
              <w:rPr>
                <w:sz w:val="22"/>
              </w:rPr>
            </w:pPr>
            <w:r>
              <w:rPr>
                <w:sz w:val="22"/>
              </w:rPr>
              <w:t>58,500</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Pr="00DA6497" w:rsidRDefault="006B71AC" w:rsidP="001E0A52">
            <w:pPr>
              <w:snapToGrid w:val="0"/>
            </w:pPr>
            <w:r>
              <w:t>576.401(e) Housing retention plan</w:t>
            </w:r>
          </w:p>
        </w:tc>
        <w:tc>
          <w:tcPr>
            <w:tcW w:w="1578"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50,000</w:t>
            </w:r>
          </w:p>
        </w:tc>
        <w:tc>
          <w:tcPr>
            <w:tcW w:w="1354"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50,000</w:t>
            </w:r>
          </w:p>
        </w:tc>
        <w:tc>
          <w:tcPr>
            <w:tcW w:w="1421"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.75</w:t>
            </w:r>
          </w:p>
        </w:tc>
        <w:tc>
          <w:tcPr>
            <w:tcW w:w="1289" w:type="dxa"/>
            <w:tcBorders>
              <w:top w:val="single" w:sz="4" w:space="0" w:color="000000"/>
              <w:left w:val="single" w:sz="4" w:space="0" w:color="000000"/>
              <w:bottom w:val="single" w:sz="4" w:space="0" w:color="000000"/>
              <w:right w:val="single" w:sz="4" w:space="0" w:color="000000"/>
            </w:tcBorders>
          </w:tcPr>
          <w:p w:rsidR="006B71AC" w:rsidRPr="00DA6497" w:rsidRDefault="006B71AC" w:rsidP="001E0A52">
            <w:pPr>
              <w:snapToGrid w:val="0"/>
              <w:jc w:val="center"/>
              <w:rPr>
                <w:sz w:val="22"/>
              </w:rPr>
            </w:pPr>
            <w:r>
              <w:rPr>
                <w:sz w:val="22"/>
              </w:rPr>
              <w:t>37,500</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576.402 Terminating Assistance</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808</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808</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4.0</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3,232</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Pr="00DA6497" w:rsidRDefault="006B71AC" w:rsidP="001E0A52">
            <w:pPr>
              <w:snapToGrid w:val="0"/>
            </w:pPr>
            <w:r>
              <w:t>576.403 Habitability review</w:t>
            </w:r>
          </w:p>
        </w:tc>
        <w:tc>
          <w:tcPr>
            <w:tcW w:w="1578"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52,000</w:t>
            </w:r>
          </w:p>
        </w:tc>
        <w:tc>
          <w:tcPr>
            <w:tcW w:w="1354"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52,000</w:t>
            </w:r>
          </w:p>
        </w:tc>
        <w:tc>
          <w:tcPr>
            <w:tcW w:w="1421"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0.6</w:t>
            </w:r>
          </w:p>
        </w:tc>
        <w:tc>
          <w:tcPr>
            <w:tcW w:w="1289" w:type="dxa"/>
            <w:tcBorders>
              <w:top w:val="single" w:sz="4" w:space="0" w:color="000000"/>
              <w:left w:val="single" w:sz="4" w:space="0" w:color="000000"/>
              <w:bottom w:val="single" w:sz="4" w:space="0" w:color="000000"/>
              <w:right w:val="single" w:sz="4" w:space="0" w:color="000000"/>
            </w:tcBorders>
          </w:tcPr>
          <w:p w:rsidR="006B71AC" w:rsidRPr="00DA6497" w:rsidRDefault="006B71AC" w:rsidP="001E0A52">
            <w:pPr>
              <w:snapToGrid w:val="0"/>
              <w:jc w:val="center"/>
              <w:rPr>
                <w:sz w:val="22"/>
              </w:rPr>
            </w:pPr>
            <w:r>
              <w:rPr>
                <w:sz w:val="22"/>
              </w:rPr>
              <w:t>31,200</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576.405 Homeless Participation</w:t>
            </w:r>
          </w:p>
        </w:tc>
        <w:tc>
          <w:tcPr>
            <w:tcW w:w="1578"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2,360</w:t>
            </w:r>
          </w:p>
        </w:tc>
        <w:tc>
          <w:tcPr>
            <w:tcW w:w="1354"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12</w:t>
            </w:r>
          </w:p>
        </w:tc>
        <w:tc>
          <w:tcPr>
            <w:tcW w:w="1337"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28,320</w:t>
            </w:r>
          </w:p>
        </w:tc>
        <w:tc>
          <w:tcPr>
            <w:tcW w:w="1421"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1.0</w:t>
            </w:r>
          </w:p>
        </w:tc>
        <w:tc>
          <w:tcPr>
            <w:tcW w:w="1289" w:type="dxa"/>
            <w:tcBorders>
              <w:top w:val="single" w:sz="4" w:space="0" w:color="000000"/>
              <w:left w:val="single" w:sz="4" w:space="0" w:color="000000"/>
              <w:bottom w:val="single" w:sz="4" w:space="0" w:color="000000"/>
              <w:right w:val="single" w:sz="4" w:space="0" w:color="000000"/>
            </w:tcBorders>
          </w:tcPr>
          <w:p w:rsidR="006B71AC" w:rsidRPr="00DA6497" w:rsidRDefault="006B71AC" w:rsidP="001E0A52">
            <w:pPr>
              <w:snapToGrid w:val="0"/>
              <w:jc w:val="center"/>
              <w:rPr>
                <w:sz w:val="22"/>
              </w:rPr>
            </w:pPr>
            <w:r>
              <w:rPr>
                <w:sz w:val="22"/>
              </w:rPr>
              <w:t>28,320</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Pr="00DA6497" w:rsidRDefault="006B71AC" w:rsidP="001E0A52">
            <w:pPr>
              <w:snapToGrid w:val="0"/>
            </w:pPr>
            <w:r>
              <w:t>576.500 Recordkeeping Requirements</w:t>
            </w:r>
          </w:p>
        </w:tc>
        <w:tc>
          <w:tcPr>
            <w:tcW w:w="1578"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2,360</w:t>
            </w:r>
          </w:p>
        </w:tc>
        <w:tc>
          <w:tcPr>
            <w:tcW w:w="1354"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2,360</w:t>
            </w:r>
          </w:p>
        </w:tc>
        <w:tc>
          <w:tcPr>
            <w:tcW w:w="1421"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12.75</w:t>
            </w:r>
          </w:p>
        </w:tc>
        <w:tc>
          <w:tcPr>
            <w:tcW w:w="1289" w:type="dxa"/>
            <w:tcBorders>
              <w:top w:val="single" w:sz="4" w:space="0" w:color="000000"/>
              <w:left w:val="single" w:sz="4" w:space="0" w:color="000000"/>
              <w:bottom w:val="single" w:sz="4" w:space="0" w:color="000000"/>
              <w:right w:val="single" w:sz="4" w:space="0" w:color="000000"/>
            </w:tcBorders>
          </w:tcPr>
          <w:p w:rsidR="006B71AC" w:rsidRPr="00DA6497" w:rsidRDefault="006B71AC" w:rsidP="001E0A52">
            <w:pPr>
              <w:snapToGrid w:val="0"/>
              <w:jc w:val="center"/>
              <w:rPr>
                <w:sz w:val="22"/>
              </w:rPr>
            </w:pPr>
            <w:r>
              <w:rPr>
                <w:sz w:val="22"/>
              </w:rPr>
              <w:t>30,009</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Pr="00DA6497" w:rsidRDefault="006B71AC" w:rsidP="001E0A52">
            <w:pPr>
              <w:snapToGrid w:val="0"/>
            </w:pPr>
            <w:r>
              <w:t>576.501(b) Remedial Actions</w:t>
            </w:r>
          </w:p>
        </w:tc>
        <w:tc>
          <w:tcPr>
            <w:tcW w:w="1578"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20</w:t>
            </w:r>
          </w:p>
        </w:tc>
        <w:tc>
          <w:tcPr>
            <w:tcW w:w="1354"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20</w:t>
            </w:r>
          </w:p>
        </w:tc>
        <w:tc>
          <w:tcPr>
            <w:tcW w:w="1421" w:type="dxa"/>
            <w:tcBorders>
              <w:top w:val="single" w:sz="4" w:space="0" w:color="000000"/>
              <w:left w:val="single" w:sz="4" w:space="0" w:color="000000"/>
              <w:bottom w:val="single" w:sz="4" w:space="0" w:color="000000"/>
            </w:tcBorders>
          </w:tcPr>
          <w:p w:rsidR="006B71AC" w:rsidRPr="00DA6497" w:rsidRDefault="006B71AC" w:rsidP="001E0A52">
            <w:pPr>
              <w:snapToGrid w:val="0"/>
              <w:jc w:val="center"/>
              <w:rPr>
                <w:sz w:val="22"/>
              </w:rPr>
            </w:pPr>
            <w:r>
              <w:rPr>
                <w:sz w:val="22"/>
              </w:rPr>
              <w:t>8</w:t>
            </w:r>
          </w:p>
        </w:tc>
        <w:tc>
          <w:tcPr>
            <w:tcW w:w="1289" w:type="dxa"/>
            <w:tcBorders>
              <w:top w:val="single" w:sz="4" w:space="0" w:color="000000"/>
              <w:left w:val="single" w:sz="4" w:space="0" w:color="000000"/>
              <w:bottom w:val="single" w:sz="4" w:space="0" w:color="000000"/>
              <w:right w:val="single" w:sz="4" w:space="0" w:color="000000"/>
            </w:tcBorders>
          </w:tcPr>
          <w:p w:rsidR="006B71AC" w:rsidRPr="00DA6497" w:rsidRDefault="006B71AC" w:rsidP="001E0A52">
            <w:pPr>
              <w:snapToGrid w:val="0"/>
              <w:jc w:val="center"/>
              <w:rPr>
                <w:sz w:val="22"/>
              </w:rPr>
            </w:pPr>
            <w:r>
              <w:rPr>
                <w:sz w:val="22"/>
              </w:rPr>
              <w:t>160</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576.501(c) Recipient Sanctions</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360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360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12</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4,320</w:t>
            </w:r>
          </w:p>
        </w:tc>
      </w:tr>
      <w:tr w:rsidR="006B71AC" w:rsidRPr="00DA6497" w:rsidTr="001E0A52">
        <w:tc>
          <w:tcPr>
            <w:tcW w:w="3066" w:type="dxa"/>
            <w:tcBorders>
              <w:top w:val="single" w:sz="4" w:space="0" w:color="000000"/>
              <w:left w:val="single" w:sz="4" w:space="0" w:color="000000"/>
              <w:bottom w:val="single" w:sz="4" w:space="0" w:color="000000"/>
            </w:tcBorders>
          </w:tcPr>
          <w:p w:rsidR="006B71AC" w:rsidRDefault="006B71AC" w:rsidP="001E0A52">
            <w:pPr>
              <w:snapToGrid w:val="0"/>
            </w:pPr>
            <w:r>
              <w:t>576.501(c) Subrecipient Response</w:t>
            </w:r>
          </w:p>
        </w:tc>
        <w:tc>
          <w:tcPr>
            <w:tcW w:w="1578"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2,000</w:t>
            </w:r>
          </w:p>
        </w:tc>
        <w:tc>
          <w:tcPr>
            <w:tcW w:w="1354"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1</w:t>
            </w:r>
          </w:p>
        </w:tc>
        <w:tc>
          <w:tcPr>
            <w:tcW w:w="1337"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2,000</w:t>
            </w:r>
          </w:p>
        </w:tc>
        <w:tc>
          <w:tcPr>
            <w:tcW w:w="1421" w:type="dxa"/>
            <w:tcBorders>
              <w:top w:val="single" w:sz="4" w:space="0" w:color="000000"/>
              <w:left w:val="single" w:sz="4" w:space="0" w:color="000000"/>
              <w:bottom w:val="single" w:sz="4" w:space="0" w:color="000000"/>
            </w:tcBorders>
          </w:tcPr>
          <w:p w:rsidR="006B71AC" w:rsidRDefault="006B71AC" w:rsidP="001E0A52">
            <w:pPr>
              <w:snapToGrid w:val="0"/>
              <w:jc w:val="center"/>
              <w:rPr>
                <w:sz w:val="22"/>
              </w:rPr>
            </w:pPr>
            <w:r>
              <w:rPr>
                <w:sz w:val="22"/>
              </w:rPr>
              <w:t>8</w:t>
            </w:r>
          </w:p>
        </w:tc>
        <w:tc>
          <w:tcPr>
            <w:tcW w:w="1289" w:type="dxa"/>
            <w:tcBorders>
              <w:top w:val="single" w:sz="4" w:space="0" w:color="000000"/>
              <w:left w:val="single" w:sz="4" w:space="0" w:color="000000"/>
              <w:bottom w:val="single" w:sz="4" w:space="0" w:color="000000"/>
              <w:right w:val="single" w:sz="4" w:space="0" w:color="000000"/>
            </w:tcBorders>
          </w:tcPr>
          <w:p w:rsidR="006B71AC" w:rsidRDefault="006B71AC" w:rsidP="001E0A52">
            <w:pPr>
              <w:snapToGrid w:val="0"/>
              <w:jc w:val="center"/>
              <w:rPr>
                <w:sz w:val="22"/>
              </w:rPr>
            </w:pPr>
            <w:r>
              <w:rPr>
                <w:sz w:val="22"/>
              </w:rPr>
              <w:t>16,000</w:t>
            </w:r>
          </w:p>
        </w:tc>
      </w:tr>
      <w:tr w:rsidR="006B71AC" w:rsidRPr="009613CA" w:rsidTr="001E0A52">
        <w:tc>
          <w:tcPr>
            <w:tcW w:w="3066" w:type="dxa"/>
            <w:tcBorders>
              <w:top w:val="single" w:sz="4" w:space="0" w:color="000000"/>
              <w:left w:val="single" w:sz="4" w:space="0" w:color="000000"/>
              <w:bottom w:val="single" w:sz="4" w:space="0" w:color="000000"/>
            </w:tcBorders>
            <w:shd w:val="clear" w:color="auto" w:fill="808080" w:themeFill="background1" w:themeFillShade="80"/>
          </w:tcPr>
          <w:p w:rsidR="006B71AC" w:rsidRPr="000E1981" w:rsidRDefault="006B71AC" w:rsidP="001E0A52">
            <w:pPr>
              <w:snapToGrid w:val="0"/>
              <w:rPr>
                <w:color w:val="FFFFFF" w:themeColor="background1"/>
              </w:rPr>
            </w:pPr>
            <w:r w:rsidRPr="000E1981">
              <w:rPr>
                <w:b/>
                <w:bCs/>
                <w:color w:val="FFFFFF" w:themeColor="background1"/>
                <w:sz w:val="22"/>
              </w:rPr>
              <w:t>Total</w:t>
            </w:r>
          </w:p>
        </w:tc>
        <w:tc>
          <w:tcPr>
            <w:tcW w:w="1578" w:type="dxa"/>
            <w:tcBorders>
              <w:top w:val="single" w:sz="4" w:space="0" w:color="000000"/>
              <w:left w:val="single" w:sz="4" w:space="0" w:color="000000"/>
              <w:bottom w:val="single" w:sz="4" w:space="0" w:color="000000"/>
            </w:tcBorders>
            <w:shd w:val="clear" w:color="auto" w:fill="808080" w:themeFill="background1" w:themeFillShade="80"/>
          </w:tcPr>
          <w:p w:rsidR="006B71AC" w:rsidRPr="006B71AC" w:rsidRDefault="006B71AC" w:rsidP="001E0A52">
            <w:pPr>
              <w:snapToGrid w:val="0"/>
              <w:jc w:val="center"/>
              <w:rPr>
                <w:b/>
                <w:color w:val="FFFFFF" w:themeColor="background1"/>
                <w:sz w:val="22"/>
              </w:rPr>
            </w:pPr>
            <w:r w:rsidRPr="006B71AC">
              <w:rPr>
                <w:b/>
                <w:color w:val="FFFFFF" w:themeColor="background1"/>
                <w:sz w:val="22"/>
              </w:rPr>
              <w:t>78,000</w:t>
            </w:r>
          </w:p>
        </w:tc>
        <w:tc>
          <w:tcPr>
            <w:tcW w:w="1354" w:type="dxa"/>
            <w:tcBorders>
              <w:top w:val="single" w:sz="4" w:space="0" w:color="000000"/>
              <w:left w:val="single" w:sz="4" w:space="0" w:color="000000"/>
              <w:bottom w:val="single" w:sz="4" w:space="0" w:color="000000"/>
            </w:tcBorders>
            <w:shd w:val="clear" w:color="auto" w:fill="808080" w:themeFill="background1" w:themeFillShade="80"/>
          </w:tcPr>
          <w:p w:rsidR="006B71AC" w:rsidRPr="006B71AC" w:rsidRDefault="006B71AC" w:rsidP="001E0A52">
            <w:pPr>
              <w:snapToGrid w:val="0"/>
              <w:jc w:val="center"/>
              <w:rPr>
                <w:b/>
                <w:color w:val="FFFFFF" w:themeColor="background1"/>
                <w:sz w:val="22"/>
              </w:rPr>
            </w:pPr>
          </w:p>
        </w:tc>
        <w:tc>
          <w:tcPr>
            <w:tcW w:w="1337" w:type="dxa"/>
            <w:tcBorders>
              <w:top w:val="single" w:sz="4" w:space="0" w:color="000000"/>
              <w:left w:val="single" w:sz="4" w:space="0" w:color="000000"/>
              <w:bottom w:val="single" w:sz="4" w:space="0" w:color="000000"/>
            </w:tcBorders>
            <w:shd w:val="clear" w:color="auto" w:fill="808080" w:themeFill="background1" w:themeFillShade="80"/>
          </w:tcPr>
          <w:p w:rsidR="006B71AC" w:rsidRPr="006B71AC" w:rsidRDefault="006B71AC" w:rsidP="001E0A52">
            <w:pPr>
              <w:snapToGrid w:val="0"/>
              <w:jc w:val="center"/>
              <w:rPr>
                <w:b/>
                <w:color w:val="FFFFFF" w:themeColor="background1"/>
                <w:sz w:val="22"/>
              </w:rPr>
            </w:pPr>
            <w:r w:rsidRPr="006B71AC">
              <w:rPr>
                <w:b/>
                <w:color w:val="FFFFFF" w:themeColor="background1"/>
                <w:sz w:val="22"/>
              </w:rPr>
              <w:t>526,116</w:t>
            </w:r>
          </w:p>
        </w:tc>
        <w:tc>
          <w:tcPr>
            <w:tcW w:w="1421" w:type="dxa"/>
            <w:tcBorders>
              <w:top w:val="single" w:sz="4" w:space="0" w:color="000000"/>
              <w:left w:val="single" w:sz="4" w:space="0" w:color="000000"/>
              <w:bottom w:val="single" w:sz="4" w:space="0" w:color="000000"/>
            </w:tcBorders>
            <w:shd w:val="clear" w:color="auto" w:fill="808080" w:themeFill="background1" w:themeFillShade="80"/>
          </w:tcPr>
          <w:p w:rsidR="006B71AC" w:rsidRPr="000E1981" w:rsidRDefault="006B71AC" w:rsidP="001E0A52">
            <w:pPr>
              <w:snapToGrid w:val="0"/>
              <w:jc w:val="center"/>
              <w:rPr>
                <w:color w:val="FFFFFF" w:themeColor="background1"/>
                <w:sz w:val="22"/>
              </w:rPr>
            </w:pPr>
          </w:p>
        </w:tc>
        <w:tc>
          <w:tcPr>
            <w:tcW w:w="1289"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6B71AC" w:rsidRPr="000E1981" w:rsidRDefault="006B71AC" w:rsidP="001E0A52">
            <w:pPr>
              <w:snapToGrid w:val="0"/>
              <w:jc w:val="center"/>
              <w:rPr>
                <w:b/>
                <w:color w:val="FFFFFF" w:themeColor="background1"/>
                <w:sz w:val="22"/>
              </w:rPr>
            </w:pPr>
            <w:r w:rsidRPr="000E1981">
              <w:rPr>
                <w:b/>
                <w:color w:val="FFFFFF" w:themeColor="background1"/>
                <w:sz w:val="22"/>
              </w:rPr>
              <w:t>367,441</w:t>
            </w:r>
          </w:p>
        </w:tc>
      </w:tr>
    </w:tbl>
    <w:p w:rsidR="006B71AC" w:rsidRPr="000E1981" w:rsidRDefault="006B71AC" w:rsidP="006B71AC">
      <w:pPr>
        <w:rPr>
          <w:sz w:val="18"/>
        </w:rPr>
      </w:pPr>
    </w:p>
    <w:p w:rsidR="006B71AC" w:rsidRDefault="006B71AC" w:rsidP="006B71AC"/>
    <w:p w:rsidR="006B71AC" w:rsidRDefault="006B71AC" w:rsidP="006B71AC">
      <w:pPr>
        <w:pStyle w:val="AbtHeadB"/>
        <w:ind w:left="720" w:hanging="720"/>
      </w:pPr>
      <w:bookmarkStart w:id="61" w:name="_Toc233444289"/>
      <w:bookmarkStart w:id="62" w:name="_Toc310937525"/>
      <w:r>
        <w:lastRenderedPageBreak/>
        <w:t>A13</w:t>
      </w:r>
      <w:r>
        <w:tab/>
        <w:t>Capital Costs</w:t>
      </w:r>
      <w:bookmarkEnd w:id="61"/>
      <w:bookmarkEnd w:id="62"/>
    </w:p>
    <w:p w:rsidR="006B71AC" w:rsidRDefault="006B71AC" w:rsidP="006B71AC">
      <w:pPr>
        <w:tabs>
          <w:tab w:val="left" w:pos="0"/>
        </w:tabs>
        <w:rPr>
          <w:rFonts w:ascii="Arial" w:hAnsi="Arial"/>
          <w:i/>
          <w:color w:val="000000"/>
        </w:rPr>
      </w:pPr>
      <w:r>
        <w:rPr>
          <w:rFonts w:ascii="Arial" w:hAnsi="Arial"/>
          <w:i/>
          <w:color w:val="000000"/>
        </w:rPr>
        <w:t>Estimate the annual capital cost to respondents or record keepers.</w:t>
      </w:r>
    </w:p>
    <w:p w:rsidR="006B71AC" w:rsidRDefault="006B71AC" w:rsidP="006B71AC"/>
    <w:p w:rsidR="006B71AC" w:rsidRDefault="006B71AC" w:rsidP="006B71AC">
      <w:r w:rsidRPr="000E1981">
        <w:t>There are no additional costs to the respondents (other than the cost shown in item 12 above)</w:t>
      </w:r>
      <w:r w:rsidRPr="0010088C">
        <w:t>.</w:t>
      </w:r>
    </w:p>
    <w:p w:rsidR="006B71AC" w:rsidRDefault="006B71AC" w:rsidP="006B71AC">
      <w:pPr>
        <w:pStyle w:val="Header"/>
        <w:tabs>
          <w:tab w:val="clear" w:pos="4320"/>
          <w:tab w:val="clear" w:pos="8640"/>
          <w:tab w:val="left" w:pos="720"/>
          <w:tab w:val="left" w:pos="1080"/>
          <w:tab w:val="left" w:pos="1440"/>
        </w:tabs>
      </w:pPr>
    </w:p>
    <w:p w:rsidR="006B71AC" w:rsidRDefault="006B71AC" w:rsidP="006B71AC">
      <w:pPr>
        <w:pStyle w:val="AbtHeadB"/>
      </w:pPr>
      <w:bookmarkStart w:id="63" w:name="_Toc224972117"/>
      <w:bookmarkStart w:id="64" w:name="_Toc233444290"/>
      <w:bookmarkStart w:id="65" w:name="_Toc310937526"/>
      <w:r>
        <w:t>A14</w:t>
      </w:r>
      <w:r>
        <w:tab/>
        <w:t>Cost to the Federal Government</w:t>
      </w:r>
      <w:bookmarkEnd w:id="63"/>
      <w:bookmarkEnd w:id="64"/>
      <w:bookmarkEnd w:id="65"/>
    </w:p>
    <w:p w:rsidR="006B71AC" w:rsidRDefault="006B71AC" w:rsidP="006B71AC">
      <w:pPr>
        <w:pStyle w:val="BodyText"/>
      </w:pPr>
      <w:r>
        <w:rPr>
          <w:rFonts w:ascii="Arial" w:hAnsi="Arial"/>
          <w:i/>
          <w:color w:val="000000"/>
        </w:rPr>
        <w:t>Estimate annualized costs to the Federal government.</w:t>
      </w:r>
    </w:p>
    <w:p w:rsidR="006B71AC" w:rsidRDefault="006B71AC" w:rsidP="006B71AC">
      <w:pPr>
        <w:pStyle w:val="BodyText"/>
      </w:pPr>
      <w:r>
        <w:t>The cost to the government to review the records and compliance with program requirements (but not including the cost of reviewing the reports, follow-up management, or technical assistance) is estimated at $82,128</w:t>
      </w:r>
    </w:p>
    <w:p w:rsidR="006B71AC" w:rsidRDefault="006B71AC" w:rsidP="006B71AC">
      <w:pPr>
        <w:pStyle w:val="BodyText"/>
      </w:pPr>
      <w:r>
        <w:tab/>
      </w:r>
      <w:r w:rsidRPr="000E1981">
        <w:rPr>
          <w:u w:val="single"/>
        </w:rPr>
        <w:t>HUD monitoring</w:t>
      </w:r>
      <w:r>
        <w:t>: 118 recipients per year  x  24 hours per recipient  x  $29*</w:t>
      </w:r>
    </w:p>
    <w:p w:rsidR="006B71AC" w:rsidRDefault="006B71AC" w:rsidP="006B71AC">
      <w:pPr>
        <w:pStyle w:val="BodyText"/>
      </w:pPr>
      <w:r>
        <w:tab/>
      </w:r>
      <w:r w:rsidRPr="000E1981">
        <w:rPr>
          <w:u w:val="single"/>
        </w:rPr>
        <w:t>Total cost to the Federal Government</w:t>
      </w:r>
      <w:r>
        <w:t>: $82,128</w:t>
      </w:r>
    </w:p>
    <w:p w:rsidR="006B71AC" w:rsidRDefault="006B71AC" w:rsidP="006B71AC">
      <w:pPr>
        <w:pStyle w:val="BodyText"/>
        <w:jc w:val="center"/>
      </w:pPr>
      <w:r>
        <w:t>*this figure is based on a GS-12 salary</w:t>
      </w:r>
    </w:p>
    <w:p w:rsidR="006B71AC" w:rsidRDefault="006B71AC" w:rsidP="006B71AC"/>
    <w:p w:rsidR="006B71AC" w:rsidRDefault="006B71AC" w:rsidP="006B71AC">
      <w:pPr>
        <w:pStyle w:val="AbtHeadB"/>
      </w:pPr>
      <w:bookmarkStart w:id="66" w:name="_Toc224972118"/>
      <w:bookmarkStart w:id="67" w:name="_Toc233444291"/>
      <w:bookmarkStart w:id="68" w:name="_Toc310937527"/>
      <w:r>
        <w:t>A15</w:t>
      </w:r>
      <w:r>
        <w:tab/>
        <w:t>Program or Burden Changes</w:t>
      </w:r>
      <w:bookmarkEnd w:id="66"/>
      <w:bookmarkEnd w:id="67"/>
      <w:bookmarkEnd w:id="68"/>
    </w:p>
    <w:p w:rsidR="006B71AC" w:rsidRDefault="006B71AC" w:rsidP="006B71AC">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6B71AC" w:rsidRDefault="006B71AC" w:rsidP="006B71AC">
      <w:pPr>
        <w:rPr>
          <w:spacing w:val="-2"/>
        </w:rPr>
      </w:pPr>
    </w:p>
    <w:p w:rsidR="006B71AC" w:rsidRDefault="006B71AC" w:rsidP="006B71AC">
      <w:r>
        <w:t>There have been no changes to the record keeping</w:t>
      </w:r>
      <w:r w:rsidR="005E0F05">
        <w:t xml:space="preserve"> burden</w:t>
      </w:r>
      <w:r>
        <w:t xml:space="preserve"> hours since the last submission</w:t>
      </w:r>
      <w:r w:rsidR="005E0F05">
        <w:t>, approved July 13, 2012</w:t>
      </w:r>
      <w:r>
        <w:t xml:space="preserve">.  </w:t>
      </w:r>
    </w:p>
    <w:p w:rsidR="005E0F05" w:rsidRDefault="005E0F05" w:rsidP="006B71AC"/>
    <w:p w:rsidR="005E0F05" w:rsidRDefault="005E0F05" w:rsidP="00F31ADC">
      <w:pPr>
        <w:pStyle w:val="AbtHeadB"/>
        <w:spacing w:line="240" w:lineRule="auto"/>
        <w:rPr>
          <w:rFonts w:ascii="Times New Roman" w:hAnsi="Times New Roman"/>
          <w:b w:val="0"/>
          <w:sz w:val="24"/>
          <w:szCs w:val="24"/>
        </w:rPr>
      </w:pPr>
      <w:r>
        <w:rPr>
          <w:rFonts w:ascii="Times New Roman" w:hAnsi="Times New Roman"/>
          <w:b w:val="0"/>
          <w:sz w:val="24"/>
          <w:szCs w:val="24"/>
        </w:rPr>
        <w:t>Revisions were made</w:t>
      </w:r>
      <w:r w:rsidRPr="000B7D63">
        <w:rPr>
          <w:rFonts w:ascii="Times New Roman" w:hAnsi="Times New Roman"/>
          <w:b w:val="0"/>
          <w:sz w:val="24"/>
          <w:szCs w:val="24"/>
        </w:rPr>
        <w:t xml:space="preserve"> </w:t>
      </w:r>
      <w:r w:rsidRPr="00987999">
        <w:rPr>
          <w:rFonts w:ascii="Times New Roman" w:hAnsi="Times New Roman"/>
          <w:b w:val="0"/>
          <w:sz w:val="24"/>
          <w:szCs w:val="24"/>
        </w:rPr>
        <w:t>in order to reflect our program experience after 6 months of implementation with the Emergency Solutions Grant program under the newly implemented HEARTH Act.  The previous package, approved 7/31/12, incorporated the new name of the grant program “Emergency Solutions Grant” and referenced the newly approved rule.  For this package, the term “reporting” was removed from the title and the document because none of the items included in the burden calculation were related to reporting, only recordkeeping.  No changes were made that affected the burden calculation fr</w:t>
      </w:r>
      <w:r>
        <w:rPr>
          <w:rFonts w:ascii="Times New Roman" w:hAnsi="Times New Roman"/>
          <w:b w:val="0"/>
          <w:sz w:val="24"/>
          <w:szCs w:val="24"/>
        </w:rPr>
        <w:t xml:space="preserve">om the most recent collection. </w:t>
      </w:r>
    </w:p>
    <w:p w:rsidR="005E0F05" w:rsidRPr="009F3FD2" w:rsidRDefault="005E0F05" w:rsidP="00F31ADC">
      <w:pPr>
        <w:spacing w:after="120"/>
      </w:pPr>
      <w:r>
        <w:t>As previously noted, d</w:t>
      </w:r>
      <w:r w:rsidRPr="007F1A34">
        <w:t xml:space="preserve">ue to the repeal of </w:t>
      </w:r>
      <w:r>
        <w:t>S</w:t>
      </w:r>
      <w:r w:rsidRPr="007F1A34">
        <w:t xml:space="preserve">ection 443 of the McKinney-Vento Homeless Assistance Act, ESG </w:t>
      </w:r>
      <w:r>
        <w:t xml:space="preserve">recipients initially </w:t>
      </w:r>
      <w:r w:rsidRPr="007F1A34">
        <w:t>had to follow the environmental review procedures under 24 CFR part 50, which assigns HUD all environmental review responsibilities.</w:t>
      </w:r>
      <w:r>
        <w:t xml:space="preserve"> However, </w:t>
      </w:r>
      <w:r w:rsidRPr="007F1A34">
        <w:rPr>
          <w:bCs/>
        </w:rPr>
        <w:t>the President signed into law H.R. 4348</w:t>
      </w:r>
      <w:r>
        <w:rPr>
          <w:bCs/>
        </w:rPr>
        <w:t xml:space="preserve"> o</w:t>
      </w:r>
      <w:r w:rsidRPr="007F1A34">
        <w:rPr>
          <w:bCs/>
        </w:rPr>
        <w:t xml:space="preserve">n July 6, 2012, which corrects certain provisions of the HEARTH Act, including the requirement that ESG recipients follow 24 CFR part 50.  As a result, </w:t>
      </w:r>
      <w:r>
        <w:rPr>
          <w:bCs/>
        </w:rPr>
        <w:t xml:space="preserve">recipients and subrecipients assume environmental review responsibilities under </w:t>
      </w:r>
      <w:r w:rsidRPr="007F1A34">
        <w:rPr>
          <w:bCs/>
        </w:rPr>
        <w:t xml:space="preserve">24 CFR </w:t>
      </w:r>
      <w:r>
        <w:rPr>
          <w:bCs/>
        </w:rPr>
        <w:t>p</w:t>
      </w:r>
      <w:r w:rsidRPr="007F1A34">
        <w:rPr>
          <w:bCs/>
        </w:rPr>
        <w:t>art 58</w:t>
      </w:r>
      <w:r>
        <w:rPr>
          <w:bCs/>
        </w:rPr>
        <w:t xml:space="preserve">. </w:t>
      </w:r>
      <w:r>
        <w:rPr>
          <w:b/>
          <w:bCs/>
        </w:rPr>
        <w:t xml:space="preserve"> </w:t>
      </w:r>
      <w:r>
        <w:rPr>
          <w:bCs/>
        </w:rPr>
        <w:t>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rsidR="005E0F05" w:rsidRDefault="005E0F05" w:rsidP="006B71AC"/>
    <w:p w:rsidR="006B71AC" w:rsidRDefault="006B71AC" w:rsidP="006B71AC"/>
    <w:p w:rsidR="006B71AC" w:rsidRDefault="006B71AC" w:rsidP="006B71AC">
      <w:pPr>
        <w:pStyle w:val="AbtHeadB"/>
      </w:pPr>
      <w:bookmarkStart w:id="69" w:name="_Toc224972119"/>
      <w:bookmarkStart w:id="70" w:name="_Toc233444292"/>
      <w:bookmarkStart w:id="71" w:name="_Toc310937528"/>
      <w:r>
        <w:lastRenderedPageBreak/>
        <w:t>A16</w:t>
      </w:r>
      <w:r>
        <w:tab/>
        <w:t>Publication and Tabulation Dates</w:t>
      </w:r>
      <w:bookmarkEnd w:id="69"/>
      <w:bookmarkEnd w:id="70"/>
      <w:bookmarkEnd w:id="71"/>
    </w:p>
    <w:p w:rsidR="006B71AC" w:rsidRPr="00E9087D" w:rsidRDefault="006B71AC" w:rsidP="006B71AC">
      <w:pPr>
        <w:pStyle w:val="AbtHeadC"/>
        <w:rPr>
          <w:b w:val="0"/>
          <w:i/>
          <w:sz w:val="22"/>
        </w:rPr>
      </w:pPr>
      <w:bookmarkStart w:id="72" w:name="_Toc224972120"/>
      <w:bookmarkStart w:id="73" w:name="_Toc310931668"/>
      <w:bookmarkStart w:id="74" w:name="_Toc310937529"/>
      <w:r w:rsidRPr="00E9087D">
        <w:rPr>
          <w:b w:val="0"/>
          <w:i/>
          <w:color w:val="000000"/>
          <w:sz w:val="22"/>
        </w:rPr>
        <w:t>If the information will be published, outline plans for tabulation and publication</w:t>
      </w:r>
      <w:bookmarkEnd w:id="72"/>
      <w:r w:rsidRPr="00E9087D">
        <w:rPr>
          <w:b w:val="0"/>
          <w:i/>
          <w:color w:val="000000"/>
          <w:sz w:val="22"/>
        </w:rPr>
        <w:t>.</w:t>
      </w:r>
      <w:bookmarkEnd w:id="73"/>
      <w:bookmarkEnd w:id="74"/>
    </w:p>
    <w:p w:rsidR="006B71AC" w:rsidRPr="00E9087D" w:rsidRDefault="006B71AC" w:rsidP="006B71AC">
      <w:r w:rsidRPr="000E1981">
        <w:t>HUD does not intend to publish any information as a result of this collection</w:t>
      </w:r>
      <w:r>
        <w:t>.</w:t>
      </w:r>
    </w:p>
    <w:p w:rsidR="006B71AC" w:rsidRDefault="006B71AC" w:rsidP="006B71AC">
      <w:pPr>
        <w:rPr>
          <w:highlight w:val="yellow"/>
        </w:rPr>
      </w:pPr>
    </w:p>
    <w:p w:rsidR="006B71AC" w:rsidRDefault="006B71AC" w:rsidP="006B71AC">
      <w:pPr>
        <w:rPr>
          <w:rFonts w:ascii="Arial" w:hAnsi="Arial"/>
          <w:b/>
        </w:rPr>
      </w:pPr>
    </w:p>
    <w:p w:rsidR="006B71AC" w:rsidRDefault="006B71AC" w:rsidP="006B71AC">
      <w:pPr>
        <w:pStyle w:val="AbtHeadBOutlined"/>
        <w:tabs>
          <w:tab w:val="clear" w:pos="720"/>
        </w:tabs>
        <w:ind w:left="0" w:firstLine="0"/>
      </w:pPr>
      <w:bookmarkStart w:id="75" w:name="_Toc224972122"/>
      <w:bookmarkStart w:id="76" w:name="_Toc233444293"/>
      <w:bookmarkStart w:id="77" w:name="_Toc310937530"/>
      <w:r>
        <w:t>A17</w:t>
      </w:r>
      <w:r>
        <w:tab/>
        <w:t>Expiration Date</w:t>
      </w:r>
      <w:bookmarkEnd w:id="75"/>
      <w:bookmarkEnd w:id="76"/>
      <w:bookmarkEnd w:id="77"/>
    </w:p>
    <w:p w:rsidR="006B71AC" w:rsidRDefault="006B71AC" w:rsidP="006B71AC">
      <w:pPr>
        <w:keepLines/>
        <w:tabs>
          <w:tab w:val="left" w:pos="0"/>
        </w:tabs>
      </w:pPr>
      <w:r>
        <w:rPr>
          <w:rFonts w:ascii="Arial" w:hAnsi="Arial"/>
          <w:i/>
          <w:color w:val="000000"/>
        </w:rPr>
        <w:t xml:space="preserve">Explain any request to not display the expiration date. </w:t>
      </w:r>
    </w:p>
    <w:p w:rsidR="006B71AC" w:rsidRDefault="006B71AC" w:rsidP="006B71AC">
      <w:pPr>
        <w:pStyle w:val="BodyTextIndent"/>
        <w:ind w:left="0"/>
      </w:pPr>
      <w:r w:rsidRPr="000E1981">
        <w:t>HUD is not seeking approval to not display the expiration date for OMB approval of the information collection</w:t>
      </w:r>
      <w:r w:rsidRPr="00E9087D">
        <w:t>.</w:t>
      </w:r>
    </w:p>
    <w:p w:rsidR="006B71AC" w:rsidRDefault="006B71AC" w:rsidP="006B71AC">
      <w:pPr>
        <w:ind w:left="360"/>
      </w:pPr>
    </w:p>
    <w:p w:rsidR="006B71AC" w:rsidRDefault="006B71AC" w:rsidP="006B71AC">
      <w:pPr>
        <w:pStyle w:val="AbtHeadBOutlined"/>
        <w:tabs>
          <w:tab w:val="clear" w:pos="720"/>
        </w:tabs>
        <w:ind w:left="0" w:firstLine="0"/>
      </w:pPr>
      <w:bookmarkStart w:id="78" w:name="_Toc224972123"/>
      <w:bookmarkStart w:id="79" w:name="_Toc233444294"/>
      <w:bookmarkStart w:id="80" w:name="_Toc310937531"/>
      <w:r>
        <w:t>A18</w:t>
      </w:r>
      <w:r>
        <w:tab/>
        <w:t>Certification Statement</w:t>
      </w:r>
      <w:bookmarkEnd w:id="78"/>
      <w:bookmarkEnd w:id="79"/>
      <w:bookmarkEnd w:id="80"/>
    </w:p>
    <w:p w:rsidR="006B71AC" w:rsidRDefault="006B71AC" w:rsidP="006B71AC">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rsidR="006B71AC" w:rsidRDefault="006B71AC" w:rsidP="006B71AC">
      <w:pPr>
        <w:pStyle w:val="BodyText"/>
      </w:pPr>
    </w:p>
    <w:p w:rsidR="006B71AC" w:rsidRDefault="006B71AC" w:rsidP="006B71AC">
      <w:pPr>
        <w:rPr>
          <w:rFonts w:ascii="Arial" w:eastAsiaTheme="majorEastAsia" w:hAnsi="Arial" w:cs="Arial"/>
          <w:bCs/>
          <w:color w:val="365F91" w:themeColor="accent1" w:themeShade="BF"/>
          <w:sz w:val="36"/>
          <w:szCs w:val="36"/>
          <w:highlight w:val="yellow"/>
        </w:rPr>
      </w:pPr>
      <w:r w:rsidRPr="000E1981">
        <w:t>There are no exceptions to the signed certification</w:t>
      </w:r>
      <w:r>
        <w:rPr>
          <w:rFonts w:ascii="Arial" w:hAnsi="Arial" w:cs="Arial"/>
          <w:b/>
          <w:sz w:val="36"/>
          <w:szCs w:val="36"/>
        </w:rPr>
        <w:t>.</w:t>
      </w:r>
    </w:p>
    <w:p w:rsidR="006B71AC" w:rsidRDefault="006B71AC"/>
    <w:sectPr w:rsidR="006B71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68" w:rsidRDefault="002F0F68" w:rsidP="005E0F05">
      <w:r>
        <w:separator/>
      </w:r>
    </w:p>
  </w:endnote>
  <w:endnote w:type="continuationSeparator" w:id="0">
    <w:p w:rsidR="002F0F68" w:rsidRDefault="002F0F68" w:rsidP="005E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70264"/>
      <w:docPartObj>
        <w:docPartGallery w:val="Page Numbers (Bottom of Page)"/>
        <w:docPartUnique/>
      </w:docPartObj>
    </w:sdtPr>
    <w:sdtEndPr>
      <w:rPr>
        <w:noProof/>
      </w:rPr>
    </w:sdtEndPr>
    <w:sdtContent>
      <w:p w:rsidR="005E0F05" w:rsidRDefault="005E0F05">
        <w:pPr>
          <w:pStyle w:val="Footer"/>
          <w:jc w:val="center"/>
        </w:pPr>
        <w:r>
          <w:fldChar w:fldCharType="begin"/>
        </w:r>
        <w:r>
          <w:instrText xml:space="preserve"> PAGE   \* MERGEFORMAT </w:instrText>
        </w:r>
        <w:r>
          <w:fldChar w:fldCharType="separate"/>
        </w:r>
        <w:r w:rsidR="008107E7">
          <w:rPr>
            <w:noProof/>
          </w:rPr>
          <w:t>1</w:t>
        </w:r>
        <w:r>
          <w:rPr>
            <w:noProof/>
          </w:rPr>
          <w:fldChar w:fldCharType="end"/>
        </w:r>
      </w:p>
    </w:sdtContent>
  </w:sdt>
  <w:p w:rsidR="005E0F05" w:rsidRDefault="005E0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68" w:rsidRDefault="002F0F68" w:rsidP="005E0F05">
      <w:r>
        <w:separator/>
      </w:r>
    </w:p>
  </w:footnote>
  <w:footnote w:type="continuationSeparator" w:id="0">
    <w:p w:rsidR="002F0F68" w:rsidRDefault="002F0F68" w:rsidP="005E0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D2"/>
    <w:rsid w:val="00075008"/>
    <w:rsid w:val="002F0F68"/>
    <w:rsid w:val="005E0F05"/>
    <w:rsid w:val="006B71AC"/>
    <w:rsid w:val="008107E7"/>
    <w:rsid w:val="00987999"/>
    <w:rsid w:val="009F3FD2"/>
    <w:rsid w:val="00F3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F3FD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9F3FD2"/>
    <w:pPr>
      <w:spacing w:after="120"/>
    </w:pPr>
  </w:style>
  <w:style w:type="character" w:customStyle="1" w:styleId="BodyTextChar">
    <w:name w:val="Body Text Char"/>
    <w:basedOn w:val="DefaultParagraphFont"/>
    <w:link w:val="BodyText"/>
    <w:rsid w:val="009F3FD2"/>
    <w:rPr>
      <w:rFonts w:ascii="Times New Roman" w:eastAsia="Times New Roman" w:hAnsi="Times New Roman" w:cs="Times New Roman"/>
      <w:sz w:val="24"/>
      <w:szCs w:val="24"/>
    </w:rPr>
  </w:style>
  <w:style w:type="paragraph" w:customStyle="1" w:styleId="AbtHeadB">
    <w:name w:val="AbtHead B"/>
    <w:basedOn w:val="Normal"/>
    <w:next w:val="BodyText"/>
    <w:rsid w:val="009F3FD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NormalWeb">
    <w:name w:val="Normal (Web)"/>
    <w:basedOn w:val="Normal"/>
    <w:rsid w:val="009F3FD2"/>
    <w:pPr>
      <w:spacing w:before="100" w:beforeAutospacing="1" w:after="100" w:afterAutospacing="1"/>
    </w:pPr>
  </w:style>
  <w:style w:type="paragraph" w:customStyle="1" w:styleId="AbtHeadC">
    <w:name w:val="AbtHead C"/>
    <w:basedOn w:val="Normal"/>
    <w:next w:val="BodyText"/>
    <w:rsid w:val="006B71A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6B71AC"/>
    <w:rPr>
      <w:sz w:val="16"/>
    </w:rPr>
  </w:style>
  <w:style w:type="paragraph" w:styleId="CommentText">
    <w:name w:val="annotation text"/>
    <w:basedOn w:val="Normal"/>
    <w:link w:val="CommentTextChar"/>
    <w:semiHidden/>
    <w:rsid w:val="006B71AC"/>
    <w:rPr>
      <w:sz w:val="20"/>
      <w:szCs w:val="20"/>
    </w:rPr>
  </w:style>
  <w:style w:type="character" w:customStyle="1" w:styleId="CommentTextChar">
    <w:name w:val="Comment Text Char"/>
    <w:basedOn w:val="DefaultParagraphFont"/>
    <w:link w:val="CommentText"/>
    <w:semiHidden/>
    <w:rsid w:val="006B71AC"/>
    <w:rPr>
      <w:rFonts w:ascii="Times New Roman" w:eastAsia="Times New Roman" w:hAnsi="Times New Roman" w:cs="Times New Roman"/>
      <w:sz w:val="20"/>
      <w:szCs w:val="20"/>
    </w:rPr>
  </w:style>
  <w:style w:type="paragraph" w:styleId="Header">
    <w:name w:val="header"/>
    <w:basedOn w:val="Normal"/>
    <w:link w:val="HeaderChar"/>
    <w:uiPriority w:val="99"/>
    <w:rsid w:val="006B71AC"/>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B71AC"/>
    <w:rPr>
      <w:rFonts w:ascii="Times New Roman" w:eastAsia="Times New Roman" w:hAnsi="Times New Roman" w:cs="Times New Roman"/>
      <w:sz w:val="24"/>
      <w:szCs w:val="20"/>
    </w:rPr>
  </w:style>
  <w:style w:type="paragraph" w:styleId="BodyTextIndent">
    <w:name w:val="Body Text Indent"/>
    <w:basedOn w:val="Normal"/>
    <w:link w:val="BodyTextIndentChar"/>
    <w:rsid w:val="006B71AC"/>
    <w:pPr>
      <w:spacing w:after="120"/>
      <w:ind w:left="360"/>
    </w:pPr>
  </w:style>
  <w:style w:type="character" w:customStyle="1" w:styleId="BodyTextIndentChar">
    <w:name w:val="Body Text Indent Char"/>
    <w:basedOn w:val="DefaultParagraphFont"/>
    <w:link w:val="BodyTextIndent"/>
    <w:rsid w:val="006B71AC"/>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B71AC"/>
    <w:pPr>
      <w:tabs>
        <w:tab w:val="num" w:pos="720"/>
      </w:tabs>
      <w:ind w:left="720" w:hanging="720"/>
    </w:pPr>
  </w:style>
  <w:style w:type="paragraph" w:styleId="BalloonText">
    <w:name w:val="Balloon Text"/>
    <w:basedOn w:val="Normal"/>
    <w:link w:val="BalloonTextChar"/>
    <w:uiPriority w:val="99"/>
    <w:semiHidden/>
    <w:unhideWhenUsed/>
    <w:rsid w:val="006B71AC"/>
    <w:rPr>
      <w:rFonts w:ascii="Tahoma" w:hAnsi="Tahoma" w:cs="Tahoma"/>
      <w:sz w:val="16"/>
      <w:szCs w:val="16"/>
    </w:rPr>
  </w:style>
  <w:style w:type="character" w:customStyle="1" w:styleId="BalloonTextChar">
    <w:name w:val="Balloon Text Char"/>
    <w:basedOn w:val="DefaultParagraphFont"/>
    <w:link w:val="BalloonText"/>
    <w:uiPriority w:val="99"/>
    <w:semiHidden/>
    <w:rsid w:val="006B71AC"/>
    <w:rPr>
      <w:rFonts w:ascii="Tahoma" w:eastAsia="Times New Roman" w:hAnsi="Tahoma" w:cs="Tahoma"/>
      <w:sz w:val="16"/>
      <w:szCs w:val="16"/>
    </w:rPr>
  </w:style>
  <w:style w:type="character" w:styleId="Hyperlink">
    <w:name w:val="Hyperlink"/>
    <w:basedOn w:val="DefaultParagraphFont"/>
    <w:uiPriority w:val="99"/>
    <w:semiHidden/>
    <w:unhideWhenUsed/>
    <w:rsid w:val="00987999"/>
    <w:rPr>
      <w:color w:val="0000FF"/>
      <w:u w:val="single"/>
    </w:rPr>
  </w:style>
  <w:style w:type="paragraph" w:customStyle="1" w:styleId="Default">
    <w:name w:val="Default"/>
    <w:basedOn w:val="Normal"/>
    <w:rsid w:val="00987999"/>
    <w:pPr>
      <w:autoSpaceDE w:val="0"/>
      <w:autoSpaceDN w:val="0"/>
    </w:pPr>
    <w:rPr>
      <w:rFonts w:eastAsiaTheme="minorHAnsi"/>
      <w:color w:val="000000"/>
    </w:rPr>
  </w:style>
  <w:style w:type="paragraph" w:styleId="Footer">
    <w:name w:val="footer"/>
    <w:basedOn w:val="Normal"/>
    <w:link w:val="FooterChar"/>
    <w:uiPriority w:val="99"/>
    <w:unhideWhenUsed/>
    <w:rsid w:val="005E0F05"/>
    <w:pPr>
      <w:tabs>
        <w:tab w:val="center" w:pos="4680"/>
        <w:tab w:val="right" w:pos="9360"/>
      </w:tabs>
    </w:pPr>
  </w:style>
  <w:style w:type="character" w:customStyle="1" w:styleId="FooterChar">
    <w:name w:val="Footer Char"/>
    <w:basedOn w:val="DefaultParagraphFont"/>
    <w:link w:val="Footer"/>
    <w:uiPriority w:val="99"/>
    <w:rsid w:val="005E0F0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F3FD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9F3FD2"/>
    <w:pPr>
      <w:spacing w:after="120"/>
    </w:pPr>
  </w:style>
  <w:style w:type="character" w:customStyle="1" w:styleId="BodyTextChar">
    <w:name w:val="Body Text Char"/>
    <w:basedOn w:val="DefaultParagraphFont"/>
    <w:link w:val="BodyText"/>
    <w:rsid w:val="009F3FD2"/>
    <w:rPr>
      <w:rFonts w:ascii="Times New Roman" w:eastAsia="Times New Roman" w:hAnsi="Times New Roman" w:cs="Times New Roman"/>
      <w:sz w:val="24"/>
      <w:szCs w:val="24"/>
    </w:rPr>
  </w:style>
  <w:style w:type="paragraph" w:customStyle="1" w:styleId="AbtHeadB">
    <w:name w:val="AbtHead B"/>
    <w:basedOn w:val="Normal"/>
    <w:next w:val="BodyText"/>
    <w:rsid w:val="009F3FD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NormalWeb">
    <w:name w:val="Normal (Web)"/>
    <w:basedOn w:val="Normal"/>
    <w:rsid w:val="009F3FD2"/>
    <w:pPr>
      <w:spacing w:before="100" w:beforeAutospacing="1" w:after="100" w:afterAutospacing="1"/>
    </w:pPr>
  </w:style>
  <w:style w:type="paragraph" w:customStyle="1" w:styleId="AbtHeadC">
    <w:name w:val="AbtHead C"/>
    <w:basedOn w:val="Normal"/>
    <w:next w:val="BodyText"/>
    <w:rsid w:val="006B71A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6B71AC"/>
    <w:rPr>
      <w:sz w:val="16"/>
    </w:rPr>
  </w:style>
  <w:style w:type="paragraph" w:styleId="CommentText">
    <w:name w:val="annotation text"/>
    <w:basedOn w:val="Normal"/>
    <w:link w:val="CommentTextChar"/>
    <w:semiHidden/>
    <w:rsid w:val="006B71AC"/>
    <w:rPr>
      <w:sz w:val="20"/>
      <w:szCs w:val="20"/>
    </w:rPr>
  </w:style>
  <w:style w:type="character" w:customStyle="1" w:styleId="CommentTextChar">
    <w:name w:val="Comment Text Char"/>
    <w:basedOn w:val="DefaultParagraphFont"/>
    <w:link w:val="CommentText"/>
    <w:semiHidden/>
    <w:rsid w:val="006B71AC"/>
    <w:rPr>
      <w:rFonts w:ascii="Times New Roman" w:eastAsia="Times New Roman" w:hAnsi="Times New Roman" w:cs="Times New Roman"/>
      <w:sz w:val="20"/>
      <w:szCs w:val="20"/>
    </w:rPr>
  </w:style>
  <w:style w:type="paragraph" w:styleId="Header">
    <w:name w:val="header"/>
    <w:basedOn w:val="Normal"/>
    <w:link w:val="HeaderChar"/>
    <w:uiPriority w:val="99"/>
    <w:rsid w:val="006B71AC"/>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B71AC"/>
    <w:rPr>
      <w:rFonts w:ascii="Times New Roman" w:eastAsia="Times New Roman" w:hAnsi="Times New Roman" w:cs="Times New Roman"/>
      <w:sz w:val="24"/>
      <w:szCs w:val="20"/>
    </w:rPr>
  </w:style>
  <w:style w:type="paragraph" w:styleId="BodyTextIndent">
    <w:name w:val="Body Text Indent"/>
    <w:basedOn w:val="Normal"/>
    <w:link w:val="BodyTextIndentChar"/>
    <w:rsid w:val="006B71AC"/>
    <w:pPr>
      <w:spacing w:after="120"/>
      <w:ind w:left="360"/>
    </w:pPr>
  </w:style>
  <w:style w:type="character" w:customStyle="1" w:styleId="BodyTextIndentChar">
    <w:name w:val="Body Text Indent Char"/>
    <w:basedOn w:val="DefaultParagraphFont"/>
    <w:link w:val="BodyTextIndent"/>
    <w:rsid w:val="006B71AC"/>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B71AC"/>
    <w:pPr>
      <w:tabs>
        <w:tab w:val="num" w:pos="720"/>
      </w:tabs>
      <w:ind w:left="720" w:hanging="720"/>
    </w:pPr>
  </w:style>
  <w:style w:type="paragraph" w:styleId="BalloonText">
    <w:name w:val="Balloon Text"/>
    <w:basedOn w:val="Normal"/>
    <w:link w:val="BalloonTextChar"/>
    <w:uiPriority w:val="99"/>
    <w:semiHidden/>
    <w:unhideWhenUsed/>
    <w:rsid w:val="006B71AC"/>
    <w:rPr>
      <w:rFonts w:ascii="Tahoma" w:hAnsi="Tahoma" w:cs="Tahoma"/>
      <w:sz w:val="16"/>
      <w:szCs w:val="16"/>
    </w:rPr>
  </w:style>
  <w:style w:type="character" w:customStyle="1" w:styleId="BalloonTextChar">
    <w:name w:val="Balloon Text Char"/>
    <w:basedOn w:val="DefaultParagraphFont"/>
    <w:link w:val="BalloonText"/>
    <w:uiPriority w:val="99"/>
    <w:semiHidden/>
    <w:rsid w:val="006B71AC"/>
    <w:rPr>
      <w:rFonts w:ascii="Tahoma" w:eastAsia="Times New Roman" w:hAnsi="Tahoma" w:cs="Tahoma"/>
      <w:sz w:val="16"/>
      <w:szCs w:val="16"/>
    </w:rPr>
  </w:style>
  <w:style w:type="character" w:styleId="Hyperlink">
    <w:name w:val="Hyperlink"/>
    <w:basedOn w:val="DefaultParagraphFont"/>
    <w:uiPriority w:val="99"/>
    <w:semiHidden/>
    <w:unhideWhenUsed/>
    <w:rsid w:val="00987999"/>
    <w:rPr>
      <w:color w:val="0000FF"/>
      <w:u w:val="single"/>
    </w:rPr>
  </w:style>
  <w:style w:type="paragraph" w:customStyle="1" w:styleId="Default">
    <w:name w:val="Default"/>
    <w:basedOn w:val="Normal"/>
    <w:rsid w:val="00987999"/>
    <w:pPr>
      <w:autoSpaceDE w:val="0"/>
      <w:autoSpaceDN w:val="0"/>
    </w:pPr>
    <w:rPr>
      <w:rFonts w:eastAsiaTheme="minorHAnsi"/>
      <w:color w:val="000000"/>
    </w:rPr>
  </w:style>
  <w:style w:type="paragraph" w:styleId="Footer">
    <w:name w:val="footer"/>
    <w:basedOn w:val="Normal"/>
    <w:link w:val="FooterChar"/>
    <w:uiPriority w:val="99"/>
    <w:unhideWhenUsed/>
    <w:rsid w:val="005E0F05"/>
    <w:pPr>
      <w:tabs>
        <w:tab w:val="center" w:pos="4680"/>
        <w:tab w:val="right" w:pos="9360"/>
      </w:tabs>
    </w:pPr>
  </w:style>
  <w:style w:type="character" w:customStyle="1" w:styleId="FooterChar">
    <w:name w:val="Footer Char"/>
    <w:basedOn w:val="DefaultParagraphFont"/>
    <w:link w:val="Footer"/>
    <w:uiPriority w:val="99"/>
    <w:rsid w:val="005E0F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2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Kyle Aronson</dc:creator>
  <cp:lastModifiedBy>Urnell Johnson-Spears</cp:lastModifiedBy>
  <cp:revision>2</cp:revision>
  <dcterms:created xsi:type="dcterms:W3CDTF">2013-07-16T12:54:00Z</dcterms:created>
  <dcterms:modified xsi:type="dcterms:W3CDTF">2013-07-16T12:54:00Z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281214960</vt:i4>
  </property>
  <property fmtid="{D5CDD505-2E9C-101B-9397-08002B2CF9AE}" pid="3" name="_NewReviewCycle">
    <vt:lpwstr/>
  </property>
  <property fmtid="{D5CDD505-2E9C-101B-9397-08002B2CF9AE}" pid="4" name="_EmailSubject">
    <vt:lpwstr>ESG OMB Control Number: 2506-0089</vt:lpwstr>
  </property>
  <property fmtid="{D5CDD505-2E9C-101B-9397-08002B2CF9AE}" pid="5" name="_AuthorEmail">
    <vt:lpwstr>Diane.M.Schmutzler@hud.gov</vt:lpwstr>
  </property>
  <property fmtid="{D5CDD505-2E9C-101B-9397-08002B2CF9AE}" pid="6" name="_AuthorEmailDisplayName">
    <vt:lpwstr>Schmutzler, Diane M</vt:lpwstr>
  </property>
  <property fmtid="{D5CDD505-2E9C-101B-9397-08002B2CF9AE}" pid="7" name="_PreviousAdHocReviewCycleID">
    <vt:i4>1417378050</vt:i4>
  </property>
  <property fmtid="{D5CDD505-2E9C-101B-9397-08002B2CF9AE}" pid="8" name="_ReviewingToolsShownOnce">
    <vt:lpwstr/>
  </property>
</Properties>
</file>