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23237">
      <w:pPr>
        <w:jc w:val="center"/>
        <w:rPr>
          <w:b/>
          <w:sz w:val="24"/>
          <w:szCs w:val="24"/>
        </w:rPr>
      </w:pPr>
      <w:r>
        <w:rPr>
          <w:b/>
          <w:sz w:val="24"/>
          <w:szCs w:val="24"/>
        </w:rPr>
        <w:t>SUPPORTING STATEMENT</w:t>
      </w:r>
    </w:p>
    <w:p w:rsidR="00000000" w:rsidRDefault="00323237">
      <w:pPr>
        <w:jc w:val="center"/>
        <w:rPr>
          <w:b/>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Pr>
          <w:b/>
          <w:bCs/>
          <w:sz w:val="24"/>
          <w:szCs w:val="24"/>
        </w:rPr>
        <w:t>NATIONAL EMISSION STANDARDS FOR HAZARDOUS AIR POLLUTANTS FOR CHEMICAL MANUFACTURING AREA SOURCES</w:t>
      </w:r>
    </w:p>
    <w:p w:rsidR="00000000" w:rsidRDefault="00323237">
      <w:pPr>
        <w:jc w:val="center"/>
        <w:rPr>
          <w:b/>
          <w:bCs/>
          <w:sz w:val="24"/>
          <w:szCs w:val="24"/>
        </w:rPr>
      </w:pPr>
    </w:p>
    <w:p w:rsidR="00000000" w:rsidRDefault="00323237">
      <w:pPr>
        <w:rPr>
          <w:sz w:val="24"/>
          <w:szCs w:val="24"/>
        </w:rPr>
      </w:pPr>
    </w:p>
    <w:p w:rsidR="00000000" w:rsidRDefault="00323237">
      <w:pPr>
        <w:rPr>
          <w:b/>
          <w:bCs/>
          <w:sz w:val="24"/>
          <w:szCs w:val="24"/>
        </w:rPr>
      </w:pPr>
      <w:r>
        <w:rPr>
          <w:b/>
          <w:bCs/>
          <w:sz w:val="24"/>
          <w:szCs w:val="24"/>
        </w:rPr>
        <w:t>Part A of the Supporting Statement</w:t>
      </w:r>
    </w:p>
    <w:p w:rsidR="00000000" w:rsidRDefault="00323237">
      <w:pPr>
        <w:rPr>
          <w:b/>
          <w:bCs/>
          <w:sz w:val="24"/>
          <w:szCs w:val="24"/>
        </w:rPr>
      </w:pPr>
    </w:p>
    <w:p w:rsidR="00000000" w:rsidRDefault="00323237">
      <w:pPr>
        <w:rPr>
          <w:b/>
          <w:bCs/>
          <w:sz w:val="24"/>
          <w:szCs w:val="24"/>
        </w:rPr>
      </w:pPr>
      <w:r>
        <w:rPr>
          <w:b/>
          <w:bCs/>
          <w:sz w:val="24"/>
          <w:szCs w:val="24"/>
        </w:rPr>
        <w:t>1.</w:t>
      </w:r>
      <w:r>
        <w:rPr>
          <w:b/>
          <w:bCs/>
          <w:sz w:val="24"/>
          <w:szCs w:val="24"/>
        </w:rPr>
        <w:tab/>
        <w:t>Identification of the Information Collection</w:t>
      </w:r>
    </w:p>
    <w:p w:rsidR="00000000" w:rsidRDefault="00323237">
      <w:pPr>
        <w:rPr>
          <w:b/>
          <w:bCs/>
          <w:sz w:val="24"/>
          <w:szCs w:val="24"/>
        </w:rPr>
      </w:pPr>
    </w:p>
    <w:p w:rsidR="00000000" w:rsidRDefault="00323237">
      <w:pPr>
        <w:rPr>
          <w:i/>
          <w:iCs/>
          <w:sz w:val="24"/>
          <w:szCs w:val="24"/>
        </w:rPr>
      </w:pPr>
      <w:r>
        <w:rPr>
          <w:i/>
          <w:iCs/>
          <w:sz w:val="24"/>
          <w:szCs w:val="24"/>
        </w:rPr>
        <w:t>(a)</w:t>
      </w:r>
      <w:r>
        <w:rPr>
          <w:i/>
          <w:iCs/>
          <w:sz w:val="24"/>
          <w:szCs w:val="24"/>
        </w:rPr>
        <w:tab/>
        <w:t>Title and Number of the Informatio</w:t>
      </w:r>
      <w:r>
        <w:rPr>
          <w:i/>
          <w:iCs/>
          <w:sz w:val="24"/>
          <w:szCs w:val="24"/>
        </w:rPr>
        <w:t>n Collection.</w:t>
      </w:r>
    </w:p>
    <w:p w:rsidR="00000000" w:rsidRDefault="00323237">
      <w:pPr>
        <w:rPr>
          <w:b/>
          <w:bCs/>
          <w:sz w:val="24"/>
          <w:szCs w:val="24"/>
        </w:rPr>
      </w:pPr>
    </w:p>
    <w:p w:rsidR="00000000" w:rsidRDefault="00323237">
      <w:pPr>
        <w:rPr>
          <w:sz w:val="24"/>
          <w:szCs w:val="24"/>
        </w:rPr>
      </w:pPr>
      <w:r>
        <w:rPr>
          <w:b/>
          <w:bCs/>
          <w:sz w:val="24"/>
          <w:szCs w:val="24"/>
        </w:rPr>
        <w:tab/>
      </w:r>
      <w:proofErr w:type="gramStart"/>
      <w:r>
        <w:rPr>
          <w:sz w:val="24"/>
          <w:szCs w:val="24"/>
        </w:rPr>
        <w:t>“NESHAP for Chemical Manufacturing Area Sources.”</w:t>
      </w:r>
      <w:proofErr w:type="gramEnd"/>
      <w:r>
        <w:rPr>
          <w:sz w:val="24"/>
          <w:szCs w:val="24"/>
        </w:rPr>
        <w:t xml:space="preserve"> This is a revised information collection request (ICR) and the EPA tracking number is 2323.05. The Office of Management and Budget (OMB) number is 2060-0621.</w:t>
      </w:r>
    </w:p>
    <w:p w:rsidR="00000000" w:rsidRDefault="00323237">
      <w:pPr>
        <w:rPr>
          <w:b/>
          <w:bCs/>
          <w:sz w:val="24"/>
          <w:szCs w:val="24"/>
        </w:rPr>
      </w:pPr>
    </w:p>
    <w:p w:rsidR="00000000" w:rsidRDefault="00323237">
      <w:pPr>
        <w:rPr>
          <w:i/>
          <w:iCs/>
          <w:sz w:val="24"/>
          <w:szCs w:val="24"/>
        </w:rPr>
      </w:pPr>
      <w:r>
        <w:rPr>
          <w:i/>
          <w:iCs/>
          <w:sz w:val="24"/>
          <w:szCs w:val="24"/>
        </w:rPr>
        <w:t>(b)</w:t>
      </w:r>
      <w:r>
        <w:rPr>
          <w:i/>
          <w:iCs/>
          <w:sz w:val="24"/>
          <w:szCs w:val="24"/>
        </w:rPr>
        <w:tab/>
        <w:t>Short Characterization.</w:t>
      </w:r>
    </w:p>
    <w:p w:rsidR="00000000" w:rsidRDefault="00323237">
      <w:pPr>
        <w:rPr>
          <w:sz w:val="24"/>
          <w:szCs w:val="24"/>
        </w:rPr>
      </w:pPr>
      <w:r>
        <w:rPr>
          <w:sz w:val="24"/>
          <w:szCs w:val="24"/>
        </w:rPr>
        <w:tab/>
      </w:r>
    </w:p>
    <w:p w:rsidR="00000000" w:rsidRDefault="00323237">
      <w:pPr>
        <w:rPr>
          <w:sz w:val="24"/>
          <w:szCs w:val="24"/>
        </w:rPr>
      </w:pPr>
      <w:r>
        <w:rPr>
          <w:sz w:val="24"/>
          <w:szCs w:val="24"/>
        </w:rPr>
        <w:tab/>
      </w:r>
      <w:r>
        <w:rPr>
          <w:sz w:val="24"/>
          <w:szCs w:val="24"/>
        </w:rPr>
        <w:t xml:space="preserve">This ICR covers information collection requirements in the final area source rule for chemical manufacturing (40 CFR </w:t>
      </w:r>
      <w:proofErr w:type="gramStart"/>
      <w:r>
        <w:rPr>
          <w:sz w:val="24"/>
          <w:szCs w:val="24"/>
        </w:rPr>
        <w:t>part</w:t>
      </w:r>
      <w:proofErr w:type="gramEnd"/>
      <w:r>
        <w:rPr>
          <w:sz w:val="24"/>
          <w:szCs w:val="24"/>
        </w:rPr>
        <w:t xml:space="preserve"> 63, Subpart VVVVVV). There are nine area source categories in the chemical manufacturing sector: Agricultural Chemicals and Pesticides</w:t>
      </w:r>
      <w:r>
        <w:rPr>
          <w:sz w:val="24"/>
          <w:szCs w:val="24"/>
        </w:rPr>
        <w:t xml:space="preserve"> Manufacturing, Cyclic Crude and Intermediate Production, Industrial Inorganic Chemical Manufacturing, Industrial Organic Chemical Manufacturing, Inorganic Pigments Manufacturing, Miscellaneous Organic Chemical Manufacturing, Plastic Materials and Resins M</w:t>
      </w:r>
      <w:r>
        <w:rPr>
          <w:sz w:val="24"/>
          <w:szCs w:val="24"/>
        </w:rPr>
        <w:t>anufacturing, Pharmaceutical Production, and Synthetic Rubber Manufacturing. The requirements apply to process vents, storage tanks, equipment leaks, wastewater systems, transfer operations, and heat exchange systems at affected sources in each area source</w:t>
      </w:r>
      <w:r>
        <w:rPr>
          <w:sz w:val="24"/>
          <w:szCs w:val="24"/>
        </w:rPr>
        <w:t xml:space="preserve"> category and are combined in one subpart. The standards are based on EPA’s determination regarding the generally available control technology or management practices for each area source category. This information is being collected to assure compliance w</w:t>
      </w:r>
      <w:r>
        <w:rPr>
          <w:sz w:val="24"/>
          <w:szCs w:val="24"/>
        </w:rPr>
        <w:t xml:space="preserve">ith 40 CFR </w:t>
      </w:r>
      <w:proofErr w:type="gramStart"/>
      <w:r>
        <w:rPr>
          <w:sz w:val="24"/>
          <w:szCs w:val="24"/>
        </w:rPr>
        <w:t>part</w:t>
      </w:r>
      <w:proofErr w:type="gramEnd"/>
      <w:r>
        <w:rPr>
          <w:sz w:val="24"/>
          <w:szCs w:val="24"/>
        </w:rPr>
        <w:t xml:space="preserve"> 63, subpart VVVVVV.</w:t>
      </w:r>
    </w:p>
    <w:p w:rsidR="00000000" w:rsidRDefault="00323237">
      <w:pPr>
        <w:rPr>
          <w:sz w:val="24"/>
          <w:szCs w:val="24"/>
        </w:rPr>
      </w:pPr>
    </w:p>
    <w:p w:rsidR="00000000" w:rsidRDefault="00323237">
      <w:pPr>
        <w:ind w:firstLine="720"/>
        <w:rPr>
          <w:sz w:val="24"/>
          <w:szCs w:val="24"/>
        </w:rPr>
      </w:pPr>
      <w:r>
        <w:rPr>
          <w:sz w:val="24"/>
          <w:szCs w:val="24"/>
        </w:rPr>
        <w:t>Each existing and new affected source is required to submit an initial notification of applicability and a notification of compliance status in accordance with requirements in the General Provisions (40 CFR Part 63, Sub</w:t>
      </w:r>
      <w:r>
        <w:rPr>
          <w:sz w:val="24"/>
          <w:szCs w:val="24"/>
        </w:rPr>
        <w:t>part A). New sources must also notify the Administrator of intended construction or reconstruction. Each affected source must prepare a metal process vent monitoring plan if uncontrolled metal HAP emissions from process vents at a source exceed 400 lb/yr f</w:t>
      </w:r>
      <w:r>
        <w:rPr>
          <w:sz w:val="24"/>
          <w:szCs w:val="24"/>
        </w:rPr>
        <w:t>rom any CMPU and either a heat exchange inspection plan or monitoring plan depending on the cooling water flow rate. An owner or operator with batch process vents must estimate and keep records of either uncontrolled organic HAP emissions or, if applicable</w:t>
      </w:r>
      <w:r>
        <w:rPr>
          <w:sz w:val="24"/>
          <w:szCs w:val="24"/>
        </w:rPr>
        <w:t>, the organic HAP usage. An owner or operator with metal process vents must estimate and keep records of the uncontrolled metal HAP emissions, or if applicable the metal HAP usage. An owner or operator must estimate and keep records of the total resource e</w:t>
      </w:r>
      <w:r>
        <w:rPr>
          <w:sz w:val="24"/>
          <w:szCs w:val="24"/>
        </w:rPr>
        <w:t>ffectiveness index value for each continuous process vent. The management practices require an owner or operator to conduct quarterly sensory-based inspections for leaks from process vessels, storage tanks, and transfer racks as well as pumps, valves, conn</w:t>
      </w:r>
      <w:r>
        <w:rPr>
          <w:sz w:val="24"/>
          <w:szCs w:val="24"/>
        </w:rPr>
        <w:t xml:space="preserve">ectors, and other equipment. The owner or operator also must keep records of the occurrence and results of the quarterly inspections and </w:t>
      </w:r>
      <w:r>
        <w:rPr>
          <w:sz w:val="24"/>
          <w:szCs w:val="24"/>
        </w:rPr>
        <w:lastRenderedPageBreak/>
        <w:t>actions taken in response to findings. Sources subject to emission standards for process vents must conduct either perf</w:t>
      </w:r>
      <w:r>
        <w:rPr>
          <w:sz w:val="24"/>
          <w:szCs w:val="24"/>
        </w:rPr>
        <w:t>ormance tests or design evaluations to demonstrate initial compliance, and they must conduct monitoring and keep records of the monitoring data to demonstrate continuous compliance. Sources using floating roofs to comply with standards for storage tanks mu</w:t>
      </w:r>
      <w:r>
        <w:rPr>
          <w:sz w:val="24"/>
          <w:szCs w:val="24"/>
        </w:rPr>
        <w:t>st conduct and keep records of inspections for defects in the seals and roof. Sources must keep records identifying wastewater streams that must be separated into an organic phase and water phase before discharge of the water phase to treatment, and they m</w:t>
      </w:r>
      <w:r>
        <w:rPr>
          <w:sz w:val="24"/>
          <w:szCs w:val="24"/>
        </w:rPr>
        <w:t xml:space="preserve">ust keep records of the disposition of the organic phase. Semiannual compliance reports are required to document deviations from any requirements in the rule that occurred during the reporting period, to provide information related to any delay of repair, </w:t>
      </w:r>
      <w:r>
        <w:rPr>
          <w:sz w:val="24"/>
          <w:szCs w:val="24"/>
        </w:rPr>
        <w:t>to describe process changes and provide updated certification that the facility complies with applicable requirements after the process change, and to report each opening of a safety device. In addition, when applicable, an owner or operator must report an</w:t>
      </w:r>
      <w:r>
        <w:rPr>
          <w:sz w:val="24"/>
          <w:szCs w:val="24"/>
        </w:rPr>
        <w:t>y changes to the list of provisions in overlapping rules with which they comply and information related to demonstrating compliance with the alternative standard for process vents. These notifications, reports, and records are needed to determine complianc</w:t>
      </w:r>
      <w:r>
        <w:rPr>
          <w:sz w:val="24"/>
          <w:szCs w:val="24"/>
        </w:rPr>
        <w:t>e.</w:t>
      </w:r>
    </w:p>
    <w:p w:rsidR="00000000" w:rsidRDefault="00323237">
      <w:pPr>
        <w:rPr>
          <w:sz w:val="24"/>
          <w:szCs w:val="24"/>
        </w:rPr>
      </w:pPr>
    </w:p>
    <w:p w:rsidR="00000000" w:rsidRDefault="00323237">
      <w:pPr>
        <w:rPr>
          <w:sz w:val="24"/>
          <w:szCs w:val="24"/>
        </w:rPr>
      </w:pPr>
      <w:r>
        <w:rPr>
          <w:sz w:val="24"/>
          <w:szCs w:val="24"/>
        </w:rPr>
        <w:t xml:space="preserve"> </w:t>
      </w:r>
      <w:r>
        <w:rPr>
          <w:sz w:val="24"/>
          <w:szCs w:val="24"/>
        </w:rPr>
        <w:tab/>
        <w:t>Any owner or operator subject to the provisions of 40 CFR Part 63 shall maintain required records for at least five years. All reports are sent to the delegated state or local authority. In the event that there is no such delegated authority, the rep</w:t>
      </w:r>
      <w:r>
        <w:rPr>
          <w:sz w:val="24"/>
          <w:szCs w:val="24"/>
        </w:rPr>
        <w:t>orts are sent directly to the United States Environmental Protection Agency (EPA) regional office.</w:t>
      </w:r>
    </w:p>
    <w:p w:rsidR="00000000" w:rsidRDefault="00323237">
      <w:pPr>
        <w:rPr>
          <w:sz w:val="24"/>
          <w:szCs w:val="24"/>
        </w:rPr>
      </w:pPr>
    </w:p>
    <w:p w:rsidR="00000000" w:rsidRDefault="00323237">
      <w:pPr>
        <w:ind w:firstLine="720"/>
        <w:rPr>
          <w:sz w:val="24"/>
          <w:szCs w:val="24"/>
        </w:rPr>
      </w:pPr>
      <w:r>
        <w:rPr>
          <w:sz w:val="24"/>
          <w:szCs w:val="24"/>
        </w:rPr>
        <w:t>This ICR includes information collection requirements in the final rulemaking that amend title 40, chapter I, part 63 of the Code of Federal Regulations (CF</w:t>
      </w:r>
      <w:r>
        <w:rPr>
          <w:sz w:val="24"/>
          <w:szCs w:val="24"/>
        </w:rPr>
        <w:t>R) Subpart VVVVVV NESHAP for Chemical Manufacturing Area Sources. The final amendments add provisions for facility owners or operators to use if they wish to assert an affirmative defense to avoid civil penalties for exceedances of the applicable standards</w:t>
      </w:r>
      <w:r>
        <w:rPr>
          <w:sz w:val="24"/>
          <w:szCs w:val="24"/>
        </w:rPr>
        <w:t xml:space="preserve"> that are caused by a malfunction. If these provisions are used, the owner or operator is required to meet certain criteria during the malfunction, notify the Administrator of malfunctions that may cause an exceedance of the emissions standards, and submit</w:t>
      </w:r>
      <w:r>
        <w:rPr>
          <w:sz w:val="24"/>
          <w:szCs w:val="24"/>
        </w:rPr>
        <w:t xml:space="preserve"> a report for the malfunction to the Administrator, to include a root cause analysis of the malfunction, within certain timeframes.</w:t>
      </w:r>
    </w:p>
    <w:p w:rsidR="00000000" w:rsidRDefault="00323237">
      <w:pPr>
        <w:rPr>
          <w:sz w:val="24"/>
          <w:szCs w:val="24"/>
        </w:rPr>
      </w:pPr>
    </w:p>
    <w:p w:rsidR="00000000" w:rsidRDefault="00323237">
      <w:pPr>
        <w:rPr>
          <w:sz w:val="24"/>
          <w:szCs w:val="24"/>
        </w:rPr>
      </w:pPr>
      <w:r>
        <w:rPr>
          <w:sz w:val="24"/>
          <w:szCs w:val="24"/>
        </w:rPr>
        <w:tab/>
        <w:t>Approximately 452 chemical manufacturing area source facilities are currently subject to the regulation, and it is estimat</w:t>
      </w:r>
      <w:r>
        <w:rPr>
          <w:sz w:val="24"/>
          <w:szCs w:val="24"/>
        </w:rPr>
        <w:t>ed that an additional 27 new sources will become subject to the regulation in the next three years.</w:t>
      </w:r>
    </w:p>
    <w:p w:rsidR="00000000" w:rsidRDefault="00323237">
      <w:pPr>
        <w:rPr>
          <w:sz w:val="24"/>
          <w:szCs w:val="24"/>
        </w:rPr>
      </w:pPr>
    </w:p>
    <w:p w:rsidR="00000000" w:rsidRDefault="00323237">
      <w:pPr>
        <w:rPr>
          <w:sz w:val="24"/>
          <w:szCs w:val="24"/>
        </w:rPr>
      </w:pPr>
      <w:r>
        <w:rPr>
          <w:sz w:val="24"/>
          <w:szCs w:val="24"/>
        </w:rPr>
        <w:tab/>
        <w:t>It is estimated that the information collection will involve 10,586 hours from 1,213 annual responses and respondent labor costs of $806,864/yr. Total ann</w:t>
      </w:r>
      <w:r>
        <w:rPr>
          <w:sz w:val="24"/>
          <w:szCs w:val="24"/>
        </w:rPr>
        <w:t>ualized capital costs will be $69,484/yr, and total O&amp;M costs will be $28,787/yr. The total Agency burden is estimated to be 831 hours per year at a cost of $39,417.</w:t>
      </w:r>
    </w:p>
    <w:p w:rsidR="00000000" w:rsidRDefault="00323237">
      <w:pPr>
        <w:rPr>
          <w:sz w:val="24"/>
          <w:szCs w:val="24"/>
        </w:rPr>
      </w:pPr>
    </w:p>
    <w:p w:rsidR="00000000" w:rsidRDefault="00323237">
      <w:pPr>
        <w:rPr>
          <w:sz w:val="24"/>
          <w:szCs w:val="24"/>
        </w:rPr>
      </w:pPr>
      <w:r>
        <w:rPr>
          <w:b/>
          <w:bCs/>
          <w:sz w:val="24"/>
          <w:szCs w:val="24"/>
        </w:rPr>
        <w:t>2.</w:t>
      </w:r>
      <w:r>
        <w:rPr>
          <w:b/>
          <w:bCs/>
          <w:sz w:val="24"/>
          <w:szCs w:val="24"/>
        </w:rPr>
        <w:tab/>
        <w:t>Need for and Use of the Collection</w:t>
      </w:r>
    </w:p>
    <w:p w:rsidR="00000000" w:rsidRDefault="00323237">
      <w:pPr>
        <w:rPr>
          <w:sz w:val="24"/>
          <w:szCs w:val="24"/>
        </w:rPr>
      </w:pPr>
    </w:p>
    <w:p w:rsidR="00000000" w:rsidRDefault="00323237">
      <w:pPr>
        <w:rPr>
          <w:i/>
          <w:iCs/>
          <w:sz w:val="24"/>
          <w:szCs w:val="24"/>
        </w:rPr>
      </w:pPr>
      <w:r>
        <w:rPr>
          <w:i/>
          <w:iCs/>
          <w:sz w:val="24"/>
          <w:szCs w:val="24"/>
        </w:rPr>
        <w:t>(a)</w:t>
      </w:r>
      <w:r>
        <w:rPr>
          <w:i/>
          <w:iCs/>
          <w:sz w:val="24"/>
          <w:szCs w:val="24"/>
        </w:rPr>
        <w:tab/>
        <w:t>Need/Authority for the Collection.</w:t>
      </w:r>
    </w:p>
    <w:p w:rsidR="00000000" w:rsidRDefault="00323237">
      <w:pPr>
        <w:rPr>
          <w:sz w:val="24"/>
          <w:szCs w:val="24"/>
        </w:rPr>
      </w:pPr>
    </w:p>
    <w:p w:rsidR="00000000" w:rsidRDefault="00323237">
      <w:pPr>
        <w:rPr>
          <w:sz w:val="24"/>
          <w:szCs w:val="24"/>
        </w:rPr>
      </w:pPr>
      <w:r>
        <w:rPr>
          <w:sz w:val="24"/>
          <w:szCs w:val="24"/>
        </w:rPr>
        <w:tab/>
        <w:t>Section 1</w:t>
      </w:r>
      <w:r>
        <w:rPr>
          <w:sz w:val="24"/>
          <w:szCs w:val="24"/>
        </w:rPr>
        <w:t>12(k</w:t>
      </w:r>
      <w:proofErr w:type="gramStart"/>
      <w:r>
        <w:rPr>
          <w:sz w:val="24"/>
          <w:szCs w:val="24"/>
        </w:rPr>
        <w:t>)(</w:t>
      </w:r>
      <w:proofErr w:type="gramEnd"/>
      <w:r>
        <w:rPr>
          <w:sz w:val="24"/>
          <w:szCs w:val="24"/>
        </w:rPr>
        <w:t xml:space="preserve">3)(B) of the Clean Air Act (CAA) requires EPA to identify at least 30 hazardous air pollutants (HAP), which, as the result of emissions of area sources, that pose the </w:t>
      </w:r>
      <w:r>
        <w:rPr>
          <w:sz w:val="24"/>
          <w:szCs w:val="24"/>
        </w:rPr>
        <w:lastRenderedPageBreak/>
        <w:t>greatest potential health threat in urban areas, and section 112(c)(3) requires EPA</w:t>
      </w:r>
      <w:r>
        <w:rPr>
          <w:sz w:val="24"/>
          <w:szCs w:val="24"/>
        </w:rPr>
        <w:t xml:space="preserve"> to regulate the area source categories that represent 90 percent of the emissions of the 30 “listed” HAP (“urban HAP”). We implement these listing requirements through the Integrated Urban Air Toxics Strategy (64 FR 38715, July 19, 1999). Sierra Club sued</w:t>
      </w:r>
      <w:r>
        <w:rPr>
          <w:sz w:val="24"/>
          <w:szCs w:val="24"/>
        </w:rPr>
        <w:t xml:space="preserve"> EPA, alleging a failure to complete standards for the source categories listed pursuant to CAA section 112(c</w:t>
      </w:r>
      <w:proofErr w:type="gramStart"/>
      <w:r>
        <w:rPr>
          <w:sz w:val="24"/>
          <w:szCs w:val="24"/>
        </w:rPr>
        <w:t>)(</w:t>
      </w:r>
      <w:proofErr w:type="gramEnd"/>
      <w:r>
        <w:rPr>
          <w:sz w:val="24"/>
          <w:szCs w:val="24"/>
        </w:rPr>
        <w:t>3) within the timeframe specified by the statute. See Sierra Club v. Johnson, No. 01-1537, (D.D.C.). On March 31, 2006, the court issued an order</w:t>
      </w:r>
      <w:r>
        <w:rPr>
          <w:sz w:val="24"/>
          <w:szCs w:val="24"/>
        </w:rPr>
        <w:t xml:space="preserve"> requiring EPA to promulgate standards under CAA section 112(d) for those area source categories listed pursuant to CAA section 112(c)(3). We listed the nine source categories identified above on July 19, 1999, June 26, 2002, and November 22, 2002 (64 FR 3</w:t>
      </w:r>
      <w:r>
        <w:rPr>
          <w:sz w:val="24"/>
          <w:szCs w:val="24"/>
        </w:rPr>
        <w:t>8721, 67 FR 43112, and 67 FR 70427).</w:t>
      </w:r>
    </w:p>
    <w:p w:rsidR="00000000" w:rsidRDefault="00323237">
      <w:pPr>
        <w:rPr>
          <w:sz w:val="24"/>
          <w:szCs w:val="24"/>
        </w:rPr>
      </w:pPr>
    </w:p>
    <w:p w:rsidR="00000000" w:rsidRDefault="00323237">
      <w:pPr>
        <w:rPr>
          <w:sz w:val="24"/>
          <w:szCs w:val="24"/>
        </w:rPr>
      </w:pPr>
      <w:r>
        <w:rPr>
          <w:sz w:val="24"/>
          <w:szCs w:val="24"/>
        </w:rPr>
        <w:tab/>
        <w:t>Under CAA section 112(d)(5), the Administrator may, in lieu of standards requiring maximum achievable control technology (MACT) under section 112(d)(2), elect to promulgate standards or requirements for area sources "</w:t>
      </w:r>
      <w:r>
        <w:rPr>
          <w:sz w:val="24"/>
          <w:szCs w:val="24"/>
        </w:rPr>
        <w:t>which provide for the use of generally available control technologies or management practices by such sources to reduce emissions of hazardous air pollutants." Under section 112(d</w:t>
      </w:r>
      <w:proofErr w:type="gramStart"/>
      <w:r>
        <w:rPr>
          <w:sz w:val="24"/>
          <w:szCs w:val="24"/>
        </w:rPr>
        <w:t>)(</w:t>
      </w:r>
      <w:proofErr w:type="gramEnd"/>
      <w:r>
        <w:rPr>
          <w:sz w:val="24"/>
          <w:szCs w:val="24"/>
        </w:rPr>
        <w:t>5), the Administrator has the discretion to use generally available control</w:t>
      </w:r>
      <w:r>
        <w:rPr>
          <w:sz w:val="24"/>
          <w:szCs w:val="24"/>
        </w:rPr>
        <w:t xml:space="preserve"> technology or management practices (GACT) in lieu of MACT. Pursuant to section 112(d</w:t>
      </w:r>
      <w:proofErr w:type="gramStart"/>
      <w:r>
        <w:rPr>
          <w:sz w:val="24"/>
          <w:szCs w:val="24"/>
        </w:rPr>
        <w:t>)(</w:t>
      </w:r>
      <w:proofErr w:type="gramEnd"/>
      <w:r>
        <w:rPr>
          <w:sz w:val="24"/>
          <w:szCs w:val="24"/>
        </w:rPr>
        <w:t>5), we have decided not to issue MACT standards and concluded that GACT is appropriate for chemical manufacturing area sources.</w:t>
      </w:r>
    </w:p>
    <w:p w:rsidR="00000000" w:rsidRDefault="00323237">
      <w:pPr>
        <w:rPr>
          <w:sz w:val="24"/>
          <w:szCs w:val="24"/>
        </w:rPr>
      </w:pPr>
    </w:p>
    <w:p w:rsidR="00000000" w:rsidRDefault="00323237">
      <w:pPr>
        <w:ind w:firstLine="720"/>
        <w:rPr>
          <w:sz w:val="24"/>
          <w:szCs w:val="24"/>
        </w:rPr>
      </w:pPr>
      <w:r>
        <w:rPr>
          <w:sz w:val="24"/>
          <w:szCs w:val="24"/>
        </w:rPr>
        <w:t>Legislative history describes GACT as st</w:t>
      </w:r>
      <w:r>
        <w:rPr>
          <w:sz w:val="24"/>
          <w:szCs w:val="24"/>
        </w:rPr>
        <w:t>andards or requirements reflecting application of generally available control technology or management practices, that is, “methods, practices and techniques which are commercially available and appropriate for application by the sources in the category co</w:t>
      </w:r>
      <w:r>
        <w:rPr>
          <w:sz w:val="24"/>
          <w:szCs w:val="24"/>
        </w:rPr>
        <w:t>nsidering economic impacts and the technical capabilities of the firms to operate and maintain the emissions control systems” (Senate Report Number 101-228, December 20, 1989). Consistent with the legislative history, in addition to considering technical c</w:t>
      </w:r>
      <w:r>
        <w:rPr>
          <w:sz w:val="24"/>
          <w:szCs w:val="24"/>
        </w:rPr>
        <w:t>apabilities of the facilities and the availability of control measures, we may consider costs and economic impacts in determining GACT.</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Certain records and reports are necessary for the Administrator to confirm the compliance status of area sources, iden</w:t>
      </w:r>
      <w:r>
        <w:rPr>
          <w:sz w:val="24"/>
          <w:szCs w:val="24"/>
        </w:rPr>
        <w:t>tify any new or reconstructed sources subject to the standards, and confirm that the GACT standards are being achieved on a continuous basis. These recordkeeping and reporting requirements are specifically authorized by section 114 of the Clean Air Act (42</w:t>
      </w:r>
      <w:r>
        <w:rPr>
          <w:sz w:val="24"/>
          <w:szCs w:val="24"/>
        </w:rPr>
        <w:t xml:space="preserve"> U.S.C. 7414) and set out in the part 63 NESHAP General Provisions.</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(b)</w:t>
      </w:r>
      <w:r>
        <w:rPr>
          <w:i/>
          <w:iCs/>
          <w:sz w:val="24"/>
          <w:szCs w:val="24"/>
        </w:rPr>
        <w:tab/>
        <w:t>Use/Users of the Data.</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The information will be used by the delegated authority (State agency or Regional Administrator if there is no delegated State agency) to ensure that the emis</w:t>
      </w:r>
      <w:r>
        <w:rPr>
          <w:sz w:val="24"/>
          <w:szCs w:val="24"/>
        </w:rPr>
        <w:t xml:space="preserve">sions limits and other requirements are being achieved. Based on review of the recorded information at the site and the reported information, the delegated permitting authority can identify facilities that may not be in compliance and decide which plants, </w:t>
      </w:r>
      <w:r>
        <w:rPr>
          <w:sz w:val="24"/>
          <w:szCs w:val="24"/>
        </w:rPr>
        <w:t>records, or processes may need inspection.</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The information collection specified in this ICR will also be used by the delegated authority to determine if a source meets the criteria for affirmative defense. If a source meets the </w:t>
      </w:r>
      <w:r>
        <w:rPr>
          <w:sz w:val="24"/>
          <w:szCs w:val="24"/>
        </w:rPr>
        <w:lastRenderedPageBreak/>
        <w:t>affirmative defense criter</w:t>
      </w:r>
      <w:r>
        <w:rPr>
          <w:sz w:val="24"/>
          <w:szCs w:val="24"/>
        </w:rPr>
        <w:t>ia, they may be excused from civil penalties for exceedances of an emission limit.</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3.</w:t>
      </w:r>
      <w:r>
        <w:rPr>
          <w:b/>
          <w:bCs/>
          <w:sz w:val="24"/>
          <w:szCs w:val="24"/>
        </w:rPr>
        <w:tab/>
      </w:r>
      <w:proofErr w:type="spellStart"/>
      <w:r>
        <w:rPr>
          <w:b/>
          <w:bCs/>
          <w:sz w:val="24"/>
          <w:szCs w:val="24"/>
        </w:rPr>
        <w:t>Nonduplication</w:t>
      </w:r>
      <w:proofErr w:type="spellEnd"/>
      <w:r>
        <w:rPr>
          <w:b/>
          <w:bCs/>
          <w:sz w:val="24"/>
          <w:szCs w:val="24"/>
        </w:rPr>
        <w:t>, Consultations, and Other Collection Criteria</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(a)</w:t>
      </w:r>
      <w:r>
        <w:rPr>
          <w:i/>
          <w:iCs/>
          <w:sz w:val="24"/>
          <w:szCs w:val="24"/>
        </w:rPr>
        <w:tab/>
      </w:r>
      <w:proofErr w:type="spellStart"/>
      <w:r>
        <w:rPr>
          <w:i/>
          <w:iCs/>
          <w:sz w:val="24"/>
          <w:szCs w:val="24"/>
        </w:rPr>
        <w:t>Nonduplication</w:t>
      </w:r>
      <w:proofErr w:type="spellEnd"/>
      <w:r>
        <w:rPr>
          <w:i/>
          <w:iCs/>
          <w:sz w:val="24"/>
          <w:szCs w:val="24"/>
        </w:rPr>
        <w:t>.</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Some of the affected facilities under this NESHAP will also be subject to requirement</w:t>
      </w:r>
      <w:r>
        <w:rPr>
          <w:sz w:val="24"/>
          <w:szCs w:val="24"/>
        </w:rPr>
        <w:t>s under 40 CFR part 60 new source performance standards in subparts Kb, VV, DDD, III, NNN, and/or RRR. Some chemical manufacturing area sources also may be subject to 40 CFR parts 260 through 270. In all such cases, the area source NESHAP specifies that co</w:t>
      </w:r>
      <w:r>
        <w:rPr>
          <w:sz w:val="24"/>
          <w:szCs w:val="24"/>
        </w:rPr>
        <w:t>mpliance with requirements in the other rule that are at least as stringent as requirements in the area source rule constitutes compliance with the area source NESHAP. The owner or operator must demonstrate in their notification of compliance status report</w:t>
      </w:r>
      <w:r>
        <w:rPr>
          <w:sz w:val="24"/>
          <w:szCs w:val="24"/>
        </w:rPr>
        <w:t xml:space="preserve"> that any provision in the other rule with which they will comply is at least as stringent as the otherwise applicable requirements in the area source rule. These provisions eliminate duplication.</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Some of the affected facilities under this NESHAP also ma</w:t>
      </w:r>
      <w:r>
        <w:rPr>
          <w:sz w:val="24"/>
          <w:szCs w:val="24"/>
        </w:rPr>
        <w:t>y be subject to requirements under 40 CFR part 60 NSPS in subparts G, H, T, U, V, W, X, and/or PP. There is no duplication of effort in these cases, however, because the standards and associated information collection requirements are for different polluta</w:t>
      </w:r>
      <w:r>
        <w:rPr>
          <w:sz w:val="24"/>
          <w:szCs w:val="24"/>
        </w:rPr>
        <w:t>nts that are not regulated under the area source NESHAP (e.g., acid gases or fluorides).</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Certain reports required by State or local agencies may duplicate information required by these area source standards. In such cases, a copy of the report submitted </w:t>
      </w:r>
      <w:r>
        <w:rPr>
          <w:sz w:val="24"/>
          <w:szCs w:val="24"/>
        </w:rPr>
        <w:t>to the State or local agency may be sent to the Administrator in lieu of the report required by the standards.</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(b)</w:t>
      </w:r>
      <w:r>
        <w:rPr>
          <w:i/>
          <w:iCs/>
          <w:sz w:val="24"/>
          <w:szCs w:val="24"/>
        </w:rPr>
        <w:tab/>
        <w:t>Public Notice Required Prior to ICR Submission to OMB.</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sidR="0062184A">
        <w:rPr>
          <w:sz w:val="24"/>
          <w:szCs w:val="24"/>
        </w:rPr>
        <w:t>Public notice of this ICR was provided in the preamble to the proposed rule</w:t>
      </w:r>
      <w:r>
        <w:rPr>
          <w:sz w:val="24"/>
          <w:szCs w:val="24"/>
        </w:rPr>
        <w:t>.</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(c)</w:t>
      </w:r>
      <w:r>
        <w:rPr>
          <w:i/>
          <w:iCs/>
          <w:sz w:val="24"/>
          <w:szCs w:val="24"/>
        </w:rPr>
        <w:tab/>
        <w:t>Consultatio</w:t>
      </w:r>
      <w:r>
        <w:rPr>
          <w:i/>
          <w:iCs/>
          <w:sz w:val="24"/>
          <w:szCs w:val="24"/>
        </w:rPr>
        <w:t>ns.</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No consultations were held during development of the area source standards. However, all interested parties were given an opportunity to comment on the recordkeeping and reporting requirements and associated burden during the public comment period fo</w:t>
      </w:r>
      <w:r>
        <w:rPr>
          <w:sz w:val="24"/>
          <w:szCs w:val="24"/>
        </w:rPr>
        <w:t>r the rule.</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(d)</w:t>
      </w:r>
      <w:r>
        <w:rPr>
          <w:i/>
          <w:iCs/>
          <w:sz w:val="24"/>
          <w:szCs w:val="24"/>
        </w:rPr>
        <w:tab/>
        <w:t>Effects of Less Frequent Collection.</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If the relevant information were collected less frequently, the delegated permitting authority (State or EPA) would not be reasonably assured that an affected facility is in compliance with the standa</w:t>
      </w:r>
      <w:r>
        <w:rPr>
          <w:sz w:val="24"/>
          <w:szCs w:val="24"/>
        </w:rPr>
        <w:t>rds.</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(e)</w:t>
      </w:r>
      <w:r>
        <w:rPr>
          <w:i/>
          <w:iCs/>
          <w:sz w:val="24"/>
          <w:szCs w:val="24"/>
        </w:rPr>
        <w:tab/>
        <w:t>General Guidelines.</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lastRenderedPageBreak/>
        <w:tab/>
        <w:t>This section is not applicable because none of the OMB guidelines in 5 CFR 1320.5 are being exceeded by the final area source standards.</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(f)</w:t>
      </w:r>
      <w:r>
        <w:rPr>
          <w:i/>
          <w:iCs/>
          <w:sz w:val="24"/>
          <w:szCs w:val="24"/>
        </w:rPr>
        <w:tab/>
        <w:t>Confidentiality.</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The required information has been determined not to be confiden</w:t>
      </w:r>
      <w:r>
        <w:rPr>
          <w:sz w:val="24"/>
          <w:szCs w:val="24"/>
        </w:rPr>
        <w:t>tial. However, any information submitted to the Agency for which a claim of confidentiality is made is safeguarded according to CAA section 114(c) and the Agency’s implementing regulations in Title 40, chapter 1, part 2, subpart B - Confidentiality of Busi</w:t>
      </w:r>
      <w:r>
        <w:rPr>
          <w:sz w:val="24"/>
          <w:szCs w:val="24"/>
        </w:rPr>
        <w:t xml:space="preserve">ness Information (CBI) (see 40 CFR 2; 41 </w:t>
      </w:r>
      <w:r>
        <w:rPr>
          <w:sz w:val="24"/>
          <w:szCs w:val="24"/>
          <w:u w:val="single"/>
        </w:rPr>
        <w:t>FR</w:t>
      </w:r>
      <w:r>
        <w:rPr>
          <w:sz w:val="24"/>
          <w:szCs w:val="24"/>
        </w:rPr>
        <w:t xml:space="preserve"> 36902, September 1, 1976; amended by 43 </w:t>
      </w:r>
      <w:r>
        <w:rPr>
          <w:sz w:val="24"/>
          <w:szCs w:val="24"/>
          <w:u w:val="single"/>
        </w:rPr>
        <w:t>FR</w:t>
      </w:r>
      <w:r>
        <w:rPr>
          <w:sz w:val="24"/>
          <w:szCs w:val="24"/>
        </w:rPr>
        <w:t xml:space="preserve"> 40000, September 8, 1978; 43 </w:t>
      </w:r>
      <w:r>
        <w:rPr>
          <w:sz w:val="24"/>
          <w:szCs w:val="24"/>
          <w:u w:val="single"/>
        </w:rPr>
        <w:t>FR</w:t>
      </w:r>
      <w:r>
        <w:rPr>
          <w:sz w:val="24"/>
          <w:szCs w:val="24"/>
        </w:rPr>
        <w:t xml:space="preserve"> 42251, September 20, 1978; 44 </w:t>
      </w:r>
      <w:r>
        <w:rPr>
          <w:sz w:val="24"/>
          <w:szCs w:val="24"/>
          <w:u w:val="single"/>
        </w:rPr>
        <w:t>FR</w:t>
      </w:r>
      <w:r>
        <w:rPr>
          <w:sz w:val="24"/>
          <w:szCs w:val="24"/>
        </w:rPr>
        <w:t xml:space="preserve"> 17674, March 23, 1979).</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(g)</w:t>
      </w:r>
      <w:r>
        <w:rPr>
          <w:i/>
          <w:iCs/>
          <w:sz w:val="24"/>
          <w:szCs w:val="24"/>
        </w:rPr>
        <w:tab/>
        <w:t>Sensitive Questions.</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None of the reporting or recordkeeping requirements </w:t>
      </w:r>
      <w:r>
        <w:rPr>
          <w:sz w:val="24"/>
          <w:szCs w:val="24"/>
        </w:rPr>
        <w:t>contain sensitive questions.</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4.</w:t>
      </w:r>
      <w:r>
        <w:rPr>
          <w:b/>
          <w:bCs/>
          <w:sz w:val="24"/>
          <w:szCs w:val="24"/>
        </w:rPr>
        <w:tab/>
        <w:t>The Respondents and the Information Requested</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(a)</w:t>
      </w:r>
      <w:r>
        <w:rPr>
          <w:i/>
          <w:iCs/>
          <w:sz w:val="24"/>
          <w:szCs w:val="24"/>
        </w:rPr>
        <w:tab/>
        <w:t>Respondents/NAICS Codes.</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Respondents are owners and operators of chemical manufacturing facilities that are located at area sources of HAP emissions and use as feedstocks</w:t>
      </w:r>
      <w:r>
        <w:rPr>
          <w:sz w:val="24"/>
          <w:szCs w:val="24"/>
        </w:rPr>
        <w:t>, generate as byproducts, or produce as products any of the 15 urban HAP that must be regulated to achieve the section 112(c</w:t>
      </w:r>
      <w:proofErr w:type="gramStart"/>
      <w:r>
        <w:rPr>
          <w:sz w:val="24"/>
          <w:szCs w:val="24"/>
        </w:rPr>
        <w:t>)(</w:t>
      </w:r>
      <w:proofErr w:type="gramEnd"/>
      <w:r>
        <w:rPr>
          <w:sz w:val="24"/>
          <w:szCs w:val="24"/>
        </w:rPr>
        <w:t>3) requirement to regulate 90 percent of urban HAP, including any facilities who may wish to make use of the new affirmative defen</w:t>
      </w:r>
      <w:r>
        <w:rPr>
          <w:sz w:val="24"/>
          <w:szCs w:val="24"/>
        </w:rPr>
        <w:t>se provisions to avoid civil penalties resulting from the exceedance of an emission limit. The applicable North American Industry Classification System (NAICS) code for respondents affected by the NESHAP is 325, with certain exceptions. The chemical manufa</w:t>
      </w:r>
      <w:r>
        <w:rPr>
          <w:sz w:val="24"/>
          <w:szCs w:val="24"/>
        </w:rPr>
        <w:t xml:space="preserve">cturing area source category excludes: (1) production operations classified in NAICS 325222, 325314, 325413, or 325998; (2) facilities subject to standards for other listed area source categories (Acrylic Fibers/Modacrylic Fibers Production, Carbon Black, </w:t>
      </w:r>
      <w:r>
        <w:rPr>
          <w:sz w:val="24"/>
          <w:szCs w:val="24"/>
        </w:rPr>
        <w:t>Chemical Manufacturing: chromium compounds, Lead Oxide Production, Polyvinyl Chloride and Copolymers Production, Paint and Allied Coatings, and Mercury Cell Chlor-Alkali Manufacturing) in NAICS 325; (3) certain fabricating operations; (4) manufacture of ph</w:t>
      </w:r>
      <w:r>
        <w:rPr>
          <w:sz w:val="24"/>
          <w:szCs w:val="24"/>
        </w:rPr>
        <w:t>otographic film, paper, and plate where material is coated or contains chemicals (only the manufacture of the photographic chemicals would be regulated); and (5) manufacture of radioactive elements or isotopes, radium chloride, radium luminous compounds, s</w:t>
      </w:r>
      <w:r>
        <w:rPr>
          <w:sz w:val="24"/>
          <w:szCs w:val="24"/>
        </w:rPr>
        <w:t>trontium, and uranium. All existing facilities could make use of the new affirmative defense provisions added to the rule.</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br w:type="page"/>
      </w:r>
      <w:r>
        <w:rPr>
          <w:i/>
          <w:iCs/>
          <w:sz w:val="24"/>
          <w:szCs w:val="24"/>
        </w:rPr>
        <w:lastRenderedPageBreak/>
        <w:t>(b)</w:t>
      </w:r>
      <w:r>
        <w:rPr>
          <w:i/>
          <w:iCs/>
          <w:sz w:val="24"/>
          <w:szCs w:val="24"/>
        </w:rPr>
        <w:tab/>
        <w:t>Information Requested.</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ind w:firstLine="720"/>
        <w:rPr>
          <w:sz w:val="24"/>
          <w:szCs w:val="24"/>
        </w:rPr>
      </w:pPr>
      <w:r>
        <w:rPr>
          <w:i/>
          <w:iCs/>
          <w:sz w:val="24"/>
          <w:szCs w:val="24"/>
        </w:rPr>
        <w:t>(</w:t>
      </w:r>
      <w:proofErr w:type="spellStart"/>
      <w:r>
        <w:rPr>
          <w:i/>
          <w:iCs/>
          <w:sz w:val="24"/>
          <w:szCs w:val="24"/>
        </w:rPr>
        <w:t>i</w:t>
      </w:r>
      <w:proofErr w:type="spellEnd"/>
      <w:r>
        <w:rPr>
          <w:i/>
          <w:iCs/>
          <w:sz w:val="24"/>
          <w:szCs w:val="24"/>
        </w:rPr>
        <w:t>) Data Items, Including Recordkeeping Requirements.</w:t>
      </w:r>
      <w:r>
        <w:rPr>
          <w:sz w:val="24"/>
          <w:szCs w:val="24"/>
        </w:rPr>
        <w:t xml:space="preserve"> Table 1 summarizes the final data items, includin</w:t>
      </w:r>
      <w:r>
        <w:rPr>
          <w:sz w:val="24"/>
          <w:szCs w:val="24"/>
        </w:rPr>
        <w:t>g recordkeeping and reporting requirements.</w:t>
      </w:r>
    </w:p>
    <w:p w:rsidR="00000000" w:rsidRDefault="00323237">
      <w:pPr>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Types of reports that may be required are listed below:</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0" w:type="auto"/>
        <w:jc w:val="center"/>
        <w:tblLayout w:type="fixed"/>
        <w:tblCellMar>
          <w:left w:w="82" w:type="dxa"/>
          <w:right w:w="82" w:type="dxa"/>
        </w:tblCellMar>
        <w:tblLook w:val="0000"/>
      </w:tblPr>
      <w:tblGrid>
        <w:gridCol w:w="5940"/>
        <w:gridCol w:w="3420"/>
      </w:tblGrid>
      <w:tr w:rsidR="00000000">
        <w:tblPrEx>
          <w:tblCellMar>
            <w:top w:w="0" w:type="dxa"/>
            <w:bottom w:w="0" w:type="dxa"/>
          </w:tblCellMar>
        </w:tblPrEx>
        <w:trPr>
          <w:cantSplit/>
          <w:tblHeader/>
          <w:jc w:val="center"/>
        </w:trPr>
        <w:tc>
          <w:tcPr>
            <w:tcW w:w="9360" w:type="dxa"/>
            <w:gridSpan w:val="2"/>
            <w:tcBorders>
              <w:top w:val="single" w:sz="6" w:space="0" w:color="auto"/>
              <w:left w:val="single" w:sz="6" w:space="0" w:color="auto"/>
              <w:bottom w:val="nil"/>
              <w:right w:val="single" w:sz="6" w:space="0" w:color="auto"/>
            </w:tcBorders>
            <w:vAlign w:val="bottom"/>
          </w:tcPr>
          <w:p w:rsidR="00000000" w:rsidRDefault="00323237">
            <w:pPr>
              <w:spacing w:before="99" w:after="51"/>
              <w:jc w:val="center"/>
              <w:rPr>
                <w:sz w:val="24"/>
                <w:szCs w:val="24"/>
              </w:rPr>
            </w:pPr>
            <w:r>
              <w:rPr>
                <w:b/>
                <w:bCs/>
                <w:sz w:val="24"/>
                <w:szCs w:val="24"/>
              </w:rPr>
              <w:t>Reports for 40 CFR part 63, subpart VVVVVV</w:t>
            </w:r>
          </w:p>
        </w:tc>
      </w:tr>
      <w:tr w:rsidR="00000000">
        <w:tblPrEx>
          <w:tblCellMar>
            <w:top w:w="0" w:type="dxa"/>
            <w:bottom w:w="0" w:type="dxa"/>
          </w:tblCellMar>
        </w:tblPrEx>
        <w:trPr>
          <w:cantSplit/>
          <w:jc w:val="center"/>
        </w:trPr>
        <w:tc>
          <w:tcPr>
            <w:tcW w:w="5940" w:type="dxa"/>
            <w:tcBorders>
              <w:top w:val="single" w:sz="6" w:space="0" w:color="auto"/>
              <w:left w:val="single" w:sz="6" w:space="0" w:color="auto"/>
              <w:bottom w:val="nil"/>
              <w:right w:val="nil"/>
            </w:tcBorders>
            <w:vAlign w:val="bottom"/>
          </w:tcPr>
          <w:p w:rsidR="00000000" w:rsidRDefault="00323237">
            <w:pPr>
              <w:spacing w:before="99" w:after="51"/>
              <w:rPr>
                <w:sz w:val="24"/>
                <w:szCs w:val="24"/>
              </w:rPr>
            </w:pPr>
            <w:r>
              <w:rPr>
                <w:sz w:val="24"/>
                <w:szCs w:val="24"/>
              </w:rPr>
              <w:t>Notification of intended construction/reconstruction (new sources)</w:t>
            </w:r>
          </w:p>
        </w:tc>
        <w:tc>
          <w:tcPr>
            <w:tcW w:w="3420" w:type="dxa"/>
            <w:tcBorders>
              <w:top w:val="single" w:sz="6" w:space="0" w:color="auto"/>
              <w:left w:val="single" w:sz="6" w:space="0" w:color="auto"/>
              <w:bottom w:val="nil"/>
              <w:right w:val="single" w:sz="6" w:space="0" w:color="auto"/>
            </w:tcBorders>
          </w:tcPr>
          <w:p w:rsidR="00000000" w:rsidRDefault="00323237">
            <w:pPr>
              <w:spacing w:before="99" w:after="51"/>
              <w:rPr>
                <w:sz w:val="24"/>
                <w:szCs w:val="24"/>
              </w:rPr>
            </w:pPr>
            <w:r>
              <w:rPr>
                <w:sz w:val="24"/>
                <w:szCs w:val="24"/>
              </w:rPr>
              <w:t>63.5(b)(4) and 63.9(b)(5)</w:t>
            </w:r>
          </w:p>
        </w:tc>
      </w:tr>
      <w:tr w:rsidR="00000000">
        <w:tblPrEx>
          <w:tblCellMar>
            <w:top w:w="0" w:type="dxa"/>
            <w:bottom w:w="0" w:type="dxa"/>
          </w:tblCellMar>
        </w:tblPrEx>
        <w:trPr>
          <w:cantSplit/>
          <w:jc w:val="center"/>
        </w:trPr>
        <w:tc>
          <w:tcPr>
            <w:tcW w:w="5940" w:type="dxa"/>
            <w:tcBorders>
              <w:top w:val="single" w:sz="6" w:space="0" w:color="auto"/>
              <w:left w:val="single" w:sz="6" w:space="0" w:color="auto"/>
              <w:bottom w:val="nil"/>
              <w:right w:val="nil"/>
            </w:tcBorders>
            <w:vAlign w:val="bottom"/>
          </w:tcPr>
          <w:p w:rsidR="00000000" w:rsidRDefault="00323237">
            <w:pPr>
              <w:spacing w:before="99" w:after="51"/>
              <w:rPr>
                <w:sz w:val="24"/>
                <w:szCs w:val="24"/>
              </w:rPr>
            </w:pPr>
            <w:r>
              <w:rPr>
                <w:sz w:val="24"/>
                <w:szCs w:val="24"/>
              </w:rPr>
              <w:t>Initial notifica</w:t>
            </w:r>
            <w:r>
              <w:rPr>
                <w:sz w:val="24"/>
                <w:szCs w:val="24"/>
              </w:rPr>
              <w:t>tion (all sources)</w:t>
            </w:r>
          </w:p>
        </w:tc>
        <w:tc>
          <w:tcPr>
            <w:tcW w:w="3420" w:type="dxa"/>
            <w:tcBorders>
              <w:top w:val="single" w:sz="6" w:space="0" w:color="auto"/>
              <w:left w:val="single" w:sz="6" w:space="0" w:color="auto"/>
              <w:bottom w:val="nil"/>
              <w:right w:val="single" w:sz="6" w:space="0" w:color="auto"/>
            </w:tcBorders>
          </w:tcPr>
          <w:p w:rsidR="00000000" w:rsidRDefault="00323237">
            <w:pPr>
              <w:spacing w:before="99" w:after="51"/>
              <w:rPr>
                <w:sz w:val="24"/>
                <w:szCs w:val="24"/>
              </w:rPr>
            </w:pPr>
            <w:r>
              <w:rPr>
                <w:sz w:val="24"/>
                <w:szCs w:val="24"/>
              </w:rPr>
              <w:t>63.9(b)</w:t>
            </w:r>
          </w:p>
        </w:tc>
      </w:tr>
      <w:tr w:rsidR="00000000">
        <w:tblPrEx>
          <w:tblCellMar>
            <w:top w:w="0" w:type="dxa"/>
            <w:bottom w:w="0" w:type="dxa"/>
          </w:tblCellMar>
        </w:tblPrEx>
        <w:trPr>
          <w:cantSplit/>
          <w:jc w:val="center"/>
        </w:trPr>
        <w:tc>
          <w:tcPr>
            <w:tcW w:w="5940" w:type="dxa"/>
            <w:tcBorders>
              <w:top w:val="single" w:sz="6" w:space="0" w:color="auto"/>
              <w:left w:val="single" w:sz="6" w:space="0" w:color="auto"/>
              <w:bottom w:val="nil"/>
              <w:right w:val="nil"/>
            </w:tcBorders>
            <w:vAlign w:val="bottom"/>
          </w:tcPr>
          <w:p w:rsidR="00000000" w:rsidRDefault="00323237">
            <w:pPr>
              <w:spacing w:before="99" w:after="51"/>
              <w:rPr>
                <w:sz w:val="24"/>
                <w:szCs w:val="24"/>
              </w:rPr>
            </w:pPr>
            <w:r>
              <w:rPr>
                <w:sz w:val="24"/>
                <w:szCs w:val="24"/>
              </w:rPr>
              <w:t>Notification of performance test (sources subject to emission limits for process vents and storage tanks)</w:t>
            </w:r>
          </w:p>
        </w:tc>
        <w:tc>
          <w:tcPr>
            <w:tcW w:w="3420" w:type="dxa"/>
            <w:tcBorders>
              <w:top w:val="single" w:sz="6" w:space="0" w:color="auto"/>
              <w:left w:val="single" w:sz="6" w:space="0" w:color="auto"/>
              <w:bottom w:val="nil"/>
              <w:right w:val="single" w:sz="6" w:space="0" w:color="auto"/>
            </w:tcBorders>
          </w:tcPr>
          <w:p w:rsidR="00000000" w:rsidRDefault="00323237">
            <w:pPr>
              <w:spacing w:before="99" w:after="51"/>
              <w:rPr>
                <w:sz w:val="24"/>
                <w:szCs w:val="24"/>
              </w:rPr>
            </w:pPr>
            <w:r>
              <w:rPr>
                <w:sz w:val="24"/>
                <w:szCs w:val="24"/>
              </w:rPr>
              <w:t>63.7(b) and 63.9(e)</w:t>
            </w:r>
          </w:p>
        </w:tc>
      </w:tr>
      <w:tr w:rsidR="00000000">
        <w:tblPrEx>
          <w:tblCellMar>
            <w:top w:w="0" w:type="dxa"/>
            <w:bottom w:w="0" w:type="dxa"/>
          </w:tblCellMar>
        </w:tblPrEx>
        <w:trPr>
          <w:cantSplit/>
          <w:jc w:val="center"/>
        </w:trPr>
        <w:tc>
          <w:tcPr>
            <w:tcW w:w="5940" w:type="dxa"/>
            <w:tcBorders>
              <w:top w:val="single" w:sz="6" w:space="0" w:color="auto"/>
              <w:left w:val="single" w:sz="6" w:space="0" w:color="auto"/>
              <w:bottom w:val="nil"/>
              <w:right w:val="nil"/>
            </w:tcBorders>
            <w:vAlign w:val="bottom"/>
          </w:tcPr>
          <w:p w:rsidR="00000000" w:rsidRDefault="00323237">
            <w:pPr>
              <w:spacing w:before="99" w:after="51"/>
              <w:rPr>
                <w:sz w:val="24"/>
                <w:szCs w:val="24"/>
              </w:rPr>
            </w:pPr>
            <w:r>
              <w:rPr>
                <w:sz w:val="24"/>
                <w:szCs w:val="24"/>
              </w:rPr>
              <w:t>Performance test results (same as for notification of performance tests)</w:t>
            </w:r>
          </w:p>
        </w:tc>
        <w:tc>
          <w:tcPr>
            <w:tcW w:w="3420" w:type="dxa"/>
            <w:tcBorders>
              <w:top w:val="single" w:sz="6" w:space="0" w:color="auto"/>
              <w:left w:val="single" w:sz="6" w:space="0" w:color="auto"/>
              <w:bottom w:val="nil"/>
              <w:right w:val="single" w:sz="6" w:space="0" w:color="auto"/>
            </w:tcBorders>
          </w:tcPr>
          <w:p w:rsidR="00000000" w:rsidRDefault="00323237">
            <w:pPr>
              <w:spacing w:before="99" w:after="51"/>
              <w:rPr>
                <w:sz w:val="24"/>
                <w:szCs w:val="24"/>
              </w:rPr>
            </w:pPr>
            <w:r>
              <w:rPr>
                <w:rFonts w:cs="Courier New"/>
                <w:sz w:val="24"/>
                <w:szCs w:val="24"/>
              </w:rPr>
              <w:t>63.7(g) and 63.10(d)(2)</w:t>
            </w:r>
          </w:p>
        </w:tc>
      </w:tr>
      <w:tr w:rsidR="00000000">
        <w:tblPrEx>
          <w:tblCellMar>
            <w:top w:w="0" w:type="dxa"/>
            <w:bottom w:w="0" w:type="dxa"/>
          </w:tblCellMar>
        </w:tblPrEx>
        <w:trPr>
          <w:cantSplit/>
          <w:jc w:val="center"/>
        </w:trPr>
        <w:tc>
          <w:tcPr>
            <w:tcW w:w="5940" w:type="dxa"/>
            <w:tcBorders>
              <w:top w:val="single" w:sz="6" w:space="0" w:color="auto"/>
              <w:left w:val="single" w:sz="6" w:space="0" w:color="auto"/>
              <w:bottom w:val="nil"/>
              <w:right w:val="nil"/>
            </w:tcBorders>
            <w:vAlign w:val="bottom"/>
          </w:tcPr>
          <w:p w:rsidR="00000000" w:rsidRDefault="00323237">
            <w:pPr>
              <w:spacing w:before="99" w:after="51"/>
              <w:rPr>
                <w:sz w:val="24"/>
                <w:szCs w:val="24"/>
              </w:rPr>
            </w:pPr>
            <w:r>
              <w:rPr>
                <w:sz w:val="24"/>
                <w:szCs w:val="24"/>
              </w:rPr>
              <w:t>Not</w:t>
            </w:r>
            <w:r>
              <w:rPr>
                <w:sz w:val="24"/>
                <w:szCs w:val="24"/>
              </w:rPr>
              <w:t>ification of compliance status (all sources)</w:t>
            </w:r>
          </w:p>
        </w:tc>
        <w:tc>
          <w:tcPr>
            <w:tcW w:w="3420" w:type="dxa"/>
            <w:tcBorders>
              <w:top w:val="single" w:sz="6" w:space="0" w:color="auto"/>
              <w:left w:val="single" w:sz="6" w:space="0" w:color="auto"/>
              <w:bottom w:val="nil"/>
              <w:right w:val="single" w:sz="6" w:space="0" w:color="auto"/>
            </w:tcBorders>
          </w:tcPr>
          <w:p w:rsidR="00000000" w:rsidRDefault="00323237">
            <w:pPr>
              <w:spacing w:before="99" w:after="51"/>
              <w:rPr>
                <w:sz w:val="24"/>
                <w:szCs w:val="24"/>
              </w:rPr>
            </w:pPr>
            <w:r>
              <w:rPr>
                <w:sz w:val="24"/>
                <w:szCs w:val="24"/>
              </w:rPr>
              <w:t xml:space="preserve">63.9(h), </w:t>
            </w:r>
            <w:r>
              <w:rPr>
                <w:rFonts w:cs="Courier New"/>
                <w:sz w:val="24"/>
                <w:szCs w:val="24"/>
              </w:rPr>
              <w:t>63.11501(b)</w:t>
            </w:r>
          </w:p>
        </w:tc>
      </w:tr>
      <w:tr w:rsidR="00000000">
        <w:tblPrEx>
          <w:tblCellMar>
            <w:top w:w="0" w:type="dxa"/>
            <w:bottom w:w="0" w:type="dxa"/>
          </w:tblCellMar>
        </w:tblPrEx>
        <w:trPr>
          <w:cantSplit/>
          <w:jc w:val="center"/>
        </w:trPr>
        <w:tc>
          <w:tcPr>
            <w:tcW w:w="5940" w:type="dxa"/>
            <w:tcBorders>
              <w:top w:val="single" w:sz="6" w:space="0" w:color="auto"/>
              <w:left w:val="single" w:sz="6" w:space="0" w:color="auto"/>
              <w:bottom w:val="single" w:sz="6" w:space="0" w:color="auto"/>
              <w:right w:val="nil"/>
            </w:tcBorders>
            <w:vAlign w:val="bottom"/>
          </w:tcPr>
          <w:p w:rsidR="00000000" w:rsidRDefault="00323237">
            <w:pPr>
              <w:spacing w:before="99" w:after="51"/>
              <w:rPr>
                <w:sz w:val="24"/>
                <w:szCs w:val="24"/>
              </w:rPr>
            </w:pPr>
            <w:r>
              <w:rPr>
                <w:sz w:val="24"/>
                <w:szCs w:val="24"/>
              </w:rPr>
              <w:t>Semiannual compliance reports (all sources when criteria for reporting are met)</w:t>
            </w:r>
          </w:p>
        </w:tc>
        <w:tc>
          <w:tcPr>
            <w:tcW w:w="3420" w:type="dxa"/>
            <w:tcBorders>
              <w:top w:val="single" w:sz="6" w:space="0" w:color="auto"/>
              <w:left w:val="single" w:sz="6" w:space="0" w:color="auto"/>
              <w:bottom w:val="single" w:sz="6" w:space="0" w:color="auto"/>
              <w:right w:val="single" w:sz="6" w:space="0" w:color="auto"/>
            </w:tcBorders>
          </w:tcPr>
          <w:p w:rsidR="00000000" w:rsidRDefault="00323237">
            <w:pPr>
              <w:spacing w:before="99" w:after="51"/>
              <w:rPr>
                <w:sz w:val="24"/>
                <w:szCs w:val="24"/>
              </w:rPr>
            </w:pPr>
            <w:r>
              <w:rPr>
                <w:sz w:val="24"/>
                <w:szCs w:val="24"/>
              </w:rPr>
              <w:t>63.11501(d)</w:t>
            </w:r>
          </w:p>
        </w:tc>
      </w:tr>
      <w:tr w:rsidR="00000000">
        <w:tblPrEx>
          <w:tblCellMar>
            <w:top w:w="0" w:type="dxa"/>
            <w:bottom w:w="0" w:type="dxa"/>
          </w:tblCellMar>
        </w:tblPrEx>
        <w:trPr>
          <w:cantSplit/>
          <w:jc w:val="center"/>
        </w:trPr>
        <w:tc>
          <w:tcPr>
            <w:tcW w:w="5940" w:type="dxa"/>
            <w:tcBorders>
              <w:top w:val="single" w:sz="6" w:space="0" w:color="auto"/>
              <w:left w:val="single" w:sz="6" w:space="0" w:color="auto"/>
              <w:bottom w:val="single" w:sz="6" w:space="0" w:color="auto"/>
              <w:right w:val="nil"/>
            </w:tcBorders>
            <w:vAlign w:val="bottom"/>
          </w:tcPr>
          <w:p w:rsidR="00000000" w:rsidRDefault="00323237">
            <w:pPr>
              <w:spacing w:before="99" w:after="51"/>
              <w:rPr>
                <w:sz w:val="24"/>
                <w:szCs w:val="24"/>
              </w:rPr>
            </w:pPr>
            <w:r>
              <w:rPr>
                <w:sz w:val="24"/>
                <w:szCs w:val="24"/>
              </w:rPr>
              <w:t>Reports and notifications of malfunctions that result in an exceedance of the standard for the p</w:t>
            </w:r>
            <w:r>
              <w:rPr>
                <w:sz w:val="24"/>
                <w:szCs w:val="24"/>
              </w:rPr>
              <w:t>urpose of affirmative defense</w:t>
            </w:r>
          </w:p>
        </w:tc>
        <w:tc>
          <w:tcPr>
            <w:tcW w:w="3420" w:type="dxa"/>
            <w:tcBorders>
              <w:top w:val="single" w:sz="6" w:space="0" w:color="auto"/>
              <w:left w:val="single" w:sz="6" w:space="0" w:color="auto"/>
              <w:bottom w:val="single" w:sz="6" w:space="0" w:color="auto"/>
              <w:right w:val="single" w:sz="6" w:space="0" w:color="auto"/>
            </w:tcBorders>
          </w:tcPr>
          <w:p w:rsidR="00000000" w:rsidRDefault="00323237">
            <w:pPr>
              <w:spacing w:before="99" w:after="51"/>
              <w:rPr>
                <w:sz w:val="24"/>
                <w:szCs w:val="24"/>
              </w:rPr>
            </w:pPr>
            <w:r>
              <w:rPr>
                <w:sz w:val="24"/>
                <w:szCs w:val="24"/>
              </w:rPr>
              <w:t>63.11501(e)</w:t>
            </w:r>
          </w:p>
        </w:tc>
      </w:tr>
    </w:tbl>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br w:type="page"/>
      </w:r>
      <w:r>
        <w:rPr>
          <w:sz w:val="24"/>
          <w:szCs w:val="24"/>
        </w:rPr>
        <w:lastRenderedPageBreak/>
        <w:t>A source must maintain the following records:</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0" w:type="auto"/>
        <w:jc w:val="center"/>
        <w:tblLayout w:type="fixed"/>
        <w:tblCellMar>
          <w:left w:w="82" w:type="dxa"/>
          <w:right w:w="82" w:type="dxa"/>
        </w:tblCellMar>
        <w:tblLook w:val="0000"/>
      </w:tblPr>
      <w:tblGrid>
        <w:gridCol w:w="4140"/>
        <w:gridCol w:w="5220"/>
        <w:tblGridChange w:id="0">
          <w:tblGrid>
            <w:gridCol w:w="4140"/>
            <w:gridCol w:w="5220"/>
          </w:tblGrid>
        </w:tblGridChange>
      </w:tblGrid>
      <w:tr w:rsidR="00000000">
        <w:tblPrEx>
          <w:tblCellMar>
            <w:top w:w="0" w:type="dxa"/>
            <w:bottom w:w="0" w:type="dxa"/>
          </w:tblCellMar>
        </w:tblPrEx>
        <w:trPr>
          <w:cantSplit/>
          <w:tblHeader/>
          <w:jc w:val="center"/>
        </w:trPr>
        <w:tc>
          <w:tcPr>
            <w:tcW w:w="9360" w:type="dxa"/>
            <w:gridSpan w:val="2"/>
            <w:tcBorders>
              <w:top w:val="single" w:sz="6" w:space="0" w:color="auto"/>
              <w:left w:val="single" w:sz="6" w:space="0" w:color="auto"/>
              <w:bottom w:val="nil"/>
              <w:right w:val="single" w:sz="6" w:space="0" w:color="auto"/>
            </w:tcBorders>
            <w:vAlign w:val="bottom"/>
          </w:tcPr>
          <w:p w:rsidR="00000000" w:rsidRDefault="00323237">
            <w:pPr>
              <w:spacing w:before="99" w:after="48"/>
              <w:jc w:val="center"/>
              <w:rPr>
                <w:sz w:val="24"/>
                <w:szCs w:val="24"/>
              </w:rPr>
            </w:pPr>
            <w:r>
              <w:rPr>
                <w:b/>
                <w:bCs/>
                <w:sz w:val="24"/>
                <w:szCs w:val="24"/>
              </w:rPr>
              <w:t>Recordkeeping for 40 CFR part 63, subpart VVVVVV</w:t>
            </w:r>
          </w:p>
        </w:tc>
      </w:tr>
      <w:tr w:rsidR="00000000">
        <w:tblPrEx>
          <w:tblCellMar>
            <w:top w:w="0" w:type="dxa"/>
            <w:bottom w:w="0" w:type="dxa"/>
          </w:tblCellMar>
        </w:tblPrEx>
        <w:trPr>
          <w:cantSplit/>
          <w:jc w:val="center"/>
        </w:trPr>
        <w:tc>
          <w:tcPr>
            <w:tcW w:w="4140" w:type="dxa"/>
            <w:tcBorders>
              <w:top w:val="single" w:sz="6" w:space="0" w:color="auto"/>
              <w:left w:val="single" w:sz="6" w:space="0" w:color="auto"/>
              <w:bottom w:val="nil"/>
              <w:right w:val="nil"/>
            </w:tcBorders>
            <w:vAlign w:val="bottom"/>
          </w:tcPr>
          <w:p w:rsidR="00000000" w:rsidRDefault="00323237">
            <w:pPr>
              <w:spacing w:before="99" w:after="48"/>
              <w:rPr>
                <w:sz w:val="24"/>
                <w:szCs w:val="24"/>
              </w:rPr>
            </w:pPr>
            <w:r>
              <w:rPr>
                <w:sz w:val="24"/>
                <w:szCs w:val="24"/>
              </w:rPr>
              <w:t>Emission estimates and TRE index calculations for process vents</w:t>
            </w:r>
          </w:p>
        </w:tc>
        <w:tc>
          <w:tcPr>
            <w:tcW w:w="5220" w:type="dxa"/>
            <w:tcBorders>
              <w:top w:val="single" w:sz="6" w:space="0" w:color="auto"/>
              <w:left w:val="single" w:sz="6" w:space="0" w:color="auto"/>
              <w:bottom w:val="nil"/>
              <w:right w:val="single" w:sz="6" w:space="0" w:color="auto"/>
            </w:tcBorders>
          </w:tcPr>
          <w:p w:rsidR="00000000" w:rsidRDefault="00323237">
            <w:pPr>
              <w:spacing w:before="99" w:after="48"/>
              <w:rPr>
                <w:sz w:val="24"/>
                <w:szCs w:val="24"/>
              </w:rPr>
            </w:pPr>
            <w:r>
              <w:rPr>
                <w:sz w:val="24"/>
                <w:szCs w:val="24"/>
              </w:rPr>
              <w:t>63.11496(a), (b), and (f)</w:t>
            </w:r>
          </w:p>
        </w:tc>
      </w:tr>
      <w:tr w:rsidR="00000000">
        <w:tblPrEx>
          <w:tblCellMar>
            <w:top w:w="0" w:type="dxa"/>
            <w:bottom w:w="0" w:type="dxa"/>
          </w:tblCellMar>
        </w:tblPrEx>
        <w:trPr>
          <w:cantSplit/>
          <w:jc w:val="center"/>
        </w:trPr>
        <w:tc>
          <w:tcPr>
            <w:tcW w:w="4140" w:type="dxa"/>
            <w:tcBorders>
              <w:top w:val="single" w:sz="6" w:space="0" w:color="auto"/>
              <w:left w:val="single" w:sz="6" w:space="0" w:color="auto"/>
              <w:bottom w:val="single" w:sz="6" w:space="0" w:color="auto"/>
              <w:right w:val="nil"/>
            </w:tcBorders>
            <w:vAlign w:val="bottom"/>
          </w:tcPr>
          <w:p w:rsidR="00000000" w:rsidRDefault="00323237">
            <w:pPr>
              <w:spacing w:before="99" w:after="48"/>
              <w:rPr>
                <w:sz w:val="24"/>
                <w:szCs w:val="24"/>
              </w:rPr>
            </w:pPr>
            <w:r>
              <w:rPr>
                <w:sz w:val="24"/>
                <w:szCs w:val="24"/>
              </w:rPr>
              <w:t xml:space="preserve">Records are required </w:t>
            </w:r>
            <w:r>
              <w:rPr>
                <w:sz w:val="24"/>
                <w:szCs w:val="24"/>
              </w:rPr>
              <w:t>to be retained for five (5) years</w:t>
            </w:r>
          </w:p>
        </w:tc>
        <w:tc>
          <w:tcPr>
            <w:tcW w:w="5220" w:type="dxa"/>
            <w:tcBorders>
              <w:top w:val="single" w:sz="6" w:space="0" w:color="auto"/>
              <w:left w:val="single" w:sz="6" w:space="0" w:color="auto"/>
              <w:bottom w:val="single" w:sz="6" w:space="0" w:color="auto"/>
              <w:right w:val="single" w:sz="6" w:space="0" w:color="auto"/>
            </w:tcBorders>
          </w:tcPr>
          <w:p w:rsidR="00000000" w:rsidRDefault="00323237">
            <w:pPr>
              <w:spacing w:before="99" w:after="48"/>
              <w:rPr>
                <w:sz w:val="24"/>
                <w:szCs w:val="24"/>
              </w:rPr>
            </w:pPr>
            <w:r>
              <w:rPr>
                <w:sz w:val="24"/>
                <w:szCs w:val="24"/>
              </w:rPr>
              <w:t>63.10(b)(2), 63.11410(g), (</w:t>
            </w:r>
            <w:proofErr w:type="spellStart"/>
            <w:r>
              <w:rPr>
                <w:sz w:val="24"/>
                <w:szCs w:val="24"/>
              </w:rPr>
              <w:t>i</w:t>
            </w:r>
            <w:proofErr w:type="spellEnd"/>
            <w:r>
              <w:rPr>
                <w:sz w:val="24"/>
                <w:szCs w:val="24"/>
              </w:rPr>
              <w:t>), and (j)(1), 63.11496, 63.11497, 63.11501(c)</w:t>
            </w:r>
          </w:p>
        </w:tc>
      </w:tr>
      <w:tr w:rsidR="00000000">
        <w:tblPrEx>
          <w:tblCellMar>
            <w:top w:w="0" w:type="dxa"/>
            <w:bottom w:w="0" w:type="dxa"/>
          </w:tblCellMar>
        </w:tblPrEx>
        <w:trPr>
          <w:cantSplit/>
          <w:jc w:val="center"/>
        </w:trPr>
        <w:tc>
          <w:tcPr>
            <w:tcW w:w="4140" w:type="dxa"/>
            <w:tcBorders>
              <w:top w:val="single" w:sz="6" w:space="0" w:color="auto"/>
              <w:left w:val="single" w:sz="6" w:space="0" w:color="auto"/>
              <w:bottom w:val="single" w:sz="6" w:space="0" w:color="auto"/>
              <w:right w:val="nil"/>
            </w:tcBorders>
          </w:tcPr>
          <w:p w:rsidR="00000000" w:rsidRDefault="00323237">
            <w:pPr>
              <w:spacing w:before="99" w:after="48"/>
              <w:rPr>
                <w:sz w:val="24"/>
                <w:szCs w:val="24"/>
              </w:rPr>
            </w:pPr>
            <w:r>
              <w:rPr>
                <w:sz w:val="24"/>
                <w:szCs w:val="24"/>
              </w:rPr>
              <w:t>Heat exchange system inspection plan or monitoring plan</w:t>
            </w:r>
          </w:p>
        </w:tc>
        <w:tc>
          <w:tcPr>
            <w:tcW w:w="5220" w:type="dxa"/>
            <w:tcBorders>
              <w:top w:val="single" w:sz="6" w:space="0" w:color="auto"/>
              <w:left w:val="single" w:sz="6" w:space="0" w:color="auto"/>
              <w:bottom w:val="single" w:sz="6" w:space="0" w:color="auto"/>
              <w:right w:val="single" w:sz="6" w:space="0" w:color="auto"/>
            </w:tcBorders>
          </w:tcPr>
          <w:p w:rsidR="00000000" w:rsidRDefault="00323237">
            <w:pPr>
              <w:spacing w:before="99" w:after="48"/>
              <w:rPr>
                <w:sz w:val="24"/>
                <w:szCs w:val="24"/>
              </w:rPr>
            </w:pPr>
            <w:r>
              <w:rPr>
                <w:sz w:val="24"/>
                <w:szCs w:val="24"/>
              </w:rPr>
              <w:t>63.104, 63.11495(b), 63.11499, and Table 8 to Subpart VVVVVV</w:t>
            </w:r>
          </w:p>
        </w:tc>
      </w:tr>
      <w:tr w:rsidR="00000000">
        <w:tblPrEx>
          <w:tblCellMar>
            <w:top w:w="0" w:type="dxa"/>
            <w:bottom w:w="0" w:type="dxa"/>
          </w:tblCellMar>
        </w:tblPrEx>
        <w:trPr>
          <w:cantSplit/>
          <w:jc w:val="center"/>
        </w:trPr>
        <w:tc>
          <w:tcPr>
            <w:tcW w:w="4140" w:type="dxa"/>
            <w:tcBorders>
              <w:top w:val="single" w:sz="6" w:space="0" w:color="auto"/>
              <w:left w:val="single" w:sz="6" w:space="0" w:color="auto"/>
              <w:bottom w:val="single" w:sz="6" w:space="0" w:color="auto"/>
              <w:right w:val="nil"/>
            </w:tcBorders>
          </w:tcPr>
          <w:p w:rsidR="00000000" w:rsidRDefault="00323237">
            <w:pPr>
              <w:spacing w:before="99" w:after="48"/>
              <w:rPr>
                <w:sz w:val="24"/>
                <w:szCs w:val="24"/>
              </w:rPr>
            </w:pPr>
            <w:r>
              <w:rPr>
                <w:sz w:val="24"/>
                <w:szCs w:val="24"/>
              </w:rPr>
              <w:t>Metal process vent monitorin</w:t>
            </w:r>
            <w:r>
              <w:rPr>
                <w:sz w:val="24"/>
                <w:szCs w:val="24"/>
              </w:rPr>
              <w:t>g plan</w:t>
            </w:r>
          </w:p>
        </w:tc>
        <w:tc>
          <w:tcPr>
            <w:tcW w:w="5220" w:type="dxa"/>
            <w:tcBorders>
              <w:top w:val="single" w:sz="6" w:space="0" w:color="auto"/>
              <w:left w:val="single" w:sz="6" w:space="0" w:color="auto"/>
              <w:bottom w:val="single" w:sz="6" w:space="0" w:color="auto"/>
              <w:right w:val="single" w:sz="6" w:space="0" w:color="auto"/>
            </w:tcBorders>
          </w:tcPr>
          <w:p w:rsidR="00000000" w:rsidRDefault="00323237">
            <w:pPr>
              <w:spacing w:before="99" w:after="48"/>
              <w:rPr>
                <w:sz w:val="24"/>
                <w:szCs w:val="24"/>
              </w:rPr>
            </w:pPr>
            <w:r>
              <w:rPr>
                <w:sz w:val="24"/>
                <w:szCs w:val="24"/>
              </w:rPr>
              <w:t>63.11410(g)(2) and (h), 63.11496(f)(3)</w:t>
            </w:r>
          </w:p>
        </w:tc>
      </w:tr>
      <w:tr w:rsidR="00000000">
        <w:tblPrEx>
          <w:tblCellMar>
            <w:top w:w="0" w:type="dxa"/>
            <w:bottom w:w="0" w:type="dxa"/>
          </w:tblCellMar>
        </w:tblPrEx>
        <w:trPr>
          <w:cantSplit/>
          <w:jc w:val="center"/>
        </w:trPr>
        <w:tc>
          <w:tcPr>
            <w:tcW w:w="4140" w:type="dxa"/>
            <w:tcBorders>
              <w:top w:val="single" w:sz="6" w:space="0" w:color="auto"/>
              <w:left w:val="single" w:sz="6" w:space="0" w:color="auto"/>
              <w:bottom w:val="single" w:sz="6" w:space="0" w:color="auto"/>
              <w:right w:val="nil"/>
            </w:tcBorders>
          </w:tcPr>
          <w:p w:rsidR="00000000" w:rsidRDefault="00323237">
            <w:pPr>
              <w:spacing w:before="99" w:after="48"/>
              <w:rPr>
                <w:sz w:val="24"/>
                <w:szCs w:val="24"/>
              </w:rPr>
            </w:pPr>
            <w:r>
              <w:rPr>
                <w:sz w:val="24"/>
                <w:szCs w:val="24"/>
              </w:rPr>
              <w:t>Records of wastewater streams, type of treatment, and if applicable, disposition of separated organic phases</w:t>
            </w:r>
          </w:p>
        </w:tc>
        <w:tc>
          <w:tcPr>
            <w:tcW w:w="5220" w:type="dxa"/>
            <w:tcBorders>
              <w:top w:val="single" w:sz="6" w:space="0" w:color="auto"/>
              <w:left w:val="single" w:sz="6" w:space="0" w:color="auto"/>
              <w:bottom w:val="single" w:sz="6" w:space="0" w:color="auto"/>
              <w:right w:val="single" w:sz="6" w:space="0" w:color="auto"/>
            </w:tcBorders>
          </w:tcPr>
          <w:p w:rsidR="00000000" w:rsidRDefault="00323237">
            <w:pPr>
              <w:spacing w:before="99" w:after="48"/>
              <w:rPr>
                <w:sz w:val="24"/>
                <w:szCs w:val="24"/>
              </w:rPr>
            </w:pPr>
            <w:r>
              <w:rPr>
                <w:sz w:val="24"/>
                <w:szCs w:val="24"/>
              </w:rPr>
              <w:t>Table 6 to subpart VVVVVV</w:t>
            </w:r>
          </w:p>
        </w:tc>
      </w:tr>
      <w:tr w:rsidR="00000000">
        <w:tblPrEx>
          <w:tblCellMar>
            <w:top w:w="0" w:type="dxa"/>
            <w:bottom w:w="0" w:type="dxa"/>
          </w:tblCellMar>
        </w:tblPrEx>
        <w:trPr>
          <w:cantSplit/>
          <w:jc w:val="center"/>
        </w:trPr>
        <w:tc>
          <w:tcPr>
            <w:tcW w:w="4140" w:type="dxa"/>
            <w:tcBorders>
              <w:top w:val="single" w:sz="6" w:space="0" w:color="auto"/>
              <w:left w:val="single" w:sz="6" w:space="0" w:color="auto"/>
              <w:bottom w:val="single" w:sz="6" w:space="0" w:color="auto"/>
              <w:right w:val="nil"/>
            </w:tcBorders>
          </w:tcPr>
          <w:p w:rsidR="00000000" w:rsidRDefault="00323237">
            <w:pPr>
              <w:spacing w:before="99" w:after="48"/>
              <w:rPr>
                <w:sz w:val="24"/>
                <w:szCs w:val="24"/>
              </w:rPr>
            </w:pPr>
            <w:r>
              <w:rPr>
                <w:sz w:val="24"/>
                <w:szCs w:val="24"/>
              </w:rPr>
              <w:t>Inspections and monitoring results.</w:t>
            </w:r>
          </w:p>
        </w:tc>
        <w:tc>
          <w:tcPr>
            <w:tcW w:w="5220" w:type="dxa"/>
            <w:tcBorders>
              <w:top w:val="single" w:sz="6" w:space="0" w:color="auto"/>
              <w:left w:val="single" w:sz="6" w:space="0" w:color="auto"/>
              <w:bottom w:val="single" w:sz="6" w:space="0" w:color="auto"/>
              <w:right w:val="single" w:sz="6" w:space="0" w:color="auto"/>
            </w:tcBorders>
          </w:tcPr>
          <w:p w:rsidR="00000000" w:rsidRDefault="00323237">
            <w:pPr>
              <w:spacing w:before="99" w:after="48"/>
              <w:rPr>
                <w:sz w:val="24"/>
                <w:szCs w:val="24"/>
              </w:rPr>
            </w:pPr>
            <w:r>
              <w:rPr>
                <w:sz w:val="24"/>
                <w:szCs w:val="24"/>
              </w:rPr>
              <w:t xml:space="preserve">60.115b, 60.116b, 63.104(f), 63.998, </w:t>
            </w:r>
            <w:r>
              <w:rPr>
                <w:sz w:val="24"/>
                <w:szCs w:val="24"/>
              </w:rPr>
              <w:t>63.11410(d) and (g</w:t>
            </w:r>
            <w:proofErr w:type="gramStart"/>
            <w:r>
              <w:rPr>
                <w:sz w:val="24"/>
                <w:szCs w:val="24"/>
              </w:rPr>
              <w:t>)(</w:t>
            </w:r>
            <w:proofErr w:type="gramEnd"/>
            <w:r>
              <w:rPr>
                <w:sz w:val="24"/>
                <w:szCs w:val="24"/>
              </w:rPr>
              <w:t>4), and 63.11495.</w:t>
            </w:r>
          </w:p>
        </w:tc>
      </w:tr>
    </w:tbl>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Pr>
          <w:sz w:val="24"/>
          <w:szCs w:val="24"/>
        </w:rPr>
        <w:tab/>
      </w:r>
    </w:p>
    <w:p w:rsidR="00000000" w:rsidRDefault="00323237">
      <w:pPr>
        <w:rPr>
          <w:sz w:val="24"/>
          <w:szCs w:val="24"/>
        </w:rPr>
      </w:pPr>
      <w:r>
        <w:rPr>
          <w:sz w:val="24"/>
          <w:szCs w:val="24"/>
        </w:rPr>
        <w:br w:type="page"/>
      </w:r>
      <w:r>
        <w:rPr>
          <w:sz w:val="24"/>
          <w:szCs w:val="24"/>
        </w:rPr>
        <w:lastRenderedPageBreak/>
        <w:tab/>
      </w:r>
      <w:r>
        <w:rPr>
          <w:i/>
          <w:sz w:val="24"/>
          <w:szCs w:val="24"/>
        </w:rPr>
        <w:t>(ii) Respondent Activities.</w:t>
      </w:r>
      <w:r>
        <w:rPr>
          <w:sz w:val="24"/>
          <w:szCs w:val="24"/>
        </w:rPr>
        <w:t xml:space="preserve"> The respondent activities required by the rule are identified in Table 1 and introduced in section 6(a).</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respondent activities required by subpart VVVVVV are listed in the followi</w:t>
      </w:r>
      <w:r>
        <w:rPr>
          <w:sz w:val="24"/>
          <w:szCs w:val="24"/>
        </w:rPr>
        <w:t>ng table.</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0" w:type="auto"/>
        <w:jc w:val="center"/>
        <w:tblLayout w:type="fixed"/>
        <w:tblCellMar>
          <w:left w:w="82" w:type="dxa"/>
          <w:right w:w="82" w:type="dxa"/>
        </w:tblCellMar>
        <w:tblLook w:val="0000"/>
      </w:tblPr>
      <w:tblGrid>
        <w:gridCol w:w="9360"/>
      </w:tblGrid>
      <w:tr w:rsidR="00000000">
        <w:tblPrEx>
          <w:tblCellMar>
            <w:top w:w="0" w:type="dxa"/>
            <w:bottom w:w="0" w:type="dxa"/>
          </w:tblCellMar>
        </w:tblPrEx>
        <w:trPr>
          <w:cantSplit/>
          <w:tblHeader/>
          <w:jc w:val="center"/>
        </w:trPr>
        <w:tc>
          <w:tcPr>
            <w:tcW w:w="9360" w:type="dxa"/>
            <w:tcBorders>
              <w:top w:val="single" w:sz="6" w:space="0" w:color="auto"/>
              <w:left w:val="single" w:sz="6" w:space="0" w:color="auto"/>
              <w:bottom w:val="nil"/>
              <w:right w:val="single" w:sz="6" w:space="0" w:color="auto"/>
            </w:tcBorders>
            <w:vAlign w:val="bottom"/>
          </w:tcPr>
          <w:p w:rsidR="00000000" w:rsidRDefault="00323237">
            <w:pPr>
              <w:spacing w:before="99" w:after="54"/>
              <w:jc w:val="center"/>
              <w:rPr>
                <w:sz w:val="24"/>
                <w:szCs w:val="24"/>
              </w:rPr>
            </w:pPr>
            <w:r>
              <w:rPr>
                <w:b/>
                <w:bCs/>
                <w:sz w:val="24"/>
                <w:szCs w:val="24"/>
              </w:rPr>
              <w:t>Respondent Activities</w:t>
            </w:r>
          </w:p>
        </w:tc>
      </w:tr>
      <w:tr w:rsidR="00000000">
        <w:tblPrEx>
          <w:tblCellMar>
            <w:top w:w="0" w:type="dxa"/>
            <w:bottom w:w="0" w:type="dxa"/>
          </w:tblCellMar>
        </w:tblPrEx>
        <w:trPr>
          <w:cantSplit/>
          <w:jc w:val="center"/>
        </w:trPr>
        <w:tc>
          <w:tcPr>
            <w:tcW w:w="9360" w:type="dxa"/>
            <w:tcBorders>
              <w:top w:val="single" w:sz="6" w:space="0" w:color="auto"/>
              <w:left w:val="single" w:sz="6" w:space="0" w:color="auto"/>
              <w:bottom w:val="single" w:sz="6" w:space="0" w:color="auto"/>
              <w:right w:val="single" w:sz="6" w:space="0" w:color="auto"/>
            </w:tcBorders>
            <w:vAlign w:val="bottom"/>
          </w:tcPr>
          <w:p w:rsidR="00000000" w:rsidRDefault="00323237">
            <w:pPr>
              <w:spacing w:before="99" w:after="54"/>
              <w:rPr>
                <w:sz w:val="24"/>
                <w:szCs w:val="24"/>
              </w:rPr>
            </w:pPr>
            <w:r>
              <w:rPr>
                <w:sz w:val="24"/>
                <w:szCs w:val="24"/>
              </w:rPr>
              <w:t>Read instructions.</w:t>
            </w:r>
          </w:p>
        </w:tc>
      </w:tr>
      <w:tr w:rsidR="00000000">
        <w:tblPrEx>
          <w:tblCellMar>
            <w:top w:w="0" w:type="dxa"/>
            <w:bottom w:w="0" w:type="dxa"/>
          </w:tblCellMar>
        </w:tblPrEx>
        <w:trPr>
          <w:cantSplit/>
          <w:jc w:val="center"/>
        </w:trPr>
        <w:tc>
          <w:tcPr>
            <w:tcW w:w="9360" w:type="dxa"/>
            <w:tcBorders>
              <w:top w:val="single" w:sz="6" w:space="0" w:color="auto"/>
              <w:left w:val="single" w:sz="6" w:space="0" w:color="auto"/>
              <w:bottom w:val="single" w:sz="6" w:space="0" w:color="auto"/>
              <w:right w:val="single" w:sz="6" w:space="0" w:color="auto"/>
            </w:tcBorders>
            <w:vAlign w:val="bottom"/>
          </w:tcPr>
          <w:p w:rsidR="00000000" w:rsidRDefault="00323237">
            <w:pPr>
              <w:spacing w:before="99" w:after="54"/>
              <w:rPr>
                <w:sz w:val="24"/>
                <w:szCs w:val="24"/>
              </w:rPr>
            </w:pPr>
            <w:r>
              <w:rPr>
                <w:sz w:val="24"/>
                <w:szCs w:val="24"/>
              </w:rPr>
              <w:t>Write plans for heat exchange system monitoring and metal process vent monitoring.</w:t>
            </w:r>
          </w:p>
        </w:tc>
      </w:tr>
      <w:tr w:rsidR="00000000">
        <w:tblPrEx>
          <w:tblCellMar>
            <w:top w:w="0" w:type="dxa"/>
            <w:bottom w:w="0" w:type="dxa"/>
          </w:tblCellMar>
        </w:tblPrEx>
        <w:trPr>
          <w:cantSplit/>
          <w:jc w:val="center"/>
        </w:trPr>
        <w:tc>
          <w:tcPr>
            <w:tcW w:w="9360" w:type="dxa"/>
            <w:tcBorders>
              <w:top w:val="single" w:sz="6" w:space="0" w:color="auto"/>
              <w:left w:val="single" w:sz="6" w:space="0" w:color="auto"/>
              <w:bottom w:val="single" w:sz="6" w:space="0" w:color="auto"/>
              <w:right w:val="single" w:sz="6" w:space="0" w:color="auto"/>
            </w:tcBorders>
            <w:vAlign w:val="bottom"/>
          </w:tcPr>
          <w:p w:rsidR="00000000" w:rsidRDefault="00323237">
            <w:pPr>
              <w:spacing w:before="99" w:after="54"/>
              <w:rPr>
                <w:sz w:val="24"/>
                <w:szCs w:val="24"/>
              </w:rPr>
            </w:pPr>
            <w:r>
              <w:rPr>
                <w:sz w:val="24"/>
                <w:szCs w:val="24"/>
              </w:rPr>
              <w:t>Perform initial performance test using appropriate Reference Method, and repeat performance tests if necessary, or con</w:t>
            </w:r>
            <w:r>
              <w:rPr>
                <w:sz w:val="24"/>
                <w:szCs w:val="24"/>
              </w:rPr>
              <w:t>duct design evaluation.</w:t>
            </w:r>
          </w:p>
        </w:tc>
      </w:tr>
      <w:tr w:rsidR="00000000">
        <w:tblPrEx>
          <w:tblCellMar>
            <w:top w:w="0" w:type="dxa"/>
            <w:bottom w:w="0" w:type="dxa"/>
          </w:tblCellMar>
        </w:tblPrEx>
        <w:trPr>
          <w:cantSplit/>
          <w:jc w:val="center"/>
        </w:trPr>
        <w:tc>
          <w:tcPr>
            <w:tcW w:w="9360" w:type="dxa"/>
            <w:tcBorders>
              <w:top w:val="single" w:sz="6" w:space="0" w:color="auto"/>
              <w:left w:val="single" w:sz="6" w:space="0" w:color="auto"/>
              <w:bottom w:val="nil"/>
              <w:right w:val="single" w:sz="6" w:space="0" w:color="auto"/>
            </w:tcBorders>
            <w:vAlign w:val="bottom"/>
          </w:tcPr>
          <w:p w:rsidR="00000000" w:rsidRDefault="00323237">
            <w:pPr>
              <w:spacing w:before="99" w:after="54"/>
              <w:rPr>
                <w:sz w:val="24"/>
                <w:szCs w:val="24"/>
              </w:rPr>
            </w:pPr>
            <w:r>
              <w:rPr>
                <w:sz w:val="24"/>
                <w:szCs w:val="24"/>
              </w:rPr>
              <w:t>Write the notifications and reports listed above.</w:t>
            </w:r>
          </w:p>
        </w:tc>
      </w:tr>
      <w:tr w:rsidR="00000000">
        <w:tblPrEx>
          <w:tblCellMar>
            <w:top w:w="0" w:type="dxa"/>
            <w:bottom w:w="0" w:type="dxa"/>
          </w:tblCellMar>
        </w:tblPrEx>
        <w:trPr>
          <w:cantSplit/>
          <w:jc w:val="center"/>
        </w:trPr>
        <w:tc>
          <w:tcPr>
            <w:tcW w:w="9360" w:type="dxa"/>
            <w:tcBorders>
              <w:top w:val="single" w:sz="6" w:space="0" w:color="auto"/>
              <w:left w:val="single" w:sz="6" w:space="0" w:color="auto"/>
              <w:bottom w:val="nil"/>
              <w:right w:val="single" w:sz="6" w:space="0" w:color="auto"/>
            </w:tcBorders>
            <w:vAlign w:val="bottom"/>
          </w:tcPr>
          <w:p w:rsidR="00000000" w:rsidRDefault="00323237">
            <w:pPr>
              <w:spacing w:before="99" w:after="54"/>
              <w:rPr>
                <w:sz w:val="24"/>
                <w:szCs w:val="24"/>
              </w:rPr>
            </w:pPr>
            <w:r>
              <w:rPr>
                <w:sz w:val="24"/>
                <w:szCs w:val="24"/>
              </w:rPr>
              <w:t>Enter information required to be recorded above.</w:t>
            </w:r>
          </w:p>
        </w:tc>
      </w:tr>
      <w:tr w:rsidR="00000000">
        <w:tblPrEx>
          <w:tblCellMar>
            <w:top w:w="0" w:type="dxa"/>
            <w:bottom w:w="0" w:type="dxa"/>
          </w:tblCellMar>
        </w:tblPrEx>
        <w:trPr>
          <w:cantSplit/>
          <w:jc w:val="center"/>
        </w:trPr>
        <w:tc>
          <w:tcPr>
            <w:tcW w:w="9360" w:type="dxa"/>
            <w:tcBorders>
              <w:top w:val="single" w:sz="6" w:space="0" w:color="auto"/>
              <w:left w:val="single" w:sz="6" w:space="0" w:color="auto"/>
              <w:bottom w:val="nil"/>
              <w:right w:val="single" w:sz="6" w:space="0" w:color="auto"/>
            </w:tcBorders>
            <w:vAlign w:val="bottom"/>
          </w:tcPr>
          <w:p w:rsidR="00000000" w:rsidRDefault="00323237">
            <w:pPr>
              <w:spacing w:before="99" w:after="54"/>
              <w:rPr>
                <w:sz w:val="24"/>
                <w:szCs w:val="24"/>
              </w:rPr>
            </w:pPr>
            <w:r>
              <w:rPr>
                <w:sz w:val="24"/>
                <w:szCs w:val="24"/>
              </w:rPr>
              <w:t>Submit the required reports developing, acquiring, installing, and utilizing technology and systems for the purpose of collecting,</w:t>
            </w:r>
            <w:r>
              <w:rPr>
                <w:sz w:val="24"/>
                <w:szCs w:val="24"/>
              </w:rPr>
              <w:t xml:space="preserve"> validating, and verifying information.</w:t>
            </w:r>
          </w:p>
        </w:tc>
      </w:tr>
      <w:tr w:rsidR="00000000">
        <w:tblPrEx>
          <w:tblCellMar>
            <w:top w:w="0" w:type="dxa"/>
            <w:bottom w:w="0" w:type="dxa"/>
          </w:tblCellMar>
        </w:tblPrEx>
        <w:trPr>
          <w:cantSplit/>
          <w:jc w:val="center"/>
        </w:trPr>
        <w:tc>
          <w:tcPr>
            <w:tcW w:w="9360" w:type="dxa"/>
            <w:tcBorders>
              <w:top w:val="single" w:sz="6" w:space="0" w:color="auto"/>
              <w:left w:val="single" w:sz="6" w:space="0" w:color="auto"/>
              <w:bottom w:val="nil"/>
              <w:right w:val="single" w:sz="6" w:space="0" w:color="auto"/>
            </w:tcBorders>
            <w:vAlign w:val="bottom"/>
          </w:tcPr>
          <w:p w:rsidR="00000000" w:rsidRDefault="00323237">
            <w:pPr>
              <w:spacing w:before="99" w:after="54"/>
              <w:rPr>
                <w:sz w:val="24"/>
                <w:szCs w:val="24"/>
              </w:rPr>
            </w:pPr>
            <w:r>
              <w:rPr>
                <w:sz w:val="24"/>
                <w:szCs w:val="24"/>
              </w:rPr>
              <w:t>Develop, acquire, install, and utilize technology and systems for the purpose of processing and maintaining information.</w:t>
            </w:r>
          </w:p>
        </w:tc>
      </w:tr>
      <w:tr w:rsidR="00000000">
        <w:tblPrEx>
          <w:tblCellMar>
            <w:top w:w="0" w:type="dxa"/>
            <w:bottom w:w="0" w:type="dxa"/>
          </w:tblCellMar>
        </w:tblPrEx>
        <w:trPr>
          <w:cantSplit/>
          <w:jc w:val="center"/>
        </w:trPr>
        <w:tc>
          <w:tcPr>
            <w:tcW w:w="9360" w:type="dxa"/>
            <w:tcBorders>
              <w:top w:val="single" w:sz="6" w:space="0" w:color="auto"/>
              <w:left w:val="single" w:sz="6" w:space="0" w:color="auto"/>
              <w:bottom w:val="nil"/>
              <w:right w:val="single" w:sz="6" w:space="0" w:color="auto"/>
            </w:tcBorders>
            <w:vAlign w:val="bottom"/>
          </w:tcPr>
          <w:p w:rsidR="00000000" w:rsidRDefault="00323237">
            <w:pPr>
              <w:spacing w:before="99" w:after="54"/>
              <w:rPr>
                <w:sz w:val="24"/>
                <w:szCs w:val="24"/>
              </w:rPr>
            </w:pPr>
            <w:r>
              <w:rPr>
                <w:sz w:val="24"/>
                <w:szCs w:val="24"/>
              </w:rPr>
              <w:t>Develop, acquire, install, and utilize technology and systems for the purpose of disclosing a</w:t>
            </w:r>
            <w:r>
              <w:rPr>
                <w:sz w:val="24"/>
                <w:szCs w:val="24"/>
              </w:rPr>
              <w:t>nd providing information.</w:t>
            </w:r>
          </w:p>
        </w:tc>
      </w:tr>
      <w:tr w:rsidR="00000000">
        <w:tblPrEx>
          <w:tblCellMar>
            <w:top w:w="0" w:type="dxa"/>
            <w:bottom w:w="0" w:type="dxa"/>
          </w:tblCellMar>
        </w:tblPrEx>
        <w:trPr>
          <w:cantSplit/>
          <w:jc w:val="center"/>
        </w:trPr>
        <w:tc>
          <w:tcPr>
            <w:tcW w:w="9360" w:type="dxa"/>
            <w:tcBorders>
              <w:top w:val="single" w:sz="6" w:space="0" w:color="auto"/>
              <w:left w:val="single" w:sz="6" w:space="0" w:color="auto"/>
              <w:bottom w:val="nil"/>
              <w:right w:val="single" w:sz="6" w:space="0" w:color="auto"/>
            </w:tcBorders>
            <w:vAlign w:val="bottom"/>
          </w:tcPr>
          <w:p w:rsidR="00000000" w:rsidRDefault="00323237">
            <w:pPr>
              <w:spacing w:before="99" w:after="54"/>
              <w:rPr>
                <w:sz w:val="24"/>
                <w:szCs w:val="24"/>
              </w:rPr>
            </w:pPr>
            <w:r>
              <w:rPr>
                <w:sz w:val="24"/>
                <w:szCs w:val="24"/>
              </w:rPr>
              <w:t>Adjust the existing ways to comply with any previously applicable instructions and requirements.</w:t>
            </w:r>
          </w:p>
        </w:tc>
      </w:tr>
      <w:tr w:rsidR="00000000">
        <w:tblPrEx>
          <w:tblCellMar>
            <w:top w:w="0" w:type="dxa"/>
            <w:bottom w:w="0" w:type="dxa"/>
          </w:tblCellMar>
        </w:tblPrEx>
        <w:trPr>
          <w:cantSplit/>
          <w:jc w:val="center"/>
        </w:trPr>
        <w:tc>
          <w:tcPr>
            <w:tcW w:w="9360" w:type="dxa"/>
            <w:tcBorders>
              <w:top w:val="single" w:sz="6" w:space="0" w:color="auto"/>
              <w:left w:val="single" w:sz="6" w:space="0" w:color="auto"/>
              <w:bottom w:val="nil"/>
              <w:right w:val="single" w:sz="6" w:space="0" w:color="auto"/>
            </w:tcBorders>
            <w:vAlign w:val="bottom"/>
          </w:tcPr>
          <w:p w:rsidR="00000000" w:rsidRDefault="00323237">
            <w:pPr>
              <w:spacing w:before="99" w:after="54"/>
              <w:rPr>
                <w:sz w:val="24"/>
                <w:szCs w:val="24"/>
              </w:rPr>
            </w:pPr>
            <w:r>
              <w:rPr>
                <w:sz w:val="24"/>
                <w:szCs w:val="24"/>
              </w:rPr>
              <w:t>Train personnel to be able to respond to a collection of information.</w:t>
            </w:r>
          </w:p>
        </w:tc>
      </w:tr>
      <w:tr w:rsidR="00000000">
        <w:tblPrEx>
          <w:tblCellMar>
            <w:top w:w="0" w:type="dxa"/>
            <w:bottom w:w="0" w:type="dxa"/>
          </w:tblCellMar>
        </w:tblPrEx>
        <w:trPr>
          <w:cantSplit/>
          <w:jc w:val="center"/>
        </w:trPr>
        <w:tc>
          <w:tcPr>
            <w:tcW w:w="9360" w:type="dxa"/>
            <w:tcBorders>
              <w:top w:val="single" w:sz="6" w:space="0" w:color="auto"/>
              <w:left w:val="single" w:sz="6" w:space="0" w:color="auto"/>
              <w:bottom w:val="single" w:sz="6" w:space="0" w:color="auto"/>
              <w:right w:val="single" w:sz="6" w:space="0" w:color="auto"/>
            </w:tcBorders>
            <w:vAlign w:val="bottom"/>
          </w:tcPr>
          <w:p w:rsidR="00000000" w:rsidRDefault="00323237">
            <w:pPr>
              <w:spacing w:before="99" w:after="54"/>
              <w:rPr>
                <w:sz w:val="24"/>
                <w:szCs w:val="24"/>
              </w:rPr>
            </w:pPr>
            <w:r>
              <w:rPr>
                <w:sz w:val="24"/>
                <w:szCs w:val="24"/>
              </w:rPr>
              <w:t>Transmit, or otherwise disclose the information.</w:t>
            </w:r>
          </w:p>
        </w:tc>
      </w:tr>
    </w:tbl>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bCs/>
          <w:sz w:val="24"/>
          <w:szCs w:val="24"/>
        </w:rPr>
        <w:tab/>
      </w:r>
      <w:r>
        <w:rPr>
          <w:bCs/>
          <w:i/>
          <w:sz w:val="24"/>
          <w:szCs w:val="24"/>
        </w:rPr>
        <w:t>(iii) Su</w:t>
      </w:r>
      <w:r>
        <w:rPr>
          <w:bCs/>
          <w:i/>
          <w:sz w:val="24"/>
          <w:szCs w:val="24"/>
        </w:rPr>
        <w:t>mmary of the final amendments.</w:t>
      </w:r>
      <w:r>
        <w:rPr>
          <w:bCs/>
          <w:sz w:val="24"/>
          <w:szCs w:val="24"/>
        </w:rPr>
        <w:t xml:space="preserve"> The final amendments to the </w:t>
      </w:r>
      <w:r>
        <w:rPr>
          <w:sz w:val="24"/>
          <w:szCs w:val="24"/>
        </w:rPr>
        <w:t>NESHAP for Chemical Manufacturing Area Sources</w:t>
      </w:r>
      <w:r>
        <w:rPr>
          <w:bCs/>
          <w:sz w:val="24"/>
          <w:szCs w:val="24"/>
        </w:rPr>
        <w:t xml:space="preserve"> require that for facilities to assert an affirmative defense, a written report, which proves that all the criteria for asserting an affirmative defens</w:t>
      </w:r>
      <w:r>
        <w:rPr>
          <w:bCs/>
          <w:sz w:val="24"/>
          <w:szCs w:val="24"/>
        </w:rPr>
        <w:t>e have been met, must include a root cause analysis of the malfunction and must be submitted within 45 days of the initial occurrence of the emissions exceedance.</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bCs/>
          <w:sz w:val="24"/>
          <w:szCs w:val="24"/>
        </w:rPr>
        <w:tab/>
        <w:t>EPA is including in Table 3 (located at the end of this supporting statement) an estimate o</w:t>
      </w:r>
      <w:r>
        <w:rPr>
          <w:bCs/>
          <w:sz w:val="24"/>
          <w:szCs w:val="24"/>
        </w:rPr>
        <w:t>f the burden associated with performing an affirmative defense. EPA is providing this as an illustrative example of the potential additional administrative burden a source may incur to assert in an Affirmative Defense in response to an action to enforce th</w:t>
      </w:r>
      <w:r>
        <w:rPr>
          <w:bCs/>
          <w:sz w:val="24"/>
          <w:szCs w:val="24"/>
        </w:rPr>
        <w:t>e standards set forth in the applicable subpart.</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bCs/>
          <w:sz w:val="24"/>
          <w:szCs w:val="24"/>
        </w:rPr>
        <w:tab/>
        <w:t>This illustrative estimate is not considered a duplicate estimate of cost under the General Duty to Minimize Emissions clause under 63.6(e</w:t>
      </w:r>
      <w:proofErr w:type="gramStart"/>
      <w:r>
        <w:rPr>
          <w:bCs/>
          <w:sz w:val="24"/>
          <w:szCs w:val="24"/>
        </w:rPr>
        <w:t>)(</w:t>
      </w:r>
      <w:proofErr w:type="gramEnd"/>
      <w:r>
        <w:rPr>
          <w:bCs/>
          <w:sz w:val="24"/>
          <w:szCs w:val="24"/>
        </w:rPr>
        <w:t>1)(</w:t>
      </w:r>
      <w:proofErr w:type="spellStart"/>
      <w:r>
        <w:rPr>
          <w:bCs/>
          <w:sz w:val="24"/>
          <w:szCs w:val="24"/>
        </w:rPr>
        <w:t>i</w:t>
      </w:r>
      <w:proofErr w:type="spellEnd"/>
      <w:r>
        <w:rPr>
          <w:bCs/>
          <w:sz w:val="24"/>
          <w:szCs w:val="24"/>
        </w:rPr>
        <w:t>), which states: “At all times, the owner and operator must o</w:t>
      </w:r>
      <w:r>
        <w:rPr>
          <w:bCs/>
          <w:sz w:val="24"/>
          <w:szCs w:val="24"/>
        </w:rPr>
        <w:t xml:space="preserve">perate and maintain any affected source, including associated air pollution control equipment and monitoring equipment, in a manner consistent with safety and good air </w:t>
      </w:r>
      <w:r>
        <w:rPr>
          <w:bCs/>
          <w:sz w:val="24"/>
          <w:szCs w:val="24"/>
        </w:rPr>
        <w:lastRenderedPageBreak/>
        <w:t>pollution control practices for minimizing emissions. Determining whether such operation</w:t>
      </w:r>
      <w:r>
        <w:rPr>
          <w:bCs/>
          <w:sz w:val="24"/>
          <w:szCs w:val="24"/>
        </w:rPr>
        <w:t xml:space="preserve"> and maintenance procedures are being used will be based on information available to the Administrator which may include, but is not limited to, monitoring results, review of operation and maintenance procedures, review of operation and maintenance records</w:t>
      </w:r>
      <w:r>
        <w:rPr>
          <w:bCs/>
          <w:sz w:val="24"/>
          <w:szCs w:val="24"/>
        </w:rPr>
        <w:t>, and inspection of the source.”</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bCs/>
          <w:sz w:val="24"/>
          <w:szCs w:val="24"/>
        </w:rPr>
        <w:tab/>
        <w:t>To provide the public with an estimate of the relative magnitude of the burden associated with an assertion of the affirmative defense position adopted by a source, EPA provides an administrative adjustment to this ICR th</w:t>
      </w:r>
      <w:r>
        <w:rPr>
          <w:bCs/>
          <w:sz w:val="24"/>
          <w:szCs w:val="24"/>
        </w:rPr>
        <w:t xml:space="preserve">at estimates the costs of the notification, recordkeeping and reporting requirements associated with the assertion of the affirmative defense. EPA’s estimate for the required notification, reports and records, including the root cause analysis, associated </w:t>
      </w:r>
      <w:r>
        <w:rPr>
          <w:bCs/>
          <w:sz w:val="24"/>
          <w:szCs w:val="24"/>
        </w:rPr>
        <w:t>with a single incident totals approximately $</w:t>
      </w:r>
      <w:r>
        <w:rPr>
          <w:color w:val="000000"/>
          <w:sz w:val="24"/>
          <w:szCs w:val="24"/>
        </w:rPr>
        <w:t xml:space="preserve">2,958 </w:t>
      </w:r>
      <w:r>
        <w:rPr>
          <w:bCs/>
          <w:sz w:val="24"/>
          <w:szCs w:val="24"/>
        </w:rPr>
        <w:t>and is based on the time and effort required of a source to review relevant data, interview plant employees, and document the events surrounding a malfunction that has caused an exceedance of an emission l</w:t>
      </w:r>
      <w:r>
        <w:rPr>
          <w:bCs/>
          <w:sz w:val="24"/>
          <w:szCs w:val="24"/>
        </w:rPr>
        <w:t>imit. The estimate also includes time to produce and retain the records and reports for submission to EPA. EPA provides this illustrative estimate of this burden because these costs are only incurred if there has been a violation and a source chooses to ta</w:t>
      </w:r>
      <w:r>
        <w:rPr>
          <w:bCs/>
          <w:sz w:val="24"/>
          <w:szCs w:val="24"/>
        </w:rPr>
        <w:t>ke advantage of the affirmative defense.</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bCs/>
          <w:sz w:val="24"/>
          <w:szCs w:val="24"/>
        </w:rPr>
        <w:tab/>
        <w:t>Of the number of excess emission events reported by source operators, only a small number would be expected to result from a malfunction, and only a subset of excess emissions caused by malfunctions would result i</w:t>
      </w:r>
      <w:r>
        <w:rPr>
          <w:bCs/>
          <w:sz w:val="24"/>
          <w:szCs w:val="24"/>
        </w:rPr>
        <w:t>n the source choosing to assert the affirmative defense. Thus we believe the number of instances in which source operators might be expected to avail themselves of the affirmative defense will be extremely small. For this reason, we estimate no more than 2</w:t>
      </w:r>
      <w:r>
        <w:rPr>
          <w:bCs/>
          <w:sz w:val="24"/>
          <w:szCs w:val="24"/>
        </w:rPr>
        <w:t xml:space="preserve"> or 3 such occurrences for all sources within a given category over the 3-year period covered by this ICR. For the purpose of this estimate, we are adding two (2) instances of affirmative defense. We expect to gather information on such events in the futur</w:t>
      </w:r>
      <w:r>
        <w:rPr>
          <w:bCs/>
          <w:sz w:val="24"/>
          <w:szCs w:val="24"/>
        </w:rPr>
        <w:t xml:space="preserve">e and will revise this estimate as better information becomes available. </w:t>
      </w:r>
      <w:r>
        <w:rPr>
          <w:bCs/>
          <w:sz w:val="24"/>
          <w:szCs w:val="24"/>
        </w:rPr>
        <w:br/>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5.</w:t>
      </w:r>
      <w:r>
        <w:rPr>
          <w:b/>
          <w:bCs/>
          <w:sz w:val="24"/>
          <w:szCs w:val="24"/>
        </w:rPr>
        <w:tab/>
        <w:t>The Information Collected: Agency Activities, Collection Methodology, and Information Management</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(a)</w:t>
      </w:r>
      <w:r>
        <w:rPr>
          <w:i/>
          <w:iCs/>
          <w:sz w:val="24"/>
          <w:szCs w:val="24"/>
        </w:rPr>
        <w:tab/>
        <w:t>Agency Activities.</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EPA conducts the following activities in connection wit</w:t>
      </w:r>
      <w:r>
        <w:rPr>
          <w:sz w:val="24"/>
          <w:szCs w:val="24"/>
        </w:rPr>
        <w:t>h the acquisition, analysis, storage, and distribution of the required information.</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000000">
        <w:tc>
          <w:tcPr>
            <w:tcW w:w="9360" w:type="dxa"/>
            <w:vAlign w:val="center"/>
          </w:tcPr>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after="51"/>
              <w:rPr>
                <w:b/>
                <w:bCs/>
                <w:sz w:val="24"/>
                <w:szCs w:val="24"/>
              </w:rPr>
            </w:pPr>
            <w:r>
              <w:rPr>
                <w:b/>
                <w:bCs/>
                <w:sz w:val="24"/>
                <w:szCs w:val="24"/>
              </w:rPr>
              <w:t>Agency Activities</w:t>
            </w:r>
          </w:p>
        </w:tc>
      </w:tr>
      <w:tr w:rsidR="00000000">
        <w:tc>
          <w:tcPr>
            <w:tcW w:w="9360" w:type="dxa"/>
            <w:vAlign w:val="center"/>
          </w:tcPr>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after="51"/>
              <w:rPr>
                <w:sz w:val="24"/>
                <w:szCs w:val="24"/>
              </w:rPr>
            </w:pPr>
            <w:r>
              <w:rPr>
                <w:sz w:val="24"/>
                <w:szCs w:val="24"/>
              </w:rPr>
              <w:t>Observe initial performance tests and repeat performance tests if necessary.</w:t>
            </w:r>
          </w:p>
        </w:tc>
      </w:tr>
      <w:tr w:rsidR="00000000">
        <w:trPr>
          <w:trHeight w:val="413"/>
        </w:trPr>
        <w:tc>
          <w:tcPr>
            <w:tcW w:w="9360" w:type="dxa"/>
            <w:vAlign w:val="center"/>
          </w:tcPr>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Review notifications and reports, including initial notification, notifica</w:t>
            </w:r>
            <w:r>
              <w:rPr>
                <w:sz w:val="24"/>
                <w:szCs w:val="24"/>
              </w:rPr>
              <w:t>tion of compliance status, performance test reports, and periodic compliance reports, required to be submitted by industry.</w:t>
            </w:r>
          </w:p>
        </w:tc>
      </w:tr>
      <w:tr w:rsidR="00000000">
        <w:tc>
          <w:tcPr>
            <w:tcW w:w="9360" w:type="dxa"/>
            <w:vAlign w:val="center"/>
          </w:tcPr>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after="51"/>
              <w:rPr>
                <w:b/>
                <w:bCs/>
                <w:sz w:val="24"/>
                <w:szCs w:val="24"/>
              </w:rPr>
            </w:pPr>
            <w:r>
              <w:rPr>
                <w:sz w:val="24"/>
                <w:szCs w:val="24"/>
              </w:rPr>
              <w:t>Input, analyze, and maintain data in the AIRS Facility Subsystem (AFS) database.</w:t>
            </w:r>
          </w:p>
        </w:tc>
      </w:tr>
    </w:tbl>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br w:type="page"/>
      </w:r>
      <w:r>
        <w:rPr>
          <w:i/>
          <w:iCs/>
          <w:sz w:val="24"/>
          <w:szCs w:val="24"/>
        </w:rPr>
        <w:lastRenderedPageBreak/>
        <w:t>(b)</w:t>
      </w:r>
      <w:r>
        <w:rPr>
          <w:i/>
          <w:iCs/>
          <w:sz w:val="24"/>
          <w:szCs w:val="24"/>
        </w:rPr>
        <w:tab/>
        <w:t>Collection Methodology and Management.</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Da</w:t>
      </w:r>
      <w:r>
        <w:rPr>
          <w:sz w:val="24"/>
          <w:szCs w:val="24"/>
        </w:rPr>
        <w:t>ta and records maintained by the respondents are tabulated and published for use in compliance and enforcement programs of the delegated permitting authority. The monitoring reports submitted to the permitting authority are used for problem identification,</w:t>
      </w:r>
      <w:r>
        <w:rPr>
          <w:sz w:val="24"/>
          <w:szCs w:val="24"/>
        </w:rPr>
        <w:t xml:space="preserve"> as a check on source operation and maintenance, and for compliance determinations. The required report for facilities who wish to avail themselves of the affirmative defense will be used by the delegated authority to determine if a source meets the criter</w:t>
      </w:r>
      <w:r>
        <w:rPr>
          <w:sz w:val="24"/>
          <w:szCs w:val="24"/>
        </w:rPr>
        <w:t>ia for affirmative defense. If a source meets the criteria for affirmative defense, they may be excused from civil penalties for exceedances of an emission limit. EPA is the permitting authority until the State agency is delegated authority to implement th</w:t>
      </w:r>
      <w:r>
        <w:rPr>
          <w:sz w:val="24"/>
          <w:szCs w:val="24"/>
        </w:rPr>
        <w:t>e final rule. Therefore, information contained in the reports submitted to the Regional Administrator will be entered into the Air Facility System (AFS), which is operated and maintained by EPA's Office of Compliance. AFS is EPA’s database for the collecti</w:t>
      </w:r>
      <w:r>
        <w:rPr>
          <w:sz w:val="24"/>
          <w:szCs w:val="24"/>
        </w:rPr>
        <w:t xml:space="preserve">on, maintenance, and retrieval of compliance data for approximately 125,000 industrial and government-owned facilities. EPA uses the AFS for tracking air pollution compliance and enforcement by local and state regulatory agencies, EPA regional offices and </w:t>
      </w:r>
      <w:r>
        <w:rPr>
          <w:sz w:val="24"/>
          <w:szCs w:val="24"/>
        </w:rPr>
        <w:t>EPA headquarters. EPA and its delegated authorities can edit, store, retrieve and analyze the data.</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(c)</w:t>
      </w:r>
      <w:r>
        <w:rPr>
          <w:i/>
          <w:iCs/>
          <w:sz w:val="24"/>
          <w:szCs w:val="24"/>
        </w:rPr>
        <w:tab/>
        <w:t>Small Entity Flexibility.</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t>Many of the facilities affected by this final rule are small entities. The classification of a small entity is defined as h</w:t>
      </w:r>
      <w:r>
        <w:rPr>
          <w:sz w:val="24"/>
          <w:szCs w:val="24"/>
        </w:rPr>
        <w:t>aving less than a specified number of employees. The specific number varies based on the NAICS code. For this overall source category, a small entity is defined as having less than 1,000 employees, less than 750 employees, or less than 500 employees, depen</w:t>
      </w:r>
      <w:r>
        <w:rPr>
          <w:sz w:val="24"/>
          <w:szCs w:val="24"/>
        </w:rPr>
        <w:t>ding on the NAICS code. The impact on small entities was taken into consideration during the development of the regulation by mandating minimal notification and reporting requirements for all sources. The Agency considers these requirements the minimum nee</w:t>
      </w:r>
      <w:r>
        <w:rPr>
          <w:sz w:val="24"/>
          <w:szCs w:val="24"/>
        </w:rPr>
        <w:t>ded to ensure compliance and, therefore, cannot reduce them further for small entities. To minimize recordkeeping and reporting for all facilities, only brief documentation of quarterly inspections is required, and compliance reports are required only if c</w:t>
      </w:r>
      <w:r>
        <w:rPr>
          <w:sz w:val="24"/>
          <w:szCs w:val="24"/>
        </w:rPr>
        <w:t>ertain conditions are met during the reporting period. Analyses indicate that the final rule will not impose a significant adverse impact on any facilities, large or small.</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(d)</w:t>
      </w:r>
      <w:r>
        <w:rPr>
          <w:i/>
          <w:iCs/>
          <w:sz w:val="24"/>
          <w:szCs w:val="24"/>
        </w:rPr>
        <w:tab/>
        <w:t>Collection Schedule.</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sz w:val="24"/>
          <w:szCs w:val="24"/>
        </w:rPr>
        <w:tab/>
        <w:t xml:space="preserve">The specific frequency for each information collection </w:t>
      </w:r>
      <w:r>
        <w:rPr>
          <w:sz w:val="24"/>
          <w:szCs w:val="24"/>
        </w:rPr>
        <w:t>activity within this request is shown in Table 1</w:t>
      </w:r>
      <w:r>
        <w:rPr>
          <w:b/>
          <w:bCs/>
          <w:sz w:val="24"/>
          <w:szCs w:val="24"/>
        </w:rPr>
        <w:t>.</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6.</w:t>
      </w:r>
      <w:r>
        <w:rPr>
          <w:b/>
          <w:bCs/>
          <w:sz w:val="24"/>
          <w:szCs w:val="24"/>
        </w:rPr>
        <w:tab/>
        <w:t>Estimating the Burden and Cost of the Collection</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Table 1 documents the computation of individual burdens for the recordkeeping and reporting requirements applicable to the industry for the subpart inc</w:t>
      </w:r>
      <w:r>
        <w:rPr>
          <w:sz w:val="24"/>
          <w:szCs w:val="24"/>
        </w:rPr>
        <w:t>luded in this ICR. The individual burdens are expressed under standardized headings believed to be consistent with the concept of burden under the Paperwork Reduction Act. Where appropriate, specific tasks required and major assumptions made have been iden</w:t>
      </w:r>
      <w:r>
        <w:rPr>
          <w:sz w:val="24"/>
          <w:szCs w:val="24"/>
        </w:rPr>
        <w:t>tified. Responses to this information collection are mandatory.</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The Agency may not conduct or sponsor, and a person is not required to respond to, a collection of information unless it displays a currently valid OMB Control Number.</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(a)</w:t>
      </w:r>
      <w:r>
        <w:rPr>
          <w:i/>
          <w:iCs/>
          <w:sz w:val="24"/>
          <w:szCs w:val="24"/>
        </w:rPr>
        <w:tab/>
        <w:t>Estimating Respon</w:t>
      </w:r>
      <w:r>
        <w:rPr>
          <w:i/>
          <w:iCs/>
          <w:sz w:val="24"/>
          <w:szCs w:val="24"/>
        </w:rPr>
        <w:t>dent Burden.</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The average annual burden to industry over the next three years from these recordkeeping and reporting requirements is estimated to be 10,586 hours per year (Total Labor Hours from Table 1: Annual Burden of Reporting and Recordkeeping Requir</w:t>
      </w:r>
      <w:r>
        <w:rPr>
          <w:sz w:val="24"/>
          <w:szCs w:val="24"/>
        </w:rPr>
        <w:t>ements, NESHAP for Chemical Manufacturing Area Sources (40 CFR part 63, subpart VVVVVV).</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(b)</w:t>
      </w:r>
      <w:r>
        <w:rPr>
          <w:i/>
          <w:iCs/>
          <w:sz w:val="24"/>
          <w:szCs w:val="24"/>
        </w:rPr>
        <w:tab/>
        <w:t>Estimating Respondent Costs.</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sz w:val="24"/>
          <w:szCs w:val="24"/>
        </w:rPr>
        <w:tab/>
        <w:t>EPA’s estimate for an affirmative defense and root cause analysis is based on the time and effort required of a source to review re</w:t>
      </w:r>
      <w:r>
        <w:rPr>
          <w:sz w:val="24"/>
          <w:szCs w:val="24"/>
        </w:rPr>
        <w:t>levant data, interview plant employees, and reconstruct the events prior to a malfunction in order to determine primary and contributing causes. The level of effort also includes time to produce and retain the report in document form so that the source wil</w:t>
      </w:r>
      <w:r>
        <w:rPr>
          <w:sz w:val="24"/>
          <w:szCs w:val="24"/>
        </w:rPr>
        <w:t>l have it available should EPA or state enforcement agencies ever request to review it. The estimates of total technical-hours per year per source for asserting an affirmative defense are listed in Table 1 and are based upon experience with similar informa</w:t>
      </w:r>
      <w:r>
        <w:rPr>
          <w:sz w:val="24"/>
          <w:szCs w:val="24"/>
        </w:rPr>
        <w:t>tion collection requirements in the Sewage Sludge Incineration Units NESHAP (Subpart MMMM).</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i/>
          <w:iCs/>
          <w:sz w:val="24"/>
          <w:szCs w:val="24"/>
        </w:rPr>
        <w:tab/>
        <w:t>(</w:t>
      </w:r>
      <w:proofErr w:type="spellStart"/>
      <w:r>
        <w:rPr>
          <w:i/>
          <w:iCs/>
          <w:sz w:val="24"/>
          <w:szCs w:val="24"/>
        </w:rPr>
        <w:t>i</w:t>
      </w:r>
      <w:proofErr w:type="spellEnd"/>
      <w:r>
        <w:rPr>
          <w:i/>
          <w:iCs/>
          <w:sz w:val="24"/>
          <w:szCs w:val="24"/>
        </w:rPr>
        <w:t>) Estimating Labor Costs.</w:t>
      </w:r>
      <w:r>
        <w:rPr>
          <w:b/>
          <w:bCs/>
          <w:sz w:val="24"/>
          <w:szCs w:val="24"/>
        </w:rPr>
        <w:t xml:space="preserve"> </w:t>
      </w:r>
      <w:r>
        <w:rPr>
          <w:sz w:val="24"/>
          <w:szCs w:val="24"/>
        </w:rPr>
        <w:t>Labor rates and associated costs are based on Bureau of Labor Statistics (BLS) data. Technical, management, and clerical average hourl</w:t>
      </w:r>
      <w:r>
        <w:rPr>
          <w:sz w:val="24"/>
          <w:szCs w:val="24"/>
        </w:rPr>
        <w:t xml:space="preserve">y rates for private industry workers were taken from the United States Department of Labor, Bureau of Labor Statistics, May 2007 for NAICS Code 325 at “May 2007 National Industry-Specific Occupational Employment and Wage Estimates,” available at </w:t>
      </w:r>
      <w:hyperlink r:id="rId7" w:history="1">
        <w:r>
          <w:rPr>
            <w:rStyle w:val="Hyperlink"/>
            <w:sz w:val="24"/>
            <w:szCs w:val="24"/>
          </w:rPr>
          <w:t>http://stats.bls.go</w:t>
        </w:r>
        <w:r>
          <w:rPr>
            <w:rStyle w:val="Hyperlink"/>
            <w:sz w:val="24"/>
            <w:szCs w:val="24"/>
          </w:rPr>
          <w:t>v</w:t>
        </w:r>
        <w:r>
          <w:rPr>
            <w:rStyle w:val="Hyperlink"/>
            <w:sz w:val="24"/>
            <w:szCs w:val="24"/>
          </w:rPr>
          <w:t>/oes/current/oessrci.htm</w:t>
        </w:r>
      </w:hyperlink>
      <w:r>
        <w:rPr>
          <w:sz w:val="24"/>
          <w:szCs w:val="24"/>
        </w:rPr>
        <w:t>. Wages for occupational groups are used as the basis for the labor rates with a total compensation of $36.78 per hour for technical, $62.20 per hour for manage</w:t>
      </w:r>
      <w:r>
        <w:rPr>
          <w:sz w:val="24"/>
          <w:szCs w:val="24"/>
        </w:rPr>
        <w:t xml:space="preserve">rial, and $17.75 per hour for clerical. These rates represent salaries plus fringe benefits and do not include the cost of overhead. An overhead rate of 110 percent is used to account for these costs. The fully-burdened hourly wage rates used to represent </w:t>
      </w:r>
      <w:r>
        <w:rPr>
          <w:sz w:val="24"/>
          <w:szCs w:val="24"/>
        </w:rPr>
        <w:t>respondent labor costs are: technical at $77.24, management at $130.62, and clerical at $37.28.</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i/>
          <w:iCs/>
          <w:sz w:val="24"/>
          <w:szCs w:val="24"/>
        </w:rPr>
        <w:tab/>
        <w:t>(ii) Estimating Capital and Operations and Maintenance (O&amp;M) Costs.</w:t>
      </w:r>
      <w:r>
        <w:rPr>
          <w:b/>
          <w:bCs/>
          <w:sz w:val="24"/>
          <w:szCs w:val="24"/>
        </w:rPr>
        <w:t xml:space="preserve"> </w:t>
      </w:r>
      <w:r>
        <w:rPr>
          <w:sz w:val="24"/>
          <w:szCs w:val="24"/>
        </w:rPr>
        <w:t>The NESHAP requires capital costs associated with performance tests, monitoring equipment,</w:t>
      </w:r>
      <w:r>
        <w:rPr>
          <w:sz w:val="24"/>
          <w:szCs w:val="24"/>
        </w:rPr>
        <w:t xml:space="preserve"> and water sampling and analyses. The total cost for these capital expenditures is $632,823 for existing and new sources.</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Operation and maintenance (O&amp;M) costs for existing and new sources are associated with the cost of materials for temperature monitor</w:t>
      </w:r>
      <w:r>
        <w:rPr>
          <w:sz w:val="24"/>
          <w:szCs w:val="24"/>
        </w:rPr>
        <w:t>ing systems and bag leak detection systems, labor costs for updating maintenance plans and conducting inspections, and the cost of operating monitoring equipment. The total estimated cost is $28,787/yr.</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i/>
          <w:iCs/>
          <w:sz w:val="24"/>
          <w:szCs w:val="24"/>
        </w:rPr>
        <w:tab/>
        <w:t>(iii) Annualizing Capital Costs.</w:t>
      </w:r>
      <w:r>
        <w:rPr>
          <w:b/>
          <w:bCs/>
          <w:sz w:val="24"/>
          <w:szCs w:val="24"/>
        </w:rPr>
        <w:t xml:space="preserve"> </w:t>
      </w:r>
      <w:r>
        <w:rPr>
          <w:color w:val="000000"/>
          <w:sz w:val="24"/>
          <w:szCs w:val="24"/>
        </w:rPr>
        <w:t>Annualized costs a</w:t>
      </w:r>
      <w:r>
        <w:rPr>
          <w:color w:val="000000"/>
          <w:sz w:val="24"/>
          <w:szCs w:val="24"/>
        </w:rPr>
        <w:t xml:space="preserve">re calculated by multiplying the capital recovery factor by the annual capital cost. The capital recovery factor is 0.1098 based on an </w:t>
      </w:r>
      <w:r>
        <w:rPr>
          <w:color w:val="000000"/>
          <w:sz w:val="24"/>
          <w:szCs w:val="24"/>
        </w:rPr>
        <w:lastRenderedPageBreak/>
        <w:t>interest rate of 7 percent and</w:t>
      </w:r>
      <w:r>
        <w:rPr>
          <w:sz w:val="24"/>
          <w:szCs w:val="24"/>
        </w:rPr>
        <w:t xml:space="preserve"> </w:t>
      </w:r>
      <w:r>
        <w:rPr>
          <w:color w:val="000000"/>
          <w:sz w:val="24"/>
          <w:szCs w:val="24"/>
        </w:rPr>
        <w:t>an assumed equipment life of 15 years. The total annualized capital cost is $69,484.</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(c)</w:t>
      </w:r>
      <w:r>
        <w:rPr>
          <w:i/>
          <w:iCs/>
          <w:sz w:val="24"/>
          <w:szCs w:val="24"/>
        </w:rPr>
        <w:tab/>
      </w:r>
      <w:r>
        <w:rPr>
          <w:i/>
          <w:iCs/>
          <w:sz w:val="24"/>
          <w:szCs w:val="24"/>
        </w:rPr>
        <w:t>Estimating Agency Burden and Cost.</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rPr>
          <w:sz w:val="24"/>
          <w:szCs w:val="24"/>
        </w:rPr>
      </w:pPr>
      <w:r>
        <w:rPr>
          <w:sz w:val="24"/>
          <w:szCs w:val="24"/>
        </w:rPr>
        <w:tab/>
        <w:t xml:space="preserve">Because the information collection requirements were developed as an incidental part of standards development, no costs can be attributed to the development of the information collection requirements. Because reporting </w:t>
      </w:r>
      <w:r>
        <w:rPr>
          <w:sz w:val="24"/>
          <w:szCs w:val="24"/>
        </w:rPr>
        <w:t>and recordkeeping requirements on the part of the respondents are required under the operating permits rules in 40 CFR part 70 or part 71 and the part 63 NESHAP General Provisions, no operational costs would be incurred by the Federal Government. Publicati</w:t>
      </w:r>
      <w:r>
        <w:rPr>
          <w:sz w:val="24"/>
          <w:szCs w:val="24"/>
        </w:rPr>
        <w:t>on and distribution of the information are part of the Compliance Data System, with the result that no Federal costs can be directly attributed to the ICR. Examination of records to be maintained by the respondents will occur incidentally as part of the pe</w:t>
      </w:r>
      <w:r>
        <w:rPr>
          <w:sz w:val="24"/>
          <w:szCs w:val="24"/>
        </w:rPr>
        <w:t>riodic inspection of sources that is part of EPA's overall compliance and enforcement program, and, therefore, is not attributable to the ICR. The only costs that the Federal government would incur are user costs associated with the analysis of the reporte</w:t>
      </w:r>
      <w:r>
        <w:rPr>
          <w:sz w:val="24"/>
          <w:szCs w:val="24"/>
        </w:rPr>
        <w:t>d information, as presented in Table 2.</w:t>
      </w:r>
    </w:p>
    <w:p w:rsidR="00000000" w:rsidRDefault="00323237">
      <w:pPr>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The Agency labor rates are from the Office of Personnel Management (OPM) 2007 General Schedule which excludes locality rates of pay. These rates can be obtained from Salary Table 2007-GS, available on the OPM websi</w:t>
      </w:r>
      <w:r>
        <w:rPr>
          <w:sz w:val="24"/>
          <w:szCs w:val="24"/>
        </w:rPr>
        <w:t xml:space="preserve">te at </w:t>
      </w:r>
      <w:hyperlink r:id="rId8" w:history="1">
        <w:r>
          <w:rPr>
            <w:rStyle w:val="Hyperlink"/>
            <w:sz w:val="24"/>
            <w:szCs w:val="24"/>
          </w:rPr>
          <w:t>www.opm.gov/oca/0</w:t>
        </w:r>
        <w:r>
          <w:rPr>
            <w:rStyle w:val="Hyperlink"/>
            <w:sz w:val="24"/>
            <w:szCs w:val="24"/>
          </w:rPr>
          <w:t>7</w:t>
        </w:r>
        <w:r>
          <w:rPr>
            <w:rStyle w:val="Hyperlink"/>
            <w:sz w:val="24"/>
            <w:szCs w:val="24"/>
          </w:rPr>
          <w:t>t</w:t>
        </w:r>
        <w:r>
          <w:rPr>
            <w:rStyle w:val="Hyperlink"/>
            <w:sz w:val="24"/>
            <w:szCs w:val="24"/>
          </w:rPr>
          <w:t>ables/html/gs_h.asp</w:t>
        </w:r>
      </w:hyperlink>
      <w:r>
        <w:rPr>
          <w:sz w:val="24"/>
          <w:szCs w:val="24"/>
        </w:rPr>
        <w:t>. The government employee labor rates are $14.60 per hour for clerical (GS-6, Step 3), $26.98 for technical (GS-12, Step 1), and $36.36 for manageria</w:t>
      </w:r>
      <w:r>
        <w:rPr>
          <w:sz w:val="24"/>
          <w:szCs w:val="24"/>
        </w:rPr>
        <w:t>l (GS-13, Step 5). These rates were increased by 60 percent to include fringe benefits and overhead. The fully-burdened wage rates used to represent Agency labor costs are: clerical at $23.36, technical at $43.17, and managerial at $58.18.</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(d)</w:t>
      </w:r>
      <w:r>
        <w:rPr>
          <w:i/>
          <w:iCs/>
          <w:sz w:val="24"/>
          <w:szCs w:val="24"/>
        </w:rPr>
        <w:tab/>
        <w:t xml:space="preserve">Estimating </w:t>
      </w:r>
      <w:r>
        <w:rPr>
          <w:i/>
          <w:iCs/>
          <w:sz w:val="24"/>
          <w:szCs w:val="24"/>
        </w:rPr>
        <w:t>the Respondent Universe and Total Burden and Costs.</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Approximately 452 chemical manufacturing area sources are currently subject to the regulation. Twenty seven new sources are estimated during the next 3 years.</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While all 452 of the existing facilities </w:t>
      </w:r>
      <w:r>
        <w:rPr>
          <w:sz w:val="24"/>
          <w:szCs w:val="24"/>
        </w:rPr>
        <w:t>could make use of the new affirmative defense provisions added to the rule, EPA estimates only two total instances of the use of these provisions over the three year ICR period. Consequently, the average annual number of Chemical Manufacturing Area Sources</w:t>
      </w:r>
      <w:r>
        <w:rPr>
          <w:sz w:val="24"/>
          <w:szCs w:val="24"/>
        </w:rPr>
        <w:t xml:space="preserve"> facility respondents during the 3-year period of this ICR is 2.</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The total annual number of responses for the monitoring, recordkeeping, and reporting requirements in subpart VVVVVV is 1,213. This number is calculated by summing the product of columns B </w:t>
      </w:r>
      <w:r>
        <w:rPr>
          <w:sz w:val="24"/>
          <w:szCs w:val="24"/>
        </w:rPr>
        <w:t xml:space="preserve">and D for each of the activities listed in Table 1. </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The total annual labor costs are $806,864. Details upon which this estimate is based appear in Table 1.</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br w:type="page"/>
      </w:r>
      <w:r>
        <w:rPr>
          <w:i/>
          <w:iCs/>
          <w:sz w:val="24"/>
          <w:szCs w:val="24"/>
        </w:rPr>
        <w:lastRenderedPageBreak/>
        <w:t>(e)</w:t>
      </w:r>
      <w:r>
        <w:rPr>
          <w:i/>
          <w:iCs/>
          <w:sz w:val="24"/>
          <w:szCs w:val="24"/>
        </w:rPr>
        <w:tab/>
        <w:t>Bottom Line Burden Hours Burden Hours and Cost Tables.</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Pr>
          <w:i/>
          <w:iCs/>
          <w:sz w:val="24"/>
          <w:szCs w:val="24"/>
        </w:rPr>
        <w:t>(</w:t>
      </w:r>
      <w:proofErr w:type="spellStart"/>
      <w:r>
        <w:rPr>
          <w:i/>
          <w:iCs/>
          <w:sz w:val="24"/>
          <w:szCs w:val="24"/>
        </w:rPr>
        <w:t>i</w:t>
      </w:r>
      <w:proofErr w:type="spellEnd"/>
      <w:r>
        <w:rPr>
          <w:i/>
          <w:iCs/>
          <w:sz w:val="24"/>
          <w:szCs w:val="24"/>
        </w:rPr>
        <w:t>) Respondent Tally.</w:t>
      </w:r>
      <w:r>
        <w:rPr>
          <w:sz w:val="24"/>
          <w:szCs w:val="24"/>
        </w:rPr>
        <w:t xml:space="preserve"> The bottom l</w:t>
      </w:r>
      <w:r>
        <w:rPr>
          <w:sz w:val="24"/>
          <w:szCs w:val="24"/>
        </w:rPr>
        <w:t>ine respondent burden hours and costs, presented in Table 1 are calculated by adding person-hours per year down each column for technical, managerial, and clerical staff, and by adding down the cost column.</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The average annual burden for the monitoring, r</w:t>
      </w:r>
      <w:r>
        <w:rPr>
          <w:sz w:val="24"/>
          <w:szCs w:val="24"/>
        </w:rPr>
        <w:t>ecordkeeping, and reporting requirements in subpart VVVVVV is 10,586 hours, with annual labor costs of $806,864, annualized capital costs of $69,484, and annualized O&amp;M costs of $28,787.</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Pr>
          <w:i/>
          <w:iCs/>
          <w:sz w:val="24"/>
          <w:szCs w:val="24"/>
        </w:rPr>
        <w:t>(ii) The Agency Tally.</w:t>
      </w:r>
      <w:r>
        <w:rPr>
          <w:sz w:val="24"/>
          <w:szCs w:val="24"/>
        </w:rPr>
        <w:t xml:space="preserve"> The average annual Federal Government cost f</w:t>
      </w:r>
      <w:r>
        <w:rPr>
          <w:sz w:val="24"/>
          <w:szCs w:val="24"/>
        </w:rPr>
        <w:t xml:space="preserve">or labor and travel costs is $39,417 for 831 hours for subpart VVVVVV. The bottom line Agency burden hours and costs presented in Table 2 are calculated by adding person-hours per year down each column for technical, managerial, and clerical staff, and by </w:t>
      </w:r>
      <w:r>
        <w:rPr>
          <w:sz w:val="24"/>
          <w:szCs w:val="24"/>
        </w:rPr>
        <w:t>adding down the cost column.</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Pr>
          <w:i/>
          <w:iCs/>
          <w:sz w:val="24"/>
          <w:szCs w:val="24"/>
        </w:rPr>
        <w:t>(iii) Variations in the Annual Bottom Line.</w:t>
      </w:r>
      <w:r>
        <w:rPr>
          <w:sz w:val="24"/>
          <w:szCs w:val="24"/>
        </w:rPr>
        <w:t xml:space="preserve"> This section does not apply since no significant variation is anticipated.</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(f)</w:t>
      </w:r>
      <w:r>
        <w:rPr>
          <w:i/>
          <w:iCs/>
          <w:sz w:val="24"/>
          <w:szCs w:val="24"/>
        </w:rPr>
        <w:tab/>
        <w:t>Reasons for Change in Burden.</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The increase in burden from the most recently approved ICR is due to </w:t>
      </w:r>
      <w:r>
        <w:rPr>
          <w:sz w:val="24"/>
          <w:szCs w:val="24"/>
        </w:rPr>
        <w:t>adjustment in the types of information which must be collected. There are additional reporting requirements for affirmative defense (optional).</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br/>
      </w:r>
      <w:r>
        <w:rPr>
          <w:sz w:val="24"/>
          <w:szCs w:val="24"/>
        </w:rPr>
        <w:tab/>
        <w:t>EPA provides an adjustment to this ICR that estimates the costs of the notification, recordkeeping and reporti</w:t>
      </w:r>
      <w:r>
        <w:rPr>
          <w:sz w:val="24"/>
          <w:szCs w:val="24"/>
        </w:rPr>
        <w:t>ng requirements associated with the assertion of the affirmative defense. EPA’s estimate for the required notification, reports and records, including the root cause analysis, associated with a single incident totals approximately $2,188 and is based on th</w:t>
      </w:r>
      <w:r>
        <w:rPr>
          <w:sz w:val="24"/>
          <w:szCs w:val="24"/>
        </w:rPr>
        <w:t>e time and effort required of a source to review relevant data, interview plant employees, and document the events surrounding a malfunction that has caused an exceedance of an emission limit. The estimate also includes time to produce and retain the recor</w:t>
      </w:r>
      <w:r>
        <w:rPr>
          <w:sz w:val="24"/>
          <w:szCs w:val="24"/>
        </w:rPr>
        <w:t xml:space="preserve">ds and reports for submission to EPA. For the purpose of estimating the annual burden, EPA is attributing a total of 2 instances of affirmative defense over a three year period across all sources in the category. EPA is using this frequency of 2 events in </w:t>
      </w:r>
      <w:r>
        <w:rPr>
          <w:sz w:val="24"/>
          <w:szCs w:val="24"/>
        </w:rPr>
        <w:t xml:space="preserve">three years because, of the number of excess emission events reported by source operators, only a small number would be expected to result from a malfunction, and only a subset of excess emissions caused by malfunctions would result in the source choosing </w:t>
      </w:r>
      <w:r>
        <w:rPr>
          <w:sz w:val="24"/>
          <w:szCs w:val="24"/>
        </w:rPr>
        <w:t>to assert the affirmative defense. Thus, we believe the number of instances in which source operators might be expected to avail themselves of the affirmative defense will be extremely small.</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(g)</w:t>
      </w:r>
      <w:r>
        <w:rPr>
          <w:i/>
          <w:iCs/>
          <w:sz w:val="24"/>
          <w:szCs w:val="24"/>
        </w:rPr>
        <w:tab/>
        <w:t>Burden Statement.</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The annual public reporting and recordk</w:t>
      </w:r>
      <w:r>
        <w:rPr>
          <w:sz w:val="24"/>
          <w:szCs w:val="24"/>
        </w:rPr>
        <w:t xml:space="preserve">eeping burden for this collection of information is estimated to average </w:t>
      </w:r>
      <w:r w:rsidR="0062184A">
        <w:rPr>
          <w:sz w:val="24"/>
          <w:szCs w:val="24"/>
        </w:rPr>
        <w:t>9</w:t>
      </w:r>
      <w:r>
        <w:rPr>
          <w:sz w:val="24"/>
          <w:szCs w:val="24"/>
        </w:rPr>
        <w:t xml:space="preserve"> hours per response. Burden means the total time, effort, or financial resources expended by persons to generate, maintain, retain, or disclose or provide information to or for a F</w:t>
      </w:r>
      <w:r>
        <w:rPr>
          <w:sz w:val="24"/>
          <w:szCs w:val="24"/>
        </w:rPr>
        <w:t xml:space="preserve">ederal agency. This includes the time needed to review instructions; develop, </w:t>
      </w:r>
      <w:r>
        <w:rPr>
          <w:sz w:val="24"/>
          <w:szCs w:val="24"/>
        </w:rPr>
        <w:lastRenderedPageBreak/>
        <w:t>acquire, install, and utilize technology and systems for the purposes of collecting, validating, and verifying information, processing and maintaining information, and disclosing</w:t>
      </w:r>
      <w:r>
        <w:rPr>
          <w:sz w:val="24"/>
          <w:szCs w:val="24"/>
        </w:rPr>
        <w:t xml:space="preserve"> and providing information; adjust the existing ways to comply with any previously applicable instructions and requirements; train personnel to be able to respond to a collection of information; search data sources; complete and review the collection of in</w:t>
      </w:r>
      <w:r>
        <w:rPr>
          <w:sz w:val="24"/>
          <w:szCs w:val="24"/>
        </w:rPr>
        <w:t>formation; and transmit or otherwise disclose the information.</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An agency may not conduct or sponsor, and a person is not required to respond to, a collection of information unless it displays a valid OMB Control Number. The OMB Control Numbers for EPA’s </w:t>
      </w:r>
      <w:r>
        <w:rPr>
          <w:sz w:val="24"/>
          <w:szCs w:val="24"/>
        </w:rPr>
        <w:t>regulations are listed at 40 CFR part 9 and 48 CFR chapter 15.</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To comment on the Agency's need for this information, the accuracy of the provided burden estimates, and any suggested methods for minimizing respondent burden, including the use of automated</w:t>
      </w:r>
      <w:r>
        <w:rPr>
          <w:sz w:val="24"/>
          <w:szCs w:val="24"/>
        </w:rPr>
        <w:t xml:space="preserve"> collection techniques, EPA has established a public docket for this ICR under Docket ID Number </w:t>
      </w:r>
      <w:r>
        <w:rPr>
          <w:sz w:val="24"/>
        </w:rPr>
        <w:t>EPA-HQ-OAR-2008-0334</w:t>
      </w:r>
      <w:r>
        <w:rPr>
          <w:sz w:val="24"/>
          <w:szCs w:val="24"/>
        </w:rPr>
        <w:t xml:space="preserve">. An electronic version of the public docket is available at </w:t>
      </w:r>
      <w:hyperlink r:id="rId9" w:history="1">
        <w:r>
          <w:rPr>
            <w:rStyle w:val="Hyperlink"/>
            <w:sz w:val="24"/>
            <w:szCs w:val="24"/>
          </w:rPr>
          <w:t>www.regulations.gov</w:t>
        </w:r>
      </w:hyperlink>
      <w:r>
        <w:rPr>
          <w:sz w:val="24"/>
          <w:szCs w:val="24"/>
        </w:rPr>
        <w:t xml:space="preserve"> which may be us</w:t>
      </w:r>
      <w:r>
        <w:rPr>
          <w:sz w:val="24"/>
          <w:szCs w:val="24"/>
        </w:rPr>
        <w:t>ed to obtain a copy of the draft collection of information, submit or view public comments, access the index listing of the contents of the docket, and to access those documents in the public docket that are available electronically. When in the system, se</w:t>
      </w:r>
      <w:r>
        <w:rPr>
          <w:sz w:val="24"/>
          <w:szCs w:val="24"/>
        </w:rPr>
        <w:t xml:space="preserve">lect “search,” then key in Docket ID Number </w:t>
      </w:r>
      <w:r>
        <w:rPr>
          <w:sz w:val="24"/>
        </w:rPr>
        <w:t>EPA-HQ-OAR-2008-0334</w:t>
      </w:r>
      <w:r>
        <w:rPr>
          <w:sz w:val="24"/>
          <w:szCs w:val="24"/>
        </w:rPr>
        <w:t xml:space="preserve">. The documents are also available for public viewing at the </w:t>
      </w:r>
      <w:smartTag w:uri="urn:schemas-microsoft-com:office:smarttags" w:element="place">
        <w:smartTag w:uri="urn:schemas-microsoft-com:office:smarttags" w:element="PlaceName">
          <w:r>
            <w:rPr>
              <w:sz w:val="24"/>
              <w:szCs w:val="24"/>
            </w:rPr>
            <w:t>EPA</w:t>
          </w:r>
        </w:smartTag>
        <w:r>
          <w:rPr>
            <w:sz w:val="24"/>
            <w:szCs w:val="24"/>
          </w:rPr>
          <w:t xml:space="preserve"> </w:t>
        </w:r>
        <w:smartTag w:uri="urn:schemas-microsoft-com:office:smarttags" w:element="PlaceName">
          <w:r>
            <w:rPr>
              <w:sz w:val="24"/>
              <w:szCs w:val="24"/>
            </w:rPr>
            <w:t>Docket</w:t>
          </w:r>
        </w:smartTag>
        <w:r>
          <w:rPr>
            <w:sz w:val="24"/>
            <w:szCs w:val="24"/>
          </w:rPr>
          <w:t xml:space="preserve"> </w:t>
        </w:r>
        <w:smartTag w:uri="urn:schemas-microsoft-com:office:smarttags" w:element="PlaceType">
          <w:r>
            <w:rPr>
              <w:sz w:val="24"/>
              <w:szCs w:val="24"/>
            </w:rPr>
            <w:t>Center</w:t>
          </w:r>
        </w:smartTag>
      </w:smartTag>
      <w:r>
        <w:rPr>
          <w:sz w:val="24"/>
          <w:szCs w:val="24"/>
        </w:rPr>
        <w:t xml:space="preserve">, EPA West, Room 3334, </w:t>
      </w:r>
      <w:proofErr w:type="gramStart"/>
      <w:smartTag w:uri="urn:schemas-microsoft-com:office:smarttags" w:element="address">
        <w:smartTag w:uri="urn:schemas-microsoft-com:office:smarttags" w:element="Street">
          <w:r>
            <w:rPr>
              <w:sz w:val="24"/>
              <w:szCs w:val="24"/>
            </w:rPr>
            <w:t>1301</w:t>
          </w:r>
          <w:proofErr w:type="gramEnd"/>
          <w:r>
            <w:rPr>
              <w:sz w:val="24"/>
              <w:szCs w:val="24"/>
            </w:rPr>
            <w:t xml:space="preserve"> Constitution Avenue, NW</w:t>
          </w:r>
        </w:smartTag>
        <w:r>
          <w:rPr>
            <w:sz w:val="24"/>
            <w:szCs w:val="24"/>
          </w:rPr>
          <w:t xml:space="preserve">, </w:t>
        </w:r>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smartTag>
      <w:r>
        <w:rPr>
          <w:sz w:val="24"/>
          <w:szCs w:val="24"/>
        </w:rPr>
        <w:t xml:space="preserve">. The EPA Docket Center Public Reading Room is </w:t>
      </w:r>
      <w:r>
        <w:rPr>
          <w:sz w:val="24"/>
          <w:szCs w:val="24"/>
        </w:rPr>
        <w:t xml:space="preserve">open from </w:t>
      </w:r>
      <w:smartTag w:uri="urn:schemas-microsoft-com:office:smarttags" w:element="time">
        <w:smartTagPr>
          <w:attr w:name="Minute" w:val="30"/>
          <w:attr w:name="Hour" w:val="8"/>
        </w:smartTagPr>
        <w:r>
          <w:rPr>
            <w:sz w:val="24"/>
            <w:szCs w:val="24"/>
          </w:rPr>
          <w:t>8:30 a.m.</w:t>
        </w:r>
      </w:smartTag>
      <w:r>
        <w:rPr>
          <w:sz w:val="24"/>
          <w:szCs w:val="24"/>
        </w:rPr>
        <w:t xml:space="preserve"> to </w:t>
      </w:r>
      <w:smartTag w:uri="urn:schemas-microsoft-com:office:smarttags" w:element="time">
        <w:smartTagPr>
          <w:attr w:name="Minute" w:val="30"/>
          <w:attr w:name="Hour" w:val="16"/>
        </w:smartTagPr>
        <w:r>
          <w:rPr>
            <w:sz w:val="24"/>
            <w:szCs w:val="24"/>
          </w:rPr>
          <w:t>4:30 p.m.</w:t>
        </w:r>
      </w:smartTag>
      <w:r>
        <w:rPr>
          <w:sz w:val="24"/>
          <w:szCs w:val="24"/>
        </w:rPr>
        <w:t>, Monday through Friday, excluding legal holidays. The telephone number for the Reading Room is (202) 566-1744, and the telephone number for the docket center is (202) 566-1742. Send comments to the Office of Information and</w:t>
      </w:r>
      <w:r>
        <w:rPr>
          <w:sz w:val="24"/>
          <w:szCs w:val="24"/>
        </w:rPr>
        <w:t xml:space="preserve"> Regulatory Affairs, Office of Management and Budget (OMB), Attn: Desk Officer for EPA, </w:t>
      </w:r>
      <w:smartTag w:uri="urn:schemas-microsoft-com:office:smarttags" w:element="address">
        <w:smartTag w:uri="urn:schemas-microsoft-com:office:smarttags" w:element="Street">
          <w:r>
            <w:rPr>
              <w:sz w:val="24"/>
              <w:szCs w:val="24"/>
            </w:rPr>
            <w:t>725 17th St., NW</w:t>
          </w:r>
        </w:smartTag>
        <w:r>
          <w:rPr>
            <w:sz w:val="24"/>
            <w:szCs w:val="24"/>
          </w:rPr>
          <w:t xml:space="preserve">, </w:t>
        </w:r>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r>
          <w:rPr>
            <w:sz w:val="24"/>
            <w:szCs w:val="24"/>
          </w:rPr>
          <w:t xml:space="preserve"> </w:t>
        </w:r>
        <w:smartTag w:uri="urn:schemas-microsoft-com:office:smarttags" w:element="PostalCode">
          <w:r>
            <w:rPr>
              <w:sz w:val="24"/>
              <w:szCs w:val="24"/>
            </w:rPr>
            <w:t>20503</w:t>
          </w:r>
        </w:smartTag>
      </w:smartTag>
      <w:r>
        <w:rPr>
          <w:sz w:val="24"/>
          <w:szCs w:val="24"/>
        </w:rPr>
        <w:t xml:space="preserve">. Please include the EPA Docket ID Number </w:t>
      </w:r>
      <w:r>
        <w:rPr>
          <w:sz w:val="24"/>
        </w:rPr>
        <w:t>EPA-HQ-OAR-2008-0334</w:t>
      </w:r>
      <w:r>
        <w:rPr>
          <w:sz w:val="24"/>
          <w:szCs w:val="24"/>
        </w:rPr>
        <w:t xml:space="preserve"> and OMB Control Number 2060-0621 in any correspondence.</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 xml:space="preserve">Part B of </w:t>
      </w:r>
      <w:r>
        <w:rPr>
          <w:b/>
          <w:bCs/>
          <w:sz w:val="24"/>
          <w:szCs w:val="24"/>
        </w:rPr>
        <w:t>the Supporting Statement</w:t>
      </w:r>
    </w:p>
    <w:p w:rsidR="00000000" w:rsidRDefault="00323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323237">
      <w:pPr>
        <w:rPr>
          <w:sz w:val="24"/>
          <w:szCs w:val="24"/>
        </w:rPr>
      </w:pPr>
      <w:r>
        <w:rPr>
          <w:sz w:val="24"/>
          <w:szCs w:val="24"/>
        </w:rPr>
        <w:tab/>
        <w:t>This part is not applicable because statistical methods are not used in data collection associated with the rule.</w:t>
      </w:r>
    </w:p>
    <w:p w:rsidR="00000000" w:rsidRDefault="00323237">
      <w:pPr>
        <w:rPr>
          <w:sz w:val="24"/>
          <w:szCs w:val="24"/>
        </w:rPr>
      </w:pPr>
    </w:p>
    <w:p w:rsidR="00000000" w:rsidRDefault="00323237">
      <w:pPr>
        <w:rPr>
          <w:sz w:val="24"/>
          <w:szCs w:val="24"/>
        </w:rPr>
        <w:sectPr w:rsidR="00000000">
          <w:headerReference w:type="even" r:id="rId10"/>
          <w:headerReference w:type="default" r:id="rId11"/>
          <w:footerReference w:type="even" r:id="rId12"/>
          <w:pgSz w:w="12240" w:h="15840" w:code="1"/>
          <w:pgMar w:top="1440" w:right="1440" w:bottom="1440" w:left="1440" w:header="1008" w:footer="0" w:gutter="0"/>
          <w:cols w:space="720"/>
          <w:titlePg/>
          <w:docGrid w:linePitch="360"/>
        </w:sectPr>
      </w:pPr>
    </w:p>
    <w:p w:rsidR="00000000" w:rsidRDefault="00323237">
      <w:pPr>
        <w:rPr>
          <w:b/>
          <w:bCs/>
          <w:sz w:val="24"/>
          <w:szCs w:val="24"/>
        </w:rPr>
      </w:pPr>
      <w:proofErr w:type="gramStart"/>
      <w:r>
        <w:rPr>
          <w:b/>
          <w:bCs/>
          <w:sz w:val="24"/>
          <w:szCs w:val="24"/>
        </w:rPr>
        <w:lastRenderedPageBreak/>
        <w:t>Table 1.</w:t>
      </w:r>
      <w:proofErr w:type="gramEnd"/>
      <w:r>
        <w:rPr>
          <w:b/>
          <w:bCs/>
          <w:sz w:val="24"/>
          <w:szCs w:val="24"/>
        </w:rPr>
        <w:t xml:space="preserve">  Annual Respondent Burden and Cost— NESHAP for Chemical Manufacturing Area Sources</w:t>
      </w:r>
    </w:p>
    <w:p w:rsidR="00000000" w:rsidRDefault="00323237">
      <w:pPr>
        <w:rPr>
          <w:sz w:val="24"/>
          <w:szCs w:val="24"/>
        </w:rPr>
      </w:pPr>
    </w:p>
    <w:p w:rsidR="00000000" w:rsidRDefault="00323237"/>
    <w:tbl>
      <w:tblPr>
        <w:tblW w:w="5000" w:type="pct"/>
        <w:tblLook w:val="0000"/>
      </w:tblPr>
      <w:tblGrid>
        <w:gridCol w:w="5131"/>
        <w:gridCol w:w="1094"/>
        <w:gridCol w:w="1495"/>
        <w:gridCol w:w="1401"/>
        <w:gridCol w:w="1240"/>
        <w:gridCol w:w="1130"/>
        <w:gridCol w:w="1261"/>
        <w:gridCol w:w="1024"/>
        <w:gridCol w:w="1416"/>
      </w:tblGrid>
      <w:tr w:rsidR="00000000">
        <w:trPr>
          <w:trHeight w:val="810"/>
        </w:trPr>
        <w:tc>
          <w:tcPr>
            <w:tcW w:w="1689" w:type="pct"/>
            <w:tcBorders>
              <w:top w:val="single" w:sz="4" w:space="0" w:color="auto"/>
              <w:left w:val="single" w:sz="4" w:space="0" w:color="auto"/>
              <w:bottom w:val="nil"/>
              <w:right w:val="single" w:sz="4" w:space="0" w:color="auto"/>
            </w:tcBorders>
            <w:shd w:val="clear" w:color="auto" w:fill="auto"/>
          </w:tcPr>
          <w:p w:rsidR="00000000" w:rsidRDefault="00323237">
            <w:pPr>
              <w:autoSpaceDE/>
              <w:autoSpaceDN/>
              <w:adjustRightInd/>
              <w:rPr>
                <w:rFonts w:ascii="Times New" w:hAnsi="Times New" w:cs="Arial"/>
                <w:color w:val="000000"/>
              </w:rPr>
            </w:pPr>
            <w:r>
              <w:rPr>
                <w:rFonts w:ascii="Times New" w:hAnsi="Times New" w:cs="Arial"/>
                <w:color w:val="000000"/>
              </w:rPr>
              <w:t> </w:t>
            </w:r>
          </w:p>
        </w:tc>
        <w:tc>
          <w:tcPr>
            <w:tcW w:w="360" w:type="pct"/>
            <w:tcBorders>
              <w:top w:val="single" w:sz="4" w:space="0" w:color="auto"/>
              <w:left w:val="nil"/>
              <w:bottom w:val="nil"/>
              <w:right w:val="single" w:sz="4" w:space="0" w:color="auto"/>
            </w:tcBorders>
            <w:shd w:val="clear" w:color="auto" w:fill="auto"/>
          </w:tcPr>
          <w:p w:rsidR="00000000" w:rsidRDefault="00323237">
            <w:pPr>
              <w:autoSpaceDE/>
              <w:autoSpaceDN/>
              <w:adjustRightInd/>
              <w:jc w:val="center"/>
              <w:rPr>
                <w:color w:val="000000"/>
              </w:rPr>
            </w:pPr>
            <w:r>
              <w:rPr>
                <w:color w:val="000000"/>
              </w:rPr>
              <w:t>Technical hours p</w:t>
            </w:r>
            <w:r>
              <w:rPr>
                <w:color w:val="000000"/>
              </w:rPr>
              <w:t>er occurrence</w:t>
            </w:r>
          </w:p>
        </w:tc>
        <w:tc>
          <w:tcPr>
            <w:tcW w:w="492" w:type="pct"/>
            <w:tcBorders>
              <w:top w:val="single" w:sz="4" w:space="0" w:color="auto"/>
              <w:left w:val="nil"/>
              <w:bottom w:val="nil"/>
              <w:right w:val="single" w:sz="4" w:space="0" w:color="auto"/>
            </w:tcBorders>
            <w:shd w:val="clear" w:color="auto" w:fill="auto"/>
          </w:tcPr>
          <w:p w:rsidR="00000000" w:rsidRDefault="00323237">
            <w:pPr>
              <w:autoSpaceDE/>
              <w:autoSpaceDN/>
              <w:adjustRightInd/>
              <w:jc w:val="center"/>
              <w:rPr>
                <w:color w:val="000000"/>
              </w:rPr>
            </w:pPr>
            <w:r>
              <w:rPr>
                <w:color w:val="000000"/>
              </w:rPr>
              <w:t>Occurrences/ respondent/year</w:t>
            </w:r>
          </w:p>
        </w:tc>
        <w:tc>
          <w:tcPr>
            <w:tcW w:w="461" w:type="pct"/>
            <w:tcBorders>
              <w:top w:val="single" w:sz="4" w:space="0" w:color="auto"/>
              <w:left w:val="nil"/>
              <w:bottom w:val="nil"/>
              <w:right w:val="single" w:sz="4" w:space="0" w:color="auto"/>
            </w:tcBorders>
            <w:shd w:val="clear" w:color="auto" w:fill="auto"/>
          </w:tcPr>
          <w:p w:rsidR="00000000" w:rsidRDefault="00323237">
            <w:pPr>
              <w:autoSpaceDE/>
              <w:autoSpaceDN/>
              <w:adjustRightInd/>
              <w:jc w:val="center"/>
              <w:rPr>
                <w:color w:val="000000"/>
              </w:rPr>
            </w:pPr>
            <w:r>
              <w:rPr>
                <w:color w:val="000000"/>
              </w:rPr>
              <w:t>Technical hours/ respondent/ year</w:t>
            </w:r>
          </w:p>
        </w:tc>
        <w:tc>
          <w:tcPr>
            <w:tcW w:w="408" w:type="pct"/>
            <w:tcBorders>
              <w:top w:val="single" w:sz="4" w:space="0" w:color="auto"/>
              <w:left w:val="nil"/>
              <w:bottom w:val="nil"/>
              <w:right w:val="single" w:sz="4" w:space="0" w:color="auto"/>
            </w:tcBorders>
            <w:shd w:val="clear" w:color="auto" w:fill="auto"/>
          </w:tcPr>
          <w:p w:rsidR="00000000" w:rsidRDefault="00323237">
            <w:pPr>
              <w:autoSpaceDE/>
              <w:autoSpaceDN/>
              <w:adjustRightInd/>
              <w:jc w:val="center"/>
              <w:rPr>
                <w:color w:val="000000"/>
              </w:rPr>
            </w:pPr>
            <w:r>
              <w:rPr>
                <w:color w:val="000000"/>
              </w:rPr>
              <w:t xml:space="preserve">Respondents per </w:t>
            </w:r>
            <w:proofErr w:type="spellStart"/>
            <w:r>
              <w:rPr>
                <w:color w:val="000000"/>
              </w:rPr>
              <w:t>year</w:t>
            </w:r>
            <w:r>
              <w:rPr>
                <w:color w:val="000000"/>
                <w:vertAlign w:val="superscript"/>
              </w:rPr>
              <w:t>a</w:t>
            </w:r>
            <w:proofErr w:type="spellEnd"/>
          </w:p>
        </w:tc>
        <w:tc>
          <w:tcPr>
            <w:tcW w:w="372" w:type="pct"/>
            <w:tcBorders>
              <w:top w:val="single" w:sz="4" w:space="0" w:color="auto"/>
              <w:left w:val="nil"/>
              <w:bottom w:val="nil"/>
              <w:right w:val="single" w:sz="4" w:space="0" w:color="auto"/>
            </w:tcBorders>
            <w:shd w:val="clear" w:color="auto" w:fill="auto"/>
          </w:tcPr>
          <w:p w:rsidR="00000000" w:rsidRDefault="00323237">
            <w:pPr>
              <w:autoSpaceDE/>
              <w:autoSpaceDN/>
              <w:adjustRightInd/>
              <w:jc w:val="center"/>
              <w:rPr>
                <w:color w:val="000000"/>
              </w:rPr>
            </w:pPr>
            <w:r>
              <w:rPr>
                <w:color w:val="000000"/>
              </w:rPr>
              <w:t>Total technical hours per year</w:t>
            </w:r>
          </w:p>
        </w:tc>
        <w:tc>
          <w:tcPr>
            <w:tcW w:w="415" w:type="pct"/>
            <w:tcBorders>
              <w:top w:val="single" w:sz="4" w:space="0" w:color="auto"/>
              <w:left w:val="nil"/>
              <w:bottom w:val="nil"/>
              <w:right w:val="single" w:sz="4" w:space="0" w:color="auto"/>
            </w:tcBorders>
            <w:shd w:val="clear" w:color="auto" w:fill="auto"/>
          </w:tcPr>
          <w:p w:rsidR="00000000" w:rsidRDefault="00323237">
            <w:pPr>
              <w:autoSpaceDE/>
              <w:autoSpaceDN/>
              <w:adjustRightInd/>
              <w:jc w:val="center"/>
              <w:rPr>
                <w:color w:val="000000"/>
              </w:rPr>
            </w:pPr>
            <w:r>
              <w:rPr>
                <w:color w:val="000000"/>
              </w:rPr>
              <w:t>Management hours per year</w:t>
            </w:r>
          </w:p>
        </w:tc>
        <w:tc>
          <w:tcPr>
            <w:tcW w:w="337" w:type="pct"/>
            <w:tcBorders>
              <w:top w:val="single" w:sz="4" w:space="0" w:color="auto"/>
              <w:left w:val="nil"/>
              <w:bottom w:val="nil"/>
              <w:right w:val="single" w:sz="4" w:space="0" w:color="auto"/>
            </w:tcBorders>
            <w:shd w:val="clear" w:color="auto" w:fill="auto"/>
          </w:tcPr>
          <w:p w:rsidR="00000000" w:rsidRDefault="00323237">
            <w:pPr>
              <w:autoSpaceDE/>
              <w:autoSpaceDN/>
              <w:adjustRightInd/>
              <w:jc w:val="center"/>
              <w:rPr>
                <w:color w:val="000000"/>
              </w:rPr>
            </w:pPr>
            <w:r>
              <w:rPr>
                <w:color w:val="000000"/>
              </w:rPr>
              <w:t>Clerical hours per year</w:t>
            </w:r>
          </w:p>
        </w:tc>
        <w:tc>
          <w:tcPr>
            <w:tcW w:w="466" w:type="pct"/>
            <w:tcBorders>
              <w:top w:val="single" w:sz="4" w:space="0" w:color="auto"/>
              <w:left w:val="nil"/>
              <w:bottom w:val="nil"/>
              <w:right w:val="single" w:sz="4" w:space="0" w:color="auto"/>
            </w:tcBorders>
            <w:shd w:val="clear" w:color="auto" w:fill="auto"/>
          </w:tcPr>
          <w:p w:rsidR="00000000" w:rsidRDefault="00323237">
            <w:pPr>
              <w:autoSpaceDE/>
              <w:autoSpaceDN/>
              <w:adjustRightInd/>
              <w:jc w:val="center"/>
              <w:rPr>
                <w:color w:val="000000"/>
              </w:rPr>
            </w:pPr>
            <w:r>
              <w:rPr>
                <w:color w:val="000000"/>
              </w:rPr>
              <w:t xml:space="preserve">Cost per </w:t>
            </w:r>
            <w:proofErr w:type="spellStart"/>
            <w:r>
              <w:rPr>
                <w:color w:val="000000"/>
              </w:rPr>
              <w:t>year</w:t>
            </w:r>
            <w:r>
              <w:rPr>
                <w:color w:val="000000"/>
                <w:vertAlign w:val="superscript"/>
              </w:rPr>
              <w:t>b</w:t>
            </w:r>
            <w:proofErr w:type="spellEnd"/>
          </w:p>
        </w:tc>
      </w:tr>
      <w:tr w:rsidR="00000000">
        <w:trPr>
          <w:trHeight w:val="255"/>
        </w:trPr>
        <w:tc>
          <w:tcPr>
            <w:tcW w:w="1689" w:type="pct"/>
            <w:tcBorders>
              <w:top w:val="nil"/>
              <w:left w:val="single" w:sz="4" w:space="0" w:color="auto"/>
              <w:bottom w:val="nil"/>
              <w:right w:val="single" w:sz="4" w:space="0" w:color="auto"/>
            </w:tcBorders>
            <w:shd w:val="clear" w:color="auto" w:fill="auto"/>
          </w:tcPr>
          <w:p w:rsidR="00000000" w:rsidRDefault="00323237">
            <w:pPr>
              <w:autoSpaceDE/>
              <w:autoSpaceDN/>
              <w:adjustRightInd/>
              <w:rPr>
                <w:rFonts w:ascii="Times New" w:hAnsi="Times New" w:cs="Arial"/>
                <w:color w:val="000000"/>
              </w:rPr>
            </w:pPr>
            <w:r>
              <w:rPr>
                <w:rFonts w:ascii="Times New" w:hAnsi="Times New" w:cs="Arial"/>
                <w:color w:val="000000"/>
              </w:rPr>
              <w:t> </w:t>
            </w:r>
          </w:p>
        </w:tc>
        <w:tc>
          <w:tcPr>
            <w:tcW w:w="360"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rPr>
                <w:color w:val="000000"/>
              </w:rPr>
            </w:pPr>
            <w:r>
              <w:rPr>
                <w:color w:val="000000"/>
              </w:rPr>
              <w:t>(A)</w:t>
            </w:r>
          </w:p>
        </w:tc>
        <w:tc>
          <w:tcPr>
            <w:tcW w:w="492"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rPr>
                <w:color w:val="000000"/>
              </w:rPr>
            </w:pPr>
            <w:r>
              <w:rPr>
                <w:color w:val="000000"/>
              </w:rPr>
              <w:t>(B)</w:t>
            </w:r>
          </w:p>
        </w:tc>
        <w:tc>
          <w:tcPr>
            <w:tcW w:w="461" w:type="pct"/>
            <w:tcBorders>
              <w:top w:val="nil"/>
              <w:left w:val="nil"/>
              <w:bottom w:val="nil"/>
              <w:right w:val="single" w:sz="4" w:space="0" w:color="auto"/>
            </w:tcBorders>
            <w:shd w:val="clear" w:color="auto" w:fill="auto"/>
          </w:tcPr>
          <w:p w:rsidR="00000000" w:rsidRDefault="00323237">
            <w:pPr>
              <w:autoSpaceDE/>
              <w:autoSpaceDN/>
              <w:adjustRightInd/>
              <w:jc w:val="center"/>
              <w:rPr>
                <w:color w:val="000000"/>
              </w:rPr>
            </w:pPr>
            <w:r>
              <w:rPr>
                <w:color w:val="000000"/>
              </w:rPr>
              <w:t>(C = A * B)</w:t>
            </w:r>
          </w:p>
        </w:tc>
        <w:tc>
          <w:tcPr>
            <w:tcW w:w="408" w:type="pct"/>
            <w:tcBorders>
              <w:top w:val="nil"/>
              <w:left w:val="nil"/>
              <w:bottom w:val="nil"/>
              <w:right w:val="single" w:sz="4" w:space="0" w:color="auto"/>
            </w:tcBorders>
            <w:shd w:val="clear" w:color="auto" w:fill="auto"/>
          </w:tcPr>
          <w:p w:rsidR="00000000" w:rsidRDefault="00323237">
            <w:pPr>
              <w:autoSpaceDE/>
              <w:autoSpaceDN/>
              <w:adjustRightInd/>
              <w:jc w:val="center"/>
              <w:rPr>
                <w:color w:val="000000"/>
              </w:rPr>
            </w:pPr>
            <w:r>
              <w:rPr>
                <w:color w:val="000000"/>
              </w:rPr>
              <w:t>(D)</w:t>
            </w:r>
          </w:p>
        </w:tc>
        <w:tc>
          <w:tcPr>
            <w:tcW w:w="372" w:type="pct"/>
            <w:tcBorders>
              <w:top w:val="nil"/>
              <w:left w:val="nil"/>
              <w:bottom w:val="nil"/>
              <w:right w:val="single" w:sz="4" w:space="0" w:color="auto"/>
            </w:tcBorders>
            <w:shd w:val="clear" w:color="auto" w:fill="auto"/>
          </w:tcPr>
          <w:p w:rsidR="00000000" w:rsidRDefault="00323237">
            <w:pPr>
              <w:autoSpaceDE/>
              <w:autoSpaceDN/>
              <w:adjustRightInd/>
              <w:jc w:val="center"/>
              <w:rPr>
                <w:color w:val="000000"/>
              </w:rPr>
            </w:pPr>
            <w:r>
              <w:rPr>
                <w:color w:val="000000"/>
              </w:rPr>
              <w:t>(E = C * D)</w:t>
            </w:r>
          </w:p>
        </w:tc>
        <w:tc>
          <w:tcPr>
            <w:tcW w:w="415" w:type="pct"/>
            <w:tcBorders>
              <w:top w:val="nil"/>
              <w:left w:val="nil"/>
              <w:bottom w:val="nil"/>
              <w:right w:val="single" w:sz="4" w:space="0" w:color="auto"/>
            </w:tcBorders>
            <w:shd w:val="clear" w:color="auto" w:fill="auto"/>
          </w:tcPr>
          <w:p w:rsidR="00000000" w:rsidRDefault="00323237">
            <w:pPr>
              <w:autoSpaceDE/>
              <w:autoSpaceDN/>
              <w:adjustRightInd/>
              <w:jc w:val="center"/>
              <w:rPr>
                <w:color w:val="000000"/>
              </w:rPr>
            </w:pPr>
            <w:r>
              <w:rPr>
                <w:color w:val="000000"/>
              </w:rPr>
              <w:t>(F = 0.05 * E)</w:t>
            </w:r>
          </w:p>
        </w:tc>
        <w:tc>
          <w:tcPr>
            <w:tcW w:w="337" w:type="pct"/>
            <w:tcBorders>
              <w:top w:val="nil"/>
              <w:left w:val="nil"/>
              <w:bottom w:val="nil"/>
              <w:right w:val="single" w:sz="4" w:space="0" w:color="auto"/>
            </w:tcBorders>
            <w:shd w:val="clear" w:color="auto" w:fill="auto"/>
          </w:tcPr>
          <w:p w:rsidR="00000000" w:rsidRDefault="00323237">
            <w:pPr>
              <w:autoSpaceDE/>
              <w:autoSpaceDN/>
              <w:adjustRightInd/>
              <w:jc w:val="center"/>
              <w:rPr>
                <w:color w:val="000000"/>
              </w:rPr>
            </w:pPr>
            <w:r>
              <w:rPr>
                <w:color w:val="000000"/>
              </w:rPr>
              <w:t>(G = 0.</w:t>
            </w:r>
            <w:r>
              <w:rPr>
                <w:color w:val="000000"/>
              </w:rPr>
              <w:t>1 * E)</w:t>
            </w:r>
          </w:p>
        </w:tc>
        <w:tc>
          <w:tcPr>
            <w:tcW w:w="466" w:type="pct"/>
            <w:tcBorders>
              <w:top w:val="nil"/>
              <w:left w:val="nil"/>
              <w:bottom w:val="nil"/>
              <w:right w:val="single" w:sz="4" w:space="0" w:color="auto"/>
            </w:tcBorders>
            <w:shd w:val="clear" w:color="auto" w:fill="auto"/>
          </w:tcPr>
          <w:p w:rsidR="00000000" w:rsidRDefault="00323237">
            <w:pPr>
              <w:autoSpaceDE/>
              <w:autoSpaceDN/>
              <w:adjustRightInd/>
              <w:jc w:val="center"/>
              <w:rPr>
                <w:color w:val="000000"/>
              </w:rPr>
            </w:pPr>
            <w:r>
              <w:rPr>
                <w:color w:val="000000"/>
              </w:rPr>
              <w:t>(H)</w:t>
            </w:r>
          </w:p>
        </w:tc>
      </w:tr>
      <w:tr w:rsidR="00000000">
        <w:trPr>
          <w:trHeight w:val="255"/>
        </w:trPr>
        <w:tc>
          <w:tcPr>
            <w:tcW w:w="1689" w:type="pct"/>
            <w:tcBorders>
              <w:top w:val="single" w:sz="4" w:space="0" w:color="auto"/>
              <w:left w:val="single" w:sz="4" w:space="0" w:color="auto"/>
              <w:bottom w:val="single" w:sz="4" w:space="0" w:color="auto"/>
              <w:right w:val="single" w:sz="4" w:space="0" w:color="auto"/>
            </w:tcBorders>
            <w:shd w:val="clear" w:color="auto" w:fill="auto"/>
          </w:tcPr>
          <w:p w:rsidR="00000000" w:rsidRDefault="00323237">
            <w:pPr>
              <w:autoSpaceDE/>
              <w:autoSpaceDN/>
              <w:adjustRightInd/>
              <w:rPr>
                <w:color w:val="000000"/>
              </w:rPr>
            </w:pPr>
            <w:r>
              <w:rPr>
                <w:color w:val="000000"/>
              </w:rPr>
              <w:t>1.  APPLICATIONS</w:t>
            </w:r>
          </w:p>
        </w:tc>
        <w:tc>
          <w:tcPr>
            <w:tcW w:w="360"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rPr>
                <w:color w:val="000000"/>
              </w:rPr>
            </w:pPr>
            <w:r>
              <w:rPr>
                <w:color w:val="000000"/>
              </w:rPr>
              <w:t>N/A</w:t>
            </w:r>
          </w:p>
        </w:tc>
        <w:tc>
          <w:tcPr>
            <w:tcW w:w="492"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rPr>
                <w:color w:val="000000"/>
              </w:rPr>
            </w:pPr>
            <w:r>
              <w:rPr>
                <w:color w:val="000000"/>
              </w:rPr>
              <w:t> </w:t>
            </w:r>
          </w:p>
        </w:tc>
        <w:tc>
          <w:tcPr>
            <w:tcW w:w="461" w:type="pct"/>
            <w:tcBorders>
              <w:top w:val="single" w:sz="4" w:space="0" w:color="auto"/>
              <w:left w:val="nil"/>
              <w:bottom w:val="single" w:sz="4" w:space="0" w:color="auto"/>
              <w:right w:val="single" w:sz="4" w:space="0" w:color="auto"/>
            </w:tcBorders>
            <w:shd w:val="clear" w:color="auto" w:fill="auto"/>
          </w:tcPr>
          <w:p w:rsidR="00000000" w:rsidRDefault="00323237">
            <w:pPr>
              <w:autoSpaceDE/>
              <w:autoSpaceDN/>
              <w:adjustRightInd/>
              <w:jc w:val="center"/>
              <w:rPr>
                <w:color w:val="000000"/>
              </w:rPr>
            </w:pPr>
            <w:r>
              <w:rPr>
                <w:color w:val="000000"/>
              </w:rPr>
              <w:t> </w:t>
            </w:r>
          </w:p>
        </w:tc>
        <w:tc>
          <w:tcPr>
            <w:tcW w:w="408" w:type="pct"/>
            <w:tcBorders>
              <w:top w:val="single" w:sz="4" w:space="0" w:color="auto"/>
              <w:left w:val="nil"/>
              <w:bottom w:val="single" w:sz="4" w:space="0" w:color="auto"/>
              <w:right w:val="single" w:sz="4" w:space="0" w:color="auto"/>
            </w:tcBorders>
            <w:shd w:val="clear" w:color="auto" w:fill="auto"/>
          </w:tcPr>
          <w:p w:rsidR="00000000" w:rsidRDefault="00323237">
            <w:pPr>
              <w:autoSpaceDE/>
              <w:autoSpaceDN/>
              <w:adjustRightInd/>
              <w:jc w:val="center"/>
              <w:rPr>
                <w:color w:val="000000"/>
              </w:rPr>
            </w:pPr>
            <w:r>
              <w:rPr>
                <w:color w:val="000000"/>
              </w:rPr>
              <w:t> </w:t>
            </w:r>
          </w:p>
        </w:tc>
        <w:tc>
          <w:tcPr>
            <w:tcW w:w="372" w:type="pct"/>
            <w:tcBorders>
              <w:top w:val="single" w:sz="4" w:space="0" w:color="auto"/>
              <w:left w:val="nil"/>
              <w:bottom w:val="single" w:sz="4" w:space="0" w:color="auto"/>
              <w:right w:val="single" w:sz="4" w:space="0" w:color="auto"/>
            </w:tcBorders>
            <w:shd w:val="clear" w:color="auto" w:fill="auto"/>
          </w:tcPr>
          <w:p w:rsidR="00000000" w:rsidRDefault="00323237">
            <w:pPr>
              <w:autoSpaceDE/>
              <w:autoSpaceDN/>
              <w:adjustRightInd/>
              <w:jc w:val="center"/>
              <w:rPr>
                <w:color w:val="000000"/>
              </w:rPr>
            </w:pPr>
            <w:r>
              <w:rPr>
                <w:color w:val="000000"/>
              </w:rPr>
              <w:t> </w:t>
            </w:r>
          </w:p>
        </w:tc>
        <w:tc>
          <w:tcPr>
            <w:tcW w:w="415" w:type="pct"/>
            <w:tcBorders>
              <w:top w:val="single" w:sz="4" w:space="0" w:color="auto"/>
              <w:left w:val="nil"/>
              <w:bottom w:val="single" w:sz="4" w:space="0" w:color="auto"/>
              <w:right w:val="single" w:sz="4" w:space="0" w:color="auto"/>
            </w:tcBorders>
            <w:shd w:val="clear" w:color="auto" w:fill="auto"/>
          </w:tcPr>
          <w:p w:rsidR="00000000" w:rsidRDefault="00323237">
            <w:pPr>
              <w:autoSpaceDE/>
              <w:autoSpaceDN/>
              <w:adjustRightInd/>
              <w:jc w:val="center"/>
              <w:rPr>
                <w:color w:val="000000"/>
              </w:rPr>
            </w:pPr>
            <w:r>
              <w:rPr>
                <w:color w:val="000000"/>
              </w:rPr>
              <w:t> </w:t>
            </w:r>
          </w:p>
        </w:tc>
        <w:tc>
          <w:tcPr>
            <w:tcW w:w="337" w:type="pct"/>
            <w:tcBorders>
              <w:top w:val="single" w:sz="4" w:space="0" w:color="auto"/>
              <w:left w:val="nil"/>
              <w:bottom w:val="single" w:sz="4" w:space="0" w:color="auto"/>
              <w:right w:val="single" w:sz="4" w:space="0" w:color="auto"/>
            </w:tcBorders>
            <w:shd w:val="clear" w:color="auto" w:fill="auto"/>
          </w:tcPr>
          <w:p w:rsidR="00000000" w:rsidRDefault="00323237">
            <w:pPr>
              <w:autoSpaceDE/>
              <w:autoSpaceDN/>
              <w:adjustRightInd/>
              <w:jc w:val="center"/>
              <w:rPr>
                <w:color w:val="000000"/>
              </w:rPr>
            </w:pPr>
            <w:r>
              <w:rPr>
                <w:color w:val="000000"/>
              </w:rPr>
              <w:t> </w:t>
            </w:r>
          </w:p>
        </w:tc>
        <w:tc>
          <w:tcPr>
            <w:tcW w:w="466" w:type="pct"/>
            <w:tcBorders>
              <w:top w:val="single" w:sz="4" w:space="0" w:color="auto"/>
              <w:left w:val="nil"/>
              <w:bottom w:val="single" w:sz="4" w:space="0" w:color="auto"/>
              <w:right w:val="single" w:sz="4" w:space="0" w:color="auto"/>
            </w:tcBorders>
            <w:shd w:val="clear" w:color="auto" w:fill="auto"/>
          </w:tcPr>
          <w:p w:rsidR="00000000" w:rsidRDefault="00323237">
            <w:pPr>
              <w:autoSpaceDE/>
              <w:autoSpaceDN/>
              <w:adjustRightInd/>
              <w:jc w:val="center"/>
              <w:rPr>
                <w:color w:val="000000"/>
              </w:rPr>
            </w:pPr>
            <w:r>
              <w:rPr>
                <w:color w:val="000000"/>
              </w:rPr>
              <w:t> </w:t>
            </w:r>
          </w:p>
        </w:tc>
      </w:tr>
      <w:tr w:rsidR="00000000">
        <w:trPr>
          <w:trHeight w:val="765"/>
        </w:trPr>
        <w:tc>
          <w:tcPr>
            <w:tcW w:w="1689" w:type="pct"/>
            <w:tcBorders>
              <w:top w:val="nil"/>
              <w:left w:val="single" w:sz="4" w:space="0" w:color="auto"/>
              <w:bottom w:val="single" w:sz="4" w:space="0" w:color="auto"/>
              <w:right w:val="single" w:sz="4" w:space="0" w:color="auto"/>
            </w:tcBorders>
            <w:shd w:val="clear" w:color="auto" w:fill="auto"/>
          </w:tcPr>
          <w:p w:rsidR="00000000" w:rsidRDefault="00323237">
            <w:pPr>
              <w:autoSpaceDE/>
              <w:autoSpaceDN/>
              <w:adjustRightInd/>
              <w:rPr>
                <w:color w:val="000000"/>
              </w:rPr>
            </w:pPr>
            <w:r>
              <w:rPr>
                <w:color w:val="000000"/>
              </w:rPr>
              <w:t>2.  SURVEY AND STUDIES</w:t>
            </w:r>
          </w:p>
        </w:tc>
        <w:tc>
          <w:tcPr>
            <w:tcW w:w="360" w:type="pct"/>
            <w:tcBorders>
              <w:top w:val="nil"/>
              <w:left w:val="nil"/>
              <w:bottom w:val="single" w:sz="4" w:space="0" w:color="auto"/>
              <w:right w:val="single" w:sz="4" w:space="0" w:color="auto"/>
            </w:tcBorders>
            <w:shd w:val="clear" w:color="auto" w:fill="C0C0C0"/>
          </w:tcPr>
          <w:p w:rsidR="00000000" w:rsidRDefault="00323237">
            <w:pPr>
              <w:autoSpaceDE/>
              <w:autoSpaceDN/>
              <w:adjustRightInd/>
              <w:rPr>
                <w:color w:val="000000"/>
              </w:rPr>
            </w:pPr>
            <w:r>
              <w:rPr>
                <w:color w:val="000000"/>
              </w:rPr>
              <w:t> </w:t>
            </w:r>
          </w:p>
        </w:tc>
        <w:tc>
          <w:tcPr>
            <w:tcW w:w="492" w:type="pct"/>
            <w:tcBorders>
              <w:top w:val="nil"/>
              <w:left w:val="nil"/>
              <w:bottom w:val="single" w:sz="4" w:space="0" w:color="auto"/>
              <w:right w:val="single" w:sz="4" w:space="0" w:color="auto"/>
            </w:tcBorders>
            <w:shd w:val="clear" w:color="auto" w:fill="C0C0C0"/>
          </w:tcPr>
          <w:p w:rsidR="00000000" w:rsidRDefault="00323237">
            <w:pPr>
              <w:autoSpaceDE/>
              <w:autoSpaceDN/>
              <w:adjustRightInd/>
              <w:rPr>
                <w:color w:val="000000"/>
              </w:rPr>
            </w:pPr>
            <w:r>
              <w:rPr>
                <w:color w:val="000000"/>
              </w:rPr>
              <w:t> </w:t>
            </w:r>
          </w:p>
        </w:tc>
        <w:tc>
          <w:tcPr>
            <w:tcW w:w="461" w:type="pct"/>
            <w:tcBorders>
              <w:top w:val="nil"/>
              <w:left w:val="nil"/>
              <w:bottom w:val="single" w:sz="4" w:space="0" w:color="auto"/>
              <w:right w:val="single" w:sz="4" w:space="0" w:color="auto"/>
            </w:tcBorders>
            <w:shd w:val="clear" w:color="auto" w:fill="C0C0C0"/>
          </w:tcPr>
          <w:p w:rsidR="00000000" w:rsidRDefault="00323237">
            <w:pPr>
              <w:autoSpaceDE/>
              <w:autoSpaceDN/>
              <w:adjustRightInd/>
              <w:rPr>
                <w:color w:val="000000"/>
              </w:rPr>
            </w:pPr>
            <w:r>
              <w:rPr>
                <w:color w:val="000000"/>
              </w:rPr>
              <w:t> </w:t>
            </w:r>
          </w:p>
        </w:tc>
        <w:tc>
          <w:tcPr>
            <w:tcW w:w="408" w:type="pct"/>
            <w:tcBorders>
              <w:top w:val="nil"/>
              <w:left w:val="nil"/>
              <w:bottom w:val="single" w:sz="4" w:space="0" w:color="auto"/>
              <w:right w:val="single" w:sz="4" w:space="0" w:color="auto"/>
            </w:tcBorders>
            <w:shd w:val="clear" w:color="auto" w:fill="C0C0C0"/>
          </w:tcPr>
          <w:p w:rsidR="00000000" w:rsidRDefault="00323237">
            <w:pPr>
              <w:autoSpaceDE/>
              <w:autoSpaceDN/>
              <w:adjustRightInd/>
              <w:rPr>
                <w:color w:val="000000"/>
              </w:rPr>
            </w:pPr>
            <w:r>
              <w:rPr>
                <w:color w:val="000000"/>
              </w:rPr>
              <w:t> </w:t>
            </w:r>
          </w:p>
        </w:tc>
        <w:tc>
          <w:tcPr>
            <w:tcW w:w="372" w:type="pct"/>
            <w:tcBorders>
              <w:top w:val="nil"/>
              <w:left w:val="nil"/>
              <w:bottom w:val="single" w:sz="4" w:space="0" w:color="auto"/>
              <w:right w:val="single" w:sz="4" w:space="0" w:color="auto"/>
            </w:tcBorders>
            <w:shd w:val="clear" w:color="auto" w:fill="C0C0C0"/>
          </w:tcPr>
          <w:p w:rsidR="00000000" w:rsidRDefault="00323237">
            <w:pPr>
              <w:autoSpaceDE/>
              <w:autoSpaceDN/>
              <w:adjustRightInd/>
              <w:rPr>
                <w:color w:val="000000"/>
              </w:rPr>
            </w:pPr>
            <w:r>
              <w:rPr>
                <w:color w:val="000000"/>
              </w:rPr>
              <w:t> </w:t>
            </w:r>
          </w:p>
        </w:tc>
        <w:tc>
          <w:tcPr>
            <w:tcW w:w="415" w:type="pct"/>
            <w:tcBorders>
              <w:top w:val="nil"/>
              <w:left w:val="nil"/>
              <w:bottom w:val="single" w:sz="4" w:space="0" w:color="auto"/>
              <w:right w:val="single" w:sz="4" w:space="0" w:color="auto"/>
            </w:tcBorders>
            <w:shd w:val="clear" w:color="auto" w:fill="C0C0C0"/>
          </w:tcPr>
          <w:p w:rsidR="00000000" w:rsidRDefault="00323237">
            <w:pPr>
              <w:autoSpaceDE/>
              <w:autoSpaceDN/>
              <w:adjustRightInd/>
              <w:rPr>
                <w:color w:val="000000"/>
              </w:rPr>
            </w:pPr>
            <w:r>
              <w:rPr>
                <w:color w:val="000000"/>
              </w:rPr>
              <w:t> </w:t>
            </w:r>
          </w:p>
        </w:tc>
        <w:tc>
          <w:tcPr>
            <w:tcW w:w="337" w:type="pct"/>
            <w:tcBorders>
              <w:top w:val="nil"/>
              <w:left w:val="nil"/>
              <w:bottom w:val="single" w:sz="4" w:space="0" w:color="auto"/>
              <w:right w:val="single" w:sz="4" w:space="0" w:color="auto"/>
            </w:tcBorders>
            <w:shd w:val="clear" w:color="auto" w:fill="C0C0C0"/>
          </w:tcPr>
          <w:p w:rsidR="00000000" w:rsidRDefault="00323237">
            <w:pPr>
              <w:autoSpaceDE/>
              <w:autoSpaceDN/>
              <w:adjustRightInd/>
              <w:rPr>
                <w:color w:val="000000"/>
              </w:rPr>
            </w:pPr>
            <w:r>
              <w:rPr>
                <w:color w:val="000000"/>
              </w:rPr>
              <w:t> </w:t>
            </w:r>
          </w:p>
        </w:tc>
        <w:tc>
          <w:tcPr>
            <w:tcW w:w="466" w:type="pct"/>
            <w:tcBorders>
              <w:top w:val="nil"/>
              <w:left w:val="nil"/>
              <w:bottom w:val="single" w:sz="4" w:space="0" w:color="auto"/>
              <w:right w:val="single" w:sz="4" w:space="0" w:color="auto"/>
            </w:tcBorders>
            <w:shd w:val="clear" w:color="auto" w:fill="C0C0C0"/>
          </w:tcPr>
          <w:p w:rsidR="00000000" w:rsidRDefault="00323237">
            <w:pPr>
              <w:autoSpaceDE/>
              <w:autoSpaceDN/>
              <w:adjustRightInd/>
              <w:rPr>
                <w:color w:val="000000"/>
              </w:rPr>
            </w:pPr>
            <w:r>
              <w:rPr>
                <w:color w:val="000000"/>
              </w:rPr>
              <w:t> </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tcPr>
          <w:p w:rsidR="00000000" w:rsidRDefault="00323237">
            <w:pPr>
              <w:autoSpaceDE/>
              <w:autoSpaceDN/>
              <w:adjustRightInd/>
              <w:rPr>
                <w:color w:val="000000"/>
              </w:rPr>
            </w:pPr>
            <w:r>
              <w:rPr>
                <w:color w:val="000000"/>
              </w:rPr>
              <w:t xml:space="preserve">         Heat exchange system monitoring </w:t>
            </w:r>
            <w:proofErr w:type="spellStart"/>
            <w:r>
              <w:rPr>
                <w:color w:val="000000"/>
              </w:rPr>
              <w:t>plan</w:t>
            </w:r>
            <w:r>
              <w:rPr>
                <w:color w:val="000000"/>
                <w:vertAlign w:val="superscript"/>
              </w:rPr>
              <w:t>c</w:t>
            </w:r>
            <w:proofErr w:type="spellEnd"/>
          </w:p>
        </w:tc>
        <w:tc>
          <w:tcPr>
            <w:tcW w:w="360"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40</w:t>
            </w:r>
          </w:p>
        </w:tc>
        <w:tc>
          <w:tcPr>
            <w:tcW w:w="492"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1</w:t>
            </w:r>
          </w:p>
        </w:tc>
        <w:tc>
          <w:tcPr>
            <w:tcW w:w="461"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40</w:t>
            </w:r>
          </w:p>
        </w:tc>
        <w:tc>
          <w:tcPr>
            <w:tcW w:w="408"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0</w:t>
            </w:r>
          </w:p>
        </w:tc>
        <w:tc>
          <w:tcPr>
            <w:tcW w:w="372"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0</w:t>
            </w:r>
          </w:p>
        </w:tc>
        <w:tc>
          <w:tcPr>
            <w:tcW w:w="41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0</w:t>
            </w:r>
          </w:p>
        </w:tc>
        <w:tc>
          <w:tcPr>
            <w:tcW w:w="337"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0</w:t>
            </w:r>
          </w:p>
        </w:tc>
        <w:tc>
          <w:tcPr>
            <w:tcW w:w="466"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$0</w:t>
            </w:r>
          </w:p>
        </w:tc>
      </w:tr>
      <w:tr w:rsidR="00000000">
        <w:trPr>
          <w:trHeight w:val="330"/>
        </w:trPr>
        <w:tc>
          <w:tcPr>
            <w:tcW w:w="1689" w:type="pct"/>
            <w:tcBorders>
              <w:top w:val="nil"/>
              <w:left w:val="single" w:sz="4" w:space="0" w:color="auto"/>
              <w:bottom w:val="single" w:sz="4" w:space="0" w:color="auto"/>
              <w:right w:val="single" w:sz="4" w:space="0" w:color="auto"/>
            </w:tcBorders>
            <w:shd w:val="clear" w:color="auto" w:fill="auto"/>
            <w:noWrap/>
            <w:vAlign w:val="bottom"/>
          </w:tcPr>
          <w:p w:rsidR="00000000" w:rsidRDefault="00323237">
            <w:pPr>
              <w:autoSpaceDE/>
              <w:autoSpaceDN/>
              <w:adjustRightInd/>
              <w:rPr>
                <w:color w:val="000000"/>
              </w:rPr>
            </w:pPr>
            <w:r>
              <w:rPr>
                <w:color w:val="000000"/>
              </w:rPr>
              <w:t xml:space="preserve">         Metal process vent monitoring </w:t>
            </w:r>
            <w:proofErr w:type="spellStart"/>
            <w:r>
              <w:rPr>
                <w:color w:val="000000"/>
              </w:rPr>
              <w:t>plan</w:t>
            </w:r>
            <w:r>
              <w:rPr>
                <w:color w:val="000000"/>
                <w:vertAlign w:val="superscript"/>
              </w:rPr>
              <w:t>d</w:t>
            </w:r>
            <w:proofErr w:type="spellEnd"/>
          </w:p>
        </w:tc>
        <w:tc>
          <w:tcPr>
            <w:tcW w:w="360" w:type="pct"/>
            <w:tcBorders>
              <w:top w:val="nil"/>
              <w:left w:val="nil"/>
              <w:bottom w:val="single" w:sz="8" w:space="0" w:color="auto"/>
              <w:right w:val="single" w:sz="8" w:space="0" w:color="auto"/>
            </w:tcBorders>
            <w:shd w:val="clear" w:color="auto" w:fill="auto"/>
            <w:vAlign w:val="bottom"/>
          </w:tcPr>
          <w:p w:rsidR="00000000" w:rsidRDefault="00323237">
            <w:pPr>
              <w:autoSpaceDE/>
              <w:autoSpaceDN/>
              <w:adjustRightInd/>
              <w:jc w:val="center"/>
              <w:rPr>
                <w:color w:val="000000"/>
              </w:rPr>
            </w:pPr>
            <w:r>
              <w:rPr>
                <w:color w:val="000000"/>
              </w:rPr>
              <w:t>30</w:t>
            </w:r>
          </w:p>
        </w:tc>
        <w:tc>
          <w:tcPr>
            <w:tcW w:w="492" w:type="pct"/>
            <w:tcBorders>
              <w:top w:val="nil"/>
              <w:left w:val="nil"/>
              <w:bottom w:val="single" w:sz="8" w:space="0" w:color="auto"/>
              <w:right w:val="single" w:sz="8" w:space="0" w:color="auto"/>
            </w:tcBorders>
            <w:shd w:val="clear" w:color="auto" w:fill="auto"/>
            <w:vAlign w:val="bottom"/>
          </w:tcPr>
          <w:p w:rsidR="00000000" w:rsidRDefault="00323237">
            <w:pPr>
              <w:autoSpaceDE/>
              <w:autoSpaceDN/>
              <w:adjustRightInd/>
              <w:jc w:val="center"/>
              <w:rPr>
                <w:color w:val="000000"/>
              </w:rPr>
            </w:pPr>
            <w:r>
              <w:rPr>
                <w:color w:val="000000"/>
              </w:rPr>
              <w:t>1</w:t>
            </w:r>
          </w:p>
        </w:tc>
        <w:tc>
          <w:tcPr>
            <w:tcW w:w="461" w:type="pct"/>
            <w:tcBorders>
              <w:top w:val="nil"/>
              <w:left w:val="single" w:sz="4" w:space="0" w:color="auto"/>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30</w:t>
            </w:r>
          </w:p>
        </w:tc>
        <w:tc>
          <w:tcPr>
            <w:tcW w:w="408"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17.3</w:t>
            </w:r>
          </w:p>
        </w:tc>
        <w:tc>
          <w:tcPr>
            <w:tcW w:w="372"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519</w:t>
            </w:r>
          </w:p>
        </w:tc>
        <w:tc>
          <w:tcPr>
            <w:tcW w:w="41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26.0</w:t>
            </w:r>
          </w:p>
        </w:tc>
        <w:tc>
          <w:tcPr>
            <w:tcW w:w="337"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51.9</w:t>
            </w:r>
          </w:p>
        </w:tc>
        <w:tc>
          <w:tcPr>
            <w:tcW w:w="466"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$45,411</w:t>
            </w:r>
          </w:p>
        </w:tc>
      </w:tr>
      <w:tr w:rsidR="00000000">
        <w:trPr>
          <w:trHeight w:val="510"/>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3.  REPORTING REQUIR</w:t>
            </w:r>
            <w:r>
              <w:rPr>
                <w:color w:val="000000"/>
              </w:rPr>
              <w:t>EMENTS</w:t>
            </w:r>
          </w:p>
        </w:tc>
        <w:tc>
          <w:tcPr>
            <w:tcW w:w="360" w:type="pct"/>
            <w:tcBorders>
              <w:top w:val="single" w:sz="4" w:space="0" w:color="auto"/>
              <w:left w:val="nil"/>
              <w:bottom w:val="single" w:sz="4" w:space="0" w:color="auto"/>
              <w:right w:val="single" w:sz="4" w:space="0" w:color="auto"/>
            </w:tcBorders>
            <w:shd w:val="clear" w:color="auto" w:fill="C0C0C0"/>
          </w:tcPr>
          <w:p w:rsidR="00000000" w:rsidRDefault="00323237">
            <w:pPr>
              <w:autoSpaceDE/>
              <w:autoSpaceDN/>
              <w:adjustRightInd/>
              <w:jc w:val="center"/>
              <w:rPr>
                <w:rFonts w:ascii="Times New" w:hAnsi="Times New" w:cs="Arial"/>
                <w:color w:val="000000"/>
              </w:rPr>
            </w:pPr>
            <w:r>
              <w:rPr>
                <w:rFonts w:ascii="Times New" w:hAnsi="Times New" w:cs="Arial"/>
                <w:color w:val="000000"/>
              </w:rPr>
              <w:t> </w:t>
            </w:r>
          </w:p>
        </w:tc>
        <w:tc>
          <w:tcPr>
            <w:tcW w:w="492" w:type="pct"/>
            <w:tcBorders>
              <w:top w:val="single" w:sz="4" w:space="0" w:color="auto"/>
              <w:left w:val="nil"/>
              <w:bottom w:val="single" w:sz="4" w:space="0" w:color="auto"/>
              <w:right w:val="single" w:sz="4" w:space="0" w:color="auto"/>
            </w:tcBorders>
            <w:shd w:val="clear" w:color="auto" w:fill="C0C0C0"/>
          </w:tcPr>
          <w:p w:rsidR="00000000" w:rsidRDefault="00323237">
            <w:pPr>
              <w:autoSpaceDE/>
              <w:autoSpaceDN/>
              <w:adjustRightInd/>
              <w:jc w:val="center"/>
              <w:rPr>
                <w:rFonts w:ascii="Times New" w:hAnsi="Times New" w:cs="Arial"/>
                <w:color w:val="000000"/>
              </w:rPr>
            </w:pPr>
            <w:r>
              <w:rPr>
                <w:rFonts w:ascii="Times New" w:hAnsi="Times New" w:cs="Arial"/>
                <w:color w:val="000000"/>
              </w:rPr>
              <w:t> </w:t>
            </w:r>
          </w:p>
        </w:tc>
        <w:tc>
          <w:tcPr>
            <w:tcW w:w="461" w:type="pct"/>
            <w:tcBorders>
              <w:top w:val="nil"/>
              <w:left w:val="nil"/>
              <w:bottom w:val="single" w:sz="4" w:space="0" w:color="auto"/>
              <w:right w:val="single" w:sz="4" w:space="0" w:color="auto"/>
            </w:tcBorders>
            <w:shd w:val="clear" w:color="auto" w:fill="C0C0C0"/>
          </w:tcPr>
          <w:p w:rsidR="00000000" w:rsidRDefault="00323237">
            <w:pPr>
              <w:autoSpaceDE/>
              <w:autoSpaceDN/>
              <w:adjustRightInd/>
              <w:jc w:val="center"/>
              <w:rPr>
                <w:rFonts w:ascii="Times New" w:hAnsi="Times New" w:cs="Arial"/>
                <w:color w:val="000000"/>
              </w:rPr>
            </w:pPr>
            <w:r>
              <w:rPr>
                <w:rFonts w:ascii="Times New" w:hAnsi="Times New" w:cs="Arial"/>
                <w:color w:val="000000"/>
              </w:rPr>
              <w:t> </w:t>
            </w:r>
          </w:p>
        </w:tc>
        <w:tc>
          <w:tcPr>
            <w:tcW w:w="408" w:type="pct"/>
            <w:tcBorders>
              <w:top w:val="nil"/>
              <w:left w:val="nil"/>
              <w:bottom w:val="single" w:sz="4" w:space="0" w:color="auto"/>
              <w:right w:val="single" w:sz="4" w:space="0" w:color="auto"/>
            </w:tcBorders>
            <w:shd w:val="clear" w:color="auto" w:fill="C0C0C0"/>
          </w:tcPr>
          <w:p w:rsidR="00000000" w:rsidRDefault="00323237">
            <w:pPr>
              <w:autoSpaceDE/>
              <w:autoSpaceDN/>
              <w:adjustRightInd/>
              <w:jc w:val="center"/>
              <w:rPr>
                <w:rFonts w:ascii="Times New" w:hAnsi="Times New" w:cs="Arial"/>
                <w:color w:val="000000"/>
              </w:rPr>
            </w:pPr>
            <w:r>
              <w:rPr>
                <w:rFonts w:ascii="Times New" w:hAnsi="Times New" w:cs="Arial"/>
                <w:color w:val="000000"/>
              </w:rPr>
              <w:t> </w:t>
            </w:r>
          </w:p>
        </w:tc>
        <w:tc>
          <w:tcPr>
            <w:tcW w:w="372" w:type="pct"/>
            <w:tcBorders>
              <w:top w:val="nil"/>
              <w:left w:val="nil"/>
              <w:bottom w:val="single" w:sz="4" w:space="0" w:color="auto"/>
              <w:right w:val="single" w:sz="4" w:space="0" w:color="auto"/>
            </w:tcBorders>
            <w:shd w:val="clear" w:color="auto" w:fill="C0C0C0"/>
          </w:tcPr>
          <w:p w:rsidR="00000000" w:rsidRDefault="00323237">
            <w:pPr>
              <w:autoSpaceDE/>
              <w:autoSpaceDN/>
              <w:adjustRightInd/>
              <w:jc w:val="center"/>
              <w:rPr>
                <w:rFonts w:ascii="Times New" w:hAnsi="Times New" w:cs="Arial"/>
                <w:color w:val="000000"/>
              </w:rPr>
            </w:pPr>
            <w:r>
              <w:rPr>
                <w:rFonts w:ascii="Times New" w:hAnsi="Times New" w:cs="Arial"/>
                <w:color w:val="000000"/>
              </w:rPr>
              <w:t> </w:t>
            </w:r>
          </w:p>
        </w:tc>
        <w:tc>
          <w:tcPr>
            <w:tcW w:w="415" w:type="pct"/>
            <w:tcBorders>
              <w:top w:val="nil"/>
              <w:left w:val="nil"/>
              <w:bottom w:val="single" w:sz="4" w:space="0" w:color="auto"/>
              <w:right w:val="single" w:sz="4" w:space="0" w:color="auto"/>
            </w:tcBorders>
            <w:shd w:val="clear" w:color="auto" w:fill="C0C0C0"/>
          </w:tcPr>
          <w:p w:rsidR="00000000" w:rsidRDefault="00323237">
            <w:pPr>
              <w:autoSpaceDE/>
              <w:autoSpaceDN/>
              <w:adjustRightInd/>
              <w:jc w:val="center"/>
              <w:rPr>
                <w:rFonts w:ascii="Times New" w:hAnsi="Times New" w:cs="Arial"/>
                <w:color w:val="000000"/>
              </w:rPr>
            </w:pPr>
            <w:r>
              <w:rPr>
                <w:rFonts w:ascii="Times New" w:hAnsi="Times New" w:cs="Arial"/>
                <w:color w:val="000000"/>
              </w:rPr>
              <w:t> </w:t>
            </w:r>
          </w:p>
        </w:tc>
        <w:tc>
          <w:tcPr>
            <w:tcW w:w="337" w:type="pct"/>
            <w:tcBorders>
              <w:top w:val="nil"/>
              <w:left w:val="nil"/>
              <w:bottom w:val="single" w:sz="4" w:space="0" w:color="auto"/>
              <w:right w:val="single" w:sz="4" w:space="0" w:color="auto"/>
            </w:tcBorders>
            <w:shd w:val="clear" w:color="auto" w:fill="C0C0C0"/>
          </w:tcPr>
          <w:p w:rsidR="00000000" w:rsidRDefault="00323237">
            <w:pPr>
              <w:autoSpaceDE/>
              <w:autoSpaceDN/>
              <w:adjustRightInd/>
              <w:jc w:val="center"/>
              <w:rPr>
                <w:rFonts w:ascii="Times New" w:hAnsi="Times New" w:cs="Arial"/>
                <w:color w:val="000000"/>
              </w:rPr>
            </w:pPr>
            <w:r>
              <w:rPr>
                <w:rFonts w:ascii="Times New" w:hAnsi="Times New" w:cs="Arial"/>
                <w:color w:val="000000"/>
              </w:rPr>
              <w:t> </w:t>
            </w:r>
          </w:p>
        </w:tc>
        <w:tc>
          <w:tcPr>
            <w:tcW w:w="466" w:type="pct"/>
            <w:tcBorders>
              <w:top w:val="nil"/>
              <w:left w:val="nil"/>
              <w:bottom w:val="single" w:sz="4" w:space="0" w:color="auto"/>
              <w:right w:val="single" w:sz="4" w:space="0" w:color="auto"/>
            </w:tcBorders>
            <w:shd w:val="clear" w:color="auto" w:fill="C0C0C0"/>
          </w:tcPr>
          <w:p w:rsidR="00000000" w:rsidRDefault="00323237">
            <w:pPr>
              <w:autoSpaceDE/>
              <w:autoSpaceDN/>
              <w:adjustRightInd/>
              <w:jc w:val="center"/>
              <w:rPr>
                <w:rFonts w:ascii="Times New" w:hAnsi="Times New" w:cs="Arial"/>
                <w:color w:val="000000"/>
              </w:rPr>
            </w:pPr>
            <w:r>
              <w:rPr>
                <w:rFonts w:ascii="Times New" w:hAnsi="Times New" w:cs="Arial"/>
                <w:color w:val="000000"/>
              </w:rPr>
              <w:t> </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tcPr>
          <w:p w:rsidR="00000000" w:rsidRDefault="00323237">
            <w:pPr>
              <w:autoSpaceDE/>
              <w:autoSpaceDN/>
              <w:adjustRightInd/>
              <w:rPr>
                <w:color w:val="000000"/>
              </w:rPr>
            </w:pPr>
            <w:r>
              <w:rPr>
                <w:color w:val="000000"/>
              </w:rPr>
              <w:t xml:space="preserve">  A. </w:t>
            </w:r>
            <w:r>
              <w:rPr>
                <w:color w:val="000000"/>
                <w:u w:val="single"/>
              </w:rPr>
              <w:t xml:space="preserve">Read </w:t>
            </w:r>
            <w:proofErr w:type="spellStart"/>
            <w:r>
              <w:rPr>
                <w:color w:val="000000"/>
                <w:u w:val="single"/>
              </w:rPr>
              <w:t>Instructions</w:t>
            </w:r>
            <w:r>
              <w:rPr>
                <w:color w:val="000000"/>
                <w:vertAlign w:val="superscript"/>
              </w:rPr>
              <w:t>e</w:t>
            </w:r>
            <w:proofErr w:type="spellEnd"/>
          </w:p>
        </w:tc>
        <w:tc>
          <w:tcPr>
            <w:tcW w:w="360"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4</w:t>
            </w:r>
          </w:p>
        </w:tc>
        <w:tc>
          <w:tcPr>
            <w:tcW w:w="492"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1</w:t>
            </w:r>
          </w:p>
        </w:tc>
        <w:tc>
          <w:tcPr>
            <w:tcW w:w="461"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4</w:t>
            </w:r>
          </w:p>
        </w:tc>
        <w:tc>
          <w:tcPr>
            <w:tcW w:w="408"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160</w:t>
            </w:r>
          </w:p>
        </w:tc>
        <w:tc>
          <w:tcPr>
            <w:tcW w:w="372"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640</w:t>
            </w:r>
          </w:p>
        </w:tc>
        <w:tc>
          <w:tcPr>
            <w:tcW w:w="41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32.0</w:t>
            </w:r>
          </w:p>
        </w:tc>
        <w:tc>
          <w:tcPr>
            <w:tcW w:w="337"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64.0</w:t>
            </w:r>
          </w:p>
        </w:tc>
        <w:tc>
          <w:tcPr>
            <w:tcW w:w="466"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$55,998</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xml:space="preserve">  B. </w:t>
            </w:r>
            <w:r>
              <w:rPr>
                <w:color w:val="000000"/>
                <w:u w:val="single"/>
              </w:rPr>
              <w:t>Required Activities</w:t>
            </w:r>
            <w:r>
              <w:rPr>
                <w:color w:val="000000"/>
              </w:rPr>
              <w:t xml:space="preserve"> </w:t>
            </w:r>
          </w:p>
        </w:tc>
        <w:tc>
          <w:tcPr>
            <w:tcW w:w="360" w:type="pct"/>
            <w:tcBorders>
              <w:top w:val="nil"/>
              <w:left w:val="nil"/>
              <w:bottom w:val="single" w:sz="4" w:space="0" w:color="auto"/>
              <w:right w:val="single" w:sz="4" w:space="0" w:color="auto"/>
            </w:tcBorders>
            <w:shd w:val="clear" w:color="auto" w:fill="C0C0C0"/>
          </w:tcPr>
          <w:p w:rsidR="00000000" w:rsidRDefault="00323237">
            <w:pPr>
              <w:autoSpaceDE/>
              <w:autoSpaceDN/>
              <w:adjustRightInd/>
              <w:jc w:val="center"/>
              <w:rPr>
                <w:rFonts w:ascii="Times New" w:hAnsi="Times New" w:cs="Arial"/>
                <w:color w:val="000000"/>
              </w:rPr>
            </w:pPr>
            <w:r>
              <w:rPr>
                <w:rFonts w:ascii="Times New" w:hAnsi="Times New" w:cs="Arial"/>
                <w:color w:val="000000"/>
              </w:rPr>
              <w:t> </w:t>
            </w:r>
          </w:p>
        </w:tc>
        <w:tc>
          <w:tcPr>
            <w:tcW w:w="492" w:type="pct"/>
            <w:tcBorders>
              <w:top w:val="nil"/>
              <w:left w:val="nil"/>
              <w:bottom w:val="single" w:sz="4" w:space="0" w:color="auto"/>
              <w:right w:val="single" w:sz="4" w:space="0" w:color="auto"/>
            </w:tcBorders>
            <w:shd w:val="clear" w:color="auto" w:fill="C0C0C0"/>
          </w:tcPr>
          <w:p w:rsidR="00000000" w:rsidRDefault="00323237">
            <w:pPr>
              <w:autoSpaceDE/>
              <w:autoSpaceDN/>
              <w:adjustRightInd/>
              <w:jc w:val="center"/>
              <w:rPr>
                <w:rFonts w:ascii="Times New" w:hAnsi="Times New" w:cs="Arial"/>
                <w:color w:val="000000"/>
              </w:rPr>
            </w:pPr>
            <w:r>
              <w:rPr>
                <w:rFonts w:ascii="Times New" w:hAnsi="Times New" w:cs="Arial"/>
                <w:color w:val="000000"/>
              </w:rPr>
              <w:t> </w:t>
            </w:r>
          </w:p>
        </w:tc>
        <w:tc>
          <w:tcPr>
            <w:tcW w:w="461" w:type="pct"/>
            <w:tcBorders>
              <w:top w:val="nil"/>
              <w:left w:val="nil"/>
              <w:bottom w:val="single" w:sz="4" w:space="0" w:color="auto"/>
              <w:right w:val="single" w:sz="4" w:space="0" w:color="auto"/>
            </w:tcBorders>
            <w:shd w:val="clear" w:color="auto" w:fill="C0C0C0"/>
          </w:tcPr>
          <w:p w:rsidR="00000000" w:rsidRDefault="00323237">
            <w:pPr>
              <w:autoSpaceDE/>
              <w:autoSpaceDN/>
              <w:adjustRightInd/>
              <w:jc w:val="center"/>
              <w:rPr>
                <w:rFonts w:ascii="Times New" w:hAnsi="Times New" w:cs="Arial"/>
                <w:color w:val="000000"/>
              </w:rPr>
            </w:pPr>
            <w:r>
              <w:rPr>
                <w:rFonts w:ascii="Times New" w:hAnsi="Times New" w:cs="Arial"/>
                <w:color w:val="000000"/>
              </w:rPr>
              <w:t> </w:t>
            </w:r>
          </w:p>
        </w:tc>
        <w:tc>
          <w:tcPr>
            <w:tcW w:w="408" w:type="pct"/>
            <w:tcBorders>
              <w:top w:val="nil"/>
              <w:left w:val="nil"/>
              <w:bottom w:val="single" w:sz="4" w:space="0" w:color="auto"/>
              <w:right w:val="single" w:sz="4" w:space="0" w:color="auto"/>
            </w:tcBorders>
            <w:shd w:val="clear" w:color="auto" w:fill="C0C0C0"/>
          </w:tcPr>
          <w:p w:rsidR="00000000" w:rsidRDefault="00323237">
            <w:pPr>
              <w:autoSpaceDE/>
              <w:autoSpaceDN/>
              <w:adjustRightInd/>
              <w:jc w:val="center"/>
              <w:rPr>
                <w:rFonts w:ascii="Times New" w:hAnsi="Times New" w:cs="Arial"/>
                <w:color w:val="000000"/>
              </w:rPr>
            </w:pPr>
            <w:r>
              <w:rPr>
                <w:rFonts w:ascii="Times New" w:hAnsi="Times New" w:cs="Arial"/>
                <w:color w:val="000000"/>
              </w:rPr>
              <w:t> </w:t>
            </w:r>
          </w:p>
        </w:tc>
        <w:tc>
          <w:tcPr>
            <w:tcW w:w="372" w:type="pct"/>
            <w:tcBorders>
              <w:top w:val="nil"/>
              <w:left w:val="nil"/>
              <w:bottom w:val="single" w:sz="4" w:space="0" w:color="auto"/>
              <w:right w:val="single" w:sz="4" w:space="0" w:color="auto"/>
            </w:tcBorders>
            <w:shd w:val="clear" w:color="auto" w:fill="C0C0C0"/>
          </w:tcPr>
          <w:p w:rsidR="00000000" w:rsidRDefault="00323237">
            <w:pPr>
              <w:autoSpaceDE/>
              <w:autoSpaceDN/>
              <w:adjustRightInd/>
              <w:jc w:val="center"/>
              <w:rPr>
                <w:rFonts w:ascii="Times New" w:hAnsi="Times New" w:cs="Arial"/>
                <w:color w:val="000000"/>
              </w:rPr>
            </w:pPr>
            <w:r>
              <w:rPr>
                <w:rFonts w:ascii="Times New" w:hAnsi="Times New" w:cs="Arial"/>
                <w:color w:val="000000"/>
              </w:rPr>
              <w:t> </w:t>
            </w:r>
          </w:p>
        </w:tc>
        <w:tc>
          <w:tcPr>
            <w:tcW w:w="415" w:type="pct"/>
            <w:tcBorders>
              <w:top w:val="nil"/>
              <w:left w:val="nil"/>
              <w:bottom w:val="single" w:sz="4" w:space="0" w:color="auto"/>
              <w:right w:val="single" w:sz="4" w:space="0" w:color="auto"/>
            </w:tcBorders>
            <w:shd w:val="clear" w:color="auto" w:fill="C0C0C0"/>
          </w:tcPr>
          <w:p w:rsidR="00000000" w:rsidRDefault="00323237">
            <w:pPr>
              <w:autoSpaceDE/>
              <w:autoSpaceDN/>
              <w:adjustRightInd/>
              <w:jc w:val="center"/>
              <w:rPr>
                <w:rFonts w:ascii="Times New" w:hAnsi="Times New" w:cs="Arial"/>
                <w:color w:val="000000"/>
              </w:rPr>
            </w:pPr>
            <w:r>
              <w:rPr>
                <w:rFonts w:ascii="Times New" w:hAnsi="Times New" w:cs="Arial"/>
                <w:color w:val="000000"/>
              </w:rPr>
              <w:t> </w:t>
            </w:r>
          </w:p>
        </w:tc>
        <w:tc>
          <w:tcPr>
            <w:tcW w:w="337" w:type="pct"/>
            <w:tcBorders>
              <w:top w:val="nil"/>
              <w:left w:val="nil"/>
              <w:bottom w:val="single" w:sz="4" w:space="0" w:color="auto"/>
              <w:right w:val="single" w:sz="4" w:space="0" w:color="auto"/>
            </w:tcBorders>
            <w:shd w:val="clear" w:color="auto" w:fill="C0C0C0"/>
          </w:tcPr>
          <w:p w:rsidR="00000000" w:rsidRDefault="00323237">
            <w:pPr>
              <w:autoSpaceDE/>
              <w:autoSpaceDN/>
              <w:adjustRightInd/>
              <w:jc w:val="center"/>
              <w:rPr>
                <w:rFonts w:ascii="Times New" w:hAnsi="Times New" w:cs="Arial"/>
                <w:color w:val="000000"/>
              </w:rPr>
            </w:pPr>
            <w:r>
              <w:rPr>
                <w:rFonts w:ascii="Times New" w:hAnsi="Times New" w:cs="Arial"/>
                <w:color w:val="000000"/>
              </w:rPr>
              <w:t> </w:t>
            </w:r>
          </w:p>
        </w:tc>
        <w:tc>
          <w:tcPr>
            <w:tcW w:w="466" w:type="pct"/>
            <w:tcBorders>
              <w:top w:val="nil"/>
              <w:left w:val="nil"/>
              <w:bottom w:val="single" w:sz="4" w:space="0" w:color="auto"/>
              <w:right w:val="single" w:sz="4" w:space="0" w:color="auto"/>
            </w:tcBorders>
            <w:shd w:val="clear" w:color="auto" w:fill="C0C0C0"/>
          </w:tcPr>
          <w:p w:rsidR="00000000" w:rsidRDefault="00323237">
            <w:pPr>
              <w:autoSpaceDE/>
              <w:autoSpaceDN/>
              <w:adjustRightInd/>
              <w:jc w:val="center"/>
              <w:rPr>
                <w:rFonts w:ascii="Times New" w:hAnsi="Times New" w:cs="Arial"/>
                <w:color w:val="000000"/>
              </w:rPr>
            </w:pPr>
            <w:r>
              <w:rPr>
                <w:rFonts w:ascii="Times New" w:hAnsi="Times New" w:cs="Arial"/>
                <w:color w:val="000000"/>
              </w:rPr>
              <w:t> </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tcPr>
          <w:p w:rsidR="00000000" w:rsidRDefault="00323237">
            <w:pPr>
              <w:autoSpaceDE/>
              <w:autoSpaceDN/>
              <w:adjustRightInd/>
              <w:rPr>
                <w:color w:val="000000"/>
              </w:rPr>
            </w:pPr>
            <w:r>
              <w:rPr>
                <w:color w:val="000000"/>
              </w:rPr>
              <w:t xml:space="preserve">          Initial Performance </w:t>
            </w:r>
            <w:proofErr w:type="spellStart"/>
            <w:r>
              <w:rPr>
                <w:color w:val="000000"/>
              </w:rPr>
              <w:t>test</w:t>
            </w:r>
            <w:r>
              <w:rPr>
                <w:color w:val="000000"/>
                <w:vertAlign w:val="superscript"/>
              </w:rPr>
              <w:t>f</w:t>
            </w:r>
            <w:proofErr w:type="spellEnd"/>
          </w:p>
        </w:tc>
        <w:tc>
          <w:tcPr>
            <w:tcW w:w="360"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24</w:t>
            </w:r>
          </w:p>
        </w:tc>
        <w:tc>
          <w:tcPr>
            <w:tcW w:w="492"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1</w:t>
            </w:r>
          </w:p>
        </w:tc>
        <w:tc>
          <w:tcPr>
            <w:tcW w:w="461"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24</w:t>
            </w:r>
          </w:p>
        </w:tc>
        <w:tc>
          <w:tcPr>
            <w:tcW w:w="408"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5.66</w:t>
            </w:r>
          </w:p>
        </w:tc>
        <w:tc>
          <w:tcPr>
            <w:tcW w:w="372"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135.84</w:t>
            </w:r>
          </w:p>
        </w:tc>
        <w:tc>
          <w:tcPr>
            <w:tcW w:w="41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6.8</w:t>
            </w:r>
          </w:p>
        </w:tc>
        <w:tc>
          <w:tcPr>
            <w:tcW w:w="337"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13.6</w:t>
            </w:r>
          </w:p>
        </w:tc>
        <w:tc>
          <w:tcPr>
            <w:tcW w:w="466"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$11,886</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tcPr>
          <w:p w:rsidR="00000000" w:rsidRDefault="00323237">
            <w:pPr>
              <w:autoSpaceDE/>
              <w:autoSpaceDN/>
              <w:adjustRightInd/>
              <w:rPr>
                <w:color w:val="000000"/>
              </w:rPr>
            </w:pPr>
            <w:r>
              <w:rPr>
                <w:color w:val="000000"/>
              </w:rPr>
              <w:t xml:space="preserve">          Design evaluation for process vent </w:t>
            </w:r>
            <w:proofErr w:type="spellStart"/>
            <w:r>
              <w:rPr>
                <w:color w:val="000000"/>
              </w:rPr>
              <w:t>sources</w:t>
            </w:r>
            <w:r>
              <w:rPr>
                <w:color w:val="000000"/>
                <w:vertAlign w:val="superscript"/>
              </w:rPr>
              <w:t>f</w:t>
            </w:r>
            <w:proofErr w:type="spellEnd"/>
          </w:p>
        </w:tc>
        <w:tc>
          <w:tcPr>
            <w:tcW w:w="360"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40</w:t>
            </w:r>
          </w:p>
        </w:tc>
        <w:tc>
          <w:tcPr>
            <w:tcW w:w="492"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1</w:t>
            </w:r>
          </w:p>
        </w:tc>
        <w:tc>
          <w:tcPr>
            <w:tcW w:w="461"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40</w:t>
            </w:r>
          </w:p>
        </w:tc>
        <w:tc>
          <w:tcPr>
            <w:tcW w:w="408"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22.64</w:t>
            </w:r>
          </w:p>
        </w:tc>
        <w:tc>
          <w:tcPr>
            <w:tcW w:w="372"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905.6</w:t>
            </w:r>
          </w:p>
        </w:tc>
        <w:tc>
          <w:tcPr>
            <w:tcW w:w="41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45.3</w:t>
            </w:r>
          </w:p>
        </w:tc>
        <w:tc>
          <w:tcPr>
            <w:tcW w:w="337"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90.6</w:t>
            </w:r>
          </w:p>
        </w:tc>
        <w:tc>
          <w:tcPr>
            <w:tcW w:w="466"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$79,237</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tcPr>
          <w:p w:rsidR="00000000" w:rsidRDefault="00323237">
            <w:pPr>
              <w:autoSpaceDE/>
              <w:autoSpaceDN/>
              <w:adjustRightInd/>
              <w:rPr>
                <w:color w:val="000000"/>
              </w:rPr>
            </w:pPr>
            <w:r>
              <w:rPr>
                <w:color w:val="000000"/>
              </w:rPr>
              <w:t xml:space="preserve">          Repeat Performance </w:t>
            </w:r>
            <w:proofErr w:type="spellStart"/>
            <w:r>
              <w:rPr>
                <w:color w:val="000000"/>
              </w:rPr>
              <w:t>test</w:t>
            </w:r>
            <w:r>
              <w:rPr>
                <w:color w:val="000000"/>
                <w:vertAlign w:val="superscript"/>
              </w:rPr>
              <w:t>g</w:t>
            </w:r>
            <w:proofErr w:type="spellEnd"/>
          </w:p>
        </w:tc>
        <w:tc>
          <w:tcPr>
            <w:tcW w:w="360"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24</w:t>
            </w:r>
          </w:p>
        </w:tc>
        <w:tc>
          <w:tcPr>
            <w:tcW w:w="492"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1</w:t>
            </w:r>
          </w:p>
        </w:tc>
        <w:tc>
          <w:tcPr>
            <w:tcW w:w="461"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24</w:t>
            </w:r>
          </w:p>
        </w:tc>
        <w:tc>
          <w:tcPr>
            <w:tcW w:w="408"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1.1</w:t>
            </w:r>
          </w:p>
        </w:tc>
        <w:tc>
          <w:tcPr>
            <w:tcW w:w="372"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26.4</w:t>
            </w:r>
          </w:p>
        </w:tc>
        <w:tc>
          <w:tcPr>
            <w:tcW w:w="41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1.3</w:t>
            </w:r>
          </w:p>
        </w:tc>
        <w:tc>
          <w:tcPr>
            <w:tcW w:w="337"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2.6</w:t>
            </w:r>
          </w:p>
        </w:tc>
        <w:tc>
          <w:tcPr>
            <w:tcW w:w="466"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$2,310</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tcPr>
          <w:p w:rsidR="00000000" w:rsidRDefault="00323237">
            <w:pPr>
              <w:autoSpaceDE/>
              <w:autoSpaceDN/>
              <w:adjustRightInd/>
              <w:rPr>
                <w:color w:val="000000"/>
              </w:rPr>
            </w:pPr>
            <w:r>
              <w:rPr>
                <w:color w:val="000000"/>
              </w:rPr>
              <w:t xml:space="preserve">  C. </w:t>
            </w:r>
            <w:r>
              <w:rPr>
                <w:color w:val="000000"/>
                <w:u w:val="single"/>
              </w:rPr>
              <w:t>Create Information</w:t>
            </w:r>
          </w:p>
        </w:tc>
        <w:tc>
          <w:tcPr>
            <w:tcW w:w="360"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rPr>
                <w:color w:val="000000"/>
              </w:rPr>
            </w:pPr>
            <w:r>
              <w:rPr>
                <w:color w:val="000000"/>
              </w:rPr>
              <w:t>Included in 3B</w:t>
            </w:r>
          </w:p>
        </w:tc>
        <w:tc>
          <w:tcPr>
            <w:tcW w:w="492"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rPr>
                <w:rFonts w:ascii="Times New" w:hAnsi="Times New" w:cs="Arial"/>
                <w:color w:val="000000"/>
              </w:rPr>
            </w:pPr>
            <w:r>
              <w:rPr>
                <w:rFonts w:ascii="Times New" w:hAnsi="Times New" w:cs="Arial"/>
                <w:color w:val="000000"/>
              </w:rPr>
              <w:t> </w:t>
            </w:r>
          </w:p>
        </w:tc>
        <w:tc>
          <w:tcPr>
            <w:tcW w:w="461"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rPr>
                <w:rFonts w:ascii="Times New" w:hAnsi="Times New" w:cs="Arial"/>
                <w:color w:val="000000"/>
              </w:rPr>
            </w:pPr>
            <w:r>
              <w:rPr>
                <w:rFonts w:ascii="Times New" w:hAnsi="Times New" w:cs="Arial"/>
                <w:color w:val="000000"/>
              </w:rPr>
              <w:t> </w:t>
            </w:r>
          </w:p>
        </w:tc>
        <w:tc>
          <w:tcPr>
            <w:tcW w:w="408"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rPr>
                <w:rFonts w:ascii="Times New" w:hAnsi="Times New" w:cs="Arial"/>
                <w:color w:val="000000"/>
              </w:rPr>
            </w:pPr>
            <w:r>
              <w:rPr>
                <w:rFonts w:ascii="Times New" w:hAnsi="Times New" w:cs="Arial"/>
                <w:color w:val="000000"/>
              </w:rPr>
              <w:t> </w:t>
            </w:r>
          </w:p>
        </w:tc>
        <w:tc>
          <w:tcPr>
            <w:tcW w:w="372"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rPr>
                <w:rFonts w:ascii="Times New" w:hAnsi="Times New" w:cs="Arial"/>
                <w:color w:val="000000"/>
              </w:rPr>
            </w:pPr>
            <w:r>
              <w:rPr>
                <w:rFonts w:ascii="Times New" w:hAnsi="Times New" w:cs="Arial"/>
                <w:color w:val="000000"/>
              </w:rPr>
              <w:t> </w:t>
            </w:r>
          </w:p>
        </w:tc>
        <w:tc>
          <w:tcPr>
            <w:tcW w:w="415"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rPr>
                <w:rFonts w:ascii="Times New" w:hAnsi="Times New" w:cs="Arial"/>
                <w:color w:val="000000"/>
              </w:rPr>
            </w:pPr>
            <w:r>
              <w:rPr>
                <w:rFonts w:ascii="Times New" w:hAnsi="Times New" w:cs="Arial"/>
                <w:color w:val="000000"/>
              </w:rPr>
              <w:t> </w:t>
            </w:r>
          </w:p>
        </w:tc>
        <w:tc>
          <w:tcPr>
            <w:tcW w:w="337"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rPr>
                <w:rFonts w:ascii="Times New" w:hAnsi="Times New" w:cs="Arial"/>
                <w:color w:val="000000"/>
              </w:rPr>
            </w:pPr>
            <w:r>
              <w:rPr>
                <w:rFonts w:ascii="Times New" w:hAnsi="Times New" w:cs="Arial"/>
                <w:color w:val="000000"/>
              </w:rPr>
              <w:t> </w:t>
            </w:r>
          </w:p>
        </w:tc>
        <w:tc>
          <w:tcPr>
            <w:tcW w:w="466"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rPr>
                <w:color w:val="000000"/>
              </w:rPr>
            </w:pPr>
            <w:r>
              <w:rPr>
                <w:color w:val="000000"/>
              </w:rPr>
              <w:t> </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auto"/>
          </w:tcPr>
          <w:p w:rsidR="00000000" w:rsidRDefault="00323237">
            <w:pPr>
              <w:autoSpaceDE/>
              <w:autoSpaceDN/>
              <w:adjustRightInd/>
              <w:rPr>
                <w:color w:val="000000"/>
              </w:rPr>
            </w:pPr>
            <w:r>
              <w:rPr>
                <w:color w:val="000000"/>
              </w:rPr>
              <w:t xml:space="preserve">  D. </w:t>
            </w:r>
            <w:r>
              <w:rPr>
                <w:color w:val="000000"/>
                <w:u w:val="single"/>
              </w:rPr>
              <w:t>Gather Existing Information</w:t>
            </w:r>
          </w:p>
        </w:tc>
        <w:tc>
          <w:tcPr>
            <w:tcW w:w="360"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rPr>
                <w:color w:val="000000"/>
              </w:rPr>
            </w:pPr>
            <w:r>
              <w:rPr>
                <w:color w:val="000000"/>
              </w:rPr>
              <w:t>Included in 3E</w:t>
            </w:r>
          </w:p>
        </w:tc>
        <w:tc>
          <w:tcPr>
            <w:tcW w:w="492"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rPr>
                <w:rFonts w:ascii="Times New" w:hAnsi="Times New" w:cs="Arial"/>
                <w:color w:val="000000"/>
              </w:rPr>
            </w:pPr>
            <w:r>
              <w:rPr>
                <w:rFonts w:ascii="Times New" w:hAnsi="Times New" w:cs="Arial"/>
                <w:color w:val="000000"/>
              </w:rPr>
              <w:t> </w:t>
            </w:r>
          </w:p>
        </w:tc>
        <w:tc>
          <w:tcPr>
            <w:tcW w:w="461"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rPr>
                <w:rFonts w:ascii="Times New" w:hAnsi="Times New" w:cs="Arial"/>
                <w:color w:val="000000"/>
              </w:rPr>
            </w:pPr>
            <w:r>
              <w:rPr>
                <w:rFonts w:ascii="Times New" w:hAnsi="Times New" w:cs="Arial"/>
                <w:color w:val="000000"/>
              </w:rPr>
              <w:t> </w:t>
            </w:r>
          </w:p>
        </w:tc>
        <w:tc>
          <w:tcPr>
            <w:tcW w:w="408"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rPr>
                <w:rFonts w:ascii="Times New" w:hAnsi="Times New" w:cs="Arial"/>
                <w:color w:val="000000"/>
              </w:rPr>
            </w:pPr>
            <w:r>
              <w:rPr>
                <w:rFonts w:ascii="Times New" w:hAnsi="Times New" w:cs="Arial"/>
                <w:color w:val="000000"/>
              </w:rPr>
              <w:t> </w:t>
            </w:r>
          </w:p>
        </w:tc>
        <w:tc>
          <w:tcPr>
            <w:tcW w:w="372"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rPr>
                <w:rFonts w:ascii="Times New" w:hAnsi="Times New" w:cs="Arial"/>
                <w:color w:val="000000"/>
              </w:rPr>
            </w:pPr>
            <w:r>
              <w:rPr>
                <w:rFonts w:ascii="Times New" w:hAnsi="Times New" w:cs="Arial"/>
                <w:color w:val="000000"/>
              </w:rPr>
              <w:t> </w:t>
            </w:r>
          </w:p>
        </w:tc>
        <w:tc>
          <w:tcPr>
            <w:tcW w:w="415"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rPr>
                <w:rFonts w:ascii="Times New" w:hAnsi="Times New" w:cs="Arial"/>
                <w:color w:val="000000"/>
              </w:rPr>
            </w:pPr>
            <w:r>
              <w:rPr>
                <w:rFonts w:ascii="Times New" w:hAnsi="Times New" w:cs="Arial"/>
                <w:color w:val="000000"/>
              </w:rPr>
              <w:t> </w:t>
            </w:r>
          </w:p>
        </w:tc>
        <w:tc>
          <w:tcPr>
            <w:tcW w:w="337"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rPr>
                <w:rFonts w:ascii="Times New" w:hAnsi="Times New" w:cs="Arial"/>
                <w:color w:val="000000"/>
              </w:rPr>
            </w:pPr>
            <w:r>
              <w:rPr>
                <w:rFonts w:ascii="Times New" w:hAnsi="Times New" w:cs="Arial"/>
                <w:color w:val="000000"/>
              </w:rPr>
              <w:t> </w:t>
            </w:r>
          </w:p>
        </w:tc>
        <w:tc>
          <w:tcPr>
            <w:tcW w:w="466"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rPr>
                <w:color w:val="000000"/>
              </w:rPr>
            </w:pPr>
            <w:r>
              <w:rPr>
                <w:color w:val="000000"/>
              </w:rPr>
              <w:t> </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auto"/>
          </w:tcPr>
          <w:p w:rsidR="00000000" w:rsidRDefault="00323237">
            <w:pPr>
              <w:autoSpaceDE/>
              <w:autoSpaceDN/>
              <w:adjustRightInd/>
              <w:rPr>
                <w:color w:val="000000"/>
              </w:rPr>
            </w:pPr>
            <w:r>
              <w:rPr>
                <w:color w:val="000000"/>
              </w:rPr>
              <w:t xml:space="preserve">  E. </w:t>
            </w:r>
            <w:r>
              <w:rPr>
                <w:color w:val="000000"/>
                <w:u w:val="single"/>
              </w:rPr>
              <w:t>Write Report</w:t>
            </w:r>
          </w:p>
        </w:tc>
        <w:tc>
          <w:tcPr>
            <w:tcW w:w="360" w:type="pct"/>
            <w:tcBorders>
              <w:top w:val="nil"/>
              <w:left w:val="nil"/>
              <w:bottom w:val="single" w:sz="4" w:space="0" w:color="auto"/>
              <w:right w:val="single" w:sz="4" w:space="0" w:color="auto"/>
            </w:tcBorders>
            <w:shd w:val="clear" w:color="auto" w:fill="C0C0C0"/>
            <w:noWrap/>
            <w:vAlign w:val="bottom"/>
          </w:tcPr>
          <w:p w:rsidR="00000000" w:rsidRDefault="00323237">
            <w:pPr>
              <w:autoSpaceDE/>
              <w:autoSpaceDN/>
              <w:adjustRightInd/>
              <w:rPr>
                <w:rFonts w:ascii="Arial" w:hAnsi="Arial" w:cs="Arial"/>
              </w:rPr>
            </w:pPr>
            <w:r>
              <w:rPr>
                <w:rFonts w:ascii="Arial" w:hAnsi="Arial" w:cs="Arial"/>
              </w:rPr>
              <w:t> </w:t>
            </w:r>
          </w:p>
        </w:tc>
        <w:tc>
          <w:tcPr>
            <w:tcW w:w="492" w:type="pct"/>
            <w:tcBorders>
              <w:top w:val="nil"/>
              <w:left w:val="nil"/>
              <w:bottom w:val="single" w:sz="4" w:space="0" w:color="auto"/>
              <w:right w:val="single" w:sz="4" w:space="0" w:color="auto"/>
            </w:tcBorders>
            <w:shd w:val="clear" w:color="auto" w:fill="C0C0C0"/>
          </w:tcPr>
          <w:p w:rsidR="00000000" w:rsidRDefault="00323237">
            <w:pPr>
              <w:autoSpaceDE/>
              <w:autoSpaceDN/>
              <w:adjustRightInd/>
              <w:jc w:val="center"/>
              <w:rPr>
                <w:rFonts w:ascii="Times New" w:hAnsi="Times New" w:cs="Arial"/>
                <w:color w:val="000000"/>
              </w:rPr>
            </w:pPr>
            <w:r>
              <w:rPr>
                <w:rFonts w:ascii="Times New" w:hAnsi="Times New" w:cs="Arial"/>
                <w:color w:val="000000"/>
              </w:rPr>
              <w:t> </w:t>
            </w:r>
          </w:p>
        </w:tc>
        <w:tc>
          <w:tcPr>
            <w:tcW w:w="461" w:type="pct"/>
            <w:tcBorders>
              <w:top w:val="nil"/>
              <w:left w:val="nil"/>
              <w:bottom w:val="single" w:sz="4" w:space="0" w:color="auto"/>
              <w:right w:val="single" w:sz="4" w:space="0" w:color="auto"/>
            </w:tcBorders>
            <w:shd w:val="clear" w:color="auto" w:fill="C0C0C0"/>
          </w:tcPr>
          <w:p w:rsidR="00000000" w:rsidRDefault="00323237">
            <w:pPr>
              <w:autoSpaceDE/>
              <w:autoSpaceDN/>
              <w:adjustRightInd/>
              <w:jc w:val="center"/>
              <w:rPr>
                <w:rFonts w:ascii="Times New" w:hAnsi="Times New" w:cs="Arial"/>
                <w:color w:val="000000"/>
              </w:rPr>
            </w:pPr>
            <w:r>
              <w:rPr>
                <w:rFonts w:ascii="Times New" w:hAnsi="Times New" w:cs="Arial"/>
                <w:color w:val="000000"/>
              </w:rPr>
              <w:t> </w:t>
            </w:r>
          </w:p>
        </w:tc>
        <w:tc>
          <w:tcPr>
            <w:tcW w:w="408" w:type="pct"/>
            <w:tcBorders>
              <w:top w:val="nil"/>
              <w:left w:val="nil"/>
              <w:bottom w:val="single" w:sz="4" w:space="0" w:color="auto"/>
              <w:right w:val="single" w:sz="4" w:space="0" w:color="auto"/>
            </w:tcBorders>
            <w:shd w:val="clear" w:color="auto" w:fill="C0C0C0"/>
          </w:tcPr>
          <w:p w:rsidR="00000000" w:rsidRDefault="00323237">
            <w:pPr>
              <w:autoSpaceDE/>
              <w:autoSpaceDN/>
              <w:adjustRightInd/>
              <w:jc w:val="center"/>
              <w:rPr>
                <w:rFonts w:ascii="Times New" w:hAnsi="Times New" w:cs="Arial"/>
                <w:color w:val="000000"/>
              </w:rPr>
            </w:pPr>
            <w:r>
              <w:rPr>
                <w:rFonts w:ascii="Times New" w:hAnsi="Times New" w:cs="Arial"/>
                <w:color w:val="000000"/>
              </w:rPr>
              <w:t> </w:t>
            </w:r>
          </w:p>
        </w:tc>
        <w:tc>
          <w:tcPr>
            <w:tcW w:w="372" w:type="pct"/>
            <w:tcBorders>
              <w:top w:val="nil"/>
              <w:left w:val="nil"/>
              <w:bottom w:val="single" w:sz="4" w:space="0" w:color="auto"/>
              <w:right w:val="single" w:sz="4" w:space="0" w:color="auto"/>
            </w:tcBorders>
            <w:shd w:val="clear" w:color="auto" w:fill="C0C0C0"/>
          </w:tcPr>
          <w:p w:rsidR="00000000" w:rsidRDefault="00323237">
            <w:pPr>
              <w:autoSpaceDE/>
              <w:autoSpaceDN/>
              <w:adjustRightInd/>
              <w:jc w:val="center"/>
              <w:rPr>
                <w:rFonts w:ascii="Times New" w:hAnsi="Times New" w:cs="Arial"/>
                <w:color w:val="000000"/>
              </w:rPr>
            </w:pPr>
            <w:r>
              <w:rPr>
                <w:rFonts w:ascii="Times New" w:hAnsi="Times New" w:cs="Arial"/>
                <w:color w:val="000000"/>
              </w:rPr>
              <w:t> </w:t>
            </w:r>
          </w:p>
        </w:tc>
        <w:tc>
          <w:tcPr>
            <w:tcW w:w="415" w:type="pct"/>
            <w:tcBorders>
              <w:top w:val="nil"/>
              <w:left w:val="nil"/>
              <w:bottom w:val="single" w:sz="4" w:space="0" w:color="auto"/>
              <w:right w:val="single" w:sz="4" w:space="0" w:color="auto"/>
            </w:tcBorders>
            <w:shd w:val="clear" w:color="auto" w:fill="C0C0C0"/>
          </w:tcPr>
          <w:p w:rsidR="00000000" w:rsidRDefault="00323237">
            <w:pPr>
              <w:autoSpaceDE/>
              <w:autoSpaceDN/>
              <w:adjustRightInd/>
              <w:jc w:val="center"/>
              <w:rPr>
                <w:rFonts w:ascii="Times New" w:hAnsi="Times New" w:cs="Arial"/>
                <w:color w:val="000000"/>
              </w:rPr>
            </w:pPr>
            <w:r>
              <w:rPr>
                <w:rFonts w:ascii="Times New" w:hAnsi="Times New" w:cs="Arial"/>
                <w:color w:val="000000"/>
              </w:rPr>
              <w:t> </w:t>
            </w:r>
          </w:p>
        </w:tc>
        <w:tc>
          <w:tcPr>
            <w:tcW w:w="337" w:type="pct"/>
            <w:tcBorders>
              <w:top w:val="nil"/>
              <w:left w:val="nil"/>
              <w:bottom w:val="single" w:sz="4" w:space="0" w:color="auto"/>
              <w:right w:val="single" w:sz="4" w:space="0" w:color="auto"/>
            </w:tcBorders>
            <w:shd w:val="clear" w:color="auto" w:fill="C0C0C0"/>
          </w:tcPr>
          <w:p w:rsidR="00000000" w:rsidRDefault="00323237">
            <w:pPr>
              <w:autoSpaceDE/>
              <w:autoSpaceDN/>
              <w:adjustRightInd/>
              <w:jc w:val="center"/>
              <w:rPr>
                <w:rFonts w:ascii="Times New" w:hAnsi="Times New" w:cs="Arial"/>
                <w:color w:val="000000"/>
              </w:rPr>
            </w:pPr>
            <w:r>
              <w:rPr>
                <w:rFonts w:ascii="Times New" w:hAnsi="Times New" w:cs="Arial"/>
                <w:color w:val="000000"/>
              </w:rPr>
              <w:t> </w:t>
            </w:r>
          </w:p>
        </w:tc>
        <w:tc>
          <w:tcPr>
            <w:tcW w:w="466" w:type="pct"/>
            <w:tcBorders>
              <w:top w:val="nil"/>
              <w:left w:val="nil"/>
              <w:bottom w:val="single" w:sz="4" w:space="0" w:color="auto"/>
              <w:right w:val="single" w:sz="4" w:space="0" w:color="auto"/>
            </w:tcBorders>
            <w:shd w:val="clear" w:color="auto" w:fill="C0C0C0"/>
          </w:tcPr>
          <w:p w:rsidR="00000000" w:rsidRDefault="00323237">
            <w:pPr>
              <w:autoSpaceDE/>
              <w:autoSpaceDN/>
              <w:adjustRightInd/>
              <w:jc w:val="center"/>
              <w:rPr>
                <w:color w:val="000000"/>
              </w:rPr>
            </w:pPr>
            <w:r>
              <w:rPr>
                <w:color w:val="000000"/>
              </w:rPr>
              <w:t> </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tcPr>
          <w:p w:rsidR="00000000" w:rsidRDefault="00323237">
            <w:pPr>
              <w:autoSpaceDE/>
              <w:autoSpaceDN/>
              <w:adjustRightInd/>
              <w:rPr>
                <w:color w:val="000000"/>
              </w:rPr>
            </w:pPr>
            <w:r>
              <w:rPr>
                <w:color w:val="000000"/>
              </w:rPr>
              <w:t xml:space="preserve"> </w:t>
            </w:r>
            <w:r>
              <w:rPr>
                <w:color w:val="000000"/>
              </w:rPr>
              <w:t xml:space="preserve">         Notification of construction/</w:t>
            </w:r>
            <w:proofErr w:type="spellStart"/>
            <w:r>
              <w:rPr>
                <w:color w:val="000000"/>
              </w:rPr>
              <w:t>reconstruction</w:t>
            </w:r>
            <w:r>
              <w:rPr>
                <w:color w:val="000000"/>
                <w:vertAlign w:val="superscript"/>
              </w:rPr>
              <w:t>h</w:t>
            </w:r>
            <w:proofErr w:type="spellEnd"/>
          </w:p>
        </w:tc>
        <w:tc>
          <w:tcPr>
            <w:tcW w:w="360"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jc w:val="center"/>
              <w:rPr>
                <w:rFonts w:ascii="Arial" w:hAnsi="Arial" w:cs="Arial"/>
              </w:rPr>
            </w:pPr>
            <w:r>
              <w:rPr>
                <w:rFonts w:ascii="Arial" w:hAnsi="Arial" w:cs="Arial"/>
              </w:rPr>
              <w:t>2</w:t>
            </w:r>
          </w:p>
        </w:tc>
        <w:tc>
          <w:tcPr>
            <w:tcW w:w="492"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1</w:t>
            </w:r>
          </w:p>
        </w:tc>
        <w:tc>
          <w:tcPr>
            <w:tcW w:w="461"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2</w:t>
            </w:r>
          </w:p>
        </w:tc>
        <w:tc>
          <w:tcPr>
            <w:tcW w:w="408"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9</w:t>
            </w:r>
          </w:p>
        </w:tc>
        <w:tc>
          <w:tcPr>
            <w:tcW w:w="372"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18</w:t>
            </w:r>
          </w:p>
        </w:tc>
        <w:tc>
          <w:tcPr>
            <w:tcW w:w="41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0.9</w:t>
            </w:r>
          </w:p>
        </w:tc>
        <w:tc>
          <w:tcPr>
            <w:tcW w:w="337"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1.8</w:t>
            </w:r>
          </w:p>
        </w:tc>
        <w:tc>
          <w:tcPr>
            <w:tcW w:w="466"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$1,575</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tcPr>
          <w:p w:rsidR="00000000" w:rsidRDefault="00323237">
            <w:pPr>
              <w:autoSpaceDE/>
              <w:autoSpaceDN/>
              <w:adjustRightInd/>
            </w:pPr>
            <w:r>
              <w:t xml:space="preserve">          Initial </w:t>
            </w:r>
            <w:proofErr w:type="spellStart"/>
            <w:r>
              <w:t>notification</w:t>
            </w:r>
            <w:r>
              <w:rPr>
                <w:vertAlign w:val="superscript"/>
              </w:rPr>
              <w:t>i</w:t>
            </w:r>
            <w:proofErr w:type="spellEnd"/>
          </w:p>
        </w:tc>
        <w:tc>
          <w:tcPr>
            <w:tcW w:w="360"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sz w:val="22"/>
                <w:szCs w:val="22"/>
              </w:rPr>
            </w:pPr>
            <w:r>
              <w:rPr>
                <w:sz w:val="22"/>
                <w:szCs w:val="22"/>
              </w:rPr>
              <w:t>2</w:t>
            </w:r>
          </w:p>
        </w:tc>
        <w:tc>
          <w:tcPr>
            <w:tcW w:w="492"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1</w:t>
            </w:r>
          </w:p>
        </w:tc>
        <w:tc>
          <w:tcPr>
            <w:tcW w:w="461"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2</w:t>
            </w:r>
          </w:p>
        </w:tc>
        <w:tc>
          <w:tcPr>
            <w:tcW w:w="408"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160</w:t>
            </w:r>
          </w:p>
        </w:tc>
        <w:tc>
          <w:tcPr>
            <w:tcW w:w="372"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320</w:t>
            </w:r>
          </w:p>
        </w:tc>
        <w:tc>
          <w:tcPr>
            <w:tcW w:w="41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16.0</w:t>
            </w:r>
          </w:p>
        </w:tc>
        <w:tc>
          <w:tcPr>
            <w:tcW w:w="337"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32.0</w:t>
            </w:r>
          </w:p>
        </w:tc>
        <w:tc>
          <w:tcPr>
            <w:tcW w:w="466"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$27,999</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tcPr>
          <w:p w:rsidR="00000000" w:rsidRDefault="00323237">
            <w:pPr>
              <w:autoSpaceDE/>
              <w:autoSpaceDN/>
              <w:adjustRightInd/>
            </w:pPr>
            <w:r>
              <w:t xml:space="preserve">          Notification of compliance </w:t>
            </w:r>
            <w:proofErr w:type="spellStart"/>
            <w:r>
              <w:t>status</w:t>
            </w:r>
            <w:r>
              <w:rPr>
                <w:vertAlign w:val="superscript"/>
              </w:rPr>
              <w:t>j</w:t>
            </w:r>
            <w:proofErr w:type="spellEnd"/>
          </w:p>
        </w:tc>
        <w:tc>
          <w:tcPr>
            <w:tcW w:w="360"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sz w:val="22"/>
                <w:szCs w:val="22"/>
              </w:rPr>
            </w:pPr>
            <w:r>
              <w:rPr>
                <w:sz w:val="22"/>
                <w:szCs w:val="22"/>
              </w:rPr>
              <w:t>8</w:t>
            </w:r>
          </w:p>
        </w:tc>
        <w:tc>
          <w:tcPr>
            <w:tcW w:w="492"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1</w:t>
            </w:r>
          </w:p>
        </w:tc>
        <w:tc>
          <w:tcPr>
            <w:tcW w:w="461"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8</w:t>
            </w:r>
          </w:p>
        </w:tc>
        <w:tc>
          <w:tcPr>
            <w:tcW w:w="408"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160</w:t>
            </w:r>
          </w:p>
        </w:tc>
        <w:tc>
          <w:tcPr>
            <w:tcW w:w="372"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1,280</w:t>
            </w:r>
          </w:p>
        </w:tc>
        <w:tc>
          <w:tcPr>
            <w:tcW w:w="41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64.0</w:t>
            </w:r>
          </w:p>
        </w:tc>
        <w:tc>
          <w:tcPr>
            <w:tcW w:w="337"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128.0</w:t>
            </w:r>
          </w:p>
        </w:tc>
        <w:tc>
          <w:tcPr>
            <w:tcW w:w="466"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$111,996</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tcPr>
          <w:p w:rsidR="00000000" w:rsidRDefault="00323237">
            <w:pPr>
              <w:autoSpaceDE/>
              <w:autoSpaceDN/>
              <w:adjustRightInd/>
            </w:pPr>
            <w:r>
              <w:t xml:space="preserve">          Notification of in</w:t>
            </w:r>
            <w:r>
              <w:t xml:space="preserve">itial performance </w:t>
            </w:r>
            <w:proofErr w:type="spellStart"/>
            <w:r>
              <w:t>test</w:t>
            </w:r>
            <w:r>
              <w:rPr>
                <w:vertAlign w:val="superscript"/>
              </w:rPr>
              <w:t>k</w:t>
            </w:r>
            <w:proofErr w:type="spellEnd"/>
          </w:p>
        </w:tc>
        <w:tc>
          <w:tcPr>
            <w:tcW w:w="360"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sz w:val="22"/>
                <w:szCs w:val="22"/>
              </w:rPr>
            </w:pPr>
            <w:r>
              <w:rPr>
                <w:sz w:val="22"/>
                <w:szCs w:val="22"/>
              </w:rPr>
              <w:t>2</w:t>
            </w:r>
          </w:p>
        </w:tc>
        <w:tc>
          <w:tcPr>
            <w:tcW w:w="492"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1</w:t>
            </w:r>
          </w:p>
        </w:tc>
        <w:tc>
          <w:tcPr>
            <w:tcW w:w="461"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2</w:t>
            </w:r>
          </w:p>
        </w:tc>
        <w:tc>
          <w:tcPr>
            <w:tcW w:w="408"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5.66</w:t>
            </w:r>
          </w:p>
        </w:tc>
        <w:tc>
          <w:tcPr>
            <w:tcW w:w="372"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11.32</w:t>
            </w:r>
          </w:p>
        </w:tc>
        <w:tc>
          <w:tcPr>
            <w:tcW w:w="41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0.6</w:t>
            </w:r>
          </w:p>
        </w:tc>
        <w:tc>
          <w:tcPr>
            <w:tcW w:w="337"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1.1</w:t>
            </w:r>
          </w:p>
        </w:tc>
        <w:tc>
          <w:tcPr>
            <w:tcW w:w="466"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$990</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auto"/>
          </w:tcPr>
          <w:p w:rsidR="00000000" w:rsidRDefault="00323237">
            <w:pPr>
              <w:autoSpaceDE/>
              <w:autoSpaceDN/>
              <w:adjustRightInd/>
              <w:rPr>
                <w:color w:val="000000"/>
              </w:rPr>
            </w:pPr>
            <w:r>
              <w:rPr>
                <w:color w:val="000000"/>
              </w:rPr>
              <w:t xml:space="preserve">          Report of performance test</w:t>
            </w:r>
          </w:p>
        </w:tc>
        <w:tc>
          <w:tcPr>
            <w:tcW w:w="360"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Included in 3B</w:t>
            </w:r>
          </w:p>
        </w:tc>
        <w:tc>
          <w:tcPr>
            <w:tcW w:w="492"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 </w:t>
            </w:r>
          </w:p>
        </w:tc>
        <w:tc>
          <w:tcPr>
            <w:tcW w:w="461"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 </w:t>
            </w:r>
          </w:p>
        </w:tc>
        <w:tc>
          <w:tcPr>
            <w:tcW w:w="408"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 </w:t>
            </w:r>
          </w:p>
        </w:tc>
        <w:tc>
          <w:tcPr>
            <w:tcW w:w="372"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 </w:t>
            </w:r>
          </w:p>
        </w:tc>
        <w:tc>
          <w:tcPr>
            <w:tcW w:w="41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 </w:t>
            </w:r>
          </w:p>
        </w:tc>
        <w:tc>
          <w:tcPr>
            <w:tcW w:w="337"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 </w:t>
            </w:r>
          </w:p>
        </w:tc>
        <w:tc>
          <w:tcPr>
            <w:tcW w:w="466"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 </w:t>
            </w:r>
          </w:p>
        </w:tc>
      </w:tr>
      <w:tr w:rsidR="00000000">
        <w:trPr>
          <w:trHeight w:val="315"/>
        </w:trPr>
        <w:tc>
          <w:tcPr>
            <w:tcW w:w="1689" w:type="pct"/>
            <w:tcBorders>
              <w:top w:val="single" w:sz="4" w:space="0" w:color="auto"/>
              <w:left w:val="single" w:sz="4" w:space="0" w:color="auto"/>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xml:space="preserve">          Semiannual compliance </w:t>
            </w:r>
            <w:proofErr w:type="spellStart"/>
            <w:r>
              <w:rPr>
                <w:color w:val="000000"/>
              </w:rPr>
              <w:t>reports</w:t>
            </w:r>
            <w:r>
              <w:rPr>
                <w:color w:val="000000"/>
                <w:vertAlign w:val="superscript"/>
              </w:rPr>
              <w:t>l</w:t>
            </w:r>
            <w:proofErr w:type="spellEnd"/>
          </w:p>
        </w:tc>
        <w:tc>
          <w:tcPr>
            <w:tcW w:w="360" w:type="pct"/>
            <w:tcBorders>
              <w:top w:val="single" w:sz="4" w:space="0" w:color="auto"/>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8</w:t>
            </w:r>
          </w:p>
        </w:tc>
        <w:tc>
          <w:tcPr>
            <w:tcW w:w="492" w:type="pct"/>
            <w:tcBorders>
              <w:top w:val="single" w:sz="4" w:space="0" w:color="auto"/>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1</w:t>
            </w:r>
          </w:p>
        </w:tc>
        <w:tc>
          <w:tcPr>
            <w:tcW w:w="461" w:type="pct"/>
            <w:tcBorders>
              <w:top w:val="single" w:sz="4" w:space="0" w:color="auto"/>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8</w:t>
            </w:r>
          </w:p>
        </w:tc>
        <w:tc>
          <w:tcPr>
            <w:tcW w:w="408" w:type="pct"/>
            <w:tcBorders>
              <w:top w:val="single" w:sz="4" w:space="0" w:color="auto"/>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7.2</w:t>
            </w:r>
          </w:p>
        </w:tc>
        <w:tc>
          <w:tcPr>
            <w:tcW w:w="372" w:type="pct"/>
            <w:tcBorders>
              <w:top w:val="single" w:sz="4" w:space="0" w:color="auto"/>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57.6</w:t>
            </w:r>
          </w:p>
        </w:tc>
        <w:tc>
          <w:tcPr>
            <w:tcW w:w="415" w:type="pct"/>
            <w:tcBorders>
              <w:top w:val="single" w:sz="4" w:space="0" w:color="auto"/>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2.9</w:t>
            </w:r>
          </w:p>
        </w:tc>
        <w:tc>
          <w:tcPr>
            <w:tcW w:w="337" w:type="pct"/>
            <w:tcBorders>
              <w:top w:val="single" w:sz="4" w:space="0" w:color="auto"/>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5.8</w:t>
            </w:r>
          </w:p>
        </w:tc>
        <w:tc>
          <w:tcPr>
            <w:tcW w:w="466" w:type="pct"/>
            <w:tcBorders>
              <w:top w:val="single" w:sz="4" w:space="0" w:color="auto"/>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$5,040</w:t>
            </w:r>
          </w:p>
        </w:tc>
      </w:tr>
      <w:tr w:rsidR="00000000">
        <w:trPr>
          <w:trHeight w:val="315"/>
        </w:trPr>
        <w:tc>
          <w:tcPr>
            <w:tcW w:w="1689" w:type="pct"/>
            <w:tcBorders>
              <w:top w:val="single" w:sz="4" w:space="0" w:color="auto"/>
              <w:left w:val="single" w:sz="4" w:space="0" w:color="auto"/>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xml:space="preserve">F. </w:t>
            </w:r>
            <w:r>
              <w:rPr>
                <w:color w:val="000000"/>
                <w:u w:val="single"/>
              </w:rPr>
              <w:t xml:space="preserve">Affirmative </w:t>
            </w:r>
            <w:proofErr w:type="spellStart"/>
            <w:r>
              <w:rPr>
                <w:color w:val="000000"/>
                <w:u w:val="single"/>
              </w:rPr>
              <w:t>defense</w:t>
            </w:r>
            <w:r>
              <w:rPr>
                <w:color w:val="000000"/>
                <w:vertAlign w:val="superscript"/>
              </w:rPr>
              <w:t>ff</w:t>
            </w:r>
            <w:proofErr w:type="spellEnd"/>
          </w:p>
        </w:tc>
        <w:tc>
          <w:tcPr>
            <w:tcW w:w="360" w:type="pct"/>
            <w:tcBorders>
              <w:top w:val="single" w:sz="4" w:space="0" w:color="auto"/>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18</w:t>
            </w:r>
          </w:p>
        </w:tc>
        <w:tc>
          <w:tcPr>
            <w:tcW w:w="492" w:type="pct"/>
            <w:tcBorders>
              <w:top w:val="single" w:sz="4" w:space="0" w:color="auto"/>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w:t>
            </w:r>
          </w:p>
        </w:tc>
        <w:tc>
          <w:tcPr>
            <w:tcW w:w="461" w:type="pct"/>
            <w:tcBorders>
              <w:top w:val="single" w:sz="4" w:space="0" w:color="auto"/>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w:t>
            </w:r>
          </w:p>
        </w:tc>
        <w:tc>
          <w:tcPr>
            <w:tcW w:w="408" w:type="pct"/>
            <w:tcBorders>
              <w:top w:val="single" w:sz="4" w:space="0" w:color="auto"/>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0.67</w:t>
            </w:r>
          </w:p>
        </w:tc>
        <w:tc>
          <w:tcPr>
            <w:tcW w:w="372" w:type="pct"/>
            <w:tcBorders>
              <w:top w:val="single" w:sz="4" w:space="0" w:color="auto"/>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12</w:t>
            </w:r>
          </w:p>
        </w:tc>
        <w:tc>
          <w:tcPr>
            <w:tcW w:w="415" w:type="pct"/>
            <w:tcBorders>
              <w:top w:val="single" w:sz="4" w:space="0" w:color="auto"/>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8</w:t>
            </w:r>
          </w:p>
        </w:tc>
        <w:tc>
          <w:tcPr>
            <w:tcW w:w="337" w:type="pct"/>
            <w:tcBorders>
              <w:top w:val="single" w:sz="4" w:space="0" w:color="auto"/>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0</w:t>
            </w:r>
          </w:p>
        </w:tc>
        <w:tc>
          <w:tcPr>
            <w:tcW w:w="466" w:type="pct"/>
            <w:tcBorders>
              <w:top w:val="single" w:sz="4" w:space="0" w:color="auto"/>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$2,958</w:t>
            </w:r>
          </w:p>
        </w:tc>
      </w:tr>
    </w:tbl>
    <w:p w:rsidR="00000000" w:rsidRDefault="00323237">
      <w:r>
        <w:br w:type="page"/>
      </w:r>
    </w:p>
    <w:tbl>
      <w:tblPr>
        <w:tblW w:w="5000" w:type="pct"/>
        <w:tblLook w:val="0000"/>
      </w:tblPr>
      <w:tblGrid>
        <w:gridCol w:w="5132"/>
        <w:gridCol w:w="1458"/>
        <w:gridCol w:w="1133"/>
        <w:gridCol w:w="1401"/>
        <w:gridCol w:w="1240"/>
        <w:gridCol w:w="1130"/>
        <w:gridCol w:w="1261"/>
        <w:gridCol w:w="1024"/>
        <w:gridCol w:w="1413"/>
      </w:tblGrid>
      <w:tr w:rsidR="00000000">
        <w:trPr>
          <w:trHeight w:val="255"/>
        </w:trPr>
        <w:tc>
          <w:tcPr>
            <w:tcW w:w="1689" w:type="pct"/>
            <w:tcBorders>
              <w:top w:val="single" w:sz="4" w:space="0" w:color="auto"/>
              <w:left w:val="single" w:sz="4" w:space="0" w:color="auto"/>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4.  RECO</w:t>
            </w:r>
            <w:r>
              <w:rPr>
                <w:color w:val="000000"/>
              </w:rPr>
              <w:t>RDKEEPING REQUIREMENTS</w:t>
            </w:r>
          </w:p>
        </w:tc>
        <w:tc>
          <w:tcPr>
            <w:tcW w:w="480" w:type="pct"/>
            <w:tcBorders>
              <w:top w:val="single" w:sz="4" w:space="0" w:color="auto"/>
              <w:left w:val="nil"/>
              <w:bottom w:val="single" w:sz="4" w:space="0" w:color="auto"/>
              <w:right w:val="single" w:sz="4" w:space="0" w:color="auto"/>
            </w:tcBorders>
            <w:shd w:val="clear" w:color="auto" w:fill="C0C0C0"/>
            <w:vAlign w:val="bottom"/>
          </w:tcPr>
          <w:p w:rsidR="00000000" w:rsidRDefault="00323237">
            <w:pPr>
              <w:autoSpaceDE/>
              <w:autoSpaceDN/>
              <w:adjustRightInd/>
              <w:jc w:val="center"/>
              <w:rPr>
                <w:color w:val="000000"/>
              </w:rPr>
            </w:pPr>
            <w:r>
              <w:rPr>
                <w:color w:val="000000"/>
              </w:rPr>
              <w:t> </w:t>
            </w:r>
          </w:p>
        </w:tc>
        <w:tc>
          <w:tcPr>
            <w:tcW w:w="373" w:type="pct"/>
            <w:tcBorders>
              <w:top w:val="single" w:sz="4" w:space="0" w:color="auto"/>
              <w:left w:val="nil"/>
              <w:bottom w:val="single" w:sz="4" w:space="0" w:color="auto"/>
              <w:right w:val="single" w:sz="4" w:space="0" w:color="auto"/>
            </w:tcBorders>
            <w:shd w:val="clear" w:color="auto" w:fill="C0C0C0"/>
            <w:vAlign w:val="bottom"/>
          </w:tcPr>
          <w:p w:rsidR="00000000" w:rsidRDefault="00323237">
            <w:pPr>
              <w:autoSpaceDE/>
              <w:autoSpaceDN/>
              <w:adjustRightInd/>
              <w:jc w:val="center"/>
              <w:rPr>
                <w:color w:val="000000"/>
              </w:rPr>
            </w:pPr>
            <w:r>
              <w:rPr>
                <w:color w:val="000000"/>
              </w:rPr>
              <w:t> </w:t>
            </w:r>
          </w:p>
        </w:tc>
        <w:tc>
          <w:tcPr>
            <w:tcW w:w="461" w:type="pct"/>
            <w:tcBorders>
              <w:top w:val="single" w:sz="4" w:space="0" w:color="auto"/>
              <w:left w:val="nil"/>
              <w:bottom w:val="single" w:sz="4" w:space="0" w:color="auto"/>
              <w:right w:val="single" w:sz="4" w:space="0" w:color="auto"/>
            </w:tcBorders>
            <w:shd w:val="clear" w:color="auto" w:fill="C0C0C0"/>
            <w:vAlign w:val="bottom"/>
          </w:tcPr>
          <w:p w:rsidR="00000000" w:rsidRDefault="00323237">
            <w:pPr>
              <w:autoSpaceDE/>
              <w:autoSpaceDN/>
              <w:adjustRightInd/>
              <w:jc w:val="center"/>
              <w:rPr>
                <w:color w:val="000000"/>
              </w:rPr>
            </w:pPr>
            <w:r>
              <w:rPr>
                <w:color w:val="000000"/>
              </w:rPr>
              <w:t> </w:t>
            </w:r>
          </w:p>
        </w:tc>
        <w:tc>
          <w:tcPr>
            <w:tcW w:w="408" w:type="pct"/>
            <w:tcBorders>
              <w:top w:val="single" w:sz="4" w:space="0" w:color="auto"/>
              <w:left w:val="nil"/>
              <w:bottom w:val="single" w:sz="4" w:space="0" w:color="auto"/>
              <w:right w:val="single" w:sz="4" w:space="0" w:color="auto"/>
            </w:tcBorders>
            <w:shd w:val="clear" w:color="auto" w:fill="C0C0C0"/>
          </w:tcPr>
          <w:p w:rsidR="00000000" w:rsidRDefault="00323237">
            <w:pPr>
              <w:autoSpaceDE/>
              <w:autoSpaceDN/>
              <w:adjustRightInd/>
              <w:jc w:val="center"/>
              <w:rPr>
                <w:color w:val="000000"/>
              </w:rPr>
            </w:pPr>
            <w:r>
              <w:rPr>
                <w:color w:val="000000"/>
              </w:rPr>
              <w:t> </w:t>
            </w:r>
          </w:p>
        </w:tc>
        <w:tc>
          <w:tcPr>
            <w:tcW w:w="372" w:type="pct"/>
            <w:tcBorders>
              <w:top w:val="single" w:sz="4" w:space="0" w:color="auto"/>
              <w:left w:val="nil"/>
              <w:bottom w:val="single" w:sz="4" w:space="0" w:color="auto"/>
              <w:right w:val="single" w:sz="4" w:space="0" w:color="auto"/>
            </w:tcBorders>
            <w:shd w:val="clear" w:color="auto" w:fill="C0C0C0"/>
            <w:vAlign w:val="bottom"/>
          </w:tcPr>
          <w:p w:rsidR="00000000" w:rsidRDefault="00323237">
            <w:pPr>
              <w:autoSpaceDE/>
              <w:autoSpaceDN/>
              <w:adjustRightInd/>
              <w:jc w:val="center"/>
              <w:rPr>
                <w:color w:val="000000"/>
              </w:rPr>
            </w:pPr>
            <w:r>
              <w:rPr>
                <w:color w:val="000000"/>
              </w:rPr>
              <w:t> </w:t>
            </w:r>
          </w:p>
        </w:tc>
        <w:tc>
          <w:tcPr>
            <w:tcW w:w="415" w:type="pct"/>
            <w:tcBorders>
              <w:top w:val="single" w:sz="4" w:space="0" w:color="auto"/>
              <w:left w:val="nil"/>
              <w:bottom w:val="single" w:sz="4" w:space="0" w:color="auto"/>
              <w:right w:val="single" w:sz="4" w:space="0" w:color="auto"/>
            </w:tcBorders>
            <w:shd w:val="clear" w:color="auto" w:fill="C0C0C0"/>
            <w:vAlign w:val="bottom"/>
          </w:tcPr>
          <w:p w:rsidR="00000000" w:rsidRDefault="00323237">
            <w:pPr>
              <w:autoSpaceDE/>
              <w:autoSpaceDN/>
              <w:adjustRightInd/>
              <w:jc w:val="center"/>
              <w:rPr>
                <w:color w:val="000000"/>
              </w:rPr>
            </w:pPr>
            <w:r>
              <w:rPr>
                <w:color w:val="000000"/>
              </w:rPr>
              <w:t> </w:t>
            </w:r>
          </w:p>
        </w:tc>
        <w:tc>
          <w:tcPr>
            <w:tcW w:w="337" w:type="pct"/>
            <w:tcBorders>
              <w:top w:val="single" w:sz="4" w:space="0" w:color="auto"/>
              <w:left w:val="nil"/>
              <w:bottom w:val="single" w:sz="4" w:space="0" w:color="auto"/>
              <w:right w:val="single" w:sz="4" w:space="0" w:color="auto"/>
            </w:tcBorders>
            <w:shd w:val="clear" w:color="auto" w:fill="C0C0C0"/>
            <w:vAlign w:val="bottom"/>
          </w:tcPr>
          <w:p w:rsidR="00000000" w:rsidRDefault="00323237">
            <w:pPr>
              <w:autoSpaceDE/>
              <w:autoSpaceDN/>
              <w:adjustRightInd/>
              <w:jc w:val="center"/>
              <w:rPr>
                <w:color w:val="000000"/>
              </w:rPr>
            </w:pPr>
            <w:r>
              <w:rPr>
                <w:color w:val="000000"/>
              </w:rPr>
              <w:t> </w:t>
            </w:r>
          </w:p>
        </w:tc>
        <w:tc>
          <w:tcPr>
            <w:tcW w:w="465" w:type="pct"/>
            <w:tcBorders>
              <w:top w:val="single" w:sz="4" w:space="0" w:color="auto"/>
              <w:left w:val="nil"/>
              <w:bottom w:val="single" w:sz="4" w:space="0" w:color="auto"/>
              <w:right w:val="single" w:sz="4" w:space="0" w:color="auto"/>
            </w:tcBorders>
            <w:shd w:val="clear" w:color="auto" w:fill="C0C0C0"/>
            <w:vAlign w:val="bottom"/>
          </w:tcPr>
          <w:p w:rsidR="00000000" w:rsidRDefault="00323237">
            <w:pPr>
              <w:autoSpaceDE/>
              <w:autoSpaceDN/>
              <w:adjustRightInd/>
              <w:jc w:val="center"/>
              <w:rPr>
                <w:color w:val="000000"/>
              </w:rPr>
            </w:pPr>
            <w:r>
              <w:rPr>
                <w:color w:val="000000"/>
              </w:rPr>
              <w:t> </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xml:space="preserve">  A. </w:t>
            </w:r>
            <w:r>
              <w:rPr>
                <w:color w:val="000000"/>
                <w:u w:val="single"/>
              </w:rPr>
              <w:t xml:space="preserve">Read </w:t>
            </w:r>
            <w:proofErr w:type="spellStart"/>
            <w:r>
              <w:rPr>
                <w:color w:val="000000"/>
                <w:u w:val="single"/>
              </w:rPr>
              <w:t>Instructions</w:t>
            </w:r>
            <w:r>
              <w:rPr>
                <w:color w:val="000000"/>
                <w:vertAlign w:val="superscript"/>
              </w:rPr>
              <w:t>e</w:t>
            </w:r>
            <w:proofErr w:type="spellEnd"/>
          </w:p>
        </w:tc>
        <w:tc>
          <w:tcPr>
            <w:tcW w:w="480"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4</w:t>
            </w:r>
          </w:p>
        </w:tc>
        <w:tc>
          <w:tcPr>
            <w:tcW w:w="373"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1</w:t>
            </w:r>
          </w:p>
        </w:tc>
        <w:tc>
          <w:tcPr>
            <w:tcW w:w="461"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4</w:t>
            </w:r>
          </w:p>
        </w:tc>
        <w:tc>
          <w:tcPr>
            <w:tcW w:w="408"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160</w:t>
            </w:r>
          </w:p>
        </w:tc>
        <w:tc>
          <w:tcPr>
            <w:tcW w:w="372"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640</w:t>
            </w:r>
          </w:p>
        </w:tc>
        <w:tc>
          <w:tcPr>
            <w:tcW w:w="41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32.0</w:t>
            </w:r>
          </w:p>
        </w:tc>
        <w:tc>
          <w:tcPr>
            <w:tcW w:w="337"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64.0</w:t>
            </w:r>
          </w:p>
        </w:tc>
        <w:tc>
          <w:tcPr>
            <w:tcW w:w="46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$55,998</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xml:space="preserve">  B. </w:t>
            </w:r>
            <w:r>
              <w:rPr>
                <w:color w:val="000000"/>
                <w:u w:val="single"/>
              </w:rPr>
              <w:t>Plan Activities</w:t>
            </w:r>
          </w:p>
        </w:tc>
        <w:tc>
          <w:tcPr>
            <w:tcW w:w="480"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Included in 3B</w:t>
            </w:r>
          </w:p>
        </w:tc>
        <w:tc>
          <w:tcPr>
            <w:tcW w:w="373"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 </w:t>
            </w:r>
          </w:p>
        </w:tc>
        <w:tc>
          <w:tcPr>
            <w:tcW w:w="461"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 </w:t>
            </w:r>
          </w:p>
        </w:tc>
        <w:tc>
          <w:tcPr>
            <w:tcW w:w="408"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rPr>
                <w:color w:val="000000"/>
              </w:rPr>
            </w:pPr>
            <w:r>
              <w:rPr>
                <w:color w:val="000000"/>
              </w:rPr>
              <w:t> </w:t>
            </w:r>
          </w:p>
        </w:tc>
        <w:tc>
          <w:tcPr>
            <w:tcW w:w="372"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 </w:t>
            </w:r>
          </w:p>
        </w:tc>
        <w:tc>
          <w:tcPr>
            <w:tcW w:w="41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 </w:t>
            </w:r>
          </w:p>
        </w:tc>
        <w:tc>
          <w:tcPr>
            <w:tcW w:w="337"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 </w:t>
            </w:r>
          </w:p>
        </w:tc>
        <w:tc>
          <w:tcPr>
            <w:tcW w:w="46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 </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xml:space="preserve">  C. </w:t>
            </w:r>
            <w:r>
              <w:rPr>
                <w:color w:val="000000"/>
                <w:u w:val="single"/>
              </w:rPr>
              <w:t>Implement Activities</w:t>
            </w:r>
          </w:p>
        </w:tc>
        <w:tc>
          <w:tcPr>
            <w:tcW w:w="480" w:type="pct"/>
            <w:tcBorders>
              <w:top w:val="nil"/>
              <w:left w:val="nil"/>
              <w:bottom w:val="single" w:sz="4" w:space="0" w:color="auto"/>
              <w:right w:val="single" w:sz="4" w:space="0" w:color="auto"/>
            </w:tcBorders>
            <w:shd w:val="clear" w:color="auto" w:fill="C0C0C0"/>
            <w:vAlign w:val="bottom"/>
          </w:tcPr>
          <w:p w:rsidR="00000000" w:rsidRDefault="00323237">
            <w:pPr>
              <w:autoSpaceDE/>
              <w:autoSpaceDN/>
              <w:adjustRightInd/>
              <w:jc w:val="center"/>
              <w:rPr>
                <w:color w:val="000000"/>
              </w:rPr>
            </w:pPr>
            <w:r>
              <w:rPr>
                <w:color w:val="000000"/>
              </w:rPr>
              <w:t> </w:t>
            </w:r>
          </w:p>
        </w:tc>
        <w:tc>
          <w:tcPr>
            <w:tcW w:w="373" w:type="pct"/>
            <w:tcBorders>
              <w:top w:val="nil"/>
              <w:left w:val="nil"/>
              <w:bottom w:val="single" w:sz="4" w:space="0" w:color="auto"/>
              <w:right w:val="single" w:sz="4" w:space="0" w:color="auto"/>
            </w:tcBorders>
            <w:shd w:val="clear" w:color="auto" w:fill="C0C0C0"/>
            <w:vAlign w:val="bottom"/>
          </w:tcPr>
          <w:p w:rsidR="00000000" w:rsidRDefault="00323237">
            <w:pPr>
              <w:autoSpaceDE/>
              <w:autoSpaceDN/>
              <w:adjustRightInd/>
              <w:jc w:val="center"/>
              <w:rPr>
                <w:color w:val="000000"/>
              </w:rPr>
            </w:pPr>
            <w:r>
              <w:rPr>
                <w:color w:val="000000"/>
              </w:rPr>
              <w:t> </w:t>
            </w:r>
          </w:p>
        </w:tc>
        <w:tc>
          <w:tcPr>
            <w:tcW w:w="461" w:type="pct"/>
            <w:tcBorders>
              <w:top w:val="nil"/>
              <w:left w:val="nil"/>
              <w:bottom w:val="single" w:sz="4" w:space="0" w:color="auto"/>
              <w:right w:val="single" w:sz="4" w:space="0" w:color="auto"/>
            </w:tcBorders>
            <w:shd w:val="clear" w:color="auto" w:fill="C0C0C0"/>
            <w:vAlign w:val="bottom"/>
          </w:tcPr>
          <w:p w:rsidR="00000000" w:rsidRDefault="00323237">
            <w:pPr>
              <w:autoSpaceDE/>
              <w:autoSpaceDN/>
              <w:adjustRightInd/>
              <w:jc w:val="center"/>
              <w:rPr>
                <w:color w:val="000000"/>
              </w:rPr>
            </w:pPr>
            <w:r>
              <w:rPr>
                <w:color w:val="000000"/>
              </w:rPr>
              <w:t> </w:t>
            </w:r>
          </w:p>
        </w:tc>
        <w:tc>
          <w:tcPr>
            <w:tcW w:w="408" w:type="pct"/>
            <w:tcBorders>
              <w:top w:val="nil"/>
              <w:left w:val="nil"/>
              <w:bottom w:val="single" w:sz="4" w:space="0" w:color="auto"/>
              <w:right w:val="single" w:sz="4" w:space="0" w:color="auto"/>
            </w:tcBorders>
            <w:shd w:val="clear" w:color="auto" w:fill="C0C0C0"/>
          </w:tcPr>
          <w:p w:rsidR="00000000" w:rsidRDefault="00323237">
            <w:pPr>
              <w:autoSpaceDE/>
              <w:autoSpaceDN/>
              <w:adjustRightInd/>
              <w:jc w:val="center"/>
              <w:rPr>
                <w:color w:val="000000"/>
              </w:rPr>
            </w:pPr>
            <w:r>
              <w:rPr>
                <w:color w:val="000000"/>
              </w:rPr>
              <w:t> </w:t>
            </w:r>
          </w:p>
        </w:tc>
        <w:tc>
          <w:tcPr>
            <w:tcW w:w="372" w:type="pct"/>
            <w:tcBorders>
              <w:top w:val="nil"/>
              <w:left w:val="nil"/>
              <w:bottom w:val="single" w:sz="4" w:space="0" w:color="auto"/>
              <w:right w:val="single" w:sz="4" w:space="0" w:color="auto"/>
            </w:tcBorders>
            <w:shd w:val="clear" w:color="auto" w:fill="C0C0C0"/>
            <w:vAlign w:val="bottom"/>
          </w:tcPr>
          <w:p w:rsidR="00000000" w:rsidRDefault="00323237">
            <w:pPr>
              <w:autoSpaceDE/>
              <w:autoSpaceDN/>
              <w:adjustRightInd/>
              <w:jc w:val="center"/>
              <w:rPr>
                <w:color w:val="000000"/>
              </w:rPr>
            </w:pPr>
            <w:r>
              <w:rPr>
                <w:color w:val="000000"/>
              </w:rPr>
              <w:t> </w:t>
            </w:r>
          </w:p>
        </w:tc>
        <w:tc>
          <w:tcPr>
            <w:tcW w:w="415" w:type="pct"/>
            <w:tcBorders>
              <w:top w:val="nil"/>
              <w:left w:val="nil"/>
              <w:bottom w:val="single" w:sz="4" w:space="0" w:color="auto"/>
              <w:right w:val="single" w:sz="4" w:space="0" w:color="auto"/>
            </w:tcBorders>
            <w:shd w:val="clear" w:color="auto" w:fill="C0C0C0"/>
            <w:vAlign w:val="bottom"/>
          </w:tcPr>
          <w:p w:rsidR="00000000" w:rsidRDefault="00323237">
            <w:pPr>
              <w:autoSpaceDE/>
              <w:autoSpaceDN/>
              <w:adjustRightInd/>
              <w:jc w:val="center"/>
              <w:rPr>
                <w:color w:val="000000"/>
              </w:rPr>
            </w:pPr>
            <w:r>
              <w:rPr>
                <w:color w:val="000000"/>
              </w:rPr>
              <w:t> </w:t>
            </w:r>
          </w:p>
        </w:tc>
        <w:tc>
          <w:tcPr>
            <w:tcW w:w="337" w:type="pct"/>
            <w:tcBorders>
              <w:top w:val="nil"/>
              <w:left w:val="nil"/>
              <w:bottom w:val="single" w:sz="4" w:space="0" w:color="auto"/>
              <w:right w:val="single" w:sz="4" w:space="0" w:color="auto"/>
            </w:tcBorders>
            <w:shd w:val="clear" w:color="auto" w:fill="C0C0C0"/>
            <w:vAlign w:val="bottom"/>
          </w:tcPr>
          <w:p w:rsidR="00000000" w:rsidRDefault="00323237">
            <w:pPr>
              <w:autoSpaceDE/>
              <w:autoSpaceDN/>
              <w:adjustRightInd/>
              <w:jc w:val="center"/>
              <w:rPr>
                <w:color w:val="000000"/>
              </w:rPr>
            </w:pPr>
            <w:r>
              <w:rPr>
                <w:color w:val="000000"/>
              </w:rPr>
              <w:t> </w:t>
            </w:r>
          </w:p>
        </w:tc>
        <w:tc>
          <w:tcPr>
            <w:tcW w:w="465" w:type="pct"/>
            <w:tcBorders>
              <w:top w:val="nil"/>
              <w:left w:val="nil"/>
              <w:bottom w:val="single" w:sz="4" w:space="0" w:color="auto"/>
              <w:right w:val="single" w:sz="4" w:space="0" w:color="auto"/>
            </w:tcBorders>
            <w:shd w:val="clear" w:color="auto" w:fill="C0C0C0"/>
            <w:vAlign w:val="bottom"/>
          </w:tcPr>
          <w:p w:rsidR="00000000" w:rsidRDefault="00323237">
            <w:pPr>
              <w:autoSpaceDE/>
              <w:autoSpaceDN/>
              <w:adjustRightInd/>
              <w:jc w:val="center"/>
              <w:rPr>
                <w:color w:val="000000"/>
              </w:rPr>
            </w:pPr>
            <w:r>
              <w:rPr>
                <w:color w:val="000000"/>
              </w:rPr>
              <w:t> </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xml:space="preserve">      Initial calculations and demonstrations</w:t>
            </w:r>
          </w:p>
        </w:tc>
        <w:tc>
          <w:tcPr>
            <w:tcW w:w="480" w:type="pct"/>
            <w:tcBorders>
              <w:top w:val="nil"/>
              <w:left w:val="nil"/>
              <w:bottom w:val="single" w:sz="4" w:space="0" w:color="auto"/>
              <w:right w:val="single" w:sz="4" w:space="0" w:color="auto"/>
            </w:tcBorders>
            <w:shd w:val="clear" w:color="auto" w:fill="C0C0C0"/>
            <w:vAlign w:val="bottom"/>
          </w:tcPr>
          <w:p w:rsidR="00000000" w:rsidRDefault="00323237">
            <w:pPr>
              <w:autoSpaceDE/>
              <w:autoSpaceDN/>
              <w:adjustRightInd/>
              <w:jc w:val="center"/>
              <w:rPr>
                <w:color w:val="000000"/>
              </w:rPr>
            </w:pPr>
            <w:r>
              <w:rPr>
                <w:color w:val="000000"/>
              </w:rPr>
              <w:t> </w:t>
            </w:r>
          </w:p>
        </w:tc>
        <w:tc>
          <w:tcPr>
            <w:tcW w:w="373" w:type="pct"/>
            <w:tcBorders>
              <w:top w:val="nil"/>
              <w:left w:val="nil"/>
              <w:bottom w:val="single" w:sz="4" w:space="0" w:color="auto"/>
              <w:right w:val="single" w:sz="4" w:space="0" w:color="auto"/>
            </w:tcBorders>
            <w:shd w:val="clear" w:color="auto" w:fill="C0C0C0"/>
            <w:vAlign w:val="bottom"/>
          </w:tcPr>
          <w:p w:rsidR="00000000" w:rsidRDefault="00323237">
            <w:pPr>
              <w:autoSpaceDE/>
              <w:autoSpaceDN/>
              <w:adjustRightInd/>
              <w:jc w:val="center"/>
              <w:rPr>
                <w:color w:val="000000"/>
              </w:rPr>
            </w:pPr>
            <w:r>
              <w:rPr>
                <w:color w:val="000000"/>
              </w:rPr>
              <w:t> </w:t>
            </w:r>
          </w:p>
        </w:tc>
        <w:tc>
          <w:tcPr>
            <w:tcW w:w="461" w:type="pct"/>
            <w:tcBorders>
              <w:top w:val="nil"/>
              <w:left w:val="nil"/>
              <w:bottom w:val="single" w:sz="4" w:space="0" w:color="auto"/>
              <w:right w:val="single" w:sz="4" w:space="0" w:color="auto"/>
            </w:tcBorders>
            <w:shd w:val="clear" w:color="auto" w:fill="C0C0C0"/>
            <w:vAlign w:val="bottom"/>
          </w:tcPr>
          <w:p w:rsidR="00000000" w:rsidRDefault="00323237">
            <w:pPr>
              <w:autoSpaceDE/>
              <w:autoSpaceDN/>
              <w:adjustRightInd/>
              <w:jc w:val="center"/>
              <w:rPr>
                <w:color w:val="000000"/>
              </w:rPr>
            </w:pPr>
            <w:r>
              <w:rPr>
                <w:color w:val="000000"/>
              </w:rPr>
              <w:t> </w:t>
            </w:r>
          </w:p>
        </w:tc>
        <w:tc>
          <w:tcPr>
            <w:tcW w:w="408" w:type="pct"/>
            <w:tcBorders>
              <w:top w:val="nil"/>
              <w:left w:val="nil"/>
              <w:bottom w:val="single" w:sz="4" w:space="0" w:color="auto"/>
              <w:right w:val="single" w:sz="4" w:space="0" w:color="auto"/>
            </w:tcBorders>
            <w:shd w:val="clear" w:color="auto" w:fill="C0C0C0"/>
          </w:tcPr>
          <w:p w:rsidR="00000000" w:rsidRDefault="00323237">
            <w:pPr>
              <w:autoSpaceDE/>
              <w:autoSpaceDN/>
              <w:adjustRightInd/>
              <w:jc w:val="center"/>
              <w:rPr>
                <w:color w:val="000000"/>
              </w:rPr>
            </w:pPr>
            <w:r>
              <w:rPr>
                <w:color w:val="000000"/>
              </w:rPr>
              <w:t> </w:t>
            </w:r>
          </w:p>
        </w:tc>
        <w:tc>
          <w:tcPr>
            <w:tcW w:w="372" w:type="pct"/>
            <w:tcBorders>
              <w:top w:val="nil"/>
              <w:left w:val="nil"/>
              <w:bottom w:val="single" w:sz="4" w:space="0" w:color="auto"/>
              <w:right w:val="single" w:sz="4" w:space="0" w:color="auto"/>
            </w:tcBorders>
            <w:shd w:val="clear" w:color="auto" w:fill="C0C0C0"/>
            <w:vAlign w:val="bottom"/>
          </w:tcPr>
          <w:p w:rsidR="00000000" w:rsidRDefault="00323237">
            <w:pPr>
              <w:autoSpaceDE/>
              <w:autoSpaceDN/>
              <w:adjustRightInd/>
              <w:jc w:val="center"/>
              <w:rPr>
                <w:color w:val="000000"/>
              </w:rPr>
            </w:pPr>
            <w:r>
              <w:rPr>
                <w:color w:val="000000"/>
              </w:rPr>
              <w:t> </w:t>
            </w:r>
          </w:p>
        </w:tc>
        <w:tc>
          <w:tcPr>
            <w:tcW w:w="415" w:type="pct"/>
            <w:tcBorders>
              <w:top w:val="nil"/>
              <w:left w:val="nil"/>
              <w:bottom w:val="single" w:sz="4" w:space="0" w:color="auto"/>
              <w:right w:val="single" w:sz="4" w:space="0" w:color="auto"/>
            </w:tcBorders>
            <w:shd w:val="clear" w:color="auto" w:fill="C0C0C0"/>
            <w:vAlign w:val="bottom"/>
          </w:tcPr>
          <w:p w:rsidR="00000000" w:rsidRDefault="00323237">
            <w:pPr>
              <w:autoSpaceDE/>
              <w:autoSpaceDN/>
              <w:adjustRightInd/>
              <w:jc w:val="center"/>
              <w:rPr>
                <w:color w:val="000000"/>
              </w:rPr>
            </w:pPr>
            <w:r>
              <w:rPr>
                <w:color w:val="000000"/>
              </w:rPr>
              <w:t> </w:t>
            </w:r>
          </w:p>
        </w:tc>
        <w:tc>
          <w:tcPr>
            <w:tcW w:w="337" w:type="pct"/>
            <w:tcBorders>
              <w:top w:val="nil"/>
              <w:left w:val="nil"/>
              <w:bottom w:val="single" w:sz="4" w:space="0" w:color="auto"/>
              <w:right w:val="single" w:sz="4" w:space="0" w:color="auto"/>
            </w:tcBorders>
            <w:shd w:val="clear" w:color="auto" w:fill="C0C0C0"/>
            <w:vAlign w:val="bottom"/>
          </w:tcPr>
          <w:p w:rsidR="00000000" w:rsidRDefault="00323237">
            <w:pPr>
              <w:autoSpaceDE/>
              <w:autoSpaceDN/>
              <w:adjustRightInd/>
              <w:jc w:val="center"/>
              <w:rPr>
                <w:color w:val="000000"/>
              </w:rPr>
            </w:pPr>
            <w:r>
              <w:rPr>
                <w:color w:val="000000"/>
              </w:rPr>
              <w:t> </w:t>
            </w:r>
          </w:p>
        </w:tc>
        <w:tc>
          <w:tcPr>
            <w:tcW w:w="465" w:type="pct"/>
            <w:tcBorders>
              <w:top w:val="nil"/>
              <w:left w:val="nil"/>
              <w:bottom w:val="single" w:sz="4" w:space="0" w:color="auto"/>
              <w:right w:val="single" w:sz="4" w:space="0" w:color="auto"/>
            </w:tcBorders>
            <w:shd w:val="clear" w:color="auto" w:fill="C0C0C0"/>
            <w:vAlign w:val="bottom"/>
          </w:tcPr>
          <w:p w:rsidR="00000000" w:rsidRDefault="00323237">
            <w:pPr>
              <w:autoSpaceDE/>
              <w:autoSpaceDN/>
              <w:adjustRightInd/>
              <w:jc w:val="center"/>
              <w:rPr>
                <w:color w:val="000000"/>
              </w:rPr>
            </w:pPr>
            <w:r>
              <w:rPr>
                <w:color w:val="000000"/>
              </w:rPr>
              <w:t> </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xml:space="preserve">  </w:t>
            </w:r>
            <w:r>
              <w:rPr>
                <w:color w:val="000000"/>
              </w:rPr>
              <w:t xml:space="preserve">      - TRE calculation for continuous process </w:t>
            </w:r>
            <w:proofErr w:type="spellStart"/>
            <w:r>
              <w:rPr>
                <w:color w:val="000000"/>
              </w:rPr>
              <w:t>vents</w:t>
            </w:r>
            <w:r>
              <w:rPr>
                <w:color w:val="000000"/>
                <w:vertAlign w:val="superscript"/>
              </w:rPr>
              <w:t>m</w:t>
            </w:r>
            <w:proofErr w:type="spellEnd"/>
          </w:p>
        </w:tc>
        <w:tc>
          <w:tcPr>
            <w:tcW w:w="480"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3</w:t>
            </w:r>
          </w:p>
        </w:tc>
        <w:tc>
          <w:tcPr>
            <w:tcW w:w="373"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1</w:t>
            </w:r>
          </w:p>
        </w:tc>
        <w:tc>
          <w:tcPr>
            <w:tcW w:w="461"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3</w:t>
            </w:r>
          </w:p>
        </w:tc>
        <w:tc>
          <w:tcPr>
            <w:tcW w:w="408"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24.2</w:t>
            </w:r>
          </w:p>
        </w:tc>
        <w:tc>
          <w:tcPr>
            <w:tcW w:w="372"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72.6</w:t>
            </w:r>
          </w:p>
        </w:tc>
        <w:tc>
          <w:tcPr>
            <w:tcW w:w="41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3.6</w:t>
            </w:r>
          </w:p>
        </w:tc>
        <w:tc>
          <w:tcPr>
            <w:tcW w:w="337"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7.3</w:t>
            </w:r>
          </w:p>
        </w:tc>
        <w:tc>
          <w:tcPr>
            <w:tcW w:w="46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$6,352</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xml:space="preserve">        - calculation of batch process vent </w:t>
            </w:r>
            <w:proofErr w:type="spellStart"/>
            <w:r>
              <w:rPr>
                <w:color w:val="000000"/>
              </w:rPr>
              <w:t>emissions</w:t>
            </w:r>
            <w:r>
              <w:rPr>
                <w:color w:val="000000"/>
                <w:vertAlign w:val="superscript"/>
              </w:rPr>
              <w:t>n</w:t>
            </w:r>
            <w:proofErr w:type="spellEnd"/>
          </w:p>
        </w:tc>
        <w:tc>
          <w:tcPr>
            <w:tcW w:w="480"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6</w:t>
            </w:r>
          </w:p>
        </w:tc>
        <w:tc>
          <w:tcPr>
            <w:tcW w:w="373"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1</w:t>
            </w:r>
          </w:p>
        </w:tc>
        <w:tc>
          <w:tcPr>
            <w:tcW w:w="461"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6</w:t>
            </w:r>
          </w:p>
        </w:tc>
        <w:tc>
          <w:tcPr>
            <w:tcW w:w="408"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31.4</w:t>
            </w:r>
          </w:p>
        </w:tc>
        <w:tc>
          <w:tcPr>
            <w:tcW w:w="372"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188.4</w:t>
            </w:r>
          </w:p>
        </w:tc>
        <w:tc>
          <w:tcPr>
            <w:tcW w:w="41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9.4</w:t>
            </w:r>
          </w:p>
        </w:tc>
        <w:tc>
          <w:tcPr>
            <w:tcW w:w="337"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18.8</w:t>
            </w:r>
          </w:p>
        </w:tc>
        <w:tc>
          <w:tcPr>
            <w:tcW w:w="46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$16,484</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xml:space="preserve">        - calculation of metal HAP </w:t>
            </w:r>
            <w:proofErr w:type="spellStart"/>
            <w:r>
              <w:rPr>
                <w:color w:val="000000"/>
              </w:rPr>
              <w:t>emissions</w:t>
            </w:r>
            <w:r>
              <w:rPr>
                <w:color w:val="000000"/>
                <w:vertAlign w:val="superscript"/>
              </w:rPr>
              <w:t>o</w:t>
            </w:r>
            <w:proofErr w:type="spellEnd"/>
          </w:p>
        </w:tc>
        <w:tc>
          <w:tcPr>
            <w:tcW w:w="480"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2</w:t>
            </w:r>
          </w:p>
        </w:tc>
        <w:tc>
          <w:tcPr>
            <w:tcW w:w="373"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1</w:t>
            </w:r>
          </w:p>
        </w:tc>
        <w:tc>
          <w:tcPr>
            <w:tcW w:w="461"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2</w:t>
            </w:r>
          </w:p>
        </w:tc>
        <w:tc>
          <w:tcPr>
            <w:tcW w:w="408"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38.7</w:t>
            </w:r>
          </w:p>
        </w:tc>
        <w:tc>
          <w:tcPr>
            <w:tcW w:w="372"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77.4</w:t>
            </w:r>
          </w:p>
        </w:tc>
        <w:tc>
          <w:tcPr>
            <w:tcW w:w="41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3.9</w:t>
            </w:r>
          </w:p>
        </w:tc>
        <w:tc>
          <w:tcPr>
            <w:tcW w:w="337"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7.7</w:t>
            </w:r>
          </w:p>
        </w:tc>
        <w:tc>
          <w:tcPr>
            <w:tcW w:w="46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$6,772</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xml:space="preserve">  </w:t>
            </w:r>
            <w:r>
              <w:rPr>
                <w:color w:val="000000"/>
              </w:rPr>
              <w:t xml:space="preserve">      - capacity and MTVP calculations for storage </w:t>
            </w:r>
            <w:proofErr w:type="spellStart"/>
            <w:r>
              <w:rPr>
                <w:color w:val="000000"/>
              </w:rPr>
              <w:t>tanks</w:t>
            </w:r>
            <w:r>
              <w:rPr>
                <w:color w:val="000000"/>
                <w:vertAlign w:val="superscript"/>
              </w:rPr>
              <w:t>p</w:t>
            </w:r>
            <w:proofErr w:type="spellEnd"/>
          </w:p>
        </w:tc>
        <w:tc>
          <w:tcPr>
            <w:tcW w:w="480"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1</w:t>
            </w:r>
          </w:p>
        </w:tc>
        <w:tc>
          <w:tcPr>
            <w:tcW w:w="373"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1</w:t>
            </w:r>
          </w:p>
        </w:tc>
        <w:tc>
          <w:tcPr>
            <w:tcW w:w="461"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rFonts w:ascii="Times New" w:hAnsi="Times New" w:cs="Arial"/>
                <w:color w:val="000000"/>
              </w:rPr>
            </w:pPr>
            <w:r>
              <w:rPr>
                <w:rFonts w:ascii="Times New" w:hAnsi="Times New" w:cs="Arial"/>
                <w:color w:val="000000"/>
              </w:rPr>
              <w:t>1</w:t>
            </w:r>
          </w:p>
        </w:tc>
        <w:tc>
          <w:tcPr>
            <w:tcW w:w="408"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3.3</w:t>
            </w:r>
          </w:p>
        </w:tc>
        <w:tc>
          <w:tcPr>
            <w:tcW w:w="372"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3.3</w:t>
            </w:r>
          </w:p>
        </w:tc>
        <w:tc>
          <w:tcPr>
            <w:tcW w:w="41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0.2</w:t>
            </w:r>
          </w:p>
        </w:tc>
        <w:tc>
          <w:tcPr>
            <w:tcW w:w="337"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0.3</w:t>
            </w:r>
          </w:p>
        </w:tc>
        <w:tc>
          <w:tcPr>
            <w:tcW w:w="46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$289</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xml:space="preserve">        - inspection or seal gap measurement for storage </w:t>
            </w:r>
            <w:proofErr w:type="spellStart"/>
            <w:r>
              <w:rPr>
                <w:color w:val="000000"/>
              </w:rPr>
              <w:t>tanks</w:t>
            </w:r>
            <w:r>
              <w:rPr>
                <w:color w:val="000000"/>
                <w:vertAlign w:val="superscript"/>
              </w:rPr>
              <w:t>q</w:t>
            </w:r>
            <w:proofErr w:type="spellEnd"/>
          </w:p>
        </w:tc>
        <w:tc>
          <w:tcPr>
            <w:tcW w:w="480"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pPr>
            <w:r>
              <w:t>2</w:t>
            </w:r>
          </w:p>
        </w:tc>
        <w:tc>
          <w:tcPr>
            <w:tcW w:w="373"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1</w:t>
            </w:r>
          </w:p>
        </w:tc>
        <w:tc>
          <w:tcPr>
            <w:tcW w:w="461"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2</w:t>
            </w:r>
          </w:p>
        </w:tc>
        <w:tc>
          <w:tcPr>
            <w:tcW w:w="408"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3.3</w:t>
            </w:r>
          </w:p>
        </w:tc>
        <w:tc>
          <w:tcPr>
            <w:tcW w:w="372"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6.6</w:t>
            </w:r>
          </w:p>
        </w:tc>
        <w:tc>
          <w:tcPr>
            <w:tcW w:w="41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0.3</w:t>
            </w:r>
          </w:p>
        </w:tc>
        <w:tc>
          <w:tcPr>
            <w:tcW w:w="337"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0.7</w:t>
            </w:r>
          </w:p>
        </w:tc>
        <w:tc>
          <w:tcPr>
            <w:tcW w:w="46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$577</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xml:space="preserve">        - determination of HAP concentrations in  wastewater </w:t>
            </w:r>
            <w:proofErr w:type="spellStart"/>
            <w:r>
              <w:rPr>
                <w:color w:val="000000"/>
              </w:rPr>
              <w:t>streams</w:t>
            </w:r>
            <w:r>
              <w:rPr>
                <w:color w:val="000000"/>
                <w:vertAlign w:val="superscript"/>
              </w:rPr>
              <w:t>r</w:t>
            </w:r>
            <w:proofErr w:type="spellEnd"/>
          </w:p>
        </w:tc>
        <w:tc>
          <w:tcPr>
            <w:tcW w:w="480"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20</w:t>
            </w:r>
          </w:p>
        </w:tc>
        <w:tc>
          <w:tcPr>
            <w:tcW w:w="373"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1</w:t>
            </w:r>
          </w:p>
        </w:tc>
        <w:tc>
          <w:tcPr>
            <w:tcW w:w="461"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20</w:t>
            </w:r>
          </w:p>
        </w:tc>
        <w:tc>
          <w:tcPr>
            <w:tcW w:w="408"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48.4</w:t>
            </w:r>
          </w:p>
        </w:tc>
        <w:tc>
          <w:tcPr>
            <w:tcW w:w="372"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968</w:t>
            </w:r>
          </w:p>
        </w:tc>
        <w:tc>
          <w:tcPr>
            <w:tcW w:w="41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48.4</w:t>
            </w:r>
          </w:p>
        </w:tc>
        <w:tc>
          <w:tcPr>
            <w:tcW w:w="337"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96.8</w:t>
            </w:r>
          </w:p>
        </w:tc>
        <w:tc>
          <w:tcPr>
            <w:tcW w:w="46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$84,697</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xml:space="preserve">      Recurring calculations and tracking requirements</w:t>
            </w:r>
          </w:p>
        </w:tc>
        <w:tc>
          <w:tcPr>
            <w:tcW w:w="480"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 </w:t>
            </w:r>
          </w:p>
        </w:tc>
        <w:tc>
          <w:tcPr>
            <w:tcW w:w="373"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 </w:t>
            </w:r>
          </w:p>
        </w:tc>
        <w:tc>
          <w:tcPr>
            <w:tcW w:w="461"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 </w:t>
            </w:r>
          </w:p>
        </w:tc>
        <w:tc>
          <w:tcPr>
            <w:tcW w:w="408"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rPr>
                <w:color w:val="000000"/>
              </w:rPr>
            </w:pPr>
            <w:r>
              <w:rPr>
                <w:color w:val="000000"/>
              </w:rPr>
              <w:t> </w:t>
            </w:r>
          </w:p>
        </w:tc>
        <w:tc>
          <w:tcPr>
            <w:tcW w:w="372"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 </w:t>
            </w:r>
          </w:p>
        </w:tc>
        <w:tc>
          <w:tcPr>
            <w:tcW w:w="415"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rPr>
                <w:color w:val="000000"/>
              </w:rPr>
            </w:pPr>
            <w:r>
              <w:rPr>
                <w:color w:val="000000"/>
              </w:rPr>
              <w:t> </w:t>
            </w:r>
          </w:p>
        </w:tc>
        <w:tc>
          <w:tcPr>
            <w:tcW w:w="337"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rPr>
                <w:color w:val="000000"/>
              </w:rPr>
            </w:pPr>
            <w:r>
              <w:rPr>
                <w:color w:val="000000"/>
              </w:rPr>
              <w:t> </w:t>
            </w:r>
          </w:p>
        </w:tc>
        <w:tc>
          <w:tcPr>
            <w:tcW w:w="46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 </w:t>
            </w:r>
          </w:p>
        </w:tc>
      </w:tr>
      <w:tr w:rsidR="00000000">
        <w:trPr>
          <w:trHeight w:val="570"/>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xml:space="preserve">        - number of batches per month  (or HAP usage) to show less than 10,000 lb/yr of organic HAP </w:t>
            </w:r>
            <w:proofErr w:type="spellStart"/>
            <w:r>
              <w:rPr>
                <w:color w:val="000000"/>
              </w:rPr>
              <w:t>emissions</w:t>
            </w:r>
            <w:r>
              <w:rPr>
                <w:color w:val="000000"/>
                <w:vertAlign w:val="superscript"/>
              </w:rPr>
              <w:t>s</w:t>
            </w:r>
            <w:proofErr w:type="spellEnd"/>
          </w:p>
        </w:tc>
        <w:tc>
          <w:tcPr>
            <w:tcW w:w="480"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0.5</w:t>
            </w:r>
          </w:p>
        </w:tc>
        <w:tc>
          <w:tcPr>
            <w:tcW w:w="373"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12</w:t>
            </w:r>
          </w:p>
        </w:tc>
        <w:tc>
          <w:tcPr>
            <w:tcW w:w="461"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jc w:val="center"/>
              <w:rPr>
                <w:color w:val="000000"/>
              </w:rPr>
            </w:pPr>
            <w:r>
              <w:rPr>
                <w:color w:val="000000"/>
              </w:rPr>
              <w:t>6</w:t>
            </w:r>
          </w:p>
        </w:tc>
        <w:tc>
          <w:tcPr>
            <w:tcW w:w="408"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8.1</w:t>
            </w:r>
          </w:p>
        </w:tc>
        <w:tc>
          <w:tcPr>
            <w:tcW w:w="372"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48.6</w:t>
            </w:r>
          </w:p>
        </w:tc>
        <w:tc>
          <w:tcPr>
            <w:tcW w:w="41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2.4</w:t>
            </w:r>
          </w:p>
        </w:tc>
        <w:tc>
          <w:tcPr>
            <w:tcW w:w="337"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4.9</w:t>
            </w:r>
          </w:p>
        </w:tc>
        <w:tc>
          <w:tcPr>
            <w:tcW w:w="46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$4,252</w:t>
            </w:r>
          </w:p>
        </w:tc>
      </w:tr>
      <w:tr w:rsidR="00000000">
        <w:trPr>
          <w:trHeight w:val="360"/>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xml:space="preserve">        -  </w:t>
            </w:r>
            <w:r>
              <w:rPr>
                <w:color w:val="000000"/>
              </w:rPr>
              <w:t xml:space="preserve">metal PV </w:t>
            </w:r>
            <w:proofErr w:type="spellStart"/>
            <w:r>
              <w:rPr>
                <w:color w:val="000000"/>
              </w:rPr>
              <w:t>emissions</w:t>
            </w:r>
            <w:r>
              <w:rPr>
                <w:color w:val="000000"/>
                <w:vertAlign w:val="superscript"/>
              </w:rPr>
              <w:t>t</w:t>
            </w:r>
            <w:proofErr w:type="spellEnd"/>
          </w:p>
        </w:tc>
        <w:tc>
          <w:tcPr>
            <w:tcW w:w="480"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0.5</w:t>
            </w:r>
          </w:p>
        </w:tc>
        <w:tc>
          <w:tcPr>
            <w:tcW w:w="373"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12</w:t>
            </w:r>
          </w:p>
        </w:tc>
        <w:tc>
          <w:tcPr>
            <w:tcW w:w="461"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6</w:t>
            </w:r>
          </w:p>
        </w:tc>
        <w:tc>
          <w:tcPr>
            <w:tcW w:w="408"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7</w:t>
            </w:r>
          </w:p>
        </w:tc>
        <w:tc>
          <w:tcPr>
            <w:tcW w:w="372"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42</w:t>
            </w:r>
          </w:p>
        </w:tc>
        <w:tc>
          <w:tcPr>
            <w:tcW w:w="41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2.1</w:t>
            </w:r>
          </w:p>
        </w:tc>
        <w:tc>
          <w:tcPr>
            <w:tcW w:w="337"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4.2</w:t>
            </w:r>
          </w:p>
        </w:tc>
        <w:tc>
          <w:tcPr>
            <w:tcW w:w="46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$3,675</w:t>
            </w:r>
          </w:p>
        </w:tc>
      </w:tr>
      <w:tr w:rsidR="00000000">
        <w:trPr>
          <w:trHeight w:val="360"/>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xml:space="preserve">        -  quarterly CMPU management practice </w:t>
            </w:r>
            <w:proofErr w:type="spellStart"/>
            <w:r>
              <w:rPr>
                <w:color w:val="000000"/>
              </w:rPr>
              <w:t>inspections</w:t>
            </w:r>
            <w:r>
              <w:rPr>
                <w:color w:val="000000"/>
                <w:vertAlign w:val="superscript"/>
              </w:rPr>
              <w:t>u</w:t>
            </w:r>
            <w:proofErr w:type="spellEnd"/>
          </w:p>
        </w:tc>
        <w:tc>
          <w:tcPr>
            <w:tcW w:w="480"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3</w:t>
            </w:r>
          </w:p>
        </w:tc>
        <w:tc>
          <w:tcPr>
            <w:tcW w:w="373"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4</w:t>
            </w:r>
          </w:p>
        </w:tc>
        <w:tc>
          <w:tcPr>
            <w:tcW w:w="461"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12</w:t>
            </w:r>
          </w:p>
        </w:tc>
        <w:tc>
          <w:tcPr>
            <w:tcW w:w="408"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0</w:t>
            </w:r>
          </w:p>
        </w:tc>
        <w:tc>
          <w:tcPr>
            <w:tcW w:w="372"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0</w:t>
            </w:r>
          </w:p>
        </w:tc>
        <w:tc>
          <w:tcPr>
            <w:tcW w:w="41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0.0</w:t>
            </w:r>
          </w:p>
        </w:tc>
        <w:tc>
          <w:tcPr>
            <w:tcW w:w="337"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0.0</w:t>
            </w:r>
          </w:p>
        </w:tc>
        <w:tc>
          <w:tcPr>
            <w:tcW w:w="46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$0</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xml:space="preserve">  D. </w:t>
            </w:r>
            <w:r>
              <w:rPr>
                <w:color w:val="000000"/>
                <w:u w:val="single"/>
              </w:rPr>
              <w:t>Develop Record System</w:t>
            </w:r>
          </w:p>
        </w:tc>
        <w:tc>
          <w:tcPr>
            <w:tcW w:w="480"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20</w:t>
            </w:r>
          </w:p>
        </w:tc>
        <w:tc>
          <w:tcPr>
            <w:tcW w:w="373"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1</w:t>
            </w:r>
          </w:p>
        </w:tc>
        <w:tc>
          <w:tcPr>
            <w:tcW w:w="461"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20</w:t>
            </w:r>
          </w:p>
        </w:tc>
        <w:tc>
          <w:tcPr>
            <w:tcW w:w="408"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160</w:t>
            </w:r>
          </w:p>
        </w:tc>
        <w:tc>
          <w:tcPr>
            <w:tcW w:w="372"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3200</w:t>
            </w:r>
          </w:p>
        </w:tc>
        <w:tc>
          <w:tcPr>
            <w:tcW w:w="41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160.0</w:t>
            </w:r>
          </w:p>
        </w:tc>
        <w:tc>
          <w:tcPr>
            <w:tcW w:w="337"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320.0</w:t>
            </w:r>
          </w:p>
        </w:tc>
        <w:tc>
          <w:tcPr>
            <w:tcW w:w="46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$279,989</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xml:space="preserve">  E. </w:t>
            </w:r>
            <w:r>
              <w:rPr>
                <w:color w:val="000000"/>
                <w:u w:val="single"/>
              </w:rPr>
              <w:t>Time to Enter Information</w:t>
            </w:r>
          </w:p>
        </w:tc>
        <w:tc>
          <w:tcPr>
            <w:tcW w:w="480"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jc w:val="center"/>
            </w:pPr>
            <w:r>
              <w:t> </w:t>
            </w:r>
          </w:p>
        </w:tc>
        <w:tc>
          <w:tcPr>
            <w:tcW w:w="373"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jc w:val="center"/>
            </w:pPr>
            <w:r>
              <w:t> </w:t>
            </w:r>
          </w:p>
        </w:tc>
        <w:tc>
          <w:tcPr>
            <w:tcW w:w="461"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jc w:val="center"/>
            </w:pPr>
            <w:r>
              <w:t> </w:t>
            </w:r>
          </w:p>
        </w:tc>
        <w:tc>
          <w:tcPr>
            <w:tcW w:w="408"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jc w:val="center"/>
            </w:pPr>
            <w:r>
              <w:t> </w:t>
            </w:r>
          </w:p>
        </w:tc>
        <w:tc>
          <w:tcPr>
            <w:tcW w:w="372"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jc w:val="center"/>
            </w:pPr>
            <w:r>
              <w:t> </w:t>
            </w:r>
          </w:p>
        </w:tc>
        <w:tc>
          <w:tcPr>
            <w:tcW w:w="415"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jc w:val="center"/>
            </w:pPr>
            <w:r>
              <w:t> </w:t>
            </w:r>
          </w:p>
        </w:tc>
        <w:tc>
          <w:tcPr>
            <w:tcW w:w="337"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jc w:val="center"/>
              <w:rPr>
                <w:rFonts w:ascii="Arial" w:hAnsi="Arial" w:cs="Arial"/>
              </w:rPr>
            </w:pPr>
            <w:r>
              <w:rPr>
                <w:rFonts w:ascii="Arial" w:hAnsi="Arial" w:cs="Arial"/>
              </w:rPr>
              <w:t> </w:t>
            </w:r>
          </w:p>
        </w:tc>
        <w:tc>
          <w:tcPr>
            <w:tcW w:w="465"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jc w:val="center"/>
              <w:rPr>
                <w:rFonts w:ascii="Arial" w:hAnsi="Arial" w:cs="Arial"/>
              </w:rPr>
            </w:pPr>
            <w:r>
              <w:rPr>
                <w:rFonts w:ascii="Arial" w:hAnsi="Arial" w:cs="Arial"/>
              </w:rPr>
              <w:t> </w:t>
            </w:r>
          </w:p>
        </w:tc>
      </w:tr>
      <w:tr w:rsidR="00000000">
        <w:trPr>
          <w:trHeight w:val="570"/>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xml:space="preserve">          </w:t>
            </w:r>
            <w:r>
              <w:rPr>
                <w:color w:val="000000"/>
              </w:rPr>
              <w:t>Operating parameters for control devices (batch and continuous process vents)</w:t>
            </w:r>
            <w:r>
              <w:rPr>
                <w:color w:val="000000"/>
                <w:vertAlign w:val="superscript"/>
              </w:rPr>
              <w:t>v</w:t>
            </w:r>
          </w:p>
        </w:tc>
        <w:tc>
          <w:tcPr>
            <w:tcW w:w="480"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jc w:val="center"/>
            </w:pPr>
            <w:r>
              <w:t>0.25</w:t>
            </w:r>
          </w:p>
        </w:tc>
        <w:tc>
          <w:tcPr>
            <w:tcW w:w="373"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jc w:val="center"/>
            </w:pPr>
            <w:r>
              <w:t>52</w:t>
            </w:r>
          </w:p>
        </w:tc>
        <w:tc>
          <w:tcPr>
            <w:tcW w:w="461"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13</w:t>
            </w:r>
          </w:p>
        </w:tc>
        <w:tc>
          <w:tcPr>
            <w:tcW w:w="408"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jc w:val="center"/>
            </w:pPr>
            <w:r>
              <w:t>0</w:t>
            </w:r>
          </w:p>
        </w:tc>
        <w:tc>
          <w:tcPr>
            <w:tcW w:w="372"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0</w:t>
            </w:r>
          </w:p>
        </w:tc>
        <w:tc>
          <w:tcPr>
            <w:tcW w:w="41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0.0</w:t>
            </w:r>
          </w:p>
        </w:tc>
        <w:tc>
          <w:tcPr>
            <w:tcW w:w="337"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0.0</w:t>
            </w:r>
          </w:p>
        </w:tc>
        <w:tc>
          <w:tcPr>
            <w:tcW w:w="46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$0</w:t>
            </w:r>
          </w:p>
        </w:tc>
      </w:tr>
      <w:tr w:rsidR="00000000">
        <w:trPr>
          <w:trHeight w:val="872"/>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xml:space="preserve">          Records of CMPU leak inspections</w:t>
            </w:r>
          </w:p>
        </w:tc>
        <w:tc>
          <w:tcPr>
            <w:tcW w:w="480"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pPr>
            <w:r>
              <w:t>Included in emission control option costs</w:t>
            </w:r>
          </w:p>
        </w:tc>
        <w:tc>
          <w:tcPr>
            <w:tcW w:w="373"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jc w:val="center"/>
            </w:pPr>
            <w:r>
              <w:t> </w:t>
            </w:r>
          </w:p>
        </w:tc>
        <w:tc>
          <w:tcPr>
            <w:tcW w:w="461"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 </w:t>
            </w:r>
          </w:p>
        </w:tc>
        <w:tc>
          <w:tcPr>
            <w:tcW w:w="408"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jc w:val="center"/>
            </w:pPr>
            <w:r>
              <w:t> </w:t>
            </w:r>
          </w:p>
        </w:tc>
        <w:tc>
          <w:tcPr>
            <w:tcW w:w="372"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 </w:t>
            </w:r>
          </w:p>
        </w:tc>
        <w:tc>
          <w:tcPr>
            <w:tcW w:w="41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 </w:t>
            </w:r>
          </w:p>
        </w:tc>
        <w:tc>
          <w:tcPr>
            <w:tcW w:w="337"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 </w:t>
            </w:r>
          </w:p>
        </w:tc>
        <w:tc>
          <w:tcPr>
            <w:tcW w:w="46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 </w:t>
            </w:r>
          </w:p>
        </w:tc>
      </w:tr>
      <w:tr w:rsidR="00000000">
        <w:trPr>
          <w:trHeight w:val="1020"/>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xml:space="preserve">          Records of heat exchange system  monitor</w:t>
            </w:r>
            <w:r>
              <w:rPr>
                <w:color w:val="000000"/>
              </w:rPr>
              <w:t>ing</w:t>
            </w:r>
          </w:p>
        </w:tc>
        <w:tc>
          <w:tcPr>
            <w:tcW w:w="480"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pPr>
            <w:r>
              <w:t>Included in emission control option costs</w:t>
            </w:r>
          </w:p>
        </w:tc>
        <w:tc>
          <w:tcPr>
            <w:tcW w:w="373"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jc w:val="center"/>
            </w:pPr>
            <w:r>
              <w:t> </w:t>
            </w:r>
          </w:p>
        </w:tc>
        <w:tc>
          <w:tcPr>
            <w:tcW w:w="461"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 </w:t>
            </w:r>
          </w:p>
        </w:tc>
        <w:tc>
          <w:tcPr>
            <w:tcW w:w="408"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jc w:val="center"/>
            </w:pPr>
            <w:r>
              <w:t> </w:t>
            </w:r>
          </w:p>
        </w:tc>
        <w:tc>
          <w:tcPr>
            <w:tcW w:w="372"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 </w:t>
            </w:r>
          </w:p>
        </w:tc>
        <w:tc>
          <w:tcPr>
            <w:tcW w:w="41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 </w:t>
            </w:r>
          </w:p>
        </w:tc>
        <w:tc>
          <w:tcPr>
            <w:tcW w:w="337"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 </w:t>
            </w:r>
          </w:p>
        </w:tc>
        <w:tc>
          <w:tcPr>
            <w:tcW w:w="46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 </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xml:space="preserve">          Information related to bag leak detection systems</w:t>
            </w:r>
          </w:p>
        </w:tc>
        <w:tc>
          <w:tcPr>
            <w:tcW w:w="480"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jc w:val="center"/>
            </w:pPr>
            <w:r>
              <w:t>2</w:t>
            </w:r>
          </w:p>
        </w:tc>
        <w:tc>
          <w:tcPr>
            <w:tcW w:w="373"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jc w:val="center"/>
            </w:pPr>
            <w:r>
              <w:t>4</w:t>
            </w:r>
          </w:p>
        </w:tc>
        <w:tc>
          <w:tcPr>
            <w:tcW w:w="461"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8</w:t>
            </w:r>
          </w:p>
        </w:tc>
        <w:tc>
          <w:tcPr>
            <w:tcW w:w="408"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jc w:val="center"/>
            </w:pPr>
            <w:r>
              <w:t>3.4</w:t>
            </w:r>
          </w:p>
        </w:tc>
        <w:tc>
          <w:tcPr>
            <w:tcW w:w="372"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27.2</w:t>
            </w:r>
          </w:p>
        </w:tc>
        <w:tc>
          <w:tcPr>
            <w:tcW w:w="41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1.4</w:t>
            </w:r>
          </w:p>
        </w:tc>
        <w:tc>
          <w:tcPr>
            <w:tcW w:w="337"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2.7</w:t>
            </w:r>
          </w:p>
        </w:tc>
        <w:tc>
          <w:tcPr>
            <w:tcW w:w="46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$2,380</w:t>
            </w:r>
          </w:p>
        </w:tc>
      </w:tr>
      <w:tr w:rsidR="00000000">
        <w:trPr>
          <w:trHeight w:val="570"/>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xml:space="preserve">          Records of inspections or seal gap measurements for storage tanks equipped with floating </w:t>
            </w:r>
            <w:proofErr w:type="spellStart"/>
            <w:r>
              <w:rPr>
                <w:color w:val="000000"/>
              </w:rPr>
              <w:t>roofs</w:t>
            </w:r>
            <w:r>
              <w:rPr>
                <w:color w:val="000000"/>
                <w:vertAlign w:val="superscript"/>
              </w:rPr>
              <w:t>w</w:t>
            </w:r>
            <w:proofErr w:type="spellEnd"/>
          </w:p>
        </w:tc>
        <w:tc>
          <w:tcPr>
            <w:tcW w:w="480"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jc w:val="center"/>
            </w:pPr>
            <w:r>
              <w:t> </w:t>
            </w:r>
          </w:p>
        </w:tc>
        <w:tc>
          <w:tcPr>
            <w:tcW w:w="373"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jc w:val="center"/>
            </w:pPr>
            <w:r>
              <w:t> </w:t>
            </w:r>
          </w:p>
        </w:tc>
        <w:tc>
          <w:tcPr>
            <w:tcW w:w="461"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jc w:val="center"/>
            </w:pPr>
            <w:r>
              <w:t> </w:t>
            </w:r>
          </w:p>
        </w:tc>
        <w:tc>
          <w:tcPr>
            <w:tcW w:w="408"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jc w:val="center"/>
            </w:pPr>
            <w:r>
              <w:t>0</w:t>
            </w:r>
          </w:p>
        </w:tc>
        <w:tc>
          <w:tcPr>
            <w:tcW w:w="372"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jc w:val="center"/>
            </w:pPr>
            <w:r>
              <w:t> </w:t>
            </w:r>
          </w:p>
        </w:tc>
        <w:tc>
          <w:tcPr>
            <w:tcW w:w="415"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pPr>
            <w:r>
              <w:t> </w:t>
            </w:r>
          </w:p>
        </w:tc>
        <w:tc>
          <w:tcPr>
            <w:tcW w:w="337"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465"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auto"/>
          </w:tcPr>
          <w:p w:rsidR="00000000" w:rsidRDefault="00323237">
            <w:pPr>
              <w:autoSpaceDE/>
              <w:autoSpaceDN/>
              <w:adjustRightInd/>
              <w:rPr>
                <w:color w:val="000000"/>
              </w:rPr>
            </w:pPr>
            <w:r>
              <w:rPr>
                <w:color w:val="000000"/>
              </w:rPr>
              <w:t xml:space="preserve">  F. Train Personnel </w:t>
            </w:r>
          </w:p>
        </w:tc>
        <w:tc>
          <w:tcPr>
            <w:tcW w:w="480" w:type="pct"/>
            <w:tcBorders>
              <w:top w:val="nil"/>
              <w:left w:val="nil"/>
              <w:bottom w:val="single" w:sz="4" w:space="0" w:color="auto"/>
              <w:right w:val="single" w:sz="4" w:space="0" w:color="auto"/>
            </w:tcBorders>
            <w:shd w:val="clear" w:color="auto" w:fill="C0C0C0"/>
            <w:vAlign w:val="bottom"/>
          </w:tcPr>
          <w:p w:rsidR="00000000" w:rsidRDefault="00323237">
            <w:pPr>
              <w:autoSpaceDE/>
              <w:autoSpaceDN/>
              <w:adjustRightInd/>
            </w:pPr>
            <w:r>
              <w:t> </w:t>
            </w:r>
          </w:p>
        </w:tc>
        <w:tc>
          <w:tcPr>
            <w:tcW w:w="373" w:type="pct"/>
            <w:tcBorders>
              <w:top w:val="nil"/>
              <w:left w:val="nil"/>
              <w:bottom w:val="single" w:sz="4" w:space="0" w:color="auto"/>
              <w:right w:val="single" w:sz="4" w:space="0" w:color="auto"/>
            </w:tcBorders>
            <w:shd w:val="clear" w:color="auto" w:fill="C0C0C0"/>
            <w:vAlign w:val="bottom"/>
          </w:tcPr>
          <w:p w:rsidR="00000000" w:rsidRDefault="00323237">
            <w:pPr>
              <w:autoSpaceDE/>
              <w:autoSpaceDN/>
              <w:adjustRightInd/>
              <w:rPr>
                <w:color w:val="000000"/>
              </w:rPr>
            </w:pPr>
            <w:r>
              <w:rPr>
                <w:color w:val="000000"/>
              </w:rPr>
              <w:t> </w:t>
            </w:r>
          </w:p>
        </w:tc>
        <w:tc>
          <w:tcPr>
            <w:tcW w:w="461" w:type="pct"/>
            <w:tcBorders>
              <w:top w:val="nil"/>
              <w:left w:val="nil"/>
              <w:bottom w:val="single" w:sz="4" w:space="0" w:color="auto"/>
              <w:right w:val="single" w:sz="4" w:space="0" w:color="auto"/>
            </w:tcBorders>
            <w:shd w:val="clear" w:color="auto" w:fill="C0C0C0"/>
            <w:vAlign w:val="bottom"/>
          </w:tcPr>
          <w:p w:rsidR="00000000" w:rsidRDefault="00323237">
            <w:pPr>
              <w:autoSpaceDE/>
              <w:autoSpaceDN/>
              <w:adjustRightInd/>
              <w:rPr>
                <w:color w:val="000000"/>
              </w:rPr>
            </w:pPr>
            <w:r>
              <w:rPr>
                <w:color w:val="000000"/>
              </w:rPr>
              <w:t> </w:t>
            </w:r>
          </w:p>
        </w:tc>
        <w:tc>
          <w:tcPr>
            <w:tcW w:w="408" w:type="pct"/>
            <w:tcBorders>
              <w:top w:val="nil"/>
              <w:left w:val="nil"/>
              <w:bottom w:val="single" w:sz="4" w:space="0" w:color="auto"/>
              <w:right w:val="single" w:sz="4" w:space="0" w:color="auto"/>
            </w:tcBorders>
            <w:shd w:val="clear" w:color="auto" w:fill="C0C0C0"/>
            <w:vAlign w:val="bottom"/>
          </w:tcPr>
          <w:p w:rsidR="00000000" w:rsidRDefault="00323237">
            <w:pPr>
              <w:autoSpaceDE/>
              <w:autoSpaceDN/>
              <w:adjustRightInd/>
              <w:rPr>
                <w:color w:val="000000"/>
              </w:rPr>
            </w:pPr>
            <w:r>
              <w:rPr>
                <w:color w:val="000000"/>
              </w:rPr>
              <w:t> </w:t>
            </w:r>
          </w:p>
        </w:tc>
        <w:tc>
          <w:tcPr>
            <w:tcW w:w="372" w:type="pct"/>
            <w:tcBorders>
              <w:top w:val="nil"/>
              <w:left w:val="nil"/>
              <w:bottom w:val="single" w:sz="4" w:space="0" w:color="auto"/>
              <w:right w:val="single" w:sz="4" w:space="0" w:color="auto"/>
            </w:tcBorders>
            <w:shd w:val="clear" w:color="auto" w:fill="C0C0C0"/>
            <w:vAlign w:val="bottom"/>
          </w:tcPr>
          <w:p w:rsidR="00000000" w:rsidRDefault="00323237">
            <w:pPr>
              <w:autoSpaceDE/>
              <w:autoSpaceDN/>
              <w:adjustRightInd/>
              <w:rPr>
                <w:color w:val="000000"/>
              </w:rPr>
            </w:pPr>
            <w:r>
              <w:rPr>
                <w:color w:val="000000"/>
              </w:rPr>
              <w:t> </w:t>
            </w:r>
          </w:p>
        </w:tc>
        <w:tc>
          <w:tcPr>
            <w:tcW w:w="415" w:type="pct"/>
            <w:tcBorders>
              <w:top w:val="nil"/>
              <w:left w:val="nil"/>
              <w:bottom w:val="single" w:sz="4" w:space="0" w:color="auto"/>
              <w:right w:val="single" w:sz="4" w:space="0" w:color="auto"/>
            </w:tcBorders>
            <w:shd w:val="clear" w:color="auto" w:fill="C0C0C0"/>
            <w:vAlign w:val="bottom"/>
          </w:tcPr>
          <w:p w:rsidR="00000000" w:rsidRDefault="00323237">
            <w:pPr>
              <w:autoSpaceDE/>
              <w:autoSpaceDN/>
              <w:adjustRightInd/>
              <w:rPr>
                <w:color w:val="000000"/>
              </w:rPr>
            </w:pPr>
            <w:r>
              <w:rPr>
                <w:color w:val="000000"/>
              </w:rPr>
              <w:t> </w:t>
            </w:r>
          </w:p>
        </w:tc>
        <w:tc>
          <w:tcPr>
            <w:tcW w:w="337" w:type="pct"/>
            <w:tcBorders>
              <w:top w:val="nil"/>
              <w:left w:val="nil"/>
              <w:bottom w:val="single" w:sz="4" w:space="0" w:color="auto"/>
              <w:right w:val="single" w:sz="4" w:space="0" w:color="auto"/>
            </w:tcBorders>
            <w:shd w:val="clear" w:color="auto" w:fill="C0C0C0"/>
            <w:vAlign w:val="bottom"/>
          </w:tcPr>
          <w:p w:rsidR="00000000" w:rsidRDefault="00323237">
            <w:pPr>
              <w:autoSpaceDE/>
              <w:autoSpaceDN/>
              <w:adjustRightInd/>
              <w:rPr>
                <w:color w:val="000000"/>
              </w:rPr>
            </w:pPr>
            <w:r>
              <w:rPr>
                <w:color w:val="000000"/>
              </w:rPr>
              <w:t> </w:t>
            </w:r>
          </w:p>
        </w:tc>
        <w:tc>
          <w:tcPr>
            <w:tcW w:w="465" w:type="pct"/>
            <w:tcBorders>
              <w:top w:val="nil"/>
              <w:left w:val="nil"/>
              <w:bottom w:val="single" w:sz="4" w:space="0" w:color="auto"/>
              <w:right w:val="single" w:sz="4" w:space="0" w:color="auto"/>
            </w:tcBorders>
            <w:shd w:val="clear" w:color="auto" w:fill="C0C0C0"/>
            <w:vAlign w:val="bottom"/>
          </w:tcPr>
          <w:p w:rsidR="00000000" w:rsidRDefault="00323237">
            <w:pPr>
              <w:autoSpaceDE/>
              <w:autoSpaceDN/>
              <w:adjustRightInd/>
              <w:rPr>
                <w:color w:val="000000"/>
              </w:rPr>
            </w:pPr>
            <w:r>
              <w:rPr>
                <w:color w:val="000000"/>
              </w:rPr>
              <w:t> </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auto"/>
          </w:tcPr>
          <w:p w:rsidR="00000000" w:rsidRDefault="00323237">
            <w:pPr>
              <w:autoSpaceDE/>
              <w:autoSpaceDN/>
              <w:adjustRightInd/>
              <w:rPr>
                <w:color w:val="000000"/>
              </w:rPr>
            </w:pPr>
            <w:r>
              <w:rPr>
                <w:color w:val="000000"/>
              </w:rPr>
              <w:t xml:space="preserve">          Initial</w:t>
            </w:r>
          </w:p>
        </w:tc>
        <w:tc>
          <w:tcPr>
            <w:tcW w:w="480"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pPr>
            <w:r>
              <w:t>N/A</w:t>
            </w:r>
          </w:p>
        </w:tc>
        <w:tc>
          <w:tcPr>
            <w:tcW w:w="373"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w:t>
            </w:r>
          </w:p>
        </w:tc>
        <w:tc>
          <w:tcPr>
            <w:tcW w:w="461"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w:t>
            </w:r>
          </w:p>
        </w:tc>
        <w:tc>
          <w:tcPr>
            <w:tcW w:w="408"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w:t>
            </w:r>
          </w:p>
        </w:tc>
        <w:tc>
          <w:tcPr>
            <w:tcW w:w="372"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w:t>
            </w:r>
          </w:p>
        </w:tc>
        <w:tc>
          <w:tcPr>
            <w:tcW w:w="41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w:t>
            </w:r>
          </w:p>
        </w:tc>
        <w:tc>
          <w:tcPr>
            <w:tcW w:w="337"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w:t>
            </w:r>
          </w:p>
        </w:tc>
        <w:tc>
          <w:tcPr>
            <w:tcW w:w="46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auto"/>
          </w:tcPr>
          <w:p w:rsidR="00000000" w:rsidRDefault="00323237">
            <w:pPr>
              <w:autoSpaceDE/>
              <w:autoSpaceDN/>
              <w:adjustRightInd/>
              <w:rPr>
                <w:color w:val="000000"/>
              </w:rPr>
            </w:pPr>
            <w:r>
              <w:rPr>
                <w:color w:val="000000"/>
              </w:rPr>
              <w:t xml:space="preserve">          Refresher and new personnel</w:t>
            </w:r>
          </w:p>
        </w:tc>
        <w:tc>
          <w:tcPr>
            <w:tcW w:w="480"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pPr>
            <w:r>
              <w:t>N/A</w:t>
            </w:r>
          </w:p>
        </w:tc>
        <w:tc>
          <w:tcPr>
            <w:tcW w:w="373"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w:t>
            </w:r>
          </w:p>
        </w:tc>
        <w:tc>
          <w:tcPr>
            <w:tcW w:w="461"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w:t>
            </w:r>
          </w:p>
        </w:tc>
        <w:tc>
          <w:tcPr>
            <w:tcW w:w="408"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w:t>
            </w:r>
          </w:p>
        </w:tc>
        <w:tc>
          <w:tcPr>
            <w:tcW w:w="372"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w:t>
            </w:r>
          </w:p>
        </w:tc>
        <w:tc>
          <w:tcPr>
            <w:tcW w:w="41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w:t>
            </w:r>
          </w:p>
        </w:tc>
        <w:tc>
          <w:tcPr>
            <w:tcW w:w="337"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w:t>
            </w:r>
          </w:p>
        </w:tc>
        <w:tc>
          <w:tcPr>
            <w:tcW w:w="46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auto"/>
          </w:tcPr>
          <w:p w:rsidR="00000000" w:rsidRDefault="00323237">
            <w:pPr>
              <w:autoSpaceDE/>
              <w:autoSpaceDN/>
              <w:adjustRightInd/>
              <w:rPr>
                <w:color w:val="000000"/>
              </w:rPr>
            </w:pPr>
            <w:r>
              <w:rPr>
                <w:color w:val="000000"/>
              </w:rPr>
              <w:t xml:space="preserve">  G. Audits </w:t>
            </w:r>
          </w:p>
        </w:tc>
        <w:tc>
          <w:tcPr>
            <w:tcW w:w="480"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pPr>
            <w:r>
              <w:t>N/A</w:t>
            </w:r>
          </w:p>
        </w:tc>
        <w:tc>
          <w:tcPr>
            <w:tcW w:w="373"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w:t>
            </w:r>
          </w:p>
        </w:tc>
        <w:tc>
          <w:tcPr>
            <w:tcW w:w="461"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w:t>
            </w:r>
          </w:p>
        </w:tc>
        <w:tc>
          <w:tcPr>
            <w:tcW w:w="408"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w:t>
            </w:r>
          </w:p>
        </w:tc>
        <w:tc>
          <w:tcPr>
            <w:tcW w:w="372"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w:t>
            </w:r>
          </w:p>
        </w:tc>
        <w:tc>
          <w:tcPr>
            <w:tcW w:w="41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w:t>
            </w:r>
          </w:p>
        </w:tc>
        <w:tc>
          <w:tcPr>
            <w:tcW w:w="337"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w:t>
            </w:r>
          </w:p>
        </w:tc>
        <w:tc>
          <w:tcPr>
            <w:tcW w:w="46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rPr>
                <w:color w:val="000000"/>
              </w:rPr>
            </w:pPr>
            <w:r>
              <w:rPr>
                <w:color w:val="000000"/>
              </w:rPr>
              <w:t> </w:t>
            </w:r>
          </w:p>
        </w:tc>
      </w:tr>
    </w:tbl>
    <w:p w:rsidR="00000000" w:rsidRDefault="00323237">
      <w:r>
        <w:br w:type="page"/>
      </w:r>
    </w:p>
    <w:tbl>
      <w:tblPr>
        <w:tblW w:w="5000" w:type="pct"/>
        <w:tblLook w:val="0000"/>
      </w:tblPr>
      <w:tblGrid>
        <w:gridCol w:w="5132"/>
        <w:gridCol w:w="1458"/>
        <w:gridCol w:w="1133"/>
        <w:gridCol w:w="1401"/>
        <w:gridCol w:w="1240"/>
        <w:gridCol w:w="1130"/>
        <w:gridCol w:w="1261"/>
        <w:gridCol w:w="1024"/>
        <w:gridCol w:w="1413"/>
        <w:tblGridChange w:id="1">
          <w:tblGrid>
            <w:gridCol w:w="5132"/>
            <w:gridCol w:w="1458"/>
            <w:gridCol w:w="1133"/>
            <w:gridCol w:w="1401"/>
            <w:gridCol w:w="1240"/>
            <w:gridCol w:w="1130"/>
            <w:gridCol w:w="1261"/>
            <w:gridCol w:w="1024"/>
            <w:gridCol w:w="1413"/>
          </w:tblGrid>
        </w:tblGridChange>
      </w:tblGrid>
      <w:tr w:rsidR="00000000">
        <w:trPr>
          <w:trHeight w:val="255"/>
        </w:trPr>
        <w:tc>
          <w:tcPr>
            <w:tcW w:w="1689" w:type="pct"/>
            <w:tcBorders>
              <w:top w:val="single" w:sz="4" w:space="0" w:color="auto"/>
              <w:left w:val="single" w:sz="4" w:space="0" w:color="auto"/>
              <w:bottom w:val="single" w:sz="4" w:space="0" w:color="auto"/>
              <w:right w:val="single" w:sz="4" w:space="0" w:color="auto"/>
            </w:tcBorders>
            <w:shd w:val="clear" w:color="auto" w:fill="auto"/>
          </w:tcPr>
          <w:p w:rsidR="00000000" w:rsidRDefault="00323237">
            <w:pPr>
              <w:autoSpaceDE/>
              <w:autoSpaceDN/>
              <w:adjustRightInd/>
              <w:rPr>
                <w:color w:val="000000"/>
              </w:rPr>
            </w:pPr>
            <w:r>
              <w:rPr>
                <w:color w:val="000000"/>
              </w:rPr>
              <w:t>5.  TOTAL LABOR BURDEN AND COST</w:t>
            </w:r>
          </w:p>
        </w:tc>
        <w:tc>
          <w:tcPr>
            <w:tcW w:w="480" w:type="pct"/>
            <w:tcBorders>
              <w:top w:val="single" w:sz="4" w:space="0" w:color="auto"/>
              <w:left w:val="nil"/>
              <w:bottom w:val="single" w:sz="4" w:space="0" w:color="auto"/>
              <w:right w:val="single" w:sz="4" w:space="0" w:color="auto"/>
            </w:tcBorders>
            <w:shd w:val="clear" w:color="auto" w:fill="auto"/>
            <w:vAlign w:val="bottom"/>
          </w:tcPr>
          <w:p w:rsidR="00000000" w:rsidRDefault="00323237">
            <w:pPr>
              <w:autoSpaceDE/>
              <w:autoSpaceDN/>
              <w:adjustRightInd/>
              <w:jc w:val="center"/>
            </w:pPr>
            <w:r>
              <w:t> </w:t>
            </w:r>
          </w:p>
        </w:tc>
        <w:tc>
          <w:tcPr>
            <w:tcW w:w="373" w:type="pct"/>
            <w:tcBorders>
              <w:top w:val="single" w:sz="4" w:space="0" w:color="auto"/>
              <w:left w:val="nil"/>
              <w:bottom w:val="single" w:sz="4" w:space="0" w:color="auto"/>
              <w:right w:val="single" w:sz="4" w:space="0" w:color="auto"/>
            </w:tcBorders>
            <w:shd w:val="clear" w:color="auto" w:fill="auto"/>
          </w:tcPr>
          <w:p w:rsidR="00000000" w:rsidRDefault="00323237">
            <w:pPr>
              <w:autoSpaceDE/>
              <w:autoSpaceDN/>
              <w:adjustRightInd/>
              <w:jc w:val="center"/>
            </w:pPr>
            <w:r>
              <w:t> </w:t>
            </w:r>
          </w:p>
        </w:tc>
        <w:tc>
          <w:tcPr>
            <w:tcW w:w="461" w:type="pct"/>
            <w:tcBorders>
              <w:top w:val="single" w:sz="4" w:space="0" w:color="auto"/>
              <w:left w:val="nil"/>
              <w:bottom w:val="single" w:sz="4" w:space="0" w:color="auto"/>
              <w:right w:val="single" w:sz="4" w:space="0" w:color="auto"/>
            </w:tcBorders>
            <w:shd w:val="clear" w:color="auto" w:fill="auto"/>
          </w:tcPr>
          <w:p w:rsidR="00000000" w:rsidRDefault="00323237">
            <w:pPr>
              <w:autoSpaceDE/>
              <w:autoSpaceDN/>
              <w:adjustRightInd/>
              <w:jc w:val="center"/>
            </w:pPr>
            <w:r>
              <w:t> </w:t>
            </w:r>
          </w:p>
        </w:tc>
        <w:tc>
          <w:tcPr>
            <w:tcW w:w="408" w:type="pct"/>
            <w:tcBorders>
              <w:top w:val="single" w:sz="4" w:space="0" w:color="auto"/>
              <w:left w:val="nil"/>
              <w:bottom w:val="single" w:sz="4" w:space="0" w:color="auto"/>
              <w:right w:val="single" w:sz="4" w:space="0" w:color="auto"/>
            </w:tcBorders>
            <w:shd w:val="clear" w:color="auto" w:fill="auto"/>
          </w:tcPr>
          <w:p w:rsidR="00000000" w:rsidRDefault="00323237">
            <w:pPr>
              <w:autoSpaceDE/>
              <w:autoSpaceDN/>
              <w:adjustRightInd/>
              <w:jc w:val="center"/>
            </w:pPr>
            <w:r>
              <w:t> </w:t>
            </w:r>
          </w:p>
        </w:tc>
        <w:tc>
          <w:tcPr>
            <w:tcW w:w="372" w:type="pct"/>
            <w:tcBorders>
              <w:top w:val="single" w:sz="4" w:space="0" w:color="auto"/>
              <w:left w:val="nil"/>
              <w:bottom w:val="single" w:sz="4" w:space="0" w:color="auto"/>
              <w:right w:val="single" w:sz="4" w:space="0" w:color="auto"/>
            </w:tcBorders>
            <w:shd w:val="clear" w:color="auto" w:fill="auto"/>
          </w:tcPr>
          <w:p w:rsidR="00000000" w:rsidRDefault="00323237">
            <w:pPr>
              <w:autoSpaceDE/>
              <w:autoSpaceDN/>
              <w:adjustRightInd/>
              <w:jc w:val="center"/>
              <w:rPr>
                <w:color w:val="000000"/>
              </w:rPr>
            </w:pPr>
            <w:r>
              <w:rPr>
                <w:color w:val="000000"/>
              </w:rPr>
              <w:t>9,200</w:t>
            </w:r>
          </w:p>
        </w:tc>
        <w:tc>
          <w:tcPr>
            <w:tcW w:w="415" w:type="pct"/>
            <w:tcBorders>
              <w:top w:val="single" w:sz="4" w:space="0" w:color="auto"/>
              <w:left w:val="nil"/>
              <w:bottom w:val="single" w:sz="4" w:space="0" w:color="auto"/>
              <w:right w:val="single" w:sz="4" w:space="0" w:color="auto"/>
            </w:tcBorders>
            <w:shd w:val="clear" w:color="auto" w:fill="auto"/>
          </w:tcPr>
          <w:p w:rsidR="00000000" w:rsidRDefault="00323237">
            <w:pPr>
              <w:autoSpaceDE/>
              <w:autoSpaceDN/>
              <w:adjustRightInd/>
              <w:jc w:val="center"/>
              <w:rPr>
                <w:color w:val="000000"/>
              </w:rPr>
            </w:pPr>
            <w:r>
              <w:rPr>
                <w:color w:val="000000"/>
              </w:rPr>
              <w:t>467</w:t>
            </w:r>
          </w:p>
        </w:tc>
        <w:tc>
          <w:tcPr>
            <w:tcW w:w="337" w:type="pct"/>
            <w:tcBorders>
              <w:top w:val="single" w:sz="4" w:space="0" w:color="auto"/>
              <w:left w:val="nil"/>
              <w:bottom w:val="single" w:sz="4" w:space="0" w:color="auto"/>
              <w:right w:val="single" w:sz="4" w:space="0" w:color="auto"/>
            </w:tcBorders>
            <w:shd w:val="clear" w:color="auto" w:fill="auto"/>
          </w:tcPr>
          <w:p w:rsidR="00000000" w:rsidRDefault="00323237">
            <w:pPr>
              <w:autoSpaceDE/>
              <w:autoSpaceDN/>
              <w:adjustRightInd/>
              <w:jc w:val="center"/>
              <w:rPr>
                <w:color w:val="000000"/>
              </w:rPr>
            </w:pPr>
            <w:r>
              <w:rPr>
                <w:color w:val="000000"/>
              </w:rPr>
              <w:t>919</w:t>
            </w:r>
          </w:p>
        </w:tc>
        <w:tc>
          <w:tcPr>
            <w:tcW w:w="465" w:type="pct"/>
            <w:tcBorders>
              <w:top w:val="single" w:sz="4" w:space="0" w:color="auto"/>
              <w:left w:val="nil"/>
              <w:bottom w:val="single" w:sz="4" w:space="0" w:color="auto"/>
              <w:right w:val="single" w:sz="4" w:space="0" w:color="auto"/>
            </w:tcBorders>
            <w:shd w:val="clear" w:color="auto" w:fill="auto"/>
          </w:tcPr>
          <w:p w:rsidR="00000000" w:rsidRDefault="00323237">
            <w:pPr>
              <w:autoSpaceDE/>
              <w:autoSpaceDN/>
              <w:adjustRightInd/>
              <w:jc w:val="center"/>
              <w:rPr>
                <w:color w:val="000000"/>
              </w:rPr>
            </w:pPr>
            <w:r>
              <w:rPr>
                <w:color w:val="000000"/>
              </w:rPr>
              <w:t>$806,864</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auto"/>
          </w:tcPr>
          <w:p w:rsidR="00000000" w:rsidRDefault="00323237">
            <w:pPr>
              <w:autoSpaceDE/>
              <w:autoSpaceDN/>
              <w:adjustRightInd/>
              <w:rPr>
                <w:color w:val="000000"/>
              </w:rPr>
            </w:pPr>
            <w:r>
              <w:rPr>
                <w:color w:val="000000"/>
              </w:rPr>
              <w:t> </w:t>
            </w:r>
          </w:p>
        </w:tc>
        <w:tc>
          <w:tcPr>
            <w:tcW w:w="480"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pPr>
            <w:r>
              <w:t> </w:t>
            </w:r>
          </w:p>
        </w:tc>
        <w:tc>
          <w:tcPr>
            <w:tcW w:w="373"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pPr>
            <w:r>
              <w:t> </w:t>
            </w:r>
          </w:p>
        </w:tc>
        <w:tc>
          <w:tcPr>
            <w:tcW w:w="461"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pPr>
            <w:r>
              <w:t> </w:t>
            </w:r>
          </w:p>
        </w:tc>
        <w:tc>
          <w:tcPr>
            <w:tcW w:w="408"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pPr>
            <w:r>
              <w:t> </w:t>
            </w:r>
          </w:p>
        </w:tc>
        <w:tc>
          <w:tcPr>
            <w:tcW w:w="372"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rPr>
                <w:color w:val="000000"/>
              </w:rPr>
            </w:pPr>
            <w:r>
              <w:rPr>
                <w:color w:val="000000"/>
              </w:rPr>
              <w:t> </w:t>
            </w:r>
          </w:p>
        </w:tc>
        <w:tc>
          <w:tcPr>
            <w:tcW w:w="415"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jc w:val="right"/>
            </w:pPr>
            <w:r>
              <w:t>10,586</w:t>
            </w:r>
          </w:p>
        </w:tc>
        <w:tc>
          <w:tcPr>
            <w:tcW w:w="337"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rPr>
                <w:color w:val="000000"/>
              </w:rPr>
            </w:pPr>
            <w:r>
              <w:rPr>
                <w:color w:val="000000"/>
              </w:rPr>
              <w:t>hours</w:t>
            </w:r>
          </w:p>
        </w:tc>
        <w:tc>
          <w:tcPr>
            <w:tcW w:w="465"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rPr>
                <w:color w:val="000000"/>
              </w:rPr>
            </w:pPr>
            <w:r>
              <w:rPr>
                <w:color w:val="000000"/>
              </w:rPr>
              <w:t> </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auto"/>
          </w:tcPr>
          <w:p w:rsidR="00000000" w:rsidRDefault="00323237">
            <w:pPr>
              <w:autoSpaceDE/>
              <w:autoSpaceDN/>
              <w:adjustRightInd/>
              <w:rPr>
                <w:color w:val="000000"/>
              </w:rPr>
            </w:pPr>
            <w:r>
              <w:rPr>
                <w:color w:val="000000"/>
              </w:rPr>
              <w:t>6.  CAPITAL/O&amp;M COSTS</w:t>
            </w:r>
          </w:p>
        </w:tc>
        <w:tc>
          <w:tcPr>
            <w:tcW w:w="480"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pPr>
            <w:r>
              <w:t> </w:t>
            </w:r>
          </w:p>
        </w:tc>
        <w:tc>
          <w:tcPr>
            <w:tcW w:w="373"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pPr>
            <w:r>
              <w:t> </w:t>
            </w:r>
          </w:p>
        </w:tc>
        <w:tc>
          <w:tcPr>
            <w:tcW w:w="461"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408"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372"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415" w:type="pct"/>
            <w:tcBorders>
              <w:top w:val="nil"/>
              <w:left w:val="nil"/>
              <w:bottom w:val="nil"/>
              <w:right w:val="nil"/>
            </w:tcBorders>
            <w:shd w:val="clear" w:color="auto" w:fill="auto"/>
            <w:noWrap/>
            <w:vAlign w:val="bottom"/>
          </w:tcPr>
          <w:p w:rsidR="00000000" w:rsidRDefault="00323237">
            <w:pPr>
              <w:autoSpaceDE/>
              <w:autoSpaceDN/>
              <w:adjustRightInd/>
              <w:rPr>
                <w:rFonts w:ascii="Arial" w:hAnsi="Arial" w:cs="Arial"/>
              </w:rPr>
            </w:pPr>
          </w:p>
        </w:tc>
        <w:tc>
          <w:tcPr>
            <w:tcW w:w="337" w:type="pct"/>
            <w:tcBorders>
              <w:top w:val="nil"/>
              <w:left w:val="single" w:sz="4" w:space="0" w:color="auto"/>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465"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auto"/>
          </w:tcPr>
          <w:p w:rsidR="00000000" w:rsidRDefault="00323237">
            <w:pPr>
              <w:autoSpaceDE/>
              <w:autoSpaceDN/>
              <w:adjustRightInd/>
              <w:rPr>
                <w:color w:val="000000"/>
              </w:rPr>
            </w:pPr>
            <w:r>
              <w:rPr>
                <w:color w:val="000000"/>
              </w:rPr>
              <w:t xml:space="preserve">          Annual capital costs</w:t>
            </w:r>
          </w:p>
        </w:tc>
        <w:tc>
          <w:tcPr>
            <w:tcW w:w="480"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pPr>
            <w:r>
              <w:t> </w:t>
            </w:r>
          </w:p>
        </w:tc>
        <w:tc>
          <w:tcPr>
            <w:tcW w:w="373"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pPr>
            <w:r>
              <w:t> </w:t>
            </w:r>
          </w:p>
        </w:tc>
        <w:tc>
          <w:tcPr>
            <w:tcW w:w="461"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408"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372"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415" w:type="pct"/>
            <w:tcBorders>
              <w:top w:val="single" w:sz="4" w:space="0" w:color="auto"/>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337"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465"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tcPr>
          <w:p w:rsidR="00000000" w:rsidRDefault="00323237">
            <w:pPr>
              <w:autoSpaceDE/>
              <w:autoSpaceDN/>
              <w:adjustRightInd/>
              <w:rPr>
                <w:color w:val="000000"/>
              </w:rPr>
            </w:pPr>
            <w:r>
              <w:rPr>
                <w:color w:val="000000"/>
              </w:rPr>
              <w:t xml:space="preserve">                Metal process vent performance </w:t>
            </w:r>
            <w:proofErr w:type="spellStart"/>
            <w:r>
              <w:rPr>
                <w:color w:val="000000"/>
              </w:rPr>
              <w:t>tests</w:t>
            </w:r>
            <w:r>
              <w:rPr>
                <w:color w:val="000000"/>
                <w:vertAlign w:val="superscript"/>
              </w:rPr>
              <w:t>x</w:t>
            </w:r>
            <w:proofErr w:type="spellEnd"/>
          </w:p>
        </w:tc>
        <w:tc>
          <w:tcPr>
            <w:tcW w:w="480"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pPr>
            <w:r>
              <w:t> </w:t>
            </w:r>
          </w:p>
        </w:tc>
        <w:tc>
          <w:tcPr>
            <w:tcW w:w="373"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pPr>
            <w:r>
              <w:t> </w:t>
            </w:r>
          </w:p>
        </w:tc>
        <w:tc>
          <w:tcPr>
            <w:tcW w:w="461"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408"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372"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415"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337"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465"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jc w:val="center"/>
            </w:pPr>
            <w:r>
              <w:t>$30,299</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tcPr>
          <w:p w:rsidR="00000000" w:rsidRDefault="00323237">
            <w:pPr>
              <w:autoSpaceDE/>
              <w:autoSpaceDN/>
              <w:adjustRightInd/>
              <w:rPr>
                <w:color w:val="000000"/>
              </w:rPr>
            </w:pPr>
            <w:r>
              <w:rPr>
                <w:color w:val="000000"/>
              </w:rPr>
              <w:t xml:space="preserve">                Monitoring equipment for metal process </w:t>
            </w:r>
            <w:proofErr w:type="spellStart"/>
            <w:r>
              <w:rPr>
                <w:color w:val="000000"/>
              </w:rPr>
              <w:t>vents</w:t>
            </w:r>
            <w:r>
              <w:rPr>
                <w:color w:val="000000"/>
                <w:vertAlign w:val="superscript"/>
              </w:rPr>
              <w:t>y</w:t>
            </w:r>
            <w:proofErr w:type="spellEnd"/>
          </w:p>
        </w:tc>
        <w:tc>
          <w:tcPr>
            <w:tcW w:w="480"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pPr>
            <w:r>
              <w:t> </w:t>
            </w:r>
          </w:p>
        </w:tc>
        <w:tc>
          <w:tcPr>
            <w:tcW w:w="373"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pPr>
            <w:r>
              <w:t> </w:t>
            </w:r>
          </w:p>
        </w:tc>
        <w:tc>
          <w:tcPr>
            <w:tcW w:w="461"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408"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372"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415"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337"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465"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jc w:val="center"/>
            </w:pPr>
            <w:r>
              <w:t>$303,905</w:t>
            </w:r>
          </w:p>
        </w:tc>
      </w:tr>
      <w:tr w:rsidR="00000000">
        <w:trPr>
          <w:trHeight w:val="570"/>
        </w:trPr>
        <w:tc>
          <w:tcPr>
            <w:tcW w:w="1689" w:type="pct"/>
            <w:tcBorders>
              <w:top w:val="nil"/>
              <w:left w:val="single" w:sz="4" w:space="0" w:color="auto"/>
              <w:bottom w:val="single" w:sz="4" w:space="0" w:color="auto"/>
              <w:right w:val="single" w:sz="4" w:space="0" w:color="auto"/>
            </w:tcBorders>
            <w:shd w:val="clear" w:color="auto" w:fill="auto"/>
          </w:tcPr>
          <w:p w:rsidR="00000000" w:rsidRDefault="00323237">
            <w:pPr>
              <w:autoSpaceDE/>
              <w:autoSpaceDN/>
              <w:adjustRightInd/>
              <w:rPr>
                <w:color w:val="000000"/>
              </w:rPr>
            </w:pPr>
            <w:r>
              <w:rPr>
                <w:color w:val="000000"/>
              </w:rPr>
              <w:t xml:space="preserve">                Batch process vent and continuous process vent performance </w:t>
            </w:r>
            <w:proofErr w:type="spellStart"/>
            <w:r>
              <w:rPr>
                <w:color w:val="000000"/>
              </w:rPr>
              <w:t>tests</w:t>
            </w:r>
            <w:r>
              <w:rPr>
                <w:color w:val="000000"/>
                <w:vertAlign w:val="superscript"/>
              </w:rPr>
              <w:t>z</w:t>
            </w:r>
            <w:proofErr w:type="spellEnd"/>
          </w:p>
        </w:tc>
        <w:tc>
          <w:tcPr>
            <w:tcW w:w="480"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pPr>
            <w:r>
              <w:t> </w:t>
            </w:r>
          </w:p>
        </w:tc>
        <w:tc>
          <w:tcPr>
            <w:tcW w:w="373"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pPr>
            <w:r>
              <w:t> </w:t>
            </w:r>
          </w:p>
        </w:tc>
        <w:tc>
          <w:tcPr>
            <w:tcW w:w="461"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408"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372"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415"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337"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465"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jc w:val="center"/>
            </w:pPr>
            <w:r>
              <w:t>$53,724</w:t>
            </w:r>
          </w:p>
        </w:tc>
      </w:tr>
      <w:tr w:rsidR="00000000">
        <w:trPr>
          <w:trHeight w:val="570"/>
        </w:trPr>
        <w:tc>
          <w:tcPr>
            <w:tcW w:w="1689" w:type="pct"/>
            <w:tcBorders>
              <w:top w:val="nil"/>
              <w:left w:val="single" w:sz="4" w:space="0" w:color="auto"/>
              <w:bottom w:val="single" w:sz="4" w:space="0" w:color="auto"/>
              <w:right w:val="single" w:sz="4" w:space="0" w:color="auto"/>
            </w:tcBorders>
            <w:shd w:val="clear" w:color="auto" w:fill="auto"/>
          </w:tcPr>
          <w:p w:rsidR="00000000" w:rsidRDefault="00323237">
            <w:pPr>
              <w:autoSpaceDE/>
              <w:autoSpaceDN/>
              <w:adjustRightInd/>
              <w:rPr>
                <w:color w:val="000000"/>
              </w:rPr>
            </w:pPr>
            <w:r>
              <w:rPr>
                <w:color w:val="000000"/>
              </w:rPr>
              <w:t xml:space="preserve">                Monitoring equipment for batch process vent and continuous process vent control </w:t>
            </w:r>
            <w:proofErr w:type="spellStart"/>
            <w:r>
              <w:rPr>
                <w:color w:val="000000"/>
              </w:rPr>
              <w:t>devices</w:t>
            </w:r>
            <w:r>
              <w:rPr>
                <w:color w:val="000000"/>
                <w:vertAlign w:val="superscript"/>
              </w:rPr>
              <w:t>aa</w:t>
            </w:r>
            <w:proofErr w:type="spellEnd"/>
          </w:p>
        </w:tc>
        <w:tc>
          <w:tcPr>
            <w:tcW w:w="480"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pPr>
            <w:r>
              <w:t> </w:t>
            </w:r>
          </w:p>
        </w:tc>
        <w:tc>
          <w:tcPr>
            <w:tcW w:w="373"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pPr>
            <w:r>
              <w:t> </w:t>
            </w:r>
          </w:p>
        </w:tc>
        <w:tc>
          <w:tcPr>
            <w:tcW w:w="461"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408"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372"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415"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337"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465"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jc w:val="center"/>
            </w:pPr>
            <w:r>
              <w:t>$39,820</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tcPr>
          <w:p w:rsidR="00000000" w:rsidRDefault="00323237">
            <w:pPr>
              <w:autoSpaceDE/>
              <w:autoSpaceDN/>
              <w:adjustRightInd/>
              <w:rPr>
                <w:color w:val="000000"/>
              </w:rPr>
            </w:pPr>
            <w:r>
              <w:rPr>
                <w:color w:val="000000"/>
              </w:rPr>
              <w:t xml:space="preserve">       </w:t>
            </w:r>
            <w:r>
              <w:rPr>
                <w:color w:val="000000"/>
              </w:rPr>
              <w:t xml:space="preserve">         Initial wastewater sampling and </w:t>
            </w:r>
            <w:proofErr w:type="spellStart"/>
            <w:r>
              <w:rPr>
                <w:color w:val="000000"/>
              </w:rPr>
              <w:t>analysis</w:t>
            </w:r>
            <w:r>
              <w:rPr>
                <w:color w:val="000000"/>
                <w:vertAlign w:val="superscript"/>
              </w:rPr>
              <w:t>bb</w:t>
            </w:r>
            <w:proofErr w:type="spellEnd"/>
          </w:p>
        </w:tc>
        <w:tc>
          <w:tcPr>
            <w:tcW w:w="480"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pPr>
            <w:r>
              <w:t> </w:t>
            </w:r>
          </w:p>
        </w:tc>
        <w:tc>
          <w:tcPr>
            <w:tcW w:w="373"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pPr>
            <w:r>
              <w:t> </w:t>
            </w:r>
          </w:p>
        </w:tc>
        <w:tc>
          <w:tcPr>
            <w:tcW w:w="461"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408"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372"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415"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337"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465"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jc w:val="center"/>
            </w:pPr>
            <w:r>
              <w:t>$205,075</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tcPr>
          <w:p w:rsidR="00000000" w:rsidRDefault="00323237">
            <w:pPr>
              <w:autoSpaceDE/>
              <w:autoSpaceDN/>
              <w:adjustRightInd/>
              <w:rPr>
                <w:color w:val="000000"/>
              </w:rPr>
            </w:pPr>
            <w:r>
              <w:rPr>
                <w:color w:val="000000"/>
              </w:rPr>
              <w:t xml:space="preserve">                Cooling water sampling and </w:t>
            </w:r>
            <w:proofErr w:type="spellStart"/>
            <w:r>
              <w:rPr>
                <w:color w:val="000000"/>
              </w:rPr>
              <w:t>analysis</w:t>
            </w:r>
            <w:r>
              <w:rPr>
                <w:color w:val="000000"/>
                <w:vertAlign w:val="superscript"/>
              </w:rPr>
              <w:t>cc</w:t>
            </w:r>
            <w:proofErr w:type="spellEnd"/>
          </w:p>
        </w:tc>
        <w:tc>
          <w:tcPr>
            <w:tcW w:w="480"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pPr>
            <w:r>
              <w:t> </w:t>
            </w:r>
          </w:p>
        </w:tc>
        <w:tc>
          <w:tcPr>
            <w:tcW w:w="373"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pPr>
            <w:r>
              <w:t> </w:t>
            </w:r>
          </w:p>
        </w:tc>
        <w:tc>
          <w:tcPr>
            <w:tcW w:w="461"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408"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372"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415"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337"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465"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jc w:val="center"/>
            </w:pPr>
            <w:r>
              <w:t>$0</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auto"/>
          </w:tcPr>
          <w:p w:rsidR="00000000" w:rsidRDefault="00323237">
            <w:pPr>
              <w:autoSpaceDE/>
              <w:autoSpaceDN/>
              <w:adjustRightInd/>
              <w:rPr>
                <w:color w:val="000000"/>
              </w:rPr>
            </w:pPr>
            <w:r>
              <w:rPr>
                <w:color w:val="000000"/>
              </w:rPr>
              <w:t> </w:t>
            </w:r>
          </w:p>
        </w:tc>
        <w:tc>
          <w:tcPr>
            <w:tcW w:w="480"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pPr>
            <w:r>
              <w:t> </w:t>
            </w:r>
          </w:p>
        </w:tc>
        <w:tc>
          <w:tcPr>
            <w:tcW w:w="373"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pPr>
            <w:r>
              <w:t> </w:t>
            </w:r>
          </w:p>
        </w:tc>
        <w:tc>
          <w:tcPr>
            <w:tcW w:w="461"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408"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372"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415"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337"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465"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jc w:val="center"/>
            </w:pPr>
            <w:r>
              <w:t> </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C0C0C0"/>
          </w:tcPr>
          <w:p w:rsidR="00000000" w:rsidRDefault="00323237">
            <w:pPr>
              <w:autoSpaceDE/>
              <w:autoSpaceDN/>
              <w:adjustRightInd/>
              <w:rPr>
                <w:color w:val="000000"/>
              </w:rPr>
            </w:pPr>
            <w:r>
              <w:rPr>
                <w:color w:val="000000"/>
              </w:rPr>
              <w:t> </w:t>
            </w:r>
          </w:p>
        </w:tc>
        <w:tc>
          <w:tcPr>
            <w:tcW w:w="480" w:type="pct"/>
            <w:tcBorders>
              <w:top w:val="nil"/>
              <w:left w:val="nil"/>
              <w:bottom w:val="single" w:sz="4" w:space="0" w:color="auto"/>
              <w:right w:val="single" w:sz="4" w:space="0" w:color="auto"/>
            </w:tcBorders>
            <w:shd w:val="clear" w:color="auto" w:fill="C0C0C0"/>
            <w:vAlign w:val="bottom"/>
          </w:tcPr>
          <w:p w:rsidR="00000000" w:rsidRDefault="00323237">
            <w:pPr>
              <w:autoSpaceDE/>
              <w:autoSpaceDN/>
              <w:adjustRightInd/>
              <w:jc w:val="center"/>
            </w:pPr>
            <w:r>
              <w:t> </w:t>
            </w:r>
          </w:p>
        </w:tc>
        <w:tc>
          <w:tcPr>
            <w:tcW w:w="373" w:type="pct"/>
            <w:tcBorders>
              <w:top w:val="nil"/>
              <w:left w:val="nil"/>
              <w:bottom w:val="single" w:sz="4" w:space="0" w:color="auto"/>
              <w:right w:val="single" w:sz="4" w:space="0" w:color="auto"/>
            </w:tcBorders>
            <w:shd w:val="clear" w:color="auto" w:fill="C0C0C0"/>
          </w:tcPr>
          <w:p w:rsidR="00000000" w:rsidRDefault="00323237">
            <w:pPr>
              <w:autoSpaceDE/>
              <w:autoSpaceDN/>
              <w:adjustRightInd/>
              <w:jc w:val="center"/>
            </w:pPr>
            <w:r>
              <w:t> </w:t>
            </w:r>
          </w:p>
        </w:tc>
        <w:tc>
          <w:tcPr>
            <w:tcW w:w="461" w:type="pct"/>
            <w:tcBorders>
              <w:top w:val="nil"/>
              <w:left w:val="nil"/>
              <w:bottom w:val="single" w:sz="4" w:space="0" w:color="auto"/>
              <w:right w:val="single" w:sz="4" w:space="0" w:color="auto"/>
            </w:tcBorders>
            <w:shd w:val="clear" w:color="auto" w:fill="C0C0C0"/>
            <w:noWrap/>
            <w:vAlign w:val="bottom"/>
          </w:tcPr>
          <w:p w:rsidR="00000000" w:rsidRDefault="00323237">
            <w:pPr>
              <w:autoSpaceDE/>
              <w:autoSpaceDN/>
              <w:adjustRightInd/>
              <w:rPr>
                <w:rFonts w:ascii="Arial" w:hAnsi="Arial" w:cs="Arial"/>
              </w:rPr>
            </w:pPr>
            <w:r>
              <w:rPr>
                <w:rFonts w:ascii="Arial" w:hAnsi="Arial" w:cs="Arial"/>
              </w:rPr>
              <w:t> </w:t>
            </w:r>
          </w:p>
        </w:tc>
        <w:tc>
          <w:tcPr>
            <w:tcW w:w="408" w:type="pct"/>
            <w:tcBorders>
              <w:top w:val="nil"/>
              <w:left w:val="nil"/>
              <w:bottom w:val="single" w:sz="4" w:space="0" w:color="auto"/>
              <w:right w:val="single" w:sz="4" w:space="0" w:color="auto"/>
            </w:tcBorders>
            <w:shd w:val="clear" w:color="auto" w:fill="C0C0C0"/>
            <w:noWrap/>
            <w:vAlign w:val="bottom"/>
          </w:tcPr>
          <w:p w:rsidR="00000000" w:rsidRDefault="00323237">
            <w:pPr>
              <w:autoSpaceDE/>
              <w:autoSpaceDN/>
              <w:adjustRightInd/>
              <w:rPr>
                <w:rFonts w:ascii="Arial" w:hAnsi="Arial" w:cs="Arial"/>
              </w:rPr>
            </w:pPr>
            <w:r>
              <w:rPr>
                <w:rFonts w:ascii="Arial" w:hAnsi="Arial" w:cs="Arial"/>
              </w:rPr>
              <w:t> </w:t>
            </w:r>
          </w:p>
        </w:tc>
        <w:tc>
          <w:tcPr>
            <w:tcW w:w="372" w:type="pct"/>
            <w:tcBorders>
              <w:top w:val="nil"/>
              <w:left w:val="nil"/>
              <w:bottom w:val="single" w:sz="4" w:space="0" w:color="auto"/>
              <w:right w:val="single" w:sz="4" w:space="0" w:color="auto"/>
            </w:tcBorders>
            <w:shd w:val="clear" w:color="auto" w:fill="C0C0C0"/>
            <w:noWrap/>
            <w:vAlign w:val="bottom"/>
          </w:tcPr>
          <w:p w:rsidR="00000000" w:rsidRDefault="00323237">
            <w:pPr>
              <w:autoSpaceDE/>
              <w:autoSpaceDN/>
              <w:adjustRightInd/>
              <w:rPr>
                <w:rFonts w:ascii="Arial" w:hAnsi="Arial" w:cs="Arial"/>
              </w:rPr>
            </w:pPr>
            <w:r>
              <w:rPr>
                <w:rFonts w:ascii="Arial" w:hAnsi="Arial" w:cs="Arial"/>
              </w:rPr>
              <w:t> </w:t>
            </w:r>
          </w:p>
        </w:tc>
        <w:tc>
          <w:tcPr>
            <w:tcW w:w="415"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337"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c>
          <w:tcPr>
            <w:tcW w:w="465" w:type="pct"/>
            <w:tcBorders>
              <w:top w:val="nil"/>
              <w:left w:val="nil"/>
              <w:bottom w:val="single" w:sz="4" w:space="0" w:color="auto"/>
              <w:right w:val="single" w:sz="4" w:space="0" w:color="auto"/>
            </w:tcBorders>
            <w:shd w:val="clear" w:color="auto" w:fill="auto"/>
            <w:noWrap/>
            <w:vAlign w:val="bottom"/>
          </w:tcPr>
          <w:p w:rsidR="00000000" w:rsidRDefault="00323237">
            <w:pPr>
              <w:autoSpaceDE/>
              <w:autoSpaceDN/>
              <w:adjustRightInd/>
              <w:rPr>
                <w:rFonts w:ascii="Arial" w:hAnsi="Arial" w:cs="Arial"/>
              </w:rPr>
            </w:pPr>
            <w:r>
              <w:rPr>
                <w:rFonts w:ascii="Arial" w:hAnsi="Arial" w:cs="Arial"/>
              </w:rPr>
              <w:t> </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tcPr>
          <w:p w:rsidR="00000000" w:rsidRDefault="00323237">
            <w:pPr>
              <w:autoSpaceDE/>
              <w:autoSpaceDN/>
              <w:adjustRightInd/>
            </w:pPr>
            <w:r>
              <w:t xml:space="preserve">          Annualized Capital </w:t>
            </w:r>
            <w:proofErr w:type="spellStart"/>
            <w:r>
              <w:t>Cost</w:t>
            </w:r>
            <w:r>
              <w:rPr>
                <w:vertAlign w:val="superscript"/>
              </w:rPr>
              <w:t>dd</w:t>
            </w:r>
            <w:proofErr w:type="spellEnd"/>
          </w:p>
        </w:tc>
        <w:tc>
          <w:tcPr>
            <w:tcW w:w="480"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pPr>
            <w:r>
              <w:t> </w:t>
            </w:r>
          </w:p>
        </w:tc>
        <w:tc>
          <w:tcPr>
            <w:tcW w:w="373"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pPr>
            <w:r>
              <w:t> </w:t>
            </w:r>
          </w:p>
        </w:tc>
        <w:tc>
          <w:tcPr>
            <w:tcW w:w="461"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pPr>
            <w:r>
              <w:t> </w:t>
            </w:r>
          </w:p>
        </w:tc>
        <w:tc>
          <w:tcPr>
            <w:tcW w:w="408"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pPr>
            <w:r>
              <w:t> </w:t>
            </w:r>
          </w:p>
        </w:tc>
        <w:tc>
          <w:tcPr>
            <w:tcW w:w="372"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rPr>
                <w:color w:val="000000"/>
              </w:rPr>
            </w:pPr>
            <w:r>
              <w:rPr>
                <w:color w:val="000000"/>
              </w:rPr>
              <w:t> </w:t>
            </w:r>
          </w:p>
        </w:tc>
        <w:tc>
          <w:tcPr>
            <w:tcW w:w="415"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rPr>
                <w:color w:val="000000"/>
              </w:rPr>
            </w:pPr>
            <w:r>
              <w:rPr>
                <w:color w:val="000000"/>
              </w:rPr>
              <w:t> </w:t>
            </w:r>
          </w:p>
        </w:tc>
        <w:tc>
          <w:tcPr>
            <w:tcW w:w="337"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rPr>
                <w:color w:val="000000"/>
              </w:rPr>
            </w:pPr>
            <w:r>
              <w:rPr>
                <w:color w:val="000000"/>
              </w:rPr>
              <w:t> </w:t>
            </w:r>
          </w:p>
        </w:tc>
        <w:tc>
          <w:tcPr>
            <w:tcW w:w="46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pPr>
            <w:r>
              <w:t>$69,484</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tcPr>
          <w:p w:rsidR="00000000" w:rsidRDefault="00323237">
            <w:pPr>
              <w:autoSpaceDE/>
              <w:autoSpaceDN/>
              <w:adjustRightInd/>
              <w:rPr>
                <w:color w:val="000000"/>
              </w:rPr>
            </w:pPr>
            <w:r>
              <w:rPr>
                <w:color w:val="000000"/>
              </w:rPr>
              <w:t xml:space="preserve">          A</w:t>
            </w:r>
            <w:r>
              <w:rPr>
                <w:color w:val="000000"/>
              </w:rPr>
              <w:t xml:space="preserve">nnual O&amp;M </w:t>
            </w:r>
            <w:proofErr w:type="spellStart"/>
            <w:r>
              <w:rPr>
                <w:color w:val="000000"/>
              </w:rPr>
              <w:t>Cost</w:t>
            </w:r>
            <w:r>
              <w:rPr>
                <w:color w:val="000000"/>
                <w:vertAlign w:val="superscript"/>
              </w:rPr>
              <w:t>ee</w:t>
            </w:r>
            <w:proofErr w:type="spellEnd"/>
          </w:p>
        </w:tc>
        <w:tc>
          <w:tcPr>
            <w:tcW w:w="480"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pPr>
            <w:r>
              <w:t> </w:t>
            </w:r>
          </w:p>
        </w:tc>
        <w:tc>
          <w:tcPr>
            <w:tcW w:w="373"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pPr>
            <w:r>
              <w:t> </w:t>
            </w:r>
          </w:p>
        </w:tc>
        <w:tc>
          <w:tcPr>
            <w:tcW w:w="461"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pPr>
            <w:r>
              <w:t> </w:t>
            </w:r>
          </w:p>
        </w:tc>
        <w:tc>
          <w:tcPr>
            <w:tcW w:w="408"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pPr>
            <w:r>
              <w:t> </w:t>
            </w:r>
          </w:p>
        </w:tc>
        <w:tc>
          <w:tcPr>
            <w:tcW w:w="372"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rPr>
                <w:color w:val="000000"/>
              </w:rPr>
            </w:pPr>
            <w:r>
              <w:rPr>
                <w:color w:val="000000"/>
              </w:rPr>
              <w:t> </w:t>
            </w:r>
          </w:p>
        </w:tc>
        <w:tc>
          <w:tcPr>
            <w:tcW w:w="415"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rPr>
                <w:color w:val="000000"/>
              </w:rPr>
            </w:pPr>
            <w:r>
              <w:rPr>
                <w:color w:val="000000"/>
              </w:rPr>
              <w:t> </w:t>
            </w:r>
          </w:p>
        </w:tc>
        <w:tc>
          <w:tcPr>
            <w:tcW w:w="337"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rPr>
                <w:color w:val="000000"/>
              </w:rPr>
            </w:pPr>
            <w:r>
              <w:rPr>
                <w:color w:val="000000"/>
              </w:rPr>
              <w:t> </w:t>
            </w:r>
          </w:p>
        </w:tc>
        <w:tc>
          <w:tcPr>
            <w:tcW w:w="46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$28,787</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auto"/>
          </w:tcPr>
          <w:p w:rsidR="00000000" w:rsidRDefault="00323237">
            <w:pPr>
              <w:autoSpaceDE/>
              <w:autoSpaceDN/>
              <w:adjustRightInd/>
              <w:rPr>
                <w:color w:val="000000"/>
              </w:rPr>
            </w:pPr>
            <w:r>
              <w:rPr>
                <w:color w:val="000000"/>
              </w:rPr>
              <w:t xml:space="preserve">          Total Annual Capital and O&amp;M Cost</w:t>
            </w:r>
          </w:p>
        </w:tc>
        <w:tc>
          <w:tcPr>
            <w:tcW w:w="480"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pPr>
            <w:r>
              <w:t> </w:t>
            </w:r>
          </w:p>
        </w:tc>
        <w:tc>
          <w:tcPr>
            <w:tcW w:w="373"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pPr>
            <w:r>
              <w:t> </w:t>
            </w:r>
          </w:p>
        </w:tc>
        <w:tc>
          <w:tcPr>
            <w:tcW w:w="461"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pPr>
            <w:r>
              <w:t> </w:t>
            </w:r>
          </w:p>
        </w:tc>
        <w:tc>
          <w:tcPr>
            <w:tcW w:w="408"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pPr>
            <w:r>
              <w:t> </w:t>
            </w:r>
          </w:p>
        </w:tc>
        <w:tc>
          <w:tcPr>
            <w:tcW w:w="372"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rPr>
                <w:color w:val="000000"/>
              </w:rPr>
            </w:pPr>
            <w:r>
              <w:rPr>
                <w:color w:val="000000"/>
              </w:rPr>
              <w:t> </w:t>
            </w:r>
          </w:p>
        </w:tc>
        <w:tc>
          <w:tcPr>
            <w:tcW w:w="415"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rPr>
                <w:color w:val="000000"/>
              </w:rPr>
            </w:pPr>
            <w:r>
              <w:rPr>
                <w:color w:val="000000"/>
              </w:rPr>
              <w:t> </w:t>
            </w:r>
          </w:p>
        </w:tc>
        <w:tc>
          <w:tcPr>
            <w:tcW w:w="337" w:type="pct"/>
            <w:tcBorders>
              <w:top w:val="nil"/>
              <w:left w:val="nil"/>
              <w:bottom w:val="single" w:sz="4" w:space="0" w:color="auto"/>
              <w:right w:val="single" w:sz="4" w:space="0" w:color="auto"/>
            </w:tcBorders>
            <w:shd w:val="clear" w:color="auto" w:fill="auto"/>
          </w:tcPr>
          <w:p w:rsidR="00000000" w:rsidRDefault="00323237">
            <w:pPr>
              <w:autoSpaceDE/>
              <w:autoSpaceDN/>
              <w:adjustRightInd/>
              <w:jc w:val="center"/>
              <w:rPr>
                <w:color w:val="000000"/>
              </w:rPr>
            </w:pPr>
            <w:r>
              <w:rPr>
                <w:color w:val="000000"/>
              </w:rPr>
              <w:t> </w:t>
            </w:r>
          </w:p>
        </w:tc>
        <w:tc>
          <w:tcPr>
            <w:tcW w:w="465" w:type="pct"/>
            <w:tcBorders>
              <w:top w:val="nil"/>
              <w:left w:val="nil"/>
              <w:bottom w:val="single" w:sz="4" w:space="0" w:color="auto"/>
              <w:right w:val="single" w:sz="4" w:space="0" w:color="auto"/>
            </w:tcBorders>
            <w:shd w:val="clear" w:color="auto" w:fill="auto"/>
            <w:vAlign w:val="bottom"/>
          </w:tcPr>
          <w:p w:rsidR="00000000" w:rsidRDefault="00323237">
            <w:pPr>
              <w:autoSpaceDE/>
              <w:autoSpaceDN/>
              <w:adjustRightInd/>
              <w:jc w:val="center"/>
              <w:rPr>
                <w:color w:val="000000"/>
              </w:rPr>
            </w:pPr>
            <w:r>
              <w:rPr>
                <w:color w:val="000000"/>
              </w:rPr>
              <w:t>$98,271</w:t>
            </w:r>
          </w:p>
        </w:tc>
      </w:tr>
      <w:tr w:rsidR="00000000">
        <w:trPr>
          <w:trHeight w:val="255"/>
        </w:trPr>
        <w:tc>
          <w:tcPr>
            <w:tcW w:w="1689" w:type="pct"/>
            <w:tcBorders>
              <w:top w:val="nil"/>
              <w:left w:val="single" w:sz="4" w:space="0" w:color="auto"/>
              <w:bottom w:val="nil"/>
              <w:right w:val="nil"/>
            </w:tcBorders>
            <w:shd w:val="clear" w:color="auto" w:fill="auto"/>
          </w:tcPr>
          <w:p w:rsidR="00000000" w:rsidRDefault="00323237">
            <w:pPr>
              <w:autoSpaceDE/>
              <w:autoSpaceDN/>
              <w:adjustRightInd/>
              <w:jc w:val="center"/>
              <w:rPr>
                <w:color w:val="000000"/>
              </w:rPr>
            </w:pPr>
            <w:r>
              <w:rPr>
                <w:color w:val="000000"/>
              </w:rPr>
              <w:t> </w:t>
            </w:r>
          </w:p>
        </w:tc>
        <w:tc>
          <w:tcPr>
            <w:tcW w:w="480" w:type="pct"/>
            <w:tcBorders>
              <w:top w:val="nil"/>
              <w:left w:val="nil"/>
              <w:bottom w:val="nil"/>
              <w:right w:val="nil"/>
            </w:tcBorders>
            <w:shd w:val="clear" w:color="auto" w:fill="auto"/>
            <w:vAlign w:val="bottom"/>
          </w:tcPr>
          <w:p w:rsidR="00000000" w:rsidRDefault="00323237">
            <w:pPr>
              <w:autoSpaceDE/>
              <w:autoSpaceDN/>
              <w:adjustRightInd/>
              <w:jc w:val="center"/>
            </w:pPr>
          </w:p>
        </w:tc>
        <w:tc>
          <w:tcPr>
            <w:tcW w:w="373" w:type="pct"/>
            <w:tcBorders>
              <w:top w:val="nil"/>
              <w:left w:val="nil"/>
              <w:bottom w:val="nil"/>
              <w:right w:val="nil"/>
            </w:tcBorders>
            <w:shd w:val="clear" w:color="auto" w:fill="auto"/>
          </w:tcPr>
          <w:p w:rsidR="00000000" w:rsidRDefault="00323237">
            <w:pPr>
              <w:autoSpaceDE/>
              <w:autoSpaceDN/>
              <w:adjustRightInd/>
              <w:jc w:val="center"/>
            </w:pPr>
          </w:p>
        </w:tc>
        <w:tc>
          <w:tcPr>
            <w:tcW w:w="461" w:type="pct"/>
            <w:tcBorders>
              <w:top w:val="nil"/>
              <w:left w:val="nil"/>
              <w:bottom w:val="nil"/>
              <w:right w:val="nil"/>
            </w:tcBorders>
            <w:shd w:val="clear" w:color="auto" w:fill="auto"/>
          </w:tcPr>
          <w:p w:rsidR="00000000" w:rsidRDefault="00323237">
            <w:pPr>
              <w:autoSpaceDE/>
              <w:autoSpaceDN/>
              <w:adjustRightInd/>
              <w:jc w:val="center"/>
            </w:pPr>
          </w:p>
        </w:tc>
        <w:tc>
          <w:tcPr>
            <w:tcW w:w="408" w:type="pct"/>
            <w:tcBorders>
              <w:top w:val="nil"/>
              <w:left w:val="nil"/>
              <w:bottom w:val="nil"/>
              <w:right w:val="nil"/>
            </w:tcBorders>
            <w:shd w:val="clear" w:color="auto" w:fill="auto"/>
          </w:tcPr>
          <w:p w:rsidR="00000000" w:rsidRDefault="00323237">
            <w:pPr>
              <w:autoSpaceDE/>
              <w:autoSpaceDN/>
              <w:adjustRightInd/>
              <w:jc w:val="center"/>
            </w:pPr>
          </w:p>
        </w:tc>
        <w:tc>
          <w:tcPr>
            <w:tcW w:w="372" w:type="pct"/>
            <w:tcBorders>
              <w:top w:val="nil"/>
              <w:left w:val="nil"/>
              <w:bottom w:val="nil"/>
              <w:right w:val="nil"/>
            </w:tcBorders>
            <w:shd w:val="clear" w:color="auto" w:fill="auto"/>
          </w:tcPr>
          <w:p w:rsidR="00000000" w:rsidRDefault="00323237">
            <w:pPr>
              <w:autoSpaceDE/>
              <w:autoSpaceDN/>
              <w:adjustRightInd/>
              <w:jc w:val="center"/>
              <w:rPr>
                <w:color w:val="000000"/>
              </w:rPr>
            </w:pPr>
          </w:p>
        </w:tc>
        <w:tc>
          <w:tcPr>
            <w:tcW w:w="415" w:type="pct"/>
            <w:tcBorders>
              <w:top w:val="nil"/>
              <w:left w:val="nil"/>
              <w:bottom w:val="nil"/>
              <w:right w:val="nil"/>
            </w:tcBorders>
            <w:shd w:val="clear" w:color="auto" w:fill="auto"/>
          </w:tcPr>
          <w:p w:rsidR="00000000" w:rsidRDefault="00323237">
            <w:pPr>
              <w:autoSpaceDE/>
              <w:autoSpaceDN/>
              <w:adjustRightInd/>
              <w:jc w:val="center"/>
              <w:rPr>
                <w:color w:val="000000"/>
              </w:rPr>
            </w:pPr>
          </w:p>
        </w:tc>
        <w:tc>
          <w:tcPr>
            <w:tcW w:w="337" w:type="pct"/>
            <w:tcBorders>
              <w:top w:val="nil"/>
              <w:left w:val="nil"/>
              <w:bottom w:val="nil"/>
              <w:right w:val="nil"/>
            </w:tcBorders>
            <w:shd w:val="clear" w:color="auto" w:fill="auto"/>
          </w:tcPr>
          <w:p w:rsidR="00000000" w:rsidRDefault="00323237">
            <w:pPr>
              <w:autoSpaceDE/>
              <w:autoSpaceDN/>
              <w:adjustRightInd/>
              <w:jc w:val="center"/>
              <w:rPr>
                <w:color w:val="000000"/>
              </w:rPr>
            </w:pPr>
          </w:p>
        </w:tc>
        <w:tc>
          <w:tcPr>
            <w:tcW w:w="465" w:type="pct"/>
            <w:tcBorders>
              <w:top w:val="nil"/>
              <w:left w:val="nil"/>
              <w:bottom w:val="nil"/>
              <w:right w:val="single" w:sz="4" w:space="0" w:color="auto"/>
            </w:tcBorders>
            <w:shd w:val="clear" w:color="auto" w:fill="auto"/>
          </w:tcPr>
          <w:p w:rsidR="00000000" w:rsidRDefault="00323237">
            <w:pPr>
              <w:autoSpaceDE/>
              <w:autoSpaceDN/>
              <w:adjustRightInd/>
              <w:jc w:val="center"/>
              <w:rPr>
                <w:color w:val="000000"/>
              </w:rPr>
            </w:pPr>
            <w:r>
              <w:rPr>
                <w:color w:val="000000"/>
              </w:rPr>
              <w:t> </w:t>
            </w:r>
          </w:p>
        </w:tc>
      </w:tr>
      <w:tr w:rsidR="00000000">
        <w:trPr>
          <w:trHeight w:val="660"/>
        </w:trPr>
        <w:tc>
          <w:tcPr>
            <w:tcW w:w="5000" w:type="pct"/>
            <w:gridSpan w:val="9"/>
            <w:tcBorders>
              <w:top w:val="nil"/>
              <w:left w:val="single" w:sz="4" w:space="0" w:color="auto"/>
              <w:bottom w:val="nil"/>
              <w:right w:val="single" w:sz="4" w:space="0" w:color="000000"/>
            </w:tcBorders>
            <w:shd w:val="clear" w:color="auto" w:fill="auto"/>
          </w:tcPr>
          <w:p w:rsidR="00000000" w:rsidRDefault="00323237">
            <w:pPr>
              <w:autoSpaceDE/>
              <w:autoSpaceDN/>
              <w:adjustRightInd/>
              <w:rPr>
                <w:color w:val="000000"/>
              </w:rPr>
            </w:pPr>
            <w:r>
              <w:rPr>
                <w:color w:val="000000"/>
                <w:vertAlign w:val="superscript"/>
              </w:rPr>
              <w:t xml:space="preserve">a </w:t>
            </w:r>
            <w:r>
              <w:rPr>
                <w:color w:val="000000"/>
              </w:rPr>
              <w:t>Assume 452 existing facilities are subject to the NESHAP (228 have only organic HAP emissions, 178 have only metal HAP emissions, and 4</w:t>
            </w:r>
            <w:r>
              <w:rPr>
                <w:color w:val="000000"/>
              </w:rPr>
              <w:t>6 have both types of emissions). Thus, on average, 452/3 =151 existing sources/yr will be subject. Assume 2 percent growth in new facilities each year (0.02 x 452 = 9 new facilities per year; 9 x 274/452 = 5.4 with organic HAP emissions and 9 x 224/452 = 4</w:t>
            </w:r>
            <w:r>
              <w:rPr>
                <w:color w:val="000000"/>
              </w:rPr>
              <w:t>.5 with metal HAP emissions).</w:t>
            </w:r>
          </w:p>
        </w:tc>
      </w:tr>
      <w:tr w:rsidR="00000000">
        <w:trPr>
          <w:trHeight w:val="840"/>
        </w:trPr>
        <w:tc>
          <w:tcPr>
            <w:tcW w:w="5000" w:type="pct"/>
            <w:gridSpan w:val="9"/>
            <w:tcBorders>
              <w:top w:val="nil"/>
              <w:left w:val="single" w:sz="4" w:space="0" w:color="auto"/>
              <w:bottom w:val="nil"/>
              <w:right w:val="single" w:sz="4" w:space="0" w:color="000000"/>
            </w:tcBorders>
            <w:shd w:val="clear" w:color="auto" w:fill="auto"/>
            <w:vAlign w:val="bottom"/>
          </w:tcPr>
          <w:p w:rsidR="00000000" w:rsidRDefault="00323237">
            <w:pPr>
              <w:autoSpaceDE/>
              <w:autoSpaceDN/>
              <w:adjustRightInd/>
              <w:rPr>
                <w:color w:val="000000"/>
              </w:rPr>
            </w:pPr>
            <w:proofErr w:type="gramStart"/>
            <w:r>
              <w:rPr>
                <w:color w:val="000000"/>
                <w:vertAlign w:val="superscript"/>
              </w:rPr>
              <w:t>b</w:t>
            </w:r>
            <w:proofErr w:type="gramEnd"/>
            <w:r>
              <w:rPr>
                <w:color w:val="000000"/>
                <w:vertAlign w:val="superscript"/>
              </w:rPr>
              <w:t xml:space="preserve"> </w:t>
            </w:r>
            <w:r>
              <w:rPr>
                <w:color w:val="000000"/>
              </w:rPr>
              <w:t xml:space="preserve">United States Department of Labor, Bureau of Labor Statistics, May 2007 National Industry-Specific Occupational Employment and Wage Estimates, NAICS 325000 Chemical Manufacturing. The wages are for Environmental Engineers, </w:t>
            </w:r>
            <w:r>
              <w:rPr>
                <w:color w:val="000000"/>
              </w:rPr>
              <w:t>General and Operations Managers, and Office and Administrative Support Occupations. The rates have been increased by 110 percent to account for the benefit packages available to those employed by private industry. Technical - $77.24/hr; Managerial - $130.6</w:t>
            </w:r>
            <w:r>
              <w:rPr>
                <w:color w:val="000000"/>
              </w:rPr>
              <w:t>2/hr; Clerical - $37.28/hr.</w:t>
            </w:r>
          </w:p>
        </w:tc>
      </w:tr>
      <w:tr w:rsidR="00000000">
        <w:trPr>
          <w:trHeight w:val="630"/>
        </w:trPr>
        <w:tc>
          <w:tcPr>
            <w:tcW w:w="5000" w:type="pct"/>
            <w:gridSpan w:val="9"/>
            <w:tcBorders>
              <w:top w:val="nil"/>
              <w:left w:val="single" w:sz="4" w:space="0" w:color="auto"/>
              <w:bottom w:val="nil"/>
              <w:right w:val="single" w:sz="4" w:space="0" w:color="000000"/>
            </w:tcBorders>
            <w:shd w:val="clear" w:color="auto" w:fill="auto"/>
          </w:tcPr>
          <w:p w:rsidR="00000000" w:rsidRDefault="00323237">
            <w:pPr>
              <w:autoSpaceDE/>
              <w:autoSpaceDN/>
              <w:adjustRightInd/>
              <w:rPr>
                <w:color w:val="000000"/>
              </w:rPr>
            </w:pPr>
            <w:r>
              <w:rPr>
                <w:color w:val="000000"/>
                <w:vertAlign w:val="superscript"/>
              </w:rPr>
              <w:t xml:space="preserve">c </w:t>
            </w:r>
            <w:r>
              <w:rPr>
                <w:color w:val="000000"/>
              </w:rPr>
              <w:t xml:space="preserve">Assume 80 percent of facilities with organic HAP emissions have heat exchange systems and will need to prepare a heat exchange system inspection or monitoring plan (274/3 x 0.8 = 73.1 existing sources/yr plus 5.4 x 0.8 = 4.3 </w:t>
            </w:r>
            <w:r>
              <w:rPr>
                <w:color w:val="000000"/>
              </w:rPr>
              <w:t>new sources/yr). However, this cost was included as part of the heat exchange system monitoring program cost.</w:t>
            </w:r>
          </w:p>
        </w:tc>
      </w:tr>
      <w:tr w:rsidR="00000000">
        <w:trPr>
          <w:trHeight w:val="855"/>
        </w:trPr>
        <w:tc>
          <w:tcPr>
            <w:tcW w:w="5000" w:type="pct"/>
            <w:gridSpan w:val="9"/>
            <w:tcBorders>
              <w:top w:val="nil"/>
              <w:left w:val="single" w:sz="4" w:space="0" w:color="auto"/>
              <w:bottom w:val="nil"/>
              <w:right w:val="single" w:sz="4" w:space="0" w:color="000000"/>
            </w:tcBorders>
            <w:shd w:val="clear" w:color="auto" w:fill="auto"/>
          </w:tcPr>
          <w:p w:rsidR="00000000" w:rsidRDefault="00323237">
            <w:pPr>
              <w:autoSpaceDE/>
              <w:autoSpaceDN/>
              <w:adjustRightInd/>
              <w:rPr>
                <w:color w:val="000000"/>
              </w:rPr>
            </w:pPr>
            <w:proofErr w:type="gramStart"/>
            <w:r>
              <w:rPr>
                <w:color w:val="000000"/>
                <w:vertAlign w:val="superscript"/>
              </w:rPr>
              <w:t>d</w:t>
            </w:r>
            <w:proofErr w:type="gramEnd"/>
            <w:r>
              <w:rPr>
                <w:color w:val="000000"/>
              </w:rPr>
              <w:t xml:space="preserve"> All sources with a CMPU that has uncontrolled metal HAP emissions greater than 400 lb/yr must prepare a metal process vent monitoring plan. (30</w:t>
            </w:r>
            <w:r>
              <w:rPr>
                <w:color w:val="000000"/>
              </w:rPr>
              <w:t xml:space="preserve">/3 = 10 existing uncontrolled sources/yr plus 19/3 = 6.3 existing controlled sources/yr plus 1 new source/yr). </w:t>
            </w:r>
            <w:proofErr w:type="spellStart"/>
            <w:r>
              <w:rPr>
                <w:color w:val="000000"/>
              </w:rPr>
              <w:t>Theplan</w:t>
            </w:r>
            <w:proofErr w:type="spellEnd"/>
            <w:r>
              <w:rPr>
                <w:color w:val="000000"/>
              </w:rPr>
              <w:t xml:space="preserve"> is not submitted but must be maintained onsite and made available upon request.</w:t>
            </w:r>
          </w:p>
        </w:tc>
      </w:tr>
      <w:tr w:rsidR="00000000">
        <w:trPr>
          <w:trHeight w:val="450"/>
        </w:trPr>
        <w:tc>
          <w:tcPr>
            <w:tcW w:w="5000" w:type="pct"/>
            <w:gridSpan w:val="9"/>
            <w:tcBorders>
              <w:top w:val="nil"/>
              <w:left w:val="single" w:sz="4" w:space="0" w:color="auto"/>
              <w:right w:val="single" w:sz="4" w:space="0" w:color="000000"/>
            </w:tcBorders>
            <w:shd w:val="clear" w:color="auto" w:fill="auto"/>
          </w:tcPr>
          <w:p w:rsidR="00000000" w:rsidRDefault="00323237">
            <w:pPr>
              <w:autoSpaceDE/>
              <w:autoSpaceDN/>
              <w:adjustRightInd/>
              <w:rPr>
                <w:color w:val="000000"/>
              </w:rPr>
            </w:pPr>
            <w:proofErr w:type="gramStart"/>
            <w:r>
              <w:rPr>
                <w:color w:val="000000"/>
                <w:vertAlign w:val="superscript"/>
              </w:rPr>
              <w:t>e</w:t>
            </w:r>
            <w:proofErr w:type="gramEnd"/>
            <w:r>
              <w:rPr>
                <w:color w:val="000000"/>
                <w:vertAlign w:val="superscript"/>
              </w:rPr>
              <w:t xml:space="preserve"> </w:t>
            </w:r>
            <w:r>
              <w:rPr>
                <w:color w:val="000000"/>
              </w:rPr>
              <w:t>Assume an average of 8 hours/facility to read and unde</w:t>
            </w:r>
            <w:r>
              <w:rPr>
                <w:color w:val="000000"/>
              </w:rPr>
              <w:t>rstand the monitoring, recordkeeping, and reporting requirements. This time is split evenly between items 3A and 4A in this table.</w:t>
            </w:r>
          </w:p>
        </w:tc>
      </w:tr>
      <w:tr w:rsidR="00000000">
        <w:trPr>
          <w:trHeight w:val="1365"/>
        </w:trPr>
        <w:tc>
          <w:tcPr>
            <w:tcW w:w="5000" w:type="pct"/>
            <w:gridSpan w:val="9"/>
            <w:tcBorders>
              <w:top w:val="nil"/>
              <w:left w:val="single" w:sz="4" w:space="0" w:color="auto"/>
              <w:bottom w:val="single" w:sz="4" w:space="0" w:color="000000"/>
              <w:right w:val="single" w:sz="4" w:space="0" w:color="000000"/>
            </w:tcBorders>
            <w:shd w:val="clear" w:color="auto" w:fill="auto"/>
          </w:tcPr>
          <w:p w:rsidR="00000000" w:rsidRDefault="00323237">
            <w:pPr>
              <w:autoSpaceDE/>
              <w:autoSpaceDN/>
              <w:adjustRightInd/>
              <w:rPr>
                <w:color w:val="000000"/>
              </w:rPr>
            </w:pPr>
            <w:proofErr w:type="gramStart"/>
            <w:r>
              <w:rPr>
                <w:color w:val="000000"/>
                <w:vertAlign w:val="superscript"/>
              </w:rPr>
              <w:t>f</w:t>
            </w:r>
            <w:proofErr w:type="gramEnd"/>
            <w:r>
              <w:rPr>
                <w:color w:val="000000"/>
              </w:rPr>
              <w:t xml:space="preserve"> Assume 82 existing facilities have to conduct a performance test or a design evaluation (49 with metal process vents, 5 wi</w:t>
            </w:r>
            <w:r>
              <w:rPr>
                <w:color w:val="000000"/>
              </w:rPr>
              <w:t>th continuous process vents, and 28 with batch process vents). On average, this is 27.3/yr. Assume 1 new facility per year with metal HAP emissions has to conduct a performance test or design evaluation each year, i.e., they have uncontrolled metal HAP emi</w:t>
            </w:r>
            <w:r>
              <w:rPr>
                <w:color w:val="000000"/>
              </w:rPr>
              <w:t>ssions greater than 400 lb/yr. Although a small percentage of new sources is expected to meet the conditions under which control of batch process vents and continuous process vents is required, this analysis assumes that none are constructed in the 3 years</w:t>
            </w:r>
            <w:r>
              <w:rPr>
                <w:color w:val="000000"/>
              </w:rPr>
              <w:t xml:space="preserve"> of this ICR. Assume 24 hours for facility technical staff to arrange for a performance test, provide support to test crew during the test, review final report, and submit report. Assume 40 hours for a design evaluation instead of performance testing. Assu</w:t>
            </w:r>
            <w:r>
              <w:rPr>
                <w:color w:val="000000"/>
              </w:rPr>
              <w:t>me 20% of the sources will conduct performance testing and 80% of the sources will opt for the design evaluation.</w:t>
            </w:r>
          </w:p>
        </w:tc>
      </w:tr>
      <w:tr w:rsidR="00000000">
        <w:trPr>
          <w:trHeight w:val="315"/>
        </w:trPr>
        <w:tc>
          <w:tcPr>
            <w:tcW w:w="5000" w:type="pct"/>
            <w:gridSpan w:val="9"/>
            <w:tcBorders>
              <w:top w:val="single" w:sz="4" w:space="0" w:color="000000"/>
              <w:left w:val="single" w:sz="4" w:space="0" w:color="auto"/>
              <w:bottom w:val="nil"/>
              <w:right w:val="single" w:sz="4" w:space="0" w:color="000000"/>
            </w:tcBorders>
            <w:shd w:val="clear" w:color="auto" w:fill="auto"/>
          </w:tcPr>
          <w:p w:rsidR="00000000" w:rsidRDefault="00323237">
            <w:pPr>
              <w:autoSpaceDE/>
              <w:autoSpaceDN/>
              <w:adjustRightInd/>
              <w:rPr>
                <w:color w:val="000000"/>
              </w:rPr>
            </w:pPr>
            <w:proofErr w:type="gramStart"/>
            <w:r>
              <w:rPr>
                <w:color w:val="000000"/>
                <w:vertAlign w:val="superscript"/>
              </w:rPr>
              <w:lastRenderedPageBreak/>
              <w:t>g</w:t>
            </w:r>
            <w:proofErr w:type="gramEnd"/>
            <w:r>
              <w:rPr>
                <w:color w:val="000000"/>
                <w:vertAlign w:val="superscript"/>
              </w:rPr>
              <w:t xml:space="preserve"> </w:t>
            </w:r>
            <w:r>
              <w:rPr>
                <w:color w:val="000000"/>
              </w:rPr>
              <w:t>Assume 20 percent of performance tests must be repeated.</w:t>
            </w:r>
          </w:p>
        </w:tc>
      </w:tr>
      <w:tr w:rsidR="00000000">
        <w:trPr>
          <w:trHeight w:val="315"/>
        </w:trPr>
        <w:tc>
          <w:tcPr>
            <w:tcW w:w="5000" w:type="pct"/>
            <w:gridSpan w:val="9"/>
            <w:tcBorders>
              <w:top w:val="nil"/>
              <w:left w:val="single" w:sz="4" w:space="0" w:color="auto"/>
              <w:bottom w:val="nil"/>
              <w:right w:val="single" w:sz="4" w:space="0" w:color="000000"/>
            </w:tcBorders>
            <w:shd w:val="clear" w:color="auto" w:fill="auto"/>
          </w:tcPr>
          <w:p w:rsidR="00000000" w:rsidRDefault="00323237">
            <w:pPr>
              <w:autoSpaceDE/>
              <w:autoSpaceDN/>
              <w:adjustRightInd/>
              <w:rPr>
                <w:color w:val="000000"/>
              </w:rPr>
            </w:pPr>
            <w:proofErr w:type="gramStart"/>
            <w:r>
              <w:rPr>
                <w:color w:val="000000"/>
                <w:vertAlign w:val="superscript"/>
              </w:rPr>
              <w:t>h</w:t>
            </w:r>
            <w:proofErr w:type="gramEnd"/>
            <w:r>
              <w:rPr>
                <w:color w:val="000000"/>
                <w:vertAlign w:val="superscript"/>
              </w:rPr>
              <w:t xml:space="preserve"> </w:t>
            </w:r>
            <w:r>
              <w:rPr>
                <w:color w:val="000000"/>
              </w:rPr>
              <w:t>All new sources must submit notification of construction/reconstruction.</w:t>
            </w:r>
          </w:p>
        </w:tc>
      </w:tr>
      <w:tr w:rsidR="00000000">
        <w:trPr>
          <w:trHeight w:val="315"/>
        </w:trPr>
        <w:tc>
          <w:tcPr>
            <w:tcW w:w="5000" w:type="pct"/>
            <w:gridSpan w:val="9"/>
            <w:tcBorders>
              <w:top w:val="nil"/>
              <w:left w:val="single" w:sz="4" w:space="0" w:color="auto"/>
              <w:bottom w:val="nil"/>
              <w:right w:val="single" w:sz="4" w:space="0" w:color="000000"/>
            </w:tcBorders>
            <w:shd w:val="clear" w:color="auto" w:fill="auto"/>
          </w:tcPr>
          <w:p w:rsidR="00000000" w:rsidRDefault="00323237">
            <w:pPr>
              <w:autoSpaceDE/>
              <w:autoSpaceDN/>
              <w:adjustRightInd/>
              <w:rPr>
                <w:color w:val="000000"/>
              </w:rPr>
            </w:pPr>
            <w:proofErr w:type="spellStart"/>
            <w:proofErr w:type="gramStart"/>
            <w:r>
              <w:rPr>
                <w:color w:val="000000"/>
                <w:vertAlign w:val="superscript"/>
              </w:rPr>
              <w:t>i</w:t>
            </w:r>
            <w:proofErr w:type="spellEnd"/>
            <w:proofErr w:type="gramEnd"/>
            <w:r>
              <w:rPr>
                <w:color w:val="000000"/>
              </w:rPr>
              <w:t xml:space="preserve"> All</w:t>
            </w:r>
            <w:r>
              <w:rPr>
                <w:color w:val="000000"/>
              </w:rPr>
              <w:t xml:space="preserve"> existing and new sources must submit initial notification. On average, 151 existing sources per year submit the initial notification during the 3 years of this ICR (452/3 = 151).</w:t>
            </w:r>
          </w:p>
        </w:tc>
      </w:tr>
      <w:tr w:rsidR="00000000">
        <w:trPr>
          <w:trHeight w:val="420"/>
        </w:trPr>
        <w:tc>
          <w:tcPr>
            <w:tcW w:w="5000" w:type="pct"/>
            <w:gridSpan w:val="9"/>
            <w:tcBorders>
              <w:top w:val="nil"/>
              <w:left w:val="single" w:sz="4" w:space="0" w:color="auto"/>
              <w:bottom w:val="nil"/>
              <w:right w:val="single" w:sz="4" w:space="0" w:color="000000"/>
            </w:tcBorders>
            <w:shd w:val="clear" w:color="auto" w:fill="auto"/>
          </w:tcPr>
          <w:p w:rsidR="00000000" w:rsidRDefault="00323237">
            <w:pPr>
              <w:autoSpaceDE/>
              <w:autoSpaceDN/>
              <w:adjustRightInd/>
              <w:rPr>
                <w:color w:val="000000"/>
              </w:rPr>
            </w:pPr>
            <w:proofErr w:type="gramStart"/>
            <w:r>
              <w:rPr>
                <w:color w:val="000000"/>
                <w:vertAlign w:val="superscript"/>
              </w:rPr>
              <w:t>j</w:t>
            </w:r>
            <w:proofErr w:type="gramEnd"/>
            <w:r>
              <w:rPr>
                <w:color w:val="000000"/>
                <w:vertAlign w:val="superscript"/>
              </w:rPr>
              <w:t xml:space="preserve"> </w:t>
            </w:r>
            <w:r>
              <w:rPr>
                <w:color w:val="000000"/>
              </w:rPr>
              <w:t>All existing and new sources must submit notification of compliance statu</w:t>
            </w:r>
            <w:r>
              <w:rPr>
                <w:color w:val="000000"/>
              </w:rPr>
              <w:t>s. Assume no facilities elect to comply with the overlapping rule provisions which means no stringency determinations will be conducted (such determinations could double the cost of preparing the notification). Assume that all existing sources submit the n</w:t>
            </w:r>
            <w:r>
              <w:rPr>
                <w:color w:val="000000"/>
              </w:rPr>
              <w:t>otification prior to the compliance date (i.e., within the 3 years of this ICR).</w:t>
            </w:r>
          </w:p>
        </w:tc>
      </w:tr>
      <w:tr w:rsidR="00000000">
        <w:trPr>
          <w:trHeight w:val="405"/>
        </w:trPr>
        <w:tc>
          <w:tcPr>
            <w:tcW w:w="5000" w:type="pct"/>
            <w:gridSpan w:val="9"/>
            <w:tcBorders>
              <w:top w:val="nil"/>
              <w:left w:val="single" w:sz="4" w:space="0" w:color="auto"/>
              <w:bottom w:val="nil"/>
              <w:right w:val="single" w:sz="4" w:space="0" w:color="000000"/>
            </w:tcBorders>
            <w:shd w:val="clear" w:color="auto" w:fill="auto"/>
          </w:tcPr>
          <w:p w:rsidR="00000000" w:rsidRDefault="00323237">
            <w:pPr>
              <w:autoSpaceDE/>
              <w:autoSpaceDN/>
              <w:adjustRightInd/>
              <w:rPr>
                <w:color w:val="000000"/>
              </w:rPr>
            </w:pPr>
            <w:proofErr w:type="gramStart"/>
            <w:r>
              <w:rPr>
                <w:color w:val="000000"/>
                <w:vertAlign w:val="superscript"/>
              </w:rPr>
              <w:t>k</w:t>
            </w:r>
            <w:proofErr w:type="gramEnd"/>
            <w:r>
              <w:rPr>
                <w:color w:val="000000"/>
                <w:vertAlign w:val="superscript"/>
              </w:rPr>
              <w:t xml:space="preserve"> </w:t>
            </w:r>
            <w:r>
              <w:rPr>
                <w:color w:val="000000"/>
              </w:rPr>
              <w:t>Assume 2 hours per notification with the same number of respondents as those performing the performance test.</w:t>
            </w:r>
          </w:p>
        </w:tc>
      </w:tr>
      <w:tr w:rsidR="00000000">
        <w:trPr>
          <w:trHeight w:val="675"/>
        </w:trPr>
        <w:tc>
          <w:tcPr>
            <w:tcW w:w="5000" w:type="pct"/>
            <w:gridSpan w:val="9"/>
            <w:tcBorders>
              <w:top w:val="nil"/>
              <w:left w:val="single" w:sz="4" w:space="0" w:color="auto"/>
              <w:bottom w:val="nil"/>
              <w:right w:val="single" w:sz="4" w:space="0" w:color="000000"/>
            </w:tcBorders>
            <w:shd w:val="clear" w:color="auto" w:fill="auto"/>
          </w:tcPr>
          <w:p w:rsidR="00000000" w:rsidRDefault="00323237">
            <w:pPr>
              <w:autoSpaceDE/>
              <w:autoSpaceDN/>
              <w:adjustRightInd/>
              <w:rPr>
                <w:color w:val="000000"/>
              </w:rPr>
            </w:pPr>
            <w:proofErr w:type="gramStart"/>
            <w:r>
              <w:rPr>
                <w:color w:val="000000"/>
                <w:vertAlign w:val="superscript"/>
              </w:rPr>
              <w:t>l</w:t>
            </w:r>
            <w:proofErr w:type="gramEnd"/>
            <w:r>
              <w:rPr>
                <w:color w:val="000000"/>
                <w:vertAlign w:val="superscript"/>
              </w:rPr>
              <w:t xml:space="preserve"> </w:t>
            </w:r>
            <w:r>
              <w:rPr>
                <w:color w:val="000000"/>
              </w:rPr>
              <w:t xml:space="preserve">For each semiannual reporting period, assume 20 percent of </w:t>
            </w:r>
            <w:r>
              <w:rPr>
                <w:color w:val="000000"/>
              </w:rPr>
              <w:t xml:space="preserve">facilities meet conditions requiring submittal of a compliance report. In the 3 years of this ICR, these reports would be submitted only by new sources (average of 18 new facilities in the 2nd year operating x 2 semiannual reporting periods/yr x 0.2 = 7.2 </w:t>
            </w:r>
            <w:r>
              <w:rPr>
                <w:color w:val="000000"/>
              </w:rPr>
              <w:t>compliance reports/yr).</w:t>
            </w:r>
          </w:p>
        </w:tc>
      </w:tr>
      <w:tr w:rsidR="00000000">
        <w:trPr>
          <w:trHeight w:val="450"/>
        </w:trPr>
        <w:tc>
          <w:tcPr>
            <w:tcW w:w="5000" w:type="pct"/>
            <w:gridSpan w:val="9"/>
            <w:tcBorders>
              <w:top w:val="nil"/>
              <w:left w:val="single" w:sz="4" w:space="0" w:color="auto"/>
              <w:bottom w:val="nil"/>
              <w:right w:val="single" w:sz="4" w:space="0" w:color="000000"/>
            </w:tcBorders>
            <w:shd w:val="clear" w:color="auto" w:fill="auto"/>
          </w:tcPr>
          <w:p w:rsidR="00000000" w:rsidRDefault="00323237">
            <w:pPr>
              <w:autoSpaceDE/>
              <w:autoSpaceDN/>
              <w:adjustRightInd/>
              <w:rPr>
                <w:color w:val="000000"/>
              </w:rPr>
            </w:pPr>
            <w:proofErr w:type="gramStart"/>
            <w:r>
              <w:rPr>
                <w:color w:val="000000"/>
                <w:vertAlign w:val="superscript"/>
              </w:rPr>
              <w:t>m</w:t>
            </w:r>
            <w:proofErr w:type="gramEnd"/>
            <w:r>
              <w:rPr>
                <w:color w:val="000000"/>
                <w:vertAlign w:val="superscript"/>
              </w:rPr>
              <w:t xml:space="preserve"> </w:t>
            </w:r>
            <w:r>
              <w:rPr>
                <w:color w:val="000000"/>
              </w:rPr>
              <w:t>Assume 25 percent of facilities with organic HAP emissions have continuous process vents, and each of these facilities must calculate the TRE (274/3 x 0.25 = 22.8 existing sources/yr plus 5.4 x 0.25 = 1.35 new sources/yr).</w:t>
            </w:r>
          </w:p>
        </w:tc>
      </w:tr>
      <w:tr w:rsidR="00000000">
        <w:trPr>
          <w:trHeight w:val="855"/>
        </w:trPr>
        <w:tc>
          <w:tcPr>
            <w:tcW w:w="5000" w:type="pct"/>
            <w:gridSpan w:val="9"/>
            <w:tcBorders>
              <w:top w:val="nil"/>
              <w:left w:val="single" w:sz="4" w:space="0" w:color="auto"/>
              <w:bottom w:val="nil"/>
              <w:right w:val="single" w:sz="4" w:space="0" w:color="000000"/>
            </w:tcBorders>
            <w:shd w:val="clear" w:color="auto" w:fill="auto"/>
          </w:tcPr>
          <w:p w:rsidR="00000000" w:rsidRDefault="00323237">
            <w:pPr>
              <w:autoSpaceDE/>
              <w:autoSpaceDN/>
              <w:adjustRightInd/>
              <w:rPr>
                <w:color w:val="000000"/>
              </w:rPr>
            </w:pPr>
            <w:proofErr w:type="gramStart"/>
            <w:r>
              <w:rPr>
                <w:color w:val="000000"/>
                <w:vertAlign w:val="superscript"/>
              </w:rPr>
              <w:t>n</w:t>
            </w:r>
            <w:proofErr w:type="gramEnd"/>
            <w:r>
              <w:rPr>
                <w:color w:val="000000"/>
                <w:vertAlign w:val="superscript"/>
              </w:rPr>
              <w:t xml:space="preserve"> </w:t>
            </w:r>
            <w:r>
              <w:rPr>
                <w:color w:val="000000"/>
              </w:rPr>
              <w:t>Ass</w:t>
            </w:r>
            <w:r>
              <w:rPr>
                <w:color w:val="000000"/>
              </w:rPr>
              <w:t>ume 130 of the facilities with organic HAP emissions must calculate the total emissions from batch process vents. Assume the remaining facilities meet conditions under which calculation is not required. Also assume that 40% existing sources already have hi</w:t>
            </w:r>
            <w:r>
              <w:rPr>
                <w:color w:val="000000"/>
              </w:rPr>
              <w:t xml:space="preserve">storical records of emissions developed for emissions inventories or other purposes that can be used. All new sources would need to project emissions from scratch </w:t>
            </w:r>
            <w:proofErr w:type="gramStart"/>
            <w:r>
              <w:rPr>
                <w:color w:val="000000"/>
              </w:rPr>
              <w:t>(5.4 new sources/yr)</w:t>
            </w:r>
            <w:proofErr w:type="gramEnd"/>
            <w:r>
              <w:rPr>
                <w:color w:val="000000"/>
              </w:rPr>
              <w:t>. Assume 25 steps per process and 1 batch process per facility which corr</w:t>
            </w:r>
            <w:r>
              <w:rPr>
                <w:color w:val="000000"/>
              </w:rPr>
              <w:t>esponds to approximately 6 hours of effort per respondent.</w:t>
            </w:r>
          </w:p>
        </w:tc>
      </w:tr>
      <w:tr w:rsidR="00000000">
        <w:trPr>
          <w:trHeight w:val="375"/>
        </w:trPr>
        <w:tc>
          <w:tcPr>
            <w:tcW w:w="5000" w:type="pct"/>
            <w:gridSpan w:val="9"/>
            <w:tcBorders>
              <w:top w:val="nil"/>
              <w:left w:val="single" w:sz="4" w:space="0" w:color="auto"/>
              <w:bottom w:val="nil"/>
              <w:right w:val="single" w:sz="4" w:space="0" w:color="000000"/>
            </w:tcBorders>
            <w:shd w:val="clear" w:color="auto" w:fill="auto"/>
          </w:tcPr>
          <w:p w:rsidR="00000000" w:rsidRDefault="00323237">
            <w:pPr>
              <w:autoSpaceDE/>
              <w:autoSpaceDN/>
              <w:adjustRightInd/>
              <w:rPr>
                <w:color w:val="000000"/>
              </w:rPr>
            </w:pPr>
            <w:proofErr w:type="gramStart"/>
            <w:r>
              <w:rPr>
                <w:color w:val="000000"/>
                <w:vertAlign w:val="superscript"/>
              </w:rPr>
              <w:t>o</w:t>
            </w:r>
            <w:proofErr w:type="gramEnd"/>
            <w:r>
              <w:rPr>
                <w:color w:val="000000"/>
                <w:vertAlign w:val="superscript"/>
              </w:rPr>
              <w:t xml:space="preserve"> </w:t>
            </w:r>
            <w:r>
              <w:rPr>
                <w:color w:val="000000"/>
              </w:rPr>
              <w:t>Assume 110 of the facilities with metal HAP emissions must calculate the total metal HAP emissions from process vents. Also assume that 2 new sources with metal HAP emissions would also calculat</w:t>
            </w:r>
            <w:r>
              <w:rPr>
                <w:color w:val="000000"/>
              </w:rPr>
              <w:t>e the total metal HAP emissions.</w:t>
            </w:r>
          </w:p>
        </w:tc>
      </w:tr>
      <w:tr w:rsidR="00000000">
        <w:trPr>
          <w:trHeight w:val="675"/>
        </w:trPr>
        <w:tc>
          <w:tcPr>
            <w:tcW w:w="5000" w:type="pct"/>
            <w:gridSpan w:val="9"/>
            <w:tcBorders>
              <w:top w:val="nil"/>
              <w:left w:val="single" w:sz="4" w:space="0" w:color="auto"/>
              <w:bottom w:val="nil"/>
              <w:right w:val="single" w:sz="4" w:space="0" w:color="000000"/>
            </w:tcBorders>
            <w:shd w:val="clear" w:color="auto" w:fill="auto"/>
          </w:tcPr>
          <w:p w:rsidR="00000000" w:rsidRDefault="00323237">
            <w:pPr>
              <w:autoSpaceDE/>
              <w:autoSpaceDN/>
              <w:adjustRightInd/>
              <w:rPr>
                <w:color w:val="000000"/>
              </w:rPr>
            </w:pPr>
            <w:proofErr w:type="gramStart"/>
            <w:r>
              <w:rPr>
                <w:color w:val="000000"/>
                <w:vertAlign w:val="superscript"/>
              </w:rPr>
              <w:t>p</w:t>
            </w:r>
            <w:proofErr w:type="gramEnd"/>
            <w:r>
              <w:rPr>
                <w:color w:val="000000"/>
                <w:vertAlign w:val="superscript"/>
              </w:rPr>
              <w:t xml:space="preserve"> </w:t>
            </w:r>
            <w:r>
              <w:rPr>
                <w:color w:val="000000"/>
              </w:rPr>
              <w:t>Assume 10 storage tanks at existing sources meet the thresholds for control and that 5 are already controlled. Records of the dimensions, capacity, and MTVP are required for all storage tanks that must be controlled (10/</w:t>
            </w:r>
            <w:r>
              <w:rPr>
                <w:color w:val="000000"/>
              </w:rPr>
              <w:t>3 = 3.33 existing sources/yr). Assume no storage tanks at new sources during the 3 years of this ICR meet the thresholds for control.</w:t>
            </w:r>
          </w:p>
        </w:tc>
      </w:tr>
      <w:tr w:rsidR="00000000">
        <w:trPr>
          <w:trHeight w:val="675"/>
        </w:trPr>
        <w:tc>
          <w:tcPr>
            <w:tcW w:w="5000" w:type="pct"/>
            <w:gridSpan w:val="9"/>
            <w:tcBorders>
              <w:top w:val="nil"/>
              <w:left w:val="single" w:sz="4" w:space="0" w:color="auto"/>
              <w:bottom w:val="nil"/>
              <w:right w:val="single" w:sz="4" w:space="0" w:color="000000"/>
            </w:tcBorders>
            <w:shd w:val="clear" w:color="auto" w:fill="auto"/>
          </w:tcPr>
          <w:p w:rsidR="00000000" w:rsidRDefault="00323237">
            <w:pPr>
              <w:autoSpaceDE/>
              <w:autoSpaceDN/>
              <w:adjustRightInd/>
              <w:rPr>
                <w:color w:val="000000"/>
              </w:rPr>
            </w:pPr>
            <w:r>
              <w:rPr>
                <w:color w:val="000000"/>
                <w:vertAlign w:val="superscript"/>
              </w:rPr>
              <w:t>q</w:t>
            </w:r>
            <w:r>
              <w:rPr>
                <w:color w:val="000000"/>
              </w:rPr>
              <w:t xml:space="preserve"> Assume 10 storage tanks at existing sources meet the thresholds for control and that all are equipped with either an in</w:t>
            </w:r>
            <w:r>
              <w:rPr>
                <w:color w:val="000000"/>
              </w:rPr>
              <w:t>ternal floating roof or external floating roof. Assume no storage tanks at new sources during the 3 years of this ICR meet the thresholds for control (10/3 = 3.33 per year).</w:t>
            </w:r>
          </w:p>
        </w:tc>
      </w:tr>
      <w:tr w:rsidR="00000000">
        <w:trPr>
          <w:trHeight w:val="615"/>
        </w:trPr>
        <w:tc>
          <w:tcPr>
            <w:tcW w:w="5000" w:type="pct"/>
            <w:gridSpan w:val="9"/>
            <w:tcBorders>
              <w:top w:val="nil"/>
              <w:left w:val="single" w:sz="4" w:space="0" w:color="auto"/>
              <w:bottom w:val="nil"/>
              <w:right w:val="single" w:sz="4" w:space="0" w:color="000000"/>
            </w:tcBorders>
            <w:shd w:val="clear" w:color="auto" w:fill="auto"/>
          </w:tcPr>
          <w:p w:rsidR="00000000" w:rsidRDefault="00323237">
            <w:pPr>
              <w:autoSpaceDE/>
              <w:autoSpaceDN/>
              <w:adjustRightInd/>
              <w:rPr>
                <w:color w:val="000000"/>
              </w:rPr>
            </w:pPr>
            <w:proofErr w:type="gramStart"/>
            <w:r>
              <w:rPr>
                <w:color w:val="000000"/>
                <w:vertAlign w:val="superscript"/>
              </w:rPr>
              <w:t>r</w:t>
            </w:r>
            <w:proofErr w:type="gramEnd"/>
            <w:r>
              <w:rPr>
                <w:color w:val="000000"/>
                <w:vertAlign w:val="superscript"/>
              </w:rPr>
              <w:t xml:space="preserve"> </w:t>
            </w:r>
            <w:r>
              <w:rPr>
                <w:color w:val="000000"/>
              </w:rPr>
              <w:t>Assume each facility with organic HAP emissions has process wastewater and must</w:t>
            </w:r>
            <w:r>
              <w:rPr>
                <w:color w:val="000000"/>
              </w:rPr>
              <w:t xml:space="preserve"> determine the HAP concentrations in each stream (274/3 = 91.3 existing sources/yr plus 5.4 new sources/yr). Assumed 50 percent of them will use process knowledge to characterize the HAP concentrations. The other 50% will use sampling and analysis (these c</w:t>
            </w:r>
            <w:r>
              <w:rPr>
                <w:color w:val="000000"/>
              </w:rPr>
              <w:t>osts are calculated below).</w:t>
            </w:r>
          </w:p>
        </w:tc>
      </w:tr>
      <w:tr w:rsidR="00000000">
        <w:trPr>
          <w:trHeight w:val="615"/>
        </w:trPr>
        <w:tc>
          <w:tcPr>
            <w:tcW w:w="5000" w:type="pct"/>
            <w:gridSpan w:val="9"/>
            <w:tcBorders>
              <w:top w:val="nil"/>
              <w:left w:val="single" w:sz="4" w:space="0" w:color="auto"/>
              <w:bottom w:val="nil"/>
              <w:right w:val="single" w:sz="4" w:space="0" w:color="000000"/>
            </w:tcBorders>
            <w:shd w:val="clear" w:color="auto" w:fill="auto"/>
          </w:tcPr>
          <w:p w:rsidR="00000000" w:rsidRDefault="00323237">
            <w:pPr>
              <w:autoSpaceDE/>
              <w:autoSpaceDN/>
              <w:adjustRightInd/>
              <w:rPr>
                <w:color w:val="000000"/>
              </w:rPr>
            </w:pPr>
            <w:proofErr w:type="gramStart"/>
            <w:r>
              <w:rPr>
                <w:color w:val="000000"/>
                <w:vertAlign w:val="superscript"/>
              </w:rPr>
              <w:t>s</w:t>
            </w:r>
            <w:proofErr w:type="gramEnd"/>
            <w:r>
              <w:rPr>
                <w:color w:val="000000"/>
              </w:rPr>
              <w:t xml:space="preserve"> All facilities with batch process vents, except those using control devices, must track emissions from batch process vents or HAP usage. However, only new sources must comply during the 3 years of this ICR. Assume an average </w:t>
            </w:r>
            <w:r>
              <w:rPr>
                <w:color w:val="000000"/>
              </w:rPr>
              <w:t>number of new sources in 2nd year (2 x 5.4 x 0.75 = 8.1 new sources/yr; assume no new sources use control devices during 3 years of this ICR).</w:t>
            </w:r>
          </w:p>
        </w:tc>
      </w:tr>
      <w:tr w:rsidR="00000000">
        <w:trPr>
          <w:trHeight w:val="615"/>
        </w:trPr>
        <w:tc>
          <w:tcPr>
            <w:tcW w:w="5000" w:type="pct"/>
            <w:gridSpan w:val="9"/>
            <w:tcBorders>
              <w:top w:val="nil"/>
              <w:left w:val="single" w:sz="4" w:space="0" w:color="auto"/>
              <w:bottom w:val="nil"/>
              <w:right w:val="single" w:sz="4" w:space="0" w:color="000000"/>
            </w:tcBorders>
            <w:shd w:val="clear" w:color="auto" w:fill="auto"/>
          </w:tcPr>
          <w:p w:rsidR="00000000" w:rsidRDefault="00323237">
            <w:pPr>
              <w:autoSpaceDE/>
              <w:autoSpaceDN/>
              <w:adjustRightInd/>
              <w:rPr>
                <w:color w:val="000000"/>
              </w:rPr>
            </w:pPr>
            <w:r>
              <w:rPr>
                <w:color w:val="000000"/>
                <w:vertAlign w:val="superscript"/>
              </w:rPr>
              <w:t>t</w:t>
            </w:r>
            <w:r>
              <w:rPr>
                <w:color w:val="000000"/>
              </w:rPr>
              <w:t xml:space="preserve"> All facilities with metal process vents that are not required to use control devices must track metal HAP emis</w:t>
            </w:r>
            <w:r>
              <w:rPr>
                <w:color w:val="000000"/>
              </w:rPr>
              <w:t>sions from metal process vents or HAP usage. However, only new sources must comply during the 3 years of this ICR. Use the estimated number of new sources in the 2nd year as the average number per year (2 x (4.5 - 1) = 7 new sources/yr).</w:t>
            </w:r>
          </w:p>
        </w:tc>
      </w:tr>
      <w:tr w:rsidR="00000000">
        <w:trPr>
          <w:trHeight w:val="390"/>
        </w:trPr>
        <w:tc>
          <w:tcPr>
            <w:tcW w:w="4198" w:type="pct"/>
            <w:gridSpan w:val="7"/>
            <w:tcBorders>
              <w:top w:val="nil"/>
              <w:left w:val="single" w:sz="4" w:space="0" w:color="auto"/>
              <w:bottom w:val="nil"/>
              <w:right w:val="nil"/>
            </w:tcBorders>
            <w:shd w:val="clear" w:color="auto" w:fill="auto"/>
          </w:tcPr>
          <w:p w:rsidR="00000000" w:rsidRDefault="00323237">
            <w:pPr>
              <w:autoSpaceDE/>
              <w:autoSpaceDN/>
              <w:adjustRightInd/>
              <w:rPr>
                <w:color w:val="000000"/>
              </w:rPr>
            </w:pPr>
            <w:proofErr w:type="spellStart"/>
            <w:proofErr w:type="gramStart"/>
            <w:r>
              <w:rPr>
                <w:color w:val="000000"/>
                <w:vertAlign w:val="superscript"/>
              </w:rPr>
              <w:t>u</w:t>
            </w:r>
            <w:r>
              <w:rPr>
                <w:color w:val="000000"/>
              </w:rPr>
              <w:t>Only</w:t>
            </w:r>
            <w:proofErr w:type="spellEnd"/>
            <w:proofErr w:type="gramEnd"/>
            <w:r>
              <w:rPr>
                <w:color w:val="000000"/>
              </w:rPr>
              <w:t xml:space="preserve"> new sources</w:t>
            </w:r>
            <w:r>
              <w:rPr>
                <w:color w:val="000000"/>
              </w:rPr>
              <w:t xml:space="preserve"> would be subject in the 3 years of this ICR. Assume all new facilities would be performing the required inspections in the absence of the rule.</w:t>
            </w:r>
          </w:p>
        </w:tc>
        <w:tc>
          <w:tcPr>
            <w:tcW w:w="337" w:type="pct"/>
            <w:tcBorders>
              <w:top w:val="nil"/>
              <w:left w:val="nil"/>
              <w:bottom w:val="nil"/>
              <w:right w:val="nil"/>
            </w:tcBorders>
            <w:shd w:val="clear" w:color="auto" w:fill="auto"/>
          </w:tcPr>
          <w:p w:rsidR="00000000" w:rsidRDefault="00323237">
            <w:pPr>
              <w:autoSpaceDE/>
              <w:autoSpaceDN/>
              <w:adjustRightInd/>
              <w:rPr>
                <w:color w:val="000000"/>
              </w:rPr>
            </w:pPr>
          </w:p>
        </w:tc>
        <w:tc>
          <w:tcPr>
            <w:tcW w:w="465" w:type="pct"/>
            <w:tcBorders>
              <w:top w:val="nil"/>
              <w:left w:val="nil"/>
              <w:bottom w:val="nil"/>
              <w:right w:val="single" w:sz="4" w:space="0" w:color="auto"/>
            </w:tcBorders>
            <w:shd w:val="clear" w:color="auto" w:fill="auto"/>
          </w:tcPr>
          <w:p w:rsidR="00000000" w:rsidRDefault="00323237">
            <w:pPr>
              <w:autoSpaceDE/>
              <w:autoSpaceDN/>
              <w:adjustRightInd/>
              <w:rPr>
                <w:color w:val="000000"/>
              </w:rPr>
            </w:pPr>
            <w:r>
              <w:rPr>
                <w:color w:val="000000"/>
                <w:vertAlign w:val="superscript"/>
              </w:rPr>
              <w:t> </w:t>
            </w:r>
          </w:p>
        </w:tc>
      </w:tr>
      <w:tr w:rsidR="00000000">
        <w:trPr>
          <w:trHeight w:val="840"/>
        </w:trPr>
        <w:tc>
          <w:tcPr>
            <w:tcW w:w="5000" w:type="pct"/>
            <w:gridSpan w:val="9"/>
            <w:tcBorders>
              <w:top w:val="nil"/>
              <w:left w:val="single" w:sz="4" w:space="0" w:color="auto"/>
              <w:bottom w:val="nil"/>
              <w:right w:val="single" w:sz="4" w:space="0" w:color="000000"/>
            </w:tcBorders>
            <w:shd w:val="clear" w:color="auto" w:fill="auto"/>
          </w:tcPr>
          <w:p w:rsidR="00000000" w:rsidRDefault="00323237">
            <w:pPr>
              <w:autoSpaceDE/>
              <w:autoSpaceDN/>
              <w:adjustRightInd/>
              <w:rPr>
                <w:color w:val="000000"/>
              </w:rPr>
            </w:pPr>
            <w:proofErr w:type="gramStart"/>
            <w:r>
              <w:rPr>
                <w:color w:val="000000"/>
                <w:vertAlign w:val="superscript"/>
              </w:rPr>
              <w:t>v</w:t>
            </w:r>
            <w:proofErr w:type="gramEnd"/>
            <w:r>
              <w:rPr>
                <w:color w:val="000000"/>
              </w:rPr>
              <w:t xml:space="preserve"> No existing sources are required to monitor operating parameters on control devices during the 3 years of</w:t>
            </w:r>
            <w:r>
              <w:rPr>
                <w:color w:val="000000"/>
              </w:rPr>
              <w:t xml:space="preserve"> this ICR. Although a small percentage of sources is expected to meet the conditions under which control devices are required for batch process vents and continuous process vents, this analysis assumes no new sources will meet these conditions during the 3</w:t>
            </w:r>
            <w:r>
              <w:rPr>
                <w:color w:val="000000"/>
              </w:rPr>
              <w:t xml:space="preserve"> years of this ICR. When operating parameters must be monitored, it is assumed that the data will be collected automatically so that the only burden will be 0.25 hr/week to review results and verify that the system is operating properly.</w:t>
            </w:r>
          </w:p>
        </w:tc>
      </w:tr>
      <w:tr w:rsidR="00000000">
        <w:trPr>
          <w:trHeight w:val="315"/>
        </w:trPr>
        <w:tc>
          <w:tcPr>
            <w:tcW w:w="3783" w:type="pct"/>
            <w:gridSpan w:val="6"/>
            <w:tcBorders>
              <w:top w:val="nil"/>
              <w:left w:val="single" w:sz="4" w:space="0" w:color="auto"/>
              <w:bottom w:val="nil"/>
              <w:right w:val="nil"/>
            </w:tcBorders>
            <w:shd w:val="clear" w:color="auto" w:fill="auto"/>
          </w:tcPr>
          <w:p w:rsidR="00000000" w:rsidRDefault="00323237">
            <w:pPr>
              <w:autoSpaceDE/>
              <w:autoSpaceDN/>
              <w:adjustRightInd/>
              <w:rPr>
                <w:color w:val="000000"/>
              </w:rPr>
            </w:pPr>
            <w:proofErr w:type="spellStart"/>
            <w:proofErr w:type="gramStart"/>
            <w:r>
              <w:rPr>
                <w:color w:val="000000"/>
                <w:vertAlign w:val="superscript"/>
              </w:rPr>
              <w:t>w</w:t>
            </w:r>
            <w:r>
              <w:rPr>
                <w:color w:val="000000"/>
              </w:rPr>
              <w:t>Only</w:t>
            </w:r>
            <w:proofErr w:type="spellEnd"/>
            <w:proofErr w:type="gramEnd"/>
            <w:r>
              <w:rPr>
                <w:color w:val="000000"/>
              </w:rPr>
              <w:t xml:space="preserve"> new sources</w:t>
            </w:r>
            <w:r>
              <w:rPr>
                <w:color w:val="000000"/>
              </w:rPr>
              <w:t xml:space="preserve"> have to comply in the 3 years of this ICR. Assume none of the new sources have a subject storage tank.</w:t>
            </w:r>
          </w:p>
        </w:tc>
        <w:tc>
          <w:tcPr>
            <w:tcW w:w="415" w:type="pct"/>
            <w:tcBorders>
              <w:top w:val="nil"/>
              <w:left w:val="nil"/>
              <w:bottom w:val="nil"/>
              <w:right w:val="nil"/>
            </w:tcBorders>
            <w:shd w:val="clear" w:color="auto" w:fill="auto"/>
          </w:tcPr>
          <w:p w:rsidR="00000000" w:rsidRDefault="00323237">
            <w:pPr>
              <w:autoSpaceDE/>
              <w:autoSpaceDN/>
              <w:adjustRightInd/>
              <w:rPr>
                <w:color w:val="000000"/>
              </w:rPr>
            </w:pPr>
          </w:p>
        </w:tc>
        <w:tc>
          <w:tcPr>
            <w:tcW w:w="337" w:type="pct"/>
            <w:tcBorders>
              <w:top w:val="nil"/>
              <w:left w:val="nil"/>
              <w:bottom w:val="nil"/>
              <w:right w:val="nil"/>
            </w:tcBorders>
            <w:shd w:val="clear" w:color="auto" w:fill="auto"/>
          </w:tcPr>
          <w:p w:rsidR="00000000" w:rsidRDefault="00323237">
            <w:pPr>
              <w:autoSpaceDE/>
              <w:autoSpaceDN/>
              <w:adjustRightInd/>
              <w:rPr>
                <w:color w:val="000000"/>
              </w:rPr>
            </w:pPr>
          </w:p>
        </w:tc>
        <w:tc>
          <w:tcPr>
            <w:tcW w:w="465" w:type="pct"/>
            <w:tcBorders>
              <w:top w:val="nil"/>
              <w:left w:val="nil"/>
              <w:bottom w:val="nil"/>
              <w:right w:val="single" w:sz="4" w:space="0" w:color="auto"/>
            </w:tcBorders>
            <w:shd w:val="clear" w:color="auto" w:fill="auto"/>
          </w:tcPr>
          <w:p w:rsidR="00000000" w:rsidRDefault="00323237">
            <w:pPr>
              <w:autoSpaceDE/>
              <w:autoSpaceDN/>
              <w:adjustRightInd/>
              <w:rPr>
                <w:color w:val="000000"/>
              </w:rPr>
            </w:pPr>
            <w:r>
              <w:rPr>
                <w:color w:val="000000"/>
                <w:vertAlign w:val="superscript"/>
              </w:rPr>
              <w:t> </w:t>
            </w:r>
          </w:p>
        </w:tc>
      </w:tr>
      <w:tr w:rsidR="00000000">
        <w:trPr>
          <w:trHeight w:val="600"/>
        </w:trPr>
        <w:tc>
          <w:tcPr>
            <w:tcW w:w="5000" w:type="pct"/>
            <w:gridSpan w:val="9"/>
            <w:tcBorders>
              <w:top w:val="nil"/>
              <w:left w:val="single" w:sz="4" w:space="0" w:color="auto"/>
              <w:right w:val="single" w:sz="4" w:space="0" w:color="000000"/>
            </w:tcBorders>
            <w:shd w:val="clear" w:color="auto" w:fill="auto"/>
          </w:tcPr>
          <w:p w:rsidR="00000000" w:rsidRDefault="00323237">
            <w:pPr>
              <w:autoSpaceDE/>
              <w:autoSpaceDN/>
              <w:adjustRightInd/>
              <w:rPr>
                <w:color w:val="000000"/>
              </w:rPr>
            </w:pPr>
            <w:proofErr w:type="gramStart"/>
            <w:r>
              <w:rPr>
                <w:color w:val="000000"/>
                <w:vertAlign w:val="superscript"/>
              </w:rPr>
              <w:t>x</w:t>
            </w:r>
            <w:proofErr w:type="gramEnd"/>
            <w:r>
              <w:rPr>
                <w:color w:val="000000"/>
                <w:vertAlign w:val="superscript"/>
              </w:rPr>
              <w:t xml:space="preserve"> </w:t>
            </w:r>
            <w:r>
              <w:rPr>
                <w:color w:val="000000"/>
              </w:rPr>
              <w:t>All facilities with control devices for metal process vents must conduct an initial performance test or design evaluation (49/3 = 13.3 existing s</w:t>
            </w:r>
            <w:r>
              <w:rPr>
                <w:color w:val="000000"/>
              </w:rPr>
              <w:t>ources/yr plus 1 new source/yr). Assumes average cost for a performance test using Method 5 is $8,740 per test. Twenty percent will conduct a performance test and 80% will conduct a design evaluation.</w:t>
            </w:r>
          </w:p>
        </w:tc>
      </w:tr>
      <w:tr w:rsidR="00000000">
        <w:trPr>
          <w:trHeight w:val="630"/>
        </w:trPr>
        <w:tc>
          <w:tcPr>
            <w:tcW w:w="5000" w:type="pct"/>
            <w:gridSpan w:val="9"/>
            <w:tcBorders>
              <w:top w:val="nil"/>
              <w:left w:val="single" w:sz="4" w:space="0" w:color="auto"/>
              <w:right w:val="single" w:sz="4" w:space="0" w:color="000000"/>
            </w:tcBorders>
            <w:shd w:val="clear" w:color="auto" w:fill="auto"/>
          </w:tcPr>
          <w:p w:rsidR="00000000" w:rsidRDefault="00323237">
            <w:pPr>
              <w:autoSpaceDE/>
              <w:autoSpaceDN/>
              <w:adjustRightInd/>
              <w:rPr>
                <w:color w:val="000000"/>
              </w:rPr>
            </w:pPr>
            <w:proofErr w:type="gramStart"/>
            <w:r>
              <w:rPr>
                <w:color w:val="000000"/>
                <w:vertAlign w:val="superscript"/>
              </w:rPr>
              <w:lastRenderedPageBreak/>
              <w:t>y</w:t>
            </w:r>
            <w:proofErr w:type="gramEnd"/>
            <w:r>
              <w:rPr>
                <w:color w:val="000000"/>
              </w:rPr>
              <w:t xml:space="preserve"> Assumes each source with a control device for metal </w:t>
            </w:r>
            <w:r>
              <w:rPr>
                <w:color w:val="000000"/>
              </w:rPr>
              <w:t>process vents uses a fabric filter. Includes 49/3 = 16.3 existing sources/yr plus 1 new source/yr. Assumes total purchase and installation costs for a bag leak detection system is $17,533.</w:t>
            </w:r>
          </w:p>
        </w:tc>
      </w:tr>
      <w:tr w:rsidR="00000000">
        <w:trPr>
          <w:trHeight w:val="870"/>
        </w:trPr>
        <w:tc>
          <w:tcPr>
            <w:tcW w:w="5000" w:type="pct"/>
            <w:gridSpan w:val="9"/>
            <w:tcBorders>
              <w:left w:val="single" w:sz="4" w:space="0" w:color="auto"/>
              <w:bottom w:val="nil"/>
              <w:right w:val="single" w:sz="4" w:space="0" w:color="000000"/>
            </w:tcBorders>
            <w:shd w:val="clear" w:color="auto" w:fill="auto"/>
          </w:tcPr>
          <w:p w:rsidR="00000000" w:rsidRDefault="00323237">
            <w:pPr>
              <w:autoSpaceDE/>
              <w:autoSpaceDN/>
              <w:adjustRightInd/>
              <w:rPr>
                <w:color w:val="000000"/>
              </w:rPr>
            </w:pPr>
            <w:proofErr w:type="gramStart"/>
            <w:r>
              <w:rPr>
                <w:color w:val="000000"/>
                <w:vertAlign w:val="superscript"/>
              </w:rPr>
              <w:t>z</w:t>
            </w:r>
            <w:proofErr w:type="gramEnd"/>
            <w:r>
              <w:rPr>
                <w:color w:val="000000"/>
                <w:vertAlign w:val="superscript"/>
              </w:rPr>
              <w:t xml:space="preserve"> </w:t>
            </w:r>
            <w:r>
              <w:rPr>
                <w:color w:val="000000"/>
              </w:rPr>
              <w:t xml:space="preserve">All facilities with control devices for batch process vents and </w:t>
            </w:r>
            <w:r>
              <w:rPr>
                <w:color w:val="000000"/>
              </w:rPr>
              <w:t>continuous process vents must conduct an initial performance test or design evaluation. Assumes 20% will conduct a performance test and 80% will perform a design evaluation. Assumes 5 existing sources have continuous process vents, 28 existing sources have</w:t>
            </w:r>
            <w:r>
              <w:rPr>
                <w:color w:val="000000"/>
              </w:rPr>
              <w:t xml:space="preserve"> batch process vents, and no new sources in the 3 years of this ICR have subject batch or continuous process vents. Assumes average cost for a performance test using Method 18 is $24,420.</w:t>
            </w:r>
          </w:p>
        </w:tc>
      </w:tr>
      <w:tr w:rsidR="00000000">
        <w:trPr>
          <w:trHeight w:val="420"/>
        </w:trPr>
        <w:tc>
          <w:tcPr>
            <w:tcW w:w="5000" w:type="pct"/>
            <w:gridSpan w:val="9"/>
            <w:tcBorders>
              <w:top w:val="nil"/>
              <w:left w:val="single" w:sz="4" w:space="0" w:color="auto"/>
              <w:bottom w:val="nil"/>
              <w:right w:val="single" w:sz="4" w:space="0" w:color="000000"/>
            </w:tcBorders>
            <w:shd w:val="clear" w:color="auto" w:fill="auto"/>
          </w:tcPr>
          <w:p w:rsidR="00000000" w:rsidRDefault="00323237">
            <w:pPr>
              <w:autoSpaceDE/>
              <w:autoSpaceDN/>
              <w:adjustRightInd/>
              <w:rPr>
                <w:color w:val="000000"/>
              </w:rPr>
            </w:pPr>
            <w:proofErr w:type="spellStart"/>
            <w:proofErr w:type="gramStart"/>
            <w:r>
              <w:rPr>
                <w:color w:val="000000"/>
                <w:vertAlign w:val="superscript"/>
              </w:rPr>
              <w:t>aa</w:t>
            </w:r>
            <w:proofErr w:type="spellEnd"/>
            <w:proofErr w:type="gramEnd"/>
            <w:r>
              <w:rPr>
                <w:color w:val="000000"/>
                <w:vertAlign w:val="superscript"/>
              </w:rPr>
              <w:t xml:space="preserve"> </w:t>
            </w:r>
            <w:r>
              <w:rPr>
                <w:color w:val="000000"/>
              </w:rPr>
              <w:t>Assumes a temperature monitoring system is needed for each contr</w:t>
            </w:r>
            <w:r>
              <w:rPr>
                <w:color w:val="000000"/>
              </w:rPr>
              <w:t>ol device used to control batch process vents or continuous process vents. Assumes the monitoring equipment cost is $3,620 per system.</w:t>
            </w:r>
          </w:p>
        </w:tc>
      </w:tr>
      <w:tr w:rsidR="00000000">
        <w:trPr>
          <w:trHeight w:val="885"/>
        </w:trPr>
        <w:tc>
          <w:tcPr>
            <w:tcW w:w="5000" w:type="pct"/>
            <w:gridSpan w:val="9"/>
            <w:tcBorders>
              <w:top w:val="nil"/>
              <w:left w:val="single" w:sz="4" w:space="0" w:color="auto"/>
              <w:bottom w:val="nil"/>
              <w:right w:val="single" w:sz="4" w:space="0" w:color="000000"/>
            </w:tcBorders>
            <w:shd w:val="clear" w:color="auto" w:fill="auto"/>
          </w:tcPr>
          <w:p w:rsidR="00000000" w:rsidRDefault="00323237">
            <w:pPr>
              <w:autoSpaceDE/>
              <w:autoSpaceDN/>
              <w:adjustRightInd/>
              <w:rPr>
                <w:color w:val="000000"/>
              </w:rPr>
            </w:pPr>
            <w:proofErr w:type="gramStart"/>
            <w:r>
              <w:rPr>
                <w:color w:val="000000"/>
                <w:vertAlign w:val="superscript"/>
              </w:rPr>
              <w:t>bb</w:t>
            </w:r>
            <w:proofErr w:type="gramEnd"/>
            <w:r>
              <w:rPr>
                <w:color w:val="000000"/>
                <w:vertAlign w:val="superscript"/>
              </w:rPr>
              <w:t xml:space="preserve"> </w:t>
            </w:r>
            <w:r>
              <w:rPr>
                <w:color w:val="000000"/>
              </w:rPr>
              <w:t>Assumes all facilities with organic HAP emissions have wastewater streams for which concentrations must be determined</w:t>
            </w:r>
            <w:r>
              <w:rPr>
                <w:color w:val="000000"/>
              </w:rPr>
              <w:t xml:space="preserve"> (274 existing sources and 5.4 new sources/yr). Assumes 50 percent of the facilities conduct sampling and analysis for an average of 2 streams per facility. Assumes cost of analysis is $435/sample. Assumes labor cost of $125/hr and 20 hr/facility for sampl</w:t>
            </w:r>
            <w:r>
              <w:rPr>
                <w:color w:val="000000"/>
              </w:rPr>
              <w:t>ing. (Assumes other 50 percent of facilities determine concentrations based on knowledge of the wastewater; no capital cost.)</w:t>
            </w:r>
          </w:p>
        </w:tc>
      </w:tr>
      <w:tr w:rsidR="00000000">
        <w:trPr>
          <w:trHeight w:val="405"/>
        </w:trPr>
        <w:tc>
          <w:tcPr>
            <w:tcW w:w="5000" w:type="pct"/>
            <w:gridSpan w:val="9"/>
            <w:tcBorders>
              <w:top w:val="nil"/>
              <w:left w:val="single" w:sz="4" w:space="0" w:color="auto"/>
              <w:bottom w:val="nil"/>
              <w:right w:val="single" w:sz="4" w:space="0" w:color="000000"/>
            </w:tcBorders>
            <w:shd w:val="clear" w:color="auto" w:fill="auto"/>
          </w:tcPr>
          <w:p w:rsidR="00000000" w:rsidRDefault="00323237">
            <w:pPr>
              <w:autoSpaceDE/>
              <w:autoSpaceDN/>
              <w:adjustRightInd/>
              <w:rPr>
                <w:color w:val="000000"/>
              </w:rPr>
            </w:pPr>
            <w:r>
              <w:rPr>
                <w:color w:val="000000"/>
                <w:vertAlign w:val="superscript"/>
              </w:rPr>
              <w:t xml:space="preserve">cc </w:t>
            </w:r>
            <w:r>
              <w:rPr>
                <w:color w:val="000000"/>
              </w:rPr>
              <w:t>Assumes cost of sampling and analysis is part of the monitoring program cost.</w:t>
            </w:r>
          </w:p>
        </w:tc>
      </w:tr>
      <w:tr w:rsidR="00000000">
        <w:trPr>
          <w:trHeight w:val="585"/>
        </w:trPr>
        <w:tc>
          <w:tcPr>
            <w:tcW w:w="5000" w:type="pct"/>
            <w:gridSpan w:val="9"/>
            <w:tcBorders>
              <w:top w:val="nil"/>
              <w:left w:val="single" w:sz="4" w:space="0" w:color="auto"/>
              <w:right w:val="single" w:sz="4" w:space="0" w:color="000000"/>
            </w:tcBorders>
            <w:shd w:val="clear" w:color="auto" w:fill="auto"/>
          </w:tcPr>
          <w:p w:rsidR="00000000" w:rsidRDefault="00323237">
            <w:pPr>
              <w:autoSpaceDE/>
              <w:autoSpaceDN/>
              <w:adjustRightInd/>
              <w:rPr>
                <w:color w:val="000000"/>
              </w:rPr>
            </w:pPr>
            <w:proofErr w:type="spellStart"/>
            <w:proofErr w:type="gramStart"/>
            <w:r>
              <w:rPr>
                <w:color w:val="000000"/>
                <w:vertAlign w:val="superscript"/>
              </w:rPr>
              <w:t>dd</w:t>
            </w:r>
            <w:proofErr w:type="spellEnd"/>
            <w:proofErr w:type="gramEnd"/>
            <w:r>
              <w:rPr>
                <w:color w:val="000000"/>
                <w:vertAlign w:val="superscript"/>
              </w:rPr>
              <w:t xml:space="preserve"> </w:t>
            </w:r>
            <w:r>
              <w:rPr>
                <w:color w:val="000000"/>
              </w:rPr>
              <w:t>Annualized costs are calculated by multiplyi</w:t>
            </w:r>
            <w:r>
              <w:rPr>
                <w:color w:val="000000"/>
              </w:rPr>
              <w:t>ng the capital recovery factor by the annual capital cost. The capital recovery factor is 0.1098 based on an interest rate of 7 percent and an assumed equipment life of 15 years.</w:t>
            </w:r>
          </w:p>
        </w:tc>
      </w:tr>
      <w:tr w:rsidR="00000000">
        <w:trPr>
          <w:trHeight w:val="1380"/>
        </w:trPr>
        <w:tc>
          <w:tcPr>
            <w:tcW w:w="5000" w:type="pct"/>
            <w:gridSpan w:val="9"/>
            <w:tcBorders>
              <w:top w:val="nil"/>
              <w:left w:val="single" w:sz="4" w:space="0" w:color="auto"/>
              <w:bottom w:val="single" w:sz="4" w:space="0" w:color="000000"/>
              <w:right w:val="single" w:sz="4" w:space="0" w:color="000000"/>
            </w:tcBorders>
            <w:shd w:val="clear" w:color="auto" w:fill="auto"/>
          </w:tcPr>
          <w:p w:rsidR="00000000" w:rsidRDefault="00323237">
            <w:pPr>
              <w:autoSpaceDE/>
              <w:autoSpaceDN/>
              <w:adjustRightInd/>
              <w:rPr>
                <w:color w:val="000000"/>
              </w:rPr>
            </w:pPr>
            <w:proofErr w:type="spellStart"/>
            <w:r>
              <w:rPr>
                <w:color w:val="000000"/>
                <w:vertAlign w:val="superscript"/>
              </w:rPr>
              <w:t>ee</w:t>
            </w:r>
            <w:proofErr w:type="spellEnd"/>
            <w:r>
              <w:rPr>
                <w:color w:val="000000"/>
              </w:rPr>
              <w:t xml:space="preserve"> Includes each of the following assumptions: (1) average annual cost of ma</w:t>
            </w:r>
            <w:r>
              <w:rPr>
                <w:color w:val="000000"/>
              </w:rPr>
              <w:t>terials for temperature monitoring systems for sources that must use control devices for batch and continuous process vents (33 existing facilities and zero new facilities per year ) and bag leak detection systems (49 existing and 1 new facility per year f</w:t>
            </w:r>
            <w:r>
              <w:rPr>
                <w:color w:val="000000"/>
              </w:rPr>
              <w:t>or facilities that must control metal process vents) are $200/yr and $1,219/yr, respectively; (2) 5 percent of heat exchange system and metal process vent monitoring plans must be updated each year (5 technical hr/update); (3) the average amount of time to</w:t>
            </w:r>
            <w:r>
              <w:rPr>
                <w:color w:val="000000"/>
              </w:rPr>
              <w:t xml:space="preserve"> operate, maintain, and repair monitoring equipment is 3 hr month for the 1 new facility per year with metal process vents; (4) 5 percent of new sources with wastewater will make process changes each year that require a new determination or analysis of the</w:t>
            </w:r>
            <w:r>
              <w:rPr>
                <w:color w:val="000000"/>
              </w:rPr>
              <w:t xml:space="preserve"> organic HAP concentration (2 x 5.4 x 0.05 = 0.54 new sources/yr). Also assumes cost of periodic equipment leak inspections is part of the inspection program cost, and cost of quarterly heat exchange system water monitoring is part of the monitoring progra</w:t>
            </w:r>
            <w:r>
              <w:rPr>
                <w:color w:val="000000"/>
              </w:rPr>
              <w:t>m cost. Note that in years after the 3 years of this ICR all sources that are required to use control devices (28 existing facilities with batch process vents and 5 existing facilities with continuous process vents) will need to operate and maintain monito</w:t>
            </w:r>
            <w:r>
              <w:rPr>
                <w:color w:val="000000"/>
              </w:rPr>
              <w:t>ring equipment (10 hr/yr for temperature monitor). Also, all 49 existing facilities with uncontrolled metal HAP emissions greater than 400 lb/yr will need to operate and maintain monitoring equipment (3 hr/month for bag leak detection systems).</w:t>
            </w:r>
          </w:p>
          <w:p w:rsidR="00000000" w:rsidRDefault="00323237">
            <w:pPr>
              <w:autoSpaceDE/>
              <w:autoSpaceDN/>
              <w:adjustRightInd/>
              <w:rPr>
                <w:color w:val="000000"/>
              </w:rPr>
            </w:pPr>
          </w:p>
          <w:p w:rsidR="00000000" w:rsidRDefault="00323237">
            <w:pPr>
              <w:autoSpaceDE/>
              <w:autoSpaceDN/>
              <w:adjustRightInd/>
              <w:rPr>
                <w:color w:val="000000"/>
              </w:rPr>
            </w:pPr>
            <w:proofErr w:type="gramStart"/>
            <w:r>
              <w:rPr>
                <w:color w:val="000000"/>
                <w:vertAlign w:val="superscript"/>
              </w:rPr>
              <w:t>ff</w:t>
            </w:r>
            <w:proofErr w:type="gramEnd"/>
            <w:r>
              <w:rPr>
                <w:color w:val="000000"/>
              </w:rPr>
              <w:t xml:space="preserve"> Assume </w:t>
            </w:r>
            <w:r>
              <w:rPr>
                <w:color w:val="000000"/>
              </w:rPr>
              <w:t>2 affirmative defense reports for entire industry during the 3-yr ICR period. Formulas are not followed for person-hours per year. For affirmative defense, hours required assumes 18 hours technical, 12 hours management, 0 clerical for each instance of affi</w:t>
            </w:r>
            <w:r>
              <w:rPr>
                <w:color w:val="000000"/>
              </w:rPr>
              <w:t>rmative defense</w:t>
            </w:r>
          </w:p>
        </w:tc>
      </w:tr>
    </w:tbl>
    <w:p w:rsidR="00000000" w:rsidRDefault="00323237">
      <w:r>
        <w:br w:type="page"/>
      </w:r>
    </w:p>
    <w:p w:rsidR="00000000" w:rsidRDefault="00323237">
      <w:pPr>
        <w:rPr>
          <w:b/>
          <w:bCs/>
          <w:sz w:val="24"/>
          <w:szCs w:val="24"/>
        </w:rPr>
      </w:pPr>
      <w:proofErr w:type="gramStart"/>
      <w:r>
        <w:rPr>
          <w:b/>
          <w:bCs/>
          <w:sz w:val="24"/>
          <w:szCs w:val="24"/>
        </w:rPr>
        <w:t>Table 2.</w:t>
      </w:r>
      <w:proofErr w:type="gramEnd"/>
      <w:r>
        <w:rPr>
          <w:b/>
          <w:bCs/>
          <w:sz w:val="24"/>
          <w:szCs w:val="24"/>
        </w:rPr>
        <w:t xml:space="preserve">  Annual Burden and Cost to the Agency—NESHAP for Chemical Manufacturing Area Sources</w:t>
      </w:r>
    </w:p>
    <w:p w:rsidR="00000000" w:rsidRDefault="00323237"/>
    <w:tbl>
      <w:tblPr>
        <w:tblW w:w="5012" w:type="pct"/>
        <w:tblLayout w:type="fixed"/>
        <w:tblLook w:val="0000"/>
      </w:tblPr>
      <w:tblGrid>
        <w:gridCol w:w="3705"/>
        <w:gridCol w:w="1258"/>
        <w:gridCol w:w="1462"/>
        <w:gridCol w:w="1313"/>
        <w:gridCol w:w="1364"/>
        <w:gridCol w:w="1986"/>
        <w:gridCol w:w="1258"/>
        <w:gridCol w:w="1438"/>
        <w:gridCol w:w="1444"/>
      </w:tblGrid>
      <w:tr w:rsidR="00000000">
        <w:trPr>
          <w:trHeight w:val="870"/>
        </w:trPr>
        <w:tc>
          <w:tcPr>
            <w:tcW w:w="1217" w:type="pct"/>
            <w:tcBorders>
              <w:top w:val="single" w:sz="4" w:space="0" w:color="auto"/>
              <w:left w:val="single" w:sz="4" w:space="0" w:color="auto"/>
              <w:bottom w:val="nil"/>
              <w:right w:val="nil"/>
            </w:tcBorders>
            <w:shd w:val="clear" w:color="auto" w:fill="auto"/>
            <w:vAlign w:val="bottom"/>
          </w:tcPr>
          <w:p w:rsidR="00000000" w:rsidRDefault="00323237">
            <w:pPr>
              <w:autoSpaceDE/>
              <w:autoSpaceDN/>
              <w:adjustRightInd/>
              <w:rPr>
                <w:b/>
                <w:bCs/>
              </w:rPr>
            </w:pPr>
            <w:r>
              <w:rPr>
                <w:b/>
                <w:bCs/>
              </w:rPr>
              <w:t>Activity</w:t>
            </w:r>
          </w:p>
        </w:tc>
        <w:tc>
          <w:tcPr>
            <w:tcW w:w="413" w:type="pct"/>
            <w:tcBorders>
              <w:top w:val="single" w:sz="4" w:space="0" w:color="auto"/>
              <w:left w:val="single" w:sz="8" w:space="0" w:color="000000"/>
              <w:bottom w:val="nil"/>
              <w:right w:val="nil"/>
            </w:tcBorders>
            <w:shd w:val="clear" w:color="auto" w:fill="auto"/>
            <w:vAlign w:val="bottom"/>
          </w:tcPr>
          <w:p w:rsidR="00000000" w:rsidRDefault="00323237">
            <w:pPr>
              <w:autoSpaceDE/>
              <w:autoSpaceDN/>
              <w:adjustRightInd/>
              <w:rPr>
                <w:b/>
                <w:bCs/>
              </w:rPr>
            </w:pPr>
            <w:r>
              <w:rPr>
                <w:b/>
                <w:bCs/>
              </w:rPr>
              <w:t>(A)  EPA Hours/ Occurrence</w:t>
            </w:r>
          </w:p>
        </w:tc>
        <w:tc>
          <w:tcPr>
            <w:tcW w:w="480" w:type="pct"/>
            <w:tcBorders>
              <w:top w:val="single" w:sz="4" w:space="0" w:color="auto"/>
              <w:left w:val="single" w:sz="8" w:space="0" w:color="000000"/>
              <w:bottom w:val="nil"/>
              <w:right w:val="nil"/>
            </w:tcBorders>
            <w:shd w:val="clear" w:color="auto" w:fill="auto"/>
            <w:vAlign w:val="bottom"/>
          </w:tcPr>
          <w:p w:rsidR="00000000" w:rsidRDefault="00323237">
            <w:pPr>
              <w:autoSpaceDE/>
              <w:autoSpaceDN/>
              <w:adjustRightInd/>
              <w:rPr>
                <w:b/>
                <w:bCs/>
              </w:rPr>
            </w:pPr>
            <w:r>
              <w:rPr>
                <w:b/>
                <w:bCs/>
              </w:rPr>
              <w:t>(B)  Occurrences/ Plant/Year</w:t>
            </w:r>
          </w:p>
        </w:tc>
        <w:tc>
          <w:tcPr>
            <w:tcW w:w="431" w:type="pct"/>
            <w:tcBorders>
              <w:top w:val="single" w:sz="4" w:space="0" w:color="auto"/>
              <w:left w:val="single" w:sz="8" w:space="0" w:color="000000"/>
              <w:bottom w:val="nil"/>
              <w:right w:val="nil"/>
            </w:tcBorders>
            <w:shd w:val="clear" w:color="auto" w:fill="auto"/>
            <w:vAlign w:val="bottom"/>
          </w:tcPr>
          <w:p w:rsidR="00000000" w:rsidRDefault="00323237">
            <w:pPr>
              <w:autoSpaceDE/>
              <w:autoSpaceDN/>
              <w:adjustRightInd/>
              <w:rPr>
                <w:b/>
                <w:bCs/>
              </w:rPr>
            </w:pPr>
            <w:r>
              <w:rPr>
                <w:b/>
                <w:bCs/>
              </w:rPr>
              <w:t>(C)  EPA Hours/ Plant/</w:t>
            </w:r>
            <w:proofErr w:type="spellStart"/>
            <w:r>
              <w:rPr>
                <w:b/>
                <w:bCs/>
              </w:rPr>
              <w:t>Year</w:t>
            </w:r>
            <w:r>
              <w:rPr>
                <w:b/>
                <w:bCs/>
                <w:vertAlign w:val="superscript"/>
              </w:rPr>
              <w:t>a</w:t>
            </w:r>
            <w:proofErr w:type="spellEnd"/>
          </w:p>
        </w:tc>
        <w:tc>
          <w:tcPr>
            <w:tcW w:w="448" w:type="pct"/>
            <w:tcBorders>
              <w:top w:val="single" w:sz="4" w:space="0" w:color="auto"/>
              <w:left w:val="single" w:sz="8" w:space="0" w:color="000000"/>
              <w:bottom w:val="nil"/>
              <w:right w:val="nil"/>
            </w:tcBorders>
            <w:shd w:val="clear" w:color="auto" w:fill="auto"/>
            <w:vAlign w:val="bottom"/>
          </w:tcPr>
          <w:p w:rsidR="00000000" w:rsidRDefault="00323237">
            <w:pPr>
              <w:autoSpaceDE/>
              <w:autoSpaceDN/>
              <w:adjustRightInd/>
              <w:rPr>
                <w:b/>
                <w:bCs/>
              </w:rPr>
            </w:pPr>
            <w:r>
              <w:rPr>
                <w:b/>
                <w:bCs/>
              </w:rPr>
              <w:t>(D)  Plants/Year</w:t>
            </w:r>
          </w:p>
        </w:tc>
        <w:tc>
          <w:tcPr>
            <w:tcW w:w="652" w:type="pct"/>
            <w:tcBorders>
              <w:top w:val="single" w:sz="4" w:space="0" w:color="auto"/>
              <w:left w:val="single" w:sz="8" w:space="0" w:color="000000"/>
              <w:bottom w:val="nil"/>
              <w:right w:val="single" w:sz="8" w:space="0" w:color="000000"/>
            </w:tcBorders>
            <w:shd w:val="clear" w:color="auto" w:fill="auto"/>
            <w:vAlign w:val="bottom"/>
          </w:tcPr>
          <w:p w:rsidR="00000000" w:rsidRDefault="00323237">
            <w:pPr>
              <w:autoSpaceDE/>
              <w:autoSpaceDN/>
              <w:adjustRightInd/>
              <w:rPr>
                <w:b/>
                <w:bCs/>
              </w:rPr>
            </w:pPr>
            <w:r>
              <w:rPr>
                <w:b/>
                <w:bCs/>
              </w:rPr>
              <w:t xml:space="preserve">(E)  EPA Technical Hours/ </w:t>
            </w:r>
            <w:proofErr w:type="spellStart"/>
            <w:r>
              <w:rPr>
                <w:b/>
                <w:bCs/>
              </w:rPr>
              <w:t>Year</w:t>
            </w:r>
            <w:r>
              <w:rPr>
                <w:b/>
                <w:bCs/>
                <w:vertAlign w:val="superscript"/>
              </w:rPr>
              <w:t>b</w:t>
            </w:r>
            <w:proofErr w:type="spellEnd"/>
          </w:p>
        </w:tc>
        <w:tc>
          <w:tcPr>
            <w:tcW w:w="413" w:type="pct"/>
            <w:tcBorders>
              <w:top w:val="single" w:sz="4" w:space="0" w:color="auto"/>
              <w:left w:val="nil"/>
              <w:bottom w:val="nil"/>
              <w:right w:val="single" w:sz="8" w:space="0" w:color="000000"/>
            </w:tcBorders>
            <w:shd w:val="clear" w:color="auto" w:fill="auto"/>
          </w:tcPr>
          <w:p w:rsidR="00000000" w:rsidRDefault="00323237">
            <w:pPr>
              <w:autoSpaceDE/>
              <w:autoSpaceDN/>
              <w:adjustRightInd/>
              <w:rPr>
                <w:b/>
                <w:bCs/>
              </w:rPr>
            </w:pPr>
            <w:r>
              <w:rPr>
                <w:b/>
                <w:bCs/>
              </w:rPr>
              <w:t>(F) EPA Managerial Hours/Year</w:t>
            </w:r>
          </w:p>
        </w:tc>
        <w:tc>
          <w:tcPr>
            <w:tcW w:w="472" w:type="pct"/>
            <w:tcBorders>
              <w:top w:val="single" w:sz="4" w:space="0" w:color="auto"/>
              <w:left w:val="nil"/>
              <w:bottom w:val="nil"/>
              <w:right w:val="single" w:sz="8" w:space="0" w:color="000000"/>
            </w:tcBorders>
            <w:shd w:val="clear" w:color="auto" w:fill="auto"/>
          </w:tcPr>
          <w:p w:rsidR="00000000" w:rsidRDefault="00323237">
            <w:pPr>
              <w:autoSpaceDE/>
              <w:autoSpaceDN/>
              <w:adjustRightInd/>
              <w:rPr>
                <w:b/>
                <w:bCs/>
              </w:rPr>
            </w:pPr>
            <w:r>
              <w:rPr>
                <w:b/>
                <w:bCs/>
              </w:rPr>
              <w:t>(G) EPA Clerical Hours/Year</w:t>
            </w:r>
          </w:p>
        </w:tc>
        <w:tc>
          <w:tcPr>
            <w:tcW w:w="474" w:type="pct"/>
            <w:tcBorders>
              <w:top w:val="single" w:sz="4" w:space="0" w:color="auto"/>
              <w:left w:val="nil"/>
              <w:bottom w:val="nil"/>
              <w:right w:val="single" w:sz="4" w:space="0" w:color="auto"/>
            </w:tcBorders>
            <w:shd w:val="clear" w:color="auto" w:fill="auto"/>
          </w:tcPr>
          <w:p w:rsidR="00000000" w:rsidRDefault="00323237">
            <w:pPr>
              <w:autoSpaceDE/>
              <w:autoSpaceDN/>
              <w:adjustRightInd/>
              <w:rPr>
                <w:b/>
                <w:bCs/>
              </w:rPr>
            </w:pPr>
            <w:r>
              <w:rPr>
                <w:b/>
                <w:bCs/>
              </w:rPr>
              <w:t>(H) Cost, $</w:t>
            </w:r>
          </w:p>
        </w:tc>
      </w:tr>
      <w:tr w:rsidR="00000000">
        <w:trPr>
          <w:trHeight w:val="375"/>
        </w:trPr>
        <w:tc>
          <w:tcPr>
            <w:tcW w:w="1217" w:type="pct"/>
            <w:tcBorders>
              <w:top w:val="single" w:sz="8" w:space="0" w:color="000000"/>
              <w:left w:val="single" w:sz="4" w:space="0" w:color="auto"/>
              <w:bottom w:val="nil"/>
              <w:right w:val="nil"/>
            </w:tcBorders>
            <w:shd w:val="clear" w:color="auto" w:fill="auto"/>
          </w:tcPr>
          <w:p w:rsidR="00000000" w:rsidRDefault="00323237">
            <w:pPr>
              <w:autoSpaceDE/>
              <w:autoSpaceDN/>
              <w:adjustRightInd/>
            </w:pPr>
            <w:r>
              <w:t xml:space="preserve">Attendance of Initial Performance </w:t>
            </w:r>
            <w:proofErr w:type="spellStart"/>
            <w:r>
              <w:t>Test</w:t>
            </w:r>
            <w:r>
              <w:rPr>
                <w:vertAlign w:val="superscript"/>
              </w:rPr>
              <w:t>c</w:t>
            </w:r>
            <w:proofErr w:type="spellEnd"/>
          </w:p>
        </w:tc>
        <w:tc>
          <w:tcPr>
            <w:tcW w:w="413" w:type="pct"/>
            <w:tcBorders>
              <w:top w:val="single" w:sz="8" w:space="0" w:color="000000"/>
              <w:left w:val="single" w:sz="8" w:space="0" w:color="000000"/>
              <w:bottom w:val="nil"/>
              <w:right w:val="nil"/>
            </w:tcBorders>
            <w:shd w:val="clear" w:color="auto" w:fill="auto"/>
          </w:tcPr>
          <w:p w:rsidR="00000000" w:rsidRDefault="00323237">
            <w:pPr>
              <w:autoSpaceDE/>
              <w:autoSpaceDN/>
              <w:adjustRightInd/>
              <w:jc w:val="right"/>
            </w:pPr>
            <w:r>
              <w:t>24</w:t>
            </w:r>
          </w:p>
        </w:tc>
        <w:tc>
          <w:tcPr>
            <w:tcW w:w="480" w:type="pct"/>
            <w:tcBorders>
              <w:top w:val="single" w:sz="8" w:space="0" w:color="000000"/>
              <w:left w:val="single" w:sz="8" w:space="0" w:color="000000"/>
              <w:bottom w:val="nil"/>
              <w:right w:val="nil"/>
            </w:tcBorders>
            <w:shd w:val="clear" w:color="auto" w:fill="auto"/>
          </w:tcPr>
          <w:p w:rsidR="00000000" w:rsidRDefault="00323237">
            <w:pPr>
              <w:autoSpaceDE/>
              <w:autoSpaceDN/>
              <w:adjustRightInd/>
              <w:jc w:val="right"/>
            </w:pPr>
            <w:r>
              <w:t>1</w:t>
            </w:r>
          </w:p>
        </w:tc>
        <w:tc>
          <w:tcPr>
            <w:tcW w:w="431" w:type="pct"/>
            <w:tcBorders>
              <w:top w:val="single" w:sz="8" w:space="0" w:color="000000"/>
              <w:left w:val="single" w:sz="8" w:space="0" w:color="000000"/>
              <w:bottom w:val="nil"/>
              <w:right w:val="nil"/>
            </w:tcBorders>
            <w:shd w:val="clear" w:color="auto" w:fill="auto"/>
          </w:tcPr>
          <w:p w:rsidR="00000000" w:rsidRDefault="00323237">
            <w:pPr>
              <w:autoSpaceDE/>
              <w:autoSpaceDN/>
              <w:adjustRightInd/>
              <w:jc w:val="right"/>
            </w:pPr>
            <w:r>
              <w:t>24</w:t>
            </w:r>
          </w:p>
        </w:tc>
        <w:tc>
          <w:tcPr>
            <w:tcW w:w="448" w:type="pct"/>
            <w:tcBorders>
              <w:top w:val="single" w:sz="8" w:space="0" w:color="000000"/>
              <w:left w:val="single" w:sz="8" w:space="0" w:color="000000"/>
              <w:bottom w:val="nil"/>
              <w:right w:val="nil"/>
            </w:tcBorders>
            <w:shd w:val="clear" w:color="auto" w:fill="auto"/>
          </w:tcPr>
          <w:p w:rsidR="00000000" w:rsidRDefault="00323237">
            <w:pPr>
              <w:autoSpaceDE/>
              <w:autoSpaceDN/>
              <w:adjustRightInd/>
              <w:jc w:val="right"/>
            </w:pPr>
            <w:r>
              <w:t>5.7</w:t>
            </w:r>
          </w:p>
        </w:tc>
        <w:tc>
          <w:tcPr>
            <w:tcW w:w="652" w:type="pct"/>
            <w:tcBorders>
              <w:top w:val="single" w:sz="8" w:space="0" w:color="000000"/>
              <w:left w:val="single" w:sz="8" w:space="0" w:color="000000"/>
              <w:bottom w:val="nil"/>
              <w:right w:val="single" w:sz="8" w:space="0" w:color="000000"/>
            </w:tcBorders>
            <w:shd w:val="clear" w:color="auto" w:fill="auto"/>
          </w:tcPr>
          <w:p w:rsidR="00000000" w:rsidRDefault="00323237">
            <w:pPr>
              <w:autoSpaceDE/>
              <w:autoSpaceDN/>
              <w:adjustRightInd/>
              <w:jc w:val="right"/>
            </w:pPr>
            <w:r>
              <w:t>136.00</w:t>
            </w:r>
          </w:p>
        </w:tc>
        <w:tc>
          <w:tcPr>
            <w:tcW w:w="413" w:type="pct"/>
            <w:tcBorders>
              <w:top w:val="single" w:sz="8" w:space="0" w:color="000000"/>
              <w:left w:val="nil"/>
              <w:bottom w:val="nil"/>
              <w:right w:val="single" w:sz="8" w:space="0" w:color="000000"/>
            </w:tcBorders>
            <w:shd w:val="clear" w:color="auto" w:fill="auto"/>
          </w:tcPr>
          <w:p w:rsidR="00000000" w:rsidRDefault="00323237">
            <w:pPr>
              <w:autoSpaceDE/>
              <w:autoSpaceDN/>
              <w:adjustRightInd/>
              <w:jc w:val="right"/>
            </w:pPr>
            <w:r>
              <w:t>6.80</w:t>
            </w:r>
          </w:p>
        </w:tc>
        <w:tc>
          <w:tcPr>
            <w:tcW w:w="472" w:type="pct"/>
            <w:tcBorders>
              <w:top w:val="single" w:sz="8" w:space="0" w:color="000000"/>
              <w:left w:val="nil"/>
              <w:bottom w:val="nil"/>
              <w:right w:val="single" w:sz="8" w:space="0" w:color="000000"/>
            </w:tcBorders>
            <w:shd w:val="clear" w:color="auto" w:fill="auto"/>
          </w:tcPr>
          <w:p w:rsidR="00000000" w:rsidRDefault="00323237">
            <w:pPr>
              <w:autoSpaceDE/>
              <w:autoSpaceDN/>
              <w:adjustRightInd/>
              <w:jc w:val="right"/>
            </w:pPr>
            <w:r>
              <w:t>13.60</w:t>
            </w:r>
          </w:p>
        </w:tc>
        <w:tc>
          <w:tcPr>
            <w:tcW w:w="474" w:type="pct"/>
            <w:tcBorders>
              <w:top w:val="single" w:sz="8" w:space="0" w:color="000000"/>
              <w:left w:val="nil"/>
              <w:bottom w:val="nil"/>
              <w:right w:val="single" w:sz="4" w:space="0" w:color="auto"/>
            </w:tcBorders>
            <w:shd w:val="clear" w:color="auto" w:fill="auto"/>
          </w:tcPr>
          <w:p w:rsidR="00000000" w:rsidRDefault="00323237">
            <w:pPr>
              <w:autoSpaceDE/>
              <w:autoSpaceDN/>
              <w:adjustRightInd/>
              <w:jc w:val="right"/>
            </w:pPr>
            <w:r>
              <w:t>$6,584</w:t>
            </w:r>
          </w:p>
        </w:tc>
      </w:tr>
      <w:tr w:rsidR="00000000">
        <w:trPr>
          <w:trHeight w:val="375"/>
        </w:trPr>
        <w:tc>
          <w:tcPr>
            <w:tcW w:w="1217" w:type="pct"/>
            <w:tcBorders>
              <w:top w:val="single" w:sz="8" w:space="0" w:color="000000"/>
              <w:left w:val="single" w:sz="4" w:space="0" w:color="auto"/>
              <w:bottom w:val="nil"/>
              <w:right w:val="nil"/>
            </w:tcBorders>
            <w:shd w:val="clear" w:color="auto" w:fill="auto"/>
          </w:tcPr>
          <w:p w:rsidR="00000000" w:rsidRDefault="00323237">
            <w:pPr>
              <w:autoSpaceDE/>
              <w:autoSpaceDN/>
              <w:adjustRightInd/>
            </w:pPr>
            <w:r>
              <w:t xml:space="preserve">Attendance of Repeat Performance </w:t>
            </w:r>
            <w:proofErr w:type="spellStart"/>
            <w:r>
              <w:t>Tests</w:t>
            </w:r>
            <w:r>
              <w:rPr>
                <w:vertAlign w:val="superscript"/>
              </w:rPr>
              <w:t>d</w:t>
            </w:r>
            <w:proofErr w:type="spellEnd"/>
          </w:p>
        </w:tc>
        <w:tc>
          <w:tcPr>
            <w:tcW w:w="413" w:type="pct"/>
            <w:tcBorders>
              <w:top w:val="single" w:sz="8" w:space="0" w:color="000000"/>
              <w:left w:val="single" w:sz="8" w:space="0" w:color="000000"/>
              <w:bottom w:val="nil"/>
              <w:right w:val="nil"/>
            </w:tcBorders>
            <w:shd w:val="clear" w:color="auto" w:fill="auto"/>
          </w:tcPr>
          <w:p w:rsidR="00000000" w:rsidRDefault="00323237">
            <w:pPr>
              <w:autoSpaceDE/>
              <w:autoSpaceDN/>
              <w:adjustRightInd/>
              <w:jc w:val="right"/>
            </w:pPr>
            <w:r>
              <w:t>24</w:t>
            </w:r>
          </w:p>
        </w:tc>
        <w:tc>
          <w:tcPr>
            <w:tcW w:w="480" w:type="pct"/>
            <w:tcBorders>
              <w:top w:val="single" w:sz="8" w:space="0" w:color="000000"/>
              <w:left w:val="single" w:sz="8" w:space="0" w:color="000000"/>
              <w:bottom w:val="nil"/>
              <w:right w:val="nil"/>
            </w:tcBorders>
            <w:shd w:val="clear" w:color="auto" w:fill="auto"/>
          </w:tcPr>
          <w:p w:rsidR="00000000" w:rsidRDefault="00323237">
            <w:pPr>
              <w:autoSpaceDE/>
              <w:autoSpaceDN/>
              <w:adjustRightInd/>
              <w:jc w:val="right"/>
            </w:pPr>
            <w:r>
              <w:t>1</w:t>
            </w:r>
          </w:p>
        </w:tc>
        <w:tc>
          <w:tcPr>
            <w:tcW w:w="431" w:type="pct"/>
            <w:tcBorders>
              <w:top w:val="single" w:sz="8" w:space="0" w:color="000000"/>
              <w:left w:val="single" w:sz="8" w:space="0" w:color="000000"/>
              <w:bottom w:val="nil"/>
              <w:right w:val="nil"/>
            </w:tcBorders>
            <w:shd w:val="clear" w:color="auto" w:fill="auto"/>
          </w:tcPr>
          <w:p w:rsidR="00000000" w:rsidRDefault="00323237">
            <w:pPr>
              <w:autoSpaceDE/>
              <w:autoSpaceDN/>
              <w:adjustRightInd/>
              <w:jc w:val="right"/>
            </w:pPr>
            <w:r>
              <w:t>24</w:t>
            </w:r>
          </w:p>
        </w:tc>
        <w:tc>
          <w:tcPr>
            <w:tcW w:w="448" w:type="pct"/>
            <w:tcBorders>
              <w:top w:val="single" w:sz="8" w:space="0" w:color="000000"/>
              <w:left w:val="single" w:sz="8" w:space="0" w:color="000000"/>
              <w:bottom w:val="nil"/>
              <w:right w:val="nil"/>
            </w:tcBorders>
            <w:shd w:val="clear" w:color="auto" w:fill="auto"/>
          </w:tcPr>
          <w:p w:rsidR="00000000" w:rsidRDefault="00323237">
            <w:pPr>
              <w:autoSpaceDE/>
              <w:autoSpaceDN/>
              <w:adjustRightInd/>
              <w:jc w:val="right"/>
            </w:pPr>
            <w:r>
              <w:t>1.1</w:t>
            </w:r>
          </w:p>
        </w:tc>
        <w:tc>
          <w:tcPr>
            <w:tcW w:w="652" w:type="pct"/>
            <w:tcBorders>
              <w:top w:val="single" w:sz="8" w:space="0" w:color="000000"/>
              <w:left w:val="single" w:sz="8" w:space="0" w:color="000000"/>
              <w:bottom w:val="nil"/>
              <w:right w:val="single" w:sz="8" w:space="0" w:color="000000"/>
            </w:tcBorders>
            <w:shd w:val="clear" w:color="auto" w:fill="auto"/>
          </w:tcPr>
          <w:p w:rsidR="00000000" w:rsidRDefault="00323237">
            <w:pPr>
              <w:autoSpaceDE/>
              <w:autoSpaceDN/>
              <w:adjustRightInd/>
              <w:jc w:val="right"/>
            </w:pPr>
            <w:r>
              <w:t>27.20</w:t>
            </w:r>
          </w:p>
        </w:tc>
        <w:tc>
          <w:tcPr>
            <w:tcW w:w="413" w:type="pct"/>
            <w:tcBorders>
              <w:top w:val="single" w:sz="8" w:space="0" w:color="000000"/>
              <w:left w:val="nil"/>
              <w:bottom w:val="nil"/>
              <w:right w:val="single" w:sz="8" w:space="0" w:color="000000"/>
            </w:tcBorders>
            <w:shd w:val="clear" w:color="auto" w:fill="auto"/>
          </w:tcPr>
          <w:p w:rsidR="00000000" w:rsidRDefault="00323237">
            <w:pPr>
              <w:autoSpaceDE/>
              <w:autoSpaceDN/>
              <w:adjustRightInd/>
              <w:jc w:val="right"/>
            </w:pPr>
            <w:r>
              <w:t>1.36</w:t>
            </w:r>
          </w:p>
        </w:tc>
        <w:tc>
          <w:tcPr>
            <w:tcW w:w="472" w:type="pct"/>
            <w:tcBorders>
              <w:top w:val="single" w:sz="8" w:space="0" w:color="000000"/>
              <w:left w:val="nil"/>
              <w:bottom w:val="nil"/>
              <w:right w:val="single" w:sz="8" w:space="0" w:color="000000"/>
            </w:tcBorders>
            <w:shd w:val="clear" w:color="auto" w:fill="auto"/>
          </w:tcPr>
          <w:p w:rsidR="00000000" w:rsidRDefault="00323237">
            <w:pPr>
              <w:autoSpaceDE/>
              <w:autoSpaceDN/>
              <w:adjustRightInd/>
              <w:jc w:val="right"/>
            </w:pPr>
            <w:r>
              <w:t>2.72</w:t>
            </w:r>
          </w:p>
        </w:tc>
        <w:tc>
          <w:tcPr>
            <w:tcW w:w="474" w:type="pct"/>
            <w:tcBorders>
              <w:top w:val="single" w:sz="8" w:space="0" w:color="000000"/>
              <w:left w:val="nil"/>
              <w:bottom w:val="nil"/>
              <w:right w:val="single" w:sz="4" w:space="0" w:color="auto"/>
            </w:tcBorders>
            <w:shd w:val="clear" w:color="auto" w:fill="auto"/>
          </w:tcPr>
          <w:p w:rsidR="00000000" w:rsidRDefault="00323237">
            <w:pPr>
              <w:autoSpaceDE/>
              <w:autoSpaceDN/>
              <w:adjustRightInd/>
              <w:jc w:val="right"/>
            </w:pPr>
            <w:r>
              <w:t>$1,317</w:t>
            </w:r>
          </w:p>
        </w:tc>
      </w:tr>
      <w:tr w:rsidR="00000000">
        <w:trPr>
          <w:trHeight w:val="315"/>
        </w:trPr>
        <w:tc>
          <w:tcPr>
            <w:tcW w:w="1217" w:type="pct"/>
            <w:tcBorders>
              <w:top w:val="single" w:sz="8" w:space="0" w:color="000000"/>
              <w:left w:val="single" w:sz="4" w:space="0" w:color="auto"/>
              <w:bottom w:val="nil"/>
              <w:right w:val="nil"/>
            </w:tcBorders>
            <w:shd w:val="clear" w:color="auto" w:fill="auto"/>
          </w:tcPr>
          <w:p w:rsidR="00000000" w:rsidRDefault="00323237">
            <w:pPr>
              <w:autoSpaceDE/>
              <w:autoSpaceDN/>
              <w:adjustRightInd/>
            </w:pPr>
            <w:r>
              <w:t xml:space="preserve">Report Review </w:t>
            </w:r>
          </w:p>
        </w:tc>
        <w:tc>
          <w:tcPr>
            <w:tcW w:w="413" w:type="pct"/>
            <w:tcBorders>
              <w:top w:val="single" w:sz="8" w:space="0" w:color="000000"/>
              <w:left w:val="single" w:sz="8" w:space="0" w:color="000000"/>
              <w:bottom w:val="nil"/>
              <w:right w:val="nil"/>
            </w:tcBorders>
            <w:shd w:val="clear" w:color="auto" w:fill="auto"/>
          </w:tcPr>
          <w:p w:rsidR="00000000" w:rsidRDefault="00323237">
            <w:pPr>
              <w:autoSpaceDE/>
              <w:autoSpaceDN/>
              <w:adjustRightInd/>
            </w:pPr>
            <w:r>
              <w:t> </w:t>
            </w:r>
          </w:p>
        </w:tc>
        <w:tc>
          <w:tcPr>
            <w:tcW w:w="480" w:type="pct"/>
            <w:tcBorders>
              <w:top w:val="single" w:sz="8" w:space="0" w:color="000000"/>
              <w:left w:val="single" w:sz="8" w:space="0" w:color="000000"/>
              <w:bottom w:val="nil"/>
              <w:right w:val="nil"/>
            </w:tcBorders>
            <w:shd w:val="clear" w:color="auto" w:fill="auto"/>
          </w:tcPr>
          <w:p w:rsidR="00000000" w:rsidRDefault="00323237">
            <w:pPr>
              <w:autoSpaceDE/>
              <w:autoSpaceDN/>
              <w:adjustRightInd/>
            </w:pPr>
            <w:r>
              <w:t> </w:t>
            </w:r>
          </w:p>
        </w:tc>
        <w:tc>
          <w:tcPr>
            <w:tcW w:w="431" w:type="pct"/>
            <w:tcBorders>
              <w:top w:val="single" w:sz="8" w:space="0" w:color="000000"/>
              <w:left w:val="single" w:sz="8" w:space="0" w:color="000000"/>
              <w:bottom w:val="nil"/>
              <w:right w:val="nil"/>
            </w:tcBorders>
            <w:shd w:val="clear" w:color="auto" w:fill="auto"/>
          </w:tcPr>
          <w:p w:rsidR="00000000" w:rsidRDefault="00323237">
            <w:pPr>
              <w:autoSpaceDE/>
              <w:autoSpaceDN/>
              <w:adjustRightInd/>
            </w:pPr>
            <w:r>
              <w:t> </w:t>
            </w:r>
          </w:p>
        </w:tc>
        <w:tc>
          <w:tcPr>
            <w:tcW w:w="448" w:type="pct"/>
            <w:tcBorders>
              <w:top w:val="single" w:sz="8" w:space="0" w:color="000000"/>
              <w:left w:val="single" w:sz="8" w:space="0" w:color="000000"/>
              <w:bottom w:val="nil"/>
              <w:right w:val="nil"/>
            </w:tcBorders>
            <w:shd w:val="clear" w:color="auto" w:fill="auto"/>
          </w:tcPr>
          <w:p w:rsidR="00000000" w:rsidRDefault="00323237">
            <w:pPr>
              <w:autoSpaceDE/>
              <w:autoSpaceDN/>
              <w:adjustRightInd/>
            </w:pPr>
            <w:r>
              <w:t> </w:t>
            </w:r>
          </w:p>
        </w:tc>
        <w:tc>
          <w:tcPr>
            <w:tcW w:w="652" w:type="pct"/>
            <w:tcBorders>
              <w:top w:val="single" w:sz="8" w:space="0" w:color="000000"/>
              <w:left w:val="single" w:sz="8" w:space="0" w:color="000000"/>
              <w:bottom w:val="nil"/>
              <w:right w:val="single" w:sz="8" w:space="0" w:color="000000"/>
            </w:tcBorders>
            <w:shd w:val="clear" w:color="auto" w:fill="auto"/>
          </w:tcPr>
          <w:p w:rsidR="00000000" w:rsidRDefault="00323237">
            <w:pPr>
              <w:autoSpaceDE/>
              <w:autoSpaceDN/>
              <w:adjustRightInd/>
            </w:pPr>
            <w:r>
              <w:t> </w:t>
            </w:r>
          </w:p>
        </w:tc>
        <w:tc>
          <w:tcPr>
            <w:tcW w:w="413" w:type="pct"/>
            <w:tcBorders>
              <w:top w:val="single" w:sz="8" w:space="0" w:color="000000"/>
              <w:left w:val="nil"/>
              <w:bottom w:val="nil"/>
              <w:right w:val="single" w:sz="8" w:space="0" w:color="000000"/>
            </w:tcBorders>
            <w:shd w:val="clear" w:color="auto" w:fill="auto"/>
          </w:tcPr>
          <w:p w:rsidR="00000000" w:rsidRDefault="00323237">
            <w:pPr>
              <w:autoSpaceDE/>
              <w:autoSpaceDN/>
              <w:adjustRightInd/>
            </w:pPr>
            <w:r>
              <w:t> </w:t>
            </w:r>
          </w:p>
        </w:tc>
        <w:tc>
          <w:tcPr>
            <w:tcW w:w="472" w:type="pct"/>
            <w:tcBorders>
              <w:top w:val="single" w:sz="8" w:space="0" w:color="000000"/>
              <w:left w:val="nil"/>
              <w:bottom w:val="nil"/>
              <w:right w:val="single" w:sz="8" w:space="0" w:color="000000"/>
            </w:tcBorders>
            <w:shd w:val="clear" w:color="auto" w:fill="auto"/>
          </w:tcPr>
          <w:p w:rsidR="00000000" w:rsidRDefault="00323237">
            <w:pPr>
              <w:autoSpaceDE/>
              <w:autoSpaceDN/>
              <w:adjustRightInd/>
            </w:pPr>
            <w:r>
              <w:t> </w:t>
            </w:r>
          </w:p>
        </w:tc>
        <w:tc>
          <w:tcPr>
            <w:tcW w:w="474" w:type="pct"/>
            <w:tcBorders>
              <w:top w:val="single" w:sz="8" w:space="0" w:color="000000"/>
              <w:left w:val="nil"/>
              <w:bottom w:val="nil"/>
              <w:right w:val="single" w:sz="4" w:space="0" w:color="auto"/>
            </w:tcBorders>
            <w:shd w:val="clear" w:color="auto" w:fill="auto"/>
          </w:tcPr>
          <w:p w:rsidR="00000000" w:rsidRDefault="00323237">
            <w:pPr>
              <w:autoSpaceDE/>
              <w:autoSpaceDN/>
              <w:adjustRightInd/>
            </w:pPr>
            <w:r>
              <w:t> </w:t>
            </w:r>
          </w:p>
        </w:tc>
      </w:tr>
      <w:tr w:rsidR="00000000">
        <w:trPr>
          <w:trHeight w:val="615"/>
        </w:trPr>
        <w:tc>
          <w:tcPr>
            <w:tcW w:w="1217" w:type="pct"/>
            <w:tcBorders>
              <w:top w:val="single" w:sz="8" w:space="0" w:color="000000"/>
              <w:left w:val="single" w:sz="4" w:space="0" w:color="auto"/>
              <w:bottom w:val="single" w:sz="8" w:space="0" w:color="000000"/>
              <w:right w:val="single" w:sz="8" w:space="0" w:color="000000"/>
            </w:tcBorders>
            <w:shd w:val="clear" w:color="auto" w:fill="auto"/>
          </w:tcPr>
          <w:p w:rsidR="00000000" w:rsidRDefault="00323237">
            <w:pPr>
              <w:autoSpaceDE/>
              <w:autoSpaceDN/>
              <w:adjustRightInd/>
              <w:jc w:val="right"/>
            </w:pPr>
            <w:r>
              <w:t>Notification of construction/reconstruction commencement</w:t>
            </w:r>
          </w:p>
        </w:tc>
        <w:tc>
          <w:tcPr>
            <w:tcW w:w="413" w:type="pct"/>
            <w:tcBorders>
              <w:top w:val="single" w:sz="8" w:space="0" w:color="000000"/>
              <w:left w:val="nil"/>
              <w:bottom w:val="nil"/>
              <w:right w:val="nil"/>
            </w:tcBorders>
            <w:shd w:val="clear" w:color="auto" w:fill="auto"/>
          </w:tcPr>
          <w:p w:rsidR="00000000" w:rsidRDefault="00323237">
            <w:pPr>
              <w:autoSpaceDE/>
              <w:autoSpaceDN/>
              <w:adjustRightInd/>
              <w:jc w:val="right"/>
            </w:pPr>
            <w:r>
              <w:t>2</w:t>
            </w:r>
          </w:p>
        </w:tc>
        <w:tc>
          <w:tcPr>
            <w:tcW w:w="480" w:type="pct"/>
            <w:tcBorders>
              <w:top w:val="single" w:sz="8" w:space="0" w:color="000000"/>
              <w:left w:val="single" w:sz="8" w:space="0" w:color="000000"/>
              <w:bottom w:val="nil"/>
              <w:right w:val="nil"/>
            </w:tcBorders>
            <w:shd w:val="clear" w:color="auto" w:fill="auto"/>
          </w:tcPr>
          <w:p w:rsidR="00000000" w:rsidRDefault="00323237">
            <w:pPr>
              <w:autoSpaceDE/>
              <w:autoSpaceDN/>
              <w:adjustRightInd/>
              <w:jc w:val="right"/>
            </w:pPr>
            <w:r>
              <w:t>1</w:t>
            </w:r>
          </w:p>
        </w:tc>
        <w:tc>
          <w:tcPr>
            <w:tcW w:w="431" w:type="pct"/>
            <w:tcBorders>
              <w:top w:val="single" w:sz="8" w:space="0" w:color="000000"/>
              <w:left w:val="single" w:sz="8" w:space="0" w:color="000000"/>
              <w:bottom w:val="nil"/>
              <w:right w:val="nil"/>
            </w:tcBorders>
            <w:shd w:val="clear" w:color="auto" w:fill="auto"/>
          </w:tcPr>
          <w:p w:rsidR="00000000" w:rsidRDefault="00323237">
            <w:pPr>
              <w:autoSpaceDE/>
              <w:autoSpaceDN/>
              <w:adjustRightInd/>
              <w:jc w:val="right"/>
            </w:pPr>
            <w:r>
              <w:t>2</w:t>
            </w:r>
          </w:p>
        </w:tc>
        <w:tc>
          <w:tcPr>
            <w:tcW w:w="448" w:type="pct"/>
            <w:tcBorders>
              <w:top w:val="single" w:sz="8" w:space="0" w:color="000000"/>
              <w:left w:val="single" w:sz="8" w:space="0" w:color="000000"/>
              <w:bottom w:val="nil"/>
              <w:right w:val="nil"/>
            </w:tcBorders>
            <w:shd w:val="clear" w:color="auto" w:fill="auto"/>
          </w:tcPr>
          <w:p w:rsidR="00000000" w:rsidRDefault="00323237">
            <w:pPr>
              <w:autoSpaceDE/>
              <w:autoSpaceDN/>
              <w:adjustRightInd/>
              <w:jc w:val="right"/>
            </w:pPr>
            <w:r>
              <w:t>9</w:t>
            </w:r>
          </w:p>
        </w:tc>
        <w:tc>
          <w:tcPr>
            <w:tcW w:w="652" w:type="pct"/>
            <w:tcBorders>
              <w:top w:val="single" w:sz="8" w:space="0" w:color="000000"/>
              <w:left w:val="single" w:sz="8" w:space="0" w:color="000000"/>
              <w:bottom w:val="nil"/>
              <w:right w:val="single" w:sz="8" w:space="0" w:color="000000"/>
            </w:tcBorders>
            <w:shd w:val="clear" w:color="auto" w:fill="auto"/>
          </w:tcPr>
          <w:p w:rsidR="00000000" w:rsidRDefault="00323237">
            <w:pPr>
              <w:autoSpaceDE/>
              <w:autoSpaceDN/>
              <w:adjustRightInd/>
              <w:jc w:val="right"/>
            </w:pPr>
            <w:r>
              <w:t>18.00</w:t>
            </w:r>
          </w:p>
        </w:tc>
        <w:tc>
          <w:tcPr>
            <w:tcW w:w="413" w:type="pct"/>
            <w:tcBorders>
              <w:top w:val="single" w:sz="8" w:space="0" w:color="000000"/>
              <w:left w:val="nil"/>
              <w:bottom w:val="nil"/>
              <w:right w:val="single" w:sz="8" w:space="0" w:color="000000"/>
            </w:tcBorders>
            <w:shd w:val="clear" w:color="auto" w:fill="auto"/>
          </w:tcPr>
          <w:p w:rsidR="00000000" w:rsidRDefault="00323237">
            <w:pPr>
              <w:autoSpaceDE/>
              <w:autoSpaceDN/>
              <w:adjustRightInd/>
              <w:jc w:val="right"/>
            </w:pPr>
            <w:r>
              <w:t>0.90</w:t>
            </w:r>
          </w:p>
        </w:tc>
        <w:tc>
          <w:tcPr>
            <w:tcW w:w="472" w:type="pct"/>
            <w:tcBorders>
              <w:top w:val="single" w:sz="8" w:space="0" w:color="000000"/>
              <w:left w:val="nil"/>
              <w:bottom w:val="nil"/>
              <w:right w:val="single" w:sz="8" w:space="0" w:color="000000"/>
            </w:tcBorders>
            <w:shd w:val="clear" w:color="auto" w:fill="auto"/>
          </w:tcPr>
          <w:p w:rsidR="00000000" w:rsidRDefault="00323237">
            <w:pPr>
              <w:autoSpaceDE/>
              <w:autoSpaceDN/>
              <w:adjustRightInd/>
              <w:jc w:val="right"/>
            </w:pPr>
            <w:r>
              <w:t>1.80</w:t>
            </w:r>
          </w:p>
        </w:tc>
        <w:tc>
          <w:tcPr>
            <w:tcW w:w="474" w:type="pct"/>
            <w:tcBorders>
              <w:top w:val="single" w:sz="8" w:space="0" w:color="000000"/>
              <w:left w:val="nil"/>
              <w:bottom w:val="nil"/>
              <w:right w:val="single" w:sz="4" w:space="0" w:color="auto"/>
            </w:tcBorders>
            <w:shd w:val="clear" w:color="auto" w:fill="auto"/>
          </w:tcPr>
          <w:p w:rsidR="00000000" w:rsidRDefault="00323237">
            <w:pPr>
              <w:autoSpaceDE/>
              <w:autoSpaceDN/>
              <w:adjustRightInd/>
              <w:jc w:val="right"/>
            </w:pPr>
            <w:r>
              <w:t>$871</w:t>
            </w:r>
          </w:p>
        </w:tc>
      </w:tr>
      <w:tr w:rsidR="00000000">
        <w:trPr>
          <w:trHeight w:val="375"/>
        </w:trPr>
        <w:tc>
          <w:tcPr>
            <w:tcW w:w="1217" w:type="pct"/>
            <w:tcBorders>
              <w:top w:val="nil"/>
              <w:left w:val="single" w:sz="4" w:space="0" w:color="auto"/>
              <w:bottom w:val="nil"/>
              <w:right w:val="nil"/>
            </w:tcBorders>
            <w:shd w:val="clear" w:color="auto" w:fill="auto"/>
          </w:tcPr>
          <w:p w:rsidR="00000000" w:rsidRDefault="00323237">
            <w:pPr>
              <w:autoSpaceDE/>
              <w:autoSpaceDN/>
              <w:adjustRightInd/>
              <w:jc w:val="right"/>
            </w:pPr>
            <w:r>
              <w:t xml:space="preserve">Initial </w:t>
            </w:r>
            <w:proofErr w:type="spellStart"/>
            <w:r>
              <w:t>Notification</w:t>
            </w:r>
            <w:r>
              <w:rPr>
                <w:vertAlign w:val="superscript"/>
              </w:rPr>
              <w:t>e</w:t>
            </w:r>
            <w:proofErr w:type="spellEnd"/>
          </w:p>
        </w:tc>
        <w:tc>
          <w:tcPr>
            <w:tcW w:w="413" w:type="pct"/>
            <w:tcBorders>
              <w:top w:val="single" w:sz="8" w:space="0" w:color="000000"/>
              <w:left w:val="single" w:sz="8" w:space="0" w:color="000000"/>
              <w:bottom w:val="nil"/>
              <w:right w:val="nil"/>
            </w:tcBorders>
            <w:shd w:val="clear" w:color="auto" w:fill="auto"/>
          </w:tcPr>
          <w:p w:rsidR="00000000" w:rsidRDefault="00323237">
            <w:pPr>
              <w:autoSpaceDE/>
              <w:autoSpaceDN/>
              <w:adjustRightInd/>
              <w:jc w:val="right"/>
            </w:pPr>
            <w:r>
              <w:t>0.5</w:t>
            </w:r>
          </w:p>
        </w:tc>
        <w:tc>
          <w:tcPr>
            <w:tcW w:w="480" w:type="pct"/>
            <w:tcBorders>
              <w:top w:val="single" w:sz="8" w:space="0" w:color="000000"/>
              <w:left w:val="single" w:sz="8" w:space="0" w:color="000000"/>
              <w:bottom w:val="nil"/>
              <w:right w:val="nil"/>
            </w:tcBorders>
            <w:shd w:val="clear" w:color="auto" w:fill="auto"/>
          </w:tcPr>
          <w:p w:rsidR="00000000" w:rsidRDefault="00323237">
            <w:pPr>
              <w:autoSpaceDE/>
              <w:autoSpaceDN/>
              <w:adjustRightInd/>
              <w:jc w:val="right"/>
            </w:pPr>
            <w:r>
              <w:t>1</w:t>
            </w:r>
          </w:p>
        </w:tc>
        <w:tc>
          <w:tcPr>
            <w:tcW w:w="431" w:type="pct"/>
            <w:tcBorders>
              <w:top w:val="single" w:sz="8" w:space="0" w:color="000000"/>
              <w:left w:val="single" w:sz="8" w:space="0" w:color="000000"/>
              <w:bottom w:val="nil"/>
              <w:right w:val="nil"/>
            </w:tcBorders>
            <w:shd w:val="clear" w:color="auto" w:fill="auto"/>
          </w:tcPr>
          <w:p w:rsidR="00000000" w:rsidRDefault="00323237">
            <w:pPr>
              <w:autoSpaceDE/>
              <w:autoSpaceDN/>
              <w:adjustRightInd/>
              <w:jc w:val="right"/>
            </w:pPr>
            <w:r>
              <w:t>0.5</w:t>
            </w:r>
          </w:p>
        </w:tc>
        <w:tc>
          <w:tcPr>
            <w:tcW w:w="448" w:type="pct"/>
            <w:tcBorders>
              <w:top w:val="single" w:sz="8" w:space="0" w:color="000000"/>
              <w:left w:val="single" w:sz="8" w:space="0" w:color="000000"/>
              <w:bottom w:val="nil"/>
              <w:right w:val="nil"/>
            </w:tcBorders>
            <w:shd w:val="clear" w:color="auto" w:fill="auto"/>
          </w:tcPr>
          <w:p w:rsidR="00000000" w:rsidRDefault="00323237">
            <w:pPr>
              <w:autoSpaceDE/>
              <w:autoSpaceDN/>
              <w:adjustRightInd/>
              <w:jc w:val="right"/>
            </w:pPr>
            <w:r>
              <w:t>160</w:t>
            </w:r>
          </w:p>
        </w:tc>
        <w:tc>
          <w:tcPr>
            <w:tcW w:w="652" w:type="pct"/>
            <w:tcBorders>
              <w:top w:val="single" w:sz="8" w:space="0" w:color="000000"/>
              <w:left w:val="single" w:sz="8" w:space="0" w:color="000000"/>
              <w:bottom w:val="nil"/>
              <w:right w:val="single" w:sz="8" w:space="0" w:color="000000"/>
            </w:tcBorders>
            <w:shd w:val="clear" w:color="auto" w:fill="auto"/>
          </w:tcPr>
          <w:p w:rsidR="00000000" w:rsidRDefault="00323237">
            <w:pPr>
              <w:autoSpaceDE/>
              <w:autoSpaceDN/>
              <w:adjustRightInd/>
              <w:jc w:val="right"/>
            </w:pPr>
            <w:r>
              <w:t>79.85</w:t>
            </w:r>
          </w:p>
        </w:tc>
        <w:tc>
          <w:tcPr>
            <w:tcW w:w="413" w:type="pct"/>
            <w:tcBorders>
              <w:top w:val="single" w:sz="8" w:space="0" w:color="000000"/>
              <w:left w:val="nil"/>
              <w:bottom w:val="nil"/>
              <w:right w:val="single" w:sz="8" w:space="0" w:color="000000"/>
            </w:tcBorders>
            <w:shd w:val="clear" w:color="auto" w:fill="auto"/>
          </w:tcPr>
          <w:p w:rsidR="00000000" w:rsidRDefault="00323237">
            <w:pPr>
              <w:autoSpaceDE/>
              <w:autoSpaceDN/>
              <w:adjustRightInd/>
              <w:jc w:val="right"/>
            </w:pPr>
            <w:r>
              <w:t>3.99</w:t>
            </w:r>
          </w:p>
        </w:tc>
        <w:tc>
          <w:tcPr>
            <w:tcW w:w="472" w:type="pct"/>
            <w:tcBorders>
              <w:top w:val="single" w:sz="8" w:space="0" w:color="000000"/>
              <w:left w:val="nil"/>
              <w:bottom w:val="nil"/>
              <w:right w:val="single" w:sz="8" w:space="0" w:color="000000"/>
            </w:tcBorders>
            <w:shd w:val="clear" w:color="auto" w:fill="auto"/>
          </w:tcPr>
          <w:p w:rsidR="00000000" w:rsidRDefault="00323237">
            <w:pPr>
              <w:autoSpaceDE/>
              <w:autoSpaceDN/>
              <w:adjustRightInd/>
              <w:jc w:val="right"/>
            </w:pPr>
            <w:r>
              <w:t>7.99</w:t>
            </w:r>
          </w:p>
        </w:tc>
        <w:tc>
          <w:tcPr>
            <w:tcW w:w="474" w:type="pct"/>
            <w:tcBorders>
              <w:top w:val="single" w:sz="8" w:space="0" w:color="000000"/>
              <w:left w:val="nil"/>
              <w:bottom w:val="nil"/>
              <w:right w:val="single" w:sz="4" w:space="0" w:color="auto"/>
            </w:tcBorders>
            <w:shd w:val="clear" w:color="auto" w:fill="auto"/>
          </w:tcPr>
          <w:p w:rsidR="00000000" w:rsidRDefault="00323237">
            <w:pPr>
              <w:autoSpaceDE/>
              <w:autoSpaceDN/>
              <w:adjustRightInd/>
              <w:jc w:val="right"/>
            </w:pPr>
            <w:r>
              <w:t>$3,866</w:t>
            </w:r>
          </w:p>
        </w:tc>
      </w:tr>
      <w:tr w:rsidR="00000000">
        <w:trPr>
          <w:trHeight w:val="375"/>
        </w:trPr>
        <w:tc>
          <w:tcPr>
            <w:tcW w:w="1217" w:type="pct"/>
            <w:tcBorders>
              <w:top w:val="single" w:sz="8" w:space="0" w:color="000000"/>
              <w:left w:val="single" w:sz="4" w:space="0" w:color="auto"/>
              <w:bottom w:val="nil"/>
              <w:right w:val="nil"/>
            </w:tcBorders>
            <w:shd w:val="clear" w:color="auto" w:fill="auto"/>
          </w:tcPr>
          <w:p w:rsidR="00000000" w:rsidRDefault="00323237">
            <w:pPr>
              <w:autoSpaceDE/>
              <w:autoSpaceDN/>
              <w:adjustRightInd/>
              <w:jc w:val="right"/>
            </w:pPr>
            <w:r>
              <w:t xml:space="preserve">Notification of compliance </w:t>
            </w:r>
            <w:proofErr w:type="spellStart"/>
            <w:r>
              <w:t>status</w:t>
            </w:r>
            <w:r>
              <w:rPr>
                <w:vertAlign w:val="superscript"/>
              </w:rPr>
              <w:t>f</w:t>
            </w:r>
            <w:proofErr w:type="spellEnd"/>
          </w:p>
        </w:tc>
        <w:tc>
          <w:tcPr>
            <w:tcW w:w="413" w:type="pct"/>
            <w:tcBorders>
              <w:top w:val="single" w:sz="8" w:space="0" w:color="000000"/>
              <w:left w:val="single" w:sz="8" w:space="0" w:color="000000"/>
              <w:bottom w:val="nil"/>
              <w:right w:val="nil"/>
            </w:tcBorders>
            <w:shd w:val="clear" w:color="auto" w:fill="auto"/>
          </w:tcPr>
          <w:p w:rsidR="00000000" w:rsidRDefault="00323237">
            <w:pPr>
              <w:autoSpaceDE/>
              <w:autoSpaceDN/>
              <w:adjustRightInd/>
              <w:jc w:val="right"/>
            </w:pPr>
            <w:r>
              <w:t>2.5</w:t>
            </w:r>
          </w:p>
        </w:tc>
        <w:tc>
          <w:tcPr>
            <w:tcW w:w="480" w:type="pct"/>
            <w:tcBorders>
              <w:top w:val="single" w:sz="8" w:space="0" w:color="000000"/>
              <w:left w:val="single" w:sz="8" w:space="0" w:color="000000"/>
              <w:bottom w:val="nil"/>
              <w:right w:val="nil"/>
            </w:tcBorders>
            <w:shd w:val="clear" w:color="auto" w:fill="auto"/>
          </w:tcPr>
          <w:p w:rsidR="00000000" w:rsidRDefault="00323237">
            <w:pPr>
              <w:autoSpaceDE/>
              <w:autoSpaceDN/>
              <w:adjustRightInd/>
              <w:jc w:val="right"/>
            </w:pPr>
            <w:r>
              <w:t>1</w:t>
            </w:r>
          </w:p>
        </w:tc>
        <w:tc>
          <w:tcPr>
            <w:tcW w:w="431" w:type="pct"/>
            <w:tcBorders>
              <w:top w:val="single" w:sz="8" w:space="0" w:color="000000"/>
              <w:left w:val="single" w:sz="8" w:space="0" w:color="000000"/>
              <w:bottom w:val="nil"/>
              <w:right w:val="nil"/>
            </w:tcBorders>
            <w:shd w:val="clear" w:color="auto" w:fill="auto"/>
          </w:tcPr>
          <w:p w:rsidR="00000000" w:rsidRDefault="00323237">
            <w:pPr>
              <w:autoSpaceDE/>
              <w:autoSpaceDN/>
              <w:adjustRightInd/>
              <w:jc w:val="right"/>
            </w:pPr>
            <w:r>
              <w:t>2.5</w:t>
            </w:r>
          </w:p>
        </w:tc>
        <w:tc>
          <w:tcPr>
            <w:tcW w:w="448" w:type="pct"/>
            <w:tcBorders>
              <w:top w:val="single" w:sz="8" w:space="0" w:color="000000"/>
              <w:left w:val="single" w:sz="8" w:space="0" w:color="000000"/>
              <w:bottom w:val="nil"/>
              <w:right w:val="nil"/>
            </w:tcBorders>
            <w:shd w:val="clear" w:color="auto" w:fill="auto"/>
          </w:tcPr>
          <w:p w:rsidR="00000000" w:rsidRDefault="00323237">
            <w:pPr>
              <w:autoSpaceDE/>
              <w:autoSpaceDN/>
              <w:adjustRightInd/>
              <w:jc w:val="right"/>
            </w:pPr>
            <w:r>
              <w:t>160</w:t>
            </w:r>
          </w:p>
        </w:tc>
        <w:tc>
          <w:tcPr>
            <w:tcW w:w="652" w:type="pct"/>
            <w:tcBorders>
              <w:top w:val="single" w:sz="8" w:space="0" w:color="000000"/>
              <w:left w:val="single" w:sz="8" w:space="0" w:color="000000"/>
              <w:bottom w:val="nil"/>
              <w:right w:val="single" w:sz="8" w:space="0" w:color="000000"/>
            </w:tcBorders>
            <w:shd w:val="clear" w:color="auto" w:fill="auto"/>
          </w:tcPr>
          <w:p w:rsidR="00000000" w:rsidRDefault="00323237">
            <w:pPr>
              <w:autoSpaceDE/>
              <w:autoSpaceDN/>
              <w:adjustRightInd/>
              <w:jc w:val="right"/>
            </w:pPr>
            <w:r>
              <w:t>399.27</w:t>
            </w:r>
          </w:p>
        </w:tc>
        <w:tc>
          <w:tcPr>
            <w:tcW w:w="413" w:type="pct"/>
            <w:tcBorders>
              <w:top w:val="single" w:sz="8" w:space="0" w:color="000000"/>
              <w:left w:val="nil"/>
              <w:bottom w:val="nil"/>
              <w:right w:val="single" w:sz="8" w:space="0" w:color="000000"/>
            </w:tcBorders>
            <w:shd w:val="clear" w:color="auto" w:fill="auto"/>
          </w:tcPr>
          <w:p w:rsidR="00000000" w:rsidRDefault="00323237">
            <w:pPr>
              <w:autoSpaceDE/>
              <w:autoSpaceDN/>
              <w:adjustRightInd/>
              <w:jc w:val="right"/>
            </w:pPr>
            <w:r>
              <w:t>19.96</w:t>
            </w:r>
          </w:p>
        </w:tc>
        <w:tc>
          <w:tcPr>
            <w:tcW w:w="472" w:type="pct"/>
            <w:tcBorders>
              <w:top w:val="single" w:sz="8" w:space="0" w:color="000000"/>
              <w:left w:val="nil"/>
              <w:bottom w:val="nil"/>
              <w:right w:val="single" w:sz="8" w:space="0" w:color="000000"/>
            </w:tcBorders>
            <w:shd w:val="clear" w:color="auto" w:fill="auto"/>
          </w:tcPr>
          <w:p w:rsidR="00000000" w:rsidRDefault="00323237">
            <w:pPr>
              <w:autoSpaceDE/>
              <w:autoSpaceDN/>
              <w:adjustRightInd/>
              <w:jc w:val="right"/>
            </w:pPr>
            <w:r>
              <w:t>39.93</w:t>
            </w:r>
          </w:p>
        </w:tc>
        <w:tc>
          <w:tcPr>
            <w:tcW w:w="474" w:type="pct"/>
            <w:tcBorders>
              <w:top w:val="single" w:sz="8" w:space="0" w:color="000000"/>
              <w:left w:val="nil"/>
              <w:bottom w:val="nil"/>
              <w:right w:val="single" w:sz="4" w:space="0" w:color="auto"/>
            </w:tcBorders>
            <w:shd w:val="clear" w:color="auto" w:fill="auto"/>
          </w:tcPr>
          <w:p w:rsidR="00000000" w:rsidRDefault="00323237">
            <w:pPr>
              <w:autoSpaceDE/>
              <w:autoSpaceDN/>
              <w:adjustRightInd/>
              <w:jc w:val="right"/>
            </w:pPr>
            <w:r>
              <w:t>$19,330</w:t>
            </w:r>
          </w:p>
        </w:tc>
      </w:tr>
      <w:tr w:rsidR="00000000">
        <w:trPr>
          <w:trHeight w:val="375"/>
        </w:trPr>
        <w:tc>
          <w:tcPr>
            <w:tcW w:w="1217" w:type="pct"/>
            <w:tcBorders>
              <w:top w:val="single" w:sz="8" w:space="0" w:color="000000"/>
              <w:left w:val="single" w:sz="4" w:space="0" w:color="auto"/>
              <w:bottom w:val="nil"/>
              <w:right w:val="nil"/>
            </w:tcBorders>
            <w:shd w:val="clear" w:color="auto" w:fill="auto"/>
          </w:tcPr>
          <w:p w:rsidR="00000000" w:rsidRDefault="00323237">
            <w:pPr>
              <w:autoSpaceDE/>
              <w:autoSpaceDN/>
              <w:adjustRightInd/>
              <w:jc w:val="right"/>
            </w:pPr>
            <w:r>
              <w:t xml:space="preserve">Notification of initial </w:t>
            </w:r>
            <w:proofErr w:type="spellStart"/>
            <w:r>
              <w:t>test</w:t>
            </w:r>
            <w:r>
              <w:rPr>
                <w:vertAlign w:val="superscript"/>
              </w:rPr>
              <w:t>c</w:t>
            </w:r>
            <w:proofErr w:type="spellEnd"/>
          </w:p>
        </w:tc>
        <w:tc>
          <w:tcPr>
            <w:tcW w:w="413" w:type="pct"/>
            <w:tcBorders>
              <w:top w:val="single" w:sz="8" w:space="0" w:color="000000"/>
              <w:left w:val="single" w:sz="8" w:space="0" w:color="000000"/>
              <w:bottom w:val="nil"/>
              <w:right w:val="nil"/>
            </w:tcBorders>
            <w:shd w:val="clear" w:color="auto" w:fill="auto"/>
          </w:tcPr>
          <w:p w:rsidR="00000000" w:rsidRDefault="00323237">
            <w:pPr>
              <w:autoSpaceDE/>
              <w:autoSpaceDN/>
              <w:adjustRightInd/>
              <w:jc w:val="right"/>
            </w:pPr>
            <w:r>
              <w:t>0</w:t>
            </w:r>
            <w:r>
              <w:t>.5</w:t>
            </w:r>
          </w:p>
        </w:tc>
        <w:tc>
          <w:tcPr>
            <w:tcW w:w="480" w:type="pct"/>
            <w:tcBorders>
              <w:top w:val="single" w:sz="8" w:space="0" w:color="000000"/>
              <w:left w:val="single" w:sz="8" w:space="0" w:color="000000"/>
              <w:bottom w:val="nil"/>
              <w:right w:val="nil"/>
            </w:tcBorders>
            <w:shd w:val="clear" w:color="auto" w:fill="auto"/>
          </w:tcPr>
          <w:p w:rsidR="00000000" w:rsidRDefault="00323237">
            <w:pPr>
              <w:autoSpaceDE/>
              <w:autoSpaceDN/>
              <w:adjustRightInd/>
              <w:jc w:val="right"/>
            </w:pPr>
            <w:r>
              <w:t>1</w:t>
            </w:r>
          </w:p>
        </w:tc>
        <w:tc>
          <w:tcPr>
            <w:tcW w:w="431" w:type="pct"/>
            <w:tcBorders>
              <w:top w:val="single" w:sz="8" w:space="0" w:color="000000"/>
              <w:left w:val="single" w:sz="8" w:space="0" w:color="000000"/>
              <w:bottom w:val="nil"/>
              <w:right w:val="nil"/>
            </w:tcBorders>
            <w:shd w:val="clear" w:color="auto" w:fill="auto"/>
          </w:tcPr>
          <w:p w:rsidR="00000000" w:rsidRDefault="00323237">
            <w:pPr>
              <w:autoSpaceDE/>
              <w:autoSpaceDN/>
              <w:adjustRightInd/>
              <w:jc w:val="right"/>
            </w:pPr>
            <w:r>
              <w:t>0.5</w:t>
            </w:r>
          </w:p>
        </w:tc>
        <w:tc>
          <w:tcPr>
            <w:tcW w:w="448" w:type="pct"/>
            <w:tcBorders>
              <w:top w:val="single" w:sz="8" w:space="0" w:color="000000"/>
              <w:left w:val="single" w:sz="8" w:space="0" w:color="000000"/>
              <w:bottom w:val="nil"/>
              <w:right w:val="nil"/>
            </w:tcBorders>
            <w:shd w:val="clear" w:color="auto" w:fill="auto"/>
          </w:tcPr>
          <w:p w:rsidR="00000000" w:rsidRDefault="00323237">
            <w:pPr>
              <w:autoSpaceDE/>
              <w:autoSpaceDN/>
              <w:adjustRightInd/>
              <w:jc w:val="right"/>
            </w:pPr>
            <w:r>
              <w:t>5.7</w:t>
            </w:r>
          </w:p>
        </w:tc>
        <w:tc>
          <w:tcPr>
            <w:tcW w:w="652" w:type="pct"/>
            <w:tcBorders>
              <w:top w:val="single" w:sz="8" w:space="0" w:color="000000"/>
              <w:left w:val="single" w:sz="8" w:space="0" w:color="000000"/>
              <w:bottom w:val="nil"/>
              <w:right w:val="single" w:sz="8" w:space="0" w:color="000000"/>
            </w:tcBorders>
            <w:shd w:val="clear" w:color="auto" w:fill="auto"/>
          </w:tcPr>
          <w:p w:rsidR="00000000" w:rsidRDefault="00323237">
            <w:pPr>
              <w:autoSpaceDE/>
              <w:autoSpaceDN/>
              <w:adjustRightInd/>
              <w:jc w:val="right"/>
            </w:pPr>
            <w:r>
              <w:t>2.83</w:t>
            </w:r>
          </w:p>
        </w:tc>
        <w:tc>
          <w:tcPr>
            <w:tcW w:w="413" w:type="pct"/>
            <w:tcBorders>
              <w:top w:val="single" w:sz="8" w:space="0" w:color="000000"/>
              <w:left w:val="nil"/>
              <w:bottom w:val="nil"/>
              <w:right w:val="single" w:sz="8" w:space="0" w:color="000000"/>
            </w:tcBorders>
            <w:shd w:val="clear" w:color="auto" w:fill="auto"/>
          </w:tcPr>
          <w:p w:rsidR="00000000" w:rsidRDefault="00323237">
            <w:pPr>
              <w:autoSpaceDE/>
              <w:autoSpaceDN/>
              <w:adjustRightInd/>
              <w:jc w:val="right"/>
            </w:pPr>
            <w:r>
              <w:t>0.14</w:t>
            </w:r>
          </w:p>
        </w:tc>
        <w:tc>
          <w:tcPr>
            <w:tcW w:w="472" w:type="pct"/>
            <w:tcBorders>
              <w:top w:val="single" w:sz="8" w:space="0" w:color="000000"/>
              <w:left w:val="nil"/>
              <w:bottom w:val="nil"/>
              <w:right w:val="single" w:sz="8" w:space="0" w:color="000000"/>
            </w:tcBorders>
            <w:shd w:val="clear" w:color="auto" w:fill="auto"/>
          </w:tcPr>
          <w:p w:rsidR="00000000" w:rsidRDefault="00323237">
            <w:pPr>
              <w:autoSpaceDE/>
              <w:autoSpaceDN/>
              <w:adjustRightInd/>
              <w:jc w:val="right"/>
            </w:pPr>
            <w:r>
              <w:t>0.28</w:t>
            </w:r>
          </w:p>
        </w:tc>
        <w:tc>
          <w:tcPr>
            <w:tcW w:w="474" w:type="pct"/>
            <w:tcBorders>
              <w:top w:val="single" w:sz="8" w:space="0" w:color="000000"/>
              <w:left w:val="nil"/>
              <w:bottom w:val="nil"/>
              <w:right w:val="single" w:sz="4" w:space="0" w:color="auto"/>
            </w:tcBorders>
            <w:shd w:val="clear" w:color="auto" w:fill="auto"/>
          </w:tcPr>
          <w:p w:rsidR="00000000" w:rsidRDefault="00323237">
            <w:pPr>
              <w:autoSpaceDE/>
              <w:autoSpaceDN/>
              <w:adjustRightInd/>
              <w:jc w:val="right"/>
            </w:pPr>
            <w:r>
              <w:t>$137</w:t>
            </w:r>
          </w:p>
        </w:tc>
      </w:tr>
      <w:tr w:rsidR="00000000">
        <w:trPr>
          <w:trHeight w:val="375"/>
        </w:trPr>
        <w:tc>
          <w:tcPr>
            <w:tcW w:w="1217" w:type="pct"/>
            <w:tcBorders>
              <w:top w:val="single" w:sz="8" w:space="0" w:color="000000"/>
              <w:left w:val="single" w:sz="4" w:space="0" w:color="auto"/>
              <w:bottom w:val="nil"/>
              <w:right w:val="nil"/>
            </w:tcBorders>
            <w:shd w:val="clear" w:color="auto" w:fill="auto"/>
          </w:tcPr>
          <w:p w:rsidR="00000000" w:rsidRDefault="00323237">
            <w:pPr>
              <w:autoSpaceDE/>
              <w:autoSpaceDN/>
              <w:adjustRightInd/>
              <w:jc w:val="right"/>
            </w:pPr>
            <w:r>
              <w:t xml:space="preserve">Review test </w:t>
            </w:r>
            <w:proofErr w:type="spellStart"/>
            <w:r>
              <w:t>results</w:t>
            </w:r>
            <w:r>
              <w:rPr>
                <w:vertAlign w:val="superscript"/>
              </w:rPr>
              <w:t>c</w:t>
            </w:r>
            <w:proofErr w:type="spellEnd"/>
          </w:p>
        </w:tc>
        <w:tc>
          <w:tcPr>
            <w:tcW w:w="413" w:type="pct"/>
            <w:tcBorders>
              <w:top w:val="single" w:sz="8" w:space="0" w:color="000000"/>
              <w:left w:val="single" w:sz="8" w:space="0" w:color="000000"/>
              <w:bottom w:val="nil"/>
              <w:right w:val="nil"/>
            </w:tcBorders>
            <w:shd w:val="clear" w:color="auto" w:fill="auto"/>
          </w:tcPr>
          <w:p w:rsidR="00000000" w:rsidRDefault="00323237">
            <w:pPr>
              <w:autoSpaceDE/>
              <w:autoSpaceDN/>
              <w:adjustRightInd/>
              <w:jc w:val="right"/>
            </w:pPr>
            <w:r>
              <w:t>8</w:t>
            </w:r>
          </w:p>
        </w:tc>
        <w:tc>
          <w:tcPr>
            <w:tcW w:w="480" w:type="pct"/>
            <w:tcBorders>
              <w:top w:val="single" w:sz="8" w:space="0" w:color="000000"/>
              <w:left w:val="single" w:sz="8" w:space="0" w:color="000000"/>
              <w:bottom w:val="nil"/>
              <w:right w:val="nil"/>
            </w:tcBorders>
            <w:shd w:val="clear" w:color="auto" w:fill="auto"/>
          </w:tcPr>
          <w:p w:rsidR="00000000" w:rsidRDefault="00323237">
            <w:pPr>
              <w:autoSpaceDE/>
              <w:autoSpaceDN/>
              <w:adjustRightInd/>
              <w:jc w:val="right"/>
            </w:pPr>
            <w:r>
              <w:t>1</w:t>
            </w:r>
          </w:p>
        </w:tc>
        <w:tc>
          <w:tcPr>
            <w:tcW w:w="431" w:type="pct"/>
            <w:tcBorders>
              <w:top w:val="single" w:sz="8" w:space="0" w:color="000000"/>
              <w:left w:val="single" w:sz="8" w:space="0" w:color="000000"/>
              <w:bottom w:val="nil"/>
              <w:right w:val="nil"/>
            </w:tcBorders>
            <w:shd w:val="clear" w:color="auto" w:fill="auto"/>
          </w:tcPr>
          <w:p w:rsidR="00000000" w:rsidRDefault="00323237">
            <w:pPr>
              <w:autoSpaceDE/>
              <w:autoSpaceDN/>
              <w:adjustRightInd/>
              <w:jc w:val="right"/>
            </w:pPr>
            <w:r>
              <w:t>8</w:t>
            </w:r>
          </w:p>
        </w:tc>
        <w:tc>
          <w:tcPr>
            <w:tcW w:w="448" w:type="pct"/>
            <w:tcBorders>
              <w:top w:val="single" w:sz="8" w:space="0" w:color="000000"/>
              <w:left w:val="single" w:sz="8" w:space="0" w:color="000000"/>
              <w:bottom w:val="nil"/>
              <w:right w:val="nil"/>
            </w:tcBorders>
            <w:shd w:val="clear" w:color="auto" w:fill="auto"/>
          </w:tcPr>
          <w:p w:rsidR="00000000" w:rsidRDefault="00323237">
            <w:pPr>
              <w:autoSpaceDE/>
              <w:autoSpaceDN/>
              <w:adjustRightInd/>
              <w:jc w:val="right"/>
            </w:pPr>
            <w:r>
              <w:t>5.7</w:t>
            </w:r>
          </w:p>
        </w:tc>
        <w:tc>
          <w:tcPr>
            <w:tcW w:w="652" w:type="pct"/>
            <w:tcBorders>
              <w:top w:val="single" w:sz="8" w:space="0" w:color="000000"/>
              <w:left w:val="single" w:sz="8" w:space="0" w:color="000000"/>
              <w:bottom w:val="nil"/>
              <w:right w:val="single" w:sz="8" w:space="0" w:color="000000"/>
            </w:tcBorders>
            <w:shd w:val="clear" w:color="auto" w:fill="auto"/>
          </w:tcPr>
          <w:p w:rsidR="00000000" w:rsidRDefault="00323237">
            <w:pPr>
              <w:autoSpaceDE/>
              <w:autoSpaceDN/>
              <w:adjustRightInd/>
              <w:jc w:val="right"/>
            </w:pPr>
            <w:r>
              <w:t>45.33</w:t>
            </w:r>
          </w:p>
        </w:tc>
        <w:tc>
          <w:tcPr>
            <w:tcW w:w="413" w:type="pct"/>
            <w:tcBorders>
              <w:top w:val="single" w:sz="8" w:space="0" w:color="000000"/>
              <w:left w:val="nil"/>
              <w:bottom w:val="nil"/>
              <w:right w:val="single" w:sz="8" w:space="0" w:color="000000"/>
            </w:tcBorders>
            <w:shd w:val="clear" w:color="auto" w:fill="auto"/>
          </w:tcPr>
          <w:p w:rsidR="00000000" w:rsidRDefault="00323237">
            <w:pPr>
              <w:autoSpaceDE/>
              <w:autoSpaceDN/>
              <w:adjustRightInd/>
              <w:jc w:val="right"/>
            </w:pPr>
            <w:r>
              <w:t>2.27</w:t>
            </w:r>
          </w:p>
        </w:tc>
        <w:tc>
          <w:tcPr>
            <w:tcW w:w="472" w:type="pct"/>
            <w:tcBorders>
              <w:top w:val="single" w:sz="8" w:space="0" w:color="000000"/>
              <w:left w:val="nil"/>
              <w:bottom w:val="nil"/>
              <w:right w:val="single" w:sz="8" w:space="0" w:color="000000"/>
            </w:tcBorders>
            <w:shd w:val="clear" w:color="auto" w:fill="auto"/>
          </w:tcPr>
          <w:p w:rsidR="00000000" w:rsidRDefault="00323237">
            <w:pPr>
              <w:autoSpaceDE/>
              <w:autoSpaceDN/>
              <w:adjustRightInd/>
              <w:jc w:val="right"/>
            </w:pPr>
            <w:r>
              <w:t>4.53</w:t>
            </w:r>
          </w:p>
        </w:tc>
        <w:tc>
          <w:tcPr>
            <w:tcW w:w="474" w:type="pct"/>
            <w:tcBorders>
              <w:top w:val="single" w:sz="8" w:space="0" w:color="000000"/>
              <w:left w:val="nil"/>
              <w:bottom w:val="nil"/>
              <w:right w:val="single" w:sz="4" w:space="0" w:color="auto"/>
            </w:tcBorders>
            <w:shd w:val="clear" w:color="auto" w:fill="auto"/>
          </w:tcPr>
          <w:p w:rsidR="00000000" w:rsidRDefault="00323237">
            <w:pPr>
              <w:autoSpaceDE/>
              <w:autoSpaceDN/>
              <w:adjustRightInd/>
              <w:jc w:val="right"/>
            </w:pPr>
            <w:r>
              <w:t>$2,195</w:t>
            </w:r>
          </w:p>
        </w:tc>
      </w:tr>
      <w:tr w:rsidR="00000000">
        <w:trPr>
          <w:trHeight w:val="375"/>
        </w:trPr>
        <w:tc>
          <w:tcPr>
            <w:tcW w:w="1217" w:type="pct"/>
            <w:tcBorders>
              <w:top w:val="single" w:sz="8" w:space="0" w:color="000000"/>
              <w:left w:val="single" w:sz="4" w:space="0" w:color="auto"/>
              <w:bottom w:val="nil"/>
              <w:right w:val="nil"/>
            </w:tcBorders>
            <w:shd w:val="clear" w:color="auto" w:fill="auto"/>
          </w:tcPr>
          <w:p w:rsidR="00000000" w:rsidRDefault="00323237">
            <w:pPr>
              <w:autoSpaceDE/>
              <w:autoSpaceDN/>
              <w:adjustRightInd/>
              <w:jc w:val="right"/>
            </w:pPr>
            <w:r>
              <w:t xml:space="preserve">Semiannual compliance </w:t>
            </w:r>
            <w:proofErr w:type="spellStart"/>
            <w:r>
              <w:t>reports</w:t>
            </w:r>
            <w:r>
              <w:rPr>
                <w:vertAlign w:val="superscript"/>
              </w:rPr>
              <w:t>g</w:t>
            </w:r>
            <w:proofErr w:type="spellEnd"/>
          </w:p>
        </w:tc>
        <w:tc>
          <w:tcPr>
            <w:tcW w:w="413" w:type="pct"/>
            <w:tcBorders>
              <w:top w:val="single" w:sz="8" w:space="0" w:color="000000"/>
              <w:left w:val="single" w:sz="8" w:space="0" w:color="000000"/>
              <w:bottom w:val="nil"/>
              <w:right w:val="nil"/>
            </w:tcBorders>
            <w:shd w:val="clear" w:color="auto" w:fill="auto"/>
          </w:tcPr>
          <w:p w:rsidR="00000000" w:rsidRDefault="00323237">
            <w:pPr>
              <w:autoSpaceDE/>
              <w:autoSpaceDN/>
              <w:adjustRightInd/>
              <w:jc w:val="right"/>
            </w:pPr>
            <w:r>
              <w:t>2</w:t>
            </w:r>
          </w:p>
        </w:tc>
        <w:tc>
          <w:tcPr>
            <w:tcW w:w="480" w:type="pct"/>
            <w:tcBorders>
              <w:top w:val="single" w:sz="8" w:space="0" w:color="000000"/>
              <w:left w:val="single" w:sz="8" w:space="0" w:color="000000"/>
              <w:bottom w:val="nil"/>
              <w:right w:val="nil"/>
            </w:tcBorders>
            <w:shd w:val="clear" w:color="auto" w:fill="auto"/>
          </w:tcPr>
          <w:p w:rsidR="00000000" w:rsidRDefault="00323237">
            <w:pPr>
              <w:autoSpaceDE/>
              <w:autoSpaceDN/>
              <w:adjustRightInd/>
              <w:jc w:val="right"/>
            </w:pPr>
            <w:r>
              <w:t>1</w:t>
            </w:r>
          </w:p>
        </w:tc>
        <w:tc>
          <w:tcPr>
            <w:tcW w:w="431" w:type="pct"/>
            <w:tcBorders>
              <w:top w:val="single" w:sz="8" w:space="0" w:color="000000"/>
              <w:left w:val="single" w:sz="8" w:space="0" w:color="000000"/>
              <w:bottom w:val="nil"/>
              <w:right w:val="nil"/>
            </w:tcBorders>
            <w:shd w:val="clear" w:color="auto" w:fill="auto"/>
          </w:tcPr>
          <w:p w:rsidR="00000000" w:rsidRDefault="00323237">
            <w:pPr>
              <w:autoSpaceDE/>
              <w:autoSpaceDN/>
              <w:adjustRightInd/>
              <w:jc w:val="right"/>
            </w:pPr>
            <w:r>
              <w:t>2</w:t>
            </w:r>
          </w:p>
        </w:tc>
        <w:tc>
          <w:tcPr>
            <w:tcW w:w="448" w:type="pct"/>
            <w:tcBorders>
              <w:top w:val="single" w:sz="8" w:space="0" w:color="000000"/>
              <w:left w:val="single" w:sz="8" w:space="0" w:color="000000"/>
              <w:bottom w:val="nil"/>
              <w:right w:val="nil"/>
            </w:tcBorders>
            <w:shd w:val="clear" w:color="auto" w:fill="auto"/>
          </w:tcPr>
          <w:p w:rsidR="00000000" w:rsidRDefault="00323237">
            <w:pPr>
              <w:autoSpaceDE/>
              <w:autoSpaceDN/>
              <w:adjustRightInd/>
              <w:jc w:val="right"/>
            </w:pPr>
            <w:r>
              <w:t>7.2</w:t>
            </w:r>
          </w:p>
        </w:tc>
        <w:tc>
          <w:tcPr>
            <w:tcW w:w="652" w:type="pct"/>
            <w:tcBorders>
              <w:top w:val="single" w:sz="8" w:space="0" w:color="000000"/>
              <w:left w:val="single" w:sz="8" w:space="0" w:color="000000"/>
              <w:bottom w:val="nil"/>
              <w:right w:val="single" w:sz="8" w:space="0" w:color="000000"/>
            </w:tcBorders>
            <w:shd w:val="clear" w:color="auto" w:fill="auto"/>
          </w:tcPr>
          <w:p w:rsidR="00000000" w:rsidRDefault="00323237">
            <w:pPr>
              <w:autoSpaceDE/>
              <w:autoSpaceDN/>
              <w:adjustRightInd/>
              <w:jc w:val="right"/>
            </w:pPr>
            <w:r>
              <w:t>14.4</w:t>
            </w:r>
          </w:p>
        </w:tc>
        <w:tc>
          <w:tcPr>
            <w:tcW w:w="413" w:type="pct"/>
            <w:tcBorders>
              <w:top w:val="single" w:sz="8" w:space="0" w:color="000000"/>
              <w:left w:val="nil"/>
              <w:bottom w:val="nil"/>
              <w:right w:val="single" w:sz="8" w:space="0" w:color="000000"/>
            </w:tcBorders>
            <w:shd w:val="clear" w:color="auto" w:fill="auto"/>
          </w:tcPr>
          <w:p w:rsidR="00000000" w:rsidRDefault="00323237">
            <w:pPr>
              <w:autoSpaceDE/>
              <w:autoSpaceDN/>
              <w:adjustRightInd/>
              <w:jc w:val="right"/>
            </w:pPr>
            <w:r>
              <w:t>0.72</w:t>
            </w:r>
          </w:p>
        </w:tc>
        <w:tc>
          <w:tcPr>
            <w:tcW w:w="472" w:type="pct"/>
            <w:tcBorders>
              <w:top w:val="single" w:sz="8" w:space="0" w:color="000000"/>
              <w:left w:val="nil"/>
              <w:bottom w:val="nil"/>
              <w:right w:val="single" w:sz="8" w:space="0" w:color="000000"/>
            </w:tcBorders>
            <w:shd w:val="clear" w:color="auto" w:fill="auto"/>
          </w:tcPr>
          <w:p w:rsidR="00000000" w:rsidRDefault="00323237">
            <w:pPr>
              <w:autoSpaceDE/>
              <w:autoSpaceDN/>
              <w:adjustRightInd/>
              <w:jc w:val="right"/>
            </w:pPr>
            <w:r>
              <w:t>1.44</w:t>
            </w:r>
          </w:p>
        </w:tc>
        <w:tc>
          <w:tcPr>
            <w:tcW w:w="474" w:type="pct"/>
            <w:tcBorders>
              <w:top w:val="single" w:sz="8" w:space="0" w:color="000000"/>
              <w:left w:val="nil"/>
              <w:bottom w:val="nil"/>
              <w:right w:val="single" w:sz="4" w:space="0" w:color="auto"/>
            </w:tcBorders>
            <w:shd w:val="clear" w:color="auto" w:fill="auto"/>
          </w:tcPr>
          <w:p w:rsidR="00000000" w:rsidRDefault="00323237">
            <w:pPr>
              <w:autoSpaceDE/>
              <w:autoSpaceDN/>
              <w:adjustRightInd/>
              <w:jc w:val="right"/>
            </w:pPr>
            <w:r>
              <w:t>$697</w:t>
            </w:r>
          </w:p>
        </w:tc>
      </w:tr>
      <w:tr w:rsidR="00000000">
        <w:trPr>
          <w:trHeight w:val="315"/>
        </w:trPr>
        <w:tc>
          <w:tcPr>
            <w:tcW w:w="1217" w:type="pct"/>
            <w:tcBorders>
              <w:top w:val="single" w:sz="8" w:space="0" w:color="000000"/>
              <w:left w:val="single" w:sz="4" w:space="0" w:color="auto"/>
              <w:bottom w:val="single" w:sz="8" w:space="0" w:color="000000"/>
              <w:right w:val="nil"/>
            </w:tcBorders>
            <w:shd w:val="clear" w:color="auto" w:fill="auto"/>
          </w:tcPr>
          <w:p w:rsidR="00000000" w:rsidRDefault="00323237">
            <w:pPr>
              <w:autoSpaceDE/>
              <w:autoSpaceDN/>
              <w:adjustRightInd/>
            </w:pPr>
            <w:r>
              <w:t>Total Annual Hours</w:t>
            </w:r>
          </w:p>
        </w:tc>
        <w:tc>
          <w:tcPr>
            <w:tcW w:w="413" w:type="pct"/>
            <w:tcBorders>
              <w:top w:val="single" w:sz="8" w:space="0" w:color="000000"/>
              <w:left w:val="single" w:sz="8" w:space="0" w:color="000000"/>
              <w:bottom w:val="single" w:sz="8" w:space="0" w:color="000000"/>
              <w:right w:val="nil"/>
            </w:tcBorders>
            <w:shd w:val="clear" w:color="auto" w:fill="auto"/>
          </w:tcPr>
          <w:p w:rsidR="00000000" w:rsidRDefault="00323237">
            <w:pPr>
              <w:autoSpaceDE/>
              <w:autoSpaceDN/>
              <w:adjustRightInd/>
            </w:pPr>
            <w:r>
              <w:t> </w:t>
            </w:r>
          </w:p>
        </w:tc>
        <w:tc>
          <w:tcPr>
            <w:tcW w:w="480" w:type="pct"/>
            <w:tcBorders>
              <w:top w:val="single" w:sz="8" w:space="0" w:color="000000"/>
              <w:left w:val="single" w:sz="8" w:space="0" w:color="000000"/>
              <w:bottom w:val="single" w:sz="8" w:space="0" w:color="000000"/>
              <w:right w:val="nil"/>
            </w:tcBorders>
            <w:shd w:val="clear" w:color="auto" w:fill="auto"/>
          </w:tcPr>
          <w:p w:rsidR="00000000" w:rsidRDefault="00323237">
            <w:pPr>
              <w:autoSpaceDE/>
              <w:autoSpaceDN/>
              <w:adjustRightInd/>
            </w:pPr>
            <w:r>
              <w:t> </w:t>
            </w:r>
          </w:p>
        </w:tc>
        <w:tc>
          <w:tcPr>
            <w:tcW w:w="431" w:type="pct"/>
            <w:tcBorders>
              <w:top w:val="single" w:sz="8" w:space="0" w:color="000000"/>
              <w:left w:val="single" w:sz="8" w:space="0" w:color="000000"/>
              <w:bottom w:val="single" w:sz="8" w:space="0" w:color="000000"/>
              <w:right w:val="nil"/>
            </w:tcBorders>
            <w:shd w:val="clear" w:color="auto" w:fill="auto"/>
          </w:tcPr>
          <w:p w:rsidR="00000000" w:rsidRDefault="00323237">
            <w:pPr>
              <w:autoSpaceDE/>
              <w:autoSpaceDN/>
              <w:adjustRightInd/>
            </w:pPr>
            <w:r>
              <w:t> </w:t>
            </w:r>
          </w:p>
        </w:tc>
        <w:tc>
          <w:tcPr>
            <w:tcW w:w="448" w:type="pct"/>
            <w:tcBorders>
              <w:top w:val="single" w:sz="8" w:space="0" w:color="000000"/>
              <w:left w:val="single" w:sz="8" w:space="0" w:color="000000"/>
              <w:bottom w:val="single" w:sz="8" w:space="0" w:color="000000"/>
              <w:right w:val="nil"/>
            </w:tcBorders>
            <w:shd w:val="clear" w:color="auto" w:fill="auto"/>
          </w:tcPr>
          <w:p w:rsidR="00000000" w:rsidRDefault="00323237">
            <w:pPr>
              <w:autoSpaceDE/>
              <w:autoSpaceDN/>
              <w:adjustRightInd/>
              <w:jc w:val="right"/>
            </w:pPr>
            <w:r>
              <w:t> </w:t>
            </w:r>
          </w:p>
        </w:tc>
        <w:tc>
          <w:tcPr>
            <w:tcW w:w="652" w:type="pct"/>
            <w:tcBorders>
              <w:top w:val="single" w:sz="8" w:space="0" w:color="000000"/>
              <w:left w:val="single" w:sz="8" w:space="0" w:color="000000"/>
              <w:bottom w:val="single" w:sz="8" w:space="0" w:color="000000"/>
              <w:right w:val="single" w:sz="8" w:space="0" w:color="000000"/>
            </w:tcBorders>
            <w:shd w:val="clear" w:color="auto" w:fill="auto"/>
          </w:tcPr>
          <w:p w:rsidR="00000000" w:rsidRDefault="00323237">
            <w:pPr>
              <w:autoSpaceDE/>
              <w:autoSpaceDN/>
              <w:adjustRightInd/>
              <w:jc w:val="right"/>
            </w:pPr>
            <w:r>
              <w:t>722.89</w:t>
            </w:r>
          </w:p>
        </w:tc>
        <w:tc>
          <w:tcPr>
            <w:tcW w:w="413" w:type="pct"/>
            <w:tcBorders>
              <w:top w:val="single" w:sz="8" w:space="0" w:color="000000"/>
              <w:left w:val="nil"/>
              <w:bottom w:val="single" w:sz="8" w:space="0" w:color="000000"/>
              <w:right w:val="single" w:sz="8" w:space="0" w:color="000000"/>
            </w:tcBorders>
            <w:shd w:val="clear" w:color="auto" w:fill="auto"/>
          </w:tcPr>
          <w:p w:rsidR="00000000" w:rsidRDefault="00323237">
            <w:pPr>
              <w:autoSpaceDE/>
              <w:autoSpaceDN/>
              <w:adjustRightInd/>
              <w:jc w:val="right"/>
            </w:pPr>
            <w:r>
              <w:t>36.14</w:t>
            </w:r>
          </w:p>
        </w:tc>
        <w:tc>
          <w:tcPr>
            <w:tcW w:w="472" w:type="pct"/>
            <w:tcBorders>
              <w:top w:val="single" w:sz="8" w:space="0" w:color="000000"/>
              <w:left w:val="nil"/>
              <w:bottom w:val="single" w:sz="8" w:space="0" w:color="000000"/>
              <w:right w:val="single" w:sz="8" w:space="0" w:color="000000"/>
            </w:tcBorders>
            <w:shd w:val="clear" w:color="auto" w:fill="auto"/>
          </w:tcPr>
          <w:p w:rsidR="00000000" w:rsidRDefault="00323237">
            <w:pPr>
              <w:autoSpaceDE/>
              <w:autoSpaceDN/>
              <w:adjustRightInd/>
              <w:jc w:val="right"/>
            </w:pPr>
            <w:r>
              <w:t>72.29</w:t>
            </w:r>
          </w:p>
        </w:tc>
        <w:tc>
          <w:tcPr>
            <w:tcW w:w="474" w:type="pct"/>
            <w:tcBorders>
              <w:top w:val="single" w:sz="8" w:space="0" w:color="000000"/>
              <w:left w:val="nil"/>
              <w:bottom w:val="single" w:sz="8" w:space="0" w:color="000000"/>
              <w:right w:val="single" w:sz="4" w:space="0" w:color="auto"/>
            </w:tcBorders>
            <w:shd w:val="clear" w:color="auto" w:fill="auto"/>
          </w:tcPr>
          <w:p w:rsidR="00000000" w:rsidRDefault="00323237">
            <w:pPr>
              <w:autoSpaceDE/>
              <w:autoSpaceDN/>
              <w:adjustRightInd/>
              <w:jc w:val="right"/>
            </w:pPr>
            <w:r>
              <w:t>$34,997</w:t>
            </w:r>
          </w:p>
        </w:tc>
      </w:tr>
      <w:tr w:rsidR="00000000">
        <w:trPr>
          <w:trHeight w:val="300"/>
        </w:trPr>
        <w:tc>
          <w:tcPr>
            <w:tcW w:w="1217" w:type="pct"/>
            <w:tcBorders>
              <w:top w:val="nil"/>
              <w:left w:val="single" w:sz="4" w:space="0" w:color="auto"/>
              <w:bottom w:val="nil"/>
              <w:right w:val="nil"/>
            </w:tcBorders>
            <w:shd w:val="clear" w:color="auto" w:fill="auto"/>
          </w:tcPr>
          <w:p w:rsidR="00000000" w:rsidRDefault="00323237">
            <w:pPr>
              <w:autoSpaceDE/>
              <w:autoSpaceDN/>
              <w:adjustRightInd/>
            </w:pPr>
            <w:r>
              <w:t> </w:t>
            </w:r>
          </w:p>
        </w:tc>
        <w:tc>
          <w:tcPr>
            <w:tcW w:w="413" w:type="pct"/>
            <w:tcBorders>
              <w:top w:val="nil"/>
              <w:left w:val="single" w:sz="8" w:space="0" w:color="000000"/>
              <w:bottom w:val="nil"/>
              <w:right w:val="nil"/>
            </w:tcBorders>
            <w:shd w:val="clear" w:color="auto" w:fill="auto"/>
          </w:tcPr>
          <w:p w:rsidR="00000000" w:rsidRDefault="00323237">
            <w:pPr>
              <w:autoSpaceDE/>
              <w:autoSpaceDN/>
              <w:adjustRightInd/>
            </w:pPr>
            <w:r>
              <w:t> </w:t>
            </w:r>
          </w:p>
        </w:tc>
        <w:tc>
          <w:tcPr>
            <w:tcW w:w="480" w:type="pct"/>
            <w:tcBorders>
              <w:top w:val="nil"/>
              <w:left w:val="single" w:sz="8" w:space="0" w:color="000000"/>
              <w:bottom w:val="nil"/>
              <w:right w:val="nil"/>
            </w:tcBorders>
            <w:shd w:val="clear" w:color="auto" w:fill="auto"/>
          </w:tcPr>
          <w:p w:rsidR="00000000" w:rsidRDefault="00323237">
            <w:pPr>
              <w:autoSpaceDE/>
              <w:autoSpaceDN/>
              <w:adjustRightInd/>
            </w:pPr>
            <w:r>
              <w:t> </w:t>
            </w:r>
          </w:p>
        </w:tc>
        <w:tc>
          <w:tcPr>
            <w:tcW w:w="431" w:type="pct"/>
            <w:tcBorders>
              <w:top w:val="nil"/>
              <w:left w:val="single" w:sz="8" w:space="0" w:color="000000"/>
              <w:bottom w:val="nil"/>
              <w:right w:val="nil"/>
            </w:tcBorders>
            <w:shd w:val="clear" w:color="auto" w:fill="auto"/>
          </w:tcPr>
          <w:p w:rsidR="00000000" w:rsidRDefault="00323237">
            <w:pPr>
              <w:autoSpaceDE/>
              <w:autoSpaceDN/>
              <w:adjustRightInd/>
            </w:pPr>
            <w:r>
              <w:t> </w:t>
            </w:r>
          </w:p>
        </w:tc>
        <w:tc>
          <w:tcPr>
            <w:tcW w:w="448" w:type="pct"/>
            <w:tcBorders>
              <w:top w:val="nil"/>
              <w:left w:val="single" w:sz="8" w:space="0" w:color="000000"/>
              <w:bottom w:val="nil"/>
              <w:right w:val="nil"/>
            </w:tcBorders>
            <w:shd w:val="clear" w:color="auto" w:fill="auto"/>
          </w:tcPr>
          <w:p w:rsidR="00000000" w:rsidRDefault="00323237">
            <w:pPr>
              <w:autoSpaceDE/>
              <w:autoSpaceDN/>
              <w:adjustRightInd/>
            </w:pPr>
            <w:r>
              <w:t> </w:t>
            </w:r>
          </w:p>
        </w:tc>
        <w:tc>
          <w:tcPr>
            <w:tcW w:w="652" w:type="pct"/>
            <w:tcBorders>
              <w:top w:val="nil"/>
              <w:left w:val="single" w:sz="8" w:space="0" w:color="000000"/>
              <w:bottom w:val="nil"/>
              <w:right w:val="single" w:sz="8" w:space="0" w:color="000000"/>
            </w:tcBorders>
            <w:shd w:val="clear" w:color="auto" w:fill="auto"/>
          </w:tcPr>
          <w:p w:rsidR="00000000" w:rsidRDefault="00323237">
            <w:pPr>
              <w:autoSpaceDE/>
              <w:autoSpaceDN/>
              <w:adjustRightInd/>
            </w:pPr>
            <w:r>
              <w:t> </w:t>
            </w:r>
          </w:p>
        </w:tc>
        <w:tc>
          <w:tcPr>
            <w:tcW w:w="413" w:type="pct"/>
            <w:tcBorders>
              <w:top w:val="nil"/>
              <w:left w:val="nil"/>
              <w:bottom w:val="nil"/>
              <w:right w:val="single" w:sz="8" w:space="0" w:color="000000"/>
            </w:tcBorders>
            <w:shd w:val="clear" w:color="auto" w:fill="auto"/>
          </w:tcPr>
          <w:p w:rsidR="00000000" w:rsidRDefault="00323237">
            <w:pPr>
              <w:autoSpaceDE/>
              <w:autoSpaceDN/>
              <w:adjustRightInd/>
              <w:jc w:val="right"/>
            </w:pPr>
            <w:r>
              <w:t>831.32</w:t>
            </w:r>
          </w:p>
        </w:tc>
        <w:tc>
          <w:tcPr>
            <w:tcW w:w="472" w:type="pct"/>
            <w:tcBorders>
              <w:top w:val="nil"/>
              <w:left w:val="nil"/>
              <w:bottom w:val="nil"/>
              <w:right w:val="single" w:sz="8" w:space="0" w:color="000000"/>
            </w:tcBorders>
            <w:shd w:val="clear" w:color="auto" w:fill="auto"/>
          </w:tcPr>
          <w:p w:rsidR="00000000" w:rsidRDefault="00323237">
            <w:pPr>
              <w:autoSpaceDE/>
              <w:autoSpaceDN/>
              <w:adjustRightInd/>
            </w:pPr>
            <w:r>
              <w:t>hours</w:t>
            </w:r>
          </w:p>
        </w:tc>
        <w:tc>
          <w:tcPr>
            <w:tcW w:w="474" w:type="pct"/>
            <w:tcBorders>
              <w:top w:val="nil"/>
              <w:left w:val="nil"/>
              <w:bottom w:val="nil"/>
              <w:right w:val="single" w:sz="4" w:space="0" w:color="auto"/>
            </w:tcBorders>
            <w:shd w:val="clear" w:color="auto" w:fill="auto"/>
          </w:tcPr>
          <w:p w:rsidR="00000000" w:rsidRDefault="00323237">
            <w:pPr>
              <w:autoSpaceDE/>
              <w:autoSpaceDN/>
              <w:adjustRightInd/>
            </w:pPr>
            <w:r>
              <w:t> </w:t>
            </w:r>
          </w:p>
        </w:tc>
      </w:tr>
      <w:tr w:rsidR="00000000">
        <w:trPr>
          <w:trHeight w:val="360"/>
        </w:trPr>
        <w:tc>
          <w:tcPr>
            <w:tcW w:w="1217" w:type="pct"/>
            <w:tcBorders>
              <w:top w:val="single" w:sz="4" w:space="0" w:color="auto"/>
              <w:left w:val="single" w:sz="4" w:space="0" w:color="auto"/>
              <w:bottom w:val="single" w:sz="4" w:space="0" w:color="auto"/>
              <w:right w:val="single" w:sz="4" w:space="0" w:color="auto"/>
            </w:tcBorders>
            <w:shd w:val="clear" w:color="auto" w:fill="auto"/>
          </w:tcPr>
          <w:p w:rsidR="00000000" w:rsidRDefault="00323237">
            <w:pPr>
              <w:autoSpaceDE/>
              <w:autoSpaceDN/>
              <w:adjustRightInd/>
            </w:pPr>
            <w:r>
              <w:t xml:space="preserve">Travel </w:t>
            </w:r>
            <w:proofErr w:type="spellStart"/>
            <w:r>
              <w:t>Expenses</w:t>
            </w:r>
            <w:r>
              <w:rPr>
                <w:vertAlign w:val="superscript"/>
              </w:rPr>
              <w:t>h</w:t>
            </w:r>
            <w:proofErr w:type="spellEnd"/>
          </w:p>
        </w:tc>
        <w:tc>
          <w:tcPr>
            <w:tcW w:w="413" w:type="pct"/>
            <w:tcBorders>
              <w:top w:val="single" w:sz="4" w:space="0" w:color="auto"/>
              <w:left w:val="nil"/>
              <w:bottom w:val="single" w:sz="4" w:space="0" w:color="auto"/>
              <w:right w:val="nil"/>
            </w:tcBorders>
            <w:shd w:val="clear" w:color="auto" w:fill="auto"/>
          </w:tcPr>
          <w:p w:rsidR="00000000" w:rsidRDefault="00323237">
            <w:pPr>
              <w:autoSpaceDE/>
              <w:autoSpaceDN/>
              <w:adjustRightInd/>
            </w:pPr>
            <w:r>
              <w:t> </w:t>
            </w:r>
          </w:p>
        </w:tc>
        <w:tc>
          <w:tcPr>
            <w:tcW w:w="480" w:type="pct"/>
            <w:tcBorders>
              <w:top w:val="single" w:sz="4" w:space="0" w:color="auto"/>
              <w:left w:val="nil"/>
              <w:bottom w:val="single" w:sz="4" w:space="0" w:color="auto"/>
              <w:right w:val="nil"/>
            </w:tcBorders>
            <w:shd w:val="clear" w:color="auto" w:fill="auto"/>
          </w:tcPr>
          <w:p w:rsidR="00000000" w:rsidRDefault="00323237">
            <w:pPr>
              <w:autoSpaceDE/>
              <w:autoSpaceDN/>
              <w:adjustRightInd/>
            </w:pPr>
            <w:r>
              <w:t> </w:t>
            </w:r>
          </w:p>
        </w:tc>
        <w:tc>
          <w:tcPr>
            <w:tcW w:w="431" w:type="pct"/>
            <w:tcBorders>
              <w:top w:val="single" w:sz="4" w:space="0" w:color="auto"/>
              <w:left w:val="nil"/>
              <w:bottom w:val="single" w:sz="4" w:space="0" w:color="auto"/>
              <w:right w:val="nil"/>
            </w:tcBorders>
            <w:shd w:val="clear" w:color="auto" w:fill="auto"/>
          </w:tcPr>
          <w:p w:rsidR="00000000" w:rsidRDefault="00323237">
            <w:pPr>
              <w:autoSpaceDE/>
              <w:autoSpaceDN/>
              <w:adjustRightInd/>
            </w:pPr>
            <w:r>
              <w:t> </w:t>
            </w:r>
          </w:p>
        </w:tc>
        <w:tc>
          <w:tcPr>
            <w:tcW w:w="448" w:type="pct"/>
            <w:tcBorders>
              <w:top w:val="single" w:sz="4" w:space="0" w:color="auto"/>
              <w:left w:val="nil"/>
              <w:bottom w:val="single" w:sz="4" w:space="0" w:color="auto"/>
              <w:right w:val="nil"/>
            </w:tcBorders>
            <w:shd w:val="clear" w:color="auto" w:fill="auto"/>
          </w:tcPr>
          <w:p w:rsidR="00000000" w:rsidRDefault="00323237">
            <w:pPr>
              <w:autoSpaceDE/>
              <w:autoSpaceDN/>
              <w:adjustRightInd/>
            </w:pPr>
            <w:r>
              <w:t> </w:t>
            </w:r>
          </w:p>
        </w:tc>
        <w:tc>
          <w:tcPr>
            <w:tcW w:w="652" w:type="pct"/>
            <w:tcBorders>
              <w:top w:val="single" w:sz="4" w:space="0" w:color="auto"/>
              <w:left w:val="nil"/>
              <w:bottom w:val="single" w:sz="4" w:space="0" w:color="auto"/>
              <w:right w:val="nil"/>
            </w:tcBorders>
            <w:shd w:val="clear" w:color="auto" w:fill="auto"/>
          </w:tcPr>
          <w:p w:rsidR="00000000" w:rsidRDefault="00323237">
            <w:pPr>
              <w:autoSpaceDE/>
              <w:autoSpaceDN/>
              <w:adjustRightInd/>
            </w:pPr>
            <w:r>
              <w:t> </w:t>
            </w:r>
          </w:p>
        </w:tc>
        <w:tc>
          <w:tcPr>
            <w:tcW w:w="413" w:type="pct"/>
            <w:tcBorders>
              <w:top w:val="single" w:sz="4" w:space="0" w:color="auto"/>
              <w:left w:val="nil"/>
              <w:bottom w:val="single" w:sz="4" w:space="0" w:color="auto"/>
              <w:right w:val="nil"/>
            </w:tcBorders>
            <w:shd w:val="clear" w:color="auto" w:fill="auto"/>
          </w:tcPr>
          <w:p w:rsidR="00000000" w:rsidRDefault="00323237">
            <w:pPr>
              <w:autoSpaceDE/>
              <w:autoSpaceDN/>
              <w:adjustRightInd/>
            </w:pPr>
            <w:r>
              <w:t> </w:t>
            </w:r>
          </w:p>
        </w:tc>
        <w:tc>
          <w:tcPr>
            <w:tcW w:w="472" w:type="pct"/>
            <w:tcBorders>
              <w:top w:val="single" w:sz="4" w:space="0" w:color="auto"/>
              <w:left w:val="nil"/>
              <w:bottom w:val="single" w:sz="4" w:space="0" w:color="auto"/>
              <w:right w:val="single" w:sz="4" w:space="0" w:color="auto"/>
            </w:tcBorders>
            <w:shd w:val="clear" w:color="auto" w:fill="auto"/>
          </w:tcPr>
          <w:p w:rsidR="00000000" w:rsidRDefault="00323237">
            <w:pPr>
              <w:autoSpaceDE/>
              <w:autoSpaceDN/>
              <w:adjustRightInd/>
            </w:pPr>
            <w:r>
              <w:t> </w:t>
            </w:r>
          </w:p>
        </w:tc>
        <w:tc>
          <w:tcPr>
            <w:tcW w:w="474" w:type="pct"/>
            <w:tcBorders>
              <w:top w:val="single" w:sz="4" w:space="0" w:color="auto"/>
              <w:left w:val="nil"/>
              <w:bottom w:val="single" w:sz="4" w:space="0" w:color="auto"/>
              <w:right w:val="single" w:sz="4" w:space="0" w:color="auto"/>
            </w:tcBorders>
            <w:shd w:val="clear" w:color="auto" w:fill="auto"/>
          </w:tcPr>
          <w:p w:rsidR="00000000" w:rsidRDefault="00323237">
            <w:pPr>
              <w:autoSpaceDE/>
              <w:autoSpaceDN/>
              <w:adjustRightInd/>
              <w:jc w:val="right"/>
            </w:pPr>
            <w:r>
              <w:t>$4,420</w:t>
            </w:r>
          </w:p>
        </w:tc>
      </w:tr>
      <w:tr w:rsidR="00000000">
        <w:trPr>
          <w:trHeight w:val="179"/>
        </w:trPr>
        <w:tc>
          <w:tcPr>
            <w:tcW w:w="1217" w:type="pct"/>
            <w:tcBorders>
              <w:top w:val="nil"/>
              <w:left w:val="single" w:sz="4" w:space="0" w:color="auto"/>
              <w:bottom w:val="nil"/>
              <w:right w:val="nil"/>
            </w:tcBorders>
            <w:shd w:val="clear" w:color="auto" w:fill="auto"/>
          </w:tcPr>
          <w:p w:rsidR="00000000" w:rsidRDefault="00323237">
            <w:pPr>
              <w:autoSpaceDE/>
              <w:autoSpaceDN/>
              <w:adjustRightInd/>
            </w:pPr>
            <w:r>
              <w:t> </w:t>
            </w:r>
          </w:p>
        </w:tc>
        <w:tc>
          <w:tcPr>
            <w:tcW w:w="413" w:type="pct"/>
            <w:tcBorders>
              <w:top w:val="nil"/>
              <w:left w:val="nil"/>
              <w:bottom w:val="nil"/>
              <w:right w:val="nil"/>
            </w:tcBorders>
            <w:shd w:val="clear" w:color="auto" w:fill="auto"/>
          </w:tcPr>
          <w:p w:rsidR="00000000" w:rsidRDefault="00323237">
            <w:pPr>
              <w:autoSpaceDE/>
              <w:autoSpaceDN/>
              <w:adjustRightInd/>
            </w:pPr>
          </w:p>
        </w:tc>
        <w:tc>
          <w:tcPr>
            <w:tcW w:w="480" w:type="pct"/>
            <w:tcBorders>
              <w:top w:val="nil"/>
              <w:left w:val="nil"/>
              <w:bottom w:val="nil"/>
              <w:right w:val="nil"/>
            </w:tcBorders>
            <w:shd w:val="clear" w:color="auto" w:fill="auto"/>
          </w:tcPr>
          <w:p w:rsidR="00000000" w:rsidRDefault="00323237">
            <w:pPr>
              <w:autoSpaceDE/>
              <w:autoSpaceDN/>
              <w:adjustRightInd/>
            </w:pPr>
          </w:p>
        </w:tc>
        <w:tc>
          <w:tcPr>
            <w:tcW w:w="431" w:type="pct"/>
            <w:tcBorders>
              <w:top w:val="nil"/>
              <w:left w:val="nil"/>
              <w:bottom w:val="nil"/>
              <w:right w:val="nil"/>
            </w:tcBorders>
            <w:shd w:val="clear" w:color="auto" w:fill="auto"/>
          </w:tcPr>
          <w:p w:rsidR="00000000" w:rsidRDefault="00323237">
            <w:pPr>
              <w:autoSpaceDE/>
              <w:autoSpaceDN/>
              <w:adjustRightInd/>
            </w:pPr>
          </w:p>
        </w:tc>
        <w:tc>
          <w:tcPr>
            <w:tcW w:w="448" w:type="pct"/>
            <w:tcBorders>
              <w:top w:val="nil"/>
              <w:left w:val="nil"/>
              <w:bottom w:val="nil"/>
              <w:right w:val="nil"/>
            </w:tcBorders>
            <w:shd w:val="clear" w:color="auto" w:fill="auto"/>
          </w:tcPr>
          <w:p w:rsidR="00000000" w:rsidRDefault="00323237">
            <w:pPr>
              <w:autoSpaceDE/>
              <w:autoSpaceDN/>
              <w:adjustRightInd/>
            </w:pPr>
          </w:p>
        </w:tc>
        <w:tc>
          <w:tcPr>
            <w:tcW w:w="652" w:type="pct"/>
            <w:tcBorders>
              <w:top w:val="nil"/>
              <w:left w:val="nil"/>
              <w:bottom w:val="nil"/>
              <w:right w:val="nil"/>
            </w:tcBorders>
            <w:shd w:val="clear" w:color="auto" w:fill="auto"/>
          </w:tcPr>
          <w:p w:rsidR="00000000" w:rsidRDefault="00323237">
            <w:pPr>
              <w:autoSpaceDE/>
              <w:autoSpaceDN/>
              <w:adjustRightInd/>
            </w:pPr>
          </w:p>
        </w:tc>
        <w:tc>
          <w:tcPr>
            <w:tcW w:w="413" w:type="pct"/>
            <w:tcBorders>
              <w:top w:val="nil"/>
              <w:left w:val="nil"/>
              <w:bottom w:val="nil"/>
              <w:right w:val="nil"/>
            </w:tcBorders>
            <w:shd w:val="clear" w:color="auto" w:fill="auto"/>
          </w:tcPr>
          <w:p w:rsidR="00000000" w:rsidRDefault="00323237">
            <w:pPr>
              <w:autoSpaceDE/>
              <w:autoSpaceDN/>
              <w:adjustRightInd/>
            </w:pPr>
          </w:p>
        </w:tc>
        <w:tc>
          <w:tcPr>
            <w:tcW w:w="472" w:type="pct"/>
            <w:tcBorders>
              <w:top w:val="nil"/>
              <w:left w:val="nil"/>
              <w:bottom w:val="nil"/>
              <w:right w:val="nil"/>
            </w:tcBorders>
            <w:shd w:val="clear" w:color="auto" w:fill="auto"/>
          </w:tcPr>
          <w:p w:rsidR="00000000" w:rsidRDefault="00323237">
            <w:pPr>
              <w:autoSpaceDE/>
              <w:autoSpaceDN/>
              <w:adjustRightInd/>
            </w:pPr>
          </w:p>
        </w:tc>
        <w:tc>
          <w:tcPr>
            <w:tcW w:w="474" w:type="pct"/>
            <w:tcBorders>
              <w:top w:val="nil"/>
              <w:left w:val="nil"/>
              <w:bottom w:val="nil"/>
              <w:right w:val="single" w:sz="4" w:space="0" w:color="auto"/>
            </w:tcBorders>
            <w:shd w:val="clear" w:color="auto" w:fill="auto"/>
          </w:tcPr>
          <w:p w:rsidR="00000000" w:rsidRDefault="00323237">
            <w:pPr>
              <w:autoSpaceDE/>
              <w:autoSpaceDN/>
              <w:adjustRightInd/>
              <w:jc w:val="right"/>
            </w:pPr>
            <w:r>
              <w:t>$39,417</w:t>
            </w:r>
          </w:p>
        </w:tc>
      </w:tr>
      <w:tr w:rsidR="00000000">
        <w:trPr>
          <w:trHeight w:val="135"/>
        </w:trPr>
        <w:tc>
          <w:tcPr>
            <w:tcW w:w="5000" w:type="pct"/>
            <w:gridSpan w:val="9"/>
            <w:tcBorders>
              <w:top w:val="nil"/>
              <w:left w:val="single" w:sz="4" w:space="0" w:color="auto"/>
              <w:bottom w:val="nil"/>
              <w:right w:val="single" w:sz="4" w:space="0" w:color="000000"/>
            </w:tcBorders>
            <w:shd w:val="clear" w:color="auto" w:fill="auto"/>
            <w:noWrap/>
            <w:vAlign w:val="bottom"/>
          </w:tcPr>
          <w:p w:rsidR="00000000" w:rsidRDefault="00323237">
            <w:pPr>
              <w:autoSpaceDE/>
              <w:autoSpaceDN/>
              <w:adjustRightInd/>
            </w:pPr>
            <w:r>
              <w:rPr>
                <w:vertAlign w:val="superscript"/>
              </w:rPr>
              <w:t>a</w:t>
            </w:r>
            <w:r>
              <w:t xml:space="preserve"> C = A x B</w:t>
            </w:r>
          </w:p>
        </w:tc>
      </w:tr>
      <w:tr w:rsidR="00000000">
        <w:trPr>
          <w:trHeight w:val="180"/>
        </w:trPr>
        <w:tc>
          <w:tcPr>
            <w:tcW w:w="5000" w:type="pct"/>
            <w:gridSpan w:val="9"/>
            <w:tcBorders>
              <w:top w:val="nil"/>
              <w:left w:val="single" w:sz="4" w:space="0" w:color="auto"/>
              <w:bottom w:val="nil"/>
              <w:right w:val="single" w:sz="4" w:space="0" w:color="000000"/>
            </w:tcBorders>
            <w:shd w:val="clear" w:color="auto" w:fill="auto"/>
            <w:noWrap/>
            <w:vAlign w:val="bottom"/>
          </w:tcPr>
          <w:p w:rsidR="00000000" w:rsidRDefault="00323237">
            <w:pPr>
              <w:autoSpaceDE/>
              <w:autoSpaceDN/>
              <w:adjustRightInd/>
            </w:pPr>
            <w:r>
              <w:rPr>
                <w:vertAlign w:val="superscript"/>
              </w:rPr>
              <w:t>b</w:t>
            </w:r>
            <w:r>
              <w:t xml:space="preserve"> E = C x D</w:t>
            </w:r>
          </w:p>
        </w:tc>
      </w:tr>
      <w:tr w:rsidR="00000000">
        <w:trPr>
          <w:trHeight w:val="975"/>
        </w:trPr>
        <w:tc>
          <w:tcPr>
            <w:tcW w:w="5000" w:type="pct"/>
            <w:gridSpan w:val="9"/>
            <w:tcBorders>
              <w:top w:val="nil"/>
              <w:left w:val="single" w:sz="4" w:space="0" w:color="auto"/>
              <w:bottom w:val="nil"/>
              <w:right w:val="single" w:sz="4" w:space="0" w:color="000000"/>
            </w:tcBorders>
            <w:shd w:val="clear" w:color="auto" w:fill="auto"/>
          </w:tcPr>
          <w:p w:rsidR="00000000" w:rsidRDefault="00323237">
            <w:pPr>
              <w:autoSpaceDE/>
              <w:autoSpaceDN/>
              <w:adjustRightInd/>
              <w:rPr>
                <w:color w:val="000000"/>
              </w:rPr>
            </w:pPr>
            <w:proofErr w:type="spellStart"/>
            <w:proofErr w:type="gramStart"/>
            <w:r>
              <w:rPr>
                <w:color w:val="000000"/>
                <w:vertAlign w:val="superscript"/>
              </w:rPr>
              <w:t>c</w:t>
            </w:r>
            <w:r>
              <w:rPr>
                <w:color w:val="000000"/>
              </w:rPr>
              <w:t>Assume</w:t>
            </w:r>
            <w:proofErr w:type="spellEnd"/>
            <w:proofErr w:type="gramEnd"/>
            <w:r>
              <w:rPr>
                <w:color w:val="000000"/>
              </w:rPr>
              <w:t xml:space="preserve"> 82 existing facilities have to conduct a performance test or design evaluation (49 with metal process vents, 5 with continuous process vents, and 28 with batch process vents). On average,</w:t>
            </w:r>
            <w:r>
              <w:rPr>
                <w:color w:val="000000"/>
              </w:rPr>
              <w:t xml:space="preserve"> this is 27.3/yr.  Assume 1 new facility with metal HAP emissions has to conduct a performance test or design evaluation each year. Although a small percentage of new sources is expected to meet the conditions under which control of batch process vents and</w:t>
            </w:r>
            <w:r>
              <w:rPr>
                <w:color w:val="000000"/>
              </w:rPr>
              <w:t xml:space="preserve"> continuous process vents is required, this analysis assumes that none are constructed in the 3 years of this ICR. Only 20% of these sources are expected to conduct a performance test; 80% will perform a design evaluation.</w:t>
            </w:r>
          </w:p>
        </w:tc>
      </w:tr>
      <w:tr w:rsidR="00000000">
        <w:trPr>
          <w:trHeight w:val="270"/>
        </w:trPr>
        <w:tc>
          <w:tcPr>
            <w:tcW w:w="5000" w:type="pct"/>
            <w:gridSpan w:val="9"/>
            <w:tcBorders>
              <w:top w:val="nil"/>
              <w:left w:val="single" w:sz="4" w:space="0" w:color="auto"/>
              <w:bottom w:val="nil"/>
              <w:right w:val="single" w:sz="4" w:space="0" w:color="000000"/>
            </w:tcBorders>
            <w:shd w:val="clear" w:color="auto" w:fill="auto"/>
            <w:vAlign w:val="bottom"/>
          </w:tcPr>
          <w:p w:rsidR="00000000" w:rsidRDefault="00323237">
            <w:pPr>
              <w:autoSpaceDE/>
              <w:autoSpaceDN/>
              <w:adjustRightInd/>
            </w:pPr>
            <w:r>
              <w:rPr>
                <w:vertAlign w:val="superscript"/>
              </w:rPr>
              <w:t>d</w:t>
            </w:r>
            <w:r>
              <w:t xml:space="preserve"> Assume 20% of initial performa</w:t>
            </w:r>
            <w:r>
              <w:t>nce tests must be repeated due to failure</w:t>
            </w:r>
          </w:p>
        </w:tc>
      </w:tr>
      <w:tr w:rsidR="00000000">
        <w:trPr>
          <w:trHeight w:val="414"/>
        </w:trPr>
        <w:tc>
          <w:tcPr>
            <w:tcW w:w="5000" w:type="pct"/>
            <w:gridSpan w:val="9"/>
            <w:tcBorders>
              <w:top w:val="nil"/>
              <w:left w:val="single" w:sz="4" w:space="0" w:color="auto"/>
              <w:bottom w:val="nil"/>
              <w:right w:val="single" w:sz="4" w:space="0" w:color="000000"/>
            </w:tcBorders>
            <w:shd w:val="clear" w:color="auto" w:fill="auto"/>
          </w:tcPr>
          <w:p w:rsidR="00000000" w:rsidRDefault="00323237">
            <w:pPr>
              <w:autoSpaceDE/>
              <w:autoSpaceDN/>
              <w:adjustRightInd/>
              <w:rPr>
                <w:color w:val="000000"/>
              </w:rPr>
            </w:pPr>
            <w:proofErr w:type="spellStart"/>
            <w:proofErr w:type="gramStart"/>
            <w:r>
              <w:rPr>
                <w:color w:val="000000"/>
                <w:vertAlign w:val="superscript"/>
              </w:rPr>
              <w:t>e</w:t>
            </w:r>
            <w:r>
              <w:rPr>
                <w:color w:val="000000"/>
              </w:rPr>
              <w:t>All</w:t>
            </w:r>
            <w:proofErr w:type="spellEnd"/>
            <w:proofErr w:type="gramEnd"/>
            <w:r>
              <w:rPr>
                <w:color w:val="000000"/>
              </w:rPr>
              <w:t xml:space="preserve"> existing and new sources must submit initial notification. On average, 151 existing sources per year submit the initial notification during the 3 years of this ICR (452/3 = 151) and 9 new sources per year. On</w:t>
            </w:r>
            <w:r>
              <w:rPr>
                <w:color w:val="000000"/>
              </w:rPr>
              <w:t>ly 20% will perform performance test.</w:t>
            </w:r>
          </w:p>
        </w:tc>
      </w:tr>
      <w:tr w:rsidR="00000000">
        <w:trPr>
          <w:trHeight w:val="315"/>
        </w:trPr>
        <w:tc>
          <w:tcPr>
            <w:tcW w:w="5000" w:type="pct"/>
            <w:gridSpan w:val="9"/>
            <w:tcBorders>
              <w:top w:val="nil"/>
              <w:left w:val="single" w:sz="4" w:space="0" w:color="auto"/>
              <w:bottom w:val="nil"/>
              <w:right w:val="single" w:sz="4" w:space="0" w:color="000000"/>
            </w:tcBorders>
            <w:shd w:val="clear" w:color="auto" w:fill="auto"/>
            <w:noWrap/>
          </w:tcPr>
          <w:p w:rsidR="00000000" w:rsidRDefault="00323237">
            <w:pPr>
              <w:autoSpaceDE/>
              <w:autoSpaceDN/>
              <w:adjustRightInd/>
              <w:rPr>
                <w:color w:val="000000"/>
              </w:rPr>
            </w:pPr>
            <w:proofErr w:type="spellStart"/>
            <w:proofErr w:type="gramStart"/>
            <w:r>
              <w:rPr>
                <w:color w:val="000000"/>
                <w:vertAlign w:val="superscript"/>
              </w:rPr>
              <w:t>f</w:t>
            </w:r>
            <w:r>
              <w:rPr>
                <w:color w:val="000000"/>
              </w:rPr>
              <w:t>All</w:t>
            </w:r>
            <w:proofErr w:type="spellEnd"/>
            <w:proofErr w:type="gramEnd"/>
            <w:r>
              <w:rPr>
                <w:color w:val="000000"/>
              </w:rPr>
              <w:t xml:space="preserve"> existing and new sources must submit notification of compliance status. Assume that all existing sources submit the notification prior to the compliance date (i.e., within the 3 years of this ICR).</w:t>
            </w:r>
          </w:p>
        </w:tc>
      </w:tr>
      <w:tr w:rsidR="00000000">
        <w:trPr>
          <w:trHeight w:val="450"/>
        </w:trPr>
        <w:tc>
          <w:tcPr>
            <w:tcW w:w="5000" w:type="pct"/>
            <w:gridSpan w:val="9"/>
            <w:tcBorders>
              <w:top w:val="nil"/>
              <w:left w:val="single" w:sz="4" w:space="0" w:color="auto"/>
              <w:bottom w:val="nil"/>
              <w:right w:val="single" w:sz="4" w:space="0" w:color="000000"/>
            </w:tcBorders>
            <w:shd w:val="clear" w:color="auto" w:fill="auto"/>
          </w:tcPr>
          <w:p w:rsidR="00000000" w:rsidRDefault="00323237">
            <w:pPr>
              <w:autoSpaceDE/>
              <w:autoSpaceDN/>
              <w:adjustRightInd/>
              <w:rPr>
                <w:color w:val="000000"/>
              </w:rPr>
            </w:pPr>
            <w:proofErr w:type="spellStart"/>
            <w:proofErr w:type="gramStart"/>
            <w:r>
              <w:rPr>
                <w:color w:val="000000"/>
                <w:vertAlign w:val="superscript"/>
              </w:rPr>
              <w:t>g</w:t>
            </w:r>
            <w:r>
              <w:rPr>
                <w:color w:val="000000"/>
              </w:rPr>
              <w:t>For</w:t>
            </w:r>
            <w:proofErr w:type="spellEnd"/>
            <w:proofErr w:type="gramEnd"/>
            <w:r>
              <w:rPr>
                <w:color w:val="000000"/>
              </w:rPr>
              <w:t xml:space="preserve"> each sem</w:t>
            </w:r>
            <w:r>
              <w:rPr>
                <w:color w:val="000000"/>
              </w:rPr>
              <w:t>iannual reporting period, assume 20 percent of facilities meet conditions requiring submittal of a compliance report. In the 3 years of this ICR, these reports would be submitted only by new sources (average of 18 new facilities operating/yr x 2 semiannual</w:t>
            </w:r>
            <w:r>
              <w:rPr>
                <w:color w:val="000000"/>
              </w:rPr>
              <w:t xml:space="preserve"> reporting periods x 0.2 = 7.2 compliance reports/yr</w:t>
            </w:r>
            <w:proofErr w:type="gramStart"/>
            <w:r>
              <w:rPr>
                <w:color w:val="000000"/>
              </w:rPr>
              <w:t>) .</w:t>
            </w:r>
            <w:proofErr w:type="gramEnd"/>
          </w:p>
        </w:tc>
      </w:tr>
      <w:tr w:rsidR="00000000">
        <w:trPr>
          <w:trHeight w:val="495"/>
        </w:trPr>
        <w:tc>
          <w:tcPr>
            <w:tcW w:w="5000" w:type="pct"/>
            <w:gridSpan w:val="9"/>
            <w:tcBorders>
              <w:top w:val="nil"/>
              <w:left w:val="single" w:sz="4" w:space="0" w:color="auto"/>
              <w:bottom w:val="single" w:sz="4" w:space="0" w:color="auto"/>
              <w:right w:val="single" w:sz="4" w:space="0" w:color="000000"/>
            </w:tcBorders>
            <w:shd w:val="clear" w:color="auto" w:fill="auto"/>
          </w:tcPr>
          <w:p w:rsidR="00000000" w:rsidRDefault="00323237">
            <w:pPr>
              <w:autoSpaceDE/>
              <w:autoSpaceDN/>
              <w:adjustRightInd/>
              <w:rPr>
                <w:color w:val="000000"/>
              </w:rPr>
            </w:pPr>
            <w:proofErr w:type="gramStart"/>
            <w:r>
              <w:rPr>
                <w:color w:val="000000"/>
                <w:vertAlign w:val="superscript"/>
              </w:rPr>
              <w:t>h</w:t>
            </w:r>
            <w:proofErr w:type="gramEnd"/>
            <w:r>
              <w:rPr>
                <w:color w:val="000000"/>
              </w:rPr>
              <w:t xml:space="preserve"> Travel Expenses = (1 person x 5.7 plants/year x 3 days/plant x $50 per diem) + ($500 round trip/plant x 5.7 plants/year) + (1 person x 1.1 plants/year x 3 days/plant x $50 per diem) + ($500 round t</w:t>
            </w:r>
            <w:r>
              <w:rPr>
                <w:color w:val="000000"/>
              </w:rPr>
              <w:t>rip/plant x 1.1 plants/year)= $4,966/year.</w:t>
            </w:r>
          </w:p>
        </w:tc>
      </w:tr>
    </w:tbl>
    <w:p w:rsidR="00000000" w:rsidRDefault="00323237"/>
    <w:p w:rsidR="00000000" w:rsidRDefault="00323237">
      <w:pPr>
        <w:rPr>
          <w:b/>
          <w:bCs/>
          <w:sz w:val="24"/>
          <w:szCs w:val="24"/>
        </w:rPr>
      </w:pPr>
    </w:p>
    <w:p w:rsidR="00000000" w:rsidRDefault="00323237">
      <w:pPr>
        <w:rPr>
          <w:b/>
          <w:bCs/>
          <w:sz w:val="24"/>
          <w:szCs w:val="24"/>
        </w:rPr>
      </w:pPr>
      <w:proofErr w:type="gramStart"/>
      <w:r>
        <w:rPr>
          <w:b/>
          <w:bCs/>
          <w:sz w:val="24"/>
          <w:szCs w:val="24"/>
        </w:rPr>
        <w:t>Table 3.</w:t>
      </w:r>
      <w:proofErr w:type="gramEnd"/>
      <w:r>
        <w:rPr>
          <w:b/>
          <w:bCs/>
          <w:sz w:val="24"/>
          <w:szCs w:val="24"/>
        </w:rPr>
        <w:t xml:space="preserve">  Cost Estimate for Affirmative Defense/Root Cause Analysis</w:t>
      </w:r>
    </w:p>
    <w:tbl>
      <w:tblPr>
        <w:tblW w:w="13352" w:type="dxa"/>
        <w:tblInd w:w="93" w:type="dxa"/>
        <w:tblLook w:val="04A0"/>
      </w:tblPr>
      <w:tblGrid>
        <w:gridCol w:w="2440"/>
        <w:gridCol w:w="2500"/>
        <w:gridCol w:w="3176"/>
        <w:gridCol w:w="1700"/>
        <w:gridCol w:w="2256"/>
        <w:gridCol w:w="1280"/>
      </w:tblGrid>
      <w:tr w:rsidR="00000000">
        <w:trPr>
          <w:trHeight w:val="255"/>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0000" w:rsidRDefault="00323237">
            <w:pPr>
              <w:autoSpaceDE/>
              <w:autoSpaceDN/>
              <w:adjustRightInd/>
              <w:jc w:val="center"/>
              <w:rPr>
                <w:b/>
                <w:bCs/>
                <w:color w:val="000000"/>
                <w:sz w:val="24"/>
                <w:szCs w:val="24"/>
              </w:rPr>
            </w:pPr>
            <w:r>
              <w:rPr>
                <w:b/>
                <w:bCs/>
                <w:color w:val="000000"/>
                <w:sz w:val="24"/>
                <w:szCs w:val="24"/>
              </w:rPr>
              <w:t>RCFA Personnel</w:t>
            </w:r>
          </w:p>
        </w:tc>
        <w:tc>
          <w:tcPr>
            <w:tcW w:w="2500" w:type="dxa"/>
            <w:tcBorders>
              <w:top w:val="single" w:sz="4" w:space="0" w:color="auto"/>
              <w:left w:val="nil"/>
              <w:bottom w:val="single" w:sz="4" w:space="0" w:color="auto"/>
              <w:right w:val="single" w:sz="4" w:space="0" w:color="auto"/>
            </w:tcBorders>
            <w:shd w:val="clear" w:color="auto" w:fill="auto"/>
            <w:noWrap/>
            <w:vAlign w:val="bottom"/>
            <w:hideMark/>
          </w:tcPr>
          <w:p w:rsidR="00000000" w:rsidRDefault="00323237">
            <w:pPr>
              <w:autoSpaceDE/>
              <w:autoSpaceDN/>
              <w:adjustRightInd/>
              <w:jc w:val="center"/>
              <w:rPr>
                <w:b/>
                <w:bCs/>
                <w:color w:val="000000"/>
                <w:sz w:val="24"/>
                <w:szCs w:val="24"/>
              </w:rPr>
            </w:pPr>
            <w:r>
              <w:rPr>
                <w:b/>
                <w:bCs/>
                <w:color w:val="000000"/>
                <w:sz w:val="24"/>
                <w:szCs w:val="24"/>
              </w:rPr>
              <w:t>Number of Personnel</w:t>
            </w:r>
          </w:p>
        </w:tc>
        <w:tc>
          <w:tcPr>
            <w:tcW w:w="3176" w:type="dxa"/>
            <w:tcBorders>
              <w:top w:val="single" w:sz="4" w:space="0" w:color="auto"/>
              <w:left w:val="nil"/>
              <w:bottom w:val="single" w:sz="4" w:space="0" w:color="auto"/>
              <w:right w:val="single" w:sz="4" w:space="0" w:color="auto"/>
            </w:tcBorders>
            <w:shd w:val="clear" w:color="auto" w:fill="auto"/>
            <w:noWrap/>
            <w:vAlign w:val="bottom"/>
            <w:hideMark/>
          </w:tcPr>
          <w:p w:rsidR="00000000" w:rsidRDefault="00323237">
            <w:pPr>
              <w:autoSpaceDE/>
              <w:autoSpaceDN/>
              <w:adjustRightInd/>
              <w:jc w:val="center"/>
              <w:rPr>
                <w:b/>
                <w:bCs/>
                <w:color w:val="000000"/>
                <w:sz w:val="24"/>
                <w:szCs w:val="24"/>
              </w:rPr>
            </w:pPr>
            <w:r>
              <w:rPr>
                <w:b/>
                <w:bCs/>
                <w:color w:val="000000"/>
                <w:sz w:val="24"/>
                <w:szCs w:val="24"/>
              </w:rPr>
              <w:t>Time Requirements (hours)</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000000" w:rsidRDefault="00323237">
            <w:pPr>
              <w:autoSpaceDE/>
              <w:autoSpaceDN/>
              <w:adjustRightInd/>
              <w:jc w:val="center"/>
              <w:rPr>
                <w:b/>
                <w:bCs/>
                <w:color w:val="000000"/>
                <w:sz w:val="24"/>
                <w:szCs w:val="24"/>
              </w:rPr>
            </w:pPr>
            <w:r>
              <w:rPr>
                <w:b/>
                <w:bCs/>
                <w:color w:val="000000"/>
                <w:sz w:val="24"/>
                <w:szCs w:val="24"/>
              </w:rPr>
              <w:t>Total Hours</w:t>
            </w:r>
          </w:p>
        </w:tc>
        <w:tc>
          <w:tcPr>
            <w:tcW w:w="2256" w:type="dxa"/>
            <w:tcBorders>
              <w:top w:val="single" w:sz="4" w:space="0" w:color="auto"/>
              <w:left w:val="nil"/>
              <w:bottom w:val="single" w:sz="4" w:space="0" w:color="auto"/>
              <w:right w:val="single" w:sz="4" w:space="0" w:color="auto"/>
            </w:tcBorders>
            <w:shd w:val="clear" w:color="auto" w:fill="auto"/>
            <w:noWrap/>
            <w:vAlign w:val="bottom"/>
            <w:hideMark/>
          </w:tcPr>
          <w:p w:rsidR="00000000" w:rsidRDefault="00323237">
            <w:pPr>
              <w:autoSpaceDE/>
              <w:autoSpaceDN/>
              <w:adjustRightInd/>
              <w:jc w:val="center"/>
              <w:rPr>
                <w:b/>
                <w:bCs/>
                <w:color w:val="000000"/>
                <w:sz w:val="24"/>
                <w:szCs w:val="24"/>
              </w:rPr>
            </w:pPr>
            <w:r>
              <w:rPr>
                <w:b/>
                <w:bCs/>
                <w:color w:val="000000"/>
                <w:sz w:val="24"/>
                <w:szCs w:val="24"/>
              </w:rPr>
              <w:t>Hourly Rate ($/hr)</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000000" w:rsidRDefault="00323237">
            <w:pPr>
              <w:autoSpaceDE/>
              <w:autoSpaceDN/>
              <w:adjustRightInd/>
              <w:jc w:val="center"/>
              <w:rPr>
                <w:b/>
                <w:bCs/>
                <w:color w:val="000000"/>
                <w:sz w:val="24"/>
                <w:szCs w:val="24"/>
              </w:rPr>
            </w:pPr>
            <w:r>
              <w:rPr>
                <w:b/>
                <w:bCs/>
                <w:color w:val="000000"/>
                <w:sz w:val="24"/>
                <w:szCs w:val="24"/>
              </w:rPr>
              <w:t>Total</w:t>
            </w:r>
          </w:p>
        </w:tc>
      </w:tr>
      <w:tr w:rsidR="00000000">
        <w:trPr>
          <w:trHeight w:val="255"/>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000000" w:rsidRDefault="00323237">
            <w:pPr>
              <w:autoSpaceDE/>
              <w:autoSpaceDN/>
              <w:adjustRightInd/>
              <w:rPr>
                <w:color w:val="000000"/>
                <w:sz w:val="24"/>
                <w:szCs w:val="24"/>
              </w:rPr>
            </w:pPr>
            <w:r>
              <w:rPr>
                <w:color w:val="000000"/>
                <w:sz w:val="24"/>
                <w:szCs w:val="24"/>
              </w:rPr>
              <w:t>Technical Personnel</w:t>
            </w:r>
          </w:p>
        </w:tc>
        <w:tc>
          <w:tcPr>
            <w:tcW w:w="2500" w:type="dxa"/>
            <w:tcBorders>
              <w:top w:val="nil"/>
              <w:left w:val="nil"/>
              <w:bottom w:val="single" w:sz="4" w:space="0" w:color="auto"/>
              <w:right w:val="single" w:sz="4" w:space="0" w:color="auto"/>
            </w:tcBorders>
            <w:shd w:val="clear" w:color="auto" w:fill="auto"/>
            <w:noWrap/>
            <w:vAlign w:val="bottom"/>
            <w:hideMark/>
          </w:tcPr>
          <w:p w:rsidR="00000000" w:rsidRDefault="00323237">
            <w:pPr>
              <w:autoSpaceDE/>
              <w:autoSpaceDN/>
              <w:adjustRightInd/>
              <w:jc w:val="center"/>
              <w:rPr>
                <w:color w:val="000000"/>
                <w:sz w:val="24"/>
                <w:szCs w:val="24"/>
              </w:rPr>
            </w:pPr>
            <w:r>
              <w:rPr>
                <w:color w:val="000000"/>
                <w:sz w:val="24"/>
                <w:szCs w:val="24"/>
              </w:rPr>
              <w:t>3</w:t>
            </w:r>
          </w:p>
        </w:tc>
        <w:tc>
          <w:tcPr>
            <w:tcW w:w="3176" w:type="dxa"/>
            <w:tcBorders>
              <w:top w:val="nil"/>
              <w:left w:val="nil"/>
              <w:bottom w:val="single" w:sz="4" w:space="0" w:color="auto"/>
              <w:right w:val="single" w:sz="4" w:space="0" w:color="auto"/>
            </w:tcBorders>
            <w:shd w:val="clear" w:color="auto" w:fill="auto"/>
            <w:noWrap/>
            <w:vAlign w:val="bottom"/>
            <w:hideMark/>
          </w:tcPr>
          <w:p w:rsidR="00000000" w:rsidRDefault="00323237">
            <w:pPr>
              <w:autoSpaceDE/>
              <w:autoSpaceDN/>
              <w:adjustRightInd/>
              <w:jc w:val="center"/>
              <w:rPr>
                <w:color w:val="000000"/>
                <w:sz w:val="24"/>
                <w:szCs w:val="24"/>
              </w:rPr>
            </w:pPr>
            <w:r>
              <w:rPr>
                <w:color w:val="000000"/>
                <w:sz w:val="24"/>
                <w:szCs w:val="24"/>
              </w:rPr>
              <w:t>6</w:t>
            </w:r>
          </w:p>
        </w:tc>
        <w:tc>
          <w:tcPr>
            <w:tcW w:w="1700" w:type="dxa"/>
            <w:tcBorders>
              <w:top w:val="nil"/>
              <w:left w:val="nil"/>
              <w:bottom w:val="single" w:sz="4" w:space="0" w:color="auto"/>
              <w:right w:val="single" w:sz="4" w:space="0" w:color="auto"/>
            </w:tcBorders>
            <w:shd w:val="clear" w:color="auto" w:fill="auto"/>
            <w:noWrap/>
            <w:vAlign w:val="bottom"/>
            <w:hideMark/>
          </w:tcPr>
          <w:p w:rsidR="00000000" w:rsidRDefault="00323237">
            <w:pPr>
              <w:autoSpaceDE/>
              <w:autoSpaceDN/>
              <w:adjustRightInd/>
              <w:jc w:val="center"/>
              <w:rPr>
                <w:color w:val="000000"/>
                <w:sz w:val="24"/>
                <w:szCs w:val="24"/>
              </w:rPr>
            </w:pPr>
            <w:r>
              <w:rPr>
                <w:color w:val="000000"/>
                <w:sz w:val="24"/>
                <w:szCs w:val="24"/>
              </w:rPr>
              <w:t>18</w:t>
            </w:r>
          </w:p>
        </w:tc>
        <w:tc>
          <w:tcPr>
            <w:tcW w:w="2256" w:type="dxa"/>
            <w:tcBorders>
              <w:top w:val="nil"/>
              <w:left w:val="nil"/>
              <w:bottom w:val="single" w:sz="4" w:space="0" w:color="auto"/>
              <w:right w:val="single" w:sz="4" w:space="0" w:color="auto"/>
            </w:tcBorders>
            <w:shd w:val="clear" w:color="auto" w:fill="auto"/>
            <w:noWrap/>
            <w:vAlign w:val="bottom"/>
            <w:hideMark/>
          </w:tcPr>
          <w:p w:rsidR="00000000" w:rsidRDefault="00323237">
            <w:pPr>
              <w:jc w:val="right"/>
              <w:rPr>
                <w:color w:val="000000"/>
                <w:sz w:val="24"/>
                <w:szCs w:val="24"/>
              </w:rPr>
            </w:pPr>
            <w:r>
              <w:rPr>
                <w:color w:val="000000"/>
                <w:sz w:val="24"/>
                <w:szCs w:val="24"/>
              </w:rPr>
              <w:t>77.24</w:t>
            </w:r>
          </w:p>
        </w:tc>
        <w:tc>
          <w:tcPr>
            <w:tcW w:w="1280" w:type="dxa"/>
            <w:tcBorders>
              <w:top w:val="nil"/>
              <w:left w:val="nil"/>
              <w:bottom w:val="single" w:sz="4" w:space="0" w:color="auto"/>
              <w:right w:val="single" w:sz="4" w:space="0" w:color="auto"/>
            </w:tcBorders>
            <w:shd w:val="clear" w:color="auto" w:fill="auto"/>
            <w:noWrap/>
            <w:vAlign w:val="bottom"/>
            <w:hideMark/>
          </w:tcPr>
          <w:p w:rsidR="00000000" w:rsidRDefault="00323237">
            <w:pPr>
              <w:jc w:val="right"/>
              <w:rPr>
                <w:color w:val="000000"/>
                <w:sz w:val="24"/>
                <w:szCs w:val="24"/>
              </w:rPr>
            </w:pPr>
            <w:r>
              <w:rPr>
                <w:color w:val="000000"/>
                <w:sz w:val="24"/>
                <w:szCs w:val="24"/>
              </w:rPr>
              <w:t>1390.32</w:t>
            </w:r>
          </w:p>
        </w:tc>
      </w:tr>
      <w:tr w:rsidR="00000000">
        <w:trPr>
          <w:trHeight w:val="255"/>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000000" w:rsidRDefault="00323237">
            <w:pPr>
              <w:autoSpaceDE/>
              <w:autoSpaceDN/>
              <w:adjustRightInd/>
              <w:rPr>
                <w:color w:val="000000"/>
                <w:sz w:val="24"/>
                <w:szCs w:val="24"/>
              </w:rPr>
            </w:pPr>
            <w:r>
              <w:rPr>
                <w:color w:val="000000"/>
                <w:sz w:val="24"/>
                <w:szCs w:val="24"/>
              </w:rPr>
              <w:t>M</w:t>
            </w:r>
            <w:r>
              <w:rPr>
                <w:color w:val="000000"/>
                <w:sz w:val="24"/>
                <w:szCs w:val="24"/>
              </w:rPr>
              <w:t>anagerial Personnel</w:t>
            </w:r>
          </w:p>
        </w:tc>
        <w:tc>
          <w:tcPr>
            <w:tcW w:w="2500" w:type="dxa"/>
            <w:tcBorders>
              <w:top w:val="nil"/>
              <w:left w:val="nil"/>
              <w:bottom w:val="single" w:sz="4" w:space="0" w:color="auto"/>
              <w:right w:val="single" w:sz="4" w:space="0" w:color="auto"/>
            </w:tcBorders>
            <w:shd w:val="clear" w:color="auto" w:fill="auto"/>
            <w:noWrap/>
            <w:vAlign w:val="bottom"/>
            <w:hideMark/>
          </w:tcPr>
          <w:p w:rsidR="00000000" w:rsidRDefault="00323237">
            <w:pPr>
              <w:autoSpaceDE/>
              <w:autoSpaceDN/>
              <w:adjustRightInd/>
              <w:jc w:val="center"/>
              <w:rPr>
                <w:color w:val="000000"/>
                <w:sz w:val="24"/>
                <w:szCs w:val="24"/>
              </w:rPr>
            </w:pPr>
            <w:r>
              <w:rPr>
                <w:color w:val="000000"/>
                <w:sz w:val="24"/>
                <w:szCs w:val="24"/>
              </w:rPr>
              <w:t>2</w:t>
            </w:r>
          </w:p>
        </w:tc>
        <w:tc>
          <w:tcPr>
            <w:tcW w:w="3176" w:type="dxa"/>
            <w:tcBorders>
              <w:top w:val="nil"/>
              <w:left w:val="nil"/>
              <w:bottom w:val="single" w:sz="4" w:space="0" w:color="auto"/>
              <w:right w:val="single" w:sz="4" w:space="0" w:color="auto"/>
            </w:tcBorders>
            <w:shd w:val="clear" w:color="auto" w:fill="auto"/>
            <w:noWrap/>
            <w:vAlign w:val="bottom"/>
            <w:hideMark/>
          </w:tcPr>
          <w:p w:rsidR="00000000" w:rsidRDefault="00323237">
            <w:pPr>
              <w:autoSpaceDE/>
              <w:autoSpaceDN/>
              <w:adjustRightInd/>
              <w:jc w:val="center"/>
              <w:rPr>
                <w:color w:val="000000"/>
                <w:sz w:val="24"/>
                <w:szCs w:val="24"/>
              </w:rPr>
            </w:pPr>
            <w:r>
              <w:rPr>
                <w:color w:val="000000"/>
                <w:sz w:val="24"/>
                <w:szCs w:val="24"/>
              </w:rPr>
              <w:t>6</w:t>
            </w:r>
          </w:p>
        </w:tc>
        <w:tc>
          <w:tcPr>
            <w:tcW w:w="1700" w:type="dxa"/>
            <w:tcBorders>
              <w:top w:val="nil"/>
              <w:left w:val="nil"/>
              <w:bottom w:val="single" w:sz="4" w:space="0" w:color="auto"/>
              <w:right w:val="single" w:sz="4" w:space="0" w:color="auto"/>
            </w:tcBorders>
            <w:shd w:val="clear" w:color="auto" w:fill="auto"/>
            <w:noWrap/>
            <w:vAlign w:val="bottom"/>
            <w:hideMark/>
          </w:tcPr>
          <w:p w:rsidR="00000000" w:rsidRDefault="00323237">
            <w:pPr>
              <w:autoSpaceDE/>
              <w:autoSpaceDN/>
              <w:adjustRightInd/>
              <w:jc w:val="center"/>
              <w:rPr>
                <w:color w:val="000000"/>
                <w:sz w:val="24"/>
                <w:szCs w:val="24"/>
              </w:rPr>
            </w:pPr>
            <w:r>
              <w:rPr>
                <w:color w:val="000000"/>
                <w:sz w:val="24"/>
                <w:szCs w:val="24"/>
              </w:rPr>
              <w:t>12</w:t>
            </w:r>
          </w:p>
        </w:tc>
        <w:tc>
          <w:tcPr>
            <w:tcW w:w="2256" w:type="dxa"/>
            <w:tcBorders>
              <w:top w:val="nil"/>
              <w:left w:val="nil"/>
              <w:bottom w:val="single" w:sz="4" w:space="0" w:color="auto"/>
              <w:right w:val="single" w:sz="4" w:space="0" w:color="auto"/>
            </w:tcBorders>
            <w:shd w:val="clear" w:color="auto" w:fill="auto"/>
            <w:noWrap/>
            <w:vAlign w:val="bottom"/>
            <w:hideMark/>
          </w:tcPr>
          <w:p w:rsidR="00000000" w:rsidRDefault="00323237">
            <w:pPr>
              <w:jc w:val="right"/>
              <w:rPr>
                <w:color w:val="000000"/>
                <w:sz w:val="24"/>
                <w:szCs w:val="24"/>
              </w:rPr>
            </w:pPr>
            <w:r>
              <w:rPr>
                <w:color w:val="000000"/>
                <w:sz w:val="24"/>
                <w:szCs w:val="24"/>
              </w:rPr>
              <w:t>130.62</w:t>
            </w:r>
          </w:p>
        </w:tc>
        <w:tc>
          <w:tcPr>
            <w:tcW w:w="1280" w:type="dxa"/>
            <w:tcBorders>
              <w:top w:val="nil"/>
              <w:left w:val="nil"/>
              <w:bottom w:val="single" w:sz="4" w:space="0" w:color="auto"/>
              <w:right w:val="single" w:sz="4" w:space="0" w:color="auto"/>
            </w:tcBorders>
            <w:shd w:val="clear" w:color="auto" w:fill="auto"/>
            <w:noWrap/>
            <w:vAlign w:val="bottom"/>
            <w:hideMark/>
          </w:tcPr>
          <w:p w:rsidR="00000000" w:rsidRDefault="00323237">
            <w:pPr>
              <w:jc w:val="right"/>
              <w:rPr>
                <w:color w:val="000000"/>
                <w:sz w:val="24"/>
                <w:szCs w:val="24"/>
              </w:rPr>
            </w:pPr>
            <w:r>
              <w:rPr>
                <w:color w:val="000000"/>
                <w:sz w:val="24"/>
                <w:szCs w:val="24"/>
              </w:rPr>
              <w:t>1567.44</w:t>
            </w:r>
          </w:p>
        </w:tc>
      </w:tr>
      <w:tr w:rsidR="00000000">
        <w:trPr>
          <w:trHeight w:val="255"/>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000000" w:rsidRDefault="00323237">
            <w:pPr>
              <w:autoSpaceDE/>
              <w:autoSpaceDN/>
              <w:adjustRightInd/>
              <w:rPr>
                <w:color w:val="000000"/>
                <w:sz w:val="24"/>
                <w:szCs w:val="24"/>
              </w:rPr>
            </w:pPr>
            <w:r>
              <w:rPr>
                <w:color w:val="000000"/>
                <w:sz w:val="24"/>
                <w:szCs w:val="24"/>
              </w:rPr>
              <w:t>Total</w:t>
            </w:r>
          </w:p>
        </w:tc>
        <w:tc>
          <w:tcPr>
            <w:tcW w:w="2500" w:type="dxa"/>
            <w:tcBorders>
              <w:top w:val="nil"/>
              <w:left w:val="nil"/>
              <w:bottom w:val="single" w:sz="4" w:space="0" w:color="auto"/>
              <w:right w:val="single" w:sz="4" w:space="0" w:color="auto"/>
            </w:tcBorders>
            <w:shd w:val="clear" w:color="auto" w:fill="auto"/>
            <w:noWrap/>
            <w:vAlign w:val="bottom"/>
            <w:hideMark/>
          </w:tcPr>
          <w:p w:rsidR="00000000" w:rsidRDefault="00323237">
            <w:pPr>
              <w:autoSpaceDE/>
              <w:autoSpaceDN/>
              <w:adjustRightInd/>
              <w:jc w:val="center"/>
              <w:rPr>
                <w:color w:val="000000"/>
                <w:sz w:val="24"/>
                <w:szCs w:val="24"/>
              </w:rPr>
            </w:pPr>
            <w:r>
              <w:rPr>
                <w:color w:val="000000"/>
                <w:sz w:val="24"/>
                <w:szCs w:val="24"/>
              </w:rPr>
              <w:t>5</w:t>
            </w:r>
          </w:p>
        </w:tc>
        <w:tc>
          <w:tcPr>
            <w:tcW w:w="3176" w:type="dxa"/>
            <w:tcBorders>
              <w:top w:val="nil"/>
              <w:left w:val="nil"/>
              <w:bottom w:val="single" w:sz="4" w:space="0" w:color="auto"/>
              <w:right w:val="single" w:sz="4" w:space="0" w:color="auto"/>
            </w:tcBorders>
            <w:shd w:val="clear" w:color="auto" w:fill="auto"/>
            <w:noWrap/>
            <w:vAlign w:val="bottom"/>
            <w:hideMark/>
          </w:tcPr>
          <w:p w:rsidR="00000000" w:rsidRDefault="00323237">
            <w:pPr>
              <w:autoSpaceDE/>
              <w:autoSpaceDN/>
              <w:adjustRightInd/>
              <w:jc w:val="center"/>
              <w:rPr>
                <w:color w:val="000000"/>
                <w:sz w:val="24"/>
                <w:szCs w:val="24"/>
              </w:rPr>
            </w:pPr>
            <w:r>
              <w:rPr>
                <w:color w:val="000000"/>
                <w:sz w:val="24"/>
                <w:szCs w:val="24"/>
              </w:rPr>
              <w:t> </w:t>
            </w:r>
          </w:p>
        </w:tc>
        <w:tc>
          <w:tcPr>
            <w:tcW w:w="1700" w:type="dxa"/>
            <w:tcBorders>
              <w:top w:val="nil"/>
              <w:left w:val="nil"/>
              <w:bottom w:val="single" w:sz="4" w:space="0" w:color="auto"/>
              <w:right w:val="single" w:sz="4" w:space="0" w:color="auto"/>
            </w:tcBorders>
            <w:shd w:val="clear" w:color="auto" w:fill="auto"/>
            <w:noWrap/>
            <w:vAlign w:val="bottom"/>
            <w:hideMark/>
          </w:tcPr>
          <w:p w:rsidR="00000000" w:rsidRDefault="00323237">
            <w:pPr>
              <w:autoSpaceDE/>
              <w:autoSpaceDN/>
              <w:adjustRightInd/>
              <w:jc w:val="center"/>
              <w:rPr>
                <w:color w:val="000000"/>
                <w:sz w:val="24"/>
                <w:szCs w:val="24"/>
              </w:rPr>
            </w:pPr>
            <w:r>
              <w:rPr>
                <w:color w:val="000000"/>
                <w:sz w:val="24"/>
                <w:szCs w:val="24"/>
              </w:rPr>
              <w:t>30</w:t>
            </w:r>
          </w:p>
        </w:tc>
        <w:tc>
          <w:tcPr>
            <w:tcW w:w="2256" w:type="dxa"/>
            <w:tcBorders>
              <w:top w:val="nil"/>
              <w:left w:val="nil"/>
              <w:bottom w:val="single" w:sz="4" w:space="0" w:color="auto"/>
              <w:right w:val="single" w:sz="4" w:space="0" w:color="auto"/>
            </w:tcBorders>
            <w:shd w:val="clear" w:color="auto" w:fill="auto"/>
            <w:noWrap/>
            <w:vAlign w:val="bottom"/>
            <w:hideMark/>
          </w:tcPr>
          <w:p w:rsidR="00000000" w:rsidRDefault="00323237">
            <w:pPr>
              <w:rPr>
                <w:color w:val="000000"/>
                <w:sz w:val="24"/>
                <w:szCs w:val="24"/>
              </w:rPr>
            </w:pPr>
            <w:r>
              <w:rPr>
                <w:color w:val="000000"/>
                <w:sz w:val="24"/>
                <w:szCs w:val="24"/>
              </w:rPr>
              <w:t> </w:t>
            </w:r>
          </w:p>
        </w:tc>
        <w:tc>
          <w:tcPr>
            <w:tcW w:w="1280" w:type="dxa"/>
            <w:tcBorders>
              <w:top w:val="nil"/>
              <w:left w:val="nil"/>
              <w:bottom w:val="single" w:sz="4" w:space="0" w:color="auto"/>
              <w:right w:val="single" w:sz="4" w:space="0" w:color="auto"/>
            </w:tcBorders>
            <w:shd w:val="clear" w:color="auto" w:fill="auto"/>
            <w:noWrap/>
            <w:vAlign w:val="bottom"/>
            <w:hideMark/>
          </w:tcPr>
          <w:p w:rsidR="00000000" w:rsidRDefault="00323237">
            <w:pPr>
              <w:jc w:val="right"/>
              <w:rPr>
                <w:color w:val="000000"/>
                <w:sz w:val="24"/>
                <w:szCs w:val="24"/>
              </w:rPr>
            </w:pPr>
            <w:r>
              <w:rPr>
                <w:color w:val="000000"/>
                <w:sz w:val="24"/>
                <w:szCs w:val="24"/>
              </w:rPr>
              <w:t>2957.76</w:t>
            </w:r>
          </w:p>
        </w:tc>
      </w:tr>
      <w:tr w:rsidR="00000000">
        <w:trPr>
          <w:trHeight w:val="276"/>
        </w:trPr>
        <w:tc>
          <w:tcPr>
            <w:tcW w:w="13352"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00000" w:rsidRDefault="00323237">
            <w:pPr>
              <w:autoSpaceDE/>
              <w:autoSpaceDN/>
              <w:adjustRightInd/>
              <w:rPr>
                <w:color w:val="000000"/>
                <w:sz w:val="24"/>
                <w:szCs w:val="24"/>
              </w:rPr>
            </w:pPr>
            <w:r>
              <w:rPr>
                <w:color w:val="000000"/>
                <w:sz w:val="24"/>
                <w:szCs w:val="24"/>
              </w:rPr>
              <w:t xml:space="preserve">*Ref. 1: United States Department of Labor, Bureau of Labor Statistics, May 2007 National Industry-Specific Occupational Employment and Wage Estimates, NAICS 325000 Chemical Manufacturing. </w:t>
            </w:r>
            <w:r>
              <w:rPr>
                <w:color w:val="000000"/>
                <w:sz w:val="24"/>
                <w:szCs w:val="24"/>
              </w:rPr>
              <w:t>The wages are for Environmental Engineers, General and Operations Managers, and Office and Administrative Support Occupations. The rates have been increased by 110 percent to account for the benefit packages available to those employed by private industry.</w:t>
            </w:r>
          </w:p>
        </w:tc>
      </w:tr>
      <w:tr w:rsidR="00000000">
        <w:trPr>
          <w:trHeight w:val="276"/>
        </w:trPr>
        <w:tc>
          <w:tcPr>
            <w:tcW w:w="13352" w:type="dxa"/>
            <w:gridSpan w:val="6"/>
            <w:vMerge/>
            <w:tcBorders>
              <w:top w:val="single" w:sz="4" w:space="0" w:color="auto"/>
              <w:left w:val="single" w:sz="4" w:space="0" w:color="auto"/>
              <w:bottom w:val="single" w:sz="4" w:space="0" w:color="auto"/>
              <w:right w:val="single" w:sz="4" w:space="0" w:color="auto"/>
            </w:tcBorders>
            <w:vAlign w:val="center"/>
            <w:hideMark/>
          </w:tcPr>
          <w:p w:rsidR="00000000" w:rsidRDefault="00323237">
            <w:pPr>
              <w:autoSpaceDE/>
              <w:autoSpaceDN/>
              <w:adjustRightInd/>
              <w:rPr>
                <w:color w:val="000000"/>
                <w:sz w:val="24"/>
                <w:szCs w:val="24"/>
              </w:rPr>
            </w:pPr>
          </w:p>
        </w:tc>
      </w:tr>
      <w:tr w:rsidR="00000000">
        <w:trPr>
          <w:trHeight w:val="276"/>
        </w:trPr>
        <w:tc>
          <w:tcPr>
            <w:tcW w:w="13352" w:type="dxa"/>
            <w:gridSpan w:val="6"/>
            <w:vMerge/>
            <w:tcBorders>
              <w:top w:val="single" w:sz="4" w:space="0" w:color="auto"/>
              <w:left w:val="single" w:sz="4" w:space="0" w:color="auto"/>
              <w:bottom w:val="single" w:sz="4" w:space="0" w:color="auto"/>
              <w:right w:val="single" w:sz="4" w:space="0" w:color="auto"/>
            </w:tcBorders>
            <w:vAlign w:val="center"/>
            <w:hideMark/>
          </w:tcPr>
          <w:p w:rsidR="00000000" w:rsidRDefault="00323237">
            <w:pPr>
              <w:autoSpaceDE/>
              <w:autoSpaceDN/>
              <w:adjustRightInd/>
              <w:rPr>
                <w:color w:val="000000"/>
                <w:sz w:val="24"/>
                <w:szCs w:val="24"/>
              </w:rPr>
            </w:pPr>
          </w:p>
        </w:tc>
      </w:tr>
    </w:tbl>
    <w:p w:rsidR="00323237" w:rsidRDefault="00323237">
      <w:pPr>
        <w:tabs>
          <w:tab w:val="left" w:pos="2461"/>
        </w:tabs>
      </w:pPr>
    </w:p>
    <w:sectPr w:rsidR="00323237">
      <w:pgSz w:w="15840" w:h="12240" w:orient="landscape" w:code="1"/>
      <w:pgMar w:top="432" w:right="432" w:bottom="432" w:left="432" w:header="1008"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237" w:rsidRDefault="00323237">
      <w:r>
        <w:separator/>
      </w:r>
    </w:p>
  </w:endnote>
  <w:endnote w:type="continuationSeparator" w:id="0">
    <w:p w:rsidR="00323237" w:rsidRDefault="003232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232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3232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237" w:rsidRDefault="00323237">
      <w:r>
        <w:separator/>
      </w:r>
    </w:p>
  </w:footnote>
  <w:footnote w:type="continuationSeparator" w:id="0">
    <w:p w:rsidR="00323237" w:rsidRDefault="003232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2323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3232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2323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4801">
      <w:rPr>
        <w:rStyle w:val="PageNumber"/>
        <w:noProof/>
      </w:rPr>
      <w:t>5</w:t>
    </w:r>
    <w:r>
      <w:rPr>
        <w:rStyle w:val="PageNumber"/>
      </w:rPr>
      <w:fldChar w:fldCharType="end"/>
    </w:r>
  </w:p>
  <w:p w:rsidR="00000000" w:rsidRDefault="003232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021F"/>
    <w:multiLevelType w:val="hybridMultilevel"/>
    <w:tmpl w:val="B6E631C6"/>
    <w:lvl w:ilvl="0" w:tplc="C53C0BC4">
      <w:start w:val="3"/>
      <w:numFmt w:val="lowerRoman"/>
      <w:lvlText w:val="(%1)"/>
      <w:lvlJc w:val="left"/>
      <w:pPr>
        <w:tabs>
          <w:tab w:val="num" w:pos="1440"/>
        </w:tabs>
        <w:ind w:left="1440" w:hanging="720"/>
      </w:pPr>
      <w:rPr>
        <w:rFonts w:hint="default"/>
        <w:i/>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E631B6F"/>
    <w:multiLevelType w:val="hybridMultilevel"/>
    <w:tmpl w:val="F6FE335A"/>
    <w:lvl w:ilvl="0" w:tplc="85F0C298">
      <w:start w:val="2006"/>
      <w:numFmt w:val="decimal"/>
      <w:lvlText w:val="%1."/>
      <w:lvlJc w:val="left"/>
      <w:pPr>
        <w:tabs>
          <w:tab w:val="num" w:pos="1020"/>
        </w:tabs>
        <w:ind w:left="102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A50CE1"/>
    <w:multiLevelType w:val="hybridMultilevel"/>
    <w:tmpl w:val="25A235DA"/>
    <w:lvl w:ilvl="0" w:tplc="76B68A5A">
      <w:start w:val="2"/>
      <w:numFmt w:val="low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CE41A11"/>
    <w:multiLevelType w:val="hybridMultilevel"/>
    <w:tmpl w:val="B73E6836"/>
    <w:lvl w:ilvl="0" w:tplc="C9007ACE">
      <w:start w:val="1"/>
      <w:numFmt w:val="low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94E61A8"/>
    <w:multiLevelType w:val="hybridMultilevel"/>
    <w:tmpl w:val="2A404054"/>
    <w:lvl w:ilvl="0" w:tplc="FD425562">
      <w:start w:val="3"/>
      <w:numFmt w:val="lowerRoman"/>
      <w:lvlText w:val="(%1)"/>
      <w:lvlJc w:val="left"/>
      <w:pPr>
        <w:tabs>
          <w:tab w:val="num" w:pos="1440"/>
        </w:tabs>
        <w:ind w:left="1440" w:hanging="720"/>
      </w:pPr>
      <w:rPr>
        <w:rFonts w:hint="default"/>
        <w:i/>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B62019C"/>
    <w:multiLevelType w:val="hybridMultilevel"/>
    <w:tmpl w:val="32DEB4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F3399E"/>
    <w:multiLevelType w:val="hybridMultilevel"/>
    <w:tmpl w:val="783ACEBA"/>
    <w:lvl w:ilvl="0" w:tplc="B3C887FC">
      <w:start w:val="2"/>
      <w:numFmt w:val="low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26F777B"/>
    <w:multiLevelType w:val="hybridMultilevel"/>
    <w:tmpl w:val="01C42100"/>
    <w:lvl w:ilvl="0" w:tplc="F03AA734">
      <w:start w:val="2"/>
      <w:numFmt w:val="lowerRoman"/>
      <w:lvlText w:val="(%1)"/>
      <w:lvlJc w:val="left"/>
      <w:pPr>
        <w:tabs>
          <w:tab w:val="num" w:pos="1440"/>
        </w:tabs>
        <w:ind w:left="1440" w:hanging="720"/>
      </w:pPr>
      <w:rPr>
        <w:rFonts w:hint="default"/>
        <w:b w:val="0"/>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D602CA0"/>
    <w:multiLevelType w:val="hybridMultilevel"/>
    <w:tmpl w:val="2572028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0441327"/>
    <w:multiLevelType w:val="hybridMultilevel"/>
    <w:tmpl w:val="EDE2BED8"/>
    <w:lvl w:ilvl="0" w:tplc="7840CE2C">
      <w:start w:val="2"/>
      <w:numFmt w:val="low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2722C82"/>
    <w:multiLevelType w:val="hybridMultilevel"/>
    <w:tmpl w:val="5F7C77BA"/>
    <w:lvl w:ilvl="0" w:tplc="E3BEB5A8">
      <w:start w:val="2"/>
      <w:numFmt w:val="low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CBF01EB"/>
    <w:multiLevelType w:val="hybridMultilevel"/>
    <w:tmpl w:val="51580CB6"/>
    <w:lvl w:ilvl="0" w:tplc="206E657A">
      <w:start w:val="1"/>
      <w:numFmt w:val="low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3"/>
  </w:num>
  <w:num w:numId="3">
    <w:abstractNumId w:val="8"/>
  </w:num>
  <w:num w:numId="4">
    <w:abstractNumId w:val="5"/>
  </w:num>
  <w:num w:numId="5">
    <w:abstractNumId w:val="7"/>
  </w:num>
  <w:num w:numId="6">
    <w:abstractNumId w:val="2"/>
  </w:num>
  <w:num w:numId="7">
    <w:abstractNumId w:val="10"/>
  </w:num>
  <w:num w:numId="8">
    <w:abstractNumId w:val="9"/>
  </w:num>
  <w:num w:numId="9">
    <w:abstractNumId w:val="4"/>
  </w:num>
  <w:num w:numId="10">
    <w:abstractNumId w:val="0"/>
  </w:num>
  <w:num w:numId="11">
    <w:abstractNumId w:val="1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184A"/>
    <w:rsid w:val="00323237"/>
    <w:rsid w:val="0062184A"/>
    <w:rsid w:val="00F0480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ti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BodyText-5indent">
    <w:name w:val="Body Text - .5 indent"/>
    <w:basedOn w:val="BodyText"/>
    <w:link w:val="BodyText-5indentChar"/>
    <w:pPr>
      <w:autoSpaceDE/>
      <w:autoSpaceDN/>
      <w:adjustRightInd/>
      <w:spacing w:after="0" w:line="480" w:lineRule="auto"/>
      <w:ind w:firstLine="720"/>
    </w:pPr>
    <w:rPr>
      <w:rFonts w:ascii="Courier New" w:hAnsi="Courier New"/>
      <w:sz w:val="24"/>
      <w:szCs w:val="24"/>
    </w:rPr>
  </w:style>
  <w:style w:type="paragraph" w:styleId="BodyText">
    <w:name w:val="Body Text"/>
    <w:basedOn w:val="Normal"/>
    <w:pPr>
      <w:spacing w:after="120"/>
    </w:pPr>
  </w:style>
  <w:style w:type="character" w:customStyle="1" w:styleId="BodyText-5indentChar">
    <w:name w:val="Body Text - .5 indent Char"/>
    <w:basedOn w:val="DefaultParagraphFont"/>
    <w:link w:val="BodyText-5indent"/>
    <w:rPr>
      <w:rFonts w:ascii="Courier New" w:hAnsi="Courier New"/>
      <w:sz w:val="24"/>
      <w:szCs w:val="24"/>
      <w:lang w:val="en-US"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pPr>
      <w:widowControl w:val="0"/>
    </w:p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szCs w:val="16"/>
    </w:rPr>
  </w:style>
  <w:style w:type="paragraph" w:styleId="CommentText">
    <w:name w:val="annotation text"/>
    <w:basedOn w:val="Normal"/>
    <w:semiHidden/>
    <w:pPr>
      <w:widowControl w:val="0"/>
    </w:pPr>
    <w:rPr>
      <w:rFonts w:ascii="Courier New" w:hAnsi="Courier New"/>
    </w:rPr>
  </w:style>
  <w:style w:type="paragraph" w:styleId="CommentSubject">
    <w:name w:val="annotation subject"/>
    <w:basedOn w:val="CommentText"/>
    <w:next w:val="CommentText"/>
    <w:semiHidden/>
    <w:pPr>
      <w:widowControl/>
    </w:pPr>
    <w:rPr>
      <w:rFonts w:ascii="Times New Roman" w:hAnsi="Times New Roman"/>
      <w:b/>
      <w:bCs/>
    </w:rPr>
  </w:style>
</w:styles>
</file>

<file path=word/webSettings.xml><?xml version="1.0" encoding="utf-8"?>
<w:webSettings xmlns:r="http://schemas.openxmlformats.org/officeDocument/2006/relationships" xmlns:w="http://schemas.openxmlformats.org/wordprocessingml/2006/main">
  <w:divs>
    <w:div w:id="68113038">
      <w:bodyDiv w:val="1"/>
      <w:marLeft w:val="0"/>
      <w:marRight w:val="0"/>
      <w:marTop w:val="0"/>
      <w:marBottom w:val="0"/>
      <w:divBdr>
        <w:top w:val="none" w:sz="0" w:space="0" w:color="auto"/>
        <w:left w:val="none" w:sz="0" w:space="0" w:color="auto"/>
        <w:bottom w:val="none" w:sz="0" w:space="0" w:color="auto"/>
        <w:right w:val="none" w:sz="0" w:space="0" w:color="auto"/>
      </w:divBdr>
    </w:div>
    <w:div w:id="179050204">
      <w:bodyDiv w:val="1"/>
      <w:marLeft w:val="0"/>
      <w:marRight w:val="0"/>
      <w:marTop w:val="0"/>
      <w:marBottom w:val="0"/>
      <w:divBdr>
        <w:top w:val="none" w:sz="0" w:space="0" w:color="auto"/>
        <w:left w:val="none" w:sz="0" w:space="0" w:color="auto"/>
        <w:bottom w:val="none" w:sz="0" w:space="0" w:color="auto"/>
        <w:right w:val="none" w:sz="0" w:space="0" w:color="auto"/>
      </w:divBdr>
    </w:div>
    <w:div w:id="261499826">
      <w:bodyDiv w:val="1"/>
      <w:marLeft w:val="0"/>
      <w:marRight w:val="0"/>
      <w:marTop w:val="0"/>
      <w:marBottom w:val="0"/>
      <w:divBdr>
        <w:top w:val="none" w:sz="0" w:space="0" w:color="auto"/>
        <w:left w:val="none" w:sz="0" w:space="0" w:color="auto"/>
        <w:bottom w:val="none" w:sz="0" w:space="0" w:color="auto"/>
        <w:right w:val="none" w:sz="0" w:space="0" w:color="auto"/>
      </w:divBdr>
    </w:div>
    <w:div w:id="355467372">
      <w:bodyDiv w:val="1"/>
      <w:marLeft w:val="0"/>
      <w:marRight w:val="0"/>
      <w:marTop w:val="0"/>
      <w:marBottom w:val="0"/>
      <w:divBdr>
        <w:top w:val="none" w:sz="0" w:space="0" w:color="auto"/>
        <w:left w:val="none" w:sz="0" w:space="0" w:color="auto"/>
        <w:bottom w:val="none" w:sz="0" w:space="0" w:color="auto"/>
        <w:right w:val="none" w:sz="0" w:space="0" w:color="auto"/>
      </w:divBdr>
    </w:div>
    <w:div w:id="395247783">
      <w:bodyDiv w:val="1"/>
      <w:marLeft w:val="0"/>
      <w:marRight w:val="0"/>
      <w:marTop w:val="0"/>
      <w:marBottom w:val="0"/>
      <w:divBdr>
        <w:top w:val="none" w:sz="0" w:space="0" w:color="auto"/>
        <w:left w:val="none" w:sz="0" w:space="0" w:color="auto"/>
        <w:bottom w:val="none" w:sz="0" w:space="0" w:color="auto"/>
        <w:right w:val="none" w:sz="0" w:space="0" w:color="auto"/>
      </w:divBdr>
    </w:div>
    <w:div w:id="404956476">
      <w:bodyDiv w:val="1"/>
      <w:marLeft w:val="0"/>
      <w:marRight w:val="0"/>
      <w:marTop w:val="0"/>
      <w:marBottom w:val="0"/>
      <w:divBdr>
        <w:top w:val="none" w:sz="0" w:space="0" w:color="auto"/>
        <w:left w:val="none" w:sz="0" w:space="0" w:color="auto"/>
        <w:bottom w:val="none" w:sz="0" w:space="0" w:color="auto"/>
        <w:right w:val="none" w:sz="0" w:space="0" w:color="auto"/>
      </w:divBdr>
    </w:div>
    <w:div w:id="424302886">
      <w:bodyDiv w:val="1"/>
      <w:marLeft w:val="0"/>
      <w:marRight w:val="0"/>
      <w:marTop w:val="0"/>
      <w:marBottom w:val="0"/>
      <w:divBdr>
        <w:top w:val="none" w:sz="0" w:space="0" w:color="auto"/>
        <w:left w:val="none" w:sz="0" w:space="0" w:color="auto"/>
        <w:bottom w:val="none" w:sz="0" w:space="0" w:color="auto"/>
        <w:right w:val="none" w:sz="0" w:space="0" w:color="auto"/>
      </w:divBdr>
    </w:div>
    <w:div w:id="524026205">
      <w:bodyDiv w:val="1"/>
      <w:marLeft w:val="0"/>
      <w:marRight w:val="0"/>
      <w:marTop w:val="0"/>
      <w:marBottom w:val="0"/>
      <w:divBdr>
        <w:top w:val="none" w:sz="0" w:space="0" w:color="auto"/>
        <w:left w:val="none" w:sz="0" w:space="0" w:color="auto"/>
        <w:bottom w:val="none" w:sz="0" w:space="0" w:color="auto"/>
        <w:right w:val="none" w:sz="0" w:space="0" w:color="auto"/>
      </w:divBdr>
    </w:div>
    <w:div w:id="568618383">
      <w:bodyDiv w:val="1"/>
      <w:marLeft w:val="0"/>
      <w:marRight w:val="0"/>
      <w:marTop w:val="0"/>
      <w:marBottom w:val="0"/>
      <w:divBdr>
        <w:top w:val="none" w:sz="0" w:space="0" w:color="auto"/>
        <w:left w:val="none" w:sz="0" w:space="0" w:color="auto"/>
        <w:bottom w:val="none" w:sz="0" w:space="0" w:color="auto"/>
        <w:right w:val="none" w:sz="0" w:space="0" w:color="auto"/>
      </w:divBdr>
    </w:div>
    <w:div w:id="585110699">
      <w:bodyDiv w:val="1"/>
      <w:marLeft w:val="0"/>
      <w:marRight w:val="0"/>
      <w:marTop w:val="0"/>
      <w:marBottom w:val="0"/>
      <w:divBdr>
        <w:top w:val="none" w:sz="0" w:space="0" w:color="auto"/>
        <w:left w:val="none" w:sz="0" w:space="0" w:color="auto"/>
        <w:bottom w:val="none" w:sz="0" w:space="0" w:color="auto"/>
        <w:right w:val="none" w:sz="0" w:space="0" w:color="auto"/>
      </w:divBdr>
    </w:div>
    <w:div w:id="627397469">
      <w:bodyDiv w:val="1"/>
      <w:marLeft w:val="0"/>
      <w:marRight w:val="0"/>
      <w:marTop w:val="0"/>
      <w:marBottom w:val="0"/>
      <w:divBdr>
        <w:top w:val="none" w:sz="0" w:space="0" w:color="auto"/>
        <w:left w:val="none" w:sz="0" w:space="0" w:color="auto"/>
        <w:bottom w:val="none" w:sz="0" w:space="0" w:color="auto"/>
        <w:right w:val="none" w:sz="0" w:space="0" w:color="auto"/>
      </w:divBdr>
    </w:div>
    <w:div w:id="712535303">
      <w:bodyDiv w:val="1"/>
      <w:marLeft w:val="0"/>
      <w:marRight w:val="0"/>
      <w:marTop w:val="0"/>
      <w:marBottom w:val="0"/>
      <w:divBdr>
        <w:top w:val="none" w:sz="0" w:space="0" w:color="auto"/>
        <w:left w:val="none" w:sz="0" w:space="0" w:color="auto"/>
        <w:bottom w:val="none" w:sz="0" w:space="0" w:color="auto"/>
        <w:right w:val="none" w:sz="0" w:space="0" w:color="auto"/>
      </w:divBdr>
    </w:div>
    <w:div w:id="732194040">
      <w:bodyDiv w:val="1"/>
      <w:marLeft w:val="0"/>
      <w:marRight w:val="0"/>
      <w:marTop w:val="0"/>
      <w:marBottom w:val="0"/>
      <w:divBdr>
        <w:top w:val="none" w:sz="0" w:space="0" w:color="auto"/>
        <w:left w:val="none" w:sz="0" w:space="0" w:color="auto"/>
        <w:bottom w:val="none" w:sz="0" w:space="0" w:color="auto"/>
        <w:right w:val="none" w:sz="0" w:space="0" w:color="auto"/>
      </w:divBdr>
    </w:div>
    <w:div w:id="865098395">
      <w:bodyDiv w:val="1"/>
      <w:marLeft w:val="0"/>
      <w:marRight w:val="0"/>
      <w:marTop w:val="0"/>
      <w:marBottom w:val="0"/>
      <w:divBdr>
        <w:top w:val="none" w:sz="0" w:space="0" w:color="auto"/>
        <w:left w:val="none" w:sz="0" w:space="0" w:color="auto"/>
        <w:bottom w:val="none" w:sz="0" w:space="0" w:color="auto"/>
        <w:right w:val="none" w:sz="0" w:space="0" w:color="auto"/>
      </w:divBdr>
    </w:div>
    <w:div w:id="903565963">
      <w:bodyDiv w:val="1"/>
      <w:marLeft w:val="0"/>
      <w:marRight w:val="0"/>
      <w:marTop w:val="0"/>
      <w:marBottom w:val="0"/>
      <w:divBdr>
        <w:top w:val="none" w:sz="0" w:space="0" w:color="auto"/>
        <w:left w:val="none" w:sz="0" w:space="0" w:color="auto"/>
        <w:bottom w:val="none" w:sz="0" w:space="0" w:color="auto"/>
        <w:right w:val="none" w:sz="0" w:space="0" w:color="auto"/>
      </w:divBdr>
    </w:div>
    <w:div w:id="1052655238">
      <w:bodyDiv w:val="1"/>
      <w:marLeft w:val="0"/>
      <w:marRight w:val="0"/>
      <w:marTop w:val="0"/>
      <w:marBottom w:val="0"/>
      <w:divBdr>
        <w:top w:val="none" w:sz="0" w:space="0" w:color="auto"/>
        <w:left w:val="none" w:sz="0" w:space="0" w:color="auto"/>
        <w:bottom w:val="none" w:sz="0" w:space="0" w:color="auto"/>
        <w:right w:val="none" w:sz="0" w:space="0" w:color="auto"/>
      </w:divBdr>
    </w:div>
    <w:div w:id="1062171640">
      <w:bodyDiv w:val="1"/>
      <w:marLeft w:val="0"/>
      <w:marRight w:val="0"/>
      <w:marTop w:val="0"/>
      <w:marBottom w:val="0"/>
      <w:divBdr>
        <w:top w:val="none" w:sz="0" w:space="0" w:color="auto"/>
        <w:left w:val="none" w:sz="0" w:space="0" w:color="auto"/>
        <w:bottom w:val="none" w:sz="0" w:space="0" w:color="auto"/>
        <w:right w:val="none" w:sz="0" w:space="0" w:color="auto"/>
      </w:divBdr>
    </w:div>
    <w:div w:id="1113476648">
      <w:bodyDiv w:val="1"/>
      <w:marLeft w:val="0"/>
      <w:marRight w:val="0"/>
      <w:marTop w:val="0"/>
      <w:marBottom w:val="0"/>
      <w:divBdr>
        <w:top w:val="none" w:sz="0" w:space="0" w:color="auto"/>
        <w:left w:val="none" w:sz="0" w:space="0" w:color="auto"/>
        <w:bottom w:val="none" w:sz="0" w:space="0" w:color="auto"/>
        <w:right w:val="none" w:sz="0" w:space="0" w:color="auto"/>
      </w:divBdr>
    </w:div>
    <w:div w:id="1216429728">
      <w:bodyDiv w:val="1"/>
      <w:marLeft w:val="0"/>
      <w:marRight w:val="0"/>
      <w:marTop w:val="0"/>
      <w:marBottom w:val="0"/>
      <w:divBdr>
        <w:top w:val="none" w:sz="0" w:space="0" w:color="auto"/>
        <w:left w:val="none" w:sz="0" w:space="0" w:color="auto"/>
        <w:bottom w:val="none" w:sz="0" w:space="0" w:color="auto"/>
        <w:right w:val="none" w:sz="0" w:space="0" w:color="auto"/>
      </w:divBdr>
    </w:div>
    <w:div w:id="1252088256">
      <w:bodyDiv w:val="1"/>
      <w:marLeft w:val="0"/>
      <w:marRight w:val="0"/>
      <w:marTop w:val="0"/>
      <w:marBottom w:val="0"/>
      <w:divBdr>
        <w:top w:val="none" w:sz="0" w:space="0" w:color="auto"/>
        <w:left w:val="none" w:sz="0" w:space="0" w:color="auto"/>
        <w:bottom w:val="none" w:sz="0" w:space="0" w:color="auto"/>
        <w:right w:val="none" w:sz="0" w:space="0" w:color="auto"/>
      </w:divBdr>
    </w:div>
    <w:div w:id="1314869476">
      <w:bodyDiv w:val="1"/>
      <w:marLeft w:val="0"/>
      <w:marRight w:val="0"/>
      <w:marTop w:val="0"/>
      <w:marBottom w:val="0"/>
      <w:divBdr>
        <w:top w:val="none" w:sz="0" w:space="0" w:color="auto"/>
        <w:left w:val="none" w:sz="0" w:space="0" w:color="auto"/>
        <w:bottom w:val="none" w:sz="0" w:space="0" w:color="auto"/>
        <w:right w:val="none" w:sz="0" w:space="0" w:color="auto"/>
      </w:divBdr>
    </w:div>
    <w:div w:id="1369913939">
      <w:bodyDiv w:val="1"/>
      <w:marLeft w:val="0"/>
      <w:marRight w:val="0"/>
      <w:marTop w:val="0"/>
      <w:marBottom w:val="0"/>
      <w:divBdr>
        <w:top w:val="none" w:sz="0" w:space="0" w:color="auto"/>
        <w:left w:val="none" w:sz="0" w:space="0" w:color="auto"/>
        <w:bottom w:val="none" w:sz="0" w:space="0" w:color="auto"/>
        <w:right w:val="none" w:sz="0" w:space="0" w:color="auto"/>
      </w:divBdr>
    </w:div>
    <w:div w:id="1401825686">
      <w:bodyDiv w:val="1"/>
      <w:marLeft w:val="0"/>
      <w:marRight w:val="0"/>
      <w:marTop w:val="0"/>
      <w:marBottom w:val="0"/>
      <w:divBdr>
        <w:top w:val="none" w:sz="0" w:space="0" w:color="auto"/>
        <w:left w:val="none" w:sz="0" w:space="0" w:color="auto"/>
        <w:bottom w:val="none" w:sz="0" w:space="0" w:color="auto"/>
        <w:right w:val="none" w:sz="0" w:space="0" w:color="auto"/>
      </w:divBdr>
    </w:div>
    <w:div w:id="1419056204">
      <w:bodyDiv w:val="1"/>
      <w:marLeft w:val="0"/>
      <w:marRight w:val="0"/>
      <w:marTop w:val="0"/>
      <w:marBottom w:val="0"/>
      <w:divBdr>
        <w:top w:val="none" w:sz="0" w:space="0" w:color="auto"/>
        <w:left w:val="none" w:sz="0" w:space="0" w:color="auto"/>
        <w:bottom w:val="none" w:sz="0" w:space="0" w:color="auto"/>
        <w:right w:val="none" w:sz="0" w:space="0" w:color="auto"/>
      </w:divBdr>
    </w:div>
    <w:div w:id="1451362553">
      <w:bodyDiv w:val="1"/>
      <w:marLeft w:val="0"/>
      <w:marRight w:val="0"/>
      <w:marTop w:val="0"/>
      <w:marBottom w:val="0"/>
      <w:divBdr>
        <w:top w:val="none" w:sz="0" w:space="0" w:color="auto"/>
        <w:left w:val="none" w:sz="0" w:space="0" w:color="auto"/>
        <w:bottom w:val="none" w:sz="0" w:space="0" w:color="auto"/>
        <w:right w:val="none" w:sz="0" w:space="0" w:color="auto"/>
      </w:divBdr>
    </w:div>
    <w:div w:id="1469517427">
      <w:bodyDiv w:val="1"/>
      <w:marLeft w:val="0"/>
      <w:marRight w:val="0"/>
      <w:marTop w:val="0"/>
      <w:marBottom w:val="0"/>
      <w:divBdr>
        <w:top w:val="none" w:sz="0" w:space="0" w:color="auto"/>
        <w:left w:val="none" w:sz="0" w:space="0" w:color="auto"/>
        <w:bottom w:val="none" w:sz="0" w:space="0" w:color="auto"/>
        <w:right w:val="none" w:sz="0" w:space="0" w:color="auto"/>
      </w:divBdr>
    </w:div>
    <w:div w:id="1577588565">
      <w:bodyDiv w:val="1"/>
      <w:marLeft w:val="0"/>
      <w:marRight w:val="0"/>
      <w:marTop w:val="0"/>
      <w:marBottom w:val="0"/>
      <w:divBdr>
        <w:top w:val="none" w:sz="0" w:space="0" w:color="auto"/>
        <w:left w:val="none" w:sz="0" w:space="0" w:color="auto"/>
        <w:bottom w:val="none" w:sz="0" w:space="0" w:color="auto"/>
        <w:right w:val="none" w:sz="0" w:space="0" w:color="auto"/>
      </w:divBdr>
    </w:div>
    <w:div w:id="1688872916">
      <w:bodyDiv w:val="1"/>
      <w:marLeft w:val="0"/>
      <w:marRight w:val="0"/>
      <w:marTop w:val="0"/>
      <w:marBottom w:val="0"/>
      <w:divBdr>
        <w:top w:val="none" w:sz="0" w:space="0" w:color="auto"/>
        <w:left w:val="none" w:sz="0" w:space="0" w:color="auto"/>
        <w:bottom w:val="none" w:sz="0" w:space="0" w:color="auto"/>
        <w:right w:val="none" w:sz="0" w:space="0" w:color="auto"/>
      </w:divBdr>
    </w:div>
    <w:div w:id="1731725861">
      <w:bodyDiv w:val="1"/>
      <w:marLeft w:val="0"/>
      <w:marRight w:val="0"/>
      <w:marTop w:val="0"/>
      <w:marBottom w:val="0"/>
      <w:divBdr>
        <w:top w:val="none" w:sz="0" w:space="0" w:color="auto"/>
        <w:left w:val="none" w:sz="0" w:space="0" w:color="auto"/>
        <w:bottom w:val="none" w:sz="0" w:space="0" w:color="auto"/>
        <w:right w:val="none" w:sz="0" w:space="0" w:color="auto"/>
      </w:divBdr>
    </w:div>
    <w:div w:id="1739670331">
      <w:bodyDiv w:val="1"/>
      <w:marLeft w:val="0"/>
      <w:marRight w:val="0"/>
      <w:marTop w:val="0"/>
      <w:marBottom w:val="0"/>
      <w:divBdr>
        <w:top w:val="none" w:sz="0" w:space="0" w:color="auto"/>
        <w:left w:val="none" w:sz="0" w:space="0" w:color="auto"/>
        <w:bottom w:val="none" w:sz="0" w:space="0" w:color="auto"/>
        <w:right w:val="none" w:sz="0" w:space="0" w:color="auto"/>
      </w:divBdr>
    </w:div>
    <w:div w:id="1779832573">
      <w:bodyDiv w:val="1"/>
      <w:marLeft w:val="0"/>
      <w:marRight w:val="0"/>
      <w:marTop w:val="0"/>
      <w:marBottom w:val="0"/>
      <w:divBdr>
        <w:top w:val="none" w:sz="0" w:space="0" w:color="auto"/>
        <w:left w:val="none" w:sz="0" w:space="0" w:color="auto"/>
        <w:bottom w:val="none" w:sz="0" w:space="0" w:color="auto"/>
        <w:right w:val="none" w:sz="0" w:space="0" w:color="auto"/>
      </w:divBdr>
    </w:div>
    <w:div w:id="1781416270">
      <w:bodyDiv w:val="1"/>
      <w:marLeft w:val="0"/>
      <w:marRight w:val="0"/>
      <w:marTop w:val="0"/>
      <w:marBottom w:val="0"/>
      <w:divBdr>
        <w:top w:val="none" w:sz="0" w:space="0" w:color="auto"/>
        <w:left w:val="none" w:sz="0" w:space="0" w:color="auto"/>
        <w:bottom w:val="none" w:sz="0" w:space="0" w:color="auto"/>
        <w:right w:val="none" w:sz="0" w:space="0" w:color="auto"/>
      </w:divBdr>
    </w:div>
    <w:div w:id="1816291848">
      <w:bodyDiv w:val="1"/>
      <w:marLeft w:val="0"/>
      <w:marRight w:val="0"/>
      <w:marTop w:val="0"/>
      <w:marBottom w:val="0"/>
      <w:divBdr>
        <w:top w:val="none" w:sz="0" w:space="0" w:color="auto"/>
        <w:left w:val="none" w:sz="0" w:space="0" w:color="auto"/>
        <w:bottom w:val="none" w:sz="0" w:space="0" w:color="auto"/>
        <w:right w:val="none" w:sz="0" w:space="0" w:color="auto"/>
      </w:divBdr>
    </w:div>
    <w:div w:id="1952008093">
      <w:bodyDiv w:val="1"/>
      <w:marLeft w:val="0"/>
      <w:marRight w:val="0"/>
      <w:marTop w:val="0"/>
      <w:marBottom w:val="0"/>
      <w:divBdr>
        <w:top w:val="none" w:sz="0" w:space="0" w:color="auto"/>
        <w:left w:val="none" w:sz="0" w:space="0" w:color="auto"/>
        <w:bottom w:val="none" w:sz="0" w:space="0" w:color="auto"/>
        <w:right w:val="none" w:sz="0" w:space="0" w:color="auto"/>
      </w:divBdr>
    </w:div>
    <w:div w:id="2062173880">
      <w:bodyDiv w:val="1"/>
      <w:marLeft w:val="0"/>
      <w:marRight w:val="0"/>
      <w:marTop w:val="0"/>
      <w:marBottom w:val="0"/>
      <w:divBdr>
        <w:top w:val="none" w:sz="0" w:space="0" w:color="auto"/>
        <w:left w:val="none" w:sz="0" w:space="0" w:color="auto"/>
        <w:bottom w:val="none" w:sz="0" w:space="0" w:color="auto"/>
        <w:right w:val="none" w:sz="0" w:space="0" w:color="auto"/>
      </w:divBdr>
    </w:div>
    <w:div w:id="214141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m.gov/oca/07tables/html/gs_h.as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ats.bls.gov/oes/current/oessrci.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gulation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8330</Words>
  <Characters>47481</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SF -83 SUPPORTING STATEMENT </vt:lpstr>
    </vt:vector>
  </TitlesOfParts>
  <Company>EPA</Company>
  <LinksUpToDate>false</LinksUpToDate>
  <CharactersWithSpaces>55700</CharactersWithSpaces>
  <SharedDoc>false</SharedDoc>
  <HLinks>
    <vt:vector size="18" baseType="variant">
      <vt:variant>
        <vt:i4>2818151</vt:i4>
      </vt:variant>
      <vt:variant>
        <vt:i4>6</vt:i4>
      </vt:variant>
      <vt:variant>
        <vt:i4>0</vt:i4>
      </vt:variant>
      <vt:variant>
        <vt:i4>5</vt:i4>
      </vt:variant>
      <vt:variant>
        <vt:lpwstr>http://www.regulations.gov/</vt:lpwstr>
      </vt:variant>
      <vt:variant>
        <vt:lpwstr/>
      </vt:variant>
      <vt:variant>
        <vt:i4>2555931</vt:i4>
      </vt:variant>
      <vt:variant>
        <vt:i4>3</vt:i4>
      </vt:variant>
      <vt:variant>
        <vt:i4>0</vt:i4>
      </vt:variant>
      <vt:variant>
        <vt:i4>5</vt:i4>
      </vt:variant>
      <vt:variant>
        <vt:lpwstr>http://www.opm.gov/oca/07tables/html/gs_h.asp</vt:lpwstr>
      </vt:variant>
      <vt:variant>
        <vt:lpwstr/>
      </vt:variant>
      <vt:variant>
        <vt:i4>5505030</vt:i4>
      </vt:variant>
      <vt:variant>
        <vt:i4>0</vt:i4>
      </vt:variant>
      <vt:variant>
        <vt:i4>0</vt:i4>
      </vt:variant>
      <vt:variant>
        <vt:i4>5</vt:i4>
      </vt:variant>
      <vt:variant>
        <vt:lpwstr>http://stats.bls.gov/oes/current/oessrci.htm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SUPPORTING STATEMENT </dc:title>
  <dc:subject/>
  <dc:creator> </dc:creator>
  <cp:keywords/>
  <dc:description/>
  <cp:lastModifiedBy>Courtney Kerwin</cp:lastModifiedBy>
  <cp:revision>3</cp:revision>
  <cp:lastPrinted>2009-04-27T21:13:00Z</cp:lastPrinted>
  <dcterms:created xsi:type="dcterms:W3CDTF">2012-12-12T14:49:00Z</dcterms:created>
  <dcterms:modified xsi:type="dcterms:W3CDTF">2012-12-12T14:49:00Z</dcterms:modified>
</cp:coreProperties>
</file>