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C204D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pPr>
        <w:tabs>
          <w:tab w:val="center" w:pos="4680"/>
        </w:tabs>
      </w:pPr>
      <w:r>
        <w:rPr>
          <w:b/>
          <w:bCs/>
        </w:rPr>
        <w:tab/>
        <w:t>ENVIRONMENTAL PROTECTION AGENCY</w:t>
      </w:r>
    </w:p>
    <w:p w:rsidR="00CA4CD6" w:rsidRPr="00EE36B8" w:rsidRDefault="00CA4CD6">
      <w:pPr>
        <w:tabs>
          <w:tab w:val="center" w:pos="4680"/>
        </w:tabs>
      </w:pPr>
      <w:r>
        <w:tab/>
      </w:r>
    </w:p>
    <w:p w:rsidR="00CA4CD6" w:rsidRDefault="007E5DCE">
      <w:pPr>
        <w:rPr>
          <w:color w:val="000000"/>
        </w:rPr>
      </w:pPr>
      <w:r w:rsidRPr="007E5DCE">
        <w:rPr>
          <w:b/>
        </w:rPr>
        <w:t>NSPS for Small Municipal Waste Combustors (40 CFR Part 60, Subpart AAAA)</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7E5DCE" w:rsidP="002B29A5">
      <w:pPr>
        <w:rPr>
          <w:bCs/>
          <w:color w:val="000000"/>
        </w:rPr>
      </w:pPr>
      <w:r w:rsidRPr="007E5DCE">
        <w:t>NSPS for Small Municipal Waste Combustors (40 CFR Part 60, Subpart AAAA)</w:t>
      </w:r>
      <w:r w:rsidRPr="007E5DCE">
        <w:rPr>
          <w:color w:val="FF0000"/>
        </w:rPr>
        <w:t xml:space="preserve"> </w:t>
      </w:r>
      <w:r w:rsidRPr="007E5DCE">
        <w:t>(Renewal)</w:t>
      </w:r>
      <w:r w:rsidR="002B29A5" w:rsidRPr="004C5E95">
        <w:rPr>
          <w:bCs/>
        </w:rPr>
        <w:t xml:space="preserve">, EPA ICR Number </w:t>
      </w:r>
      <w:r w:rsidR="00C31ABF">
        <w:rPr>
          <w:bCs/>
        </w:rPr>
        <w:t>1900</w:t>
      </w:r>
      <w:r w:rsidR="00073CF6">
        <w:rPr>
          <w:bCs/>
        </w:rPr>
        <w:t>.05</w:t>
      </w:r>
      <w:r w:rsidR="007656DD">
        <w:rPr>
          <w:bCs/>
        </w:rPr>
        <w:t>,</w:t>
      </w:r>
      <w:r w:rsidR="002B29A5">
        <w:rPr>
          <w:bCs/>
          <w:color w:val="FF0000"/>
        </w:rPr>
        <w:t xml:space="preserve"> </w:t>
      </w:r>
      <w:r w:rsidR="002B29A5" w:rsidRPr="004C5E95">
        <w:rPr>
          <w:bCs/>
        </w:rPr>
        <w:t>OMB Control Number 2060-</w:t>
      </w:r>
      <w:r w:rsidR="00073CF6">
        <w:rPr>
          <w:bCs/>
        </w:rPr>
        <w:t>0423</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Pr>
          <w:color w:val="000000"/>
        </w:rPr>
        <w:t xml:space="preserve">The </w:t>
      </w:r>
      <w:r w:rsidR="007E5DCE" w:rsidRPr="007E5DCE">
        <w:t>New Source Performance Standards (NSPS)</w:t>
      </w:r>
      <w:r>
        <w:rPr>
          <w:color w:val="FF0000"/>
        </w:rPr>
        <w:t xml:space="preserve"> </w:t>
      </w:r>
      <w:r>
        <w:rPr>
          <w:color w:val="000000"/>
        </w:rPr>
        <w:t xml:space="preserve">for </w:t>
      </w:r>
      <w:r w:rsidR="00A31DDB">
        <w:rPr>
          <w:color w:val="000000"/>
        </w:rPr>
        <w:t xml:space="preserve">Small Municipal Waste Combustors </w:t>
      </w:r>
      <w:r w:rsidR="007656DD">
        <w:rPr>
          <w:color w:val="000000"/>
        </w:rPr>
        <w:t xml:space="preserve">(40 CFR Part 60, Subpart AAAA) </w:t>
      </w:r>
      <w:r>
        <w:rPr>
          <w:color w:val="000000"/>
        </w:rPr>
        <w:t xml:space="preserve">were proposed on </w:t>
      </w:r>
      <w:r w:rsidR="00C72B85">
        <w:rPr>
          <w:color w:val="000000"/>
        </w:rPr>
        <w:t>August 30, 1999</w:t>
      </w:r>
      <w:r>
        <w:rPr>
          <w:color w:val="000000"/>
        </w:rPr>
        <w:t xml:space="preserve">, and promulgated on </w:t>
      </w:r>
      <w:r w:rsidR="00C72B85">
        <w:rPr>
          <w:color w:val="000000"/>
        </w:rPr>
        <w:t>December 6, 2000</w:t>
      </w:r>
      <w:r>
        <w:rPr>
          <w:color w:val="000000"/>
        </w:rPr>
        <w:t xml:space="preserve">.  These regulations apply to </w:t>
      </w:r>
      <w:r w:rsidR="00C72B85">
        <w:rPr>
          <w:color w:val="000000"/>
        </w:rPr>
        <w:t xml:space="preserve">new </w:t>
      </w:r>
      <w:r>
        <w:rPr>
          <w:color w:val="000000"/>
        </w:rPr>
        <w:t xml:space="preserve">facilities </w:t>
      </w:r>
      <w:r w:rsidR="00C72B85">
        <w:rPr>
          <w:color w:val="000000"/>
        </w:rPr>
        <w:t xml:space="preserve">with </w:t>
      </w:r>
      <w:r w:rsidR="00C72B85">
        <w:t>small municipal waste combustors (MWCs) that combust greater than 35 tons per day (</w:t>
      </w:r>
      <w:proofErr w:type="spellStart"/>
      <w:r w:rsidR="00C72B85">
        <w:t>tpd</w:t>
      </w:r>
      <w:proofErr w:type="spellEnd"/>
      <w:r w:rsidR="00C72B85">
        <w:t xml:space="preserve">) but less than 250 </w:t>
      </w:r>
      <w:proofErr w:type="spellStart"/>
      <w:r w:rsidR="00C72B85">
        <w:t>tpd</w:t>
      </w:r>
      <w:proofErr w:type="spellEnd"/>
      <w:r w:rsidR="00C72B85">
        <w:t xml:space="preserve"> of municipal solid waste</w:t>
      </w:r>
      <w:r w:rsidR="00A31DDB">
        <w:t>: small MWC units commencing construction after August 30, 1999, and small MWC units that commenced reconstruction or modification after June 6, 2001</w:t>
      </w:r>
      <w:r w:rsidR="00C72B85">
        <w:t xml:space="preserve">. </w:t>
      </w:r>
      <w:r>
        <w:rPr>
          <w:color w:val="000000"/>
        </w:rPr>
        <w:t xml:space="preserve"> This information is being collected to assure compliance with 40 CFR </w:t>
      </w:r>
      <w:proofErr w:type="gramStart"/>
      <w:r>
        <w:rPr>
          <w:color w:val="000000"/>
        </w:rPr>
        <w:t>part</w:t>
      </w:r>
      <w:proofErr w:type="gramEnd"/>
      <w:r>
        <w:rPr>
          <w:color w:val="000000"/>
        </w:rPr>
        <w:t xml:space="preserve"> 60, subpart </w:t>
      </w:r>
      <w:r w:rsidR="00C72B85">
        <w:rPr>
          <w:color w:val="000000"/>
        </w:rPr>
        <w:t>AAAA</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7E5DCE" w:rsidRPr="007E5DCE">
        <w:t xml:space="preserve">NSPS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w:t>
      </w:r>
      <w:r w:rsidR="007656DD">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9A33D4">
        <w:rPr>
          <w:color w:val="000000"/>
        </w:rPr>
        <w:t>NSPS</w:t>
      </w:r>
      <w:r>
        <w:rPr>
          <w:color w:val="000000"/>
        </w:rPr>
        <w:t>.</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C72B85">
        <w:rPr>
          <w:color w:val="000000"/>
        </w:rPr>
        <w:t>five</w:t>
      </w:r>
      <w:r>
        <w:rPr>
          <w:color w:val="000000"/>
        </w:rPr>
        <w:t xml:space="preserve"> years following the date of such measurements, maintenance reports, and records.  All reports are sent to the delegated state or local authority.  </w:t>
      </w:r>
      <w:r w:rsidR="007656DD">
        <w:rPr>
          <w:color w:val="000000"/>
        </w:rPr>
        <w:t xml:space="preserve"> </w:t>
      </w:r>
      <w:r>
        <w:rPr>
          <w:color w:val="000000"/>
        </w:rPr>
        <w:t>In the event that there is no such delegated authority, the reports are sent directly to the U</w:t>
      </w:r>
      <w:r w:rsidR="007656DD">
        <w:rPr>
          <w:color w:val="000000"/>
        </w:rPr>
        <w:t>.</w:t>
      </w:r>
      <w:r>
        <w:rPr>
          <w:color w:val="000000"/>
        </w:rPr>
        <w:t xml:space="preserve"> S</w:t>
      </w:r>
      <w:r w:rsidR="007656DD">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A31DDB">
        <w:rPr>
          <w:color w:val="000000"/>
        </w:rPr>
        <w:t xml:space="preserve">is </w:t>
      </w:r>
      <w:r>
        <w:rPr>
          <w:color w:val="000000"/>
        </w:rPr>
        <w:t xml:space="preserve">an average of </w:t>
      </w:r>
      <w:r w:rsidR="00A31DDB">
        <w:rPr>
          <w:color w:val="000000"/>
        </w:rPr>
        <w:t>1.6</w:t>
      </w:r>
      <w:r w:rsidR="00822A19">
        <w:rPr>
          <w:color w:val="000000"/>
        </w:rPr>
        <w:t xml:space="preserve"> </w:t>
      </w:r>
      <w:r>
        <w:rPr>
          <w:color w:val="000000"/>
        </w:rPr>
        <w:t>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A31D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Approximately five small MWC units (i.e., </w:t>
      </w:r>
      <w:r w:rsidR="007656DD">
        <w:rPr>
          <w:color w:val="000000"/>
        </w:rPr>
        <w:t xml:space="preserve">5 </w:t>
      </w:r>
      <w:r>
        <w:rPr>
          <w:color w:val="000000"/>
        </w:rPr>
        <w:t xml:space="preserve">sources) at three plants (i.e., </w:t>
      </w:r>
      <w:r w:rsidR="007656DD">
        <w:rPr>
          <w:color w:val="000000"/>
        </w:rPr>
        <w:t xml:space="preserve">3 </w:t>
      </w:r>
      <w:r>
        <w:rPr>
          <w:color w:val="000000"/>
        </w:rPr>
        <w:t xml:space="preserve">respondents) are subject </w:t>
      </w:r>
      <w:r w:rsidR="00E10DA7">
        <w:rPr>
          <w:color w:val="000000"/>
        </w:rPr>
        <w:t>to the standard</w:t>
      </w:r>
      <w:r w:rsidR="007656DD">
        <w:rPr>
          <w:color w:val="000000"/>
        </w:rPr>
        <w:t>s</w:t>
      </w:r>
      <w:r>
        <w:rPr>
          <w:color w:val="000000"/>
        </w:rPr>
        <w:t xml:space="preserve">.  One of the three plants </w:t>
      </w:r>
      <w:r w:rsidR="00436DBA">
        <w:rPr>
          <w:color w:val="000000"/>
        </w:rPr>
        <w:t>is</w:t>
      </w:r>
      <w:r>
        <w:rPr>
          <w:color w:val="000000"/>
        </w:rPr>
        <w:t xml:space="preserve"> owned by state and local government, and two are owned by </w:t>
      </w:r>
      <w:r w:rsidR="0016678A">
        <w:rPr>
          <w:color w:val="000000"/>
        </w:rPr>
        <w:t xml:space="preserve">the </w:t>
      </w:r>
      <w:r>
        <w:rPr>
          <w:color w:val="000000"/>
        </w:rPr>
        <w:t xml:space="preserve">private industry.  It is estimated that one additional </w:t>
      </w:r>
      <w:r w:rsidR="00436DBA">
        <w:rPr>
          <w:color w:val="000000"/>
        </w:rPr>
        <w:t xml:space="preserve">private industry </w:t>
      </w:r>
      <w:r w:rsidR="00CA4CD6">
        <w:rPr>
          <w:color w:val="000000"/>
        </w:rPr>
        <w:t xml:space="preserve">respondent will become subject to the </w:t>
      </w:r>
      <w:r w:rsidR="00E10DA7">
        <w:rPr>
          <w:color w:val="000000"/>
        </w:rPr>
        <w:t>standard</w:t>
      </w:r>
      <w:r w:rsidR="00436DBA">
        <w:rPr>
          <w:color w:val="000000"/>
        </w:rPr>
        <w:t xml:space="preserve"> over the next three years</w:t>
      </w:r>
      <w:r w:rsidR="00E10DA7">
        <w:rPr>
          <w:color w:val="000000"/>
        </w:rPr>
        <w:t xml:space="preserve">. </w:t>
      </w:r>
    </w:p>
    <w:p w:rsidR="00CA4CD6" w:rsidRPr="008A6BAC" w:rsidRDefault="00CA4CD6">
      <w:pPr>
        <w:pBdr>
          <w:top w:val="single" w:sz="6" w:space="0" w:color="FFFFFF"/>
          <w:left w:val="single" w:sz="6" w:space="0" w:color="FFFFFF"/>
          <w:bottom w:val="single" w:sz="6" w:space="0" w:color="FFFFFF"/>
          <w:right w:val="single" w:sz="6" w:space="0" w:color="FFFFFF"/>
        </w:pBdr>
      </w:pPr>
    </w:p>
    <w:p w:rsidR="00CA4CD6" w:rsidRDefault="007E5DCE">
      <w:pPr>
        <w:pBdr>
          <w:top w:val="single" w:sz="6" w:space="0" w:color="FFFFFF"/>
          <w:left w:val="single" w:sz="6" w:space="0" w:color="FFFFFF"/>
          <w:bottom w:val="single" w:sz="6" w:space="0" w:color="FFFFFF"/>
          <w:right w:val="single" w:sz="6" w:space="0" w:color="FFFFFF"/>
        </w:pBdr>
        <w:ind w:firstLine="720"/>
        <w:rPr>
          <w:color w:val="FF0000"/>
        </w:rPr>
      </w:pPr>
      <w:r w:rsidRPr="007E5DCE">
        <w:t>OMB approved the currently</w:t>
      </w:r>
      <w:r w:rsidR="007656DD">
        <w:t>-</w:t>
      </w:r>
      <w:r w:rsidRPr="007E5DCE">
        <w:t>active ICR without any “Terms of Clearance.”</w:t>
      </w:r>
      <w:r w:rsidR="00CA4CD6" w:rsidRPr="009D6567">
        <w:rPr>
          <w:color w:val="FF0000"/>
        </w:rPr>
        <w:t xml:space="preserv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lastRenderedPageBreak/>
        <w:tab/>
      </w:r>
      <w:r w:rsidR="00B62D64" w:rsidRPr="0037440E">
        <w:t xml:space="preserve">The burden to the “Affected Public” may be found </w:t>
      </w:r>
      <w:r w:rsidR="00800223">
        <w:t xml:space="preserve">below </w:t>
      </w:r>
      <w:r w:rsidR="00B62D64" w:rsidRPr="0037440E">
        <w:t xml:space="preserve">in Table 1: Annual Respondent Burden and Cost – </w:t>
      </w:r>
      <w:r w:rsidR="00B62D64" w:rsidRPr="00C31ABF">
        <w:t>NSPS for Small Municipal Waste Combustors (40 CFR Part 60, Subpart AAAA)</w:t>
      </w:r>
      <w:r w:rsidR="00B62D64" w:rsidRPr="00C31ABF">
        <w:rPr>
          <w:color w:val="FF0000"/>
        </w:rPr>
        <w:t xml:space="preserve"> </w:t>
      </w:r>
      <w:r w:rsidR="00B62D64" w:rsidRPr="00C31ABF">
        <w:t>(Renewal)</w:t>
      </w:r>
      <w:r w:rsidR="00B62D64" w:rsidRPr="0037440E">
        <w:t xml:space="preserve">.  The burden to the “Federal Government” is attributed entirely to work performed by </w:t>
      </w:r>
      <w:r w:rsidR="00AD774F">
        <w:t>either F</w:t>
      </w:r>
      <w:r w:rsidR="00B62D64" w:rsidRPr="0037440E">
        <w:t>ederal employees or government contractors</w:t>
      </w:r>
      <w:r w:rsidR="00AD774F">
        <w:t>,</w:t>
      </w:r>
      <w:r w:rsidR="00B62D64" w:rsidRPr="0037440E">
        <w:t xml:space="preserve"> and may be found</w:t>
      </w:r>
      <w:r w:rsidR="00324662">
        <w:t xml:space="preserve"> below</w:t>
      </w:r>
      <w:r w:rsidR="00B62D64" w:rsidRPr="0037440E">
        <w:t xml:space="preserve"> in Table 2: Average Annual EPA Burden and Cost – </w:t>
      </w:r>
      <w:r w:rsidR="00B62D64" w:rsidRPr="00C31ABF">
        <w:t>NSPS for Small Municipal Waste Combustors (40 CFR Part 60, Subpart AAAA)</w:t>
      </w:r>
      <w:r w:rsidR="00B62D64" w:rsidRPr="00C31ABF">
        <w:rPr>
          <w:color w:val="FF0000"/>
        </w:rPr>
        <w:t xml:space="preserve"> </w:t>
      </w:r>
      <w:r w:rsidR="00B62D64" w:rsidRPr="00C31ABF">
        <w:t>(Renewal)</w:t>
      </w:r>
      <w:r w:rsidR="00B62D64" w:rsidRPr="0037440E">
        <w:t>.</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Pr="00DE72FB" w:rsidRDefault="00CA4CD6">
      <w:pPr>
        <w:pBdr>
          <w:top w:val="single" w:sz="6" w:space="0" w:color="FFFFFF"/>
          <w:left w:val="single" w:sz="6" w:space="0" w:color="FFFFFF"/>
          <w:bottom w:val="single" w:sz="6" w:space="0" w:color="FFFFFF"/>
          <w:right w:val="single" w:sz="6" w:space="0" w:color="FFFFFF"/>
        </w:pBdr>
      </w:pPr>
    </w:p>
    <w:p w:rsidR="00CA4CD6" w:rsidRPr="00DE72FB" w:rsidRDefault="007E5DCE">
      <w:pPr>
        <w:pBdr>
          <w:top w:val="single" w:sz="6" w:space="0" w:color="FFFFFF"/>
          <w:left w:val="single" w:sz="6" w:space="0" w:color="FFFFFF"/>
          <w:bottom w:val="single" w:sz="6" w:space="0" w:color="FFFFFF"/>
          <w:right w:val="single" w:sz="6" w:space="0" w:color="FFFFFF"/>
        </w:pBdr>
        <w:ind w:firstLine="720"/>
      </w:pPr>
      <w:r w:rsidRPr="007E5DCE">
        <w:t xml:space="preserve">The EPA is charged under Section 111 of the Clean Air Act (CAA), as amended, </w:t>
      </w:r>
      <w:r w:rsidR="00AD774F">
        <w:t xml:space="preserve">           </w:t>
      </w:r>
      <w:r w:rsidRPr="007E5DCE">
        <w:t xml:space="preserve">to establish standards of performance for new stationary sources that reflect: </w:t>
      </w:r>
    </w:p>
    <w:p w:rsidR="00CA4CD6" w:rsidRPr="00DE72FB" w:rsidRDefault="00CA4CD6">
      <w:pPr>
        <w:pBdr>
          <w:top w:val="single" w:sz="6" w:space="0" w:color="FFFFFF"/>
          <w:left w:val="single" w:sz="6" w:space="0" w:color="FFFFFF"/>
          <w:bottom w:val="single" w:sz="6" w:space="0" w:color="FFFFFF"/>
          <w:right w:val="single" w:sz="6" w:space="0" w:color="FFFFFF"/>
        </w:pBdr>
      </w:pPr>
    </w:p>
    <w:p w:rsidR="00CA4CD6" w:rsidRPr="00DE72FB" w:rsidRDefault="007E5DCE">
      <w:pPr>
        <w:pBdr>
          <w:top w:val="single" w:sz="6" w:space="0" w:color="FFFFFF"/>
          <w:left w:val="single" w:sz="6" w:space="0" w:color="FFFFFF"/>
          <w:bottom w:val="single" w:sz="6" w:space="0" w:color="FFFFFF"/>
          <w:right w:val="single" w:sz="6" w:space="0" w:color="FFFFFF"/>
        </w:pBdr>
        <w:ind w:left="1440" w:right="1440"/>
      </w:pPr>
      <w:r w:rsidRPr="007E5DCE">
        <w:rPr>
          <w:b/>
          <w:bCs/>
        </w:rPr>
        <w:t>. . .</w:t>
      </w:r>
      <w:r w:rsidRPr="007E5DCE">
        <w:t xml:space="preserve"> </w:t>
      </w:r>
      <w:proofErr w:type="gramStart"/>
      <w:r w:rsidRPr="007E5DCE">
        <w:t>application</w:t>
      </w:r>
      <w:proofErr w:type="gramEnd"/>
      <w:r w:rsidRPr="007E5DCE">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7E5DCE">
        <w:t>)(</w:t>
      </w:r>
      <w:proofErr w:type="gramEnd"/>
      <w:r w:rsidRPr="007E5DCE">
        <w:t>l).</w:t>
      </w:r>
    </w:p>
    <w:p w:rsidR="00CA4CD6" w:rsidRPr="00DE72FB" w:rsidRDefault="00CA4CD6">
      <w:pPr>
        <w:pBdr>
          <w:top w:val="single" w:sz="6" w:space="0" w:color="FFFFFF"/>
          <w:left w:val="single" w:sz="6" w:space="0" w:color="FFFFFF"/>
          <w:bottom w:val="single" w:sz="6" w:space="0" w:color="FFFFFF"/>
          <w:right w:val="single" w:sz="6" w:space="0" w:color="FFFFFF"/>
        </w:pBdr>
      </w:pPr>
    </w:p>
    <w:p w:rsidR="00CA4CD6" w:rsidRPr="00DE72FB" w:rsidRDefault="007E5DCE">
      <w:pPr>
        <w:pBdr>
          <w:top w:val="single" w:sz="6" w:space="0" w:color="FFFFFF"/>
          <w:left w:val="single" w:sz="6" w:space="0" w:color="FFFFFF"/>
          <w:bottom w:val="single" w:sz="6" w:space="0" w:color="FFFFFF"/>
          <w:right w:val="single" w:sz="6" w:space="0" w:color="FFFFFF"/>
        </w:pBdr>
      </w:pPr>
      <w:r w:rsidRPr="007E5DCE">
        <w:t xml:space="preserve">The Agency refers to this charge as selecting the best demonstrated technology (BDT).  </w:t>
      </w:r>
      <w:r w:rsidR="00AD774F">
        <w:t xml:space="preserve">   </w:t>
      </w:r>
      <w:r w:rsidRPr="007E5DCE">
        <w:t xml:space="preserve">Section 111 also requires that the Administrator review and, if appropriate, revise such </w:t>
      </w:r>
      <w:r w:rsidR="00AD774F">
        <w:t xml:space="preserve">  </w:t>
      </w:r>
      <w:r w:rsidRPr="007E5DCE">
        <w:t>standards every four years.</w:t>
      </w:r>
    </w:p>
    <w:p w:rsidR="00CA4CD6" w:rsidRPr="00DE72FB" w:rsidRDefault="00CA4CD6">
      <w:pPr>
        <w:pBdr>
          <w:top w:val="single" w:sz="6" w:space="0" w:color="FFFFFF"/>
          <w:left w:val="single" w:sz="6" w:space="0" w:color="FFFFFF"/>
          <w:bottom w:val="single" w:sz="6" w:space="0" w:color="FFFFFF"/>
          <w:right w:val="single" w:sz="6" w:space="0" w:color="FFFFFF"/>
        </w:pBdr>
      </w:pPr>
    </w:p>
    <w:p w:rsidR="00CA4CD6" w:rsidRPr="00DE72FB" w:rsidRDefault="007E5DCE">
      <w:pPr>
        <w:pBdr>
          <w:top w:val="single" w:sz="6" w:space="0" w:color="FFFFFF"/>
          <w:left w:val="single" w:sz="6" w:space="0" w:color="FFFFFF"/>
          <w:bottom w:val="single" w:sz="6" w:space="0" w:color="FFFFFF"/>
          <w:right w:val="single" w:sz="6" w:space="0" w:color="FFFFFF"/>
        </w:pBdr>
        <w:ind w:firstLine="720"/>
      </w:pPr>
      <w:r w:rsidRPr="007E5DCE">
        <w:t xml:space="preserve">In addition, section 114(a) states that the Administrator may require any owner/operator subject to any requirement of this Act to: </w:t>
      </w:r>
    </w:p>
    <w:p w:rsidR="00CA4CD6" w:rsidRPr="00DE72FB" w:rsidRDefault="00CA4CD6">
      <w:pPr>
        <w:pBdr>
          <w:top w:val="single" w:sz="6" w:space="0" w:color="FFFFFF"/>
          <w:left w:val="single" w:sz="6" w:space="0" w:color="FFFFFF"/>
          <w:bottom w:val="single" w:sz="6" w:space="0" w:color="FFFFFF"/>
          <w:right w:val="single" w:sz="6" w:space="0" w:color="FFFFFF"/>
        </w:pBdr>
      </w:pPr>
    </w:p>
    <w:p w:rsidR="00CA4CD6" w:rsidRPr="00DE72FB" w:rsidRDefault="007E5DCE">
      <w:pPr>
        <w:pBdr>
          <w:top w:val="single" w:sz="6" w:space="0" w:color="FFFFFF"/>
          <w:left w:val="single" w:sz="6" w:space="0" w:color="FFFFFF"/>
          <w:bottom w:val="single" w:sz="6" w:space="0" w:color="FFFFFF"/>
          <w:right w:val="single" w:sz="6" w:space="0" w:color="FFFFFF"/>
        </w:pBdr>
        <w:ind w:left="1440" w:right="1440"/>
      </w:pPr>
      <w:r w:rsidRPr="007E5DCE">
        <w:t xml:space="preserve">(A) Establish and maintain such records; (B) make such reports; (C) install, use, and maintain such monitoring equipment, and use such audit procedures, or methods; (D) sample such emissions </w:t>
      </w:r>
      <w:r w:rsidR="00AD774F">
        <w:t xml:space="preserve">   </w:t>
      </w:r>
      <w:r w:rsidRPr="007E5DCE">
        <w:t>(in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679D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DE72FB">
        <w:t xml:space="preserve">organics, metals, and acid gases </w:t>
      </w:r>
      <w:r>
        <w:rPr>
          <w:color w:val="000000"/>
        </w:rPr>
        <w:t xml:space="preserve">emissions from </w:t>
      </w:r>
      <w:r w:rsidR="00DE72FB">
        <w:rPr>
          <w:color w:val="000000"/>
        </w:rPr>
        <w:t xml:space="preserve">small MWCs </w:t>
      </w:r>
      <w:r>
        <w:rPr>
          <w:color w:val="000000"/>
        </w:rPr>
        <w:t xml:space="preserve">cause or contribute to air pollution that may reasonably be anticipated to endanger public health or welfare.  Therefore, the </w:t>
      </w:r>
      <w:r w:rsidR="007E5DCE" w:rsidRPr="007E5DCE">
        <w:t xml:space="preserve">NSPS </w:t>
      </w:r>
      <w:r>
        <w:rPr>
          <w:color w:val="000000"/>
        </w:rPr>
        <w:t xml:space="preserve">were promulgated for this source category at 40 CFR </w:t>
      </w:r>
      <w:proofErr w:type="gramStart"/>
      <w:r>
        <w:rPr>
          <w:color w:val="000000"/>
        </w:rPr>
        <w:t>part</w:t>
      </w:r>
      <w:proofErr w:type="gramEnd"/>
      <w:r>
        <w:rPr>
          <w:color w:val="000000"/>
        </w:rPr>
        <w:t xml:space="preserve"> 60,</w:t>
      </w:r>
      <w:r>
        <w:rPr>
          <w:b/>
          <w:bCs/>
          <w:i/>
          <w:iCs/>
          <w:color w:val="000000"/>
        </w:rPr>
        <w:t xml:space="preserve"> </w:t>
      </w:r>
      <w:r>
        <w:rPr>
          <w:color w:val="000000"/>
        </w:rPr>
        <w:t xml:space="preserve">subpart </w:t>
      </w:r>
      <w:r w:rsidR="00DE72FB">
        <w:rPr>
          <w:color w:val="000000"/>
        </w:rPr>
        <w:t>AAAA</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AD774F">
        <w:rPr>
          <w:color w:val="000000"/>
        </w:rPr>
        <w:t xml:space="preserve"> </w:t>
      </w:r>
      <w:r>
        <w:rPr>
          <w:color w:val="000000"/>
        </w:rPr>
        <w:t>the</w:t>
      </w:r>
      <w:proofErr w:type="gramEnd"/>
      <w:r>
        <w:rPr>
          <w:color w:val="000000"/>
        </w:rPr>
        <w:t xml:space="preserv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436DBA">
        <w:rPr>
          <w:color w:val="000000"/>
        </w:rPr>
        <w:t>’</w:t>
      </w:r>
      <w:r>
        <w:rPr>
          <w:color w:val="000000"/>
        </w:rPr>
        <w:t xml:space="preserve">s initial capability to comply with the emission standard. </w:t>
      </w:r>
      <w:r w:rsidR="00615436">
        <w:rPr>
          <w:color w:val="000000"/>
        </w:rPr>
        <w:t xml:space="preserve"> </w:t>
      </w:r>
      <w:r>
        <w:rPr>
          <w:color w:val="000000"/>
        </w:rPr>
        <w:t xml:space="preserve">Continuous emission monitors are used to ensure compliance with the standard at all times. </w:t>
      </w:r>
      <w:r w:rsidR="00615436">
        <w:rPr>
          <w:color w:val="000000"/>
        </w:rPr>
        <w:t xml:space="preserve"> </w:t>
      </w:r>
      <w:r w:rsidRPr="00167A29">
        <w:t>During the performance test a record of the operating parameters under which compliance was achieved may be recorded and used to determine compliance in place of</w:t>
      </w:r>
      <w:r w:rsidR="00167A29" w:rsidRPr="00167A29">
        <w:t xml:space="preserve"> a continuous emission monitor.</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 xml:space="preserve">the pollution control devices are properly </w:t>
      </w:r>
      <w:r w:rsidR="00D1231B" w:rsidRPr="00D1231B">
        <w:t>installed and operated,</w:t>
      </w:r>
      <w:r w:rsidRPr="00D1231B">
        <w:t xml:space="preserve"> leaks are being detected and repaired</w:t>
      </w:r>
      <w:r w:rsidR="00D1231B" w:rsidRPr="00D1231B">
        <w:t xml:space="preserve">, </w:t>
      </w:r>
      <w:r w:rsidRPr="00D1231B">
        <w:t>and</w:t>
      </w:r>
      <w:r>
        <w:rPr>
          <w:color w:val="000000"/>
        </w:rPr>
        <w:t xml:space="preserve"> the standard are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7E5DCE" w:rsidRPr="007E5DCE">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297E15">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60, subpart</w:t>
      </w:r>
      <w:r w:rsidR="00854B18">
        <w:rPr>
          <w:color w:val="000000"/>
        </w:rPr>
        <w:t xml:space="preserve"> AAAA</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297E15">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AD774F">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007E5DCE" w:rsidRPr="007E5DCE">
        <w:t xml:space="preserve">ment period for the renewal of this ICR was published in the </w:t>
      </w:r>
      <w:r w:rsidR="007E5DCE" w:rsidRPr="007E5DCE">
        <w:rPr>
          <w:u w:val="single"/>
        </w:rPr>
        <w:t>Federal Register</w:t>
      </w:r>
      <w:r w:rsidR="007E5DCE" w:rsidRPr="007E5DCE">
        <w:t xml:space="preserve"> (77 </w:t>
      </w:r>
      <w:r w:rsidR="007E5DCE" w:rsidRPr="007E5DCE">
        <w:rPr>
          <w:u w:val="single"/>
        </w:rPr>
        <w:t>FR</w:t>
      </w:r>
      <w:r w:rsidR="007E5DCE" w:rsidRPr="007E5DCE">
        <w:t xml:space="preserve"> 47631) on August 9, 2012.  No comments were received on the burden published in the </w:t>
      </w:r>
      <w:r w:rsidR="007E5DCE" w:rsidRPr="007E5DCE">
        <w:rPr>
          <w:u w:val="single"/>
        </w:rPr>
        <w:t>Federal Register</w:t>
      </w:r>
      <w:r w:rsidR="007E5DCE" w:rsidRPr="007E5DCE">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814C75" w:rsidRDefault="00814C75" w:rsidP="00814C75">
      <w:pPr>
        <w:ind w:firstLine="720"/>
      </w:pPr>
      <w:r w:rsidRPr="00D22D35">
        <w:t>T</w:t>
      </w:r>
      <w:r w:rsidRPr="00D22D35">
        <w:rPr>
          <w:bCs/>
        </w:rPr>
        <w:t xml:space="preserve">he Agency’s industry experts have been consulted, and the Agency’s internal data </w:t>
      </w:r>
      <w:r w:rsidRPr="00D22D35">
        <w:rPr>
          <w:bCs/>
        </w:rPr>
        <w:lastRenderedPageBreak/>
        <w:t>sources and projections of industry growth over the next three years have been considered.</w:t>
      </w:r>
      <w:r w:rsidRPr="00D22D35">
        <w:rPr>
          <w:b/>
          <w:bCs/>
        </w:rPr>
        <w:t xml:space="preserve">  </w:t>
      </w:r>
      <w:r w:rsidR="00AD774F">
        <w:rPr>
          <w:b/>
          <w:bCs/>
        </w:rPr>
        <w:t xml:space="preserve">   </w:t>
      </w:r>
      <w:r w:rsidRPr="00D22D35">
        <w:t xml:space="preserve">The primary source of information as reported by industry, in compliance with the recordkeeping and reporting provisions in the standard, is the Online Tracking Information System (OTIS) which is operated and maintained by </w:t>
      </w:r>
      <w:r>
        <w:t>the EPA</w:t>
      </w:r>
      <w:r w:rsidRPr="00D22D35">
        <w:t xml:space="preserve"> Office of Compliance.  OTIS is </w:t>
      </w:r>
      <w:r>
        <w:t xml:space="preserve">the </w:t>
      </w:r>
      <w:r w:rsidRPr="00D22D35">
        <w:t>EPA database for the collection, maintenance, and retrieval of all compliance data.  The growth rate for the industry is based on our consultations with the Agen</w:t>
      </w:r>
      <w:r>
        <w:t xml:space="preserve">cy’s internal industry experts.  </w:t>
      </w:r>
    </w:p>
    <w:p w:rsidR="00814C75" w:rsidRDefault="00814C75" w:rsidP="00814C75">
      <w:pPr>
        <w:widowControl/>
        <w:ind w:firstLine="720"/>
      </w:pPr>
      <w:r w:rsidRPr="0073606E">
        <w:rPr>
          <w:b/>
          <w:bCs/>
        </w:rPr>
        <w:t xml:space="preserve">  </w:t>
      </w:r>
    </w:p>
    <w:p w:rsidR="00814C75" w:rsidRPr="00814C75" w:rsidRDefault="00814C75" w:rsidP="00814C75">
      <w:pPr>
        <w:widowControl/>
        <w:ind w:firstLine="720"/>
        <w:rPr>
          <w:color w:val="C00000"/>
        </w:rPr>
      </w:pPr>
      <w:r w:rsidRPr="0073606E">
        <w:t>Industry trade associations and other interested parties were provided an opportunity to comment on the burden associated with the standard as i</w:t>
      </w:r>
      <w:r w:rsidR="007E5DCE" w:rsidRPr="007E5DCE">
        <w:t>t was being developed.  In developing this ICR, we contacted</w:t>
      </w:r>
      <w:r w:rsidR="005475B3">
        <w:t>:</w:t>
      </w:r>
      <w:r w:rsidR="006D232B">
        <w:t xml:space="preserve"> 1)</w:t>
      </w:r>
      <w:r w:rsidR="007E5DCE" w:rsidRPr="007E5DCE">
        <w:t xml:space="preserve"> Xcel Energy</w:t>
      </w:r>
      <w:r w:rsidR="006D232B">
        <w:t>,</w:t>
      </w:r>
      <w:r w:rsidR="007E5DCE" w:rsidRPr="007E5DCE">
        <w:t xml:space="preserve"> at (800) 328-8226</w:t>
      </w:r>
      <w:r w:rsidR="00AD774F">
        <w:t>;</w:t>
      </w:r>
      <w:r w:rsidR="007E5DCE" w:rsidRPr="007E5DCE">
        <w:t xml:space="preserve"> and </w:t>
      </w:r>
      <w:r w:rsidR="006D232B">
        <w:t xml:space="preserve">2) </w:t>
      </w:r>
      <w:r w:rsidR="007E5DCE" w:rsidRPr="007E5DCE">
        <w:t>the Solid Waste Association of North America</w:t>
      </w:r>
      <w:r w:rsidR="006D232B">
        <w:t xml:space="preserve"> (SWANA),</w:t>
      </w:r>
      <w:r w:rsidR="007E5DCE" w:rsidRPr="007E5DCE">
        <w:t xml:space="preserve"> at </w:t>
      </w:r>
      <w:r w:rsidR="007E5DCE" w:rsidRPr="007E5DCE">
        <w:rPr>
          <w:bCs/>
        </w:rPr>
        <w:t>(240) 494-2247</w:t>
      </w:r>
      <w:r w:rsidR="007E5DCE" w:rsidRPr="007E5DCE">
        <w:t>.</w:t>
      </w:r>
      <w:r w:rsidR="007E5DCE" w:rsidRPr="007E5DCE">
        <w:rPr>
          <w:color w:val="FF0000"/>
        </w:rPr>
        <w:t xml:space="preserve">  </w:t>
      </w:r>
    </w:p>
    <w:p w:rsidR="00814C75" w:rsidRDefault="00814C75" w:rsidP="00814C75">
      <w:pPr>
        <w:widowControl/>
      </w:pPr>
    </w:p>
    <w:p w:rsidR="0083407E" w:rsidRDefault="00814C75">
      <w:pPr>
        <w:widowControl/>
        <w:ind w:firstLine="720"/>
        <w:rPr>
          <w:color w:val="000000"/>
        </w:rPr>
      </w:pPr>
      <w:r w:rsidRPr="00FD5F8C">
        <w:t xml:space="preserve">It is our policy to respond after a thorough review of comments received since the last ICR renewal as well as those submitted in response to the first </w:t>
      </w:r>
      <w:r w:rsidRPr="00AD774F">
        <w:rPr>
          <w:u w:val="single"/>
        </w:rPr>
        <w:t>Federal Register</w:t>
      </w:r>
      <w:r>
        <w:t xml:space="preserve"> notice.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w:t>
      </w:r>
      <w:r w:rsidR="005F75E3">
        <w:rPr>
          <w:color w:val="000000"/>
        </w:rPr>
        <w:t>regulations promulgated</w:t>
      </w:r>
      <w:r w:rsidR="00206932">
        <w:rPr>
          <w:color w:val="000000"/>
        </w:rPr>
        <w:t xml:space="preserve">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3407E" w:rsidRDefault="007E5DCE">
      <w:pPr>
        <w:pBdr>
          <w:top w:val="single" w:sz="6" w:space="0" w:color="FFFFFF"/>
          <w:left w:val="single" w:sz="6" w:space="0" w:color="FFFFFF"/>
          <w:bottom w:val="single" w:sz="6" w:space="0" w:color="FFFFFF"/>
          <w:right w:val="single" w:sz="6" w:space="0" w:color="FFFFFF"/>
        </w:pBdr>
        <w:ind w:firstLine="720"/>
      </w:pPr>
      <w:r w:rsidRPr="007E5DCE">
        <w:t>These standards require the respondents to maintain all records, including reports and notifications for at least five years.  This is consistent with the General Provisions as applied to the standards.  EPA believes that the five</w:t>
      </w:r>
      <w:r w:rsidR="00AD774F">
        <w:t>-</w:t>
      </w:r>
      <w:r w:rsidRPr="007E5DCE">
        <w:t>year records retention requirement is consistent the Part</w:t>
      </w:r>
      <w:r w:rsidR="000E72F8">
        <w:t xml:space="preserve"> 70 permit program and the five-</w:t>
      </w:r>
      <w:r w:rsidRPr="007E5DCE">
        <w:t>year statute of limitations on which the permit program is based.  Th</w:t>
      </w:r>
      <w:r w:rsidR="000E72F8">
        <w:t>e retention of records for five</w:t>
      </w:r>
      <w:r w:rsidR="00AD774F">
        <w:t xml:space="preserve"> </w:t>
      </w:r>
      <w:r w:rsidRPr="007E5DCE">
        <w:t>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B364BC">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w:t>
      </w:r>
      <w:r>
        <w:rPr>
          <w:color w:val="000000"/>
        </w:rPr>
        <w:lastRenderedPageBreak/>
        <w:t xml:space="preserve">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436DBA">
        <w:rPr>
          <w:color w:val="000000"/>
        </w:rPr>
        <w:t xml:space="preserve">owners and operators of </w:t>
      </w:r>
      <w:r w:rsidR="00427598">
        <w:rPr>
          <w:color w:val="000000"/>
        </w:rPr>
        <w:t>small MWC</w:t>
      </w:r>
      <w:r w:rsidR="00436DBA">
        <w:rPr>
          <w:color w:val="000000"/>
        </w:rPr>
        <w:t xml:space="preserve"> unit</w:t>
      </w:r>
      <w:r w:rsidR="00427598">
        <w:rPr>
          <w:color w:val="000000"/>
        </w:rPr>
        <w:t>s</w:t>
      </w:r>
      <w:r>
        <w:rPr>
          <w:color w:val="000000"/>
        </w:rPr>
        <w:t xml:space="preserve">.  The </w:t>
      </w:r>
      <w:r w:rsidR="00427598">
        <w:rPr>
          <w:color w:val="000000"/>
        </w:rPr>
        <w:t>United States Standard Industrial Classification</w:t>
      </w:r>
      <w:r w:rsidR="00436DBA">
        <w:rPr>
          <w:color w:val="000000"/>
        </w:rPr>
        <w:t xml:space="preserve"> (SIC</w:t>
      </w:r>
      <w:r w:rsidR="00427598">
        <w:rPr>
          <w:color w:val="000000"/>
        </w:rPr>
        <w:t xml:space="preserve">) </w:t>
      </w:r>
      <w:r>
        <w:rPr>
          <w:color w:val="000000"/>
        </w:rPr>
        <w:t>code</w:t>
      </w:r>
      <w:r w:rsidR="00427598">
        <w:rPr>
          <w:color w:val="000000"/>
        </w:rPr>
        <w:t>s</w:t>
      </w:r>
      <w:r>
        <w:rPr>
          <w:color w:val="000000"/>
        </w:rPr>
        <w:t xml:space="preserve"> for the respondents affected by the standards </w:t>
      </w:r>
      <w:r w:rsidR="00427598">
        <w:rPr>
          <w:color w:val="000000"/>
        </w:rPr>
        <w:t>and the</w:t>
      </w:r>
      <w:r>
        <w:rPr>
          <w:color w:val="000000"/>
        </w:rPr>
        <w:t xml:space="preserve"> correspond</w:t>
      </w:r>
      <w:r w:rsidR="00427598">
        <w:rPr>
          <w:color w:val="000000"/>
        </w:rPr>
        <w:t>ing</w:t>
      </w:r>
      <w:r>
        <w:rPr>
          <w:color w:val="000000"/>
        </w:rPr>
        <w:t xml:space="preserve"> North American Industry Classification System</w:t>
      </w:r>
      <w:r w:rsidR="00436DBA">
        <w:rPr>
          <w:color w:val="000000"/>
        </w:rPr>
        <w:t xml:space="preserve"> (NAICS</w:t>
      </w:r>
      <w:r>
        <w:rPr>
          <w:color w:val="000000"/>
        </w:rPr>
        <w:t xml:space="preserve">) </w:t>
      </w:r>
      <w:r w:rsidR="00427598">
        <w:rPr>
          <w:color w:val="000000"/>
        </w:rPr>
        <w:t>codes are listed in the following table.</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tblPr>
      <w:tblGrid>
        <w:gridCol w:w="5580"/>
        <w:gridCol w:w="1890"/>
        <w:gridCol w:w="1890"/>
      </w:tblGrid>
      <w:tr w:rsidR="00CA4CD6" w:rsidTr="00491142">
        <w:tc>
          <w:tcPr>
            <w:tcW w:w="5580" w:type="dxa"/>
          </w:tcPr>
          <w:p w:rsidR="00CA4CD6" w:rsidRPr="002A14F2" w:rsidRDefault="00CA4CD6">
            <w:pPr>
              <w:spacing w:line="120" w:lineRule="exact"/>
            </w:pPr>
          </w:p>
          <w:p w:rsidR="00CA4CD6" w:rsidRPr="002A14F2" w:rsidRDefault="00436DBA" w:rsidP="00436DBA">
            <w:pPr>
              <w:pBdr>
                <w:top w:val="single" w:sz="6" w:space="0" w:color="FFFFFF"/>
                <w:left w:val="single" w:sz="6" w:space="0" w:color="FFFFFF"/>
                <w:bottom w:val="single" w:sz="6" w:space="0" w:color="FFFFFF"/>
                <w:right w:val="single" w:sz="6" w:space="0" w:color="FFFFFF"/>
              </w:pBdr>
              <w:spacing w:after="54"/>
              <w:rPr>
                <w:b/>
                <w:bCs/>
              </w:rPr>
            </w:pPr>
            <w:r>
              <w:rPr>
                <w:b/>
                <w:bCs/>
              </w:rPr>
              <w:t>Standard (</w:t>
            </w:r>
            <w:r w:rsidR="007E5DCE" w:rsidRPr="007E5DCE">
              <w:rPr>
                <w:b/>
              </w:rPr>
              <w:t xml:space="preserve">40 CFR </w:t>
            </w:r>
            <w:r>
              <w:rPr>
                <w:b/>
              </w:rPr>
              <w:t>P</w:t>
            </w:r>
            <w:r w:rsidRPr="007E5DCE">
              <w:rPr>
                <w:b/>
              </w:rPr>
              <w:t xml:space="preserve">art </w:t>
            </w:r>
            <w:r w:rsidR="007E5DCE" w:rsidRPr="007E5DCE">
              <w:rPr>
                <w:b/>
              </w:rPr>
              <w:t xml:space="preserve">60, </w:t>
            </w:r>
            <w:r>
              <w:rPr>
                <w:b/>
              </w:rPr>
              <w:t>S</w:t>
            </w:r>
            <w:r w:rsidRPr="007E5DCE">
              <w:rPr>
                <w:b/>
              </w:rPr>
              <w:t xml:space="preserve">ubpart </w:t>
            </w:r>
            <w:r w:rsidR="002A14F2">
              <w:rPr>
                <w:b/>
              </w:rPr>
              <w:t>AAAA</w:t>
            </w:r>
            <w:r>
              <w:rPr>
                <w:b/>
              </w:rPr>
              <w:t>)</w:t>
            </w:r>
          </w:p>
        </w:tc>
        <w:tc>
          <w:tcPr>
            <w:tcW w:w="1890" w:type="dxa"/>
          </w:tcPr>
          <w:p w:rsidR="00CA4CD6" w:rsidRDefault="00CA4CD6" w:rsidP="00491142">
            <w:pPr>
              <w:spacing w:line="120" w:lineRule="exact"/>
              <w:jc w:val="center"/>
              <w:rPr>
                <w:b/>
                <w:bCs/>
                <w:color w:val="000000"/>
              </w:rPr>
            </w:pPr>
          </w:p>
          <w:p w:rsidR="00CA4CD6" w:rsidRDefault="00CA4CD6" w:rsidP="0049114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90" w:type="dxa"/>
          </w:tcPr>
          <w:p w:rsidR="00CA4CD6" w:rsidRDefault="00CA4CD6" w:rsidP="00491142">
            <w:pPr>
              <w:spacing w:line="120" w:lineRule="exact"/>
              <w:jc w:val="center"/>
              <w:rPr>
                <w:b/>
                <w:bCs/>
                <w:color w:val="000000"/>
              </w:rPr>
            </w:pPr>
          </w:p>
          <w:p w:rsidR="00CA4CD6" w:rsidRDefault="00CA4CD6" w:rsidP="0049114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A4CD6" w:rsidTr="00491142">
        <w:tc>
          <w:tcPr>
            <w:tcW w:w="5580" w:type="dxa"/>
          </w:tcPr>
          <w:p w:rsidR="00CA4CD6" w:rsidRPr="002A14F2" w:rsidRDefault="00CA4CD6">
            <w:pPr>
              <w:spacing w:line="120" w:lineRule="exact"/>
              <w:rPr>
                <w:b/>
                <w:bCs/>
              </w:rPr>
            </w:pPr>
          </w:p>
          <w:p w:rsidR="00CA4CD6" w:rsidRPr="002A14F2" w:rsidRDefault="002A14F2" w:rsidP="004C701D">
            <w:pPr>
              <w:pBdr>
                <w:top w:val="single" w:sz="6" w:space="0" w:color="FFFFFF"/>
                <w:left w:val="single" w:sz="6" w:space="0" w:color="FFFFFF"/>
                <w:bottom w:val="single" w:sz="6" w:space="0" w:color="FFFFFF"/>
                <w:right w:val="single" w:sz="6" w:space="0" w:color="FFFFFF"/>
              </w:pBdr>
              <w:spacing w:after="54"/>
            </w:pPr>
            <w:r>
              <w:t>Air &amp; Water Resource and Solid Waste Management</w:t>
            </w:r>
          </w:p>
        </w:tc>
        <w:tc>
          <w:tcPr>
            <w:tcW w:w="1890" w:type="dxa"/>
          </w:tcPr>
          <w:p w:rsidR="00CA4CD6" w:rsidRDefault="00CA4CD6" w:rsidP="00491142">
            <w:pPr>
              <w:spacing w:line="120" w:lineRule="exact"/>
              <w:jc w:val="center"/>
              <w:rPr>
                <w:color w:val="000000"/>
              </w:rPr>
            </w:pPr>
          </w:p>
          <w:p w:rsidR="00CA4CD6" w:rsidRDefault="002A14F2" w:rsidP="0049114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9511</w:t>
            </w:r>
          </w:p>
        </w:tc>
        <w:tc>
          <w:tcPr>
            <w:tcW w:w="1890" w:type="dxa"/>
          </w:tcPr>
          <w:p w:rsidR="00CA4CD6" w:rsidRDefault="00CA4CD6" w:rsidP="00491142">
            <w:pPr>
              <w:spacing w:line="120" w:lineRule="exact"/>
              <w:jc w:val="center"/>
              <w:rPr>
                <w:color w:val="000000"/>
              </w:rPr>
            </w:pPr>
          </w:p>
          <w:p w:rsidR="00CA4CD6" w:rsidRDefault="002A14F2" w:rsidP="0049114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92411</w:t>
            </w:r>
          </w:p>
        </w:tc>
      </w:tr>
      <w:tr w:rsidR="00CA4CD6" w:rsidTr="00491142">
        <w:tc>
          <w:tcPr>
            <w:tcW w:w="5580" w:type="dxa"/>
          </w:tcPr>
          <w:p w:rsidR="00CA4CD6" w:rsidRDefault="00CA4CD6">
            <w:pPr>
              <w:spacing w:line="120" w:lineRule="exact"/>
              <w:rPr>
                <w:color w:val="000000"/>
              </w:rPr>
            </w:pPr>
          </w:p>
          <w:p w:rsidR="00CA4CD6" w:rsidRDefault="002A14F2">
            <w:pPr>
              <w:pBdr>
                <w:top w:val="single" w:sz="6" w:space="0" w:color="FFFFFF"/>
                <w:left w:val="single" w:sz="6" w:space="0" w:color="FFFFFF"/>
                <w:bottom w:val="single" w:sz="6" w:space="0" w:color="FFFFFF"/>
                <w:right w:val="single" w:sz="6" w:space="0" w:color="FFFFFF"/>
              </w:pBdr>
              <w:spacing w:after="54"/>
              <w:rPr>
                <w:color w:val="000000"/>
              </w:rPr>
            </w:pPr>
            <w:r>
              <w:rPr>
                <w:color w:val="000000"/>
              </w:rPr>
              <w:t>Sold Waste Combustors &amp; Incinerators</w:t>
            </w:r>
          </w:p>
        </w:tc>
        <w:tc>
          <w:tcPr>
            <w:tcW w:w="1890" w:type="dxa"/>
          </w:tcPr>
          <w:p w:rsidR="00CA4CD6" w:rsidRDefault="00CA4CD6" w:rsidP="00491142">
            <w:pPr>
              <w:spacing w:line="120" w:lineRule="exact"/>
              <w:jc w:val="center"/>
              <w:rPr>
                <w:color w:val="000000"/>
              </w:rPr>
            </w:pPr>
          </w:p>
          <w:p w:rsidR="00CA4CD6" w:rsidRDefault="002A14F2" w:rsidP="0049114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4953</w:t>
            </w:r>
          </w:p>
        </w:tc>
        <w:tc>
          <w:tcPr>
            <w:tcW w:w="1890" w:type="dxa"/>
          </w:tcPr>
          <w:p w:rsidR="00CA4CD6" w:rsidRDefault="00CA4CD6" w:rsidP="00491142">
            <w:pPr>
              <w:spacing w:line="120" w:lineRule="exact"/>
              <w:jc w:val="center"/>
              <w:rPr>
                <w:color w:val="000000"/>
              </w:rPr>
            </w:pPr>
          </w:p>
          <w:p w:rsidR="00CA4CD6" w:rsidRDefault="002A14F2" w:rsidP="00491142">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562213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3407E"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436DBA" w:rsidRPr="0016678A">
        <w:t xml:space="preserve">the </w:t>
      </w:r>
      <w:r w:rsidR="002A14F2" w:rsidRPr="0016678A">
        <w:t>NSPS</w:t>
      </w:r>
      <w:r w:rsidR="002A14F2">
        <w:t xml:space="preserve"> for Small Municipal Waste Combustors (40 CFR </w:t>
      </w:r>
      <w:r w:rsidR="00436DBA">
        <w:t>P</w:t>
      </w:r>
      <w:r w:rsidR="002A14F2">
        <w:t xml:space="preserve">art 60, </w:t>
      </w:r>
      <w:r w:rsidR="00436DBA">
        <w:t>S</w:t>
      </w:r>
      <w:r w:rsidR="002A14F2">
        <w:t>ubpart AAAA)</w:t>
      </w:r>
      <w:r w:rsidR="007E5DCE" w:rsidRPr="007E5DCE">
        <w:t>.</w:t>
      </w:r>
      <w:r w:rsidR="00CA4CD6">
        <w:rPr>
          <w:color w:val="000000"/>
        </w:rPr>
        <w:t xml:space="preserve"> </w:t>
      </w:r>
    </w:p>
    <w:p w:rsidR="0083407E" w:rsidRDefault="0083407E">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2A14F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Construction/reconstruction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 xml:space="preserve">60.7(a)(1), 60.1375 </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Reports due before and after notice of construction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60.1375 60.1385</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Actual startup</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 xml:space="preserve">60.7(a)(3), </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t>Initial stack tests for all regulated pollutants and parameters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60.8(a) and (d), 60.1395, 60.1400 60.1430</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t>Notice of construction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t xml:space="preserve"> 60.1380</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Semi-annual reports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60.1415 - 60.1420, 60.1430</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Annual compliance reports for all pollutants and parameters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60.1405, 60.1410, 60.1430</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lastRenderedPageBreak/>
              <w:t>Reports for air curtain incinerators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60.1455</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Demonstration of continuous monitoring system and test data</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60.7(a)(5), 60.1395</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Physical or operational change</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60.7(a)(4)</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Semiannual excess emission reports (SO</w:t>
            </w:r>
            <w:r w:rsidR="00C204DD">
              <w:fldChar w:fldCharType="begin"/>
            </w:r>
            <w:r>
              <w:instrText>ADVANCE \d 2</w:instrText>
            </w:r>
            <w:r w:rsidR="00C204DD">
              <w:fldChar w:fldCharType="end"/>
            </w:r>
            <w:r>
              <w:t>2</w:t>
            </w:r>
            <w:r w:rsidR="00C204DD">
              <w:fldChar w:fldCharType="begin"/>
            </w:r>
            <w:r>
              <w:instrText>ADVANCE \u 2</w:instrText>
            </w:r>
            <w:r w:rsidR="00C204DD">
              <w:fldChar w:fldCharType="end"/>
            </w:r>
            <w:r>
              <w:t>, CO, load, temperature, PM, dioxin/furan, opacity, HCl, Cd, Pb, Hg, fugitives)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60.1425</w:t>
            </w:r>
          </w:p>
        </w:tc>
      </w:tr>
      <w:tr w:rsidR="002A14F2"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Report of continuous emission monitors (CEMs) demonstration and test data</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t>60.1410</w:t>
            </w:r>
          </w:p>
        </w:tc>
      </w:tr>
      <w:tr w:rsidR="006D0C61"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D0C61" w:rsidRDefault="006D0C61" w:rsidP="00F4110E">
            <w:pPr>
              <w:pBdr>
                <w:top w:val="single" w:sz="6" w:space="0" w:color="FFFFFF"/>
                <w:left w:val="single" w:sz="6" w:space="0" w:color="FFFFFF"/>
                <w:bottom w:val="single" w:sz="6" w:space="0" w:color="FFFFFF"/>
                <w:right w:val="single" w:sz="6" w:space="0" w:color="FFFFFF"/>
              </w:pBdr>
              <w:spacing w:after="58"/>
            </w:pPr>
            <w:r>
              <w:t>Prepar</w:t>
            </w:r>
            <w:r w:rsidR="00F4110E">
              <w:t>e</w:t>
            </w:r>
            <w:r>
              <w:t xml:space="preserve"> a material separation plan</w:t>
            </w:r>
            <w:r w:rsidR="00455500">
              <w:t xml:space="preserve"> and siting analysis</w:t>
            </w:r>
          </w:p>
        </w:tc>
        <w:tc>
          <w:tcPr>
            <w:tcW w:w="3060" w:type="dxa"/>
            <w:tcBorders>
              <w:top w:val="single" w:sz="7" w:space="0" w:color="000000"/>
              <w:left w:val="single" w:sz="7" w:space="0" w:color="000000"/>
              <w:bottom w:val="single" w:sz="7" w:space="0" w:color="000000"/>
              <w:right w:val="single" w:sz="7" w:space="0" w:color="000000"/>
            </w:tcBorders>
            <w:vAlign w:val="center"/>
          </w:tcPr>
          <w:p w:rsidR="006D0C61" w:rsidRDefault="006D0C61">
            <w:pPr>
              <w:pBdr>
                <w:top w:val="single" w:sz="6" w:space="0" w:color="FFFFFF"/>
                <w:left w:val="single" w:sz="6" w:space="0" w:color="FFFFFF"/>
                <w:bottom w:val="single" w:sz="6" w:space="0" w:color="FFFFFF"/>
                <w:right w:val="single" w:sz="6" w:space="0" w:color="FFFFFF"/>
              </w:pBdr>
              <w:spacing w:after="58"/>
            </w:pPr>
            <w:r>
              <w:t>60.1050</w:t>
            </w:r>
            <w:r w:rsidR="00455500">
              <w:t>, 60.1110</w:t>
            </w:r>
          </w:p>
        </w:tc>
      </w:tr>
      <w:tr w:rsidR="006D0C61" w:rsidTr="00803C9A">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6D0C61" w:rsidRDefault="00ED0566">
            <w:pPr>
              <w:pBdr>
                <w:top w:val="single" w:sz="6" w:space="0" w:color="FFFFFF"/>
                <w:left w:val="single" w:sz="6" w:space="0" w:color="FFFFFF"/>
                <w:bottom w:val="single" w:sz="6" w:space="0" w:color="FFFFFF"/>
                <w:right w:val="single" w:sz="6" w:space="0" w:color="FFFFFF"/>
              </w:pBdr>
              <w:spacing w:after="58"/>
            </w:pPr>
            <w:r>
              <w:t>Schedule public meeting on siting analysis</w:t>
            </w:r>
          </w:p>
        </w:tc>
        <w:tc>
          <w:tcPr>
            <w:tcW w:w="3060" w:type="dxa"/>
            <w:tcBorders>
              <w:top w:val="single" w:sz="7" w:space="0" w:color="000000"/>
              <w:left w:val="single" w:sz="7" w:space="0" w:color="000000"/>
              <w:bottom w:val="single" w:sz="7" w:space="0" w:color="000000"/>
              <w:right w:val="single" w:sz="7" w:space="0" w:color="000000"/>
            </w:tcBorders>
            <w:vAlign w:val="center"/>
          </w:tcPr>
          <w:p w:rsidR="006D0C61" w:rsidRDefault="00ED0566">
            <w:pPr>
              <w:pBdr>
                <w:top w:val="single" w:sz="6" w:space="0" w:color="FFFFFF"/>
                <w:left w:val="single" w:sz="6" w:space="0" w:color="FFFFFF"/>
                <w:bottom w:val="single" w:sz="6" w:space="0" w:color="FFFFFF"/>
                <w:right w:val="single" w:sz="6" w:space="0" w:color="FFFFFF"/>
              </w:pBdr>
              <w:spacing w:after="58"/>
            </w:pPr>
            <w:r>
              <w:t>60.1140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3407E" w:rsidRDefault="002A14F2">
      <w:pPr>
        <w:pBdr>
          <w:top w:val="single" w:sz="6" w:space="0" w:color="FFFFFF"/>
          <w:left w:val="single" w:sz="6" w:space="0" w:color="FFFFFF"/>
          <w:bottom w:val="single" w:sz="6" w:space="0" w:color="FFFFFF"/>
          <w:right w:val="single" w:sz="6" w:space="0" w:color="FFFFFF"/>
        </w:pBdr>
        <w:rPr>
          <w:color w:val="000000"/>
        </w:rPr>
      </w:pPr>
      <w:r>
        <w:rPr>
          <w:color w:val="000000"/>
        </w:rPr>
        <w:tab/>
      </w:r>
      <w:r w:rsidR="00CA4CD6">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300"/>
        <w:gridCol w:w="3060"/>
      </w:tblGrid>
      <w:tr w:rsidR="00A73600" w:rsidTr="002A14F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2A14F2" w:rsidTr="00E97122">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Records of occurrence and duration of any startups, shutdowns, malfunctions, or any malfunction of CEMS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60.7(b), 60.1340, 60.1365</w:t>
            </w:r>
          </w:p>
        </w:tc>
      </w:tr>
      <w:tr w:rsidR="002A14F2" w:rsidTr="00E97122">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Records on material separation plan and siting analysis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60.1345(a) 60.1350</w:t>
            </w:r>
          </w:p>
        </w:tc>
      </w:tr>
      <w:tr w:rsidR="002A14F2" w:rsidTr="00E97122">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Records of operator training and certification</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60.1340(b), 60.1355</w:t>
            </w:r>
          </w:p>
        </w:tc>
      </w:tr>
      <w:tr w:rsidR="002A14F2" w:rsidTr="00E97122">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Records of initial stack tests and annual stack tests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Del="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60.1340(c), 60.1360</w:t>
            </w:r>
          </w:p>
        </w:tc>
      </w:tr>
      <w:tr w:rsidR="002A14F2" w:rsidTr="00E97122">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Records for CEMS rates and parameters and computations of average emissions and parameters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60.1340(d), 60.1365, 60.1370</w:t>
            </w:r>
          </w:p>
        </w:tc>
      </w:tr>
      <w:tr w:rsidR="002A14F2" w:rsidTr="00E97122">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Records of MWC units that use activated carbon.  Records of quarterly amount of sorbent for Hg control</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60.1340(e), 60.1370</w:t>
            </w:r>
          </w:p>
        </w:tc>
      </w:tr>
      <w:tr w:rsidR="002A14F2" w:rsidTr="00E97122">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Records of results of daily CEMS drift tests and Appendix F accuracy assessments</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60.1365</w:t>
            </w:r>
          </w:p>
        </w:tc>
      </w:tr>
      <w:tr w:rsidR="002A14F2" w:rsidTr="00E97122">
        <w:trPr>
          <w:jc w:val="center"/>
        </w:trPr>
        <w:tc>
          <w:tcPr>
            <w:tcW w:w="630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Records are required to be retained for 5 years.  The full 5 years of records must be retained at the facility</w:t>
            </w:r>
          </w:p>
        </w:tc>
        <w:tc>
          <w:tcPr>
            <w:tcW w:w="3060" w:type="dxa"/>
            <w:tcBorders>
              <w:top w:val="single" w:sz="7" w:space="0" w:color="000000"/>
              <w:left w:val="single" w:sz="7" w:space="0" w:color="000000"/>
              <w:bottom w:val="single" w:sz="7" w:space="0" w:color="000000"/>
              <w:right w:val="single" w:sz="7" w:space="0" w:color="000000"/>
            </w:tcBorders>
            <w:vAlign w:val="center"/>
          </w:tcPr>
          <w:p w:rsidR="002A14F2" w:rsidRDefault="002A14F2">
            <w:pPr>
              <w:pBdr>
                <w:top w:val="single" w:sz="6" w:space="0" w:color="FFFFFF"/>
                <w:left w:val="single" w:sz="6" w:space="0" w:color="FFFFFF"/>
                <w:bottom w:val="single" w:sz="6" w:space="0" w:color="FFFFFF"/>
                <w:right w:val="single" w:sz="6" w:space="0" w:color="FFFFFF"/>
              </w:pBdr>
              <w:spacing w:after="58"/>
              <w:rPr>
                <w:color w:val="000000"/>
              </w:rPr>
            </w:pPr>
            <w:r>
              <w:rPr>
                <w:iCs/>
              </w:rPr>
              <w:t>60.1345</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A0DF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w:t>
      </w:r>
      <w:r w:rsidR="007340F2">
        <w:rPr>
          <w:color w:val="000000"/>
        </w:rPr>
        <w:t>respondents</w:t>
      </w:r>
      <w:r>
        <w:rPr>
          <w:color w:val="000000"/>
        </w:rPr>
        <w:t xml:space="preserve"> continue to create reporting </w:t>
      </w:r>
      <w:r>
        <w:rPr>
          <w:color w:val="000000"/>
        </w:rPr>
        <w:lastRenderedPageBreak/>
        <w:t>systems to transmit data electronically.  However, electronic reporting systems are still not widely used.  At this time, it is estimated that approximately 10 percent of the respon</w:t>
      </w:r>
      <w:r w:rsidR="0082545D">
        <w:rPr>
          <w:color w:val="000000"/>
        </w:rPr>
        <w:t>dents use electronic reporting.</w:t>
      </w:r>
    </w:p>
    <w:p w:rsidR="000151FC" w:rsidRDefault="000151FC">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DE754B"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007340F2">
              <w:rPr>
                <w:color w:val="000000"/>
              </w:rPr>
              <w:t xml:space="preserve"> </w:t>
            </w:r>
            <w:r w:rsidR="007340F2">
              <w:t>opacity, SO</w:t>
            </w:r>
            <w:r w:rsidR="007340F2" w:rsidRPr="00487C84">
              <w:rPr>
                <w:vertAlign w:val="subscript"/>
              </w:rPr>
              <w:t>2</w:t>
            </w:r>
            <w:r w:rsidR="007340F2">
              <w:t>, NO</w:t>
            </w:r>
            <w:r w:rsidR="007340F2" w:rsidRPr="003D4DB2">
              <w:rPr>
                <w:bCs/>
                <w:vertAlign w:val="subscript"/>
              </w:rPr>
              <w:t>X</w:t>
            </w:r>
            <w:r w:rsidR="007340F2">
              <w:t xml:space="preserve">, </w:t>
            </w:r>
            <w:r w:rsidR="00487C84">
              <w:t xml:space="preserve">and </w:t>
            </w:r>
            <w:r w:rsidR="007340F2">
              <w:t>O</w:t>
            </w:r>
            <w:r w:rsidR="007340F2" w:rsidRPr="00487C84">
              <w:rPr>
                <w:vertAlign w:val="subscript"/>
              </w:rPr>
              <w:t>2</w:t>
            </w:r>
            <w:r w:rsidR="007340F2" w:rsidRPr="00F13FC1">
              <w:t>.</w:t>
            </w:r>
            <w:r>
              <w:rPr>
                <w:color w:val="000000"/>
              </w:rPr>
              <w:t xml:space="preserve">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DE754B"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7340F2">
              <w:t>1 and 23 for organics; Reference Methods 1 and 29 for Cd, Pb, Hg; Reference Method 9 for opacity; Reference Methods 1 and 5 for particulate matter; Reference Methods 1and 26 or 26A for acid gases; and Reference Method 22 for fugitive ash</w:t>
            </w:r>
            <w:r w:rsidR="00487C84">
              <w:rPr>
                <w:color w:val="000000"/>
              </w:rPr>
              <w:t>;</w:t>
            </w:r>
            <w:r>
              <w:rPr>
                <w:color w:val="000000"/>
              </w:rPr>
              <w:t xml:space="preserve">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CD12C2" w:rsidP="00487C84">
      <w:pPr>
        <w:pBdr>
          <w:top w:val="single" w:sz="6" w:space="0" w:color="FFFFFF"/>
          <w:left w:val="single" w:sz="6" w:space="0" w:color="FFFFFF"/>
          <w:bottom w:val="single" w:sz="6" w:space="0" w:color="FFFFFF"/>
          <w:right w:val="single" w:sz="6" w:space="0" w:color="FFFFFF"/>
        </w:pBdr>
        <w:ind w:firstLine="720"/>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CD12C2" w:rsidRDefault="00CD12C2">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EPA conducts the following activities in connection with the acquisition, analysis, </w:t>
      </w:r>
      <w:r>
        <w:rPr>
          <w:color w:val="000000"/>
        </w:rPr>
        <w:lastRenderedPageBreak/>
        <w:t>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566AFD" w:rsidRDefault="00CA4CD6">
      <w:pPr>
        <w:pBdr>
          <w:top w:val="single" w:sz="6" w:space="0" w:color="FFFFFF"/>
          <w:left w:val="single" w:sz="6" w:space="0" w:color="FFFFFF"/>
          <w:bottom w:val="single" w:sz="6" w:space="0" w:color="FFFFFF"/>
          <w:right w:val="single" w:sz="6" w:space="0" w:color="FFFFFF"/>
        </w:pBdr>
        <w:ind w:firstLine="720"/>
      </w:pPr>
      <w:r w:rsidRPr="00566AFD">
        <w:t xml:space="preserve">Following notification of startup, the reviewing authority </w:t>
      </w:r>
      <w:r w:rsidR="002B29A7" w:rsidRPr="00566AFD">
        <w:t xml:space="preserve">could </w:t>
      </w:r>
      <w:r w:rsidRPr="00566AFD">
        <w:t xml:space="preserve">inspect the source </w:t>
      </w:r>
      <w:r w:rsidR="000151FC">
        <w:t xml:space="preserve">         </w:t>
      </w:r>
      <w:r w:rsidRPr="00566AFD">
        <w:t>to determine whether the pollution control devices are p</w:t>
      </w:r>
      <w:r w:rsidR="00566AFD" w:rsidRPr="00566AFD">
        <w:t xml:space="preserve">roperly installed and operated.  </w:t>
      </w:r>
      <w:r w:rsidRPr="00566AFD">
        <w:t>Performance test reports are used by the Agency to discern a source</w:t>
      </w:r>
      <w:r w:rsidR="004C701D" w:rsidRPr="00566AFD">
        <w:t>’</w:t>
      </w:r>
      <w:r w:rsidRPr="00566AFD">
        <w:t>s initial capability to</w:t>
      </w:r>
      <w:r w:rsidR="000151FC">
        <w:t xml:space="preserve"> </w:t>
      </w:r>
      <w:r w:rsidRPr="00566AFD">
        <w:t>com</w:t>
      </w:r>
      <w:r w:rsidR="00566AFD" w:rsidRPr="00566AFD">
        <w:t xml:space="preserve">ply with the emission standard. </w:t>
      </w:r>
      <w:r w:rsidRPr="00566AFD">
        <w:t xml:space="preserve"> Data and records maintained by the respondents are tabulated and published for use in compliance and enforcement programs.  The semiannual reports are used for problem identification, as a check on source operation and maintenance, </w:t>
      </w:r>
      <w:r w:rsidR="000151FC">
        <w:t xml:space="preserve">  </w:t>
      </w:r>
      <w:r w:rsidRPr="00566AFD">
        <w:t>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340F2">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487C84" w:rsidRDefault="00CA4CD6" w:rsidP="00487C84">
      <w:pPr>
        <w:ind w:firstLine="720"/>
      </w:pPr>
      <w:r>
        <w:rPr>
          <w:color w:val="000000"/>
        </w:rPr>
        <w:t xml:space="preserve">A majority of the respondents are </w:t>
      </w:r>
      <w:r w:rsidR="007960FB">
        <w:rPr>
          <w:color w:val="000000"/>
        </w:rPr>
        <w:t xml:space="preserve">small </w:t>
      </w:r>
      <w:r>
        <w:rPr>
          <w:color w:val="000000"/>
        </w:rPr>
        <w:t xml:space="preserve">entities (i.e., </w:t>
      </w:r>
      <w:r w:rsidR="007960FB">
        <w:rPr>
          <w:color w:val="000000"/>
        </w:rPr>
        <w:t xml:space="preserve">small </w:t>
      </w:r>
      <w:r>
        <w:rPr>
          <w:color w:val="000000"/>
        </w:rPr>
        <w:t xml:space="preserve">businesses).  </w:t>
      </w:r>
      <w:r w:rsidR="00487C84">
        <w:t xml:space="preserve">The EPA does not expect the standards to adversely affect these small entities.  The standards only apply to units with capacities between 35 </w:t>
      </w:r>
      <w:proofErr w:type="spellStart"/>
      <w:r w:rsidR="00487C84">
        <w:t>tpd</w:t>
      </w:r>
      <w:proofErr w:type="spellEnd"/>
      <w:r w:rsidR="00487C84">
        <w:t xml:space="preserve"> and 250 </w:t>
      </w:r>
      <w:proofErr w:type="spellStart"/>
      <w:r w:rsidR="00487C84">
        <w:t>tpd</w:t>
      </w:r>
      <w:proofErr w:type="spellEnd"/>
      <w:r w:rsidR="00487C84">
        <w:t>.  Furthermore, the standards contain provisions for reduced testing.  Owners of some small MWC units can skip annual tests for two-year periods for certain pollutants if they have demonstrated compliance for three annual tests in a row.  In addition to this reduced testing option, less frequent dioxin/furan testing is possible if all MWC units at a plant achieve emission levels less than the emission limit for two consecutive years.  This provision allows plants to test only one unit per year rather than all units, as normally required.</w:t>
      </w:r>
    </w:p>
    <w:p w:rsidR="0083407E" w:rsidRDefault="0083407E">
      <w:pPr>
        <w:pBdr>
          <w:top w:val="single" w:sz="6" w:space="0" w:color="FFFFFF"/>
          <w:left w:val="single" w:sz="6" w:space="0" w:color="FFFFFF"/>
          <w:bottom w:val="single" w:sz="6" w:space="0" w:color="FFFFFF"/>
          <w:right w:val="single" w:sz="6" w:space="0" w:color="FFFFFF"/>
        </w:pBdr>
        <w:ind w:firstLine="720"/>
        <w:rPr>
          <w:color w:val="000000"/>
        </w:rPr>
      </w:pPr>
    </w:p>
    <w:p w:rsidR="0016535F" w:rsidRDefault="0016535F">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33038" w:rsidRDefault="00CA4CD6" w:rsidP="007960FB">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in </w:t>
      </w:r>
      <w:r w:rsidR="007A458D">
        <w:rPr>
          <w:color w:val="000000"/>
        </w:rPr>
        <w:t xml:space="preserve">below </w:t>
      </w:r>
      <w:r w:rsidR="007960FB" w:rsidRPr="0037440E">
        <w:t xml:space="preserve">Table 1: Annual Respondent Burden and Cost – </w:t>
      </w:r>
      <w:r w:rsidR="007960FB" w:rsidRPr="00C31ABF">
        <w:t>NSPS for Small Municipal Waste Combustors (40 CFR Part 60, Subpart AAAA)</w:t>
      </w:r>
      <w:r w:rsidR="007960FB" w:rsidRPr="00C31ABF">
        <w:rPr>
          <w:color w:val="FF0000"/>
        </w:rPr>
        <w:t xml:space="preserve"> </w:t>
      </w:r>
      <w:r w:rsidR="007960FB" w:rsidRPr="00C31ABF">
        <w:t>(Renewal)</w:t>
      </w:r>
      <w:r w:rsidR="007960FB">
        <w:t>.</w:t>
      </w:r>
    </w:p>
    <w:p w:rsidR="00CA4CD6" w:rsidRDefault="00CA4CD6" w:rsidP="007960FB">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881F99">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514614">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019D0">
        <w:rPr>
          <w:color w:val="000000"/>
        </w:rPr>
        <w:t>12,</w:t>
      </w:r>
      <w:r w:rsidR="005E01F3">
        <w:rPr>
          <w:color w:val="000000"/>
        </w:rPr>
        <w:t>351</w:t>
      </w:r>
      <w:r w:rsidR="00AA3F37">
        <w:rPr>
          <w:color w:val="000000"/>
        </w:rPr>
        <w:t xml:space="preserve"> hours</w:t>
      </w:r>
      <w:r w:rsidR="004C701D">
        <w:rPr>
          <w:color w:val="000000"/>
        </w:rPr>
        <w:t xml:space="preserve"> (</w:t>
      </w:r>
      <w:r>
        <w:rPr>
          <w:color w:val="000000"/>
        </w:rPr>
        <w:t>Total Labor Hours from Table 1</w:t>
      </w:r>
      <w:r w:rsidR="00AA3F37">
        <w:rPr>
          <w:color w:val="000000"/>
        </w:rPr>
        <w:t xml:space="preserve"> below</w:t>
      </w:r>
      <w:r>
        <w:rPr>
          <w:color w:val="000000"/>
        </w:rPr>
        <w:t>).</w:t>
      </w:r>
      <w:r w:rsidR="001C5991">
        <w:rPr>
          <w:color w:val="000000"/>
        </w:rPr>
        <w:t xml:space="preserve">  </w:t>
      </w:r>
      <w:r w:rsidR="003019D0">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F33038">
        <w:rPr>
          <w:color w:val="000000"/>
        </w:rPr>
        <w:t xml:space="preserve"> NSPS</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D87C88">
        <w:rPr>
          <w:color w:val="000000"/>
        </w:rPr>
        <w:t>121.44</w:t>
      </w:r>
      <w:r>
        <w:rPr>
          <w:color w:val="000000"/>
        </w:rPr>
        <w:t xml:space="preserve"> ($</w:t>
      </w:r>
      <w:r w:rsidR="00D87C88">
        <w:rPr>
          <w:color w:val="000000"/>
        </w:rPr>
        <w:t>57.83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D87C88">
        <w:rPr>
          <w:color w:val="000000"/>
        </w:rPr>
        <w:t>100.23</w:t>
      </w:r>
      <w:r>
        <w:rPr>
          <w:color w:val="000000"/>
        </w:rPr>
        <w:t xml:space="preserve"> ($</w:t>
      </w:r>
      <w:r w:rsidR="00D87C88">
        <w:rPr>
          <w:color w:val="000000"/>
        </w:rPr>
        <w:t>47.73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D87C88">
        <w:rPr>
          <w:color w:val="000000"/>
        </w:rPr>
        <w:t>50.51</w:t>
      </w:r>
      <w:r>
        <w:rPr>
          <w:color w:val="000000"/>
        </w:rPr>
        <w:t xml:space="preserve"> ($</w:t>
      </w:r>
      <w:r w:rsidR="00D87C88">
        <w:rPr>
          <w:color w:val="000000"/>
        </w:rPr>
        <w:t>24.05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87C88">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rsidR="00D87C88" w:rsidRDefault="00D87C88">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subject standard are both labor costs which are addressed elsewhere in this ICR and the costs </w:t>
      </w:r>
      <w:r>
        <w:rPr>
          <w:color w:val="000000"/>
        </w:rPr>
        <w:lastRenderedPageBreak/>
        <w:t xml:space="preserve">associated with continuous monitoring.  The capital/startup costs are </w:t>
      </w:r>
      <w:r w:rsidR="003019D0">
        <w:rPr>
          <w:color w:val="000000"/>
        </w:rPr>
        <w:t>one</w:t>
      </w:r>
      <w:r w:rsidR="00487C84">
        <w:rPr>
          <w:color w:val="000000"/>
        </w:rPr>
        <w:t>-</w:t>
      </w:r>
      <w:r w:rsidR="003019D0">
        <w:rPr>
          <w:color w:val="000000"/>
        </w:rPr>
        <w:t>time</w:t>
      </w:r>
      <w:r>
        <w:rPr>
          <w:color w:val="000000"/>
        </w:rPr>
        <w:t xml:space="preserve"> costs when a facility becomes subject to the regulation.  The annual operation and maintenance costs are the ongoing costs to maintain the monitors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429" w:type="dxa"/>
        <w:tblLayout w:type="fixed"/>
        <w:tblCellMar>
          <w:left w:w="111" w:type="dxa"/>
          <w:right w:w="111" w:type="dxa"/>
        </w:tblCellMar>
        <w:tblLook w:val="0000"/>
      </w:tblPr>
      <w:tblGrid>
        <w:gridCol w:w="2160"/>
        <w:gridCol w:w="1440"/>
        <w:gridCol w:w="1080"/>
        <w:gridCol w:w="1440"/>
        <w:gridCol w:w="1260"/>
        <w:gridCol w:w="1260"/>
        <w:gridCol w:w="990"/>
      </w:tblGrid>
      <w:tr w:rsidR="00A73600" w:rsidTr="00487C84">
        <w:trPr>
          <w:tblHeader/>
        </w:trPr>
        <w:tc>
          <w:tcPr>
            <w:tcW w:w="9630" w:type="dxa"/>
            <w:gridSpan w:val="7"/>
            <w:tcBorders>
              <w:top w:val="single" w:sz="8" w:space="0" w:color="000000"/>
              <w:left w:val="single" w:sz="8" w:space="0" w:color="000000"/>
              <w:bottom w:val="single" w:sz="6" w:space="0" w:color="FFFFFF"/>
              <w:right w:val="single" w:sz="8"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487C84">
        <w:tc>
          <w:tcPr>
            <w:tcW w:w="2160" w:type="dxa"/>
            <w:tcBorders>
              <w:top w:val="single" w:sz="7" w:space="0" w:color="000000"/>
              <w:left w:val="single" w:sz="8" w:space="0" w:color="000000"/>
              <w:bottom w:val="single" w:sz="6" w:space="0" w:color="FFFFFF"/>
              <w:right w:val="single" w:sz="8" w:space="0" w:color="000000"/>
            </w:tcBorders>
          </w:tcPr>
          <w:p w:rsidR="00CA4CD6" w:rsidRDefault="00CA4CD6" w:rsidP="00487C84">
            <w:pPr>
              <w:spacing w:line="120" w:lineRule="exact"/>
              <w:jc w:val="center"/>
              <w:rPr>
                <w:b/>
                <w:bCs/>
                <w:color w:val="000000"/>
              </w:rPr>
            </w:pPr>
          </w:p>
          <w:p w:rsidR="00CA4CD6" w:rsidRDefault="00CA4CD6" w:rsidP="00487C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8" w:space="0" w:color="000000"/>
              <w:bottom w:val="single" w:sz="6" w:space="0" w:color="FFFFFF"/>
              <w:right w:val="single" w:sz="8" w:space="0" w:color="000000"/>
            </w:tcBorders>
          </w:tcPr>
          <w:p w:rsidR="00CA4CD6" w:rsidRDefault="00CA4CD6" w:rsidP="00487C84">
            <w:pPr>
              <w:spacing w:line="120" w:lineRule="exact"/>
              <w:jc w:val="center"/>
              <w:rPr>
                <w:color w:val="000000"/>
                <w:sz w:val="20"/>
                <w:szCs w:val="20"/>
              </w:rPr>
            </w:pPr>
          </w:p>
          <w:p w:rsidR="00CA4CD6" w:rsidRDefault="00CA4CD6" w:rsidP="00487C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Capital/Startup Cost for One </w:t>
            </w:r>
            <w:r w:rsidR="00487C84">
              <w:rPr>
                <w:color w:val="000000"/>
                <w:sz w:val="20"/>
                <w:szCs w:val="20"/>
              </w:rPr>
              <w:t>Facility</w:t>
            </w:r>
          </w:p>
        </w:tc>
        <w:tc>
          <w:tcPr>
            <w:tcW w:w="1080" w:type="dxa"/>
            <w:tcBorders>
              <w:top w:val="single" w:sz="7" w:space="0" w:color="000000"/>
              <w:left w:val="single" w:sz="8" w:space="0" w:color="000000"/>
              <w:bottom w:val="single" w:sz="6" w:space="0" w:color="FFFFFF"/>
              <w:right w:val="single" w:sz="8" w:space="0" w:color="000000"/>
            </w:tcBorders>
          </w:tcPr>
          <w:p w:rsidR="00CA4CD6" w:rsidRDefault="00CA4CD6" w:rsidP="00487C84">
            <w:pPr>
              <w:spacing w:line="120" w:lineRule="exact"/>
              <w:jc w:val="center"/>
              <w:rPr>
                <w:color w:val="000000"/>
                <w:sz w:val="20"/>
                <w:szCs w:val="20"/>
              </w:rPr>
            </w:pPr>
          </w:p>
          <w:p w:rsidR="00CA4CD6" w:rsidRDefault="00CA4CD6" w:rsidP="00487C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w:t>
            </w:r>
            <w:r w:rsidR="00487C84">
              <w:rPr>
                <w:color w:val="000000"/>
                <w:sz w:val="20"/>
                <w:szCs w:val="20"/>
              </w:rPr>
              <w:t>Facilities</w:t>
            </w:r>
          </w:p>
        </w:tc>
        <w:tc>
          <w:tcPr>
            <w:tcW w:w="1440" w:type="dxa"/>
            <w:tcBorders>
              <w:top w:val="single" w:sz="7" w:space="0" w:color="000000"/>
              <w:left w:val="single" w:sz="8" w:space="0" w:color="000000"/>
              <w:bottom w:val="single" w:sz="6" w:space="0" w:color="FFFFFF"/>
              <w:right w:val="single" w:sz="8" w:space="0" w:color="000000"/>
            </w:tcBorders>
          </w:tcPr>
          <w:p w:rsidR="00CA4CD6" w:rsidRDefault="00CA4CD6" w:rsidP="00487C84">
            <w:pPr>
              <w:spacing w:line="120" w:lineRule="exact"/>
              <w:jc w:val="center"/>
              <w:rPr>
                <w:color w:val="000000"/>
                <w:sz w:val="20"/>
                <w:szCs w:val="20"/>
              </w:rPr>
            </w:pPr>
          </w:p>
          <w:p w:rsidR="00CA4CD6" w:rsidRDefault="00CA4CD6" w:rsidP="00487C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487C84">
              <w:rPr>
                <w:color w:val="000000"/>
                <w:sz w:val="20"/>
                <w:szCs w:val="20"/>
              </w:rPr>
              <w:t xml:space="preserve"> </w:t>
            </w:r>
            <w:r>
              <w:rPr>
                <w:color w:val="000000"/>
                <w:sz w:val="20"/>
                <w:szCs w:val="20"/>
              </w:rPr>
              <w:t>Startup Cost,  (B X C)</w:t>
            </w:r>
          </w:p>
        </w:tc>
        <w:tc>
          <w:tcPr>
            <w:tcW w:w="1260" w:type="dxa"/>
            <w:tcBorders>
              <w:top w:val="single" w:sz="7" w:space="0" w:color="000000"/>
              <w:left w:val="single" w:sz="8" w:space="0" w:color="000000"/>
              <w:bottom w:val="single" w:sz="6" w:space="0" w:color="FFFFFF"/>
              <w:right w:val="single" w:sz="8" w:space="0" w:color="000000"/>
            </w:tcBorders>
          </w:tcPr>
          <w:p w:rsidR="00CA4CD6" w:rsidRDefault="00CA4CD6" w:rsidP="00487C84">
            <w:pPr>
              <w:spacing w:line="120" w:lineRule="exact"/>
              <w:jc w:val="center"/>
              <w:rPr>
                <w:color w:val="000000"/>
                <w:sz w:val="20"/>
                <w:szCs w:val="20"/>
              </w:rPr>
            </w:pPr>
          </w:p>
          <w:p w:rsidR="00CA4CD6" w:rsidRDefault="00CA4CD6" w:rsidP="00487C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Annual O&amp;M Costs for One </w:t>
            </w:r>
            <w:r w:rsidR="00487C84">
              <w:rPr>
                <w:color w:val="000000"/>
                <w:sz w:val="20"/>
                <w:szCs w:val="20"/>
              </w:rPr>
              <w:t>Facility</w:t>
            </w:r>
          </w:p>
        </w:tc>
        <w:tc>
          <w:tcPr>
            <w:tcW w:w="1260" w:type="dxa"/>
            <w:tcBorders>
              <w:top w:val="single" w:sz="7" w:space="0" w:color="000000"/>
              <w:left w:val="single" w:sz="8" w:space="0" w:color="000000"/>
              <w:bottom w:val="single" w:sz="6" w:space="0" w:color="FFFFFF"/>
              <w:right w:val="single" w:sz="8" w:space="0" w:color="000000"/>
            </w:tcBorders>
          </w:tcPr>
          <w:p w:rsidR="00CA4CD6" w:rsidRDefault="00CA4CD6" w:rsidP="00487C84">
            <w:pPr>
              <w:spacing w:line="120" w:lineRule="exact"/>
              <w:jc w:val="center"/>
              <w:rPr>
                <w:color w:val="000000"/>
                <w:sz w:val="20"/>
                <w:szCs w:val="20"/>
              </w:rPr>
            </w:pPr>
          </w:p>
          <w:p w:rsidR="00CA4CD6" w:rsidRDefault="00CA4CD6" w:rsidP="00487C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w:t>
            </w:r>
            <w:r w:rsidR="00487C84">
              <w:rPr>
                <w:color w:val="000000"/>
                <w:sz w:val="20"/>
                <w:szCs w:val="20"/>
              </w:rPr>
              <w:t xml:space="preserve">Facilities </w:t>
            </w:r>
            <w:r>
              <w:rPr>
                <w:color w:val="000000"/>
                <w:sz w:val="20"/>
                <w:szCs w:val="20"/>
              </w:rPr>
              <w:t>with O&amp;M</w:t>
            </w:r>
          </w:p>
        </w:tc>
        <w:tc>
          <w:tcPr>
            <w:tcW w:w="990" w:type="dxa"/>
            <w:tcBorders>
              <w:top w:val="single" w:sz="7" w:space="0" w:color="000000"/>
              <w:left w:val="single" w:sz="8" w:space="0" w:color="000000"/>
              <w:bottom w:val="single" w:sz="6" w:space="0" w:color="FFFFFF"/>
              <w:right w:val="single" w:sz="8" w:space="0" w:color="000000"/>
            </w:tcBorders>
          </w:tcPr>
          <w:p w:rsidR="00CA4CD6" w:rsidRDefault="00CA4CD6" w:rsidP="00487C84">
            <w:pPr>
              <w:spacing w:line="120" w:lineRule="exact"/>
              <w:jc w:val="center"/>
              <w:rPr>
                <w:color w:val="000000"/>
                <w:sz w:val="20"/>
                <w:szCs w:val="20"/>
              </w:rPr>
            </w:pPr>
          </w:p>
          <w:p w:rsidR="00CA4CD6" w:rsidRDefault="00CA4CD6" w:rsidP="00487C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487C8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F27112" w:rsidTr="008A148D">
        <w:tc>
          <w:tcPr>
            <w:tcW w:w="2160" w:type="dxa"/>
            <w:tcBorders>
              <w:top w:val="single" w:sz="7" w:space="0" w:color="000000"/>
              <w:left w:val="single" w:sz="8" w:space="0" w:color="000000"/>
              <w:bottom w:val="single" w:sz="7" w:space="0" w:color="000000"/>
              <w:right w:val="single" w:sz="8" w:space="0" w:color="000000"/>
            </w:tcBorders>
            <w:vAlign w:val="center"/>
          </w:tcPr>
          <w:p w:rsidR="00F27112" w:rsidRPr="00487C84" w:rsidRDefault="00F27112" w:rsidP="00487C84">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487C84">
              <w:rPr>
                <w:color w:val="000000"/>
                <w:sz w:val="20"/>
                <w:szCs w:val="20"/>
              </w:rPr>
              <w:t>Load monitors, temperature monitors, and carbon federate monitors (Sections 60.1315 thru 60.1335)</w:t>
            </w:r>
          </w:p>
        </w:tc>
        <w:tc>
          <w:tcPr>
            <w:tcW w:w="1440" w:type="dxa"/>
            <w:tcBorders>
              <w:top w:val="single" w:sz="7" w:space="0" w:color="000000"/>
              <w:left w:val="single" w:sz="8" w:space="0" w:color="000000"/>
              <w:bottom w:val="single" w:sz="7" w:space="0" w:color="000000"/>
              <w:right w:val="single" w:sz="8" w:space="0" w:color="000000"/>
            </w:tcBorders>
            <w:vAlign w:val="center"/>
          </w:tcPr>
          <w:p w:rsidR="00F27112" w:rsidRPr="00487C84" w:rsidRDefault="00F27112"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87C84">
              <w:rPr>
                <w:color w:val="000000"/>
                <w:sz w:val="20"/>
                <w:szCs w:val="20"/>
              </w:rPr>
              <w:t>$200,000</w:t>
            </w:r>
          </w:p>
        </w:tc>
        <w:tc>
          <w:tcPr>
            <w:tcW w:w="1080" w:type="dxa"/>
            <w:tcBorders>
              <w:top w:val="single" w:sz="7" w:space="0" w:color="000000"/>
              <w:left w:val="single" w:sz="8" w:space="0" w:color="000000"/>
              <w:bottom w:val="single" w:sz="7" w:space="0" w:color="000000"/>
              <w:right w:val="single" w:sz="8" w:space="0" w:color="000000"/>
            </w:tcBorders>
            <w:vAlign w:val="center"/>
          </w:tcPr>
          <w:p w:rsidR="00F27112" w:rsidRPr="00487C84" w:rsidRDefault="00F27112"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87C84">
              <w:rPr>
                <w:color w:val="000000"/>
                <w:sz w:val="20"/>
                <w:szCs w:val="20"/>
              </w:rPr>
              <w:t>0.33</w:t>
            </w:r>
            <w:r w:rsidRPr="00487C84">
              <w:rPr>
                <w:color w:val="000000"/>
                <w:sz w:val="20"/>
                <w:szCs w:val="20"/>
                <w:vertAlign w:val="superscript"/>
              </w:rPr>
              <w:t>a</w:t>
            </w:r>
          </w:p>
        </w:tc>
        <w:tc>
          <w:tcPr>
            <w:tcW w:w="1440" w:type="dxa"/>
            <w:tcBorders>
              <w:top w:val="single" w:sz="7" w:space="0" w:color="000000"/>
              <w:left w:val="single" w:sz="8" w:space="0" w:color="000000"/>
              <w:bottom w:val="single" w:sz="7" w:space="0" w:color="000000"/>
              <w:right w:val="single" w:sz="8" w:space="0" w:color="000000"/>
            </w:tcBorders>
            <w:vAlign w:val="center"/>
          </w:tcPr>
          <w:p w:rsidR="00F27112" w:rsidRPr="00487C84" w:rsidRDefault="00F27112"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87C84">
              <w:rPr>
                <w:color w:val="000000"/>
                <w:sz w:val="20"/>
                <w:szCs w:val="20"/>
              </w:rPr>
              <w:t>$66,000</w:t>
            </w:r>
          </w:p>
        </w:tc>
        <w:tc>
          <w:tcPr>
            <w:tcW w:w="1260" w:type="dxa"/>
            <w:tcBorders>
              <w:top w:val="single" w:sz="7" w:space="0" w:color="000000"/>
              <w:left w:val="single" w:sz="8" w:space="0" w:color="000000"/>
              <w:bottom w:val="single" w:sz="7" w:space="0" w:color="000000"/>
              <w:right w:val="single" w:sz="8" w:space="0" w:color="000000"/>
            </w:tcBorders>
            <w:vAlign w:val="center"/>
          </w:tcPr>
          <w:p w:rsidR="00F27112" w:rsidRPr="00487C84" w:rsidRDefault="00F27112"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87C84">
              <w:rPr>
                <w:color w:val="000000"/>
                <w:sz w:val="20"/>
                <w:szCs w:val="20"/>
              </w:rPr>
              <w:t>$19,200</w:t>
            </w:r>
          </w:p>
        </w:tc>
        <w:tc>
          <w:tcPr>
            <w:tcW w:w="1260" w:type="dxa"/>
            <w:tcBorders>
              <w:top w:val="single" w:sz="7" w:space="0" w:color="000000"/>
              <w:left w:val="single" w:sz="8" w:space="0" w:color="000000"/>
              <w:bottom w:val="single" w:sz="7" w:space="0" w:color="000000"/>
              <w:right w:val="single" w:sz="8" w:space="0" w:color="000000"/>
            </w:tcBorders>
            <w:vAlign w:val="center"/>
          </w:tcPr>
          <w:p w:rsidR="00F27112" w:rsidRPr="00487C84" w:rsidRDefault="00D319AC"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87C84">
              <w:rPr>
                <w:color w:val="000000"/>
                <w:sz w:val="20"/>
                <w:szCs w:val="20"/>
              </w:rPr>
              <w:t>5</w:t>
            </w:r>
            <w:r w:rsidR="00F27112" w:rsidRPr="00487C84">
              <w:rPr>
                <w:color w:val="000000"/>
                <w:sz w:val="20"/>
                <w:szCs w:val="20"/>
              </w:rPr>
              <w:t>.33</w:t>
            </w:r>
            <w:r w:rsidR="00F27112" w:rsidRPr="00487C84">
              <w:rPr>
                <w:color w:val="000000"/>
                <w:sz w:val="20"/>
                <w:szCs w:val="20"/>
                <w:vertAlign w:val="superscript"/>
              </w:rPr>
              <w:t>b</w:t>
            </w:r>
          </w:p>
        </w:tc>
        <w:tc>
          <w:tcPr>
            <w:tcW w:w="990" w:type="dxa"/>
            <w:tcBorders>
              <w:top w:val="single" w:sz="7" w:space="0" w:color="000000"/>
              <w:left w:val="single" w:sz="8" w:space="0" w:color="000000"/>
              <w:bottom w:val="single" w:sz="7" w:space="0" w:color="000000"/>
              <w:right w:val="single" w:sz="8" w:space="0" w:color="000000"/>
            </w:tcBorders>
            <w:vAlign w:val="center"/>
          </w:tcPr>
          <w:p w:rsidR="00F27112" w:rsidRPr="00487C84" w:rsidRDefault="00F27112"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487C84">
              <w:rPr>
                <w:color w:val="000000"/>
                <w:sz w:val="20"/>
                <w:szCs w:val="20"/>
              </w:rPr>
              <w:t>$</w:t>
            </w:r>
            <w:r w:rsidR="00D319AC" w:rsidRPr="00487C84">
              <w:rPr>
                <w:color w:val="000000"/>
                <w:sz w:val="20"/>
                <w:szCs w:val="20"/>
              </w:rPr>
              <w:t>102,336</w:t>
            </w:r>
          </w:p>
        </w:tc>
      </w:tr>
      <w:tr w:rsidR="008A148D" w:rsidTr="00487C84">
        <w:tc>
          <w:tcPr>
            <w:tcW w:w="2160" w:type="dxa"/>
            <w:tcBorders>
              <w:top w:val="single" w:sz="7" w:space="0" w:color="000000"/>
              <w:left w:val="single" w:sz="8" w:space="0" w:color="000000"/>
              <w:bottom w:val="single" w:sz="8" w:space="0" w:color="000000"/>
              <w:right w:val="single" w:sz="8" w:space="0" w:color="000000"/>
            </w:tcBorders>
            <w:vAlign w:val="center"/>
          </w:tcPr>
          <w:p w:rsidR="008A148D" w:rsidRPr="00487C84" w:rsidRDefault="008A148D" w:rsidP="00487C84">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w:t>
            </w:r>
          </w:p>
        </w:tc>
        <w:tc>
          <w:tcPr>
            <w:tcW w:w="1440" w:type="dxa"/>
            <w:tcBorders>
              <w:top w:val="single" w:sz="7" w:space="0" w:color="000000"/>
              <w:left w:val="single" w:sz="8" w:space="0" w:color="000000"/>
              <w:bottom w:val="single" w:sz="8" w:space="0" w:color="000000"/>
              <w:right w:val="single" w:sz="8" w:space="0" w:color="000000"/>
            </w:tcBorders>
            <w:vAlign w:val="center"/>
          </w:tcPr>
          <w:p w:rsidR="008A148D" w:rsidRPr="00487C84" w:rsidRDefault="008A148D"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080" w:type="dxa"/>
            <w:tcBorders>
              <w:top w:val="single" w:sz="7" w:space="0" w:color="000000"/>
              <w:left w:val="single" w:sz="8" w:space="0" w:color="000000"/>
              <w:bottom w:val="single" w:sz="8" w:space="0" w:color="000000"/>
              <w:right w:val="single" w:sz="8" w:space="0" w:color="000000"/>
            </w:tcBorders>
            <w:vAlign w:val="center"/>
          </w:tcPr>
          <w:p w:rsidR="008A148D" w:rsidRPr="00487C84" w:rsidRDefault="008A148D"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7" w:space="0" w:color="000000"/>
              <w:left w:val="single" w:sz="8" w:space="0" w:color="000000"/>
              <w:bottom w:val="single" w:sz="8" w:space="0" w:color="000000"/>
              <w:right w:val="single" w:sz="8" w:space="0" w:color="000000"/>
            </w:tcBorders>
            <w:vAlign w:val="center"/>
          </w:tcPr>
          <w:p w:rsidR="008A148D" w:rsidRPr="00487C84" w:rsidRDefault="008A148D"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$66,000</w:t>
            </w:r>
          </w:p>
        </w:tc>
        <w:tc>
          <w:tcPr>
            <w:tcW w:w="1260" w:type="dxa"/>
            <w:tcBorders>
              <w:top w:val="single" w:sz="7" w:space="0" w:color="000000"/>
              <w:left w:val="single" w:sz="8" w:space="0" w:color="000000"/>
              <w:bottom w:val="single" w:sz="8" w:space="0" w:color="000000"/>
              <w:right w:val="single" w:sz="8" w:space="0" w:color="000000"/>
            </w:tcBorders>
            <w:vAlign w:val="center"/>
          </w:tcPr>
          <w:p w:rsidR="008A148D" w:rsidRPr="00487C84" w:rsidRDefault="008A148D"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tcBorders>
              <w:top w:val="single" w:sz="7" w:space="0" w:color="000000"/>
              <w:left w:val="single" w:sz="8" w:space="0" w:color="000000"/>
              <w:bottom w:val="single" w:sz="8" w:space="0" w:color="000000"/>
              <w:right w:val="single" w:sz="8" w:space="0" w:color="000000"/>
            </w:tcBorders>
            <w:vAlign w:val="center"/>
          </w:tcPr>
          <w:p w:rsidR="008A148D" w:rsidRPr="00487C84" w:rsidRDefault="008A148D"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990" w:type="dxa"/>
            <w:tcBorders>
              <w:top w:val="single" w:sz="7" w:space="0" w:color="000000"/>
              <w:left w:val="single" w:sz="8" w:space="0" w:color="000000"/>
              <w:bottom w:val="single" w:sz="8" w:space="0" w:color="000000"/>
              <w:right w:val="single" w:sz="8" w:space="0" w:color="000000"/>
            </w:tcBorders>
            <w:vAlign w:val="center"/>
          </w:tcPr>
          <w:p w:rsidR="008A148D" w:rsidRPr="00487C84" w:rsidRDefault="008A148D" w:rsidP="00487C8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$102,336</w:t>
            </w:r>
          </w:p>
        </w:tc>
      </w:tr>
    </w:tbl>
    <w:p w:rsidR="00E06207" w:rsidRPr="00E06207" w:rsidRDefault="007E5DCE" w:rsidP="00E06207">
      <w:pPr>
        <w:pBdr>
          <w:top w:val="single" w:sz="6" w:space="0" w:color="FFFFFF"/>
          <w:left w:val="single" w:sz="6" w:space="0" w:color="FFFFFF"/>
          <w:bottom w:val="single" w:sz="6" w:space="0" w:color="FFFFFF"/>
          <w:right w:val="single" w:sz="6" w:space="0" w:color="FFFFFF"/>
        </w:pBdr>
        <w:rPr>
          <w:color w:val="000000"/>
          <w:sz w:val="20"/>
          <w:szCs w:val="20"/>
        </w:rPr>
      </w:pPr>
      <w:proofErr w:type="spellStart"/>
      <w:proofErr w:type="gramStart"/>
      <w:r w:rsidRPr="007E5DCE">
        <w:rPr>
          <w:color w:val="000000"/>
          <w:sz w:val="20"/>
          <w:szCs w:val="20"/>
          <w:vertAlign w:val="superscript"/>
        </w:rPr>
        <w:t>a</w:t>
      </w:r>
      <w:proofErr w:type="spellEnd"/>
      <w:proofErr w:type="gramEnd"/>
      <w:r w:rsidRPr="007E5DCE">
        <w:rPr>
          <w:color w:val="000000"/>
          <w:sz w:val="20"/>
          <w:szCs w:val="20"/>
        </w:rPr>
        <w:t xml:space="preserve"> We estimate that one additional facility will become subject to this subpart over the next three years.  Therefore, we estimate the number of new facilities to be 0.33 per year.</w:t>
      </w:r>
    </w:p>
    <w:p w:rsidR="00E06207" w:rsidRPr="00E06207" w:rsidRDefault="007E5DCE" w:rsidP="00E06207">
      <w:pPr>
        <w:pBdr>
          <w:top w:val="single" w:sz="6" w:space="0" w:color="FFFFFF"/>
          <w:left w:val="single" w:sz="6" w:space="0" w:color="FFFFFF"/>
          <w:bottom w:val="single" w:sz="6" w:space="0" w:color="FFFFFF"/>
          <w:right w:val="single" w:sz="6" w:space="0" w:color="FFFFFF"/>
        </w:pBdr>
        <w:rPr>
          <w:color w:val="000000"/>
          <w:sz w:val="20"/>
          <w:szCs w:val="20"/>
        </w:rPr>
      </w:pPr>
      <w:proofErr w:type="gramStart"/>
      <w:r w:rsidRPr="007E5DCE">
        <w:rPr>
          <w:color w:val="000000"/>
          <w:sz w:val="20"/>
          <w:szCs w:val="20"/>
          <w:vertAlign w:val="superscript"/>
        </w:rPr>
        <w:t>b</w:t>
      </w:r>
      <w:proofErr w:type="gramEnd"/>
      <w:r w:rsidRPr="007E5DCE">
        <w:rPr>
          <w:color w:val="000000"/>
          <w:sz w:val="20"/>
          <w:szCs w:val="20"/>
        </w:rPr>
        <w:t xml:space="preserve"> The estimated number of facilities with O&amp;M costs includes the f</w:t>
      </w:r>
      <w:r w:rsidR="00D319AC">
        <w:rPr>
          <w:color w:val="000000"/>
          <w:sz w:val="20"/>
          <w:szCs w:val="20"/>
        </w:rPr>
        <w:t>ive</w:t>
      </w:r>
      <w:r w:rsidRPr="007E5DCE">
        <w:rPr>
          <w:color w:val="000000"/>
          <w:sz w:val="20"/>
          <w:szCs w:val="20"/>
        </w:rPr>
        <w:t xml:space="preserve"> existing facilities </w:t>
      </w:r>
      <w:r w:rsidR="00487C84">
        <w:rPr>
          <w:color w:val="000000"/>
          <w:sz w:val="20"/>
          <w:szCs w:val="20"/>
        </w:rPr>
        <w:t xml:space="preserve">(at 3 plants) </w:t>
      </w:r>
      <w:r w:rsidRPr="007E5DCE">
        <w:rPr>
          <w:color w:val="000000"/>
          <w:sz w:val="20"/>
          <w:szCs w:val="20"/>
        </w:rPr>
        <w:t>and the one additional facility (0.33 per year) expected to startup over the next three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7A0C7E">
        <w:rPr>
          <w:color w:val="000000"/>
        </w:rPr>
        <w:t>66,000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7A0C7E">
        <w:rPr>
          <w:color w:val="000000"/>
        </w:rPr>
        <w:t>102,336</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7A0C7E">
        <w:rPr>
          <w:color w:val="000000"/>
        </w:rPr>
        <w:t>168,336</w:t>
      </w:r>
      <w:r w:rsidR="00BF2D06">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w:t>
      </w:r>
      <w:r w:rsidR="003B038A">
        <w:rPr>
          <w:color w:val="000000"/>
        </w:rPr>
        <w:t>the examination</w:t>
      </w:r>
      <w:r>
        <w:rPr>
          <w:color w:val="000000"/>
        </w:rPr>
        <w:t xml:space="preserve"> of records maintained by the respondents</w:t>
      </w:r>
      <w:r w:rsidR="003019D0">
        <w:rPr>
          <w:color w:val="000000"/>
        </w:rPr>
        <w:t>, periodic</w:t>
      </w:r>
      <w:r>
        <w:rPr>
          <w:color w:val="000000"/>
        </w:rPr>
        <w:t xml:space="preserve">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3019D0">
        <w:rPr>
          <w:color w:val="000000"/>
        </w:rPr>
        <w:t>2</w:t>
      </w:r>
      <w:r w:rsidR="005E01F3">
        <w:rPr>
          <w:color w:val="000000"/>
        </w:rPr>
        <w:t>5</w:t>
      </w:r>
      <w:r w:rsidR="003019D0">
        <w:rPr>
          <w:color w:val="000000"/>
        </w:rPr>
        <w:t>,</w:t>
      </w:r>
      <w:r w:rsidR="005E01F3">
        <w:rPr>
          <w:color w:val="000000"/>
        </w:rPr>
        <w:t>882</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lastRenderedPageBreak/>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B038A"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487C84">
        <w:rPr>
          <w:color w:val="000000"/>
        </w:rPr>
        <w:t>2</w:t>
      </w:r>
      <w:r>
        <w:rPr>
          <w:color w:val="000000"/>
        </w:rPr>
        <w:t xml:space="preserve"> General Schedule</w:t>
      </w:r>
      <w:r w:rsidR="007A458D">
        <w:rPr>
          <w:color w:val="000000"/>
        </w:rPr>
        <w:t>,</w:t>
      </w:r>
      <w:r>
        <w:rPr>
          <w:color w:val="000000"/>
        </w:rPr>
        <w:t xml:space="preserve"> which excludes locality</w:t>
      </w:r>
      <w:r w:rsidR="007A2BBD">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7960FB" w:rsidRPr="0037440E">
        <w:t xml:space="preserve">Table 2: Average Annual EPA Burden and Cost – </w:t>
      </w:r>
      <w:r w:rsidR="007960FB" w:rsidRPr="00C31ABF">
        <w:t>NSPS for Small Municipal Waste Combustors (40 CFR Part 60, Subpart AAAA)</w:t>
      </w:r>
      <w:r w:rsidR="007960FB" w:rsidRPr="00C31ABF">
        <w:rPr>
          <w:color w:val="FF0000"/>
        </w:rPr>
        <w:t xml:space="preserve"> </w:t>
      </w:r>
      <w:r w:rsidR="007960FB" w:rsidRPr="00C31ABF">
        <w:t>(Renewal)</w:t>
      </w:r>
      <w:r w:rsidR="007960FB">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proofErr w:type="gramStart"/>
      <w:r>
        <w:rPr>
          <w:color w:val="000000"/>
        </w:rPr>
        <w:t xml:space="preserve">approximately </w:t>
      </w:r>
      <w:r w:rsidR="000151FC">
        <w:rPr>
          <w:color w:val="000000"/>
        </w:rPr>
        <w:t xml:space="preserve"> </w:t>
      </w:r>
      <w:r w:rsidR="001434DD">
        <w:rPr>
          <w:color w:val="000000"/>
        </w:rPr>
        <w:t>3</w:t>
      </w:r>
      <w:proofErr w:type="gramEnd"/>
      <w:r w:rsidR="001434DD">
        <w:rPr>
          <w:color w:val="000000"/>
        </w:rPr>
        <w:t xml:space="preserve"> </w:t>
      </w:r>
      <w:r>
        <w:rPr>
          <w:color w:val="000000"/>
        </w:rPr>
        <w:t>existing respondents will be subject to the standard.  It is estimated that an additional</w:t>
      </w:r>
      <w:r w:rsidR="001434DD">
        <w:rPr>
          <w:color w:val="000000"/>
        </w:rPr>
        <w:t xml:space="preserve"> 0.33</w:t>
      </w:r>
      <w:r>
        <w:rPr>
          <w:color w:val="000000"/>
        </w:rPr>
        <w:t xml:space="preserve"> respondents per year will become subject.  The overall average number of responden</w:t>
      </w:r>
      <w:r w:rsidR="009A6B51">
        <w:rPr>
          <w:color w:val="000000"/>
        </w:rPr>
        <w:t>ts, as shown in the table below</w:t>
      </w:r>
      <w:r w:rsidR="000151FC">
        <w:rPr>
          <w:color w:val="000000"/>
        </w:rPr>
        <w:t>,</w:t>
      </w:r>
      <w:r w:rsidR="009A6B51">
        <w:rPr>
          <w:color w:val="000000"/>
        </w:rPr>
        <w:t xml:space="preserve"> </w:t>
      </w:r>
      <w:r>
        <w:rPr>
          <w:color w:val="000000"/>
        </w:rPr>
        <w:t xml:space="preserve">is </w:t>
      </w:r>
      <w:r w:rsidR="001434DD">
        <w:rPr>
          <w:color w:val="000000"/>
        </w:rPr>
        <w:t>3.33</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0B3933">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0B3933">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0B3933">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0B3933">
            <w:pPr>
              <w:spacing w:line="120" w:lineRule="exact"/>
              <w:jc w:val="center"/>
              <w:rPr>
                <w:color w:val="000000"/>
                <w:sz w:val="20"/>
                <w:szCs w:val="20"/>
              </w:rPr>
            </w:pPr>
          </w:p>
          <w:p w:rsidR="00CA4CD6" w:rsidRDefault="00CA4CD6" w:rsidP="000B39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0B39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0B3933">
            <w:pPr>
              <w:spacing w:line="120" w:lineRule="exact"/>
              <w:jc w:val="center"/>
              <w:rPr>
                <w:color w:val="000000"/>
                <w:sz w:val="20"/>
                <w:szCs w:val="20"/>
              </w:rPr>
            </w:pPr>
          </w:p>
          <w:p w:rsidR="00CA4CD6" w:rsidRDefault="00CA4CD6" w:rsidP="000B39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0B39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0B3933">
            <w:pPr>
              <w:spacing w:line="120" w:lineRule="exact"/>
              <w:jc w:val="center"/>
              <w:rPr>
                <w:color w:val="000000"/>
                <w:sz w:val="20"/>
                <w:szCs w:val="20"/>
              </w:rPr>
            </w:pPr>
          </w:p>
          <w:p w:rsidR="00CA4CD6" w:rsidRDefault="00CA4CD6" w:rsidP="000B39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0B39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6" w:space="0" w:color="000000"/>
            </w:tcBorders>
          </w:tcPr>
          <w:p w:rsidR="00CA4CD6" w:rsidRDefault="00CA4CD6" w:rsidP="000B3933">
            <w:pPr>
              <w:spacing w:line="120" w:lineRule="exact"/>
              <w:jc w:val="center"/>
              <w:rPr>
                <w:color w:val="000000"/>
                <w:sz w:val="20"/>
                <w:szCs w:val="20"/>
              </w:rPr>
            </w:pPr>
          </w:p>
          <w:p w:rsidR="00CA4CD6" w:rsidRDefault="00CA4CD6" w:rsidP="000B39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0B39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6" w:space="0" w:color="000000"/>
              <w:bottom w:val="single" w:sz="8" w:space="0" w:color="000000"/>
              <w:right w:val="single" w:sz="8" w:space="0" w:color="000000"/>
            </w:tcBorders>
          </w:tcPr>
          <w:p w:rsidR="00CA4CD6" w:rsidRDefault="00CA4CD6" w:rsidP="000B3933">
            <w:pPr>
              <w:spacing w:line="120" w:lineRule="exact"/>
              <w:jc w:val="center"/>
              <w:rPr>
                <w:color w:val="000000"/>
                <w:sz w:val="20"/>
                <w:szCs w:val="20"/>
              </w:rPr>
            </w:pPr>
          </w:p>
          <w:p w:rsidR="00CA4CD6" w:rsidRDefault="00CA4CD6" w:rsidP="000B39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0B39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0B39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0B3933">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3.33</w:t>
            </w:r>
          </w:p>
        </w:tc>
      </w:tr>
      <w:tr w:rsidR="00CA4CD6" w:rsidTr="000B3933">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0.33</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3.33</w:t>
            </w:r>
          </w:p>
        </w:tc>
      </w:tr>
      <w:tr w:rsidR="00CA4CD6" w:rsidTr="000B3933">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0.33</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3.33</w:t>
            </w:r>
          </w:p>
        </w:tc>
      </w:tr>
      <w:tr w:rsidR="00CA4CD6" w:rsidTr="000B3933">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0.33</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3B038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pPr>
              <w:spacing w:line="120" w:lineRule="exact"/>
              <w:rPr>
                <w:color w:val="000000"/>
                <w:sz w:val="18"/>
                <w:szCs w:val="18"/>
              </w:rPr>
            </w:pPr>
          </w:p>
          <w:p w:rsidR="00CA4CD6" w:rsidRPr="003B038A" w:rsidRDefault="003B038A">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3.33</w:t>
            </w:r>
          </w:p>
        </w:tc>
      </w:tr>
    </w:tbl>
    <w:p w:rsidR="007C3407" w:rsidRDefault="007C3407" w:rsidP="007C3407">
      <w:pPr>
        <w:pBdr>
          <w:top w:val="single" w:sz="6" w:space="0" w:color="FFFFFF"/>
          <w:left w:val="single" w:sz="6" w:space="0" w:color="FFFFFF"/>
          <w:bottom w:val="single" w:sz="6" w:space="0" w:color="FFFFFF"/>
          <w:right w:val="single" w:sz="6" w:space="0" w:color="FFFFFF"/>
        </w:pBdr>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w:t>
      </w:r>
      <w:r w:rsidR="000151FC">
        <w:rPr>
          <w:color w:val="000000"/>
        </w:rPr>
        <w:t xml:space="preserve">         </w:t>
      </w:r>
      <w:r w:rsidR="00CA4CD6">
        <w:rPr>
          <w:color w:val="000000"/>
        </w:rPr>
        <w:t>the average Number of Respondents over the three year period of this ICR is</w:t>
      </w:r>
      <w:r w:rsidR="00131B5F">
        <w:rPr>
          <w:color w:val="000000"/>
        </w:rPr>
        <w:t xml:space="preserve"> 3.33</w:t>
      </w:r>
      <w:r w:rsidR="00507EC5">
        <w:rPr>
          <w:color w:val="000000"/>
        </w:rPr>
        <w:t xml:space="preserve">. </w:t>
      </w:r>
    </w:p>
    <w:p w:rsidR="005E01F3" w:rsidRDefault="005E01F3" w:rsidP="005E01F3">
      <w:pPr>
        <w:pBdr>
          <w:top w:val="single" w:sz="6" w:space="0" w:color="FFFFFF"/>
          <w:left w:val="single" w:sz="6" w:space="0" w:color="FFFFFF"/>
          <w:bottom w:val="single" w:sz="6" w:space="0" w:color="FFFFFF"/>
          <w:right w:val="single" w:sz="6" w:space="0" w:color="FFFFFF"/>
        </w:pBdr>
        <w:rPr>
          <w:color w:val="000000"/>
        </w:rPr>
      </w:pPr>
    </w:p>
    <w:p w:rsidR="005E01F3" w:rsidRDefault="005E01F3" w:rsidP="005E01F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5E01F3" w:rsidRDefault="005E01F3" w:rsidP="005E01F3">
      <w:pPr>
        <w:pBdr>
          <w:top w:val="single" w:sz="6" w:space="0" w:color="FFFFFF"/>
          <w:left w:val="single" w:sz="6" w:space="0" w:color="FFFFFF"/>
          <w:bottom w:val="single" w:sz="6" w:space="0" w:color="FFFFFF"/>
          <w:right w:val="single" w:sz="6" w:space="0" w:color="FFFFFF"/>
        </w:pBdr>
        <w:rPr>
          <w:color w:val="000000"/>
        </w:rPr>
      </w:pPr>
    </w:p>
    <w:tbl>
      <w:tblPr>
        <w:tblpPr w:leftFromText="180" w:rightFromText="180" w:vertAnchor="text" w:horzAnchor="margin" w:tblpY="-51"/>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5E01F3" w:rsidTr="005E01F3">
        <w:trPr>
          <w:tblHeader/>
        </w:trPr>
        <w:tc>
          <w:tcPr>
            <w:tcW w:w="9180" w:type="dxa"/>
            <w:gridSpan w:val="5"/>
          </w:tcPr>
          <w:p w:rsidR="005E01F3" w:rsidRDefault="005E01F3" w:rsidP="005E01F3">
            <w:pPr>
              <w:spacing w:line="120" w:lineRule="exact"/>
              <w:rPr>
                <w:color w:val="000000"/>
              </w:rPr>
            </w:pPr>
          </w:p>
          <w:p w:rsidR="005E01F3" w:rsidRDefault="005E01F3" w:rsidP="005E01F3">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5E01F3" w:rsidTr="005E01F3">
        <w:tc>
          <w:tcPr>
            <w:tcW w:w="2700" w:type="dxa"/>
          </w:tcPr>
          <w:p w:rsidR="005E01F3" w:rsidRDefault="005E01F3" w:rsidP="005E01F3">
            <w:pPr>
              <w:spacing w:line="120" w:lineRule="exact"/>
              <w:rPr>
                <w:b/>
                <w:bCs/>
                <w:color w:val="000000"/>
                <w:sz w:val="18"/>
                <w:szCs w:val="18"/>
              </w:rPr>
            </w:pP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p>
          <w:p w:rsidR="005E01F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5E01F3" w:rsidRDefault="005E01F3" w:rsidP="005E01F3">
            <w:pPr>
              <w:spacing w:line="120" w:lineRule="exact"/>
              <w:rPr>
                <w:color w:val="000000"/>
                <w:sz w:val="18"/>
                <w:szCs w:val="18"/>
              </w:rPr>
            </w:pP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p>
          <w:p w:rsidR="005E01F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5E01F3" w:rsidRDefault="005E01F3" w:rsidP="005E01F3">
            <w:pPr>
              <w:spacing w:line="120" w:lineRule="exact"/>
              <w:rPr>
                <w:color w:val="000000"/>
                <w:sz w:val="18"/>
                <w:szCs w:val="18"/>
              </w:rPr>
            </w:pP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p>
          <w:p w:rsidR="005E01F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5E01F3" w:rsidRDefault="005E01F3" w:rsidP="005E01F3">
            <w:pPr>
              <w:spacing w:line="120" w:lineRule="exact"/>
              <w:rPr>
                <w:color w:val="000000"/>
                <w:sz w:val="18"/>
                <w:szCs w:val="18"/>
              </w:rPr>
            </w:pP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5E01F3" w:rsidRDefault="005E01F3" w:rsidP="005E01F3">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5E01F3" w:rsidRDefault="005E01F3" w:rsidP="005E01F3">
            <w:pPr>
              <w:spacing w:line="120" w:lineRule="exact"/>
              <w:rPr>
                <w:color w:val="000000"/>
                <w:sz w:val="18"/>
                <w:szCs w:val="18"/>
              </w:rPr>
            </w:pP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5E01F3" w:rsidRDefault="005E01F3" w:rsidP="005E01F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5E01F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5E01F3" w:rsidTr="005E01F3">
        <w:tc>
          <w:tcPr>
            <w:tcW w:w="270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0B3933">
              <w:rPr>
                <w:color w:val="000000"/>
                <w:sz w:val="18"/>
                <w:szCs w:val="18"/>
              </w:rPr>
              <w:t>Plant Startup (Waste Separation Plan, Notifications, etc.)</w:t>
            </w:r>
          </w:p>
        </w:tc>
        <w:tc>
          <w:tcPr>
            <w:tcW w:w="126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0.33</w:t>
            </w:r>
            <w:r>
              <w:rPr>
                <w:color w:val="000000"/>
                <w:vertAlign w:val="superscript"/>
              </w:rPr>
              <w:t xml:space="preserve"> a</w:t>
            </w:r>
          </w:p>
        </w:tc>
        <w:tc>
          <w:tcPr>
            <w:tcW w:w="126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4</w:t>
            </w:r>
          </w:p>
        </w:tc>
        <w:tc>
          <w:tcPr>
            <w:tcW w:w="189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0</w:t>
            </w:r>
          </w:p>
        </w:tc>
        <w:tc>
          <w:tcPr>
            <w:tcW w:w="207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1.32</w:t>
            </w:r>
          </w:p>
        </w:tc>
      </w:tr>
      <w:tr w:rsidR="005E01F3" w:rsidTr="005E01F3">
        <w:tc>
          <w:tcPr>
            <w:tcW w:w="270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0B3933">
              <w:rPr>
                <w:color w:val="000000"/>
                <w:sz w:val="18"/>
                <w:szCs w:val="18"/>
              </w:rPr>
              <w:t>Notifications (Performance Test, CEMS Demonstration, etc.)</w:t>
            </w:r>
          </w:p>
        </w:tc>
        <w:tc>
          <w:tcPr>
            <w:tcW w:w="126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0.33</w:t>
            </w:r>
            <w:r>
              <w:rPr>
                <w:color w:val="000000"/>
                <w:vertAlign w:val="superscript"/>
              </w:rPr>
              <w:t xml:space="preserve"> a</w:t>
            </w:r>
          </w:p>
        </w:tc>
        <w:tc>
          <w:tcPr>
            <w:tcW w:w="126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4</w:t>
            </w:r>
          </w:p>
        </w:tc>
        <w:tc>
          <w:tcPr>
            <w:tcW w:w="189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sz w:val="18"/>
                <w:szCs w:val="18"/>
              </w:rPr>
              <w:t>0</w:t>
            </w:r>
          </w:p>
        </w:tc>
        <w:tc>
          <w:tcPr>
            <w:tcW w:w="207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1.32</w:t>
            </w:r>
          </w:p>
        </w:tc>
      </w:tr>
      <w:tr w:rsidR="005E01F3" w:rsidTr="005E01F3">
        <w:tc>
          <w:tcPr>
            <w:tcW w:w="270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0B3933">
              <w:rPr>
                <w:color w:val="000000"/>
                <w:sz w:val="18"/>
                <w:szCs w:val="18"/>
              </w:rPr>
              <w:t>Annual Reports</w:t>
            </w:r>
          </w:p>
        </w:tc>
        <w:tc>
          <w:tcPr>
            <w:tcW w:w="126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3.33</w:t>
            </w:r>
            <w:r>
              <w:rPr>
                <w:color w:val="000000"/>
                <w:vertAlign w:val="superscript"/>
              </w:rPr>
              <w:t xml:space="preserve"> b</w:t>
            </w:r>
          </w:p>
        </w:tc>
        <w:tc>
          <w:tcPr>
            <w:tcW w:w="126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1.60</w:t>
            </w:r>
          </w:p>
        </w:tc>
        <w:tc>
          <w:tcPr>
            <w:tcW w:w="189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0</w:t>
            </w:r>
          </w:p>
        </w:tc>
        <w:tc>
          <w:tcPr>
            <w:tcW w:w="207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5.33</w:t>
            </w:r>
          </w:p>
        </w:tc>
      </w:tr>
      <w:tr w:rsidR="005E01F3" w:rsidTr="005E01F3">
        <w:tc>
          <w:tcPr>
            <w:tcW w:w="270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0B3933">
              <w:rPr>
                <w:color w:val="000000"/>
                <w:sz w:val="18"/>
                <w:szCs w:val="18"/>
              </w:rPr>
              <w:t>Semiannual Excess Emission Reports</w:t>
            </w:r>
          </w:p>
        </w:tc>
        <w:tc>
          <w:tcPr>
            <w:tcW w:w="126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1</w:t>
            </w:r>
            <w:r>
              <w:rPr>
                <w:color w:val="000000"/>
                <w:vertAlign w:val="superscript"/>
              </w:rPr>
              <w:t xml:space="preserve"> c</w:t>
            </w:r>
          </w:p>
        </w:tc>
        <w:tc>
          <w:tcPr>
            <w:tcW w:w="126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2</w:t>
            </w:r>
          </w:p>
        </w:tc>
        <w:tc>
          <w:tcPr>
            <w:tcW w:w="189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0</w:t>
            </w:r>
          </w:p>
        </w:tc>
        <w:tc>
          <w:tcPr>
            <w:tcW w:w="2070" w:type="dxa"/>
            <w:vAlign w:val="center"/>
          </w:tcPr>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B3933">
              <w:rPr>
                <w:color w:val="000000"/>
                <w:sz w:val="18"/>
                <w:szCs w:val="18"/>
              </w:rPr>
              <w:t>2</w:t>
            </w:r>
          </w:p>
        </w:tc>
      </w:tr>
      <w:tr w:rsidR="005E01F3" w:rsidTr="005E01F3">
        <w:tc>
          <w:tcPr>
            <w:tcW w:w="2700" w:type="dxa"/>
          </w:tcPr>
          <w:p w:rsidR="005E01F3" w:rsidRPr="000B3933" w:rsidRDefault="005E01F3" w:rsidP="005E01F3">
            <w:pPr>
              <w:spacing w:line="120" w:lineRule="exact"/>
              <w:rPr>
                <w:color w:val="000000"/>
                <w:sz w:val="18"/>
                <w:szCs w:val="18"/>
              </w:rPr>
            </w:pPr>
          </w:p>
          <w:p w:rsidR="005E01F3" w:rsidRPr="00226801" w:rsidRDefault="00226801" w:rsidP="00226801">
            <w:pPr>
              <w:pBdr>
                <w:top w:val="single" w:sz="6" w:space="0" w:color="FFFFFF"/>
                <w:left w:val="single" w:sz="6" w:space="0" w:color="FFFFFF"/>
                <w:bottom w:val="single" w:sz="6" w:space="0" w:color="FFFFFF"/>
                <w:right w:val="single" w:sz="6" w:space="0" w:color="FFFFFF"/>
              </w:pBdr>
              <w:spacing w:after="52"/>
              <w:rPr>
                <w:b/>
                <w:color w:val="000000"/>
                <w:sz w:val="18"/>
                <w:szCs w:val="18"/>
              </w:rPr>
            </w:pPr>
            <w:r w:rsidRPr="00226801">
              <w:rPr>
                <w:b/>
                <w:color w:val="000000"/>
                <w:sz w:val="18"/>
                <w:szCs w:val="18"/>
              </w:rPr>
              <w:t>Total (rounded)</w:t>
            </w:r>
          </w:p>
        </w:tc>
        <w:tc>
          <w:tcPr>
            <w:tcW w:w="1260" w:type="dxa"/>
          </w:tcPr>
          <w:p w:rsidR="005E01F3" w:rsidRPr="000B3933" w:rsidRDefault="005E01F3" w:rsidP="005E01F3">
            <w:pPr>
              <w:spacing w:line="120" w:lineRule="exact"/>
              <w:rPr>
                <w:color w:val="000000"/>
                <w:sz w:val="18"/>
                <w:szCs w:val="18"/>
              </w:rPr>
            </w:pPr>
          </w:p>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5E01F3" w:rsidRPr="000B3933" w:rsidRDefault="005E01F3" w:rsidP="005E01F3">
            <w:pPr>
              <w:spacing w:line="120" w:lineRule="exact"/>
              <w:rPr>
                <w:color w:val="000000"/>
                <w:sz w:val="18"/>
                <w:szCs w:val="18"/>
              </w:rPr>
            </w:pPr>
          </w:p>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5E01F3" w:rsidRPr="000B3933" w:rsidRDefault="005E01F3" w:rsidP="005E01F3">
            <w:pPr>
              <w:spacing w:line="120" w:lineRule="exact"/>
              <w:rPr>
                <w:color w:val="000000"/>
                <w:sz w:val="18"/>
                <w:szCs w:val="18"/>
              </w:rPr>
            </w:pPr>
          </w:p>
          <w:p w:rsidR="005E01F3" w:rsidRPr="000B3933" w:rsidRDefault="005E01F3" w:rsidP="005E01F3">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rsidR="005E01F3" w:rsidRPr="000B3933" w:rsidRDefault="005E01F3" w:rsidP="005E01F3">
            <w:pPr>
              <w:spacing w:line="120" w:lineRule="exact"/>
              <w:rPr>
                <w:sz w:val="18"/>
                <w:szCs w:val="18"/>
              </w:rPr>
            </w:pPr>
          </w:p>
          <w:p w:rsidR="005E01F3" w:rsidRPr="00226801" w:rsidRDefault="005E01F3" w:rsidP="00226801">
            <w:pPr>
              <w:pBdr>
                <w:top w:val="single" w:sz="6" w:space="0" w:color="FFFFFF"/>
                <w:left w:val="single" w:sz="6" w:space="0" w:color="FFFFFF"/>
                <w:bottom w:val="single" w:sz="6" w:space="0" w:color="FFFFFF"/>
                <w:right w:val="single" w:sz="6" w:space="0" w:color="FFFFFF"/>
              </w:pBdr>
              <w:spacing w:after="52"/>
              <w:jc w:val="center"/>
              <w:rPr>
                <w:b/>
                <w:color w:val="FF0000"/>
                <w:sz w:val="18"/>
                <w:szCs w:val="18"/>
              </w:rPr>
            </w:pPr>
            <w:r w:rsidRPr="00226801">
              <w:rPr>
                <w:b/>
                <w:sz w:val="18"/>
                <w:szCs w:val="18"/>
              </w:rPr>
              <w:t>10</w:t>
            </w:r>
          </w:p>
        </w:tc>
      </w:tr>
    </w:tbl>
    <w:p w:rsidR="005E01F3" w:rsidRDefault="005E01F3" w:rsidP="005E01F3">
      <w:pPr>
        <w:pBdr>
          <w:top w:val="single" w:sz="6" w:space="0" w:color="FFFFFF"/>
          <w:left w:val="single" w:sz="6" w:space="0" w:color="FFFFFF"/>
          <w:bottom w:val="single" w:sz="6" w:space="0" w:color="FFFFFF"/>
          <w:right w:val="single" w:sz="6" w:space="0" w:color="FFFFFF"/>
        </w:pBdr>
        <w:rPr>
          <w:color w:val="FF0000"/>
          <w:sz w:val="20"/>
          <w:szCs w:val="20"/>
        </w:rPr>
      </w:pPr>
      <w:proofErr w:type="gramStart"/>
      <w:r>
        <w:rPr>
          <w:color w:val="000000"/>
          <w:vertAlign w:val="superscript"/>
        </w:rPr>
        <w:t>a</w:t>
      </w:r>
      <w:proofErr w:type="gramEnd"/>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5E01F3" w:rsidRDefault="005E01F3" w:rsidP="005E01F3">
      <w:pPr>
        <w:pBdr>
          <w:top w:val="single" w:sz="6" w:space="0" w:color="FFFFFF"/>
          <w:left w:val="single" w:sz="6" w:space="0" w:color="FFFFFF"/>
          <w:bottom w:val="single" w:sz="6" w:space="0" w:color="FFFFFF"/>
          <w:right w:val="single" w:sz="6" w:space="0" w:color="FFFFFF"/>
        </w:pBdr>
        <w:rPr>
          <w:color w:val="000000"/>
          <w:sz w:val="20"/>
          <w:szCs w:val="20"/>
        </w:rPr>
      </w:pPr>
      <w:proofErr w:type="gramStart"/>
      <w:r>
        <w:rPr>
          <w:color w:val="000000"/>
          <w:vertAlign w:val="superscript"/>
        </w:rPr>
        <w:t>b</w:t>
      </w:r>
      <w:proofErr w:type="gramEnd"/>
      <w:r>
        <w:rPr>
          <w:color w:val="000000"/>
        </w:rPr>
        <w:t xml:space="preserve"> </w:t>
      </w:r>
      <w:r>
        <w:rPr>
          <w:color w:val="000000"/>
          <w:sz w:val="20"/>
          <w:szCs w:val="20"/>
        </w:rPr>
        <w:t xml:space="preserve">There is an average of 1.60 affected facility (i.e. sources or units) per respondent (i.e. plant). </w:t>
      </w:r>
    </w:p>
    <w:p w:rsidR="005E01F3" w:rsidRDefault="005E01F3" w:rsidP="005E01F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(5.33 facilities) / (3.33 plants) = (1.60 facilities/plant). </w:t>
      </w:r>
    </w:p>
    <w:p w:rsidR="005E01F3" w:rsidRDefault="005E01F3" w:rsidP="005E01F3">
      <w:pPr>
        <w:pBdr>
          <w:top w:val="single" w:sz="6" w:space="0" w:color="FFFFFF"/>
          <w:left w:val="single" w:sz="6" w:space="0" w:color="FFFFFF"/>
          <w:bottom w:val="single" w:sz="6" w:space="0" w:color="FFFFFF"/>
          <w:right w:val="single" w:sz="6" w:space="0" w:color="FFFFFF"/>
        </w:pBdr>
        <w:rPr>
          <w:color w:val="000000"/>
          <w:sz w:val="20"/>
          <w:szCs w:val="20"/>
        </w:rPr>
      </w:pPr>
      <w:proofErr w:type="gramStart"/>
      <w:r>
        <w:rPr>
          <w:color w:val="000000"/>
          <w:vertAlign w:val="superscript"/>
        </w:rPr>
        <w:t>c</w:t>
      </w:r>
      <w:proofErr w:type="gramEnd"/>
      <w:r>
        <w:rPr>
          <w:color w:val="000000"/>
        </w:rPr>
        <w:t xml:space="preserve"> </w:t>
      </w:r>
      <w:r>
        <w:rPr>
          <w:color w:val="000000"/>
          <w:sz w:val="20"/>
          <w:szCs w:val="20"/>
        </w:rPr>
        <w:t xml:space="preserve">This ICR assumes a total of two excess emissions report per year from all affected facilities.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3407E"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131B5F">
        <w:rPr>
          <w:color w:val="000000"/>
        </w:rPr>
        <w:t>1</w:t>
      </w:r>
      <w:r w:rsidR="00053BB2">
        <w:rPr>
          <w:color w:val="000000"/>
        </w:rPr>
        <w:t>0</w:t>
      </w:r>
      <w:r>
        <w:rPr>
          <w:color w:val="000000"/>
        </w:rPr>
        <w:t xml:space="preserve">.  </w:t>
      </w:r>
    </w:p>
    <w:p w:rsidR="0016678A" w:rsidRDefault="0016678A">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CA4CD6" w:rsidP="0034455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57359D">
        <w:rPr>
          <w:color w:val="000000"/>
        </w:rPr>
        <w:t>$1,</w:t>
      </w:r>
      <w:r w:rsidR="005E01F3">
        <w:rPr>
          <w:color w:val="000000"/>
        </w:rPr>
        <w:t>195</w:t>
      </w:r>
      <w:r w:rsidR="0057359D">
        <w:rPr>
          <w:color w:val="000000"/>
        </w:rPr>
        <w:t>,</w:t>
      </w:r>
      <w:r w:rsidR="005E01F3">
        <w:rPr>
          <w:color w:val="000000"/>
        </w:rPr>
        <w:t>891</w:t>
      </w:r>
      <w:r w:rsidR="007E5DCE" w:rsidRPr="007E5DCE">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w:t>
      </w:r>
      <w:r w:rsidR="007960FB" w:rsidRPr="0037440E">
        <w:t xml:space="preserve">Table 1: Annual Respondent Burden and Cost – </w:t>
      </w:r>
      <w:r w:rsidR="007960FB" w:rsidRPr="00C31ABF">
        <w:t>NSPS for Small Municipal Waste Combustors (40 CFR Part 60, Subpart AAAA)</w:t>
      </w:r>
      <w:r w:rsidR="007960FB" w:rsidRPr="00C31ABF">
        <w:rPr>
          <w:color w:val="FF0000"/>
        </w:rPr>
        <w:t xml:space="preserve"> </w:t>
      </w:r>
      <w:r w:rsidR="007960FB" w:rsidRPr="00C31ABF">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C7A45">
        <w:rPr>
          <w:color w:val="000000"/>
        </w:rPr>
        <w:t>12,</w:t>
      </w:r>
      <w:r w:rsidR="005E01F3">
        <w:rPr>
          <w:color w:val="000000"/>
        </w:rPr>
        <w:t>351</w:t>
      </w:r>
      <w:r w:rsidR="00C86EFD">
        <w:rPr>
          <w:color w:val="000000"/>
        </w:rPr>
        <w:t xml:space="preserve"> </w:t>
      </w:r>
      <w:r w:rsidR="000151FC">
        <w:rPr>
          <w:color w:val="000000"/>
        </w:rPr>
        <w:t xml:space="preserve">hours </w:t>
      </w:r>
      <w:r w:rsidR="00C86EFD">
        <w:rPr>
          <w:color w:val="000000"/>
        </w:rPr>
        <w:t>at a cost of $1,195,891</w:t>
      </w:r>
      <w:r>
        <w:rPr>
          <w:color w:val="000000"/>
        </w:rPr>
        <w:t>.</w:t>
      </w:r>
      <w:r w:rsidR="00507EC5">
        <w:rPr>
          <w:color w:val="000000"/>
        </w:rPr>
        <w:t xml:space="preserve">  </w:t>
      </w:r>
      <w:r>
        <w:rPr>
          <w:color w:val="000000"/>
        </w:rPr>
        <w:t xml:space="preserve">Details regarding these estimates may be found </w:t>
      </w:r>
      <w:r w:rsidR="00C86EFD">
        <w:rPr>
          <w:color w:val="000000"/>
        </w:rPr>
        <w:t xml:space="preserve">below </w:t>
      </w:r>
      <w:r>
        <w:rPr>
          <w:color w:val="000000"/>
        </w:rPr>
        <w:t xml:space="preserve">in </w:t>
      </w:r>
      <w:r w:rsidR="007960FB" w:rsidRPr="0037440E">
        <w:t xml:space="preserve">Table 1: Annual Respondent Burden and Cost – </w:t>
      </w:r>
      <w:r w:rsidR="007960FB" w:rsidRPr="00C31ABF">
        <w:t>NSPS for Small Municipal Waste Combustors (40 CFR Part 60, Subpart AAAA)</w:t>
      </w:r>
      <w:r w:rsidR="007960FB" w:rsidRPr="00C31ABF">
        <w:rPr>
          <w:color w:val="FF0000"/>
        </w:rPr>
        <w:t xml:space="preserve"> </w:t>
      </w:r>
      <w:r w:rsidR="007960FB" w:rsidRPr="00C31ABF">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C7A45">
        <w:rPr>
          <w:color w:val="000000"/>
        </w:rPr>
        <w:t>1,2</w:t>
      </w:r>
      <w:r w:rsidR="005E01F3">
        <w:rPr>
          <w:color w:val="000000"/>
        </w:rPr>
        <w:t>35</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CC7A45">
        <w:rPr>
          <w:color w:val="000000"/>
        </w:rPr>
        <w:t>$168,336</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514614" w:rsidRDefault="00514614">
      <w:pPr>
        <w:pBdr>
          <w:top w:val="single" w:sz="6" w:space="0" w:color="FFFFFF"/>
          <w:left w:val="single" w:sz="6" w:space="0" w:color="FFFFFF"/>
          <w:bottom w:val="single" w:sz="6" w:space="0" w:color="FFFFFF"/>
          <w:right w:val="single" w:sz="6" w:space="0" w:color="FFFFFF"/>
        </w:pBdr>
        <w:ind w:firstLine="1440"/>
        <w:rPr>
          <w:b/>
          <w:bCs/>
          <w:color w:val="000000"/>
        </w:rPr>
      </w:pPr>
    </w:p>
    <w:p w:rsidR="00514614" w:rsidRDefault="00514614">
      <w:pPr>
        <w:pBdr>
          <w:top w:val="single" w:sz="6" w:space="0" w:color="FFFFFF"/>
          <w:left w:val="single" w:sz="6" w:space="0" w:color="FFFFFF"/>
          <w:bottom w:val="single" w:sz="6" w:space="0" w:color="FFFFFF"/>
          <w:right w:val="single" w:sz="6" w:space="0" w:color="FFFFFF"/>
        </w:pBdr>
        <w:ind w:firstLine="144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5E01F3">
        <w:rPr>
          <w:color w:val="000000"/>
        </w:rPr>
        <w:t>574</w:t>
      </w:r>
      <w:r>
        <w:rPr>
          <w:color w:val="000000"/>
        </w:rPr>
        <w:t xml:space="preserve"> labor hours at a cost of </w:t>
      </w:r>
      <w:r w:rsidR="00CC7A45">
        <w:rPr>
          <w:color w:val="000000"/>
        </w:rPr>
        <w:t>$2</w:t>
      </w:r>
      <w:r w:rsidR="005E01F3">
        <w:rPr>
          <w:color w:val="000000"/>
        </w:rPr>
        <w:t>5</w:t>
      </w:r>
      <w:r w:rsidR="00CC7A45">
        <w:rPr>
          <w:color w:val="000000"/>
        </w:rPr>
        <w:t>,</w:t>
      </w:r>
      <w:r w:rsidR="005E01F3">
        <w:rPr>
          <w:color w:val="000000"/>
        </w:rPr>
        <w:t>882</w:t>
      </w:r>
      <w:r w:rsidR="00144F35">
        <w:rPr>
          <w:color w:val="000000"/>
        </w:rPr>
        <w:t xml:space="preserve">.  See </w:t>
      </w:r>
      <w:r w:rsidR="006810C4">
        <w:rPr>
          <w:color w:val="000000"/>
        </w:rPr>
        <w:t xml:space="preserve">below </w:t>
      </w:r>
      <w:r w:rsidR="007960FB" w:rsidRPr="0037440E">
        <w:t xml:space="preserve">Table 2: Average Annual EPA Burden and Cost – </w:t>
      </w:r>
      <w:r w:rsidR="007960FB" w:rsidRPr="00C31ABF">
        <w:t xml:space="preserve">NSPS for Small Municipal Waste Combustors (40 CFR </w:t>
      </w:r>
      <w:proofErr w:type="gramStart"/>
      <w:r w:rsidR="007960FB" w:rsidRPr="00C31ABF">
        <w:t>Part</w:t>
      </w:r>
      <w:proofErr w:type="gramEnd"/>
      <w:r w:rsidR="007960FB" w:rsidRPr="00C31ABF">
        <w:t xml:space="preserve"> 60, Subpart AAAA)</w:t>
      </w:r>
      <w:r w:rsidR="007960FB" w:rsidRPr="00C31ABF">
        <w:rPr>
          <w:color w:val="FF0000"/>
        </w:rPr>
        <w:t xml:space="preserve"> </w:t>
      </w:r>
      <w:r w:rsidR="007960FB" w:rsidRPr="00C31ABF">
        <w:t>(Renewal)</w:t>
      </w:r>
      <w:r w:rsidR="007E5DCE" w:rsidRPr="007E5DCE">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C5E1C" w:rsidRDefault="00CC5E1C" w:rsidP="00CC5E1C">
      <w:pPr>
        <w:ind w:firstLine="720"/>
      </w:pPr>
      <w:r>
        <w:t xml:space="preserve">There is an increase in burden hours for the respondents from the most recently approved ICR due to an increase of one new source subject to the regulation (i.e. respondent universe).  </w:t>
      </w:r>
      <w:r w:rsidRPr="008758CD">
        <w:t xml:space="preserve">The </w:t>
      </w:r>
      <w:r>
        <w:t xml:space="preserve">growth in respondent universe also results in an increase in the respondent labor costs and O&amp;M costs. </w:t>
      </w:r>
    </w:p>
    <w:p w:rsidR="00CC5E1C" w:rsidRDefault="00CC5E1C" w:rsidP="00CC5E1C">
      <w:pPr>
        <w:ind w:firstLine="720"/>
      </w:pPr>
    </w:p>
    <w:p w:rsidR="00CC5E1C" w:rsidRDefault="00CC5E1C" w:rsidP="00CC5E1C">
      <w:pPr>
        <w:ind w:firstLine="720"/>
        <w:rPr>
          <w:color w:val="FF0000"/>
        </w:rPr>
      </w:pPr>
      <w:r>
        <w:t xml:space="preserve">Additionally, there is an increase in burden costs for the Agency </w:t>
      </w:r>
      <w:r>
        <w:rPr>
          <w:color w:val="000000"/>
        </w:rPr>
        <w:t xml:space="preserve">from the most recently approved ICR due to an adjustment in labor rates.  </w:t>
      </w:r>
      <w:r w:rsidRPr="00933B74">
        <w:t xml:space="preserve">This ICR uses updated labor rates from the Bureau of Labor Statistics to calculate </w:t>
      </w:r>
      <w:r>
        <w:t xml:space="preserve">all </w:t>
      </w:r>
      <w:r w:rsidRPr="00933B74">
        <w:t>burden costs.</w:t>
      </w:r>
      <w:r w:rsidRPr="00516952" w:rsidDel="00331C4D">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B372B8">
        <w:rPr>
          <w:color w:val="000000"/>
        </w:rPr>
        <w:t xml:space="preserve"> 1,2</w:t>
      </w:r>
      <w:r w:rsidR="005E01F3">
        <w:rPr>
          <w:color w:val="000000"/>
        </w:rPr>
        <w:t>35</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E45E9">
        <w:t>EPA-HQ-OECA-2012-0506</w:t>
      </w:r>
      <w:r w:rsidR="00354C15">
        <w:rPr>
          <w:color w:val="FF0000"/>
        </w:rPr>
        <w:t xml:space="preserve">.  </w:t>
      </w:r>
      <w:r w:rsidR="00354C15" w:rsidRPr="00354C15">
        <w:t xml:space="preserve">An electronic version of the public docket is available at </w:t>
      </w:r>
      <w:r w:rsidR="00354C15" w:rsidRPr="00050131">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w:t>
      </w:r>
      <w:r w:rsidR="00CA4CD6" w:rsidRPr="00354C15">
        <w:lastRenderedPageBreak/>
        <w:t xml:space="preserve">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050131">
        <w:t>52</w:t>
      </w:r>
      <w:r w:rsidR="00850ACF">
        <w:t>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8E45E9">
        <w:t>12-0506</w:t>
      </w:r>
      <w:r w:rsidR="00CA4CD6">
        <w:t xml:space="preserve"> and OMB Control Number </w:t>
      </w:r>
      <w:r w:rsidR="008E45E9">
        <w:t>2060-0423</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F340DF">
      <w:pPr>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DD5193" w:rsidRDefault="00B516D0" w:rsidP="00DD5193">
      <w:pPr>
        <w:rPr>
          <w:b/>
          <w:bCs/>
          <w:color w:val="000000"/>
        </w:rPr>
      </w:pPr>
      <w:r>
        <w:rPr>
          <w:b/>
          <w:bCs/>
          <w:color w:val="000000"/>
        </w:rPr>
        <w:lastRenderedPageBreak/>
        <w:t xml:space="preserve">  </w:t>
      </w:r>
      <w:r w:rsidR="007960FB" w:rsidRPr="007960FB">
        <w:rPr>
          <w:b/>
          <w:bCs/>
          <w:color w:val="000000"/>
        </w:rPr>
        <w:t>Table 1: Annual Respondent Burden and Cost – NSPS for Small Municipal Waste Comb</w:t>
      </w:r>
      <w:r w:rsidR="00DD5193">
        <w:rPr>
          <w:b/>
          <w:bCs/>
          <w:color w:val="000000"/>
        </w:rPr>
        <w:t xml:space="preserve">ustors (40 CFR </w:t>
      </w:r>
      <w:proofErr w:type="gramStart"/>
      <w:r w:rsidR="00DD5193">
        <w:rPr>
          <w:b/>
          <w:bCs/>
          <w:color w:val="000000"/>
        </w:rPr>
        <w:t>Part</w:t>
      </w:r>
      <w:proofErr w:type="gramEnd"/>
      <w:r w:rsidR="00DD5193">
        <w:rPr>
          <w:b/>
          <w:bCs/>
          <w:color w:val="000000"/>
        </w:rPr>
        <w:t xml:space="preserve"> 60, Subpart</w:t>
      </w:r>
    </w:p>
    <w:p w:rsidR="000E6B7F" w:rsidRDefault="00DD5193" w:rsidP="00DD5193">
      <w:pPr>
        <w:rPr>
          <w:b/>
          <w:bCs/>
          <w:color w:val="000000"/>
        </w:rPr>
      </w:pPr>
      <w:r>
        <w:rPr>
          <w:b/>
          <w:bCs/>
          <w:color w:val="000000"/>
        </w:rPr>
        <w:t xml:space="preserve"> </w:t>
      </w:r>
      <w:r w:rsidR="007960FB" w:rsidRPr="007960FB">
        <w:rPr>
          <w:b/>
          <w:bCs/>
          <w:color w:val="000000"/>
        </w:rPr>
        <w:t>AAAA) (Renewal)</w:t>
      </w:r>
    </w:p>
    <w:p w:rsidR="00EA382C" w:rsidRDefault="00EA382C" w:rsidP="003421BF">
      <w:pPr>
        <w:rPr>
          <w:bCs/>
          <w:color w:val="FF0000"/>
        </w:rPr>
      </w:pPr>
    </w:p>
    <w:tbl>
      <w:tblPr>
        <w:tblW w:w="14360" w:type="dxa"/>
        <w:jc w:val="center"/>
        <w:tblInd w:w="93" w:type="dxa"/>
        <w:tblLook w:val="04A0"/>
      </w:tblPr>
      <w:tblGrid>
        <w:gridCol w:w="4795"/>
        <w:gridCol w:w="1125"/>
        <w:gridCol w:w="1420"/>
        <w:gridCol w:w="1140"/>
        <w:gridCol w:w="1220"/>
        <w:gridCol w:w="1240"/>
        <w:gridCol w:w="1140"/>
        <w:gridCol w:w="1060"/>
        <w:gridCol w:w="1220"/>
      </w:tblGrid>
      <w:tr w:rsidR="00EA382C" w:rsidRPr="00EA382C" w:rsidTr="00F967AE">
        <w:trPr>
          <w:trHeight w:val="1290"/>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Burden Item</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EA382C" w:rsidRDefault="00EA382C" w:rsidP="00EA382C">
            <w:pPr>
              <w:widowControl/>
              <w:autoSpaceDE/>
              <w:autoSpaceDN/>
              <w:adjustRightInd/>
              <w:jc w:val="center"/>
              <w:rPr>
                <w:b/>
                <w:bCs/>
                <w:color w:val="000000"/>
                <w:sz w:val="16"/>
                <w:szCs w:val="16"/>
              </w:rPr>
            </w:pPr>
            <w:r w:rsidRPr="00EA382C">
              <w:rPr>
                <w:b/>
                <w:bCs/>
                <w:color w:val="000000"/>
                <w:sz w:val="16"/>
                <w:szCs w:val="16"/>
              </w:rPr>
              <w:t xml:space="preserve">(A) </w:t>
            </w:r>
          </w:p>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Respondent Hours Per Occurrence</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EA382C" w:rsidRDefault="00EA382C" w:rsidP="00EA382C">
            <w:pPr>
              <w:widowControl/>
              <w:autoSpaceDE/>
              <w:autoSpaceDN/>
              <w:adjustRightInd/>
              <w:jc w:val="center"/>
              <w:rPr>
                <w:b/>
                <w:bCs/>
                <w:color w:val="000000"/>
                <w:sz w:val="16"/>
                <w:szCs w:val="16"/>
              </w:rPr>
            </w:pPr>
            <w:r w:rsidRPr="00EA382C">
              <w:rPr>
                <w:b/>
                <w:bCs/>
                <w:color w:val="000000"/>
                <w:sz w:val="16"/>
                <w:szCs w:val="16"/>
              </w:rPr>
              <w:t xml:space="preserve">(B) </w:t>
            </w:r>
          </w:p>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Number of Occurrences Per Respondent Per Year</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EA382C" w:rsidRDefault="00EA382C" w:rsidP="00EA382C">
            <w:pPr>
              <w:widowControl/>
              <w:autoSpaceDE/>
              <w:autoSpaceDN/>
              <w:adjustRightInd/>
              <w:jc w:val="center"/>
              <w:rPr>
                <w:b/>
                <w:bCs/>
                <w:color w:val="000000"/>
                <w:sz w:val="16"/>
                <w:szCs w:val="16"/>
              </w:rPr>
            </w:pPr>
            <w:r w:rsidRPr="00EA382C">
              <w:rPr>
                <w:b/>
                <w:bCs/>
                <w:color w:val="000000"/>
                <w:sz w:val="16"/>
                <w:szCs w:val="16"/>
              </w:rPr>
              <w:t xml:space="preserve">(C) </w:t>
            </w:r>
          </w:p>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Person Hours Per Respondent Per Year (</w:t>
            </w:r>
            <w:proofErr w:type="spellStart"/>
            <w:r w:rsidRPr="00EA382C">
              <w:rPr>
                <w:b/>
                <w:bCs/>
                <w:color w:val="000000"/>
                <w:sz w:val="16"/>
                <w:szCs w:val="16"/>
              </w:rPr>
              <w:t>AxB</w:t>
            </w:r>
            <w:proofErr w:type="spellEnd"/>
            <w:r w:rsidRPr="00EA382C">
              <w:rPr>
                <w:b/>
                <w:bCs/>
                <w:color w:val="000000"/>
                <w:sz w:val="16"/>
                <w:szCs w:val="16"/>
              </w:rPr>
              <w:t>)</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A382C" w:rsidRDefault="00EA382C" w:rsidP="00EA382C">
            <w:pPr>
              <w:widowControl/>
              <w:autoSpaceDE/>
              <w:autoSpaceDN/>
              <w:adjustRightInd/>
              <w:jc w:val="center"/>
              <w:rPr>
                <w:b/>
                <w:bCs/>
                <w:color w:val="000000"/>
                <w:sz w:val="16"/>
                <w:szCs w:val="16"/>
              </w:rPr>
            </w:pPr>
            <w:r w:rsidRPr="00EA382C">
              <w:rPr>
                <w:b/>
                <w:bCs/>
                <w:color w:val="000000"/>
                <w:sz w:val="16"/>
                <w:szCs w:val="16"/>
              </w:rPr>
              <w:t xml:space="preserve">(D) </w:t>
            </w:r>
          </w:p>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Number of Respondents Per Year</w:t>
            </w:r>
            <w:r w:rsidR="00273484">
              <w:rPr>
                <w:b/>
                <w:bCs/>
                <w:color w:val="000000"/>
                <w:sz w:val="16"/>
                <w:szCs w:val="16"/>
              </w:rPr>
              <w:t xml:space="preserve"> </w:t>
            </w:r>
            <w:r w:rsidR="00273484" w:rsidRPr="00185492">
              <w:rPr>
                <w:b/>
                <w:bCs/>
                <w:color w:val="000000"/>
                <w:sz w:val="18"/>
                <w:szCs w:val="18"/>
                <w:vertAlign w:val="superscript"/>
              </w:rPr>
              <w:t>a</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EA382C" w:rsidRDefault="00EA382C" w:rsidP="00EA382C">
            <w:pPr>
              <w:widowControl/>
              <w:autoSpaceDE/>
              <w:autoSpaceDN/>
              <w:adjustRightInd/>
              <w:jc w:val="center"/>
              <w:rPr>
                <w:b/>
                <w:bCs/>
                <w:color w:val="000000"/>
                <w:sz w:val="16"/>
                <w:szCs w:val="16"/>
              </w:rPr>
            </w:pPr>
            <w:r w:rsidRPr="00EA382C">
              <w:rPr>
                <w:b/>
                <w:bCs/>
                <w:color w:val="000000"/>
                <w:sz w:val="16"/>
                <w:szCs w:val="16"/>
              </w:rPr>
              <w:t xml:space="preserve">(E) </w:t>
            </w:r>
          </w:p>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Technical Hours Per Year (</w:t>
            </w:r>
            <w:proofErr w:type="spellStart"/>
            <w:r w:rsidRPr="00EA382C">
              <w:rPr>
                <w:b/>
                <w:bCs/>
                <w:color w:val="000000"/>
                <w:sz w:val="16"/>
                <w:szCs w:val="16"/>
              </w:rPr>
              <w:t>CxD</w:t>
            </w:r>
            <w:proofErr w:type="spellEnd"/>
            <w:r w:rsidRPr="00EA382C">
              <w:rPr>
                <w:b/>
                <w:bCs/>
                <w:color w:val="000000"/>
                <w:sz w:val="16"/>
                <w:szCs w:val="16"/>
              </w:rPr>
              <w:t>)</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(F) Management Hours Per Year (Ex0.05)</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EA382C" w:rsidRDefault="00EA382C" w:rsidP="00EA382C">
            <w:pPr>
              <w:widowControl/>
              <w:autoSpaceDE/>
              <w:autoSpaceDN/>
              <w:adjustRightInd/>
              <w:jc w:val="center"/>
              <w:rPr>
                <w:b/>
                <w:bCs/>
                <w:color w:val="000000"/>
                <w:sz w:val="16"/>
                <w:szCs w:val="16"/>
              </w:rPr>
            </w:pPr>
            <w:r w:rsidRPr="00EA382C">
              <w:rPr>
                <w:b/>
                <w:bCs/>
                <w:color w:val="000000"/>
                <w:sz w:val="16"/>
                <w:szCs w:val="16"/>
              </w:rPr>
              <w:t xml:space="preserve">(G) </w:t>
            </w:r>
          </w:p>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Clerical Hours Per Year (Ex0.1)</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A382C" w:rsidRDefault="00EA382C" w:rsidP="00EA382C">
            <w:pPr>
              <w:widowControl/>
              <w:autoSpaceDE/>
              <w:autoSpaceDN/>
              <w:adjustRightInd/>
              <w:jc w:val="center"/>
              <w:rPr>
                <w:b/>
                <w:bCs/>
                <w:color w:val="000000"/>
                <w:sz w:val="16"/>
                <w:szCs w:val="16"/>
              </w:rPr>
            </w:pPr>
            <w:r w:rsidRPr="00EA382C">
              <w:rPr>
                <w:b/>
                <w:bCs/>
                <w:color w:val="000000"/>
                <w:sz w:val="16"/>
                <w:szCs w:val="16"/>
              </w:rPr>
              <w:t xml:space="preserve">(H) </w:t>
            </w:r>
          </w:p>
          <w:p w:rsidR="00EA382C" w:rsidRPr="00EA382C" w:rsidRDefault="00EA382C" w:rsidP="00EA382C">
            <w:pPr>
              <w:widowControl/>
              <w:autoSpaceDE/>
              <w:autoSpaceDN/>
              <w:adjustRightInd/>
              <w:jc w:val="center"/>
              <w:rPr>
                <w:b/>
                <w:bCs/>
                <w:color w:val="000000"/>
                <w:sz w:val="16"/>
                <w:szCs w:val="16"/>
              </w:rPr>
            </w:pPr>
            <w:r w:rsidRPr="00EA382C">
              <w:rPr>
                <w:b/>
                <w:bCs/>
                <w:color w:val="000000"/>
                <w:sz w:val="16"/>
                <w:szCs w:val="16"/>
              </w:rPr>
              <w:t>Total Cost Per Year, $</w:t>
            </w:r>
            <w:r w:rsidR="00273484">
              <w:rPr>
                <w:b/>
                <w:bCs/>
                <w:color w:val="000000"/>
                <w:sz w:val="16"/>
                <w:szCs w:val="16"/>
              </w:rPr>
              <w:t xml:space="preserve"> </w:t>
            </w:r>
            <w:r w:rsidR="00273484" w:rsidRPr="00185492">
              <w:rPr>
                <w:b/>
                <w:bCs/>
                <w:color w:val="000000"/>
                <w:sz w:val="18"/>
                <w:szCs w:val="18"/>
                <w:vertAlign w:val="superscript"/>
              </w:rPr>
              <w:t>b</w:t>
            </w:r>
          </w:p>
        </w:tc>
      </w:tr>
      <w:tr w:rsidR="00EA382C" w:rsidRPr="00EA382C" w:rsidTr="00F967AE">
        <w:trPr>
          <w:trHeight w:val="233"/>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1. Applications</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F967AE" w:rsidP="00F967AE">
            <w:pPr>
              <w:widowControl/>
              <w:autoSpaceDE/>
              <w:autoSpaceDN/>
              <w:adjustRightInd/>
              <w:jc w:val="center"/>
              <w:rPr>
                <w:color w:val="000000"/>
                <w:sz w:val="16"/>
                <w:szCs w:val="16"/>
              </w:rPr>
            </w:pPr>
            <w:r>
              <w:rPr>
                <w:color w:val="000000"/>
                <w:sz w:val="16"/>
                <w:szCs w:val="16"/>
              </w:rPr>
              <w:t>N/A</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r>
      <w:tr w:rsidR="00EA382C"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2. Surveys and Studies</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F967AE" w:rsidP="00F967AE">
            <w:pPr>
              <w:widowControl/>
              <w:autoSpaceDE/>
              <w:autoSpaceDN/>
              <w:adjustRightInd/>
              <w:jc w:val="center"/>
              <w:rPr>
                <w:color w:val="000000"/>
                <w:sz w:val="16"/>
                <w:szCs w:val="16"/>
              </w:rPr>
            </w:pPr>
            <w:r>
              <w:rPr>
                <w:color w:val="000000"/>
                <w:sz w:val="16"/>
                <w:szCs w:val="16"/>
              </w:rPr>
              <w:t>N/A</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r>
      <w:tr w:rsidR="00EA382C"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000000" w:fill="D8D8D8"/>
            <w:vAlign w:val="bottom"/>
            <w:hideMark/>
          </w:tcPr>
          <w:p w:rsidR="00EA382C" w:rsidRPr="00EA382C" w:rsidRDefault="00EA382C" w:rsidP="00EA382C">
            <w:pPr>
              <w:widowControl/>
              <w:autoSpaceDE/>
              <w:autoSpaceDN/>
              <w:adjustRightInd/>
              <w:rPr>
                <w:b/>
                <w:bCs/>
                <w:color w:val="000000"/>
                <w:sz w:val="16"/>
                <w:szCs w:val="16"/>
              </w:rPr>
            </w:pPr>
            <w:r w:rsidRPr="00EA382C">
              <w:rPr>
                <w:b/>
                <w:bCs/>
                <w:color w:val="000000"/>
                <w:sz w:val="16"/>
                <w:szCs w:val="16"/>
              </w:rPr>
              <w:t>3. Reporting Requirements for Private Sources</w:t>
            </w:r>
          </w:p>
        </w:tc>
        <w:tc>
          <w:tcPr>
            <w:tcW w:w="1125" w:type="dxa"/>
            <w:tcBorders>
              <w:top w:val="nil"/>
              <w:left w:val="nil"/>
              <w:bottom w:val="single" w:sz="4" w:space="0" w:color="auto"/>
              <w:right w:val="single" w:sz="4" w:space="0" w:color="auto"/>
            </w:tcBorders>
            <w:shd w:val="clear" w:color="000000" w:fill="D8D8D8"/>
            <w:noWrap/>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000000" w:fill="D8D8D8"/>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000000" w:fill="D8D8D8"/>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000000" w:fill="D8D8D8"/>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000000" w:fill="D8D8D8"/>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000000" w:fill="D8D8D8"/>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000000" w:fill="D8D8D8"/>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000000" w:fill="D8D8D8"/>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 xml:space="preserve">A. Read and Understand Rule Requirements </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13.2</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0.66</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1.32</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$1,469.86 </w:t>
            </w:r>
          </w:p>
        </w:tc>
      </w:tr>
      <w:tr w:rsidR="00EA382C" w:rsidRPr="00EA382C" w:rsidTr="00F967AE">
        <w:trPr>
          <w:trHeight w:val="305"/>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B. Required Activities</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xml:space="preserve">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w:t>
            </w:r>
          </w:p>
        </w:tc>
      </w:tr>
      <w:tr w:rsidR="00EA382C" w:rsidRPr="00EA382C" w:rsidTr="00F967AE">
        <w:trPr>
          <w:trHeight w:val="465"/>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1) Initial performance tests and reports (PM, dioxins/furans, opacity, fugitives, HCl, Cd, Pb, Hg)</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775</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775</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255.75</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12.79</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25.58</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$28,478.53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 xml:space="preserve">2) CEMS demonstration (SO2, </w:t>
            </w:r>
            <w:proofErr w:type="spellStart"/>
            <w:r w:rsidRPr="00EA382C">
              <w:rPr>
                <w:color w:val="000000"/>
                <w:sz w:val="16"/>
                <w:szCs w:val="16"/>
              </w:rPr>
              <w:t>NOx</w:t>
            </w:r>
            <w:proofErr w:type="spellEnd"/>
            <w:r w:rsidRPr="00EA382C">
              <w:rPr>
                <w:color w:val="000000"/>
                <w:sz w:val="16"/>
                <w:szCs w:val="16"/>
              </w:rPr>
              <w:t xml:space="preserve">, opacity, CO, CO2, O2) </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xml:space="preserve">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a) Installation of CEM units</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225</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225</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74.25</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3.71</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7.43</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$8,267.96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b) Initial demonstration</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450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450</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148.5</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7.43</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14.85</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$16,535.92 </w:t>
            </w:r>
          </w:p>
        </w:tc>
      </w:tr>
      <w:tr w:rsidR="00EA382C" w:rsidRPr="00EA382C" w:rsidTr="00F967AE">
        <w:trPr>
          <w:trHeight w:val="465"/>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3) Annual performance tests and test reports (PM, dioxins/furans, opacity, fugitives, HCl, Cd, Pb, Hg)</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775</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775</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1,805.75</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90.29</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180.58</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$201,075.68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 xml:space="preserve">4) Quarterly Appendix F audits of CEMS (SO2, </w:t>
            </w:r>
            <w:proofErr w:type="spellStart"/>
            <w:r w:rsidRPr="00EA382C">
              <w:rPr>
                <w:color w:val="000000"/>
                <w:sz w:val="16"/>
                <w:szCs w:val="16"/>
              </w:rPr>
              <w:t>NOx</w:t>
            </w:r>
            <w:proofErr w:type="spellEnd"/>
            <w:r w:rsidRPr="00EA382C">
              <w:rPr>
                <w:color w:val="000000"/>
                <w:sz w:val="16"/>
                <w:szCs w:val="16"/>
              </w:rPr>
              <w:t xml:space="preserve">, CO) </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w:t>
            </w:r>
          </w:p>
        </w:tc>
      </w:tr>
      <w:tr w:rsidR="00EA382C" w:rsidRPr="00EA382C" w:rsidTr="00F967AE">
        <w:trPr>
          <w:trHeight w:val="323"/>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a) RATA audit (one per year)</w:t>
            </w:r>
            <w:r w:rsidR="00273484">
              <w:rPr>
                <w:color w:val="000000"/>
                <w:sz w:val="16"/>
                <w:szCs w:val="16"/>
              </w:rPr>
              <w:t xml:space="preserve"> </w:t>
            </w:r>
            <w:r w:rsidR="00273484" w:rsidRPr="00185492">
              <w:rPr>
                <w:color w:val="000000"/>
                <w:sz w:val="18"/>
                <w:szCs w:val="18"/>
                <w:vertAlign w:val="superscript"/>
              </w:rPr>
              <w:t>c, d</w:t>
            </w:r>
            <w:r w:rsidR="00185492" w:rsidRPr="00185492">
              <w:rPr>
                <w:color w:val="000000"/>
                <w:sz w:val="18"/>
                <w:szCs w:val="18"/>
                <w:vertAlign w:val="superscript"/>
              </w:rPr>
              <w:t>, g</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350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1.60</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560.21</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1,305.29</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65.26</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130.53</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$145,347.93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273484">
            <w:pPr>
              <w:widowControl/>
              <w:autoSpaceDE/>
              <w:autoSpaceDN/>
              <w:adjustRightInd/>
              <w:rPr>
                <w:color w:val="000000"/>
                <w:sz w:val="16"/>
                <w:szCs w:val="16"/>
              </w:rPr>
            </w:pPr>
            <w:r w:rsidRPr="00EA382C">
              <w:rPr>
                <w:color w:val="000000"/>
                <w:sz w:val="16"/>
                <w:szCs w:val="16"/>
              </w:rPr>
              <w:t>b) RAA audit (three per year)</w:t>
            </w:r>
            <w:r w:rsidR="00273484">
              <w:rPr>
                <w:color w:val="000000"/>
                <w:sz w:val="16"/>
                <w:szCs w:val="16"/>
              </w:rPr>
              <w:t xml:space="preserve"> </w:t>
            </w:r>
            <w:r w:rsidR="00273484" w:rsidRPr="00185492">
              <w:rPr>
                <w:color w:val="000000"/>
                <w:sz w:val="18"/>
                <w:szCs w:val="18"/>
                <w:vertAlign w:val="superscript"/>
              </w:rPr>
              <w:t>e</w:t>
            </w:r>
            <w:r w:rsidR="00185492" w:rsidRPr="00185492">
              <w:rPr>
                <w:color w:val="000000"/>
                <w:sz w:val="18"/>
                <w:szCs w:val="18"/>
                <w:vertAlign w:val="superscript"/>
              </w:rPr>
              <w:t>, g</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4.80</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624.23</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1,454.47</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72.72</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145.45</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$161,959.13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185492" w:rsidRDefault="00EA382C" w:rsidP="00EA382C">
            <w:pPr>
              <w:widowControl/>
              <w:autoSpaceDE/>
              <w:autoSpaceDN/>
              <w:adjustRightInd/>
              <w:rPr>
                <w:color w:val="000000"/>
                <w:sz w:val="18"/>
                <w:szCs w:val="18"/>
              </w:rPr>
            </w:pPr>
            <w:r w:rsidRPr="00EA382C">
              <w:rPr>
                <w:color w:val="000000"/>
                <w:sz w:val="16"/>
                <w:szCs w:val="16"/>
              </w:rPr>
              <w:t>c) Daily calibration and operation</w:t>
            </w:r>
            <w:r w:rsidR="00273484">
              <w:rPr>
                <w:color w:val="000000"/>
                <w:sz w:val="16"/>
                <w:szCs w:val="16"/>
              </w:rPr>
              <w:t xml:space="preserve"> </w:t>
            </w:r>
            <w:r w:rsidR="00273484" w:rsidRPr="00273484">
              <w:rPr>
                <w:color w:val="000000"/>
                <w:sz w:val="16"/>
                <w:szCs w:val="16"/>
                <w:vertAlign w:val="superscript"/>
              </w:rPr>
              <w:t>f</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584.22</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584.22</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1,361.23</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68.06</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136.12</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$151,577.13 </w:t>
            </w:r>
          </w:p>
        </w:tc>
      </w:tr>
      <w:tr w:rsidR="00EA382C"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C. Create Information</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F967AE" w:rsidP="00F967AE">
            <w:pPr>
              <w:widowControl/>
              <w:autoSpaceDE/>
              <w:autoSpaceDN/>
              <w:adjustRightInd/>
              <w:jc w:val="center"/>
              <w:rPr>
                <w:color w:val="000000"/>
                <w:sz w:val="16"/>
                <w:szCs w:val="16"/>
              </w:rPr>
            </w:pPr>
            <w:r>
              <w:rPr>
                <w:color w:val="000000"/>
                <w:sz w:val="16"/>
                <w:szCs w:val="16"/>
              </w:rPr>
              <w:t>See 3</w:t>
            </w:r>
            <w:r w:rsidR="00EA382C" w:rsidRPr="00EA382C">
              <w:rPr>
                <w:color w:val="000000"/>
                <w:sz w:val="16"/>
                <w:szCs w:val="16"/>
              </w:rPr>
              <w:t>B</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 </w:t>
            </w:r>
          </w:p>
        </w:tc>
      </w:tr>
      <w:tr w:rsidR="00EA382C"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D. Gather Information</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F967AE" w:rsidP="00F967AE">
            <w:pPr>
              <w:widowControl/>
              <w:autoSpaceDE/>
              <w:autoSpaceDN/>
              <w:adjustRightInd/>
              <w:jc w:val="center"/>
              <w:rPr>
                <w:color w:val="000000"/>
                <w:sz w:val="16"/>
                <w:szCs w:val="16"/>
              </w:rPr>
            </w:pPr>
            <w:r>
              <w:rPr>
                <w:color w:val="000000"/>
                <w:sz w:val="16"/>
                <w:szCs w:val="16"/>
              </w:rPr>
              <w:t>See  3</w:t>
            </w:r>
            <w:r w:rsidR="00EA382C" w:rsidRPr="00EA382C">
              <w:rPr>
                <w:color w:val="000000"/>
                <w:sz w:val="16"/>
                <w:szCs w:val="16"/>
              </w:rPr>
              <w:t>E</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 </w:t>
            </w:r>
          </w:p>
        </w:tc>
      </w:tr>
      <w:tr w:rsidR="00EA382C"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E. Report Preparation</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1) Plant startup</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 </w:t>
            </w:r>
          </w:p>
        </w:tc>
      </w:tr>
      <w:tr w:rsidR="00EA382C" w:rsidRPr="00EA382C" w:rsidTr="00F967AE">
        <w:trPr>
          <w:trHeight w:val="323"/>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a) Preliminary and final material separation plans and siting analysis</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270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270</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89.1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4.46</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8.91</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$9,921.55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b) Public meeting and comment response</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140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140</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46.2</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2.31</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4.62</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$5,144.51 </w:t>
            </w:r>
          </w:p>
        </w:tc>
      </w:tr>
      <w:tr w:rsidR="00EA382C" w:rsidRPr="00EA382C" w:rsidTr="00F967AE">
        <w:trPr>
          <w:trHeight w:val="300"/>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c) Notification of construction</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0.66</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0.03</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0.07</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$73.49 </w:t>
            </w:r>
          </w:p>
        </w:tc>
      </w:tr>
      <w:tr w:rsidR="00EA382C" w:rsidRPr="00EA382C" w:rsidTr="00F967AE">
        <w:trPr>
          <w:trHeight w:val="300"/>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lastRenderedPageBreak/>
              <w:t>d) Notification of startup</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0.66</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0.03</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0.07</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$73.49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2)  Notification of initial performance tests</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1.32</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0.07</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0.13</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$146.99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3)  Initial compliance reports</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13.2</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0.66</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1.32</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$1,469.86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4)  Notification of CEMS demonstration</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1.32</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0.07</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0.13</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$146.99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5)  Initial CEMS demonstration report</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13.2</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0.66</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1.32</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$1,469.86 </w:t>
            </w:r>
          </w:p>
        </w:tc>
      </w:tr>
      <w:tr w:rsidR="00EA382C"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6)  Annual compliance reports</w:t>
            </w:r>
            <w:r w:rsidR="00273484">
              <w:rPr>
                <w:color w:val="000000"/>
                <w:sz w:val="16"/>
                <w:szCs w:val="16"/>
              </w:rPr>
              <w:t xml:space="preserve"> </w:t>
            </w:r>
            <w:r w:rsidR="00273484" w:rsidRPr="00185492">
              <w:rPr>
                <w:color w:val="000000"/>
                <w:sz w:val="18"/>
                <w:szCs w:val="18"/>
                <w:vertAlign w:val="superscript"/>
              </w:rPr>
              <w:t>c</w:t>
            </w:r>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1.60</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64.02</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149.18</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7.46</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14.92</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$16,611.19 </w:t>
            </w:r>
          </w:p>
        </w:tc>
      </w:tr>
      <w:tr w:rsidR="00EA382C" w:rsidRPr="00EA382C" w:rsidTr="00D6586B">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rPr>
                <w:color w:val="000000"/>
                <w:sz w:val="16"/>
                <w:szCs w:val="16"/>
              </w:rPr>
            </w:pPr>
            <w:r w:rsidRPr="00EA382C">
              <w:rPr>
                <w:color w:val="000000"/>
                <w:sz w:val="16"/>
                <w:szCs w:val="16"/>
              </w:rPr>
              <w:t>7)  Semi-annual excess emission reports</w:t>
            </w:r>
            <w:r w:rsidR="00185492" w:rsidRPr="00185492">
              <w:rPr>
                <w:color w:val="000000"/>
                <w:sz w:val="20"/>
                <w:szCs w:val="20"/>
              </w:rPr>
              <w:t xml:space="preserve"> </w:t>
            </w:r>
            <w:proofErr w:type="spellStart"/>
            <w:r w:rsidR="00185492" w:rsidRPr="00185492">
              <w:rPr>
                <w:color w:val="000000"/>
                <w:sz w:val="18"/>
                <w:szCs w:val="18"/>
                <w:vertAlign w:val="superscript"/>
              </w:rPr>
              <w:t>i</w:t>
            </w:r>
            <w:proofErr w:type="spellEnd"/>
          </w:p>
        </w:tc>
        <w:tc>
          <w:tcPr>
            <w:tcW w:w="1125" w:type="dxa"/>
            <w:tcBorders>
              <w:top w:val="nil"/>
              <w:left w:val="nil"/>
              <w:bottom w:val="single" w:sz="4" w:space="0" w:color="auto"/>
              <w:right w:val="single" w:sz="4" w:space="0" w:color="auto"/>
            </w:tcBorders>
            <w:shd w:val="clear" w:color="auto" w:fill="auto"/>
            <w:noWrap/>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80</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sz w:val="16"/>
                <w:szCs w:val="16"/>
              </w:rPr>
            </w:pPr>
            <w:r w:rsidRPr="00EA382C">
              <w:rPr>
                <w:sz w:val="16"/>
                <w:szCs w:val="16"/>
              </w:rPr>
              <w:t>0.50</w:t>
            </w:r>
          </w:p>
        </w:tc>
        <w:tc>
          <w:tcPr>
            <w:tcW w:w="12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40</w:t>
            </w:r>
          </w:p>
        </w:tc>
        <w:tc>
          <w:tcPr>
            <w:tcW w:w="114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2</w:t>
            </w:r>
          </w:p>
        </w:tc>
        <w:tc>
          <w:tcPr>
            <w:tcW w:w="106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center"/>
              <w:rPr>
                <w:color w:val="000000"/>
                <w:sz w:val="16"/>
                <w:szCs w:val="16"/>
              </w:rPr>
            </w:pPr>
            <w:r w:rsidRPr="00EA382C">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bottom"/>
            <w:hideMark/>
          </w:tcPr>
          <w:p w:rsidR="00EA382C" w:rsidRPr="00EA382C" w:rsidRDefault="00EA382C" w:rsidP="00EA382C">
            <w:pPr>
              <w:widowControl/>
              <w:autoSpaceDE/>
              <w:autoSpaceDN/>
              <w:adjustRightInd/>
              <w:jc w:val="right"/>
              <w:rPr>
                <w:color w:val="000000"/>
                <w:sz w:val="16"/>
                <w:szCs w:val="16"/>
              </w:rPr>
            </w:pPr>
            <w:r w:rsidRPr="00EA382C">
              <w:rPr>
                <w:color w:val="000000"/>
                <w:sz w:val="16"/>
                <w:szCs w:val="16"/>
              </w:rPr>
              <w:t xml:space="preserve">$4,454.12 </w:t>
            </w:r>
          </w:p>
        </w:tc>
      </w:tr>
      <w:tr w:rsidR="00D6586B" w:rsidRPr="00EA382C" w:rsidTr="00D6586B">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477C9">
            <w:pPr>
              <w:widowControl/>
              <w:autoSpaceDE/>
              <w:autoSpaceDN/>
              <w:adjustRightInd/>
              <w:rPr>
                <w:b/>
                <w:bCs/>
                <w:color w:val="000000"/>
                <w:sz w:val="16"/>
                <w:szCs w:val="16"/>
              </w:rPr>
            </w:pPr>
            <w:r w:rsidRPr="00EA382C">
              <w:rPr>
                <w:b/>
                <w:bCs/>
                <w:color w:val="000000"/>
                <w:sz w:val="16"/>
                <w:szCs w:val="16"/>
              </w:rPr>
              <w:t>Subtotal Reporting Requirements (Private Sources)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477C9">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477C9">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477C9">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477C9">
            <w:pPr>
              <w:widowControl/>
              <w:autoSpaceDE/>
              <w:autoSpaceDN/>
              <w:adjustRightInd/>
              <w:jc w:val="center"/>
              <w:rPr>
                <w:sz w:val="16"/>
                <w:szCs w:val="16"/>
              </w:rPr>
            </w:pPr>
            <w:r w:rsidRPr="00EA382C">
              <w:rPr>
                <w:sz w:val="16"/>
                <w:szCs w:val="16"/>
              </w:rPr>
              <w:t> </w:t>
            </w:r>
          </w:p>
        </w:tc>
        <w:tc>
          <w:tcPr>
            <w:tcW w:w="1240" w:type="dxa"/>
            <w:tcBorders>
              <w:top w:val="single" w:sz="4" w:space="0" w:color="auto"/>
              <w:left w:val="nil"/>
              <w:bottom w:val="single" w:sz="4" w:space="0" w:color="auto"/>
            </w:tcBorders>
            <w:shd w:val="clear" w:color="auto" w:fill="auto"/>
            <w:vAlign w:val="bottom"/>
            <w:hideMark/>
          </w:tcPr>
          <w:p w:rsidR="00D6586B" w:rsidRPr="00EA382C" w:rsidRDefault="00D6586B" w:rsidP="00E477C9">
            <w:pPr>
              <w:widowControl/>
              <w:autoSpaceDE/>
              <w:autoSpaceDN/>
              <w:adjustRightInd/>
              <w:jc w:val="center"/>
              <w:rPr>
                <w:color w:val="000000"/>
                <w:sz w:val="16"/>
                <w:szCs w:val="16"/>
              </w:rPr>
            </w:pPr>
          </w:p>
        </w:tc>
        <w:tc>
          <w:tcPr>
            <w:tcW w:w="1140" w:type="dxa"/>
            <w:tcBorders>
              <w:top w:val="single" w:sz="4" w:space="0" w:color="auto"/>
              <w:bottom w:val="single" w:sz="4" w:space="0" w:color="auto"/>
            </w:tcBorders>
            <w:shd w:val="clear" w:color="auto" w:fill="auto"/>
            <w:vAlign w:val="bottom"/>
            <w:hideMark/>
          </w:tcPr>
          <w:p w:rsidR="00D6586B" w:rsidRPr="00D6586B" w:rsidRDefault="00D6586B" w:rsidP="00D6586B">
            <w:pPr>
              <w:widowControl/>
              <w:autoSpaceDE/>
              <w:autoSpaceDN/>
              <w:adjustRightInd/>
              <w:jc w:val="center"/>
              <w:rPr>
                <w:b/>
                <w:color w:val="000000"/>
                <w:sz w:val="16"/>
                <w:szCs w:val="16"/>
              </w:rPr>
            </w:pPr>
            <w:r w:rsidRPr="00D6586B">
              <w:rPr>
                <w:b/>
                <w:color w:val="000000"/>
                <w:sz w:val="16"/>
                <w:szCs w:val="16"/>
              </w:rPr>
              <w:t>7,789</w:t>
            </w:r>
            <w:r w:rsidR="00AA3095">
              <w:rPr>
                <w:b/>
                <w:color w:val="000000"/>
                <w:sz w:val="16"/>
                <w:szCs w:val="16"/>
              </w:rPr>
              <w:t>.3</w:t>
            </w:r>
          </w:p>
        </w:tc>
        <w:tc>
          <w:tcPr>
            <w:tcW w:w="1060" w:type="dxa"/>
            <w:tcBorders>
              <w:top w:val="single" w:sz="4" w:space="0" w:color="auto"/>
              <w:bottom w:val="single" w:sz="4" w:space="0" w:color="auto"/>
              <w:right w:val="single" w:sz="4" w:space="0" w:color="auto"/>
            </w:tcBorders>
            <w:shd w:val="clear" w:color="auto" w:fill="auto"/>
            <w:vAlign w:val="bottom"/>
            <w:hideMark/>
          </w:tcPr>
          <w:p w:rsidR="00D6586B" w:rsidRPr="00D6586B" w:rsidRDefault="00D6586B" w:rsidP="00EA382C">
            <w:pPr>
              <w:widowControl/>
              <w:autoSpaceDE/>
              <w:autoSpaceDN/>
              <w:adjustRightInd/>
              <w:jc w:val="center"/>
              <w:rPr>
                <w:b/>
                <w:color w:val="000000"/>
                <w:sz w:val="16"/>
                <w:szCs w:val="16"/>
              </w:rPr>
            </w:pPr>
          </w:p>
        </w:tc>
        <w:tc>
          <w:tcPr>
            <w:tcW w:w="1220" w:type="dxa"/>
            <w:tcBorders>
              <w:top w:val="nil"/>
              <w:left w:val="nil"/>
              <w:bottom w:val="single" w:sz="4" w:space="0" w:color="auto"/>
              <w:right w:val="single" w:sz="4" w:space="0" w:color="auto"/>
            </w:tcBorders>
            <w:shd w:val="clear" w:color="auto" w:fill="auto"/>
            <w:vAlign w:val="bottom"/>
            <w:hideMark/>
          </w:tcPr>
          <w:p w:rsidR="00D6586B" w:rsidRPr="00D6586B" w:rsidRDefault="00D6586B" w:rsidP="00EA382C">
            <w:pPr>
              <w:widowControl/>
              <w:autoSpaceDE/>
              <w:autoSpaceDN/>
              <w:adjustRightInd/>
              <w:jc w:val="right"/>
              <w:rPr>
                <w:b/>
                <w:color w:val="000000"/>
                <w:sz w:val="16"/>
                <w:szCs w:val="16"/>
              </w:rPr>
            </w:pPr>
            <w:r w:rsidRPr="00D6586B">
              <w:rPr>
                <w:b/>
                <w:color w:val="000000"/>
                <w:sz w:val="16"/>
                <w:szCs w:val="16"/>
              </w:rPr>
              <w:t>$754,224.19</w:t>
            </w:r>
          </w:p>
        </w:tc>
      </w:tr>
      <w:tr w:rsidR="00D6586B" w:rsidRPr="00EA382C" w:rsidTr="00F967AE">
        <w:trPr>
          <w:trHeight w:val="278"/>
          <w:jc w:val="center"/>
        </w:trPr>
        <w:tc>
          <w:tcPr>
            <w:tcW w:w="4795" w:type="dxa"/>
            <w:tcBorders>
              <w:top w:val="nil"/>
              <w:left w:val="single" w:sz="4" w:space="0" w:color="auto"/>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rPr>
                <w:b/>
                <w:bCs/>
                <w:color w:val="000000"/>
                <w:sz w:val="16"/>
                <w:szCs w:val="16"/>
              </w:rPr>
            </w:pPr>
            <w:r w:rsidRPr="00EA382C">
              <w:rPr>
                <w:b/>
                <w:bCs/>
                <w:color w:val="000000"/>
                <w:sz w:val="16"/>
                <w:szCs w:val="16"/>
              </w:rPr>
              <w:t>3. Reporting Requirements for State/Local Government Sources</w:t>
            </w:r>
          </w:p>
        </w:tc>
        <w:tc>
          <w:tcPr>
            <w:tcW w:w="1125" w:type="dxa"/>
            <w:tcBorders>
              <w:top w:val="nil"/>
              <w:left w:val="nil"/>
              <w:bottom w:val="single" w:sz="4" w:space="0" w:color="auto"/>
              <w:right w:val="single" w:sz="4" w:space="0" w:color="auto"/>
            </w:tcBorders>
            <w:shd w:val="clear" w:color="000000" w:fill="D8D8D8"/>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xml:space="preserve">A. Read and Understand Rule Requirements </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B. Required Activities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xml:space="preserve">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w:t>
            </w:r>
          </w:p>
        </w:tc>
      </w:tr>
      <w:tr w:rsidR="00D6586B" w:rsidRPr="00EA382C" w:rsidTr="00F967AE">
        <w:trPr>
          <w:trHeight w:val="465"/>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1) Initial performance tests and reports (PM, dioxins/furans, opacity, fugitives, HCl, Cd, Pb, Hg)</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775</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775</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xml:space="preserve">2) CEMS demonstration (SO2, </w:t>
            </w:r>
            <w:proofErr w:type="spellStart"/>
            <w:r w:rsidRPr="00EA382C">
              <w:rPr>
                <w:color w:val="000000"/>
                <w:sz w:val="16"/>
                <w:szCs w:val="16"/>
              </w:rPr>
              <w:t>NOx</w:t>
            </w:r>
            <w:proofErr w:type="spellEnd"/>
            <w:r w:rsidRPr="00EA382C">
              <w:rPr>
                <w:color w:val="000000"/>
                <w:sz w:val="16"/>
                <w:szCs w:val="16"/>
              </w:rPr>
              <w:t xml:space="preserve">, opacity, CO, CO2, O2) </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xml:space="preserve">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a) Installation of CEM units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225</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225</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b) Initial demonstration</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450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450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465"/>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3) Annual performance tests and test reports (PM, dioxins/furans, opacity, fugitives, HCl, Cd, Pb, Hg)</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775</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775</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775</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38.75</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77.5</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$86,298.58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xml:space="preserve">4) Quarterly Appendix F audits of CEMS (SO2, </w:t>
            </w:r>
            <w:proofErr w:type="spellStart"/>
            <w:r w:rsidRPr="00EA382C">
              <w:rPr>
                <w:color w:val="000000"/>
                <w:sz w:val="16"/>
                <w:szCs w:val="16"/>
              </w:rPr>
              <w:t>NOx</w:t>
            </w:r>
            <w:proofErr w:type="spellEnd"/>
            <w:r w:rsidRPr="00EA382C">
              <w:rPr>
                <w:color w:val="000000"/>
                <w:sz w:val="16"/>
                <w:szCs w:val="16"/>
              </w:rPr>
              <w:t xml:space="preserve">, CO) </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a) RATA audit (one per year)</w:t>
            </w:r>
            <w:r w:rsidR="00273484">
              <w:rPr>
                <w:color w:val="000000"/>
                <w:sz w:val="16"/>
                <w:szCs w:val="16"/>
              </w:rPr>
              <w:t xml:space="preserve"> </w:t>
            </w:r>
            <w:r w:rsidR="00273484" w:rsidRPr="009A6A9B">
              <w:rPr>
                <w:color w:val="000000"/>
                <w:sz w:val="18"/>
                <w:szCs w:val="18"/>
                <w:vertAlign w:val="superscript"/>
              </w:rPr>
              <w:t>c, d</w:t>
            </w:r>
            <w:r w:rsidR="00185492" w:rsidRPr="009A6A9B">
              <w:rPr>
                <w:color w:val="000000"/>
                <w:sz w:val="18"/>
                <w:szCs w:val="18"/>
                <w:vertAlign w:val="superscript"/>
              </w:rPr>
              <w:t>, g</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350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1.60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560.21</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560.21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28.01</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56.02</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$62,381.09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b) RAA audit (three per year)</w:t>
            </w:r>
            <w:r w:rsidR="00273484">
              <w:rPr>
                <w:color w:val="000000"/>
                <w:sz w:val="16"/>
                <w:szCs w:val="16"/>
              </w:rPr>
              <w:t xml:space="preserve"> </w:t>
            </w:r>
            <w:r w:rsidR="00273484" w:rsidRPr="009A6A9B">
              <w:rPr>
                <w:color w:val="000000"/>
                <w:sz w:val="18"/>
                <w:szCs w:val="18"/>
                <w:vertAlign w:val="superscript"/>
              </w:rPr>
              <w:t>e</w:t>
            </w:r>
            <w:r w:rsidR="00185492" w:rsidRPr="009A6A9B">
              <w:rPr>
                <w:color w:val="000000"/>
                <w:sz w:val="18"/>
                <w:szCs w:val="18"/>
                <w:vertAlign w:val="superscript"/>
              </w:rPr>
              <w:t>, g</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130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4.80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624.23</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624.23</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31.21</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62.42</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$69,510.35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c) Daily calibration and operation</w:t>
            </w:r>
            <w:r w:rsidR="00273484">
              <w:rPr>
                <w:color w:val="000000"/>
                <w:sz w:val="16"/>
                <w:szCs w:val="16"/>
              </w:rPr>
              <w:t xml:space="preserve"> </w:t>
            </w:r>
            <w:r w:rsidR="00273484" w:rsidRPr="009A6A9B">
              <w:rPr>
                <w:color w:val="000000"/>
                <w:sz w:val="18"/>
                <w:szCs w:val="18"/>
                <w:vertAlign w:val="superscript"/>
              </w:rPr>
              <w:t>f</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584.22</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584.22</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584.22</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29.21</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58.42</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$65,054.56 </w:t>
            </w:r>
          </w:p>
        </w:tc>
      </w:tr>
      <w:tr w:rsidR="00D6586B" w:rsidRPr="00EA382C" w:rsidTr="00F967AE">
        <w:trPr>
          <w:trHeight w:val="287"/>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C. Create Information</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F967AE">
            <w:pPr>
              <w:widowControl/>
              <w:autoSpaceDE/>
              <w:autoSpaceDN/>
              <w:adjustRightInd/>
              <w:jc w:val="center"/>
              <w:rPr>
                <w:color w:val="000000"/>
                <w:sz w:val="16"/>
                <w:szCs w:val="16"/>
              </w:rPr>
            </w:pPr>
            <w:r>
              <w:rPr>
                <w:color w:val="000000"/>
                <w:sz w:val="16"/>
                <w:szCs w:val="16"/>
              </w:rPr>
              <w:t xml:space="preserve">See </w:t>
            </w:r>
            <w:r w:rsidRPr="00EA382C">
              <w:rPr>
                <w:color w:val="000000"/>
                <w:sz w:val="16"/>
                <w:szCs w:val="16"/>
              </w:rPr>
              <w:t xml:space="preserve"> 3B</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xml:space="preserve">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D. Gather Information</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F967AE">
            <w:pPr>
              <w:widowControl/>
              <w:autoSpaceDE/>
              <w:autoSpaceDN/>
              <w:adjustRightInd/>
              <w:jc w:val="center"/>
              <w:rPr>
                <w:color w:val="000000"/>
                <w:sz w:val="16"/>
                <w:szCs w:val="16"/>
              </w:rPr>
            </w:pPr>
            <w:r>
              <w:rPr>
                <w:color w:val="000000"/>
                <w:sz w:val="16"/>
                <w:szCs w:val="16"/>
              </w:rPr>
              <w:t xml:space="preserve">See </w:t>
            </w:r>
            <w:r w:rsidRPr="00EA382C">
              <w:rPr>
                <w:color w:val="000000"/>
                <w:sz w:val="16"/>
                <w:szCs w:val="16"/>
              </w:rPr>
              <w:t xml:space="preserve"> 3E</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xml:space="preserve">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E. Report Preparation</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xml:space="preserve"> </w:t>
            </w:r>
          </w:p>
        </w:tc>
      </w:tr>
      <w:tr w:rsidR="00D6586B" w:rsidRPr="00EA382C" w:rsidTr="00F967AE">
        <w:trPr>
          <w:trHeight w:val="278"/>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1) Plant startup</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xml:space="preserve">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a) Preliminary and final material separation plans and siting analysis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270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270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b) Public meeting and comment response</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140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140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c) Notification of construction</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390EC6">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d) Notification of startup</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390EC6">
        <w:trPr>
          <w:trHeight w:val="300"/>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lastRenderedPageBreak/>
              <w:t>2)  Notification of initial performance tests</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3)  Initial compliance reports</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4)  Notification of CEMS demonstration</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5)  Initial CEMS demonstration report</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$0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6)  Annual compliance reports</w:t>
            </w:r>
            <w:r w:rsidR="00273484">
              <w:rPr>
                <w:color w:val="000000"/>
                <w:sz w:val="16"/>
                <w:szCs w:val="16"/>
              </w:rPr>
              <w:t xml:space="preserve"> </w:t>
            </w:r>
            <w:r w:rsidR="00273484" w:rsidRPr="009A6A9B">
              <w:rPr>
                <w:color w:val="000000"/>
                <w:sz w:val="18"/>
                <w:szCs w:val="18"/>
                <w:vertAlign w:val="superscript"/>
              </w:rPr>
              <w:t>c</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1.60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64.02</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1</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64.02</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3.20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6.40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$7,129.27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7)  Semi-annual excess emission reports</w:t>
            </w:r>
            <w:r w:rsidR="00185492">
              <w:rPr>
                <w:color w:val="000000"/>
                <w:sz w:val="16"/>
                <w:szCs w:val="16"/>
              </w:rPr>
              <w:t xml:space="preserve"> </w:t>
            </w:r>
            <w:proofErr w:type="spellStart"/>
            <w:r w:rsidR="00185492" w:rsidRPr="009A6A9B">
              <w:rPr>
                <w:color w:val="000000"/>
                <w:sz w:val="18"/>
                <w:szCs w:val="18"/>
                <w:vertAlign w:val="superscript"/>
              </w:rPr>
              <w:t>i</w:t>
            </w:r>
            <w:proofErr w:type="spellEnd"/>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80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sz w:val="16"/>
                <w:szCs w:val="16"/>
              </w:rPr>
            </w:pPr>
            <w:r w:rsidRPr="00EA382C">
              <w:rPr>
                <w:sz w:val="16"/>
                <w:szCs w:val="16"/>
              </w:rPr>
              <w:t>0.5</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40</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$4,454.12 </w:t>
            </w:r>
          </w:p>
        </w:tc>
      </w:tr>
      <w:tr w:rsidR="00D6586B" w:rsidRPr="00EA382C" w:rsidTr="00F967AE">
        <w:trPr>
          <w:trHeight w:val="45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b/>
                <w:bCs/>
                <w:color w:val="000000"/>
                <w:sz w:val="16"/>
                <w:szCs w:val="16"/>
              </w:rPr>
            </w:pPr>
            <w:r w:rsidRPr="00EA382C">
              <w:rPr>
                <w:b/>
                <w:bCs/>
                <w:color w:val="000000"/>
                <w:sz w:val="16"/>
                <w:szCs w:val="16"/>
              </w:rPr>
              <w:t>Subtotal Reporting Requirements (State/Local Government Sources)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3440" w:type="dxa"/>
            <w:gridSpan w:val="3"/>
            <w:tcBorders>
              <w:top w:val="single" w:sz="4" w:space="0" w:color="auto"/>
              <w:left w:val="nil"/>
              <w:bottom w:val="single" w:sz="4" w:space="0" w:color="auto"/>
              <w:right w:val="single" w:sz="4" w:space="0" w:color="000000"/>
            </w:tcBorders>
            <w:shd w:val="clear" w:color="auto" w:fill="auto"/>
            <w:vAlign w:val="bottom"/>
            <w:hideMark/>
          </w:tcPr>
          <w:p w:rsidR="00D6586B" w:rsidRPr="00D6586B" w:rsidRDefault="00D6586B" w:rsidP="00D728FB">
            <w:pPr>
              <w:widowControl/>
              <w:autoSpaceDE/>
              <w:autoSpaceDN/>
              <w:adjustRightInd/>
              <w:jc w:val="center"/>
              <w:rPr>
                <w:b/>
                <w:color w:val="000000"/>
                <w:sz w:val="16"/>
                <w:szCs w:val="16"/>
              </w:rPr>
            </w:pPr>
            <w:r w:rsidRPr="00D6586B">
              <w:rPr>
                <w:b/>
                <w:color w:val="000000"/>
                <w:sz w:val="16"/>
                <w:szCs w:val="16"/>
              </w:rPr>
              <w:t>3,04</w:t>
            </w:r>
            <w:r w:rsidR="00D728FB">
              <w:rPr>
                <w:b/>
                <w:color w:val="000000"/>
                <w:sz w:val="16"/>
                <w:szCs w:val="16"/>
              </w:rPr>
              <w:t>4.82</w:t>
            </w:r>
          </w:p>
        </w:tc>
        <w:tc>
          <w:tcPr>
            <w:tcW w:w="1220" w:type="dxa"/>
            <w:tcBorders>
              <w:top w:val="nil"/>
              <w:left w:val="nil"/>
              <w:bottom w:val="single" w:sz="4" w:space="0" w:color="auto"/>
              <w:right w:val="single" w:sz="4" w:space="0" w:color="auto"/>
            </w:tcBorders>
            <w:shd w:val="clear" w:color="auto" w:fill="auto"/>
            <w:vAlign w:val="bottom"/>
            <w:hideMark/>
          </w:tcPr>
          <w:p w:rsidR="00D6586B" w:rsidRPr="00D6586B" w:rsidRDefault="00D6586B" w:rsidP="00EA382C">
            <w:pPr>
              <w:widowControl/>
              <w:autoSpaceDE/>
              <w:autoSpaceDN/>
              <w:adjustRightInd/>
              <w:jc w:val="right"/>
              <w:rPr>
                <w:b/>
                <w:color w:val="000000"/>
                <w:sz w:val="16"/>
                <w:szCs w:val="16"/>
              </w:rPr>
            </w:pPr>
            <w:r w:rsidRPr="00D6586B">
              <w:rPr>
                <w:b/>
                <w:color w:val="000000"/>
                <w:sz w:val="16"/>
                <w:szCs w:val="16"/>
              </w:rPr>
              <w:t xml:space="preserve">$294,827.97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F62286" w:rsidRDefault="00D6586B" w:rsidP="00B26F15">
            <w:pPr>
              <w:widowControl/>
              <w:autoSpaceDE/>
              <w:autoSpaceDN/>
              <w:adjustRightInd/>
              <w:rPr>
                <w:b/>
                <w:bCs/>
                <w:color w:val="000000"/>
                <w:sz w:val="16"/>
                <w:szCs w:val="16"/>
              </w:rPr>
            </w:pPr>
            <w:r w:rsidRPr="00F62286">
              <w:rPr>
                <w:b/>
                <w:bCs/>
                <w:color w:val="000000"/>
                <w:sz w:val="16"/>
                <w:szCs w:val="16"/>
              </w:rPr>
              <w:t xml:space="preserve">Total  Reporting Requirements </w:t>
            </w:r>
            <w:r w:rsidR="00B26F15" w:rsidRPr="00F62286">
              <w:rPr>
                <w:b/>
                <w:bCs/>
                <w:color w:val="000000"/>
                <w:sz w:val="16"/>
                <w:szCs w:val="16"/>
              </w:rPr>
              <w:t>for Private and State/Local Government Sources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3440" w:type="dxa"/>
            <w:gridSpan w:val="3"/>
            <w:tcBorders>
              <w:top w:val="single" w:sz="4" w:space="0" w:color="auto"/>
              <w:left w:val="nil"/>
              <w:bottom w:val="single" w:sz="4" w:space="0" w:color="auto"/>
              <w:right w:val="single" w:sz="4" w:space="0" w:color="000000"/>
            </w:tcBorders>
            <w:shd w:val="clear" w:color="auto" w:fill="auto"/>
            <w:vAlign w:val="bottom"/>
            <w:hideMark/>
          </w:tcPr>
          <w:p w:rsidR="00D6586B" w:rsidRPr="00D6586B" w:rsidRDefault="00D6586B" w:rsidP="00EA382C">
            <w:pPr>
              <w:widowControl/>
              <w:autoSpaceDE/>
              <w:autoSpaceDN/>
              <w:adjustRightInd/>
              <w:jc w:val="center"/>
              <w:rPr>
                <w:b/>
                <w:color w:val="000000"/>
                <w:sz w:val="16"/>
                <w:szCs w:val="16"/>
              </w:rPr>
            </w:pPr>
            <w:r w:rsidRPr="00D6586B">
              <w:rPr>
                <w:b/>
                <w:color w:val="000000"/>
                <w:sz w:val="16"/>
                <w:szCs w:val="16"/>
              </w:rPr>
              <w:t>10,834</w:t>
            </w:r>
            <w:r w:rsidR="00D728FB">
              <w:rPr>
                <w:b/>
                <w:color w:val="000000"/>
                <w:sz w:val="16"/>
                <w:szCs w:val="16"/>
              </w:rPr>
              <w:t>.12</w:t>
            </w:r>
          </w:p>
        </w:tc>
        <w:tc>
          <w:tcPr>
            <w:tcW w:w="1220" w:type="dxa"/>
            <w:tcBorders>
              <w:top w:val="nil"/>
              <w:left w:val="nil"/>
              <w:bottom w:val="single" w:sz="4" w:space="0" w:color="auto"/>
              <w:right w:val="single" w:sz="4" w:space="0" w:color="auto"/>
            </w:tcBorders>
            <w:shd w:val="clear" w:color="auto" w:fill="auto"/>
            <w:vAlign w:val="bottom"/>
            <w:hideMark/>
          </w:tcPr>
          <w:p w:rsidR="00D6586B" w:rsidRPr="00D6586B" w:rsidRDefault="00D6586B" w:rsidP="00EA382C">
            <w:pPr>
              <w:widowControl/>
              <w:autoSpaceDE/>
              <w:autoSpaceDN/>
              <w:adjustRightInd/>
              <w:jc w:val="right"/>
              <w:rPr>
                <w:b/>
                <w:color w:val="000000"/>
                <w:sz w:val="16"/>
                <w:szCs w:val="16"/>
              </w:rPr>
            </w:pPr>
            <w:r w:rsidRPr="00D6586B">
              <w:rPr>
                <w:b/>
                <w:color w:val="000000"/>
                <w:sz w:val="16"/>
                <w:szCs w:val="16"/>
              </w:rPr>
              <w:t xml:space="preserve">$1,049,052.16 </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rPr>
                <w:b/>
                <w:bCs/>
                <w:color w:val="000000"/>
                <w:sz w:val="16"/>
                <w:szCs w:val="16"/>
              </w:rPr>
            </w:pPr>
            <w:r w:rsidRPr="00EA382C">
              <w:rPr>
                <w:b/>
                <w:bCs/>
                <w:color w:val="000000"/>
                <w:sz w:val="16"/>
                <w:szCs w:val="16"/>
              </w:rPr>
              <w:t>4. Recordkeeping Requirements for Private Sources</w:t>
            </w:r>
          </w:p>
        </w:tc>
        <w:tc>
          <w:tcPr>
            <w:tcW w:w="1125" w:type="dxa"/>
            <w:tcBorders>
              <w:top w:val="nil"/>
              <w:left w:val="nil"/>
              <w:bottom w:val="single" w:sz="4" w:space="0" w:color="auto"/>
              <w:right w:val="single" w:sz="4" w:space="0" w:color="auto"/>
            </w:tcBorders>
            <w:shd w:val="clear" w:color="000000" w:fill="D8D8D8"/>
            <w:noWrap/>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F967AE">
        <w:trPr>
          <w:trHeight w:val="305"/>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A. Read Instructions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F967AE">
            <w:pPr>
              <w:widowControl/>
              <w:autoSpaceDE/>
              <w:autoSpaceDN/>
              <w:adjustRightInd/>
              <w:jc w:val="center"/>
              <w:rPr>
                <w:color w:val="000000"/>
                <w:sz w:val="16"/>
                <w:szCs w:val="16"/>
              </w:rPr>
            </w:pPr>
            <w:r>
              <w:rPr>
                <w:color w:val="000000"/>
                <w:sz w:val="16"/>
                <w:szCs w:val="16"/>
              </w:rPr>
              <w:t xml:space="preserve">See </w:t>
            </w:r>
            <w:r w:rsidRPr="00EA382C">
              <w:rPr>
                <w:color w:val="000000"/>
                <w:sz w:val="16"/>
                <w:szCs w:val="16"/>
              </w:rPr>
              <w:t xml:space="preserve"> 3A</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B. Plan Activities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F967AE">
            <w:pPr>
              <w:widowControl/>
              <w:autoSpaceDE/>
              <w:autoSpaceDN/>
              <w:adjustRightInd/>
              <w:jc w:val="center"/>
              <w:rPr>
                <w:color w:val="000000"/>
                <w:sz w:val="16"/>
                <w:szCs w:val="16"/>
              </w:rPr>
            </w:pPr>
            <w:r>
              <w:rPr>
                <w:color w:val="000000"/>
                <w:sz w:val="16"/>
                <w:szCs w:val="16"/>
              </w:rPr>
              <w:t xml:space="preserve">See </w:t>
            </w:r>
            <w:r w:rsidRPr="00EA382C">
              <w:rPr>
                <w:color w:val="000000"/>
                <w:sz w:val="16"/>
                <w:szCs w:val="16"/>
              </w:rPr>
              <w:t xml:space="preserve"> 3B</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C. Implement Activities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F967AE">
            <w:pPr>
              <w:widowControl/>
              <w:autoSpaceDE/>
              <w:autoSpaceDN/>
              <w:adjustRightInd/>
              <w:jc w:val="center"/>
              <w:rPr>
                <w:color w:val="000000"/>
                <w:sz w:val="16"/>
                <w:szCs w:val="16"/>
              </w:rPr>
            </w:pPr>
            <w:r>
              <w:rPr>
                <w:color w:val="000000"/>
                <w:sz w:val="16"/>
                <w:szCs w:val="16"/>
              </w:rPr>
              <w:t xml:space="preserve">See </w:t>
            </w:r>
            <w:r w:rsidRPr="00EA382C">
              <w:rPr>
                <w:color w:val="000000"/>
                <w:sz w:val="16"/>
                <w:szCs w:val="16"/>
              </w:rPr>
              <w:t xml:space="preserve"> 3B</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D. Develop Record System</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F967AE">
            <w:pPr>
              <w:widowControl/>
              <w:autoSpaceDE/>
              <w:autoSpaceDN/>
              <w:adjustRightInd/>
              <w:jc w:val="center"/>
              <w:rPr>
                <w:color w:val="000000"/>
                <w:sz w:val="16"/>
                <w:szCs w:val="16"/>
              </w:rPr>
            </w:pPr>
            <w:r>
              <w:rPr>
                <w:color w:val="000000"/>
                <w:sz w:val="16"/>
                <w:szCs w:val="16"/>
              </w:rPr>
              <w:t>N/A</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E. Record information</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1) Record startups, shutdowns, and malfunctions</w:t>
            </w:r>
            <w:r w:rsidR="00185492">
              <w:rPr>
                <w:color w:val="000000"/>
                <w:sz w:val="16"/>
                <w:szCs w:val="16"/>
              </w:rPr>
              <w:t xml:space="preserve"> </w:t>
            </w:r>
            <w:r w:rsidR="00185492" w:rsidRPr="009A6A9B">
              <w:rPr>
                <w:color w:val="000000"/>
                <w:sz w:val="18"/>
                <w:szCs w:val="18"/>
                <w:vertAlign w:val="superscript"/>
              </w:rPr>
              <w:t>h</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47</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188</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438.04</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21.90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43.80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$48,777.07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2) Records of all emission rates, computations, tests</w:t>
            </w:r>
            <w:r w:rsidR="00185492">
              <w:rPr>
                <w:color w:val="000000"/>
                <w:sz w:val="16"/>
                <w:szCs w:val="16"/>
              </w:rPr>
              <w:t xml:space="preserve"> </w:t>
            </w:r>
            <w:r w:rsidR="00185492" w:rsidRPr="009A6A9B">
              <w:rPr>
                <w:color w:val="000000"/>
                <w:sz w:val="18"/>
                <w:szCs w:val="18"/>
                <w:vertAlign w:val="superscript"/>
              </w:rPr>
              <w:t>h</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47</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188</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438.04</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21.90</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43.80</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$48,777.07 </w:t>
            </w:r>
          </w:p>
        </w:tc>
      </w:tr>
      <w:tr w:rsidR="00D6586B" w:rsidRPr="00EA382C" w:rsidTr="00F967AE">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3) Records of employee review of operations manual</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9.32</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0.47</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0.93</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$1,037.81 </w:t>
            </w:r>
          </w:p>
        </w:tc>
      </w:tr>
      <w:tr w:rsidR="00D6586B" w:rsidRPr="00EA382C" w:rsidTr="00CF558D">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4) Record amount of sorbent used for Hg and dioxin/furan control</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16</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2.33</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37.28</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1.86</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3.73</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$4,151.24 </w:t>
            </w:r>
          </w:p>
        </w:tc>
      </w:tr>
      <w:tr w:rsidR="00D6586B" w:rsidRPr="00EA382C" w:rsidTr="00CF558D">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F. Personnel Training</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CF558D">
            <w:pPr>
              <w:widowControl/>
              <w:autoSpaceDE/>
              <w:autoSpaceDN/>
              <w:adjustRightInd/>
              <w:jc w:val="center"/>
              <w:rPr>
                <w:color w:val="000000"/>
                <w:sz w:val="16"/>
                <w:szCs w:val="16"/>
              </w:rPr>
            </w:pPr>
            <w:r>
              <w:rPr>
                <w:color w:val="000000"/>
                <w:sz w:val="16"/>
                <w:szCs w:val="16"/>
              </w:rPr>
              <w:t>N/A</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D6586B">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G. Time for audits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CF558D">
            <w:pPr>
              <w:widowControl/>
              <w:autoSpaceDE/>
              <w:autoSpaceDN/>
              <w:adjustRightInd/>
              <w:jc w:val="center"/>
              <w:rPr>
                <w:color w:val="000000"/>
                <w:sz w:val="16"/>
                <w:szCs w:val="16"/>
              </w:rPr>
            </w:pPr>
            <w:r>
              <w:rPr>
                <w:color w:val="000000"/>
                <w:sz w:val="16"/>
                <w:szCs w:val="16"/>
              </w:rPr>
              <w:t>N/A</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D6586B">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477C9">
            <w:pPr>
              <w:widowControl/>
              <w:autoSpaceDE/>
              <w:autoSpaceDN/>
              <w:adjustRightInd/>
              <w:rPr>
                <w:b/>
                <w:bCs/>
                <w:color w:val="000000"/>
                <w:sz w:val="16"/>
                <w:szCs w:val="16"/>
              </w:rPr>
            </w:pPr>
            <w:r w:rsidRPr="00EA382C">
              <w:rPr>
                <w:b/>
                <w:bCs/>
                <w:color w:val="000000"/>
                <w:sz w:val="16"/>
                <w:szCs w:val="16"/>
              </w:rPr>
              <w:t>Subtotal Recordkeeping Requirements (Private Sources)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477C9">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477C9">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477C9">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477C9">
            <w:pPr>
              <w:widowControl/>
              <w:autoSpaceDE/>
              <w:autoSpaceDN/>
              <w:adjustRightInd/>
              <w:jc w:val="center"/>
              <w:rPr>
                <w:color w:val="000000"/>
                <w:sz w:val="16"/>
                <w:szCs w:val="16"/>
              </w:rPr>
            </w:pPr>
            <w:r w:rsidRPr="00EA382C">
              <w:rPr>
                <w:color w:val="000000"/>
                <w:sz w:val="16"/>
                <w:szCs w:val="16"/>
              </w:rPr>
              <w:t> </w:t>
            </w:r>
          </w:p>
        </w:tc>
        <w:tc>
          <w:tcPr>
            <w:tcW w:w="1240" w:type="dxa"/>
            <w:tcBorders>
              <w:top w:val="single" w:sz="4" w:space="0" w:color="auto"/>
              <w:left w:val="nil"/>
              <w:bottom w:val="single" w:sz="4" w:space="0" w:color="auto"/>
            </w:tcBorders>
            <w:shd w:val="clear" w:color="auto" w:fill="auto"/>
            <w:vAlign w:val="bottom"/>
            <w:hideMark/>
          </w:tcPr>
          <w:p w:rsidR="00D6586B" w:rsidRPr="00EA382C" w:rsidRDefault="00D6586B" w:rsidP="00E477C9">
            <w:pPr>
              <w:widowControl/>
              <w:autoSpaceDE/>
              <w:autoSpaceDN/>
              <w:adjustRightInd/>
              <w:jc w:val="center"/>
              <w:rPr>
                <w:color w:val="000000"/>
                <w:sz w:val="16"/>
                <w:szCs w:val="16"/>
              </w:rPr>
            </w:pPr>
          </w:p>
        </w:tc>
        <w:tc>
          <w:tcPr>
            <w:tcW w:w="1140" w:type="dxa"/>
            <w:tcBorders>
              <w:top w:val="single" w:sz="4" w:space="0" w:color="auto"/>
              <w:bottom w:val="single" w:sz="4" w:space="0" w:color="auto"/>
            </w:tcBorders>
            <w:shd w:val="clear" w:color="auto" w:fill="auto"/>
            <w:vAlign w:val="bottom"/>
            <w:hideMark/>
          </w:tcPr>
          <w:p w:rsidR="00D6586B" w:rsidRPr="00D6586B" w:rsidRDefault="00D6586B" w:rsidP="00D6586B">
            <w:pPr>
              <w:widowControl/>
              <w:autoSpaceDE/>
              <w:autoSpaceDN/>
              <w:adjustRightInd/>
              <w:jc w:val="center"/>
              <w:rPr>
                <w:b/>
                <w:color w:val="000000"/>
                <w:sz w:val="16"/>
                <w:szCs w:val="16"/>
              </w:rPr>
            </w:pPr>
            <w:r w:rsidRPr="00D6586B">
              <w:rPr>
                <w:b/>
                <w:color w:val="000000"/>
                <w:sz w:val="16"/>
                <w:szCs w:val="16"/>
              </w:rPr>
              <w:t>1,061</w:t>
            </w:r>
            <w:r w:rsidR="00D728FB">
              <w:rPr>
                <w:b/>
                <w:color w:val="000000"/>
                <w:sz w:val="16"/>
                <w:szCs w:val="16"/>
              </w:rPr>
              <w:t>.07</w:t>
            </w:r>
          </w:p>
        </w:tc>
        <w:tc>
          <w:tcPr>
            <w:tcW w:w="1060" w:type="dxa"/>
            <w:tcBorders>
              <w:top w:val="single" w:sz="4" w:space="0" w:color="auto"/>
              <w:bottom w:val="single" w:sz="4" w:space="0" w:color="auto"/>
              <w:right w:val="single" w:sz="4" w:space="0" w:color="auto"/>
            </w:tcBorders>
            <w:shd w:val="clear" w:color="auto" w:fill="auto"/>
            <w:vAlign w:val="bottom"/>
            <w:hideMark/>
          </w:tcPr>
          <w:p w:rsidR="00D6586B" w:rsidRPr="00D6586B" w:rsidRDefault="00D6586B" w:rsidP="00EA382C">
            <w:pPr>
              <w:widowControl/>
              <w:autoSpaceDE/>
              <w:autoSpaceDN/>
              <w:adjustRightInd/>
              <w:jc w:val="center"/>
              <w:rPr>
                <w:b/>
                <w:color w:val="000000"/>
                <w:sz w:val="16"/>
                <w:szCs w:val="16"/>
              </w:rPr>
            </w:pPr>
          </w:p>
        </w:tc>
        <w:tc>
          <w:tcPr>
            <w:tcW w:w="1220" w:type="dxa"/>
            <w:tcBorders>
              <w:top w:val="nil"/>
              <w:left w:val="nil"/>
              <w:bottom w:val="single" w:sz="4" w:space="0" w:color="auto"/>
              <w:right w:val="single" w:sz="4" w:space="0" w:color="auto"/>
            </w:tcBorders>
            <w:shd w:val="clear" w:color="auto" w:fill="auto"/>
            <w:vAlign w:val="bottom"/>
            <w:hideMark/>
          </w:tcPr>
          <w:p w:rsidR="00D6586B" w:rsidRPr="00D6586B" w:rsidRDefault="00D6586B" w:rsidP="00D6586B">
            <w:pPr>
              <w:widowControl/>
              <w:autoSpaceDE/>
              <w:autoSpaceDN/>
              <w:adjustRightInd/>
              <w:jc w:val="right"/>
              <w:rPr>
                <w:b/>
                <w:color w:val="000000"/>
                <w:sz w:val="16"/>
                <w:szCs w:val="16"/>
              </w:rPr>
            </w:pPr>
            <w:r w:rsidRPr="00D6586B">
              <w:rPr>
                <w:b/>
                <w:color w:val="000000"/>
                <w:sz w:val="16"/>
                <w:szCs w:val="16"/>
              </w:rPr>
              <w:t>$102,743.19</w:t>
            </w:r>
          </w:p>
        </w:tc>
      </w:tr>
      <w:tr w:rsidR="00D6586B" w:rsidRPr="00EA382C" w:rsidTr="00F967AE">
        <w:trPr>
          <w:trHeight w:val="450"/>
          <w:jc w:val="center"/>
        </w:trPr>
        <w:tc>
          <w:tcPr>
            <w:tcW w:w="4795" w:type="dxa"/>
            <w:tcBorders>
              <w:top w:val="nil"/>
              <w:left w:val="single" w:sz="4" w:space="0" w:color="auto"/>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rPr>
                <w:b/>
                <w:bCs/>
                <w:color w:val="000000"/>
                <w:sz w:val="16"/>
                <w:szCs w:val="16"/>
              </w:rPr>
            </w:pPr>
            <w:r w:rsidRPr="00EA382C">
              <w:rPr>
                <w:b/>
                <w:bCs/>
                <w:color w:val="000000"/>
                <w:sz w:val="16"/>
                <w:szCs w:val="16"/>
              </w:rPr>
              <w:t>4. Recordkeeping Requirements for State/Local Government Sources</w:t>
            </w:r>
          </w:p>
        </w:tc>
        <w:tc>
          <w:tcPr>
            <w:tcW w:w="1125" w:type="dxa"/>
            <w:tcBorders>
              <w:top w:val="nil"/>
              <w:left w:val="nil"/>
              <w:bottom w:val="single" w:sz="4" w:space="0" w:color="auto"/>
              <w:right w:val="single" w:sz="4" w:space="0" w:color="auto"/>
            </w:tcBorders>
            <w:shd w:val="clear" w:color="000000" w:fill="D8D8D8"/>
            <w:noWrap/>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000000" w:fill="D8D8D8"/>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CF558D">
        <w:trPr>
          <w:trHeight w:val="242"/>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A. Read Instructions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CF558D">
            <w:pPr>
              <w:widowControl/>
              <w:autoSpaceDE/>
              <w:autoSpaceDN/>
              <w:adjustRightInd/>
              <w:jc w:val="center"/>
              <w:rPr>
                <w:color w:val="000000"/>
                <w:sz w:val="16"/>
                <w:szCs w:val="16"/>
              </w:rPr>
            </w:pPr>
            <w:r>
              <w:rPr>
                <w:color w:val="000000"/>
                <w:sz w:val="16"/>
                <w:szCs w:val="16"/>
              </w:rPr>
              <w:t>See  3</w:t>
            </w:r>
            <w:r w:rsidRPr="00EA382C">
              <w:rPr>
                <w:color w:val="000000"/>
                <w:sz w:val="16"/>
                <w:szCs w:val="16"/>
              </w:rPr>
              <w:t>A</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CF558D">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B. Plan Activities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CF558D">
            <w:pPr>
              <w:widowControl/>
              <w:autoSpaceDE/>
              <w:autoSpaceDN/>
              <w:adjustRightInd/>
              <w:jc w:val="center"/>
              <w:rPr>
                <w:color w:val="000000"/>
                <w:sz w:val="16"/>
                <w:szCs w:val="16"/>
              </w:rPr>
            </w:pPr>
            <w:r>
              <w:rPr>
                <w:color w:val="000000"/>
                <w:sz w:val="16"/>
                <w:szCs w:val="16"/>
              </w:rPr>
              <w:t xml:space="preserve">See </w:t>
            </w:r>
            <w:r w:rsidRPr="00EA382C">
              <w:rPr>
                <w:color w:val="000000"/>
                <w:sz w:val="16"/>
                <w:szCs w:val="16"/>
              </w:rPr>
              <w:t xml:space="preserve"> 3B</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CF558D">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C. Implement Activities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CF558D">
            <w:pPr>
              <w:widowControl/>
              <w:autoSpaceDE/>
              <w:autoSpaceDN/>
              <w:adjustRightInd/>
              <w:jc w:val="center"/>
              <w:rPr>
                <w:color w:val="000000"/>
                <w:sz w:val="16"/>
                <w:szCs w:val="16"/>
              </w:rPr>
            </w:pPr>
            <w:r>
              <w:rPr>
                <w:color w:val="000000"/>
                <w:sz w:val="16"/>
                <w:szCs w:val="16"/>
              </w:rPr>
              <w:t xml:space="preserve">See </w:t>
            </w:r>
            <w:r w:rsidRPr="00EA382C">
              <w:rPr>
                <w:color w:val="000000"/>
                <w:sz w:val="16"/>
                <w:szCs w:val="16"/>
              </w:rPr>
              <w:t xml:space="preserve"> 3B</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CF558D">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D. Develop Record System</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CF558D">
            <w:pPr>
              <w:widowControl/>
              <w:autoSpaceDE/>
              <w:autoSpaceDN/>
              <w:adjustRightInd/>
              <w:jc w:val="center"/>
              <w:rPr>
                <w:color w:val="000000"/>
                <w:sz w:val="16"/>
                <w:szCs w:val="16"/>
              </w:rPr>
            </w:pPr>
            <w:r>
              <w:rPr>
                <w:color w:val="000000"/>
                <w:sz w:val="16"/>
                <w:szCs w:val="16"/>
              </w:rPr>
              <w:t>N/A</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CF558D">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E. Record information</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CF558D">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1) Record startups, shutdowns, and malfunctions</w:t>
            </w:r>
            <w:r w:rsidR="00185492">
              <w:rPr>
                <w:color w:val="000000"/>
                <w:sz w:val="16"/>
                <w:szCs w:val="16"/>
              </w:rPr>
              <w:t xml:space="preserve"> </w:t>
            </w:r>
            <w:r w:rsidR="00185492" w:rsidRPr="009A6A9B">
              <w:rPr>
                <w:color w:val="000000"/>
                <w:sz w:val="18"/>
                <w:szCs w:val="18"/>
                <w:vertAlign w:val="superscript"/>
              </w:rPr>
              <w:t>h</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47</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188</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188</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9.4</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18.8</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$20,934.36 </w:t>
            </w:r>
          </w:p>
        </w:tc>
      </w:tr>
      <w:tr w:rsidR="00D6586B" w:rsidRPr="00EA382C" w:rsidTr="00127E46">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2) Records of all emission rates, computations, tests</w:t>
            </w:r>
            <w:r w:rsidR="00185492">
              <w:rPr>
                <w:color w:val="000000"/>
                <w:sz w:val="16"/>
                <w:szCs w:val="16"/>
              </w:rPr>
              <w:t xml:space="preserve"> </w:t>
            </w:r>
            <w:r w:rsidR="00185492" w:rsidRPr="009A6A9B">
              <w:rPr>
                <w:color w:val="000000"/>
                <w:sz w:val="18"/>
                <w:szCs w:val="18"/>
                <w:vertAlign w:val="superscript"/>
              </w:rPr>
              <w:t>h</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47</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188</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188</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9.4</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18.8</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$20,934.36 </w:t>
            </w:r>
          </w:p>
        </w:tc>
      </w:tr>
      <w:tr w:rsidR="00D6586B" w:rsidRPr="00EA382C" w:rsidTr="00127E46">
        <w:trPr>
          <w:trHeight w:val="300"/>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lastRenderedPageBreak/>
              <w:t>3) Records of employee review of operations manual</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0.2</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0.4</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$445.41 </w:t>
            </w:r>
          </w:p>
        </w:tc>
      </w:tr>
      <w:tr w:rsidR="00D6586B" w:rsidRPr="00EA382C" w:rsidTr="00CF558D">
        <w:trPr>
          <w:trHeight w:val="287"/>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4) Record amount of sorbent used for Hg and dioxin/furan control</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4</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16</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16</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0.8</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1.6</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right"/>
              <w:rPr>
                <w:color w:val="000000"/>
                <w:sz w:val="16"/>
                <w:szCs w:val="16"/>
              </w:rPr>
            </w:pPr>
            <w:r w:rsidRPr="00EA382C">
              <w:rPr>
                <w:color w:val="000000"/>
                <w:sz w:val="16"/>
                <w:szCs w:val="16"/>
              </w:rPr>
              <w:t xml:space="preserve">$1,781.65 </w:t>
            </w:r>
          </w:p>
        </w:tc>
      </w:tr>
      <w:tr w:rsidR="00D6586B" w:rsidRPr="00EA382C" w:rsidTr="00343BB8">
        <w:trPr>
          <w:trHeight w:val="287"/>
          <w:jc w:val="center"/>
        </w:trPr>
        <w:tc>
          <w:tcPr>
            <w:tcW w:w="4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F. Personnel Training</w:t>
            </w:r>
          </w:p>
        </w:tc>
        <w:tc>
          <w:tcPr>
            <w:tcW w:w="1125" w:type="dxa"/>
            <w:tcBorders>
              <w:top w:val="single" w:sz="4" w:space="0" w:color="auto"/>
              <w:left w:val="nil"/>
              <w:bottom w:val="single" w:sz="4" w:space="0" w:color="auto"/>
              <w:right w:val="single" w:sz="4" w:space="0" w:color="auto"/>
            </w:tcBorders>
            <w:shd w:val="clear" w:color="auto" w:fill="auto"/>
            <w:noWrap/>
            <w:vAlign w:val="bottom"/>
            <w:hideMark/>
          </w:tcPr>
          <w:p w:rsidR="00D6586B" w:rsidRPr="00EA382C" w:rsidRDefault="00D6586B" w:rsidP="00CF558D">
            <w:pPr>
              <w:widowControl/>
              <w:autoSpaceDE/>
              <w:autoSpaceDN/>
              <w:adjustRightInd/>
              <w:jc w:val="center"/>
              <w:rPr>
                <w:color w:val="000000"/>
                <w:sz w:val="16"/>
                <w:szCs w:val="16"/>
              </w:rPr>
            </w:pPr>
            <w:r>
              <w:rPr>
                <w:color w:val="000000"/>
                <w:sz w:val="16"/>
                <w:szCs w:val="16"/>
              </w:rPr>
              <w:t>N/A</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343BB8">
        <w:trPr>
          <w:trHeight w:val="26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G. Time for audits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CF558D">
            <w:pPr>
              <w:widowControl/>
              <w:autoSpaceDE/>
              <w:autoSpaceDN/>
              <w:adjustRightInd/>
              <w:jc w:val="center"/>
              <w:rPr>
                <w:color w:val="000000"/>
                <w:sz w:val="16"/>
                <w:szCs w:val="16"/>
              </w:rPr>
            </w:pPr>
            <w:r>
              <w:rPr>
                <w:color w:val="000000"/>
                <w:sz w:val="16"/>
                <w:szCs w:val="16"/>
              </w:rPr>
              <w:t>N/A</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r>
      <w:tr w:rsidR="00D6586B" w:rsidRPr="00EA382C" w:rsidTr="00F967AE">
        <w:trPr>
          <w:trHeight w:val="45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rPr>
                <w:b/>
                <w:bCs/>
                <w:color w:val="000000"/>
                <w:sz w:val="16"/>
                <w:szCs w:val="16"/>
              </w:rPr>
            </w:pPr>
            <w:r w:rsidRPr="00EA382C">
              <w:rPr>
                <w:b/>
                <w:bCs/>
                <w:color w:val="000000"/>
                <w:sz w:val="16"/>
                <w:szCs w:val="16"/>
              </w:rPr>
              <w:t>Subtotal Recordkeeping Requirements (State/Local Government Sources)</w:t>
            </w:r>
          </w:p>
        </w:tc>
        <w:tc>
          <w:tcPr>
            <w:tcW w:w="1125" w:type="dxa"/>
            <w:tcBorders>
              <w:top w:val="nil"/>
              <w:left w:val="nil"/>
              <w:bottom w:val="single" w:sz="4" w:space="0" w:color="auto"/>
              <w:right w:val="single" w:sz="4" w:space="0" w:color="auto"/>
            </w:tcBorders>
            <w:shd w:val="clear" w:color="auto" w:fill="auto"/>
            <w:noWrap/>
            <w:vAlign w:val="bottom"/>
            <w:hideMark/>
          </w:tcPr>
          <w:p w:rsidR="00D6586B" w:rsidRPr="00EA382C" w:rsidRDefault="00D6586B" w:rsidP="00EA382C">
            <w:pPr>
              <w:widowControl/>
              <w:autoSpaceDE/>
              <w:autoSpaceDN/>
              <w:adjustRightInd/>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3440" w:type="dxa"/>
            <w:gridSpan w:val="3"/>
            <w:tcBorders>
              <w:top w:val="single" w:sz="4" w:space="0" w:color="auto"/>
              <w:left w:val="nil"/>
              <w:bottom w:val="single" w:sz="4" w:space="0" w:color="auto"/>
              <w:right w:val="single" w:sz="4" w:space="0" w:color="000000"/>
            </w:tcBorders>
            <w:shd w:val="clear" w:color="auto" w:fill="auto"/>
            <w:vAlign w:val="bottom"/>
            <w:hideMark/>
          </w:tcPr>
          <w:p w:rsidR="00D6586B" w:rsidRPr="00D6586B" w:rsidRDefault="00D6586B" w:rsidP="00EA382C">
            <w:pPr>
              <w:widowControl/>
              <w:autoSpaceDE/>
              <w:autoSpaceDN/>
              <w:adjustRightInd/>
              <w:jc w:val="center"/>
              <w:rPr>
                <w:b/>
                <w:color w:val="000000"/>
                <w:sz w:val="16"/>
                <w:szCs w:val="16"/>
              </w:rPr>
            </w:pPr>
            <w:r w:rsidRPr="00D6586B">
              <w:rPr>
                <w:b/>
                <w:color w:val="000000"/>
                <w:sz w:val="16"/>
                <w:szCs w:val="16"/>
              </w:rPr>
              <w:t>455</w:t>
            </w:r>
            <w:r w:rsidR="00D728FB">
              <w:rPr>
                <w:b/>
                <w:color w:val="000000"/>
                <w:sz w:val="16"/>
                <w:szCs w:val="16"/>
              </w:rPr>
              <w:t>.4</w:t>
            </w:r>
          </w:p>
        </w:tc>
        <w:tc>
          <w:tcPr>
            <w:tcW w:w="1220" w:type="dxa"/>
            <w:tcBorders>
              <w:top w:val="nil"/>
              <w:left w:val="nil"/>
              <w:bottom w:val="single" w:sz="4" w:space="0" w:color="auto"/>
              <w:right w:val="single" w:sz="4" w:space="0" w:color="auto"/>
            </w:tcBorders>
            <w:shd w:val="clear" w:color="auto" w:fill="auto"/>
            <w:vAlign w:val="bottom"/>
            <w:hideMark/>
          </w:tcPr>
          <w:p w:rsidR="00D6586B" w:rsidRPr="00D6586B" w:rsidRDefault="00D6586B" w:rsidP="00EA382C">
            <w:pPr>
              <w:widowControl/>
              <w:autoSpaceDE/>
              <w:autoSpaceDN/>
              <w:adjustRightInd/>
              <w:jc w:val="right"/>
              <w:rPr>
                <w:b/>
                <w:color w:val="000000"/>
                <w:sz w:val="16"/>
                <w:szCs w:val="16"/>
              </w:rPr>
            </w:pPr>
            <w:r w:rsidRPr="00D6586B">
              <w:rPr>
                <w:b/>
                <w:color w:val="000000"/>
                <w:sz w:val="16"/>
                <w:szCs w:val="16"/>
              </w:rPr>
              <w:t>$44,095.79</w:t>
            </w:r>
          </w:p>
        </w:tc>
      </w:tr>
      <w:tr w:rsidR="00D6586B" w:rsidRPr="00EA382C" w:rsidTr="00F967AE">
        <w:trPr>
          <w:trHeight w:val="300"/>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390EC6" w:rsidP="00390EC6">
            <w:pPr>
              <w:widowControl/>
              <w:autoSpaceDE/>
              <w:autoSpaceDN/>
              <w:adjustRightInd/>
              <w:rPr>
                <w:b/>
                <w:bCs/>
                <w:color w:val="000000"/>
                <w:sz w:val="16"/>
                <w:szCs w:val="16"/>
              </w:rPr>
            </w:pPr>
            <w:r>
              <w:rPr>
                <w:b/>
                <w:bCs/>
                <w:color w:val="000000"/>
                <w:sz w:val="16"/>
                <w:szCs w:val="16"/>
              </w:rPr>
              <w:t xml:space="preserve">Total </w:t>
            </w:r>
            <w:r w:rsidRPr="00EA382C">
              <w:rPr>
                <w:b/>
                <w:bCs/>
                <w:color w:val="000000"/>
                <w:sz w:val="16"/>
                <w:szCs w:val="16"/>
              </w:rPr>
              <w:t xml:space="preserve"> </w:t>
            </w:r>
            <w:r>
              <w:rPr>
                <w:b/>
                <w:bCs/>
                <w:color w:val="000000"/>
                <w:sz w:val="16"/>
                <w:szCs w:val="16"/>
              </w:rPr>
              <w:t xml:space="preserve">Recordkeeping </w:t>
            </w:r>
            <w:r w:rsidRPr="00EA382C">
              <w:rPr>
                <w:b/>
                <w:bCs/>
                <w:color w:val="000000"/>
                <w:sz w:val="16"/>
                <w:szCs w:val="16"/>
              </w:rPr>
              <w:t xml:space="preserve">Requirements </w:t>
            </w:r>
            <w:r>
              <w:rPr>
                <w:b/>
                <w:bCs/>
                <w:color w:val="000000"/>
                <w:sz w:val="16"/>
                <w:szCs w:val="16"/>
              </w:rPr>
              <w:t>for Private and State/Local Government Sources</w:t>
            </w:r>
          </w:p>
        </w:tc>
        <w:tc>
          <w:tcPr>
            <w:tcW w:w="1125"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3440" w:type="dxa"/>
            <w:gridSpan w:val="3"/>
            <w:tcBorders>
              <w:top w:val="single" w:sz="4" w:space="0" w:color="auto"/>
              <w:left w:val="nil"/>
              <w:bottom w:val="single" w:sz="4" w:space="0" w:color="auto"/>
              <w:right w:val="single" w:sz="4" w:space="0" w:color="000000"/>
            </w:tcBorders>
            <w:shd w:val="clear" w:color="auto" w:fill="auto"/>
            <w:vAlign w:val="bottom"/>
            <w:hideMark/>
          </w:tcPr>
          <w:p w:rsidR="00D6586B" w:rsidRPr="00485C0C" w:rsidRDefault="00D6586B" w:rsidP="00EA382C">
            <w:pPr>
              <w:widowControl/>
              <w:autoSpaceDE/>
              <w:autoSpaceDN/>
              <w:adjustRightInd/>
              <w:jc w:val="center"/>
              <w:rPr>
                <w:b/>
                <w:color w:val="000000"/>
                <w:sz w:val="16"/>
                <w:szCs w:val="16"/>
              </w:rPr>
            </w:pPr>
            <w:r w:rsidRPr="00485C0C">
              <w:rPr>
                <w:b/>
                <w:color w:val="000000"/>
                <w:sz w:val="16"/>
                <w:szCs w:val="16"/>
              </w:rPr>
              <w:t>1,516</w:t>
            </w:r>
            <w:r w:rsidR="00D728FB">
              <w:rPr>
                <w:b/>
                <w:color w:val="000000"/>
                <w:sz w:val="16"/>
                <w:szCs w:val="16"/>
              </w:rPr>
              <w:t>.47</w:t>
            </w:r>
          </w:p>
        </w:tc>
        <w:tc>
          <w:tcPr>
            <w:tcW w:w="1220" w:type="dxa"/>
            <w:tcBorders>
              <w:top w:val="nil"/>
              <w:left w:val="nil"/>
              <w:bottom w:val="single" w:sz="4" w:space="0" w:color="auto"/>
              <w:right w:val="single" w:sz="4" w:space="0" w:color="auto"/>
            </w:tcBorders>
            <w:shd w:val="clear" w:color="auto" w:fill="auto"/>
            <w:vAlign w:val="bottom"/>
            <w:hideMark/>
          </w:tcPr>
          <w:p w:rsidR="00D6586B" w:rsidRPr="00485C0C" w:rsidRDefault="00D6586B" w:rsidP="006B2A1F">
            <w:pPr>
              <w:widowControl/>
              <w:autoSpaceDE/>
              <w:autoSpaceDN/>
              <w:adjustRightInd/>
              <w:jc w:val="right"/>
              <w:rPr>
                <w:b/>
                <w:color w:val="000000"/>
                <w:sz w:val="16"/>
                <w:szCs w:val="16"/>
              </w:rPr>
            </w:pPr>
            <w:r w:rsidRPr="00485C0C">
              <w:rPr>
                <w:b/>
                <w:color w:val="000000"/>
                <w:sz w:val="16"/>
                <w:szCs w:val="16"/>
              </w:rPr>
              <w:t>$146,838.9</w:t>
            </w:r>
            <w:r w:rsidR="006B2A1F">
              <w:rPr>
                <w:b/>
                <w:color w:val="000000"/>
                <w:sz w:val="16"/>
                <w:szCs w:val="16"/>
              </w:rPr>
              <w:t>8</w:t>
            </w:r>
            <w:r w:rsidRPr="00485C0C">
              <w:rPr>
                <w:b/>
                <w:color w:val="000000"/>
                <w:sz w:val="16"/>
                <w:szCs w:val="16"/>
              </w:rPr>
              <w:t xml:space="preserve"> </w:t>
            </w:r>
          </w:p>
        </w:tc>
      </w:tr>
      <w:tr w:rsidR="00D6586B" w:rsidRPr="00EA382C" w:rsidTr="00CF558D">
        <w:trPr>
          <w:trHeight w:val="305"/>
          <w:jc w:val="center"/>
        </w:trPr>
        <w:tc>
          <w:tcPr>
            <w:tcW w:w="4795" w:type="dxa"/>
            <w:tcBorders>
              <w:top w:val="nil"/>
              <w:left w:val="single" w:sz="4" w:space="0" w:color="auto"/>
              <w:bottom w:val="single" w:sz="4" w:space="0" w:color="auto"/>
              <w:right w:val="single" w:sz="4" w:space="0" w:color="auto"/>
            </w:tcBorders>
            <w:shd w:val="clear" w:color="auto" w:fill="auto"/>
            <w:vAlign w:val="bottom"/>
            <w:hideMark/>
          </w:tcPr>
          <w:p w:rsidR="00D6586B" w:rsidRPr="00EA382C" w:rsidRDefault="00D6586B" w:rsidP="00786C16">
            <w:pPr>
              <w:widowControl/>
              <w:autoSpaceDE/>
              <w:autoSpaceDN/>
              <w:adjustRightInd/>
              <w:rPr>
                <w:b/>
                <w:bCs/>
                <w:color w:val="000000"/>
                <w:sz w:val="16"/>
                <w:szCs w:val="16"/>
              </w:rPr>
            </w:pPr>
            <w:r w:rsidRPr="00EA382C">
              <w:rPr>
                <w:b/>
                <w:bCs/>
                <w:color w:val="000000"/>
                <w:sz w:val="16"/>
                <w:szCs w:val="16"/>
              </w:rPr>
              <w:t>TOTAL LABOR BURDEN AND COST</w:t>
            </w:r>
            <w:r w:rsidR="00786C16">
              <w:rPr>
                <w:b/>
                <w:bCs/>
                <w:color w:val="000000"/>
                <w:sz w:val="16"/>
                <w:szCs w:val="16"/>
              </w:rPr>
              <w:t xml:space="preserve"> (rounded)</w:t>
            </w:r>
            <w:r w:rsidRPr="00EA382C">
              <w:rPr>
                <w:b/>
                <w:bCs/>
                <w:color w:val="000000"/>
                <w:sz w:val="16"/>
                <w:szCs w:val="16"/>
              </w:rPr>
              <w:t xml:space="preserve"> </w:t>
            </w:r>
          </w:p>
        </w:tc>
        <w:tc>
          <w:tcPr>
            <w:tcW w:w="1125"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4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14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EA382C">
            <w:pPr>
              <w:widowControl/>
              <w:autoSpaceDE/>
              <w:autoSpaceDN/>
              <w:adjustRightInd/>
              <w:jc w:val="center"/>
              <w:rPr>
                <w:color w:val="000000"/>
                <w:sz w:val="16"/>
                <w:szCs w:val="16"/>
              </w:rPr>
            </w:pPr>
            <w:r w:rsidRPr="00EA382C">
              <w:rPr>
                <w:color w:val="000000"/>
                <w:sz w:val="16"/>
                <w:szCs w:val="16"/>
              </w:rPr>
              <w:t> </w:t>
            </w:r>
          </w:p>
        </w:tc>
        <w:tc>
          <w:tcPr>
            <w:tcW w:w="3440" w:type="dxa"/>
            <w:gridSpan w:val="3"/>
            <w:tcBorders>
              <w:top w:val="single" w:sz="4" w:space="0" w:color="auto"/>
              <w:left w:val="nil"/>
              <w:bottom w:val="single" w:sz="4" w:space="0" w:color="auto"/>
              <w:right w:val="single" w:sz="4" w:space="0" w:color="auto"/>
            </w:tcBorders>
            <w:shd w:val="clear" w:color="auto" w:fill="auto"/>
            <w:vAlign w:val="bottom"/>
            <w:hideMark/>
          </w:tcPr>
          <w:p w:rsidR="00D6586B" w:rsidRPr="00EA382C" w:rsidRDefault="00D728FB" w:rsidP="00786C16">
            <w:pPr>
              <w:widowControl/>
              <w:autoSpaceDE/>
              <w:autoSpaceDN/>
              <w:adjustRightInd/>
              <w:jc w:val="center"/>
              <w:rPr>
                <w:b/>
                <w:bCs/>
                <w:color w:val="000000"/>
                <w:sz w:val="16"/>
                <w:szCs w:val="16"/>
              </w:rPr>
            </w:pPr>
            <w:r>
              <w:rPr>
                <w:b/>
                <w:bCs/>
                <w:color w:val="000000"/>
                <w:sz w:val="16"/>
                <w:szCs w:val="16"/>
              </w:rPr>
              <w:t>12,35</w:t>
            </w:r>
            <w:r w:rsidR="00786C16">
              <w:rPr>
                <w:b/>
                <w:bCs/>
                <w:color w:val="000000"/>
                <w:sz w:val="16"/>
                <w:szCs w:val="16"/>
              </w:rPr>
              <w:t>1</w:t>
            </w:r>
          </w:p>
        </w:tc>
        <w:tc>
          <w:tcPr>
            <w:tcW w:w="1220" w:type="dxa"/>
            <w:tcBorders>
              <w:top w:val="nil"/>
              <w:left w:val="nil"/>
              <w:bottom w:val="single" w:sz="4" w:space="0" w:color="auto"/>
              <w:right w:val="single" w:sz="4" w:space="0" w:color="auto"/>
            </w:tcBorders>
            <w:shd w:val="clear" w:color="auto" w:fill="auto"/>
            <w:vAlign w:val="bottom"/>
            <w:hideMark/>
          </w:tcPr>
          <w:p w:rsidR="00D6586B" w:rsidRPr="00EA382C" w:rsidRDefault="00D6586B" w:rsidP="006B2A1F">
            <w:pPr>
              <w:widowControl/>
              <w:autoSpaceDE/>
              <w:autoSpaceDN/>
              <w:adjustRightInd/>
              <w:jc w:val="right"/>
              <w:rPr>
                <w:b/>
                <w:bCs/>
                <w:color w:val="000000"/>
                <w:sz w:val="16"/>
                <w:szCs w:val="16"/>
              </w:rPr>
            </w:pPr>
            <w:r w:rsidRPr="00EA382C">
              <w:rPr>
                <w:b/>
                <w:bCs/>
                <w:color w:val="000000"/>
                <w:sz w:val="16"/>
                <w:szCs w:val="16"/>
              </w:rPr>
              <w:t xml:space="preserve">$1,195,891 </w:t>
            </w:r>
          </w:p>
        </w:tc>
      </w:tr>
    </w:tbl>
    <w:p w:rsidR="00C66ACF" w:rsidRDefault="00C66ACF" w:rsidP="003421BF">
      <w:pPr>
        <w:rPr>
          <w:b/>
          <w:sz w:val="20"/>
          <w:szCs w:val="20"/>
          <w:u w:val="single"/>
        </w:rPr>
      </w:pPr>
    </w:p>
    <w:p w:rsidR="00C66ACF" w:rsidRPr="000E6B7F" w:rsidRDefault="003421BF" w:rsidP="003421BF">
      <w:pPr>
        <w:rPr>
          <w:b/>
          <w:sz w:val="20"/>
          <w:szCs w:val="20"/>
          <w:u w:val="single"/>
        </w:rPr>
      </w:pPr>
      <w:r w:rsidRPr="000E6B7F">
        <w:rPr>
          <w:b/>
          <w:sz w:val="20"/>
          <w:szCs w:val="20"/>
          <w:u w:val="single"/>
        </w:rPr>
        <w:t>ASSUMPTIONS</w:t>
      </w:r>
    </w:p>
    <w:p w:rsidR="00E477C9" w:rsidRPr="00273484" w:rsidRDefault="00127E46" w:rsidP="00E477C9">
      <w:pPr>
        <w:ind w:left="-180" w:right="-270"/>
        <w:rPr>
          <w:sz w:val="20"/>
          <w:szCs w:val="20"/>
        </w:rPr>
      </w:pPr>
      <w:proofErr w:type="gramStart"/>
      <w:r w:rsidRPr="00273484">
        <w:rPr>
          <w:sz w:val="20"/>
          <w:szCs w:val="20"/>
          <w:vertAlign w:val="superscript"/>
        </w:rPr>
        <w:t>a</w:t>
      </w:r>
      <w:r w:rsidRPr="00273484">
        <w:rPr>
          <w:sz w:val="20"/>
          <w:szCs w:val="20"/>
        </w:rPr>
        <w:t xml:space="preserve">  </w:t>
      </w:r>
      <w:r w:rsidR="00E477C9" w:rsidRPr="00273484">
        <w:rPr>
          <w:sz w:val="20"/>
          <w:szCs w:val="20"/>
        </w:rPr>
        <w:t>We</w:t>
      </w:r>
      <w:proofErr w:type="gramEnd"/>
      <w:r w:rsidR="00E477C9" w:rsidRPr="00273484">
        <w:rPr>
          <w:sz w:val="20"/>
          <w:szCs w:val="20"/>
        </w:rPr>
        <w:t xml:space="preserve"> have assumed that the average number of respondents that will be subject to the rule will be 3.33.  There will be one additional new private source that will become subject to the rule over the three-year period of this ICR. </w:t>
      </w:r>
    </w:p>
    <w:p w:rsidR="00273484" w:rsidRDefault="00E477C9" w:rsidP="00273484">
      <w:pPr>
        <w:ind w:left="-180" w:right="-270"/>
        <w:rPr>
          <w:sz w:val="20"/>
        </w:rPr>
      </w:pPr>
      <w:proofErr w:type="gramStart"/>
      <w:r w:rsidRPr="00273484">
        <w:rPr>
          <w:sz w:val="20"/>
          <w:szCs w:val="20"/>
          <w:vertAlign w:val="superscript"/>
        </w:rPr>
        <w:t>b</w:t>
      </w:r>
      <w:r w:rsidRPr="00273484">
        <w:rPr>
          <w:sz w:val="20"/>
          <w:szCs w:val="20"/>
        </w:rPr>
        <w:t xml:space="preserve">  This</w:t>
      </w:r>
      <w:proofErr w:type="gramEnd"/>
      <w:r w:rsidRPr="00273484">
        <w:rPr>
          <w:sz w:val="20"/>
          <w:szCs w:val="20"/>
        </w:rPr>
        <w:t xml:space="preserve"> ICR uses the following labor rates: $121.44 per hour for Executive, Administrative, and Managerial labor; $100.23 per hour for Technical labor, and $50.51 per hour for Clerical labor.  These rates are from the United States Department of Labor, Bureau of Labor Statistics, </w:t>
      </w:r>
      <w:proofErr w:type="gramStart"/>
      <w:r w:rsidRPr="00273484">
        <w:rPr>
          <w:sz w:val="20"/>
          <w:szCs w:val="20"/>
        </w:rPr>
        <w:t>March</w:t>
      </w:r>
      <w:proofErr w:type="gramEnd"/>
      <w:r w:rsidRPr="00273484">
        <w:rPr>
          <w:sz w:val="20"/>
          <w:szCs w:val="20"/>
        </w:rPr>
        <w:t xml:space="preserve"> 2012 “Table 2. </w:t>
      </w:r>
      <w:proofErr w:type="gramStart"/>
      <w:r w:rsidRPr="00273484">
        <w:rPr>
          <w:sz w:val="20"/>
          <w:szCs w:val="20"/>
        </w:rPr>
        <w:t>Civilian Workers, by Occupational and Industry Group.”</w:t>
      </w:r>
      <w:proofErr w:type="gramEnd"/>
      <w:r w:rsidRPr="00273484">
        <w:rPr>
          <w:sz w:val="20"/>
          <w:szCs w:val="20"/>
        </w:rPr>
        <w:t xml:space="preserve">  The rates are from column 1, “Total compensation.”  The rates have been increased by 110% to account for the benefit packages available to those employed by private industry.</w:t>
      </w:r>
      <w:r w:rsidR="003421BF" w:rsidRPr="00273484">
        <w:rPr>
          <w:sz w:val="20"/>
          <w:szCs w:val="20"/>
        </w:rPr>
        <w:tab/>
      </w:r>
      <w:r w:rsidR="003421BF" w:rsidRPr="000E6B7F">
        <w:rPr>
          <w:sz w:val="20"/>
          <w:szCs w:val="20"/>
        </w:rPr>
        <w:tab/>
      </w:r>
    </w:p>
    <w:p w:rsidR="00273484" w:rsidRDefault="00273484" w:rsidP="00273484">
      <w:pPr>
        <w:ind w:left="-180" w:right="-270"/>
        <w:rPr>
          <w:sz w:val="20"/>
        </w:rPr>
      </w:pPr>
      <w:proofErr w:type="gramStart"/>
      <w:r>
        <w:rPr>
          <w:sz w:val="20"/>
          <w:szCs w:val="20"/>
          <w:vertAlign w:val="superscript"/>
        </w:rPr>
        <w:t>c</w:t>
      </w:r>
      <w:r w:rsidR="00127E46">
        <w:rPr>
          <w:sz w:val="20"/>
          <w:szCs w:val="20"/>
        </w:rPr>
        <w:t xml:space="preserve">  </w:t>
      </w:r>
      <w:r w:rsidR="003421BF" w:rsidRPr="000E6B7F">
        <w:rPr>
          <w:sz w:val="20"/>
          <w:szCs w:val="20"/>
        </w:rPr>
        <w:t>There</w:t>
      </w:r>
      <w:proofErr w:type="gramEnd"/>
      <w:r w:rsidR="003421BF" w:rsidRPr="000E6B7F">
        <w:rPr>
          <w:sz w:val="20"/>
          <w:szCs w:val="20"/>
        </w:rPr>
        <w:t xml:space="preserve"> are an average of 1.86 affected facilities (i.e., sources or units) per respondent [5.33 facilities at 3.33 plants = 1.60 (Rounded)].</w:t>
      </w:r>
    </w:p>
    <w:p w:rsidR="00273484" w:rsidRDefault="00273484" w:rsidP="00273484">
      <w:pPr>
        <w:ind w:left="-180" w:right="-270"/>
        <w:rPr>
          <w:sz w:val="20"/>
          <w:szCs w:val="20"/>
        </w:rPr>
      </w:pPr>
      <w:proofErr w:type="gramStart"/>
      <w:r>
        <w:rPr>
          <w:sz w:val="20"/>
          <w:szCs w:val="20"/>
          <w:vertAlign w:val="superscript"/>
        </w:rPr>
        <w:t>d</w:t>
      </w:r>
      <w:r w:rsidR="00127E46">
        <w:rPr>
          <w:sz w:val="20"/>
          <w:szCs w:val="20"/>
        </w:rPr>
        <w:t xml:space="preserve">  </w:t>
      </w:r>
      <w:r w:rsidR="003421BF" w:rsidRPr="000E6B7F">
        <w:rPr>
          <w:sz w:val="20"/>
          <w:szCs w:val="20"/>
        </w:rPr>
        <w:t>Relative</w:t>
      </w:r>
      <w:proofErr w:type="gramEnd"/>
      <w:r w:rsidR="003421BF" w:rsidRPr="000E6B7F">
        <w:rPr>
          <w:sz w:val="20"/>
          <w:szCs w:val="20"/>
        </w:rPr>
        <w:t xml:space="preserve"> accuracy test audits (RATA) occur once per year for each affected facility (1 x 1.60 = 1.60).</w:t>
      </w:r>
      <w:r w:rsidR="003421BF" w:rsidRPr="000E6B7F">
        <w:rPr>
          <w:sz w:val="20"/>
          <w:szCs w:val="20"/>
        </w:rPr>
        <w:tab/>
      </w:r>
      <w:r w:rsidR="003421BF" w:rsidRPr="000E6B7F">
        <w:rPr>
          <w:sz w:val="20"/>
          <w:szCs w:val="20"/>
        </w:rPr>
        <w:tab/>
      </w:r>
      <w:r w:rsidR="003421BF" w:rsidRPr="000E6B7F">
        <w:rPr>
          <w:sz w:val="20"/>
          <w:szCs w:val="20"/>
        </w:rPr>
        <w:tab/>
      </w:r>
      <w:r w:rsidR="003421BF" w:rsidRPr="000E6B7F">
        <w:rPr>
          <w:sz w:val="20"/>
          <w:szCs w:val="20"/>
        </w:rPr>
        <w:tab/>
      </w:r>
    </w:p>
    <w:p w:rsidR="00273484" w:rsidRDefault="00273484" w:rsidP="00273484">
      <w:pPr>
        <w:ind w:left="-180" w:right="-270"/>
        <w:rPr>
          <w:sz w:val="20"/>
        </w:rPr>
      </w:pPr>
      <w:proofErr w:type="gramStart"/>
      <w:r>
        <w:rPr>
          <w:sz w:val="20"/>
          <w:szCs w:val="20"/>
          <w:vertAlign w:val="superscript"/>
        </w:rPr>
        <w:t>e</w:t>
      </w:r>
      <w:r w:rsidR="00127E46" w:rsidRPr="00127E46">
        <w:rPr>
          <w:sz w:val="20"/>
          <w:szCs w:val="20"/>
          <w:vertAlign w:val="superscript"/>
        </w:rPr>
        <w:t xml:space="preserve"> </w:t>
      </w:r>
      <w:r w:rsidR="00127E46">
        <w:rPr>
          <w:sz w:val="20"/>
          <w:szCs w:val="20"/>
        </w:rPr>
        <w:t xml:space="preserve"> </w:t>
      </w:r>
      <w:r w:rsidR="003421BF" w:rsidRPr="000E6B7F">
        <w:rPr>
          <w:sz w:val="20"/>
          <w:szCs w:val="20"/>
        </w:rPr>
        <w:t>Relative</w:t>
      </w:r>
      <w:proofErr w:type="gramEnd"/>
      <w:r w:rsidR="003421BF" w:rsidRPr="000E6B7F">
        <w:rPr>
          <w:sz w:val="20"/>
          <w:szCs w:val="20"/>
        </w:rPr>
        <w:t xml:space="preserve"> accuracy audits (RAA) occur three times per year for each affected facility (3 x 1.60 = 4.80).</w:t>
      </w:r>
    </w:p>
    <w:p w:rsidR="00185492" w:rsidRDefault="00273484" w:rsidP="00185492">
      <w:pPr>
        <w:ind w:left="-180" w:right="-270"/>
        <w:rPr>
          <w:sz w:val="20"/>
        </w:rPr>
      </w:pPr>
      <w:proofErr w:type="gramStart"/>
      <w:r>
        <w:rPr>
          <w:sz w:val="20"/>
          <w:szCs w:val="20"/>
          <w:vertAlign w:val="superscript"/>
        </w:rPr>
        <w:t>f</w:t>
      </w:r>
      <w:r w:rsidR="00127E46">
        <w:rPr>
          <w:sz w:val="20"/>
          <w:szCs w:val="20"/>
        </w:rPr>
        <w:t xml:space="preserve">  </w:t>
      </w:r>
      <w:r w:rsidR="003421BF" w:rsidRPr="000E6B7F">
        <w:rPr>
          <w:sz w:val="20"/>
          <w:szCs w:val="20"/>
        </w:rPr>
        <w:t>Daily</w:t>
      </w:r>
      <w:proofErr w:type="gramEnd"/>
      <w:r w:rsidR="003421BF" w:rsidRPr="000E6B7F">
        <w:rPr>
          <w:sz w:val="20"/>
          <w:szCs w:val="20"/>
        </w:rPr>
        <w:t xml:space="preserve"> calibration and operation data occurs daily (365 x 1.60 = 584.22).</w:t>
      </w:r>
    </w:p>
    <w:p w:rsidR="00185492" w:rsidRDefault="00185492" w:rsidP="00185492">
      <w:pPr>
        <w:ind w:left="-180" w:right="-270"/>
        <w:rPr>
          <w:sz w:val="20"/>
        </w:rPr>
      </w:pPr>
      <w:proofErr w:type="gramStart"/>
      <w:r>
        <w:rPr>
          <w:sz w:val="20"/>
          <w:szCs w:val="20"/>
          <w:vertAlign w:val="superscript"/>
        </w:rPr>
        <w:t>g</w:t>
      </w:r>
      <w:r w:rsidR="00127E46">
        <w:rPr>
          <w:sz w:val="20"/>
          <w:szCs w:val="20"/>
        </w:rPr>
        <w:t xml:space="preserve">  </w:t>
      </w:r>
      <w:r w:rsidR="003421BF" w:rsidRPr="000E6B7F">
        <w:rPr>
          <w:sz w:val="20"/>
          <w:szCs w:val="20"/>
        </w:rPr>
        <w:t>RATA</w:t>
      </w:r>
      <w:proofErr w:type="gramEnd"/>
      <w:r w:rsidR="003421BF" w:rsidRPr="000E6B7F">
        <w:rPr>
          <w:sz w:val="20"/>
          <w:szCs w:val="20"/>
        </w:rPr>
        <w:t xml:space="preserve"> audits are performed for one of the four quarterly audits.  RAA tests are performed for three of the four quarterly audits.  Audits of the diluent monitor (O</w:t>
      </w:r>
      <w:r w:rsidR="003421BF" w:rsidRPr="000E6B7F">
        <w:rPr>
          <w:sz w:val="20"/>
          <w:szCs w:val="20"/>
          <w:vertAlign w:val="subscript"/>
        </w:rPr>
        <w:t>2</w:t>
      </w:r>
      <w:r w:rsidR="003421BF" w:rsidRPr="000E6B7F">
        <w:rPr>
          <w:sz w:val="20"/>
          <w:szCs w:val="20"/>
        </w:rPr>
        <w:t xml:space="preserve"> or CO</w:t>
      </w:r>
      <w:r w:rsidR="003421BF" w:rsidRPr="000E6B7F">
        <w:rPr>
          <w:sz w:val="20"/>
          <w:szCs w:val="20"/>
          <w:vertAlign w:val="subscript"/>
        </w:rPr>
        <w:t>2</w:t>
      </w:r>
      <w:r w:rsidR="003421BF" w:rsidRPr="000E6B7F">
        <w:rPr>
          <w:sz w:val="20"/>
          <w:szCs w:val="20"/>
        </w:rPr>
        <w:t>) are not required because tests on SO</w:t>
      </w:r>
      <w:r w:rsidR="003421BF" w:rsidRPr="000E6B7F">
        <w:rPr>
          <w:sz w:val="20"/>
          <w:szCs w:val="20"/>
          <w:vertAlign w:val="subscript"/>
        </w:rPr>
        <w:t>2</w:t>
      </w:r>
      <w:r w:rsidR="003421BF" w:rsidRPr="000E6B7F">
        <w:rPr>
          <w:sz w:val="20"/>
          <w:szCs w:val="20"/>
        </w:rPr>
        <w:t xml:space="preserve"> and CO monitors will incorporate the use of the diluent monitor.</w:t>
      </w:r>
    </w:p>
    <w:p w:rsidR="00185492" w:rsidRDefault="00185492" w:rsidP="00185492">
      <w:pPr>
        <w:ind w:left="-180" w:right="-270"/>
        <w:rPr>
          <w:sz w:val="20"/>
        </w:rPr>
      </w:pPr>
      <w:proofErr w:type="gramStart"/>
      <w:r>
        <w:rPr>
          <w:sz w:val="20"/>
          <w:szCs w:val="20"/>
          <w:vertAlign w:val="superscript"/>
        </w:rPr>
        <w:t>h</w:t>
      </w:r>
      <w:r w:rsidR="00127E46">
        <w:rPr>
          <w:sz w:val="20"/>
          <w:szCs w:val="20"/>
        </w:rPr>
        <w:t xml:space="preserve">  </w:t>
      </w:r>
      <w:r w:rsidR="003421BF" w:rsidRPr="000E6B7F">
        <w:rPr>
          <w:sz w:val="20"/>
          <w:szCs w:val="20"/>
        </w:rPr>
        <w:t>Assumes</w:t>
      </w:r>
      <w:proofErr w:type="gramEnd"/>
      <w:r w:rsidR="003421BF" w:rsidRPr="000E6B7F">
        <w:rPr>
          <w:sz w:val="20"/>
          <w:szCs w:val="20"/>
        </w:rPr>
        <w:t xml:space="preserve"> 47 weeks of operation (90 percent availability) per year per facility.</w:t>
      </w:r>
    </w:p>
    <w:p w:rsidR="003421BF" w:rsidRPr="00185492" w:rsidRDefault="00185492" w:rsidP="00185492">
      <w:pPr>
        <w:ind w:left="-180" w:right="-270"/>
        <w:rPr>
          <w:sz w:val="20"/>
        </w:rPr>
      </w:pPr>
      <w:proofErr w:type="spellStart"/>
      <w:proofErr w:type="gramStart"/>
      <w:r>
        <w:rPr>
          <w:sz w:val="20"/>
          <w:szCs w:val="20"/>
          <w:vertAlign w:val="superscript"/>
        </w:rPr>
        <w:t>i</w:t>
      </w:r>
      <w:proofErr w:type="spellEnd"/>
      <w:r w:rsidR="00127E46">
        <w:rPr>
          <w:sz w:val="20"/>
          <w:szCs w:val="20"/>
        </w:rPr>
        <w:t xml:space="preserve">  </w:t>
      </w:r>
      <w:r w:rsidR="003421BF" w:rsidRPr="000E6B7F">
        <w:rPr>
          <w:sz w:val="20"/>
          <w:szCs w:val="20"/>
        </w:rPr>
        <w:t>Assumes</w:t>
      </w:r>
      <w:proofErr w:type="gramEnd"/>
      <w:r w:rsidR="003421BF" w:rsidRPr="000E6B7F">
        <w:rPr>
          <w:sz w:val="20"/>
          <w:szCs w:val="20"/>
        </w:rPr>
        <w:t xml:space="preserve"> </w:t>
      </w:r>
      <w:r w:rsidR="000E6B7F">
        <w:rPr>
          <w:sz w:val="20"/>
          <w:szCs w:val="20"/>
        </w:rPr>
        <w:t xml:space="preserve">a total of 2 semiannual excess emission reports (1 report for a privately-owned source and 1 report for a state/local government-owned source). </w:t>
      </w:r>
    </w:p>
    <w:p w:rsidR="00F62286" w:rsidRDefault="00144F35" w:rsidP="000E6B7F">
      <w:pPr>
        <w:jc w:val="center"/>
        <w:rPr>
          <w:b/>
          <w:bCs/>
          <w:color w:val="000000"/>
        </w:rPr>
      </w:pPr>
      <w:r>
        <w:rPr>
          <w:b/>
          <w:bCs/>
          <w:color w:val="000000"/>
        </w:rPr>
        <w:br w:type="page"/>
      </w:r>
      <w:r w:rsidR="007960FB" w:rsidRPr="007960FB">
        <w:rPr>
          <w:b/>
          <w:bCs/>
          <w:color w:val="000000"/>
        </w:rPr>
        <w:lastRenderedPageBreak/>
        <w:t>Table 2: Average Annual EPA Burden and Cost – NSPS for Small Municipal Waste Comb</w:t>
      </w:r>
      <w:r w:rsidR="00F62286">
        <w:rPr>
          <w:b/>
          <w:bCs/>
          <w:color w:val="000000"/>
        </w:rPr>
        <w:t xml:space="preserve">ustors (40 CFR </w:t>
      </w:r>
      <w:proofErr w:type="gramStart"/>
      <w:r w:rsidR="00F62286">
        <w:rPr>
          <w:b/>
          <w:bCs/>
          <w:color w:val="000000"/>
        </w:rPr>
        <w:t>Part</w:t>
      </w:r>
      <w:proofErr w:type="gramEnd"/>
      <w:r w:rsidR="00F62286">
        <w:rPr>
          <w:b/>
          <w:bCs/>
          <w:color w:val="000000"/>
        </w:rPr>
        <w:t xml:space="preserve"> 60, Subpart </w:t>
      </w:r>
    </w:p>
    <w:p w:rsidR="00144F35" w:rsidRDefault="00F62286" w:rsidP="00F62286">
      <w:pPr>
        <w:rPr>
          <w:b/>
          <w:bCs/>
          <w:color w:val="000000"/>
        </w:rPr>
      </w:pPr>
      <w:r>
        <w:rPr>
          <w:b/>
          <w:bCs/>
          <w:color w:val="000000"/>
        </w:rPr>
        <w:t xml:space="preserve">    </w:t>
      </w:r>
      <w:r w:rsidR="007960FB" w:rsidRPr="007960FB">
        <w:rPr>
          <w:b/>
          <w:bCs/>
          <w:color w:val="000000"/>
        </w:rPr>
        <w:t>AAAA) (Renewal)</w:t>
      </w:r>
    </w:p>
    <w:p w:rsidR="000E6B7F" w:rsidRDefault="000E6B7F" w:rsidP="009241AF">
      <w:pPr>
        <w:rPr>
          <w:bCs/>
          <w:color w:val="FF0000"/>
        </w:rPr>
      </w:pPr>
    </w:p>
    <w:tbl>
      <w:tblPr>
        <w:tblW w:w="12960" w:type="dxa"/>
        <w:tblInd w:w="93" w:type="dxa"/>
        <w:tblLook w:val="04A0"/>
      </w:tblPr>
      <w:tblGrid>
        <w:gridCol w:w="4076"/>
        <w:gridCol w:w="1236"/>
        <w:gridCol w:w="1108"/>
        <w:gridCol w:w="1023"/>
        <w:gridCol w:w="1216"/>
        <w:gridCol w:w="1021"/>
        <w:gridCol w:w="1152"/>
        <w:gridCol w:w="958"/>
        <w:gridCol w:w="1170"/>
      </w:tblGrid>
      <w:tr w:rsidR="0016678A" w:rsidRPr="0016678A" w:rsidTr="0016678A">
        <w:trPr>
          <w:trHeight w:val="1545"/>
        </w:trPr>
        <w:tc>
          <w:tcPr>
            <w:tcW w:w="4076" w:type="dxa"/>
            <w:tcBorders>
              <w:top w:val="single" w:sz="4" w:space="0" w:color="auto"/>
              <w:left w:val="single" w:sz="4" w:space="0" w:color="auto"/>
              <w:bottom w:val="single" w:sz="4" w:space="0" w:color="auto"/>
              <w:right w:val="nil"/>
            </w:tcBorders>
            <w:shd w:val="clear" w:color="auto" w:fill="auto"/>
            <w:vAlign w:val="center"/>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Burden Item</w:t>
            </w:r>
          </w:p>
        </w:tc>
        <w:tc>
          <w:tcPr>
            <w:tcW w:w="1236" w:type="dxa"/>
            <w:tcBorders>
              <w:top w:val="single" w:sz="4" w:space="0" w:color="auto"/>
              <w:left w:val="single" w:sz="4" w:space="0" w:color="auto"/>
              <w:bottom w:val="single" w:sz="4" w:space="0" w:color="auto"/>
              <w:right w:val="nil"/>
            </w:tcBorders>
            <w:shd w:val="clear" w:color="auto" w:fill="auto"/>
            <w:vAlign w:val="bottom"/>
            <w:hideMark/>
          </w:tcPr>
          <w:p w:rsidR="0016678A" w:rsidRDefault="0016678A" w:rsidP="0016678A">
            <w:pPr>
              <w:widowControl/>
              <w:autoSpaceDE/>
              <w:autoSpaceDN/>
              <w:adjustRightInd/>
              <w:jc w:val="center"/>
              <w:rPr>
                <w:b/>
                <w:bCs/>
                <w:color w:val="000000"/>
                <w:sz w:val="16"/>
                <w:szCs w:val="16"/>
              </w:rPr>
            </w:pPr>
            <w:r w:rsidRPr="0016678A">
              <w:rPr>
                <w:b/>
                <w:bCs/>
                <w:color w:val="000000"/>
                <w:sz w:val="16"/>
                <w:szCs w:val="16"/>
              </w:rPr>
              <w:t xml:space="preserve">(A) </w:t>
            </w:r>
          </w:p>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EPA Hours Per Occurrence</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678A" w:rsidRDefault="0016678A" w:rsidP="0016678A">
            <w:pPr>
              <w:widowControl/>
              <w:autoSpaceDE/>
              <w:autoSpaceDN/>
              <w:adjustRightInd/>
              <w:jc w:val="center"/>
              <w:rPr>
                <w:b/>
                <w:bCs/>
                <w:color w:val="000000"/>
                <w:sz w:val="16"/>
                <w:szCs w:val="16"/>
              </w:rPr>
            </w:pPr>
            <w:r w:rsidRPr="0016678A">
              <w:rPr>
                <w:b/>
                <w:bCs/>
                <w:color w:val="000000"/>
                <w:sz w:val="16"/>
                <w:szCs w:val="16"/>
              </w:rPr>
              <w:t xml:space="preserve">(B) </w:t>
            </w:r>
          </w:p>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Number of Occurrences Per Year</w:t>
            </w:r>
          </w:p>
        </w:tc>
        <w:tc>
          <w:tcPr>
            <w:tcW w:w="1023" w:type="dxa"/>
            <w:tcBorders>
              <w:top w:val="single" w:sz="4" w:space="0" w:color="auto"/>
              <w:left w:val="nil"/>
              <w:bottom w:val="single" w:sz="4" w:space="0" w:color="auto"/>
              <w:right w:val="single" w:sz="4" w:space="0" w:color="auto"/>
            </w:tcBorders>
            <w:shd w:val="clear" w:color="auto" w:fill="auto"/>
            <w:vAlign w:val="bottom"/>
            <w:hideMark/>
          </w:tcPr>
          <w:p w:rsidR="0016678A" w:rsidRDefault="0016678A" w:rsidP="0016678A">
            <w:pPr>
              <w:widowControl/>
              <w:autoSpaceDE/>
              <w:autoSpaceDN/>
              <w:adjustRightInd/>
              <w:jc w:val="center"/>
              <w:rPr>
                <w:b/>
                <w:bCs/>
                <w:color w:val="000000"/>
                <w:sz w:val="16"/>
                <w:szCs w:val="16"/>
              </w:rPr>
            </w:pPr>
            <w:r w:rsidRPr="0016678A">
              <w:rPr>
                <w:b/>
                <w:bCs/>
                <w:color w:val="000000"/>
                <w:sz w:val="16"/>
                <w:szCs w:val="16"/>
              </w:rPr>
              <w:t xml:space="preserve">(C) </w:t>
            </w:r>
          </w:p>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EPA Person Hours Per Year (</w:t>
            </w:r>
            <w:proofErr w:type="spellStart"/>
            <w:r w:rsidRPr="0016678A">
              <w:rPr>
                <w:b/>
                <w:bCs/>
                <w:color w:val="000000"/>
                <w:sz w:val="16"/>
                <w:szCs w:val="16"/>
              </w:rPr>
              <w:t>AxB</w:t>
            </w:r>
            <w:proofErr w:type="spellEnd"/>
            <w:r w:rsidRPr="0016678A">
              <w:rPr>
                <w:b/>
                <w:bCs/>
                <w:color w:val="000000"/>
                <w:sz w:val="16"/>
                <w:szCs w:val="16"/>
              </w:rPr>
              <w:t>)</w:t>
            </w:r>
          </w:p>
        </w:tc>
        <w:tc>
          <w:tcPr>
            <w:tcW w:w="1216" w:type="dxa"/>
            <w:tcBorders>
              <w:top w:val="single" w:sz="4" w:space="0" w:color="auto"/>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(D) Respondents Per Year</w:t>
            </w:r>
            <w:r w:rsidR="00AE33E8">
              <w:rPr>
                <w:b/>
                <w:bCs/>
                <w:color w:val="000000"/>
                <w:sz w:val="16"/>
                <w:szCs w:val="16"/>
              </w:rPr>
              <w:t xml:space="preserve"> </w:t>
            </w:r>
            <w:r w:rsidR="00AE33E8" w:rsidRPr="00AE33E8">
              <w:rPr>
                <w:b/>
                <w:bCs/>
                <w:color w:val="000000"/>
                <w:sz w:val="18"/>
                <w:szCs w:val="18"/>
                <w:vertAlign w:val="superscript"/>
              </w:rPr>
              <w:t>a</w:t>
            </w:r>
          </w:p>
        </w:tc>
        <w:tc>
          <w:tcPr>
            <w:tcW w:w="1021" w:type="dxa"/>
            <w:tcBorders>
              <w:top w:val="single" w:sz="4" w:space="0" w:color="auto"/>
              <w:left w:val="nil"/>
              <w:bottom w:val="single" w:sz="4" w:space="0" w:color="auto"/>
              <w:right w:val="single" w:sz="4" w:space="0" w:color="auto"/>
            </w:tcBorders>
            <w:shd w:val="clear" w:color="auto" w:fill="auto"/>
            <w:vAlign w:val="bottom"/>
            <w:hideMark/>
          </w:tcPr>
          <w:p w:rsidR="0016678A" w:rsidRDefault="0016678A" w:rsidP="0016678A">
            <w:pPr>
              <w:widowControl/>
              <w:autoSpaceDE/>
              <w:autoSpaceDN/>
              <w:adjustRightInd/>
              <w:jc w:val="center"/>
              <w:rPr>
                <w:b/>
                <w:bCs/>
                <w:color w:val="000000"/>
                <w:sz w:val="16"/>
                <w:szCs w:val="16"/>
              </w:rPr>
            </w:pPr>
            <w:r w:rsidRPr="0016678A">
              <w:rPr>
                <w:b/>
                <w:bCs/>
                <w:color w:val="000000"/>
                <w:sz w:val="16"/>
                <w:szCs w:val="16"/>
              </w:rPr>
              <w:t xml:space="preserve">(E) </w:t>
            </w:r>
          </w:p>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Tech Hours Per Year (</w:t>
            </w:r>
            <w:proofErr w:type="spellStart"/>
            <w:r w:rsidRPr="0016678A">
              <w:rPr>
                <w:b/>
                <w:bCs/>
                <w:color w:val="000000"/>
                <w:sz w:val="16"/>
                <w:szCs w:val="16"/>
              </w:rPr>
              <w:t>CxD</w:t>
            </w:r>
            <w:proofErr w:type="spellEnd"/>
            <w:r w:rsidRPr="0016678A">
              <w:rPr>
                <w:b/>
                <w:bCs/>
                <w:color w:val="000000"/>
                <w:sz w:val="16"/>
                <w:szCs w:val="16"/>
              </w:rPr>
              <w:t>)</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(F) Management Hours Per Year (D=Cx0.05)</w:t>
            </w:r>
          </w:p>
        </w:tc>
        <w:tc>
          <w:tcPr>
            <w:tcW w:w="958" w:type="dxa"/>
            <w:tcBorders>
              <w:top w:val="single" w:sz="4" w:space="0" w:color="auto"/>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(G) Clerical Hours Per Year (E=Cx0.1)</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16678A" w:rsidRDefault="0016678A" w:rsidP="0016678A">
            <w:pPr>
              <w:widowControl/>
              <w:autoSpaceDE/>
              <w:autoSpaceDN/>
              <w:adjustRightInd/>
              <w:jc w:val="center"/>
              <w:rPr>
                <w:b/>
                <w:bCs/>
                <w:color w:val="000000"/>
                <w:sz w:val="16"/>
                <w:szCs w:val="16"/>
              </w:rPr>
            </w:pPr>
            <w:r w:rsidRPr="0016678A">
              <w:rPr>
                <w:b/>
                <w:bCs/>
                <w:color w:val="000000"/>
                <w:sz w:val="16"/>
                <w:szCs w:val="16"/>
              </w:rPr>
              <w:t xml:space="preserve">(H) </w:t>
            </w:r>
          </w:p>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EPA Cost Per Year,$</w:t>
            </w:r>
            <w:r w:rsidR="00AE33E8">
              <w:rPr>
                <w:b/>
                <w:bCs/>
                <w:color w:val="000000"/>
                <w:sz w:val="16"/>
                <w:szCs w:val="16"/>
              </w:rPr>
              <w:t xml:space="preserve"> </w:t>
            </w:r>
            <w:r w:rsidR="00AE33E8" w:rsidRPr="00AE33E8">
              <w:rPr>
                <w:b/>
                <w:bCs/>
                <w:color w:val="000000"/>
                <w:sz w:val="18"/>
                <w:szCs w:val="18"/>
                <w:vertAlign w:val="superscript"/>
              </w:rPr>
              <w:t>b</w:t>
            </w:r>
          </w:p>
        </w:tc>
      </w:tr>
      <w:tr w:rsidR="0016678A" w:rsidRPr="0016678A" w:rsidTr="00343BB8">
        <w:trPr>
          <w:trHeight w:val="242"/>
        </w:trPr>
        <w:tc>
          <w:tcPr>
            <w:tcW w:w="4076" w:type="dxa"/>
            <w:tcBorders>
              <w:top w:val="nil"/>
              <w:left w:val="single" w:sz="4" w:space="0" w:color="auto"/>
              <w:bottom w:val="single" w:sz="4" w:space="0" w:color="auto"/>
              <w:right w:val="nil"/>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1. Applications</w:t>
            </w:r>
          </w:p>
        </w:tc>
        <w:tc>
          <w:tcPr>
            <w:tcW w:w="1236" w:type="dxa"/>
            <w:tcBorders>
              <w:top w:val="nil"/>
              <w:left w:val="single" w:sz="4" w:space="0" w:color="auto"/>
              <w:bottom w:val="single" w:sz="4" w:space="0" w:color="auto"/>
              <w:right w:val="single" w:sz="4" w:space="0" w:color="auto"/>
            </w:tcBorders>
            <w:shd w:val="clear" w:color="auto" w:fill="auto"/>
            <w:noWrap/>
            <w:vAlign w:val="bottom"/>
            <w:hideMark/>
          </w:tcPr>
          <w:p w:rsidR="0016678A" w:rsidRPr="0016678A" w:rsidRDefault="00343BB8" w:rsidP="00343BB8">
            <w:pPr>
              <w:widowControl/>
              <w:autoSpaceDE/>
              <w:autoSpaceDN/>
              <w:adjustRightInd/>
              <w:jc w:val="center"/>
              <w:rPr>
                <w:color w:val="000000"/>
                <w:sz w:val="16"/>
                <w:szCs w:val="16"/>
              </w:rPr>
            </w:pPr>
            <w:r>
              <w:rPr>
                <w:color w:val="000000"/>
                <w:sz w:val="16"/>
                <w:szCs w:val="16"/>
              </w:rPr>
              <w:t>N/A</w:t>
            </w:r>
          </w:p>
        </w:tc>
        <w:tc>
          <w:tcPr>
            <w:tcW w:w="1108" w:type="dxa"/>
            <w:tcBorders>
              <w:top w:val="nil"/>
              <w:left w:val="nil"/>
              <w:bottom w:val="nil"/>
              <w:right w:val="nil"/>
            </w:tcBorders>
            <w:shd w:val="clear" w:color="auto" w:fill="auto"/>
            <w:noWrap/>
            <w:vAlign w:val="bottom"/>
            <w:hideMark/>
          </w:tcPr>
          <w:p w:rsidR="0016678A" w:rsidRPr="0016678A" w:rsidRDefault="0016678A" w:rsidP="0016678A">
            <w:pPr>
              <w:widowControl/>
              <w:autoSpaceDE/>
              <w:autoSpaceDN/>
              <w:adjustRightInd/>
              <w:rPr>
                <w:rFonts w:ascii="Calibri" w:hAnsi="Calibri"/>
                <w:color w:val="000000"/>
                <w:sz w:val="16"/>
                <w:szCs w:val="16"/>
              </w:rPr>
            </w:pPr>
          </w:p>
        </w:tc>
        <w:tc>
          <w:tcPr>
            <w:tcW w:w="1023"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r>
      <w:tr w:rsidR="0016678A" w:rsidRPr="0016678A" w:rsidTr="00343BB8">
        <w:trPr>
          <w:trHeight w:val="260"/>
        </w:trPr>
        <w:tc>
          <w:tcPr>
            <w:tcW w:w="4076" w:type="dxa"/>
            <w:tcBorders>
              <w:top w:val="nil"/>
              <w:left w:val="single" w:sz="4" w:space="0" w:color="auto"/>
              <w:bottom w:val="single" w:sz="4" w:space="0" w:color="auto"/>
              <w:right w:val="nil"/>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2. Read and Understand Rule Requirements</w:t>
            </w:r>
          </w:p>
        </w:tc>
        <w:tc>
          <w:tcPr>
            <w:tcW w:w="1236" w:type="dxa"/>
            <w:tcBorders>
              <w:top w:val="nil"/>
              <w:left w:val="single" w:sz="4" w:space="0" w:color="auto"/>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40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$0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A. Create Information</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$0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B. Gather Information</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0</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$0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C. Report Reviews</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 </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w:t>
            </w:r>
          </w:p>
        </w:tc>
      </w:tr>
      <w:tr w:rsidR="0016678A" w:rsidRPr="0016678A" w:rsidTr="00343BB8">
        <w:trPr>
          <w:trHeight w:val="44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1) Review preliminary and final material separation plans and siting analysis</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8</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8</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0.33</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2.64</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0.13</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0.26</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$136.82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2) Review notification of construction</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0.33</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0.66</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0.03</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0.07</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$34.20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3) Review notification of startup</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0.33</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0.66</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0.03</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0.07</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$34.20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4) Review notification of initial performance test</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8</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8</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0.33</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2.64</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0.13</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0.26</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$136.82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5) Review notification of initial CEMS demonstration</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4</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4</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0.33</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1.32</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0.07</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0.13</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$68.41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6) Review initial performance test report</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40</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40</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0.33</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13.2</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0.66</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1.32</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$684.08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7) Review initial CEMS demonstration report</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40</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40</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0.33</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13.2</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0.66</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1.32</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$684.08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8) Review annual compliance report</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70</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70</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3.33</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233.1</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11.66</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23.31</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$12,080.29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9) Review semi-annual excess emission report</w:t>
            </w:r>
            <w:r w:rsidR="00AE33E8">
              <w:rPr>
                <w:color w:val="000000"/>
                <w:sz w:val="16"/>
                <w:szCs w:val="16"/>
              </w:rPr>
              <w:t xml:space="preserve"> </w:t>
            </w:r>
            <w:r w:rsidR="00AE33E8" w:rsidRPr="00AE33E8">
              <w:rPr>
                <w:color w:val="000000"/>
                <w:sz w:val="18"/>
                <w:szCs w:val="18"/>
                <w:vertAlign w:val="superscript"/>
              </w:rPr>
              <w:t>c</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16</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32</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1</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32</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1.6</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sz w:val="16"/>
                <w:szCs w:val="16"/>
              </w:rPr>
            </w:pPr>
            <w:r w:rsidRPr="0016678A">
              <w:rPr>
                <w:sz w:val="16"/>
                <w:szCs w:val="16"/>
              </w:rPr>
              <w:t>3.2</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$1,658.38 </w:t>
            </w:r>
          </w:p>
        </w:tc>
      </w:tr>
      <w:tr w:rsidR="0016678A" w:rsidRPr="0016678A" w:rsidTr="00343BB8">
        <w:trPr>
          <w:trHeight w:val="260"/>
        </w:trPr>
        <w:tc>
          <w:tcPr>
            <w:tcW w:w="4076"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rPr>
                <w:color w:val="000000"/>
                <w:sz w:val="16"/>
                <w:szCs w:val="16"/>
              </w:rPr>
            </w:pPr>
            <w:r w:rsidRPr="0016678A">
              <w:rPr>
                <w:color w:val="000000"/>
                <w:sz w:val="16"/>
                <w:szCs w:val="16"/>
              </w:rPr>
              <w:t>D. Prepare annual summary report</w:t>
            </w:r>
          </w:p>
        </w:tc>
        <w:tc>
          <w:tcPr>
            <w:tcW w:w="1236" w:type="dxa"/>
            <w:tcBorders>
              <w:top w:val="nil"/>
              <w:left w:val="nil"/>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200</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200</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w:t>
            </w:r>
          </w:p>
        </w:tc>
        <w:tc>
          <w:tcPr>
            <w:tcW w:w="1021"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200</w:t>
            </w:r>
          </w:p>
        </w:tc>
        <w:tc>
          <w:tcPr>
            <w:tcW w:w="1152"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10</w:t>
            </w:r>
          </w:p>
        </w:tc>
        <w:tc>
          <w:tcPr>
            <w:tcW w:w="958"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color w:val="000000"/>
                <w:sz w:val="16"/>
                <w:szCs w:val="16"/>
              </w:rPr>
            </w:pPr>
            <w:r w:rsidRPr="0016678A">
              <w:rPr>
                <w:color w:val="000000"/>
                <w:sz w:val="16"/>
                <w:szCs w:val="16"/>
              </w:rPr>
              <w:t>20</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right"/>
              <w:rPr>
                <w:color w:val="000000"/>
                <w:sz w:val="16"/>
                <w:szCs w:val="16"/>
              </w:rPr>
            </w:pPr>
            <w:r w:rsidRPr="0016678A">
              <w:rPr>
                <w:color w:val="000000"/>
                <w:sz w:val="16"/>
                <w:szCs w:val="16"/>
              </w:rPr>
              <w:t xml:space="preserve">$10,364.90 </w:t>
            </w:r>
          </w:p>
        </w:tc>
      </w:tr>
      <w:tr w:rsidR="0016678A" w:rsidRPr="0016678A" w:rsidTr="0016678A">
        <w:trPr>
          <w:trHeight w:val="300"/>
        </w:trPr>
        <w:tc>
          <w:tcPr>
            <w:tcW w:w="4076" w:type="dxa"/>
            <w:tcBorders>
              <w:top w:val="nil"/>
              <w:left w:val="single" w:sz="4" w:space="0" w:color="auto"/>
              <w:bottom w:val="single" w:sz="4" w:space="0" w:color="auto"/>
              <w:right w:val="nil"/>
            </w:tcBorders>
            <w:shd w:val="clear" w:color="auto" w:fill="auto"/>
            <w:vAlign w:val="bottom"/>
            <w:hideMark/>
          </w:tcPr>
          <w:p w:rsidR="0016678A" w:rsidRPr="0016678A" w:rsidRDefault="0016678A" w:rsidP="00454FE5">
            <w:pPr>
              <w:widowControl/>
              <w:autoSpaceDE/>
              <w:autoSpaceDN/>
              <w:adjustRightInd/>
              <w:rPr>
                <w:b/>
                <w:bCs/>
                <w:color w:val="000000"/>
                <w:sz w:val="16"/>
                <w:szCs w:val="16"/>
              </w:rPr>
            </w:pPr>
            <w:r w:rsidRPr="0016678A">
              <w:rPr>
                <w:b/>
                <w:bCs/>
                <w:color w:val="000000"/>
                <w:sz w:val="16"/>
                <w:szCs w:val="16"/>
              </w:rPr>
              <w:t>TOTAL ANNUAL BURDEN AND COST</w:t>
            </w:r>
            <w:r w:rsidR="00454FE5">
              <w:rPr>
                <w:b/>
                <w:bCs/>
                <w:color w:val="000000"/>
                <w:sz w:val="16"/>
                <w:szCs w:val="16"/>
              </w:rPr>
              <w:t xml:space="preserve"> (rounded)</w:t>
            </w:r>
          </w:p>
        </w:tc>
        <w:tc>
          <w:tcPr>
            <w:tcW w:w="1236" w:type="dxa"/>
            <w:tcBorders>
              <w:top w:val="nil"/>
              <w:left w:val="single" w:sz="4" w:space="0" w:color="auto"/>
              <w:bottom w:val="single" w:sz="4" w:space="0" w:color="auto"/>
              <w:right w:val="nil"/>
            </w:tcBorders>
            <w:shd w:val="clear" w:color="auto" w:fill="auto"/>
            <w:vAlign w:val="bottom"/>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 </w:t>
            </w:r>
          </w:p>
        </w:tc>
        <w:tc>
          <w:tcPr>
            <w:tcW w:w="1108" w:type="dxa"/>
            <w:tcBorders>
              <w:top w:val="nil"/>
              <w:left w:val="single" w:sz="4" w:space="0" w:color="auto"/>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 </w:t>
            </w:r>
          </w:p>
        </w:tc>
        <w:tc>
          <w:tcPr>
            <w:tcW w:w="1023"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 </w:t>
            </w:r>
          </w:p>
        </w:tc>
        <w:tc>
          <w:tcPr>
            <w:tcW w:w="1216"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 </w:t>
            </w:r>
          </w:p>
        </w:tc>
        <w:tc>
          <w:tcPr>
            <w:tcW w:w="3131" w:type="dxa"/>
            <w:gridSpan w:val="3"/>
            <w:tcBorders>
              <w:top w:val="single" w:sz="4" w:space="0" w:color="auto"/>
              <w:left w:val="nil"/>
              <w:bottom w:val="single" w:sz="4" w:space="0" w:color="auto"/>
              <w:right w:val="single" w:sz="4" w:space="0" w:color="000000"/>
            </w:tcBorders>
            <w:shd w:val="clear" w:color="auto" w:fill="auto"/>
            <w:vAlign w:val="bottom"/>
            <w:hideMark/>
          </w:tcPr>
          <w:p w:rsidR="0016678A" w:rsidRPr="0016678A" w:rsidRDefault="0016678A" w:rsidP="0016678A">
            <w:pPr>
              <w:widowControl/>
              <w:autoSpaceDE/>
              <w:autoSpaceDN/>
              <w:adjustRightInd/>
              <w:jc w:val="center"/>
              <w:rPr>
                <w:b/>
                <w:bCs/>
                <w:color w:val="000000"/>
                <w:sz w:val="16"/>
                <w:szCs w:val="16"/>
              </w:rPr>
            </w:pPr>
            <w:r w:rsidRPr="0016678A">
              <w:rPr>
                <w:b/>
                <w:bCs/>
                <w:color w:val="000000"/>
                <w:sz w:val="16"/>
                <w:szCs w:val="16"/>
              </w:rPr>
              <w:t>574</w:t>
            </w:r>
          </w:p>
        </w:tc>
        <w:tc>
          <w:tcPr>
            <w:tcW w:w="1170" w:type="dxa"/>
            <w:tcBorders>
              <w:top w:val="nil"/>
              <w:left w:val="nil"/>
              <w:bottom w:val="single" w:sz="4" w:space="0" w:color="auto"/>
              <w:right w:val="single" w:sz="4" w:space="0" w:color="auto"/>
            </w:tcBorders>
            <w:shd w:val="clear" w:color="auto" w:fill="auto"/>
            <w:vAlign w:val="bottom"/>
            <w:hideMark/>
          </w:tcPr>
          <w:p w:rsidR="0016678A" w:rsidRPr="0016678A" w:rsidRDefault="0016678A" w:rsidP="00454FE5">
            <w:pPr>
              <w:widowControl/>
              <w:autoSpaceDE/>
              <w:autoSpaceDN/>
              <w:adjustRightInd/>
              <w:jc w:val="right"/>
              <w:rPr>
                <w:b/>
                <w:bCs/>
                <w:color w:val="000000"/>
                <w:sz w:val="16"/>
                <w:szCs w:val="16"/>
              </w:rPr>
            </w:pPr>
            <w:r w:rsidRPr="0016678A">
              <w:rPr>
                <w:b/>
                <w:bCs/>
                <w:color w:val="000000"/>
                <w:sz w:val="16"/>
                <w:szCs w:val="16"/>
              </w:rPr>
              <w:t>$25,882</w:t>
            </w:r>
          </w:p>
        </w:tc>
      </w:tr>
    </w:tbl>
    <w:p w:rsidR="009241AF" w:rsidRDefault="009241AF" w:rsidP="009241AF">
      <w:pPr>
        <w:rPr>
          <w:bCs/>
          <w:color w:val="FF0000"/>
        </w:rPr>
      </w:pPr>
      <w:r>
        <w:rPr>
          <w:bCs/>
          <w:vanish/>
          <w:color w:val="FF0000"/>
        </w:rPr>
        <w:cr/>
        <w:t>1ch affected facility (1 x 1.86</w:t>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r>
        <w:rPr>
          <w:bCs/>
          <w:vanish/>
          <w:color w:val="FF0000"/>
        </w:rPr>
        <w:pgNum/>
      </w:r>
    </w:p>
    <w:p w:rsidR="009241AF" w:rsidRPr="000E6B7F" w:rsidRDefault="009241AF" w:rsidP="009241AF">
      <w:pPr>
        <w:rPr>
          <w:b/>
          <w:sz w:val="20"/>
          <w:szCs w:val="20"/>
          <w:u w:val="single"/>
        </w:rPr>
      </w:pPr>
      <w:r w:rsidRPr="00144F35" w:rsidDel="007960FB">
        <w:rPr>
          <w:bCs/>
          <w:color w:val="FF0000"/>
        </w:rPr>
        <w:t xml:space="preserve"> </w:t>
      </w:r>
      <w:r w:rsidR="00AE33E8">
        <w:rPr>
          <w:bCs/>
          <w:color w:val="FF0000"/>
        </w:rPr>
        <w:t xml:space="preserve">   </w:t>
      </w:r>
      <w:r w:rsidR="00C66ACF">
        <w:rPr>
          <w:bCs/>
          <w:color w:val="FF0000"/>
        </w:rPr>
        <w:t xml:space="preserve">   </w:t>
      </w:r>
      <w:r w:rsidRPr="000E6B7F">
        <w:rPr>
          <w:b/>
          <w:sz w:val="20"/>
          <w:szCs w:val="20"/>
          <w:u w:val="single"/>
        </w:rPr>
        <w:t>ASSUMPTIONS</w:t>
      </w:r>
    </w:p>
    <w:p w:rsidR="002532CA" w:rsidRDefault="002532CA" w:rsidP="00AE33E8">
      <w:pPr>
        <w:ind w:right="-270"/>
        <w:rPr>
          <w:sz w:val="20"/>
          <w:szCs w:val="20"/>
        </w:rPr>
      </w:pPr>
      <w:r>
        <w:rPr>
          <w:sz w:val="20"/>
          <w:szCs w:val="20"/>
          <w:vertAlign w:val="superscript"/>
        </w:rPr>
        <w:t xml:space="preserve">      </w:t>
      </w:r>
      <w:proofErr w:type="spellStart"/>
      <w:proofErr w:type="gramStart"/>
      <w:r w:rsidR="00AE33E8" w:rsidRPr="00AE33E8">
        <w:rPr>
          <w:sz w:val="20"/>
          <w:szCs w:val="20"/>
          <w:vertAlign w:val="superscript"/>
        </w:rPr>
        <w:t>a</w:t>
      </w:r>
      <w:proofErr w:type="spellEnd"/>
      <w:r w:rsidR="00AE33E8" w:rsidRPr="00AE33E8">
        <w:rPr>
          <w:sz w:val="20"/>
          <w:szCs w:val="20"/>
        </w:rPr>
        <w:t xml:space="preserve">  We</w:t>
      </w:r>
      <w:proofErr w:type="gramEnd"/>
      <w:r w:rsidR="00AE33E8" w:rsidRPr="00AE33E8">
        <w:rPr>
          <w:sz w:val="20"/>
          <w:szCs w:val="20"/>
        </w:rPr>
        <w:t xml:space="preserve"> have assumed that the average number of respondents that will be subject to the rule will be 3.33.  There will be one additional new private source that will </w:t>
      </w:r>
      <w:r>
        <w:rPr>
          <w:sz w:val="20"/>
          <w:szCs w:val="20"/>
        </w:rPr>
        <w:t xml:space="preserve">                                         </w:t>
      </w:r>
    </w:p>
    <w:p w:rsidR="00AE33E8" w:rsidRPr="00AE33E8" w:rsidRDefault="002532CA" w:rsidP="00AE33E8">
      <w:pPr>
        <w:ind w:right="-270"/>
        <w:rPr>
          <w:sz w:val="20"/>
          <w:szCs w:val="20"/>
        </w:rPr>
      </w:pPr>
      <w:r>
        <w:rPr>
          <w:sz w:val="20"/>
          <w:szCs w:val="20"/>
        </w:rPr>
        <w:t xml:space="preserve">    </w:t>
      </w:r>
      <w:proofErr w:type="gramStart"/>
      <w:r w:rsidR="00AE33E8" w:rsidRPr="00AE33E8">
        <w:rPr>
          <w:sz w:val="20"/>
          <w:szCs w:val="20"/>
        </w:rPr>
        <w:t>become</w:t>
      </w:r>
      <w:proofErr w:type="gramEnd"/>
      <w:r w:rsidR="00AE33E8" w:rsidRPr="00AE33E8">
        <w:rPr>
          <w:sz w:val="20"/>
          <w:szCs w:val="20"/>
        </w:rPr>
        <w:t xml:space="preserve"> subject to the rule over the three-year period of this ICR. </w:t>
      </w:r>
    </w:p>
    <w:p w:rsidR="002532CA" w:rsidRDefault="002532CA" w:rsidP="00AE33E8">
      <w:pPr>
        <w:rPr>
          <w:sz w:val="20"/>
          <w:szCs w:val="20"/>
        </w:rPr>
      </w:pPr>
      <w:r>
        <w:rPr>
          <w:sz w:val="20"/>
          <w:szCs w:val="20"/>
          <w:vertAlign w:val="superscript"/>
        </w:rPr>
        <w:t xml:space="preserve">      </w:t>
      </w:r>
      <w:proofErr w:type="gramStart"/>
      <w:r w:rsidR="00AE33E8" w:rsidRPr="00AE33E8">
        <w:rPr>
          <w:sz w:val="20"/>
          <w:szCs w:val="20"/>
          <w:vertAlign w:val="superscript"/>
        </w:rPr>
        <w:t xml:space="preserve">b </w:t>
      </w:r>
      <w:r w:rsidR="00AE33E8" w:rsidRPr="00AE33E8">
        <w:rPr>
          <w:sz w:val="20"/>
          <w:szCs w:val="20"/>
        </w:rPr>
        <w:t xml:space="preserve"> This</w:t>
      </w:r>
      <w:proofErr w:type="gramEnd"/>
      <w:r w:rsidR="00AE33E8" w:rsidRPr="00AE33E8">
        <w:rPr>
          <w:sz w:val="20"/>
          <w:szCs w:val="20"/>
        </w:rPr>
        <w:t xml:space="preserve"> cost is based on the following labor rates which incorporates a 1.6 benefits multiplication factor to account for government overhead expenses:  </w:t>
      </w:r>
    </w:p>
    <w:p w:rsidR="002532CA" w:rsidRDefault="002532CA" w:rsidP="00AE33E8">
      <w:pPr>
        <w:rPr>
          <w:sz w:val="20"/>
          <w:szCs w:val="20"/>
        </w:rPr>
      </w:pPr>
      <w:r>
        <w:rPr>
          <w:sz w:val="20"/>
          <w:szCs w:val="20"/>
        </w:rPr>
        <w:t xml:space="preserve">    </w:t>
      </w:r>
      <w:r w:rsidR="00AE33E8" w:rsidRPr="00AE33E8">
        <w:rPr>
          <w:sz w:val="20"/>
          <w:szCs w:val="20"/>
        </w:rPr>
        <w:t xml:space="preserve">Managerial rate of $62.27 (GS-13, Step 5, $38.92 x 1.6), Technical rate of $46.21 (GS-12, Step 1, $28.88 x 1.6), and Clerical rate of $25.01 (GS-6, Step 3, </w:t>
      </w:r>
    </w:p>
    <w:p w:rsidR="00AE33E8" w:rsidRPr="00AE33E8" w:rsidRDefault="002532CA" w:rsidP="00AE33E8">
      <w:pPr>
        <w:rPr>
          <w:sz w:val="20"/>
          <w:szCs w:val="20"/>
        </w:rPr>
      </w:pPr>
      <w:r>
        <w:rPr>
          <w:sz w:val="20"/>
          <w:szCs w:val="20"/>
        </w:rPr>
        <w:t xml:space="preserve">    </w:t>
      </w:r>
      <w:proofErr w:type="gramStart"/>
      <w:r w:rsidR="00AE33E8" w:rsidRPr="00AE33E8">
        <w:rPr>
          <w:sz w:val="20"/>
          <w:szCs w:val="20"/>
        </w:rPr>
        <w:t>$15.63 x 1.6).</w:t>
      </w:r>
      <w:proofErr w:type="gramEnd"/>
      <w:r w:rsidR="00AE33E8" w:rsidRPr="00AE33E8">
        <w:rPr>
          <w:sz w:val="20"/>
          <w:szCs w:val="20"/>
        </w:rPr>
        <w:t xml:space="preserve">  These rates are from the Office of Personnel Management (OPM), “2011 General Schedule” which excludes locality rates of pay.</w:t>
      </w:r>
    </w:p>
    <w:p w:rsidR="00144F35" w:rsidRPr="00AE33E8" w:rsidRDefault="002532CA" w:rsidP="00AE33E8">
      <w:pPr>
        <w:widowControl/>
        <w:overflowPunct w:val="0"/>
        <w:textAlignment w:val="baseline"/>
        <w:rPr>
          <w:sz w:val="20"/>
          <w:szCs w:val="20"/>
        </w:rPr>
      </w:pPr>
      <w:r>
        <w:rPr>
          <w:sz w:val="20"/>
          <w:szCs w:val="20"/>
          <w:vertAlign w:val="superscript"/>
        </w:rPr>
        <w:t xml:space="preserve">      </w:t>
      </w:r>
      <w:proofErr w:type="gramStart"/>
      <w:r w:rsidR="00AE33E8" w:rsidRPr="00AE33E8">
        <w:rPr>
          <w:sz w:val="20"/>
          <w:szCs w:val="20"/>
          <w:vertAlign w:val="superscript"/>
        </w:rPr>
        <w:t>c</w:t>
      </w:r>
      <w:r w:rsidR="00AE33E8">
        <w:rPr>
          <w:sz w:val="20"/>
          <w:szCs w:val="20"/>
        </w:rPr>
        <w:t xml:space="preserve">  </w:t>
      </w:r>
      <w:r w:rsidR="009241AF" w:rsidRPr="000E6B7F">
        <w:rPr>
          <w:sz w:val="20"/>
          <w:szCs w:val="20"/>
        </w:rPr>
        <w:t>Assumes</w:t>
      </w:r>
      <w:proofErr w:type="gramEnd"/>
      <w:r w:rsidR="009241AF" w:rsidRPr="000E6B7F">
        <w:rPr>
          <w:sz w:val="20"/>
          <w:szCs w:val="20"/>
        </w:rPr>
        <w:t xml:space="preserve"> </w:t>
      </w:r>
      <w:r w:rsidR="000E6B7F" w:rsidRPr="000E6B7F">
        <w:rPr>
          <w:sz w:val="20"/>
          <w:szCs w:val="20"/>
        </w:rPr>
        <w:t xml:space="preserve">a total of 2 </w:t>
      </w:r>
      <w:r w:rsidR="009241AF" w:rsidRPr="000E6B7F">
        <w:rPr>
          <w:sz w:val="20"/>
          <w:szCs w:val="20"/>
        </w:rPr>
        <w:t>excess emissions reports</w:t>
      </w:r>
      <w:r w:rsidR="000E6B7F" w:rsidRPr="000E6B7F">
        <w:rPr>
          <w:sz w:val="20"/>
          <w:szCs w:val="20"/>
        </w:rPr>
        <w:t xml:space="preserve"> from all affected facilities</w:t>
      </w:r>
      <w:r w:rsidR="009241AF" w:rsidRPr="000E6B7F">
        <w:rPr>
          <w:sz w:val="20"/>
          <w:szCs w:val="20"/>
        </w:rPr>
        <w:t>.</w:t>
      </w:r>
    </w:p>
    <w:sectPr w:rsidR="00144F35" w:rsidRPr="00AE33E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131" w:rsidRDefault="00050131">
      <w:r>
        <w:separator/>
      </w:r>
    </w:p>
  </w:endnote>
  <w:endnote w:type="continuationSeparator" w:id="0">
    <w:p w:rsidR="00050131" w:rsidRDefault="00050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131" w:rsidRDefault="00050131">
      <w:r>
        <w:separator/>
      </w:r>
    </w:p>
  </w:footnote>
  <w:footnote w:type="continuationSeparator" w:id="0">
    <w:p w:rsidR="00050131" w:rsidRDefault="00050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31" w:rsidRDefault="00050131">
    <w:pPr>
      <w:framePr w:w="9361" w:wrap="notBeside" w:vAnchor="text" w:hAnchor="text" w:x="1" w:y="1"/>
      <w:jc w:val="center"/>
    </w:pPr>
    <w:fldSimple w:instr="PAGE ">
      <w:r w:rsidR="00514614">
        <w:rPr>
          <w:noProof/>
        </w:rPr>
        <w:t>18</w:t>
      </w:r>
    </w:fldSimple>
  </w:p>
  <w:p w:rsidR="00050131" w:rsidRDefault="00050131"/>
  <w:p w:rsidR="00050131" w:rsidRDefault="0005013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36B15575"/>
    <w:multiLevelType w:val="hybridMultilevel"/>
    <w:tmpl w:val="7EAC00C8"/>
    <w:lvl w:ilvl="0" w:tplc="D758FC3C">
      <w:start w:val="1"/>
      <w:numFmt w:val="bullet"/>
      <w:lvlText w:val="-"/>
      <w:lvlJc w:val="left"/>
      <w:pPr>
        <w:tabs>
          <w:tab w:val="num" w:pos="288"/>
        </w:tabs>
        <w:ind w:left="288"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F21A19"/>
    <w:multiLevelType w:val="hybridMultilevel"/>
    <w:tmpl w:val="DCAEAF86"/>
    <w:lvl w:ilvl="0" w:tplc="D758FC3C">
      <w:start w:val="1"/>
      <w:numFmt w:val="bullet"/>
      <w:lvlText w:val="-"/>
      <w:lvlJc w:val="left"/>
      <w:pPr>
        <w:tabs>
          <w:tab w:val="num" w:pos="288"/>
        </w:tabs>
        <w:ind w:left="288" w:hanging="288"/>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51FC"/>
    <w:rsid w:val="0003619B"/>
    <w:rsid w:val="00050131"/>
    <w:rsid w:val="00052452"/>
    <w:rsid w:val="00053BB2"/>
    <w:rsid w:val="00055BDF"/>
    <w:rsid w:val="00055DC5"/>
    <w:rsid w:val="00073CF6"/>
    <w:rsid w:val="000A1FBB"/>
    <w:rsid w:val="000A687C"/>
    <w:rsid w:val="000B3933"/>
    <w:rsid w:val="000C4E90"/>
    <w:rsid w:val="000D2272"/>
    <w:rsid w:val="000E6B7F"/>
    <w:rsid w:val="000E72F8"/>
    <w:rsid w:val="000F772C"/>
    <w:rsid w:val="00101B40"/>
    <w:rsid w:val="0010697C"/>
    <w:rsid w:val="00123889"/>
    <w:rsid w:val="00126A7C"/>
    <w:rsid w:val="00127E46"/>
    <w:rsid w:val="00131B5F"/>
    <w:rsid w:val="0014079D"/>
    <w:rsid w:val="001434DD"/>
    <w:rsid w:val="00144978"/>
    <w:rsid w:val="00144A82"/>
    <w:rsid w:val="00144F35"/>
    <w:rsid w:val="0015433E"/>
    <w:rsid w:val="00154A2B"/>
    <w:rsid w:val="00155C88"/>
    <w:rsid w:val="0016535F"/>
    <w:rsid w:val="0016678A"/>
    <w:rsid w:val="00167A29"/>
    <w:rsid w:val="00185492"/>
    <w:rsid w:val="00186DA3"/>
    <w:rsid w:val="00195753"/>
    <w:rsid w:val="001A0B41"/>
    <w:rsid w:val="001B0B9A"/>
    <w:rsid w:val="001B35F2"/>
    <w:rsid w:val="001C5991"/>
    <w:rsid w:val="001D762C"/>
    <w:rsid w:val="001E2A92"/>
    <w:rsid w:val="001F19FF"/>
    <w:rsid w:val="002041C5"/>
    <w:rsid w:val="002063FE"/>
    <w:rsid w:val="00206932"/>
    <w:rsid w:val="0021722B"/>
    <w:rsid w:val="00220D4A"/>
    <w:rsid w:val="00226801"/>
    <w:rsid w:val="0022738C"/>
    <w:rsid w:val="00234A28"/>
    <w:rsid w:val="00236DB3"/>
    <w:rsid w:val="002431D9"/>
    <w:rsid w:val="002532CA"/>
    <w:rsid w:val="00255EF4"/>
    <w:rsid w:val="002638A0"/>
    <w:rsid w:val="002712EB"/>
    <w:rsid w:val="0027222A"/>
    <w:rsid w:val="00273484"/>
    <w:rsid w:val="002743D2"/>
    <w:rsid w:val="00277F42"/>
    <w:rsid w:val="00281CAE"/>
    <w:rsid w:val="0029006A"/>
    <w:rsid w:val="002904E7"/>
    <w:rsid w:val="002976E9"/>
    <w:rsid w:val="00297E15"/>
    <w:rsid w:val="002A14F2"/>
    <w:rsid w:val="002B29A5"/>
    <w:rsid w:val="002B29A7"/>
    <w:rsid w:val="002B517F"/>
    <w:rsid w:val="002B6993"/>
    <w:rsid w:val="002C1F95"/>
    <w:rsid w:val="002C416A"/>
    <w:rsid w:val="002C77DF"/>
    <w:rsid w:val="002D7683"/>
    <w:rsid w:val="002E15B4"/>
    <w:rsid w:val="002F674B"/>
    <w:rsid w:val="002F6DB3"/>
    <w:rsid w:val="003019D0"/>
    <w:rsid w:val="003139FC"/>
    <w:rsid w:val="00324662"/>
    <w:rsid w:val="00341540"/>
    <w:rsid w:val="003421BF"/>
    <w:rsid w:val="00343BB8"/>
    <w:rsid w:val="0034455A"/>
    <w:rsid w:val="003511C6"/>
    <w:rsid w:val="00354C15"/>
    <w:rsid w:val="00390EC6"/>
    <w:rsid w:val="0039247D"/>
    <w:rsid w:val="003B038A"/>
    <w:rsid w:val="003C4B46"/>
    <w:rsid w:val="003C5023"/>
    <w:rsid w:val="003E30B5"/>
    <w:rsid w:val="003E4C18"/>
    <w:rsid w:val="003E730E"/>
    <w:rsid w:val="0040391F"/>
    <w:rsid w:val="00427598"/>
    <w:rsid w:val="00436DBA"/>
    <w:rsid w:val="0044133C"/>
    <w:rsid w:val="00454FE5"/>
    <w:rsid w:val="00455500"/>
    <w:rsid w:val="00455557"/>
    <w:rsid w:val="00484A45"/>
    <w:rsid w:val="00485C0C"/>
    <w:rsid w:val="00487C84"/>
    <w:rsid w:val="00491142"/>
    <w:rsid w:val="004A4B25"/>
    <w:rsid w:val="004C5E95"/>
    <w:rsid w:val="004C701D"/>
    <w:rsid w:val="004F1469"/>
    <w:rsid w:val="004F6FCD"/>
    <w:rsid w:val="00507EC5"/>
    <w:rsid w:val="00514614"/>
    <w:rsid w:val="00516495"/>
    <w:rsid w:val="00516952"/>
    <w:rsid w:val="005253D4"/>
    <w:rsid w:val="00525D7F"/>
    <w:rsid w:val="005475B3"/>
    <w:rsid w:val="00551815"/>
    <w:rsid w:val="00557D66"/>
    <w:rsid w:val="00560AD2"/>
    <w:rsid w:val="00565A51"/>
    <w:rsid w:val="00566AFD"/>
    <w:rsid w:val="005679DC"/>
    <w:rsid w:val="00571260"/>
    <w:rsid w:val="0057359D"/>
    <w:rsid w:val="00583626"/>
    <w:rsid w:val="005A1986"/>
    <w:rsid w:val="005B5DE8"/>
    <w:rsid w:val="005C3151"/>
    <w:rsid w:val="005C3665"/>
    <w:rsid w:val="005D0120"/>
    <w:rsid w:val="005D1EC5"/>
    <w:rsid w:val="005D385C"/>
    <w:rsid w:val="005E01F3"/>
    <w:rsid w:val="005E194B"/>
    <w:rsid w:val="005F42F8"/>
    <w:rsid w:val="005F75E3"/>
    <w:rsid w:val="00601205"/>
    <w:rsid w:val="00605D53"/>
    <w:rsid w:val="00606DEF"/>
    <w:rsid w:val="00615436"/>
    <w:rsid w:val="00631517"/>
    <w:rsid w:val="00635DBD"/>
    <w:rsid w:val="0065215F"/>
    <w:rsid w:val="006741F7"/>
    <w:rsid w:val="00680EE3"/>
    <w:rsid w:val="006810C4"/>
    <w:rsid w:val="00694B55"/>
    <w:rsid w:val="006B2A1F"/>
    <w:rsid w:val="006D0C61"/>
    <w:rsid w:val="006D232B"/>
    <w:rsid w:val="006E4A6E"/>
    <w:rsid w:val="006E642B"/>
    <w:rsid w:val="00705EF0"/>
    <w:rsid w:val="00727C90"/>
    <w:rsid w:val="007340F2"/>
    <w:rsid w:val="00763160"/>
    <w:rsid w:val="007656DD"/>
    <w:rsid w:val="00780612"/>
    <w:rsid w:val="00786A20"/>
    <w:rsid w:val="00786C16"/>
    <w:rsid w:val="007960FB"/>
    <w:rsid w:val="007A0634"/>
    <w:rsid w:val="007A0C7E"/>
    <w:rsid w:val="007A0DF2"/>
    <w:rsid w:val="007A16F4"/>
    <w:rsid w:val="007A2BBD"/>
    <w:rsid w:val="007A458D"/>
    <w:rsid w:val="007C0FAA"/>
    <w:rsid w:val="007C3407"/>
    <w:rsid w:val="007D1A53"/>
    <w:rsid w:val="007D3D62"/>
    <w:rsid w:val="007E5DCE"/>
    <w:rsid w:val="007F07FB"/>
    <w:rsid w:val="00800223"/>
    <w:rsid w:val="00803C9A"/>
    <w:rsid w:val="00810507"/>
    <w:rsid w:val="00813E69"/>
    <w:rsid w:val="00814C75"/>
    <w:rsid w:val="0081574A"/>
    <w:rsid w:val="00817E8B"/>
    <w:rsid w:val="00820C34"/>
    <w:rsid w:val="00822A19"/>
    <w:rsid w:val="00823677"/>
    <w:rsid w:val="0082545D"/>
    <w:rsid w:val="008338D4"/>
    <w:rsid w:val="0083407E"/>
    <w:rsid w:val="0084255D"/>
    <w:rsid w:val="00850ACF"/>
    <w:rsid w:val="00852038"/>
    <w:rsid w:val="00854B18"/>
    <w:rsid w:val="00881F99"/>
    <w:rsid w:val="0088639E"/>
    <w:rsid w:val="008A148D"/>
    <w:rsid w:val="008A6BAC"/>
    <w:rsid w:val="008B407C"/>
    <w:rsid w:val="008B6CA8"/>
    <w:rsid w:val="008E45E9"/>
    <w:rsid w:val="008E65E6"/>
    <w:rsid w:val="008F032C"/>
    <w:rsid w:val="008F285B"/>
    <w:rsid w:val="008F4564"/>
    <w:rsid w:val="009018EC"/>
    <w:rsid w:val="00906EDB"/>
    <w:rsid w:val="00912E00"/>
    <w:rsid w:val="00923C46"/>
    <w:rsid w:val="009241AF"/>
    <w:rsid w:val="00956B1F"/>
    <w:rsid w:val="0096445E"/>
    <w:rsid w:val="009711DB"/>
    <w:rsid w:val="0098071D"/>
    <w:rsid w:val="00984B65"/>
    <w:rsid w:val="009A0F50"/>
    <w:rsid w:val="009A16CD"/>
    <w:rsid w:val="009A33D4"/>
    <w:rsid w:val="009A6A9B"/>
    <w:rsid w:val="009A6B51"/>
    <w:rsid w:val="009B1DFA"/>
    <w:rsid w:val="009C06F5"/>
    <w:rsid w:val="009D6567"/>
    <w:rsid w:val="009D73AB"/>
    <w:rsid w:val="009E0F31"/>
    <w:rsid w:val="00A007F5"/>
    <w:rsid w:val="00A038EC"/>
    <w:rsid w:val="00A145B0"/>
    <w:rsid w:val="00A15172"/>
    <w:rsid w:val="00A26EF7"/>
    <w:rsid w:val="00A277D6"/>
    <w:rsid w:val="00A31DDB"/>
    <w:rsid w:val="00A34717"/>
    <w:rsid w:val="00A379F8"/>
    <w:rsid w:val="00A54EEA"/>
    <w:rsid w:val="00A56BFF"/>
    <w:rsid w:val="00A73600"/>
    <w:rsid w:val="00A74C1E"/>
    <w:rsid w:val="00A7661C"/>
    <w:rsid w:val="00A95BC7"/>
    <w:rsid w:val="00A962DF"/>
    <w:rsid w:val="00AA3095"/>
    <w:rsid w:val="00AA3F37"/>
    <w:rsid w:val="00AA516D"/>
    <w:rsid w:val="00AC04ED"/>
    <w:rsid w:val="00AD774F"/>
    <w:rsid w:val="00AE33E8"/>
    <w:rsid w:val="00B065B1"/>
    <w:rsid w:val="00B07F79"/>
    <w:rsid w:val="00B16C07"/>
    <w:rsid w:val="00B23748"/>
    <w:rsid w:val="00B26F15"/>
    <w:rsid w:val="00B364BC"/>
    <w:rsid w:val="00B372B8"/>
    <w:rsid w:val="00B46A57"/>
    <w:rsid w:val="00B516D0"/>
    <w:rsid w:val="00B62D64"/>
    <w:rsid w:val="00B65754"/>
    <w:rsid w:val="00B66231"/>
    <w:rsid w:val="00B769F1"/>
    <w:rsid w:val="00B82025"/>
    <w:rsid w:val="00BA0A91"/>
    <w:rsid w:val="00BA4887"/>
    <w:rsid w:val="00BB3390"/>
    <w:rsid w:val="00BB3C1A"/>
    <w:rsid w:val="00BC6DEF"/>
    <w:rsid w:val="00BE2989"/>
    <w:rsid w:val="00BE7A11"/>
    <w:rsid w:val="00BF2D06"/>
    <w:rsid w:val="00BF722F"/>
    <w:rsid w:val="00C10375"/>
    <w:rsid w:val="00C13FE8"/>
    <w:rsid w:val="00C204DD"/>
    <w:rsid w:val="00C30A60"/>
    <w:rsid w:val="00C31ABF"/>
    <w:rsid w:val="00C33ABA"/>
    <w:rsid w:val="00C37BB6"/>
    <w:rsid w:val="00C52EFD"/>
    <w:rsid w:val="00C64378"/>
    <w:rsid w:val="00C66ACF"/>
    <w:rsid w:val="00C72B85"/>
    <w:rsid w:val="00C75CF0"/>
    <w:rsid w:val="00C808B5"/>
    <w:rsid w:val="00C82DB6"/>
    <w:rsid w:val="00C86EFD"/>
    <w:rsid w:val="00CA4CD6"/>
    <w:rsid w:val="00CC48AB"/>
    <w:rsid w:val="00CC58F6"/>
    <w:rsid w:val="00CC5E1C"/>
    <w:rsid w:val="00CC7A45"/>
    <w:rsid w:val="00CD12C2"/>
    <w:rsid w:val="00CD2069"/>
    <w:rsid w:val="00CD280D"/>
    <w:rsid w:val="00CF441A"/>
    <w:rsid w:val="00CF558D"/>
    <w:rsid w:val="00D1231B"/>
    <w:rsid w:val="00D13D9A"/>
    <w:rsid w:val="00D14A8D"/>
    <w:rsid w:val="00D21198"/>
    <w:rsid w:val="00D2273E"/>
    <w:rsid w:val="00D319AC"/>
    <w:rsid w:val="00D42D52"/>
    <w:rsid w:val="00D46FA2"/>
    <w:rsid w:val="00D5080D"/>
    <w:rsid w:val="00D537AC"/>
    <w:rsid w:val="00D56F5F"/>
    <w:rsid w:val="00D61B37"/>
    <w:rsid w:val="00D63B96"/>
    <w:rsid w:val="00D6586B"/>
    <w:rsid w:val="00D728FB"/>
    <w:rsid w:val="00D87C88"/>
    <w:rsid w:val="00D92F66"/>
    <w:rsid w:val="00D95819"/>
    <w:rsid w:val="00DA7285"/>
    <w:rsid w:val="00DB59E1"/>
    <w:rsid w:val="00DD1AC1"/>
    <w:rsid w:val="00DD5193"/>
    <w:rsid w:val="00DD7D49"/>
    <w:rsid w:val="00DE1875"/>
    <w:rsid w:val="00DE72FB"/>
    <w:rsid w:val="00DE754B"/>
    <w:rsid w:val="00DF4B4B"/>
    <w:rsid w:val="00DF5C4E"/>
    <w:rsid w:val="00E06207"/>
    <w:rsid w:val="00E10DA7"/>
    <w:rsid w:val="00E1538C"/>
    <w:rsid w:val="00E22C04"/>
    <w:rsid w:val="00E25DB6"/>
    <w:rsid w:val="00E276CD"/>
    <w:rsid w:val="00E32EDA"/>
    <w:rsid w:val="00E477C9"/>
    <w:rsid w:val="00E53137"/>
    <w:rsid w:val="00E702F6"/>
    <w:rsid w:val="00E77D5E"/>
    <w:rsid w:val="00E868BB"/>
    <w:rsid w:val="00E97122"/>
    <w:rsid w:val="00EA37A9"/>
    <w:rsid w:val="00EA382C"/>
    <w:rsid w:val="00EA5E26"/>
    <w:rsid w:val="00EA7026"/>
    <w:rsid w:val="00EB50BD"/>
    <w:rsid w:val="00EC4074"/>
    <w:rsid w:val="00ED0566"/>
    <w:rsid w:val="00EE36B8"/>
    <w:rsid w:val="00EF113F"/>
    <w:rsid w:val="00F03803"/>
    <w:rsid w:val="00F066C9"/>
    <w:rsid w:val="00F20822"/>
    <w:rsid w:val="00F2583E"/>
    <w:rsid w:val="00F27112"/>
    <w:rsid w:val="00F33038"/>
    <w:rsid w:val="00F340DF"/>
    <w:rsid w:val="00F4110E"/>
    <w:rsid w:val="00F5056F"/>
    <w:rsid w:val="00F538BC"/>
    <w:rsid w:val="00F62286"/>
    <w:rsid w:val="00F9092B"/>
    <w:rsid w:val="00F92D22"/>
    <w:rsid w:val="00F967AE"/>
    <w:rsid w:val="00FB0650"/>
    <w:rsid w:val="00FB4D98"/>
    <w:rsid w:val="00FB7BCE"/>
    <w:rsid w:val="00FC2041"/>
    <w:rsid w:val="00FC4E09"/>
    <w:rsid w:val="00FD1C60"/>
    <w:rsid w:val="00FE2099"/>
    <w:rsid w:val="00FE7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730E"/>
  </w:style>
  <w:style w:type="character" w:customStyle="1" w:styleId="Hypertext">
    <w:name w:val="Hypertext"/>
    <w:rsid w:val="003E730E"/>
    <w:rPr>
      <w:color w:val="0000FF"/>
      <w:u w:val="single"/>
    </w:rPr>
  </w:style>
  <w:style w:type="paragraph" w:customStyle="1" w:styleId="Level1">
    <w:name w:val="Level 1"/>
    <w:basedOn w:val="Normal"/>
    <w:rsid w:val="003E730E"/>
    <w:pPr>
      <w:ind w:left="1440" w:hanging="720"/>
    </w:pPr>
  </w:style>
  <w:style w:type="character" w:customStyle="1" w:styleId="1">
    <w:name w:val="1"/>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34455A"/>
    <w:rPr>
      <w:sz w:val="24"/>
      <w:szCs w:val="24"/>
    </w:rPr>
  </w:style>
  <w:style w:type="paragraph" w:styleId="ListParagraph">
    <w:name w:val="List Paragraph"/>
    <w:basedOn w:val="Normal"/>
    <w:uiPriority w:val="34"/>
    <w:qFormat/>
    <w:rsid w:val="00AE33E8"/>
    <w:pPr>
      <w:ind w:left="720"/>
      <w:contextualSpacing/>
    </w:pPr>
  </w:style>
</w:styles>
</file>

<file path=word/webSettings.xml><?xml version="1.0" encoding="utf-8"?>
<w:webSettings xmlns:r="http://schemas.openxmlformats.org/officeDocument/2006/relationships" xmlns:w="http://schemas.openxmlformats.org/wordprocessingml/2006/main">
  <w:divs>
    <w:div w:id="1275123">
      <w:bodyDiv w:val="1"/>
      <w:marLeft w:val="0"/>
      <w:marRight w:val="0"/>
      <w:marTop w:val="0"/>
      <w:marBottom w:val="0"/>
      <w:divBdr>
        <w:top w:val="none" w:sz="0" w:space="0" w:color="auto"/>
        <w:left w:val="none" w:sz="0" w:space="0" w:color="auto"/>
        <w:bottom w:val="none" w:sz="0" w:space="0" w:color="auto"/>
        <w:right w:val="none" w:sz="0" w:space="0" w:color="auto"/>
      </w:divBdr>
    </w:div>
    <w:div w:id="26156867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652444989">
      <w:bodyDiv w:val="1"/>
      <w:marLeft w:val="0"/>
      <w:marRight w:val="0"/>
      <w:marTop w:val="0"/>
      <w:marBottom w:val="0"/>
      <w:divBdr>
        <w:top w:val="none" w:sz="0" w:space="0" w:color="auto"/>
        <w:left w:val="none" w:sz="0" w:space="0" w:color="auto"/>
        <w:bottom w:val="none" w:sz="0" w:space="0" w:color="auto"/>
        <w:right w:val="none" w:sz="0" w:space="0" w:color="auto"/>
      </w:divBdr>
    </w:div>
    <w:div w:id="1679769608">
      <w:bodyDiv w:val="1"/>
      <w:marLeft w:val="0"/>
      <w:marRight w:val="0"/>
      <w:marTop w:val="0"/>
      <w:marBottom w:val="0"/>
      <w:divBdr>
        <w:top w:val="none" w:sz="0" w:space="0" w:color="auto"/>
        <w:left w:val="none" w:sz="0" w:space="0" w:color="auto"/>
        <w:bottom w:val="none" w:sz="0" w:space="0" w:color="auto"/>
        <w:right w:val="none" w:sz="0" w:space="0" w:color="auto"/>
      </w:divBdr>
    </w:div>
    <w:div w:id="20847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6C7FE-05F4-4041-8BAD-06184E65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6109</Words>
  <Characters>34404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2012-10-23T15:59:00Z</cp:lastPrinted>
  <dcterms:created xsi:type="dcterms:W3CDTF">2012-12-18T17:01:00Z</dcterms:created>
  <dcterms:modified xsi:type="dcterms:W3CDTF">2012-12-18T17:01:00Z</dcterms:modified>
</cp:coreProperties>
</file>