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08C" w:rsidRDefault="00A2708C">
      <w:pPr>
        <w:jc w:val="center"/>
        <w:rPr>
          <w:b/>
          <w:u w:val="single"/>
        </w:rPr>
      </w:pPr>
      <w:r>
        <w:rPr>
          <w:b/>
          <w:u w:val="single"/>
        </w:rPr>
        <w:t>SUPPORTING STATEMENT</w:t>
      </w:r>
    </w:p>
    <w:p w:rsidR="00A2708C" w:rsidRDefault="00A2708C">
      <w:pPr>
        <w:rPr>
          <w:u w:val="single"/>
        </w:rPr>
      </w:pPr>
    </w:p>
    <w:p w:rsidR="00A2708C" w:rsidRDefault="00A2708C">
      <w:pPr>
        <w:rPr>
          <w:b/>
        </w:rPr>
      </w:pPr>
      <w:r>
        <w:rPr>
          <w:b/>
        </w:rPr>
        <w:t xml:space="preserve">1.  </w:t>
      </w:r>
      <w:r>
        <w:rPr>
          <w:b/>
          <w:u w:val="single"/>
        </w:rPr>
        <w:t xml:space="preserve">Identification of the Information Collection </w:t>
      </w:r>
      <w:r>
        <w:rPr>
          <w:b/>
        </w:rPr>
        <w:tab/>
      </w:r>
      <w:r>
        <w:rPr>
          <w:b/>
        </w:rPr>
        <w:tab/>
      </w:r>
    </w:p>
    <w:p w:rsidR="00A2708C" w:rsidRDefault="00A2708C"/>
    <w:p w:rsidR="006C6431" w:rsidRDefault="002F111B">
      <w:pPr>
        <w:ind w:firstLine="720"/>
      </w:pPr>
      <w:r>
        <w:t>1(a)</w:t>
      </w:r>
      <w:r w:rsidR="00A2708C">
        <w:tab/>
        <w:t xml:space="preserve">Title:  Brownfields Program – </w:t>
      </w:r>
      <w:r w:rsidR="009745EC">
        <w:t xml:space="preserve">Accomplishment </w:t>
      </w:r>
      <w:r w:rsidR="00A2708C">
        <w:t>Reporting</w:t>
      </w:r>
      <w:r>
        <w:t xml:space="preserve"> (Revision)</w:t>
      </w:r>
    </w:p>
    <w:p w:rsidR="006C6431" w:rsidRDefault="00A2708C">
      <w:pPr>
        <w:ind w:firstLine="720"/>
      </w:pPr>
      <w:r>
        <w:t xml:space="preserve"> </w:t>
      </w:r>
      <w:r w:rsidR="0026763C">
        <w:tab/>
      </w:r>
      <w:r>
        <w:t xml:space="preserve">(OMB Control Number </w:t>
      </w:r>
      <w:r w:rsidR="00AD14A9" w:rsidRPr="00AD14A9">
        <w:t>2050</w:t>
      </w:r>
      <w:r w:rsidRPr="00AD14A9">
        <w:t>-</w:t>
      </w:r>
      <w:r w:rsidR="00AD14A9">
        <w:t>0192</w:t>
      </w:r>
      <w:r>
        <w:t xml:space="preserve">; EPA ICR No. </w:t>
      </w:r>
      <w:r w:rsidR="002B499E">
        <w:rPr>
          <w:rFonts w:ascii="Tms Rmn" w:hAnsi="Tms Rmn" w:cs="Tms Rmn"/>
          <w:color w:val="000000"/>
          <w:szCs w:val="24"/>
        </w:rPr>
        <w:t>2104.0</w:t>
      </w:r>
      <w:r w:rsidR="00352CFC">
        <w:rPr>
          <w:rFonts w:ascii="Tms Rmn" w:hAnsi="Tms Rmn" w:cs="Tms Rmn"/>
          <w:color w:val="000000"/>
          <w:szCs w:val="24"/>
        </w:rPr>
        <w:t>5</w:t>
      </w:r>
      <w:r>
        <w:t>)</w:t>
      </w:r>
    </w:p>
    <w:p w:rsidR="00A2708C" w:rsidRDefault="00A2708C"/>
    <w:p w:rsidR="006C6431" w:rsidRDefault="002F111B">
      <w:pPr>
        <w:ind w:firstLine="720"/>
      </w:pPr>
      <w:r>
        <w:t>1(b)</w:t>
      </w:r>
      <w:r w:rsidR="00A2708C">
        <w:tab/>
        <w:t xml:space="preserve">This is a request to </w:t>
      </w:r>
      <w:r w:rsidR="00AC10DF">
        <w:t xml:space="preserve">revise </w:t>
      </w:r>
      <w:r w:rsidR="00A2708C">
        <w:t xml:space="preserve">an existing Information Collection Request (ICR).  This ICR covers the collection of information from those organizations that receive </w:t>
      </w:r>
      <w:r w:rsidR="009745EC">
        <w:t>cooperative agreement</w:t>
      </w:r>
      <w:r w:rsidR="00A2708C">
        <w:t xml:space="preserve">s from EPA under the authority of subtitle A and expand the collection to those eligible entities that receive </w:t>
      </w:r>
      <w:r w:rsidR="00461FE7">
        <w:t xml:space="preserve">cooperative agreements </w:t>
      </w:r>
      <w:r w:rsidR="00A2708C">
        <w:t xml:space="preserve">from EPA under the authority of subtitle C of the “Small Business Liability Relief and Brownfields Revitalization Act” (Public Law 107-118, January 2002).  Subtitle A of the Act amends the Comprehensive Environmental Response, Compensation, and Liability Act (CERCLA), as amended, and authorizes EPA to award </w:t>
      </w:r>
      <w:r w:rsidR="009745EC">
        <w:t xml:space="preserve">cooperative agreements </w:t>
      </w:r>
      <w:r w:rsidR="00A2708C">
        <w:t xml:space="preserve">to </w:t>
      </w:r>
      <w:r w:rsidR="00F554E6">
        <w:t>S</w:t>
      </w:r>
      <w:r w:rsidR="00A2708C">
        <w:t xml:space="preserve">tates, tribes, local governments, and other eligible entities to support the assessment and cleanup of brownfields properties and subtitle C authorizes a noncompetitive $50 million program to establish and enhance </w:t>
      </w:r>
      <w:r w:rsidR="00AD14A9">
        <w:t>s</w:t>
      </w:r>
      <w:r w:rsidR="00A2708C">
        <w:t xml:space="preserve">tate and tribal response programs. With this ICR, EPA’s Office of Brownfields </w:t>
      </w:r>
      <w:r w:rsidR="00AD14A9">
        <w:t>and Land Revitalization</w:t>
      </w:r>
      <w:r w:rsidR="00A2708C">
        <w:t xml:space="preserve"> (OB</w:t>
      </w:r>
      <w:r w:rsidR="00AD14A9">
        <w:t>LR</w:t>
      </w:r>
      <w:r w:rsidR="00A2708C">
        <w:t xml:space="preserve">) seeks authorization to collect information from </w:t>
      </w:r>
      <w:r w:rsidR="009745EC">
        <w:t>cooperative agreement</w:t>
      </w:r>
      <w:r w:rsidR="00A2708C">
        <w:t xml:space="preserve"> recipients</w:t>
      </w:r>
      <w:r w:rsidR="009745EC">
        <w:t xml:space="preserve"> (recipients)</w:t>
      </w:r>
      <w:r w:rsidR="00A2708C">
        <w:t xml:space="preserve"> using several standard forms that will streamline the data collection effort and improve the quality of information collected.  The information collected under this ICR supplements the minimum reporting and record keeping requirements that recipients are subject to under 40 CFR Part 30, “Grants and Agreements with Institutions of Higher Education, Hospitals, and Other Non-profit Organizations” and 40 CFR Part 31, “Uniform Administrative Requirements for Grants and Cooperative Agreements to State and Local Governments.”  EPA estimates that all respondents who voluntarily respond to this information collection by electing to participate in the Brownfields program have determined that the expected benefits of participation outweigh any burden associated with preparing the response.  </w:t>
      </w:r>
    </w:p>
    <w:p w:rsidR="002F111B" w:rsidRDefault="002F111B"/>
    <w:p w:rsidR="006C6431" w:rsidRDefault="002F111B">
      <w:pPr>
        <w:ind w:firstLine="720"/>
      </w:pPr>
      <w:r>
        <w:t>1(c)</w:t>
      </w:r>
      <w:r>
        <w:tab/>
        <w:t>Revision</w:t>
      </w:r>
    </w:p>
    <w:p w:rsidR="006F2AE8" w:rsidRPr="006F2AE8" w:rsidRDefault="004223F7" w:rsidP="006F2AE8">
      <w:pPr>
        <w:rPr>
          <w:szCs w:val="24"/>
        </w:rPr>
      </w:pPr>
      <w:r>
        <w:t xml:space="preserve">For the last renewal, ICR 2104.04, the old forms were mistakenly attached in the posting. The purpose of this revision is to post the revised forms that were mistakenly left out of the last ICR </w:t>
      </w:r>
      <w:r w:rsidRPr="006F2AE8">
        <w:rPr>
          <w:szCs w:val="24"/>
        </w:rPr>
        <w:t xml:space="preserve">renewal. </w:t>
      </w:r>
    </w:p>
    <w:p w:rsidR="006F2AE8" w:rsidRPr="006F2AE8" w:rsidRDefault="006F2AE8" w:rsidP="006F2AE8">
      <w:pPr>
        <w:rPr>
          <w:szCs w:val="24"/>
        </w:rPr>
      </w:pPr>
    </w:p>
    <w:p w:rsidR="002F111B" w:rsidRPr="006F2AE8" w:rsidRDefault="00F3334F">
      <w:pPr>
        <w:rPr>
          <w:szCs w:val="24"/>
        </w:rPr>
      </w:pPr>
      <w:r w:rsidRPr="00F3334F">
        <w:rPr>
          <w:szCs w:val="24"/>
        </w:rPr>
        <w:t xml:space="preserve">Per OMB's request, the burden tables </w:t>
      </w:r>
      <w:r w:rsidR="006F2AE8">
        <w:rPr>
          <w:szCs w:val="24"/>
        </w:rPr>
        <w:t xml:space="preserve">were modified </w:t>
      </w:r>
      <w:r w:rsidRPr="00F3334F">
        <w:rPr>
          <w:szCs w:val="24"/>
        </w:rPr>
        <w:t>to separate the burden of private (non-profits) individuals and government entities reporting to EPA.  Through the recalculation, the total burden cost increased by a negligible amount due to rounding.</w:t>
      </w:r>
    </w:p>
    <w:p w:rsidR="004223F7" w:rsidRDefault="004223F7"/>
    <w:p w:rsidR="002F111B" w:rsidRPr="00DE11EF" w:rsidRDefault="002F111B" w:rsidP="002F111B">
      <w:pPr>
        <w:rPr>
          <w:color w:val="000000"/>
        </w:rPr>
      </w:pPr>
      <w:r>
        <w:rPr>
          <w:color w:val="000000"/>
        </w:rPr>
        <w:t xml:space="preserve">For this revision of the ICR, EPA made changes to streamline some questions on the Property Profile Form.  Additionally, questions were added to the Job Training reporting form.  On the Property Profile Form, EPA listed additional common contaminants and affected media options to the drop down menu in Table B: Contaminants and Affected Media.  EPA received feedback from respondents to add pesticides under the list of contaminants and indoor air and building materials under the list of affected media since those responses are already commonly reported to ACRES in an open text field.  On the Job Training reporting form, EPA added questions to obtain more information about the training recipients benefiting from our funding.  EPA is seeking to </w:t>
      </w:r>
      <w:r>
        <w:rPr>
          <w:color w:val="000000"/>
        </w:rPr>
        <w:lastRenderedPageBreak/>
        <w:t xml:space="preserve">collect this additional information to gain a better understanding about who is benefiting from Job Training cooperative agreement funds and to improve the program to better serve its target audience.  </w:t>
      </w:r>
    </w:p>
    <w:p w:rsidR="002F111B" w:rsidRDefault="002F111B"/>
    <w:p w:rsidR="00A2708C" w:rsidRDefault="00A2708C"/>
    <w:p w:rsidR="00A2708C" w:rsidRDefault="00A2708C">
      <w:pPr>
        <w:rPr>
          <w:b/>
          <w:u w:val="single"/>
        </w:rPr>
      </w:pPr>
      <w:r>
        <w:rPr>
          <w:b/>
        </w:rPr>
        <w:t xml:space="preserve">2.  </w:t>
      </w:r>
      <w:r>
        <w:rPr>
          <w:b/>
          <w:u w:val="single"/>
        </w:rPr>
        <w:t>Need for/Use of the Collection</w:t>
      </w:r>
    </w:p>
    <w:p w:rsidR="00A2708C" w:rsidRDefault="00A2708C">
      <w:pPr>
        <w:rPr>
          <w:b/>
          <w:u w:val="single"/>
        </w:rPr>
      </w:pPr>
    </w:p>
    <w:p w:rsidR="00A2708C" w:rsidRDefault="00A2708C">
      <w:r>
        <w:tab/>
        <w:t xml:space="preserve">On January 11, 2002, the President signed into law the Small Business Liability Relief and Brownfields Revitalization Act (the “Brownfields Amendments”), which authorizes EPA to award several types of </w:t>
      </w:r>
      <w:r w:rsidR="009745EC">
        <w:t xml:space="preserve">cooperative agreements </w:t>
      </w:r>
      <w:r>
        <w:t xml:space="preserve">to eligible entities.  Under subtitle A of the Brownfields Amendments, </w:t>
      </w:r>
      <w:r w:rsidR="00A545AA">
        <w:t>S</w:t>
      </w:r>
      <w:r>
        <w:t xml:space="preserve">tates, tribes, local governments, and other eligible entities can receive </w:t>
      </w:r>
      <w:r w:rsidR="009745EC">
        <w:t xml:space="preserve">cooperative agreements </w:t>
      </w:r>
      <w:r>
        <w:t xml:space="preserve">to: </w:t>
      </w:r>
    </w:p>
    <w:p w:rsidR="00A2708C" w:rsidRDefault="00A2708C"/>
    <w:p w:rsidR="00A2708C" w:rsidRDefault="00A2708C">
      <w:pPr>
        <w:ind w:left="1440" w:hanging="720"/>
      </w:pPr>
      <w:r>
        <w:t>(1)</w:t>
      </w:r>
      <w:r>
        <w:tab/>
        <w:t xml:space="preserve">inventory, characterize, assess, and conduct planning and community involvement related to brownfields sites; </w:t>
      </w:r>
    </w:p>
    <w:p w:rsidR="00A2708C" w:rsidRDefault="00A2708C"/>
    <w:p w:rsidR="00A2708C" w:rsidRDefault="00A2708C">
      <w:pPr>
        <w:ind w:left="1440" w:hanging="720"/>
      </w:pPr>
      <w:r>
        <w:t>(2)</w:t>
      </w:r>
      <w:r>
        <w:tab/>
        <w:t xml:space="preserve">carry out cleanup activities at brownfields sites; </w:t>
      </w:r>
    </w:p>
    <w:p w:rsidR="00A2708C" w:rsidRDefault="00A2708C"/>
    <w:p w:rsidR="00A2708C" w:rsidRDefault="00A2708C">
      <w:pPr>
        <w:ind w:left="1440" w:hanging="720"/>
      </w:pPr>
      <w:r>
        <w:t>(3)</w:t>
      </w:r>
      <w:r>
        <w:tab/>
        <w:t>capitalize revolving loan funds and provide sub-grants for cleanup activities; and</w:t>
      </w:r>
    </w:p>
    <w:p w:rsidR="00A2708C" w:rsidRDefault="00A2708C"/>
    <w:p w:rsidR="00A2708C" w:rsidRDefault="00A2708C">
      <w:pPr>
        <w:ind w:left="1440" w:hanging="720"/>
      </w:pPr>
      <w:r>
        <w:t>(4)</w:t>
      </w:r>
      <w:r>
        <w:tab/>
        <w:t xml:space="preserve">support the creation and implementation of environmental </w:t>
      </w:r>
      <w:r w:rsidR="00461FE7">
        <w:t>job t</w:t>
      </w:r>
      <w:r w:rsidR="0053376C">
        <w:t>raining</w:t>
      </w:r>
      <w:r>
        <w:t xml:space="preserve"> and placement programs.  </w:t>
      </w:r>
    </w:p>
    <w:p w:rsidR="00A2708C" w:rsidRDefault="00A2708C"/>
    <w:p w:rsidR="00A2708C" w:rsidRDefault="00A2708C">
      <w:r>
        <w:t xml:space="preserve">Under subtitle C of the Brownfields Amendments, </w:t>
      </w:r>
      <w:r w:rsidR="00A545AA">
        <w:t>S</w:t>
      </w:r>
      <w:r>
        <w:t xml:space="preserve">tates and tribes can receive </w:t>
      </w:r>
      <w:r w:rsidR="009745EC">
        <w:t xml:space="preserve">cooperative agreements </w:t>
      </w:r>
      <w:r>
        <w:t>to:</w:t>
      </w:r>
    </w:p>
    <w:p w:rsidR="00A2708C" w:rsidRDefault="00A2708C">
      <w:r>
        <w:tab/>
        <w:t xml:space="preserve">(1) establish or enhance a </w:t>
      </w:r>
      <w:r w:rsidR="00A545AA">
        <w:t>S</w:t>
      </w:r>
      <w:r>
        <w:t>tate response program that meets the four elements;</w:t>
      </w:r>
    </w:p>
    <w:p w:rsidR="00A2708C" w:rsidRDefault="00A2708C"/>
    <w:p w:rsidR="00A2708C" w:rsidRDefault="00A2708C">
      <w:r>
        <w:tab/>
        <w:t>(2) establish or enhance a public record;</w:t>
      </w:r>
    </w:p>
    <w:p w:rsidR="00A2708C" w:rsidRDefault="00A2708C"/>
    <w:p w:rsidR="00A2708C" w:rsidRDefault="00A2708C">
      <w:pPr>
        <w:ind w:left="720" w:hanging="720"/>
      </w:pPr>
      <w:r>
        <w:tab/>
        <w:t xml:space="preserve">(3) develop legislation, regulations, procedures, or guidance that would establish or enhance the legal structure of the </w:t>
      </w:r>
      <w:r w:rsidR="00A545AA">
        <w:t>S</w:t>
      </w:r>
      <w:r>
        <w:t>tate program;</w:t>
      </w:r>
    </w:p>
    <w:p w:rsidR="00A2708C" w:rsidRDefault="00A2708C"/>
    <w:p w:rsidR="00A2708C" w:rsidRDefault="00A2708C">
      <w:r>
        <w:tab/>
        <w:t>(4) capitalize a revolving loan fund;</w:t>
      </w:r>
    </w:p>
    <w:p w:rsidR="00A2708C" w:rsidRDefault="00A2708C"/>
    <w:p w:rsidR="00A2708C" w:rsidRDefault="00A2708C">
      <w:r>
        <w:tab/>
        <w:t>(5) purchase environmental insurance; and</w:t>
      </w:r>
    </w:p>
    <w:p w:rsidR="00A2708C" w:rsidRDefault="00A2708C"/>
    <w:p w:rsidR="00A2708C" w:rsidRDefault="00A2708C">
      <w:r>
        <w:tab/>
        <w:t>(6) carry out site-specific environmental assessment and cleanup activities.</w:t>
      </w:r>
    </w:p>
    <w:p w:rsidR="00A2708C" w:rsidRDefault="00A2708C"/>
    <w:p w:rsidR="00A2708C" w:rsidRDefault="00F554E6">
      <w:r>
        <w:t>In</w:t>
      </w:r>
      <w:r w:rsidR="00A2708C">
        <w:t xml:space="preserve"> the Brownfields Amendments, a brownfields site means real property, the expansion, redevelopment, or reuse of which may be complicated by the presence or potential presence of a hazardous substance, pollutant, or contaminant.  For </w:t>
      </w:r>
      <w:r w:rsidR="009745EC">
        <w:t xml:space="preserve"> </w:t>
      </w:r>
      <w:r w:rsidR="00A2708C">
        <w:t xml:space="preserve">funding purposes, EPA uses the term “brownfields property(ies)” synonymously with the term “brownfields site(s).”  </w:t>
      </w:r>
    </w:p>
    <w:p w:rsidR="00A2708C" w:rsidRDefault="00A2708C"/>
    <w:p w:rsidR="00A2708C" w:rsidRDefault="00A2708C">
      <w:r>
        <w:tab/>
        <w:t xml:space="preserve">While the Agency collects basic </w:t>
      </w:r>
      <w:r w:rsidR="009745EC">
        <w:t xml:space="preserve">cooperative agreement </w:t>
      </w:r>
      <w:r>
        <w:t xml:space="preserve">information as part of its Federal stewardship responsibilities to manage and oversee recipient activities and expenditures (see 40 CFR Parts 30 and 31), </w:t>
      </w:r>
      <w:r w:rsidR="001340D0">
        <w:t>OBLR</w:t>
      </w:r>
      <w:r>
        <w:t xml:space="preserve"> needs additional information from recipients to be reported in a </w:t>
      </w:r>
      <w:r>
        <w:lastRenderedPageBreak/>
        <w:t xml:space="preserve">consistent manner in order to evaluate the effectiveness of the program and to report on program activities and accomplishments to Congress and other program stakeholders.  Specifically, </w:t>
      </w:r>
      <w:r w:rsidR="001340D0">
        <w:t>OBLR</w:t>
      </w:r>
      <w:r>
        <w:t xml:space="preserve"> has used and will continue to use the information collected from recipients to oversee the activities carried out using </w:t>
      </w:r>
      <w:r w:rsidR="009745EC">
        <w:t xml:space="preserve">cooperative agreement </w:t>
      </w:r>
      <w:r>
        <w:t xml:space="preserve">funds, to evaluate program implementation and effectiveness, and to meet the Agency’s responsibilities under the Government Performance and Results Act to report on </w:t>
      </w:r>
      <w:r w:rsidR="001340D0">
        <w:t>OBLR</w:t>
      </w:r>
      <w:r>
        <w:t xml:space="preserve">’s accomplishments.  The information collection activities covered by this renewed ICR are intended to:  (1) continue to improve the alignment of reporting requirements with programmatic performance measures; and (2) simplify and standardize reporting requirements to reduce uncertainty and burden imposed on recipients.  Without the information collection, </w:t>
      </w:r>
      <w:r w:rsidR="001340D0">
        <w:t>OBLR</w:t>
      </w:r>
      <w:r>
        <w:t xml:space="preserve"> would have limited access to information needed to effectively assess the relationship between those activities funded by EPA’s Brownfields </w:t>
      </w:r>
      <w:r w:rsidR="009745EC">
        <w:t xml:space="preserve">cooperative agreements </w:t>
      </w:r>
      <w:r>
        <w:t xml:space="preserve">and the intent of Congress with the passage of the Brownfields Amendments.  </w:t>
      </w:r>
    </w:p>
    <w:p w:rsidR="00A2708C" w:rsidRDefault="00A2708C"/>
    <w:p w:rsidR="00A2708C" w:rsidRDefault="00A2708C">
      <w:pPr>
        <w:rPr>
          <w:b/>
          <w:u w:val="single"/>
        </w:rPr>
      </w:pPr>
      <w:r>
        <w:rPr>
          <w:b/>
        </w:rPr>
        <w:t xml:space="preserve">3.  </w:t>
      </w:r>
      <w:r>
        <w:rPr>
          <w:b/>
          <w:u w:val="single"/>
        </w:rPr>
        <w:t>Non-duplication, Consultations, and Other Collection Criteria</w:t>
      </w:r>
    </w:p>
    <w:p w:rsidR="00A2708C" w:rsidRDefault="00A2708C">
      <w:pPr>
        <w:rPr>
          <w:b/>
        </w:rPr>
      </w:pPr>
    </w:p>
    <w:p w:rsidR="00A2708C" w:rsidRDefault="00A2708C">
      <w:r>
        <w:tab/>
        <w:t xml:space="preserve">3(a).  Non-duplication – There is no other known source for the information that EPA seeks under this ICR.  Moreover, this ICR supplements, and does not duplicate, the information that EPA collects as part of its reporting and record keeping provisions under the Agency’s general assistance regulations at 40 CFR Part 30, “Grants and Agreements with Institutions of Higher Education, Hospitals, and Other Non-profit Organizations,” and 40 CFR Part 31, “Uniform Administrative Requirements for Grants and Cooperative Agreements to State and Local Governments.”  EPA’s regulations at 40 CFR Part 31, which implements the requirements of OMB Circular A-102, became effective for awards made on or after </w:t>
      </w:r>
      <w:smartTag w:uri="urn:schemas-microsoft-com:office:smarttags" w:element="date">
        <w:smartTagPr>
          <w:attr w:name="Month" w:val="10"/>
          <w:attr w:name="Day" w:val="1"/>
          <w:attr w:name="Year" w:val="1988"/>
        </w:smartTagPr>
        <w:r>
          <w:t>October 1, 1988</w:t>
        </w:r>
      </w:smartTag>
      <w:r>
        <w:t xml:space="preserve">.  The Part 31 rule (common rule) established uniformity among Federal agencies that award Federal grants and cooperative agreements to </w:t>
      </w:r>
      <w:r w:rsidR="00A545AA">
        <w:t>S</w:t>
      </w:r>
      <w:r>
        <w:t xml:space="preserve">tates, political subdivisions thereof, and Federally-recognized Indian Tribal Governments.  </w:t>
      </w:r>
      <w:r>
        <w:rPr>
          <w:b/>
        </w:rPr>
        <w:t>Exhibit 1</w:t>
      </w:r>
      <w:r>
        <w:t xml:space="preserve"> identifies the tasks and burdens of recipients that are covered under other OMB-approved ICRs.  This ICR addresses the burden imposed on recipients and EPA associated with the reporting requirements that are unique to </w:t>
      </w:r>
      <w:r w:rsidR="009745EC">
        <w:t xml:space="preserve">cooperative agreements </w:t>
      </w:r>
      <w:r>
        <w:t>awarded by EPA under authority of subtitles A and C of the Brownfields Amendments.</w:t>
      </w:r>
    </w:p>
    <w:p w:rsidR="00A2708C" w:rsidRDefault="00A2708C"/>
    <w:p w:rsidR="00DE11EF" w:rsidRDefault="00DE11EF" w:rsidP="00DE11EF">
      <w:pPr>
        <w:jc w:val="center"/>
        <w:rPr>
          <w:color w:val="000000"/>
        </w:rPr>
      </w:pPr>
      <w:r>
        <w:rPr>
          <w:b/>
          <w:color w:val="000000"/>
        </w:rPr>
        <w:t>Exhibit 1:  Grant Burdens Covered Under Other Agency ICRs</w:t>
      </w:r>
    </w:p>
    <w:tbl>
      <w:tblPr>
        <w:tblW w:w="0" w:type="auto"/>
        <w:jc w:val="center"/>
        <w:tblLayout w:type="fixed"/>
        <w:tblCellMar>
          <w:left w:w="120" w:type="dxa"/>
          <w:right w:w="120" w:type="dxa"/>
        </w:tblCellMar>
        <w:tblLook w:val="0000"/>
      </w:tblPr>
      <w:tblGrid>
        <w:gridCol w:w="2790"/>
        <w:gridCol w:w="2610"/>
        <w:gridCol w:w="2518"/>
      </w:tblGrid>
      <w:tr w:rsidR="004C64E0" w:rsidTr="000302A4">
        <w:trPr>
          <w:jc w:val="center"/>
        </w:trPr>
        <w:tc>
          <w:tcPr>
            <w:tcW w:w="2790" w:type="dxa"/>
            <w:tcBorders>
              <w:top w:val="single" w:sz="5" w:space="0" w:color="000000"/>
              <w:left w:val="single" w:sz="5" w:space="0" w:color="000000"/>
              <w:bottom w:val="single" w:sz="18" w:space="0" w:color="000000"/>
              <w:right w:val="single" w:sz="5" w:space="0" w:color="000000"/>
            </w:tcBorders>
          </w:tcPr>
          <w:p w:rsidR="00DE11EF" w:rsidRDefault="00DE11EF" w:rsidP="000302A4">
            <w:pPr>
              <w:spacing w:before="120" w:after="66"/>
              <w:jc w:val="center"/>
              <w:rPr>
                <w:color w:val="000000"/>
                <w:sz w:val="20"/>
              </w:rPr>
            </w:pPr>
            <w:r>
              <w:rPr>
                <w:b/>
                <w:color w:val="000000"/>
                <w:sz w:val="20"/>
              </w:rPr>
              <w:t>Task/Burden</w:t>
            </w:r>
          </w:p>
        </w:tc>
        <w:tc>
          <w:tcPr>
            <w:tcW w:w="2610" w:type="dxa"/>
            <w:tcBorders>
              <w:top w:val="single" w:sz="5" w:space="0" w:color="000000"/>
              <w:left w:val="single" w:sz="5" w:space="0" w:color="000000"/>
              <w:bottom w:val="single" w:sz="18" w:space="0" w:color="000000"/>
              <w:right w:val="single" w:sz="5" w:space="0" w:color="000000"/>
            </w:tcBorders>
          </w:tcPr>
          <w:p w:rsidR="00DE11EF" w:rsidRDefault="00DE11EF" w:rsidP="000302A4">
            <w:pPr>
              <w:spacing w:before="120" w:after="66"/>
              <w:jc w:val="center"/>
              <w:rPr>
                <w:color w:val="000000"/>
                <w:sz w:val="20"/>
              </w:rPr>
            </w:pPr>
            <w:r>
              <w:rPr>
                <w:b/>
                <w:color w:val="000000"/>
                <w:sz w:val="20"/>
              </w:rPr>
              <w:t>Authority</w:t>
            </w:r>
          </w:p>
        </w:tc>
        <w:tc>
          <w:tcPr>
            <w:tcW w:w="2518" w:type="dxa"/>
            <w:tcBorders>
              <w:top w:val="single" w:sz="5" w:space="0" w:color="000000"/>
              <w:left w:val="single" w:sz="5" w:space="0" w:color="000000"/>
              <w:bottom w:val="single" w:sz="18" w:space="0" w:color="000000"/>
              <w:right w:val="single" w:sz="5" w:space="0" w:color="000000"/>
            </w:tcBorders>
          </w:tcPr>
          <w:p w:rsidR="00DE11EF" w:rsidRDefault="00DE11EF" w:rsidP="000302A4">
            <w:pPr>
              <w:spacing w:before="120" w:after="66"/>
              <w:jc w:val="center"/>
              <w:rPr>
                <w:color w:val="000000"/>
                <w:sz w:val="20"/>
              </w:rPr>
            </w:pPr>
            <w:r>
              <w:rPr>
                <w:b/>
                <w:color w:val="000000"/>
                <w:sz w:val="20"/>
              </w:rPr>
              <w:t>Agency Approved ICR</w:t>
            </w:r>
          </w:p>
        </w:tc>
      </w:tr>
      <w:tr w:rsidR="004C64E0" w:rsidTr="000302A4">
        <w:trPr>
          <w:jc w:val="center"/>
        </w:trPr>
        <w:tc>
          <w:tcPr>
            <w:tcW w:w="2790"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rPr>
                <w:color w:val="000000"/>
                <w:sz w:val="20"/>
              </w:rPr>
            </w:pPr>
            <w:r>
              <w:rPr>
                <w:color w:val="000000"/>
                <w:sz w:val="20"/>
              </w:rPr>
              <w:t>Preliminary Grant Proposal</w:t>
            </w:r>
          </w:p>
        </w:tc>
        <w:tc>
          <w:tcPr>
            <w:tcW w:w="2610"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jc w:val="center"/>
              <w:rPr>
                <w:color w:val="000000"/>
                <w:sz w:val="20"/>
              </w:rPr>
            </w:pPr>
            <w:r>
              <w:rPr>
                <w:color w:val="000000"/>
                <w:sz w:val="20"/>
              </w:rPr>
              <w:t>40 CFR Parts 30 and 31</w:t>
            </w:r>
          </w:p>
        </w:tc>
        <w:tc>
          <w:tcPr>
            <w:tcW w:w="2518"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jc w:val="center"/>
              <w:rPr>
                <w:color w:val="000000"/>
                <w:sz w:val="20"/>
              </w:rPr>
            </w:pPr>
            <w:r>
              <w:rPr>
                <w:color w:val="000000"/>
                <w:sz w:val="20"/>
              </w:rPr>
              <w:t>OMB 2030-0020</w:t>
            </w:r>
          </w:p>
        </w:tc>
      </w:tr>
      <w:tr w:rsidR="004C64E0" w:rsidTr="000302A4">
        <w:trPr>
          <w:jc w:val="center"/>
        </w:trPr>
        <w:tc>
          <w:tcPr>
            <w:tcW w:w="2790"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rPr>
                <w:color w:val="000000"/>
                <w:sz w:val="20"/>
              </w:rPr>
            </w:pPr>
            <w:r>
              <w:rPr>
                <w:color w:val="000000"/>
                <w:sz w:val="20"/>
              </w:rPr>
              <w:t>Final Grant Proposal</w:t>
            </w:r>
          </w:p>
        </w:tc>
        <w:tc>
          <w:tcPr>
            <w:tcW w:w="2610"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jc w:val="center"/>
              <w:rPr>
                <w:color w:val="000000"/>
                <w:sz w:val="20"/>
              </w:rPr>
            </w:pPr>
            <w:r>
              <w:rPr>
                <w:color w:val="000000"/>
                <w:sz w:val="20"/>
              </w:rPr>
              <w:t>40 CFR Parts 30 and 31</w:t>
            </w:r>
          </w:p>
        </w:tc>
        <w:tc>
          <w:tcPr>
            <w:tcW w:w="2518"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jc w:val="center"/>
              <w:rPr>
                <w:color w:val="000000"/>
                <w:sz w:val="20"/>
              </w:rPr>
            </w:pPr>
            <w:r>
              <w:rPr>
                <w:color w:val="000000"/>
                <w:sz w:val="20"/>
              </w:rPr>
              <w:t>OMB 2030-0020</w:t>
            </w:r>
          </w:p>
        </w:tc>
      </w:tr>
      <w:tr w:rsidR="004C64E0" w:rsidTr="000302A4">
        <w:trPr>
          <w:jc w:val="center"/>
        </w:trPr>
        <w:tc>
          <w:tcPr>
            <w:tcW w:w="2790"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rPr>
                <w:color w:val="000000"/>
                <w:sz w:val="20"/>
              </w:rPr>
            </w:pPr>
            <w:r>
              <w:rPr>
                <w:color w:val="000000"/>
                <w:sz w:val="20"/>
              </w:rPr>
              <w:t>Budget Sheets</w:t>
            </w:r>
          </w:p>
        </w:tc>
        <w:tc>
          <w:tcPr>
            <w:tcW w:w="2610"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jc w:val="center"/>
              <w:rPr>
                <w:color w:val="000000"/>
                <w:sz w:val="20"/>
              </w:rPr>
            </w:pPr>
            <w:r>
              <w:rPr>
                <w:color w:val="000000"/>
                <w:sz w:val="20"/>
              </w:rPr>
              <w:t>40 CFR Parts 30 and 31</w:t>
            </w:r>
          </w:p>
        </w:tc>
        <w:tc>
          <w:tcPr>
            <w:tcW w:w="2518"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jc w:val="center"/>
              <w:rPr>
                <w:color w:val="000000"/>
                <w:sz w:val="20"/>
              </w:rPr>
            </w:pPr>
            <w:r>
              <w:rPr>
                <w:color w:val="000000"/>
                <w:sz w:val="20"/>
              </w:rPr>
              <w:t>OMB 2030-0020</w:t>
            </w:r>
          </w:p>
        </w:tc>
      </w:tr>
      <w:tr w:rsidR="004C64E0" w:rsidTr="000302A4">
        <w:trPr>
          <w:jc w:val="center"/>
        </w:trPr>
        <w:tc>
          <w:tcPr>
            <w:tcW w:w="2790"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rPr>
                <w:color w:val="000000"/>
                <w:sz w:val="20"/>
              </w:rPr>
            </w:pPr>
            <w:r>
              <w:rPr>
                <w:color w:val="000000"/>
                <w:sz w:val="20"/>
              </w:rPr>
              <w:t>Quarterly Progress Reports</w:t>
            </w:r>
          </w:p>
        </w:tc>
        <w:tc>
          <w:tcPr>
            <w:tcW w:w="2610"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jc w:val="center"/>
              <w:rPr>
                <w:color w:val="000000"/>
                <w:sz w:val="20"/>
              </w:rPr>
            </w:pPr>
            <w:r>
              <w:rPr>
                <w:color w:val="000000"/>
                <w:sz w:val="20"/>
              </w:rPr>
              <w:t>40 CFR Parts 30 and 31</w:t>
            </w:r>
          </w:p>
        </w:tc>
        <w:tc>
          <w:tcPr>
            <w:tcW w:w="2518"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jc w:val="center"/>
              <w:rPr>
                <w:color w:val="000000"/>
                <w:sz w:val="20"/>
              </w:rPr>
            </w:pPr>
            <w:r>
              <w:rPr>
                <w:color w:val="000000"/>
                <w:sz w:val="20"/>
              </w:rPr>
              <w:t>OMB 2030-0020</w:t>
            </w:r>
          </w:p>
        </w:tc>
      </w:tr>
      <w:tr w:rsidR="004C64E0" w:rsidTr="000302A4">
        <w:trPr>
          <w:jc w:val="center"/>
        </w:trPr>
        <w:tc>
          <w:tcPr>
            <w:tcW w:w="2790"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rPr>
                <w:color w:val="000000"/>
                <w:sz w:val="20"/>
              </w:rPr>
            </w:pPr>
            <w:r>
              <w:rPr>
                <w:color w:val="000000"/>
                <w:sz w:val="20"/>
              </w:rPr>
              <w:t>Notification of Significant Developments</w:t>
            </w:r>
          </w:p>
        </w:tc>
        <w:tc>
          <w:tcPr>
            <w:tcW w:w="2610"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jc w:val="center"/>
              <w:rPr>
                <w:color w:val="000000"/>
                <w:sz w:val="20"/>
              </w:rPr>
            </w:pPr>
            <w:r>
              <w:rPr>
                <w:color w:val="000000"/>
                <w:sz w:val="20"/>
              </w:rPr>
              <w:t>40 CFR Parts 30 and 31</w:t>
            </w:r>
          </w:p>
        </w:tc>
        <w:tc>
          <w:tcPr>
            <w:tcW w:w="2518"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jc w:val="center"/>
              <w:rPr>
                <w:color w:val="000000"/>
                <w:sz w:val="20"/>
              </w:rPr>
            </w:pPr>
            <w:r>
              <w:rPr>
                <w:color w:val="000000"/>
                <w:sz w:val="20"/>
              </w:rPr>
              <w:t>OMB 2030-0020</w:t>
            </w:r>
          </w:p>
        </w:tc>
      </w:tr>
      <w:tr w:rsidR="004C64E0" w:rsidTr="000302A4">
        <w:trPr>
          <w:jc w:val="center"/>
        </w:trPr>
        <w:tc>
          <w:tcPr>
            <w:tcW w:w="2790"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rPr>
                <w:color w:val="000000"/>
                <w:sz w:val="20"/>
              </w:rPr>
            </w:pPr>
            <w:r>
              <w:rPr>
                <w:color w:val="000000"/>
                <w:sz w:val="20"/>
              </w:rPr>
              <w:t>Procurement Reports</w:t>
            </w:r>
          </w:p>
        </w:tc>
        <w:tc>
          <w:tcPr>
            <w:tcW w:w="2610"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jc w:val="center"/>
              <w:rPr>
                <w:color w:val="000000"/>
                <w:sz w:val="20"/>
              </w:rPr>
            </w:pPr>
            <w:r>
              <w:rPr>
                <w:color w:val="000000"/>
                <w:sz w:val="20"/>
              </w:rPr>
              <w:t>40 CFR Parts 30 and 31</w:t>
            </w:r>
          </w:p>
        </w:tc>
        <w:tc>
          <w:tcPr>
            <w:tcW w:w="2518"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jc w:val="center"/>
              <w:rPr>
                <w:color w:val="000000"/>
                <w:sz w:val="20"/>
              </w:rPr>
            </w:pPr>
            <w:r>
              <w:rPr>
                <w:color w:val="000000"/>
                <w:sz w:val="20"/>
              </w:rPr>
              <w:t>OMB 2030-0020</w:t>
            </w:r>
          </w:p>
        </w:tc>
      </w:tr>
      <w:tr w:rsidR="004C64E0" w:rsidTr="000302A4">
        <w:trPr>
          <w:jc w:val="center"/>
        </w:trPr>
        <w:tc>
          <w:tcPr>
            <w:tcW w:w="2790"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rPr>
                <w:color w:val="000000"/>
                <w:sz w:val="20"/>
              </w:rPr>
            </w:pPr>
            <w:r>
              <w:rPr>
                <w:color w:val="000000"/>
                <w:sz w:val="20"/>
              </w:rPr>
              <w:t>Financial Reports</w:t>
            </w:r>
          </w:p>
        </w:tc>
        <w:tc>
          <w:tcPr>
            <w:tcW w:w="2610"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jc w:val="center"/>
              <w:rPr>
                <w:color w:val="000000"/>
                <w:sz w:val="20"/>
              </w:rPr>
            </w:pPr>
            <w:r>
              <w:rPr>
                <w:color w:val="000000"/>
                <w:sz w:val="20"/>
              </w:rPr>
              <w:t>40 CFR Parts 30 and 31</w:t>
            </w:r>
          </w:p>
        </w:tc>
        <w:tc>
          <w:tcPr>
            <w:tcW w:w="2518"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jc w:val="center"/>
              <w:rPr>
                <w:color w:val="000000"/>
                <w:sz w:val="20"/>
              </w:rPr>
            </w:pPr>
            <w:r>
              <w:rPr>
                <w:color w:val="000000"/>
                <w:sz w:val="20"/>
              </w:rPr>
              <w:t xml:space="preserve"> OMB 2030-0020</w:t>
            </w:r>
          </w:p>
        </w:tc>
      </w:tr>
      <w:tr w:rsidR="004C64E0" w:rsidTr="000302A4">
        <w:trPr>
          <w:jc w:val="center"/>
        </w:trPr>
        <w:tc>
          <w:tcPr>
            <w:tcW w:w="2790"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rPr>
                <w:color w:val="000000"/>
                <w:sz w:val="20"/>
              </w:rPr>
            </w:pPr>
            <w:r>
              <w:rPr>
                <w:color w:val="000000"/>
                <w:sz w:val="20"/>
              </w:rPr>
              <w:t xml:space="preserve">Project Records </w:t>
            </w:r>
          </w:p>
        </w:tc>
        <w:tc>
          <w:tcPr>
            <w:tcW w:w="2610"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jc w:val="center"/>
              <w:rPr>
                <w:color w:val="000000"/>
                <w:sz w:val="20"/>
              </w:rPr>
            </w:pPr>
            <w:r>
              <w:rPr>
                <w:color w:val="000000"/>
                <w:sz w:val="20"/>
              </w:rPr>
              <w:t>40 CFR Parts 30 and 31</w:t>
            </w:r>
          </w:p>
        </w:tc>
        <w:tc>
          <w:tcPr>
            <w:tcW w:w="2518"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jc w:val="center"/>
              <w:rPr>
                <w:color w:val="000000"/>
                <w:sz w:val="20"/>
              </w:rPr>
            </w:pPr>
            <w:r>
              <w:rPr>
                <w:color w:val="000000"/>
                <w:sz w:val="20"/>
              </w:rPr>
              <w:t>OMB 2030-0020</w:t>
            </w:r>
          </w:p>
        </w:tc>
      </w:tr>
    </w:tbl>
    <w:p w:rsidR="00DE11EF" w:rsidRDefault="00DE11EF"/>
    <w:p w:rsidR="00A2708C" w:rsidRDefault="00A2708C">
      <w:r>
        <w:tab/>
        <w:t xml:space="preserve">3(b).  </w:t>
      </w:r>
      <w:r w:rsidR="007716DC" w:rsidRPr="007716DC">
        <w:t>Public Notice Required Prior to ICR Submission to OMB.  The first notification of the Agency’s request for the renewal of this ICR was published in the Federal Regi</w:t>
      </w:r>
      <w:r w:rsidR="00194E66">
        <w:t>ster</w:t>
      </w:r>
      <w:r w:rsidR="007716DC" w:rsidRPr="007716DC">
        <w:t>. Concurrent with the submission of this ICR to OMB, EPA is publishing a second Federal Register notice seeking public comments on this ICR.</w:t>
      </w:r>
    </w:p>
    <w:p w:rsidR="004223F7" w:rsidRDefault="004223F7"/>
    <w:p w:rsidR="0025271B" w:rsidRDefault="004223F7">
      <w:r>
        <w:t xml:space="preserve">The revised forms and Public Notice were published in the Federal Register on 9/19/2012 under EPA-HQ-SFUND-2012-0104. </w:t>
      </w:r>
    </w:p>
    <w:p w:rsidR="0025271B" w:rsidRDefault="0025271B"/>
    <w:p w:rsidR="0025271B" w:rsidRDefault="004223F7">
      <w:r>
        <w:t>The 1</w:t>
      </w:r>
      <w:r w:rsidR="00F3334F" w:rsidRPr="00F3334F">
        <w:rPr>
          <w:vertAlign w:val="superscript"/>
        </w:rPr>
        <w:t>st</w:t>
      </w:r>
      <w:r>
        <w:t xml:space="preserve"> Federal Register Notice was posted under 77 FR 58127. </w:t>
      </w:r>
    </w:p>
    <w:p w:rsidR="0025271B" w:rsidRDefault="0025271B"/>
    <w:p w:rsidR="004223F7" w:rsidRPr="007716DC" w:rsidRDefault="004223F7">
      <w:r>
        <w:t xml:space="preserve">The </w:t>
      </w:r>
      <w:r w:rsidR="001A4C25">
        <w:t xml:space="preserve">revised </w:t>
      </w:r>
      <w:r>
        <w:t>Property Profile Form, Job Training Reporting Form Instructions, Job Training Reporting Form, and Property Profile Form Instructions</w:t>
      </w:r>
      <w:r w:rsidR="0025271B">
        <w:t xml:space="preserve"> were posted and did not receive any comments. </w:t>
      </w:r>
    </w:p>
    <w:p w:rsidR="00A2708C" w:rsidRDefault="00A2708C">
      <w:pPr>
        <w:rPr>
          <w:b/>
          <w:color w:val="000000"/>
        </w:rPr>
      </w:pPr>
    </w:p>
    <w:p w:rsidR="00A2708C" w:rsidRDefault="00A2708C">
      <w:pPr>
        <w:rPr>
          <w:color w:val="000000"/>
        </w:rPr>
      </w:pPr>
      <w:r>
        <w:rPr>
          <w:color w:val="000000"/>
        </w:rPr>
        <w:tab/>
        <w:t xml:space="preserve">3(c).  Consultations – EPA has more than </w:t>
      </w:r>
      <w:r w:rsidR="00470C5A">
        <w:rPr>
          <w:color w:val="000000"/>
        </w:rPr>
        <w:t>15</w:t>
      </w:r>
      <w:r>
        <w:rPr>
          <w:color w:val="000000"/>
        </w:rPr>
        <w:t xml:space="preserve"> years of experience managing Brownfields </w:t>
      </w:r>
      <w:r w:rsidR="009745EC">
        <w:rPr>
          <w:color w:val="000000"/>
        </w:rPr>
        <w:t xml:space="preserve">cooperative agreement </w:t>
      </w:r>
      <w:r>
        <w:rPr>
          <w:color w:val="000000"/>
        </w:rPr>
        <w:t>pro</w:t>
      </w:r>
      <w:r w:rsidR="007716DC">
        <w:rPr>
          <w:color w:val="000000"/>
        </w:rPr>
        <w:t xml:space="preserve">grams that awarded more than </w:t>
      </w:r>
      <w:r w:rsidR="00757902">
        <w:rPr>
          <w:color w:val="000000"/>
        </w:rPr>
        <w:t>2</w:t>
      </w:r>
      <w:r w:rsidR="007716DC">
        <w:rPr>
          <w:color w:val="000000"/>
        </w:rPr>
        <w:t>,</w:t>
      </w:r>
      <w:r w:rsidR="00757902">
        <w:rPr>
          <w:color w:val="000000"/>
        </w:rPr>
        <w:t>9</w:t>
      </w:r>
      <w:r>
        <w:rPr>
          <w:color w:val="000000"/>
        </w:rPr>
        <w:t xml:space="preserve">00 cooperative agreements to </w:t>
      </w:r>
      <w:r w:rsidR="00A545AA">
        <w:rPr>
          <w:color w:val="000000"/>
        </w:rPr>
        <w:t>S</w:t>
      </w:r>
      <w:r>
        <w:rPr>
          <w:color w:val="000000"/>
        </w:rPr>
        <w:t xml:space="preserve">tate, local, and tribal governments to address brownfields properties.  For these Brownfields </w:t>
      </w:r>
      <w:r w:rsidR="009745EC">
        <w:rPr>
          <w:color w:val="000000"/>
        </w:rPr>
        <w:t>cooperative agreements</w:t>
      </w:r>
      <w:r>
        <w:rPr>
          <w:color w:val="000000"/>
        </w:rPr>
        <w:t>, EPA staff ha</w:t>
      </w:r>
      <w:r w:rsidR="009745EC">
        <w:rPr>
          <w:color w:val="000000"/>
        </w:rPr>
        <w:t>s</w:t>
      </w:r>
      <w:r>
        <w:rPr>
          <w:color w:val="000000"/>
        </w:rPr>
        <w:t xml:space="preserve"> worked closely with the recipients to help them participate in the program and address their brownfields properties.  As such, EPA has a detailed understanding of the activities that recipients undertake and the burden they incur for voluntarily participating in EPA’s</w:t>
      </w:r>
      <w:r w:rsidR="009745EC">
        <w:rPr>
          <w:color w:val="000000"/>
        </w:rPr>
        <w:t xml:space="preserve"> cooperative agreement </w:t>
      </w:r>
      <w:r>
        <w:rPr>
          <w:color w:val="000000"/>
        </w:rPr>
        <w:t xml:space="preserve">programs.  In addition, during the preparation of the initial ICR </w:t>
      </w:r>
      <w:r w:rsidR="00DE11EF">
        <w:rPr>
          <w:color w:val="000000"/>
        </w:rPr>
        <w:t xml:space="preserve">in 2003 </w:t>
      </w:r>
      <w:r>
        <w:rPr>
          <w:color w:val="000000"/>
        </w:rPr>
        <w:t xml:space="preserve">and the reporting forms that are included, </w:t>
      </w:r>
      <w:bookmarkStart w:id="0" w:name="OLE_LINK1"/>
      <w:bookmarkStart w:id="1" w:name="OLE_LINK2"/>
      <w:r>
        <w:rPr>
          <w:color w:val="000000"/>
        </w:rPr>
        <w:t xml:space="preserve">EPA contacted eight Brownfields recipients to ask them specific questions about the burden associated with completing the draft forms included in this ICR. </w:t>
      </w:r>
      <w:bookmarkEnd w:id="0"/>
      <w:bookmarkEnd w:id="1"/>
      <w:r>
        <w:rPr>
          <w:color w:val="000000"/>
        </w:rPr>
        <w:t xml:space="preserve"> </w:t>
      </w:r>
      <w:r w:rsidR="009745EC">
        <w:rPr>
          <w:color w:val="000000"/>
        </w:rPr>
        <w:t>R</w:t>
      </w:r>
      <w:r>
        <w:rPr>
          <w:color w:val="000000"/>
        </w:rPr>
        <w:t xml:space="preserve">ecipient responses form the basis of EPA’s </w:t>
      </w:r>
      <w:r w:rsidR="00AF48BF">
        <w:rPr>
          <w:color w:val="000000"/>
        </w:rPr>
        <w:t xml:space="preserve">initial </w:t>
      </w:r>
      <w:r>
        <w:rPr>
          <w:color w:val="000000"/>
        </w:rPr>
        <w:t xml:space="preserve">calculations of the burden hours and costs. </w:t>
      </w:r>
    </w:p>
    <w:p w:rsidR="00BA2F56" w:rsidRDefault="00BA2F56">
      <w:pPr>
        <w:rPr>
          <w:color w:val="000000"/>
        </w:rPr>
      </w:pPr>
    </w:p>
    <w:p w:rsidR="00BA2F56" w:rsidRDefault="00BA2F56">
      <w:pPr>
        <w:rPr>
          <w:color w:val="000000"/>
        </w:rPr>
      </w:pPr>
      <w:r>
        <w:rPr>
          <w:color w:val="000000"/>
        </w:rPr>
        <w:t xml:space="preserve">For the </w:t>
      </w:r>
      <w:r w:rsidR="00DE11EF">
        <w:rPr>
          <w:color w:val="000000"/>
        </w:rPr>
        <w:t>first renewal of this ICR</w:t>
      </w:r>
      <w:r>
        <w:rPr>
          <w:color w:val="000000"/>
        </w:rPr>
        <w:t xml:space="preserve"> </w:t>
      </w:r>
      <w:r w:rsidR="00DE11EF">
        <w:rPr>
          <w:color w:val="000000"/>
        </w:rPr>
        <w:t xml:space="preserve">in 2006 the ICR was expanded to </w:t>
      </w:r>
      <w:r w:rsidR="00CD5927">
        <w:rPr>
          <w:color w:val="000000"/>
        </w:rPr>
        <w:t>include reporting f</w:t>
      </w:r>
      <w:r w:rsidR="00DE11EF">
        <w:rPr>
          <w:color w:val="000000"/>
        </w:rPr>
        <w:t xml:space="preserve">rom subtitle C recipients. To do so, </w:t>
      </w:r>
      <w:r>
        <w:rPr>
          <w:color w:val="000000"/>
        </w:rPr>
        <w:t>EPA consulted with several State and Tribal representatives when working on modifications to the</w:t>
      </w:r>
      <w:r w:rsidR="00DE11EF">
        <w:rPr>
          <w:color w:val="000000"/>
        </w:rPr>
        <w:t xml:space="preserve"> Property Profile Form</w:t>
      </w:r>
      <w:r>
        <w:rPr>
          <w:color w:val="000000"/>
        </w:rPr>
        <w:t>. S</w:t>
      </w:r>
      <w:r w:rsidRPr="00BA2F56">
        <w:rPr>
          <w:color w:val="000000"/>
        </w:rPr>
        <w:t xml:space="preserve">tate personnel involved included:  Barbara Coler, </w:t>
      </w:r>
      <w:r>
        <w:rPr>
          <w:color w:val="000000"/>
        </w:rPr>
        <w:t xml:space="preserve">State of </w:t>
      </w:r>
      <w:smartTag w:uri="urn:schemas-microsoft-com:office:smarttags" w:element="State">
        <w:r w:rsidRPr="00BA2F56">
          <w:rPr>
            <w:color w:val="000000"/>
          </w:rPr>
          <w:t>C</w:t>
        </w:r>
        <w:r>
          <w:rPr>
            <w:color w:val="000000"/>
          </w:rPr>
          <w:t>alifornia</w:t>
        </w:r>
      </w:smartTag>
      <w:r w:rsidRPr="00BA2F56">
        <w:rPr>
          <w:color w:val="000000"/>
        </w:rPr>
        <w:t xml:space="preserve">; Andrew Shivas, </w:t>
      </w:r>
      <w:r>
        <w:rPr>
          <w:color w:val="000000"/>
        </w:rPr>
        <w:t xml:space="preserve">State of </w:t>
      </w:r>
      <w:smartTag w:uri="urn:schemas-microsoft-com:office:smarttags" w:element="State">
        <w:r w:rsidRPr="00BA2F56">
          <w:rPr>
            <w:color w:val="000000"/>
          </w:rPr>
          <w:t>T</w:t>
        </w:r>
        <w:r>
          <w:rPr>
            <w:color w:val="000000"/>
          </w:rPr>
          <w:t>ennessee</w:t>
        </w:r>
      </w:smartTag>
      <w:r w:rsidRPr="00BA2F56">
        <w:rPr>
          <w:color w:val="000000"/>
        </w:rPr>
        <w:t xml:space="preserve">; Mark Walker, </w:t>
      </w:r>
      <w:r>
        <w:rPr>
          <w:color w:val="000000"/>
        </w:rPr>
        <w:t xml:space="preserve">State of </w:t>
      </w:r>
      <w:smartTag w:uri="urn:schemas-microsoft-com:office:smarttags" w:element="State">
        <w:r>
          <w:rPr>
            <w:color w:val="000000"/>
          </w:rPr>
          <w:t>Colorado</w:t>
        </w:r>
      </w:smartTag>
      <w:r w:rsidRPr="00BA2F56">
        <w:rPr>
          <w:color w:val="000000"/>
        </w:rPr>
        <w:t xml:space="preserve">; Amy Yersavich, </w:t>
      </w:r>
      <w:smartTag w:uri="urn:schemas-microsoft-com:office:smarttags" w:element="State">
        <w:r w:rsidRPr="00BA2F56">
          <w:rPr>
            <w:color w:val="000000"/>
          </w:rPr>
          <w:t>O</w:t>
        </w:r>
        <w:r>
          <w:rPr>
            <w:color w:val="000000"/>
          </w:rPr>
          <w:t>hio</w:t>
        </w:r>
      </w:smartTag>
      <w:r w:rsidRPr="00BA2F56">
        <w:rPr>
          <w:color w:val="000000"/>
        </w:rPr>
        <w:t xml:space="preserve">; and Catherine Sharp, </w:t>
      </w:r>
      <w:r>
        <w:rPr>
          <w:color w:val="000000"/>
        </w:rPr>
        <w:t xml:space="preserve">State of </w:t>
      </w:r>
      <w:smartTag w:uri="urn:schemas-microsoft-com:office:smarttags" w:element="State">
        <w:smartTag w:uri="urn:schemas-microsoft-com:office:smarttags" w:element="place">
          <w:r w:rsidRPr="00BA2F56">
            <w:rPr>
              <w:color w:val="000000"/>
            </w:rPr>
            <w:t>O</w:t>
          </w:r>
          <w:r>
            <w:rPr>
              <w:color w:val="000000"/>
            </w:rPr>
            <w:t>klahoma</w:t>
          </w:r>
        </w:smartTag>
      </w:smartTag>
      <w:r w:rsidRPr="00BA2F56">
        <w:rPr>
          <w:color w:val="000000"/>
        </w:rPr>
        <w:t>.  Tribal personnel included Susan Morang, Cherokee Nation.</w:t>
      </w:r>
    </w:p>
    <w:p w:rsidR="00545B76" w:rsidRDefault="00545B76" w:rsidP="00DE11EF">
      <w:pPr>
        <w:rPr>
          <w:b/>
          <w:color w:val="000000"/>
        </w:rPr>
      </w:pPr>
    </w:p>
    <w:p w:rsidR="00DE11EF" w:rsidRDefault="00DE11EF" w:rsidP="00DE11EF">
      <w:pPr>
        <w:rPr>
          <w:color w:val="000000"/>
        </w:rPr>
      </w:pPr>
      <w:r>
        <w:rPr>
          <w:color w:val="000000"/>
        </w:rPr>
        <w:t>For t</w:t>
      </w:r>
      <w:r w:rsidR="00757902">
        <w:rPr>
          <w:color w:val="000000"/>
        </w:rPr>
        <w:t>he</w:t>
      </w:r>
      <w:r>
        <w:rPr>
          <w:color w:val="000000"/>
        </w:rPr>
        <w:t xml:space="preserve"> second renewal of the ICR</w:t>
      </w:r>
      <w:r w:rsidR="00217EDA">
        <w:rPr>
          <w:color w:val="000000"/>
        </w:rPr>
        <w:t xml:space="preserve"> in 2009</w:t>
      </w:r>
      <w:r>
        <w:rPr>
          <w:color w:val="000000"/>
        </w:rPr>
        <w:t>, EPA added additional fields to the Property Profile Form. EPA contacted eight Brownfields recipients to ask them specific questions about the burden associated with completing the draft new fields for the Property Profile Form included in this</w:t>
      </w:r>
      <w:r w:rsidR="000451F8">
        <w:rPr>
          <w:color w:val="000000"/>
        </w:rPr>
        <w:t xml:space="preserve"> renewal</w:t>
      </w:r>
      <w:r>
        <w:rPr>
          <w:color w:val="000000"/>
        </w:rPr>
        <w:t xml:space="preserve"> ICR.</w:t>
      </w:r>
    </w:p>
    <w:p w:rsidR="00757902" w:rsidRDefault="00757902" w:rsidP="00DE11EF">
      <w:pPr>
        <w:rPr>
          <w:color w:val="000000"/>
        </w:rPr>
      </w:pPr>
    </w:p>
    <w:p w:rsidR="003304DF" w:rsidRDefault="0002602E" w:rsidP="003304DF">
      <w:pPr>
        <w:rPr>
          <w:color w:val="000000"/>
        </w:rPr>
      </w:pPr>
      <w:r>
        <w:rPr>
          <w:color w:val="000000"/>
        </w:rPr>
        <w:t xml:space="preserve">For </w:t>
      </w:r>
      <w:r w:rsidR="0025271B">
        <w:rPr>
          <w:color w:val="000000"/>
        </w:rPr>
        <w:t xml:space="preserve">the </w:t>
      </w:r>
      <w:r w:rsidR="00757902">
        <w:rPr>
          <w:color w:val="000000"/>
        </w:rPr>
        <w:t>third renewal of the ICR, E</w:t>
      </w:r>
      <w:r w:rsidR="001E0734">
        <w:rPr>
          <w:color w:val="000000"/>
        </w:rPr>
        <w:t>PA</w:t>
      </w:r>
      <w:r w:rsidR="003304DF">
        <w:rPr>
          <w:color w:val="000000"/>
        </w:rPr>
        <w:t xml:space="preserve"> </w:t>
      </w:r>
      <w:r w:rsidR="00217EDA">
        <w:rPr>
          <w:color w:val="000000"/>
        </w:rPr>
        <w:t>made no changes</w:t>
      </w:r>
      <w:r w:rsidR="003304DF">
        <w:rPr>
          <w:color w:val="000000"/>
        </w:rPr>
        <w:t xml:space="preserve"> to the Property Profile Form and </w:t>
      </w:r>
      <w:r w:rsidR="00217EDA">
        <w:rPr>
          <w:color w:val="000000"/>
        </w:rPr>
        <w:t>Job Training reporting form</w:t>
      </w:r>
      <w:r w:rsidR="003304DF">
        <w:rPr>
          <w:color w:val="000000"/>
        </w:rPr>
        <w:t>.  EPA</w:t>
      </w:r>
      <w:r w:rsidR="001E0734">
        <w:rPr>
          <w:color w:val="000000"/>
        </w:rPr>
        <w:t xml:space="preserve"> contacted nine RLF recipients and six </w:t>
      </w:r>
      <w:r w:rsidR="0053376C">
        <w:rPr>
          <w:color w:val="000000"/>
        </w:rPr>
        <w:t>Job Training</w:t>
      </w:r>
      <w:r w:rsidR="001E0734">
        <w:rPr>
          <w:color w:val="000000"/>
        </w:rPr>
        <w:t xml:space="preserve"> recipients</w:t>
      </w:r>
      <w:r w:rsidR="003304DF">
        <w:rPr>
          <w:color w:val="000000"/>
        </w:rPr>
        <w:t xml:space="preserve"> and asked them to evaluate the burden of completing the forms attached to this ICR. </w:t>
      </w:r>
      <w:r w:rsidR="00FC12BA">
        <w:rPr>
          <w:color w:val="000000"/>
        </w:rPr>
        <w:t>R</w:t>
      </w:r>
      <w:r w:rsidR="003304DF">
        <w:rPr>
          <w:color w:val="000000"/>
        </w:rPr>
        <w:t xml:space="preserve">ecipient responses form the basis of EPA’s calculations of the burden hours and costs. </w:t>
      </w:r>
      <w:r w:rsidR="00D74AE4">
        <w:rPr>
          <w:color w:val="000000"/>
        </w:rPr>
        <w:t xml:space="preserve"> </w:t>
      </w:r>
    </w:p>
    <w:p w:rsidR="00AC10DF" w:rsidRDefault="00AC10DF" w:rsidP="003304DF">
      <w:pPr>
        <w:rPr>
          <w:color w:val="000000"/>
        </w:rPr>
      </w:pPr>
    </w:p>
    <w:p w:rsidR="00A2708C" w:rsidRDefault="00AC10DF">
      <w:pPr>
        <w:rPr>
          <w:color w:val="000000"/>
          <w:sz w:val="20"/>
        </w:rPr>
      </w:pPr>
      <w:r>
        <w:rPr>
          <w:color w:val="000000"/>
        </w:rPr>
        <w:t xml:space="preserve">For this revision, EPA contacted nine RLF recipients and six Job Training recipients and asked them to evaluate the burden of completing the forms attached to this ICR.  The nine RLF </w:t>
      </w:r>
      <w:r>
        <w:rPr>
          <w:color w:val="000000"/>
        </w:rPr>
        <w:lastRenderedPageBreak/>
        <w:t>recipients contacted were Larry Norris, State of Alabama, Erin Hazelton, State of Ohio, Fonda Apostolopolou, State of Colorado, Laura Clark, Cuyahoga County, Diana Sasser, City of Sacramento, Paula Boase, Downriver Community Conference, Mike McCluskey, State of New Hampshire, Chuck Morgan, Southern Maine RPC, and Ross Muir, State of New Mexico.  The six Job Training recipients are Miguel Partap, Enterprise Center of Chattanooga, Alexander Nicholas, RichmondBUILD, Mollie Dowling, OAI Chicago Southland, John Mello, Civic Works Maryland for Baltimore, Warren Adams-Leavitt, Metropitan Energy Center, and Sontina Greene, City of Durham.  Recipient responses form the basis of EPA’s calculations of the burden hours and costs.</w:t>
      </w:r>
    </w:p>
    <w:p w:rsidR="00A2708C" w:rsidRDefault="00A2708C">
      <w:pPr>
        <w:rPr>
          <w:color w:val="000000"/>
        </w:rPr>
      </w:pPr>
      <w:r>
        <w:rPr>
          <w:color w:val="000000"/>
        </w:rPr>
        <w:tab/>
        <w:t xml:space="preserve">3(d).  Effects of Less Frequent Collection – The information collection schedule is consistent with the Agency’s reporting schedule for general assistance </w:t>
      </w:r>
      <w:r w:rsidR="005D6497">
        <w:rPr>
          <w:color w:val="000000"/>
        </w:rPr>
        <w:t>agreements</w:t>
      </w:r>
      <w:r>
        <w:rPr>
          <w:color w:val="000000"/>
        </w:rPr>
        <w:t xml:space="preserve">.  Less frequent collection may not enable EPA to oversee and manage Brownfields </w:t>
      </w:r>
      <w:r w:rsidR="00FC12BA">
        <w:rPr>
          <w:color w:val="000000"/>
        </w:rPr>
        <w:t xml:space="preserve">cooperative agreements </w:t>
      </w:r>
      <w:r>
        <w:rPr>
          <w:color w:val="000000"/>
        </w:rPr>
        <w:t xml:space="preserve">effectively and would lessen </w:t>
      </w:r>
      <w:r w:rsidR="001340D0">
        <w:rPr>
          <w:color w:val="000000"/>
        </w:rPr>
        <w:t>OBLR</w:t>
      </w:r>
      <w:r>
        <w:rPr>
          <w:color w:val="000000"/>
        </w:rPr>
        <w:t>’s ability to report up-to-date and accurate information on program activities and accomplishments.  In consideration of the burden imposed on recipients, EPA has adopted less frequent repo</w:t>
      </w:r>
      <w:r w:rsidR="00F554E6">
        <w:rPr>
          <w:color w:val="000000"/>
        </w:rPr>
        <w:t>rting for the Property Profile F</w:t>
      </w:r>
      <w:r>
        <w:rPr>
          <w:color w:val="000000"/>
        </w:rPr>
        <w:t xml:space="preserve">orm in which recipients are required to update and submit the form as notable activities or changes occur at a particular property.  EPA anticipates that recipients of subtitle A assessment, cleanup, and revolving loan fund </w:t>
      </w:r>
      <w:r w:rsidR="009745EC">
        <w:rPr>
          <w:color w:val="000000"/>
        </w:rPr>
        <w:t xml:space="preserve">cooperative agreements </w:t>
      </w:r>
      <w:r>
        <w:rPr>
          <w:color w:val="000000"/>
        </w:rPr>
        <w:t>will subm</w:t>
      </w:r>
      <w:r w:rsidR="00F554E6">
        <w:rPr>
          <w:color w:val="000000"/>
        </w:rPr>
        <w:t>it an updated Property Profile F</w:t>
      </w:r>
      <w:r>
        <w:rPr>
          <w:color w:val="000000"/>
        </w:rPr>
        <w:t xml:space="preserve">orm to EPA, </w:t>
      </w:r>
      <w:r w:rsidR="00FC12BA">
        <w:rPr>
          <w:color w:val="000000"/>
        </w:rPr>
        <w:t>twice</w:t>
      </w:r>
      <w:r>
        <w:rPr>
          <w:color w:val="000000"/>
        </w:rPr>
        <w:t xml:space="preserve"> but not more than four times </w:t>
      </w:r>
      <w:r w:rsidR="00007301">
        <w:rPr>
          <w:color w:val="000000"/>
        </w:rPr>
        <w:t xml:space="preserve">over the life of the cooperative agreement.  </w:t>
      </w:r>
      <w:r>
        <w:rPr>
          <w:color w:val="000000"/>
        </w:rPr>
        <w:t xml:space="preserve">For subtitle C </w:t>
      </w:r>
      <w:r w:rsidR="00A545AA">
        <w:rPr>
          <w:color w:val="000000"/>
        </w:rPr>
        <w:t>S</w:t>
      </w:r>
      <w:r>
        <w:rPr>
          <w:color w:val="000000"/>
        </w:rPr>
        <w:t xml:space="preserve">tate and tribal response program </w:t>
      </w:r>
      <w:r w:rsidR="009745EC">
        <w:rPr>
          <w:color w:val="000000"/>
        </w:rPr>
        <w:t>cooperative agreements</w:t>
      </w:r>
      <w:r>
        <w:rPr>
          <w:color w:val="000000"/>
        </w:rPr>
        <w:t xml:space="preserve">, EPA anticipates that recipients will submit a Property Profile </w:t>
      </w:r>
      <w:r w:rsidR="00F554E6">
        <w:rPr>
          <w:color w:val="000000"/>
        </w:rPr>
        <w:t>F</w:t>
      </w:r>
      <w:r>
        <w:rPr>
          <w:color w:val="000000"/>
        </w:rPr>
        <w:t xml:space="preserve">orm to EPA twice a year in line with the bi-annual reporting guidelines. </w:t>
      </w:r>
    </w:p>
    <w:p w:rsidR="00A2708C" w:rsidRDefault="00A2708C">
      <w:pPr>
        <w:rPr>
          <w:color w:val="000000"/>
        </w:rPr>
      </w:pPr>
    </w:p>
    <w:p w:rsidR="00A2708C" w:rsidRDefault="00A2708C">
      <w:pPr>
        <w:rPr>
          <w:color w:val="000000"/>
        </w:rPr>
      </w:pPr>
      <w:r>
        <w:rPr>
          <w:color w:val="000000"/>
        </w:rPr>
        <w:tab/>
        <w:t>3(e).  General Guidelines – The information collection is consistent with the guidelines set forth in 5 CFR 1320.6 of the Paperwork Reduction Act Guidelines.</w:t>
      </w:r>
    </w:p>
    <w:p w:rsidR="00A2708C" w:rsidRDefault="00A2708C">
      <w:pPr>
        <w:rPr>
          <w:color w:val="000000"/>
        </w:rPr>
      </w:pPr>
    </w:p>
    <w:p w:rsidR="00A2708C" w:rsidRDefault="00A2708C">
      <w:pPr>
        <w:rPr>
          <w:color w:val="000000"/>
        </w:rPr>
      </w:pPr>
      <w:r>
        <w:rPr>
          <w:color w:val="000000"/>
        </w:rPr>
        <w:tab/>
        <w:t>3(f).  Confidentiality – No confidentiality is provided and no sensitive information is collected under this ICR.</w:t>
      </w:r>
    </w:p>
    <w:p w:rsidR="00A2708C" w:rsidRDefault="00A2708C">
      <w:pPr>
        <w:rPr>
          <w:color w:val="000000"/>
        </w:rPr>
      </w:pPr>
    </w:p>
    <w:p w:rsidR="00A2708C" w:rsidRDefault="00A2708C">
      <w:pPr>
        <w:rPr>
          <w:color w:val="000000"/>
        </w:rPr>
      </w:pPr>
      <w:r>
        <w:rPr>
          <w:color w:val="000000"/>
        </w:rPr>
        <w:tab/>
        <w:t>3(g).  Sensitive Questions – Sensitive questions are not associated with the information collection activities performed under Public Law 107-118.</w:t>
      </w:r>
    </w:p>
    <w:p w:rsidR="00A2708C" w:rsidRDefault="00A2708C">
      <w:pPr>
        <w:rPr>
          <w:color w:val="000000"/>
        </w:rPr>
      </w:pPr>
    </w:p>
    <w:p w:rsidR="008A6722" w:rsidRDefault="008A6722">
      <w:pPr>
        <w:rPr>
          <w:b/>
          <w:color w:val="000000"/>
        </w:rPr>
      </w:pPr>
    </w:p>
    <w:p w:rsidR="00A2708C" w:rsidRDefault="00A2708C">
      <w:pPr>
        <w:rPr>
          <w:b/>
          <w:color w:val="000000"/>
        </w:rPr>
      </w:pPr>
      <w:r>
        <w:rPr>
          <w:b/>
          <w:color w:val="000000"/>
        </w:rPr>
        <w:t xml:space="preserve">4.  </w:t>
      </w:r>
      <w:r>
        <w:rPr>
          <w:b/>
          <w:color w:val="000000"/>
          <w:u w:val="single"/>
        </w:rPr>
        <w:t>Respondents and Information Requested</w:t>
      </w:r>
    </w:p>
    <w:p w:rsidR="00A2708C" w:rsidRDefault="00A2708C">
      <w:pPr>
        <w:rPr>
          <w:color w:val="000000"/>
        </w:rPr>
      </w:pPr>
    </w:p>
    <w:p w:rsidR="00A2708C" w:rsidRDefault="00A2708C">
      <w:pPr>
        <w:rPr>
          <w:color w:val="000000"/>
        </w:rPr>
      </w:pPr>
      <w:r>
        <w:rPr>
          <w:color w:val="000000"/>
        </w:rPr>
        <w:tab/>
        <w:t xml:space="preserve">4(a).  Respondents – Respondents under this ICR are those entities who voluntarily elect to participate in the Brownfields </w:t>
      </w:r>
      <w:r w:rsidR="009745EC">
        <w:rPr>
          <w:color w:val="000000"/>
        </w:rPr>
        <w:t xml:space="preserve">cooperative agreement </w:t>
      </w:r>
      <w:r>
        <w:rPr>
          <w:color w:val="000000"/>
        </w:rPr>
        <w:t>programs and receive funding from EPA under the authority of subtitle A and/or C of the Brownfields Amendments.  Specifically, respondents to this information collection include:   general purpose units of local government</w:t>
      </w:r>
      <w:r w:rsidR="00354579">
        <w:rPr>
          <w:color w:val="000000"/>
        </w:rPr>
        <w:t xml:space="preserve"> (NAICS Code: 92411)</w:t>
      </w:r>
      <w:r>
        <w:rPr>
          <w:color w:val="000000"/>
        </w:rPr>
        <w:t>; land clearance authorities or other quasi-governmental entities that operate under the supervision and control of, or as an agent of, a general purpose unit of local government</w:t>
      </w:r>
      <w:r w:rsidR="00354579">
        <w:rPr>
          <w:color w:val="000000"/>
        </w:rPr>
        <w:t xml:space="preserve"> (NAICS Code: 92411)</w:t>
      </w:r>
      <w:r>
        <w:rPr>
          <w:color w:val="000000"/>
        </w:rPr>
        <w:t xml:space="preserve">; government entities created by </w:t>
      </w:r>
      <w:r w:rsidR="00A545AA">
        <w:rPr>
          <w:color w:val="000000"/>
        </w:rPr>
        <w:t>S</w:t>
      </w:r>
      <w:r>
        <w:rPr>
          <w:color w:val="000000"/>
        </w:rPr>
        <w:t>tate legislature</w:t>
      </w:r>
      <w:r w:rsidR="00354579">
        <w:rPr>
          <w:color w:val="000000"/>
        </w:rPr>
        <w:t xml:space="preserve"> (NAICS Code: 92411)</w:t>
      </w:r>
      <w:r>
        <w:rPr>
          <w:color w:val="000000"/>
        </w:rPr>
        <w:t>; regional councils or groups of general purpose units of local government</w:t>
      </w:r>
      <w:r w:rsidR="00354579">
        <w:rPr>
          <w:color w:val="000000"/>
        </w:rPr>
        <w:t xml:space="preserve"> (NAICS Code: 92411)</w:t>
      </w:r>
      <w:r>
        <w:rPr>
          <w:color w:val="000000"/>
        </w:rPr>
        <w:t>; redevelopment agencies that are chartered or otherwise sanctioned by the State</w:t>
      </w:r>
      <w:r w:rsidR="00354579">
        <w:rPr>
          <w:color w:val="000000"/>
        </w:rPr>
        <w:t xml:space="preserve"> (NAICS Code: 92411)</w:t>
      </w:r>
      <w:r>
        <w:rPr>
          <w:color w:val="000000"/>
        </w:rPr>
        <w:t>; States</w:t>
      </w:r>
      <w:r w:rsidR="00354579">
        <w:rPr>
          <w:color w:val="000000"/>
        </w:rPr>
        <w:t xml:space="preserve"> (NAICS Code: 92411)</w:t>
      </w:r>
      <w:r>
        <w:rPr>
          <w:color w:val="000000"/>
        </w:rPr>
        <w:t>; Indian Tribes other than in Alaska</w:t>
      </w:r>
      <w:r w:rsidR="00354579">
        <w:rPr>
          <w:color w:val="000000"/>
        </w:rPr>
        <w:t xml:space="preserve"> (NAICS Code: </w:t>
      </w:r>
      <w:r w:rsidR="00354579">
        <w:t>92115)</w:t>
      </w:r>
      <w:r>
        <w:rPr>
          <w:color w:val="000000"/>
        </w:rPr>
        <w:t xml:space="preserve">; Alaska Native Regional Corporations, Alaska Native Village Corporations, and </w:t>
      </w:r>
      <w:r>
        <w:rPr>
          <w:color w:val="000000"/>
        </w:rPr>
        <w:lastRenderedPageBreak/>
        <w:t>Metlakatla Indian Communities</w:t>
      </w:r>
      <w:r w:rsidR="00354579">
        <w:rPr>
          <w:color w:val="000000"/>
        </w:rPr>
        <w:t xml:space="preserve"> (NAICS Code:92115)</w:t>
      </w:r>
      <w:r>
        <w:rPr>
          <w:color w:val="000000"/>
        </w:rPr>
        <w:t>; and non-profit organizations</w:t>
      </w:r>
      <w:r w:rsidR="00CC3502">
        <w:rPr>
          <w:rStyle w:val="FootnoteReference"/>
          <w:color w:val="000000"/>
        </w:rPr>
        <w:footnoteReference w:id="1"/>
      </w:r>
      <w:r w:rsidR="00354579">
        <w:rPr>
          <w:color w:val="000000"/>
        </w:rPr>
        <w:t xml:space="preserve"> (NAICS Code: </w:t>
      </w:r>
      <w:r w:rsidR="00354579">
        <w:t>81331</w:t>
      </w:r>
      <w:r w:rsidR="002836E7">
        <w:rPr>
          <w:rStyle w:val="FootnoteReference"/>
        </w:rPr>
        <w:footnoteReference w:id="2"/>
      </w:r>
      <w:r w:rsidR="00354579">
        <w:t>)</w:t>
      </w:r>
      <w:r>
        <w:rPr>
          <w:color w:val="000000"/>
        </w:rPr>
        <w:t>.</w:t>
      </w:r>
    </w:p>
    <w:p w:rsidR="00A2708C" w:rsidRDefault="00A2708C">
      <w:pPr>
        <w:rPr>
          <w:color w:val="000000"/>
        </w:rPr>
      </w:pPr>
    </w:p>
    <w:p w:rsidR="00A2708C" w:rsidRDefault="00A2708C">
      <w:pPr>
        <w:rPr>
          <w:color w:val="000000"/>
        </w:rPr>
      </w:pPr>
      <w:r>
        <w:rPr>
          <w:color w:val="000000"/>
        </w:rPr>
        <w:tab/>
        <w:t xml:space="preserve">4(b).  Information Requested – The information requested by EPA under this ICR includes information from recipients specific to the activities undertaken and the accomplishments that result using Brownfields funds.  The information to be collected by EPA will vary by the type of </w:t>
      </w:r>
      <w:r w:rsidR="00457BFF">
        <w:rPr>
          <w:color w:val="000000"/>
        </w:rPr>
        <w:t xml:space="preserve">cooperative agreement </w:t>
      </w:r>
      <w:r>
        <w:rPr>
          <w:color w:val="000000"/>
        </w:rPr>
        <w:t xml:space="preserve">awarded to the respondent.  Brownfields </w:t>
      </w:r>
      <w:r w:rsidR="0053376C">
        <w:rPr>
          <w:color w:val="000000"/>
        </w:rPr>
        <w:t>Job Training</w:t>
      </w:r>
      <w:r>
        <w:rPr>
          <w:color w:val="000000"/>
        </w:rPr>
        <w:t xml:space="preserve"> recipients are required to complete on a quarterly basis the Brownfields </w:t>
      </w:r>
      <w:r w:rsidR="0053376C">
        <w:rPr>
          <w:color w:val="000000"/>
        </w:rPr>
        <w:t>Job Training</w:t>
      </w:r>
      <w:r>
        <w:rPr>
          <w:color w:val="000000"/>
        </w:rPr>
        <w:t xml:space="preserve"> Reporting Form.  The </w:t>
      </w:r>
      <w:r w:rsidR="0053376C">
        <w:rPr>
          <w:color w:val="000000"/>
        </w:rPr>
        <w:t>Job Training</w:t>
      </w:r>
      <w:r>
        <w:rPr>
          <w:color w:val="000000"/>
        </w:rPr>
        <w:t xml:space="preserve"> Reporting Form seeks basic information on how funds were used to support </w:t>
      </w:r>
      <w:r w:rsidR="0053376C">
        <w:rPr>
          <w:color w:val="000000"/>
        </w:rPr>
        <w:t>Job Training</w:t>
      </w:r>
      <w:r>
        <w:rPr>
          <w:color w:val="000000"/>
        </w:rPr>
        <w:t xml:space="preserve"> programs and the accomplishments stemming from those programs.  For example, </w:t>
      </w:r>
      <w:r w:rsidR="0053376C">
        <w:rPr>
          <w:color w:val="000000"/>
        </w:rPr>
        <w:t>Job Training</w:t>
      </w:r>
      <w:r>
        <w:rPr>
          <w:color w:val="000000"/>
        </w:rPr>
        <w:t xml:space="preserve"> recipients will report the number of participants who have completed the training, whether participants obtained employment, and the average hourly wages of participants who obtained employment.</w:t>
      </w:r>
    </w:p>
    <w:p w:rsidR="00A2708C" w:rsidRDefault="00A2708C">
      <w:pPr>
        <w:rPr>
          <w:color w:val="000000"/>
        </w:rPr>
      </w:pPr>
    </w:p>
    <w:p w:rsidR="00B25B7A" w:rsidRDefault="00B25B7A"/>
    <w:p w:rsidR="00A2708C" w:rsidRDefault="00A2708C" w:rsidP="00B25B7A">
      <w:pPr>
        <w:ind w:firstLine="720"/>
        <w:rPr>
          <w:color w:val="000000"/>
        </w:rPr>
      </w:pPr>
      <w:r>
        <w:rPr>
          <w:color w:val="000000"/>
        </w:rPr>
        <w:t xml:space="preserve">For Brownfields </w:t>
      </w:r>
      <w:r w:rsidR="00940935">
        <w:rPr>
          <w:color w:val="000000"/>
        </w:rPr>
        <w:t xml:space="preserve">area-wide planning , </w:t>
      </w:r>
      <w:r>
        <w:rPr>
          <w:color w:val="000000"/>
        </w:rPr>
        <w:t xml:space="preserve">assessment, cleanup, revolving loan fund </w:t>
      </w:r>
      <w:r w:rsidR="009745EC">
        <w:rPr>
          <w:color w:val="000000"/>
        </w:rPr>
        <w:t>cooperative agreements</w:t>
      </w:r>
      <w:r>
        <w:rPr>
          <w:color w:val="000000"/>
        </w:rPr>
        <w:t xml:space="preserve">, and property-specific activities of the State Response Program </w:t>
      </w:r>
      <w:r w:rsidR="005D6497">
        <w:rPr>
          <w:color w:val="000000"/>
        </w:rPr>
        <w:t>Cooperative Agreements</w:t>
      </w:r>
      <w:r>
        <w:rPr>
          <w:color w:val="000000"/>
        </w:rPr>
        <w:t xml:space="preserve">, EPA requires subtitle A and C </w:t>
      </w:r>
      <w:r w:rsidR="00457BFF">
        <w:rPr>
          <w:color w:val="000000"/>
        </w:rPr>
        <w:t xml:space="preserve">award </w:t>
      </w:r>
      <w:r>
        <w:rPr>
          <w:color w:val="000000"/>
        </w:rPr>
        <w:t>recipients to prepare an initial Brownf</w:t>
      </w:r>
      <w:r w:rsidR="007C4431">
        <w:rPr>
          <w:color w:val="000000"/>
        </w:rPr>
        <w:t xml:space="preserve">ields Property Profile Form </w:t>
      </w:r>
      <w:r>
        <w:rPr>
          <w:color w:val="000000"/>
        </w:rPr>
        <w:t xml:space="preserve">for each property the </w:t>
      </w:r>
      <w:r w:rsidR="009745EC">
        <w:rPr>
          <w:color w:val="000000"/>
        </w:rPr>
        <w:t>cooperative agreement</w:t>
      </w:r>
      <w:r>
        <w:rPr>
          <w:color w:val="000000"/>
        </w:rPr>
        <w:t xml:space="preserve"> intends to address. The Property Profile Form complements the information collected as part of the progress reports required by the general assistance regulations, and requests basic information about each brownfields property covered by the </w:t>
      </w:r>
      <w:r w:rsidR="009745EC">
        <w:rPr>
          <w:color w:val="000000"/>
        </w:rPr>
        <w:t>cooperative agreement</w:t>
      </w:r>
      <w:r>
        <w:rPr>
          <w:color w:val="000000"/>
        </w:rPr>
        <w:t xml:space="preserve">, such as property name, location, parcel number, and size.  EPA requires recipients to update the Property Profile Form as notable activities or changes occur on the property, but no more frequently than quarterly for subtitle A recipients and no more than twice a year for subtitle C recipients.  For example, as an assessment of the property is completed, recipients are required to complete the portion of the Property Profile Form that applies to assessments, and provide basic information to EPA on the type of assessment, date of completion, and results or findings of the assessment.  Other sections of the Property Profile Form collect basic information on cleanups and any redevelopment activities that occur on the property, including estimates of the number of jobs that result. </w:t>
      </w:r>
    </w:p>
    <w:p w:rsidR="00A2708C" w:rsidRDefault="00A2708C">
      <w:pPr>
        <w:rPr>
          <w:color w:val="000000"/>
        </w:rPr>
      </w:pPr>
    </w:p>
    <w:p w:rsidR="00A2708C" w:rsidRDefault="00A2708C">
      <w:pPr>
        <w:rPr>
          <w:b/>
          <w:color w:val="000000"/>
          <w:u w:val="single"/>
        </w:rPr>
      </w:pPr>
      <w:r>
        <w:rPr>
          <w:b/>
          <w:color w:val="000000"/>
        </w:rPr>
        <w:t xml:space="preserve">5. </w:t>
      </w:r>
      <w:r>
        <w:rPr>
          <w:b/>
          <w:color w:val="000000"/>
          <w:u w:val="single"/>
        </w:rPr>
        <w:t>The Information Collected – Agency Activities, Collection, Methodology and Information Management</w:t>
      </w:r>
    </w:p>
    <w:p w:rsidR="00A2708C" w:rsidRDefault="00A2708C">
      <w:pPr>
        <w:rPr>
          <w:color w:val="000000"/>
        </w:rPr>
      </w:pPr>
    </w:p>
    <w:p w:rsidR="003E5635" w:rsidRDefault="00A2708C">
      <w:pPr>
        <w:rPr>
          <w:color w:val="000000"/>
        </w:rPr>
      </w:pPr>
      <w:r>
        <w:rPr>
          <w:color w:val="000000"/>
        </w:rPr>
        <w:tab/>
        <w:t xml:space="preserve">5(a).  Agency Activities – EPA is responsible to Congress and other stakeholders to ensure that its resources are being used efficiently and effectively, to evaluate the progress of the recipients in meeting the goals of EPA’s </w:t>
      </w:r>
      <w:r w:rsidR="00593B2D">
        <w:rPr>
          <w:color w:val="000000"/>
        </w:rPr>
        <w:t>Office of Brownfields and Land Revitalization</w:t>
      </w:r>
      <w:r>
        <w:rPr>
          <w:color w:val="000000"/>
        </w:rPr>
        <w:t xml:space="preserve">, and to share the successes, lessons learned, and best practices among Brownfields recipients.   EPA will collect the information using standardized forms that minimize the burden on respondents while ensuring consistent information that can be easily aggregated and accurately reported.  EPA program staff will review the information collected to keep current on </w:t>
      </w:r>
      <w:r w:rsidR="005D6497">
        <w:rPr>
          <w:color w:val="000000"/>
        </w:rPr>
        <w:t xml:space="preserve">recipient </w:t>
      </w:r>
      <w:r>
        <w:rPr>
          <w:color w:val="000000"/>
        </w:rPr>
        <w:t xml:space="preserve">activities, and will enter the information into the Agency’s </w:t>
      </w:r>
      <w:r w:rsidR="00E25212">
        <w:rPr>
          <w:color w:val="000000"/>
        </w:rPr>
        <w:t>Assessment, Cleanup, and Redevelopment Exchange System (ACRES)</w:t>
      </w:r>
      <w:r w:rsidR="009D7777">
        <w:rPr>
          <w:color w:val="000000"/>
        </w:rPr>
        <w:t xml:space="preserve">. </w:t>
      </w:r>
      <w:r>
        <w:rPr>
          <w:color w:val="000000"/>
        </w:rPr>
        <w:t xml:space="preserve">EPA uses </w:t>
      </w:r>
      <w:r w:rsidR="002F3BF1">
        <w:rPr>
          <w:color w:val="000000"/>
        </w:rPr>
        <w:t>ACRES</w:t>
      </w:r>
      <w:r>
        <w:rPr>
          <w:color w:val="000000"/>
        </w:rPr>
        <w:t xml:space="preserve"> to maintain information on all of its Brownfields </w:t>
      </w:r>
      <w:r w:rsidR="00593B2D">
        <w:rPr>
          <w:color w:val="000000"/>
        </w:rPr>
        <w:lastRenderedPageBreak/>
        <w:t xml:space="preserve">cooperative agreements’ </w:t>
      </w:r>
      <w:r>
        <w:rPr>
          <w:color w:val="000000"/>
        </w:rPr>
        <w:t>property specific activities, develop reports to support management and program evaluation activities, and to report accomplishments achieved as part of the Agency’s responsibilities under GPRA.</w:t>
      </w:r>
      <w:r w:rsidR="009D7777">
        <w:rPr>
          <w:color w:val="000000"/>
        </w:rPr>
        <w:t xml:space="preserve">  For the additional Job Training questions, the </w:t>
      </w:r>
      <w:r w:rsidR="003E5635">
        <w:rPr>
          <w:color w:val="000000"/>
        </w:rPr>
        <w:t xml:space="preserve">additional </w:t>
      </w:r>
      <w:r w:rsidR="009D7777">
        <w:rPr>
          <w:color w:val="000000"/>
        </w:rPr>
        <w:t>information</w:t>
      </w:r>
      <w:r w:rsidR="003E5635">
        <w:rPr>
          <w:color w:val="000000"/>
        </w:rPr>
        <w:t xml:space="preserve"> collected</w:t>
      </w:r>
      <w:r w:rsidR="009D7777">
        <w:rPr>
          <w:color w:val="000000"/>
        </w:rPr>
        <w:t xml:space="preserve"> will help the agen</w:t>
      </w:r>
      <w:r w:rsidR="003E5635">
        <w:rPr>
          <w:color w:val="000000"/>
        </w:rPr>
        <w:t>cy respond to internal inquiries</w:t>
      </w:r>
      <w:r w:rsidR="004939BE">
        <w:rPr>
          <w:color w:val="000000"/>
        </w:rPr>
        <w:t xml:space="preserve"> </w:t>
      </w:r>
      <w:r w:rsidR="00875349">
        <w:rPr>
          <w:color w:val="000000"/>
        </w:rPr>
        <w:t>regarding</w:t>
      </w:r>
      <w:r w:rsidR="009D7777">
        <w:rPr>
          <w:color w:val="000000"/>
        </w:rPr>
        <w:t xml:space="preserve"> who is benefiting </w:t>
      </w:r>
      <w:r w:rsidR="003E5635">
        <w:rPr>
          <w:color w:val="000000"/>
        </w:rPr>
        <w:t>from the training opportunities</w:t>
      </w:r>
      <w:r w:rsidR="004939BE">
        <w:rPr>
          <w:color w:val="000000"/>
        </w:rPr>
        <w:t xml:space="preserve"> funded through Brownfield cooperative agreements</w:t>
      </w:r>
      <w:r w:rsidR="003E5635">
        <w:rPr>
          <w:color w:val="000000"/>
        </w:rPr>
        <w:t>.</w:t>
      </w:r>
    </w:p>
    <w:p w:rsidR="00351AA9" w:rsidRDefault="00351AA9">
      <w:pPr>
        <w:rPr>
          <w:color w:val="000000"/>
        </w:rPr>
      </w:pPr>
    </w:p>
    <w:p w:rsidR="00A2708C" w:rsidRPr="002573BD" w:rsidRDefault="00A2708C">
      <w:pPr>
        <w:rPr>
          <w:color w:val="365F91"/>
        </w:rPr>
      </w:pPr>
      <w:r>
        <w:rPr>
          <w:color w:val="000000"/>
        </w:rPr>
        <w:tab/>
        <w:t xml:space="preserve">5(b).  Collection Methodology and Management – EPA will collect data under this ICR using a standard set of forms, instructions, and guidance that are designed to simplify and facilitate the reporting requirements for recipients.  In fulfilling the requirements </w:t>
      </w:r>
      <w:r w:rsidR="00932656">
        <w:rPr>
          <w:color w:val="000000"/>
        </w:rPr>
        <w:t>under</w:t>
      </w:r>
      <w:r>
        <w:rPr>
          <w:color w:val="000000"/>
        </w:rPr>
        <w:t xml:space="preserve"> the Government Paperwork Elimination Act (Public Law 105-277), EPA develop</w:t>
      </w:r>
      <w:r w:rsidR="00932656">
        <w:rPr>
          <w:color w:val="000000"/>
        </w:rPr>
        <w:t xml:space="preserve">ed </w:t>
      </w:r>
      <w:r>
        <w:rPr>
          <w:color w:val="000000"/>
        </w:rPr>
        <w:t>an electronic reporting process that will allow recipients to report their data electronically.  This electronic reporting process</w:t>
      </w:r>
      <w:r w:rsidR="002573BD">
        <w:rPr>
          <w:color w:val="000000"/>
        </w:rPr>
        <w:t xml:space="preserve"> is</w:t>
      </w:r>
      <w:r>
        <w:rPr>
          <w:color w:val="000000"/>
        </w:rPr>
        <w:t xml:space="preserve"> integrated with EPA’s Enterprise Architecture to further streamline the Agency’s data management and reporting responsibilities.  EPA </w:t>
      </w:r>
      <w:r w:rsidR="00932656">
        <w:rPr>
          <w:color w:val="000000"/>
        </w:rPr>
        <w:t>released the</w:t>
      </w:r>
      <w:r>
        <w:rPr>
          <w:color w:val="000000"/>
        </w:rPr>
        <w:t xml:space="preserve"> electronic reporting process </w:t>
      </w:r>
      <w:r w:rsidR="00932656">
        <w:rPr>
          <w:color w:val="000000"/>
        </w:rPr>
        <w:t>in January 2007 and all Brownfields recipients starting from FY 2003 have been given access</w:t>
      </w:r>
      <w:r>
        <w:rPr>
          <w:color w:val="000000"/>
        </w:rPr>
        <w:t xml:space="preserve">.  EPA </w:t>
      </w:r>
      <w:r w:rsidR="00932656">
        <w:rPr>
          <w:color w:val="000000"/>
        </w:rPr>
        <w:t>has</w:t>
      </w:r>
      <w:r>
        <w:rPr>
          <w:color w:val="000000"/>
        </w:rPr>
        <w:t xml:space="preserve"> modif</w:t>
      </w:r>
      <w:r w:rsidR="00932656">
        <w:rPr>
          <w:color w:val="000000"/>
        </w:rPr>
        <w:t xml:space="preserve">ied </w:t>
      </w:r>
      <w:r>
        <w:rPr>
          <w:color w:val="000000"/>
        </w:rPr>
        <w:t>its reporting guidance and provide</w:t>
      </w:r>
      <w:r w:rsidR="00932656">
        <w:rPr>
          <w:color w:val="000000"/>
        </w:rPr>
        <w:t>s</w:t>
      </w:r>
      <w:r>
        <w:rPr>
          <w:color w:val="000000"/>
        </w:rPr>
        <w:t xml:space="preserve"> training </w:t>
      </w:r>
      <w:r w:rsidR="00932656">
        <w:rPr>
          <w:color w:val="000000"/>
        </w:rPr>
        <w:t xml:space="preserve">on </w:t>
      </w:r>
      <w:r>
        <w:rPr>
          <w:color w:val="000000"/>
        </w:rPr>
        <w:t xml:space="preserve">the electronic reporting process.  </w:t>
      </w:r>
      <w:r w:rsidRPr="00F14AC5">
        <w:rPr>
          <w:color w:val="000000"/>
        </w:rPr>
        <w:t xml:space="preserve">EPA </w:t>
      </w:r>
      <w:r w:rsidR="00F14AC5" w:rsidRPr="00F14AC5">
        <w:rPr>
          <w:color w:val="000000"/>
        </w:rPr>
        <w:t xml:space="preserve">has achieved positive returns in user acceptance of the electronic reporting process since its release and continues to </w:t>
      </w:r>
      <w:r w:rsidRPr="00F14AC5">
        <w:rPr>
          <w:color w:val="000000"/>
        </w:rPr>
        <w:t>anticipate that the electronic reporting process may reduce the burden placed on recipients</w:t>
      </w:r>
      <w:r w:rsidR="00F14AC5">
        <w:rPr>
          <w:color w:val="000000"/>
        </w:rPr>
        <w:t xml:space="preserve"> during the next three years of this ICR</w:t>
      </w:r>
      <w:r w:rsidR="00F14AC5" w:rsidRPr="00F14AC5">
        <w:rPr>
          <w:color w:val="000000"/>
        </w:rPr>
        <w:t xml:space="preserve">. </w:t>
      </w:r>
      <w:r w:rsidR="002573BD">
        <w:rPr>
          <w:color w:val="000000"/>
        </w:rPr>
        <w:t xml:space="preserve"> </w:t>
      </w:r>
      <w:r w:rsidR="00D74AE4">
        <w:rPr>
          <w:color w:val="000000"/>
        </w:rPr>
        <w:t xml:space="preserve">Through improvements to ACRES and greater </w:t>
      </w:r>
      <w:r w:rsidR="005D6497">
        <w:rPr>
          <w:color w:val="000000"/>
        </w:rPr>
        <w:t>recipient</w:t>
      </w:r>
      <w:r w:rsidR="00D74AE4">
        <w:rPr>
          <w:color w:val="000000"/>
        </w:rPr>
        <w:t xml:space="preserve"> experience, it is estimated that the re</w:t>
      </w:r>
      <w:r w:rsidR="0002602E">
        <w:rPr>
          <w:color w:val="000000"/>
        </w:rPr>
        <w:t xml:space="preserve">porting burden will </w:t>
      </w:r>
      <w:r w:rsidR="00D74AE4">
        <w:rPr>
          <w:color w:val="000000"/>
        </w:rPr>
        <w:t xml:space="preserve">decrease. </w:t>
      </w:r>
    </w:p>
    <w:p w:rsidR="00A2708C" w:rsidRDefault="00A2708C">
      <w:pPr>
        <w:rPr>
          <w:color w:val="000000"/>
        </w:rPr>
      </w:pPr>
    </w:p>
    <w:p w:rsidR="00D61F43" w:rsidRDefault="00D61F43">
      <w:pPr>
        <w:rPr>
          <w:color w:val="000000"/>
        </w:rPr>
      </w:pPr>
    </w:p>
    <w:p w:rsidR="00A2708C" w:rsidRDefault="00A2708C" w:rsidP="00B25B7A">
      <w:pPr>
        <w:ind w:firstLine="720"/>
        <w:rPr>
          <w:color w:val="000000"/>
        </w:rPr>
      </w:pPr>
      <w:r>
        <w:rPr>
          <w:color w:val="000000"/>
        </w:rPr>
        <w:t>5(c).  Small Entity Flexibility – This information collection request is expected to affect small governmental jurisdictions, which are defined as governments of cities, counties, towns, townships, villages, school districts, or special districts with populations of less than 50,000.  This definition may also include Indian Tribes, in keeping with the President’s Federal Indian Policy.  EPA has considered whether to establish different reporting requirements for small entities and has determined that: (1) different reporting requirements among recipients will result in inconsistent data that may lessen the Agency’s ability to oversee and report on program activities and accomplishments; (2) the burden imposed by this information collection is relatively small and small entities should not be unduly burdened by the reporting requirement; and (3) the Brownfields program is voluntary and respondents who elect to participate in this program have determined that the expected benefits of participation outweigh any burden associated with preparing the response.</w:t>
      </w:r>
    </w:p>
    <w:p w:rsidR="00A2708C" w:rsidRDefault="00A2708C">
      <w:pPr>
        <w:rPr>
          <w:color w:val="000000"/>
        </w:rPr>
      </w:pPr>
    </w:p>
    <w:p w:rsidR="00A2708C" w:rsidRDefault="00A2708C">
      <w:pPr>
        <w:rPr>
          <w:color w:val="000000"/>
        </w:rPr>
      </w:pPr>
      <w:r>
        <w:rPr>
          <w:color w:val="000000"/>
        </w:rPr>
        <w:tab/>
        <w:t>5(d).  Collection Schedule – The information to be collected under this ICR for subtitle A assessment, cleanup</w:t>
      </w:r>
      <w:r w:rsidR="00FC5AF0">
        <w:rPr>
          <w:color w:val="000000"/>
        </w:rPr>
        <w:t>,</w:t>
      </w:r>
      <w:r>
        <w:rPr>
          <w:color w:val="000000"/>
        </w:rPr>
        <w:t xml:space="preserve"> and revolving loan fund recipients shall not occur more frequently than quarterly and no more than twice a year for subtitle C property specific activities.  Brownfields </w:t>
      </w:r>
      <w:r w:rsidR="0053376C">
        <w:rPr>
          <w:color w:val="000000"/>
        </w:rPr>
        <w:t>Job Training</w:t>
      </w:r>
      <w:r>
        <w:rPr>
          <w:color w:val="000000"/>
        </w:rPr>
        <w:t xml:space="preserve"> recipients must complete and/or update their Brownfields </w:t>
      </w:r>
      <w:r w:rsidR="0053376C">
        <w:rPr>
          <w:color w:val="000000"/>
        </w:rPr>
        <w:t>Job Training</w:t>
      </w:r>
      <w:r>
        <w:rPr>
          <w:color w:val="000000"/>
        </w:rPr>
        <w:t xml:space="preserve"> Performance Form every quarter.  For subtitle A assessment, cleanup, revolving loan fund </w:t>
      </w:r>
      <w:r w:rsidR="00593B2D">
        <w:rPr>
          <w:color w:val="000000"/>
        </w:rPr>
        <w:t>cooperative agreements</w:t>
      </w:r>
      <w:r>
        <w:rPr>
          <w:color w:val="000000"/>
        </w:rPr>
        <w:t xml:space="preserve">, and subtitle C property specific activities, recipients will be required to prepare an initial Property Profile </w:t>
      </w:r>
      <w:r w:rsidR="00A545AA">
        <w:rPr>
          <w:color w:val="000000"/>
        </w:rPr>
        <w:t>F</w:t>
      </w:r>
      <w:r>
        <w:rPr>
          <w:color w:val="000000"/>
        </w:rPr>
        <w:t xml:space="preserve">orm for each </w:t>
      </w:r>
      <w:r w:rsidRPr="00F14AC5">
        <w:rPr>
          <w:color w:val="000000"/>
        </w:rPr>
        <w:t xml:space="preserve">property at which the </w:t>
      </w:r>
      <w:r w:rsidR="005D6497">
        <w:rPr>
          <w:color w:val="000000"/>
        </w:rPr>
        <w:t xml:space="preserve">cooperative agreement </w:t>
      </w:r>
      <w:r w:rsidR="00044B08">
        <w:rPr>
          <w:color w:val="000000"/>
        </w:rPr>
        <w:t xml:space="preserve">starts </w:t>
      </w:r>
      <w:r w:rsidRPr="00F14AC5">
        <w:rPr>
          <w:color w:val="000000"/>
        </w:rPr>
        <w:t>to address</w:t>
      </w:r>
      <w:r>
        <w:rPr>
          <w:color w:val="000000"/>
        </w:rPr>
        <w:t xml:space="preserve">, and to update the Property Profile forms for only those properties in which notable activities or changes have occurred during the last reporting period. </w:t>
      </w:r>
    </w:p>
    <w:p w:rsidR="00F14AC5" w:rsidRDefault="00F14AC5">
      <w:pPr>
        <w:rPr>
          <w:b/>
          <w:color w:val="000000"/>
        </w:rPr>
      </w:pPr>
    </w:p>
    <w:p w:rsidR="00A2708C" w:rsidRDefault="00A2708C">
      <w:pPr>
        <w:rPr>
          <w:b/>
          <w:color w:val="000000"/>
        </w:rPr>
      </w:pPr>
      <w:r>
        <w:rPr>
          <w:b/>
          <w:color w:val="000000"/>
        </w:rPr>
        <w:t xml:space="preserve">6. </w:t>
      </w:r>
      <w:r>
        <w:rPr>
          <w:b/>
          <w:color w:val="000000"/>
          <w:u w:val="single"/>
        </w:rPr>
        <w:t>Estimating the Burden and Cost of the Collection</w:t>
      </w:r>
      <w:r>
        <w:rPr>
          <w:b/>
          <w:color w:val="000000"/>
        </w:rPr>
        <w:t xml:space="preserve"> </w:t>
      </w:r>
    </w:p>
    <w:p w:rsidR="00A2708C" w:rsidRDefault="00A2708C">
      <w:pPr>
        <w:rPr>
          <w:color w:val="000000"/>
        </w:rPr>
      </w:pPr>
      <w:r>
        <w:rPr>
          <w:color w:val="000000"/>
        </w:rPr>
        <w:tab/>
      </w:r>
    </w:p>
    <w:p w:rsidR="00A2708C" w:rsidRDefault="00A2708C">
      <w:pPr>
        <w:rPr>
          <w:color w:val="000000"/>
        </w:rPr>
      </w:pPr>
      <w:r>
        <w:rPr>
          <w:color w:val="000000"/>
        </w:rPr>
        <w:lastRenderedPageBreak/>
        <w:tab/>
        <w:t>6(a).  Estimating respondent burden - A “unit” burden is the burden incurred by a respondent for performing a specific activity that is not covered by another ICR (such as 40 CFR Parts 30 and 31).  The estimated burden is incurred by the following activities:</w:t>
      </w:r>
    </w:p>
    <w:p w:rsidR="00A2708C" w:rsidRDefault="00A2708C">
      <w:pPr>
        <w:rPr>
          <w:color w:val="000000"/>
        </w:rPr>
      </w:pPr>
    </w:p>
    <w:p w:rsidR="00A2708C" w:rsidRDefault="00A2708C" w:rsidP="00545B76">
      <w:pPr>
        <w:pStyle w:val="Level1"/>
        <w:widowControl/>
        <w:numPr>
          <w:ilvl w:val="0"/>
          <w:numId w:val="2"/>
        </w:numPr>
        <w:rPr>
          <w:color w:val="000000"/>
        </w:rPr>
      </w:pPr>
      <w:r>
        <w:rPr>
          <w:color w:val="000000"/>
        </w:rPr>
        <w:tab/>
        <w:t xml:space="preserve">Completion of the Brownfields </w:t>
      </w:r>
      <w:r w:rsidR="0053376C">
        <w:rPr>
          <w:color w:val="000000"/>
        </w:rPr>
        <w:t>Job Training</w:t>
      </w:r>
      <w:r>
        <w:rPr>
          <w:color w:val="000000"/>
        </w:rPr>
        <w:t xml:space="preserve"> Reporting Form;</w:t>
      </w:r>
    </w:p>
    <w:p w:rsidR="00A2708C" w:rsidRDefault="00A2708C">
      <w:pPr>
        <w:rPr>
          <w:color w:val="000000"/>
        </w:rPr>
      </w:pPr>
    </w:p>
    <w:p w:rsidR="00A2708C" w:rsidRDefault="00A2708C" w:rsidP="00545B76">
      <w:pPr>
        <w:pStyle w:val="Level1"/>
        <w:widowControl/>
        <w:numPr>
          <w:ilvl w:val="0"/>
          <w:numId w:val="3"/>
        </w:numPr>
        <w:rPr>
          <w:color w:val="000000"/>
        </w:rPr>
      </w:pPr>
      <w:r>
        <w:rPr>
          <w:color w:val="000000"/>
        </w:rPr>
        <w:tab/>
        <w:t>Initial completion of the Brownfields Property Profile Form;</w:t>
      </w:r>
      <w:r w:rsidR="00484C80">
        <w:rPr>
          <w:color w:val="000000"/>
        </w:rPr>
        <w:t xml:space="preserve"> and</w:t>
      </w:r>
    </w:p>
    <w:p w:rsidR="00A2708C" w:rsidRDefault="00A2708C">
      <w:pPr>
        <w:rPr>
          <w:color w:val="000000"/>
        </w:rPr>
      </w:pPr>
    </w:p>
    <w:p w:rsidR="00A2708C" w:rsidRDefault="00A2708C" w:rsidP="009405B4">
      <w:pPr>
        <w:pStyle w:val="Level1"/>
        <w:widowControl/>
        <w:numPr>
          <w:ilvl w:val="0"/>
          <w:numId w:val="4"/>
        </w:numPr>
        <w:tabs>
          <w:tab w:val="clear" w:pos="360"/>
          <w:tab w:val="left" w:pos="720"/>
        </w:tabs>
        <w:ind w:left="720" w:hanging="720"/>
        <w:rPr>
          <w:color w:val="000000"/>
        </w:rPr>
      </w:pPr>
      <w:r>
        <w:rPr>
          <w:color w:val="000000"/>
        </w:rPr>
        <w:t>Periodic updating of the Brownfields Property Profile Form to report progress on specific</w:t>
      </w:r>
      <w:r w:rsidR="00545B76">
        <w:rPr>
          <w:color w:val="000000"/>
        </w:rPr>
        <w:t xml:space="preserve"> </w:t>
      </w:r>
      <w:r>
        <w:rPr>
          <w:color w:val="000000"/>
        </w:rPr>
        <w:t>properties undergoing assessment</w:t>
      </w:r>
      <w:r w:rsidR="00484C80">
        <w:rPr>
          <w:color w:val="000000"/>
        </w:rPr>
        <w:t>, cleanup, or redevelopment.</w:t>
      </w:r>
    </w:p>
    <w:p w:rsidR="00A2708C" w:rsidRDefault="00A2708C">
      <w:pPr>
        <w:rPr>
          <w:color w:val="000000"/>
        </w:rPr>
      </w:pPr>
    </w:p>
    <w:p w:rsidR="00A2708C" w:rsidRDefault="00A2708C">
      <w:pPr>
        <w:rPr>
          <w:color w:val="000000"/>
        </w:rPr>
      </w:pPr>
      <w:r>
        <w:rPr>
          <w:color w:val="000000"/>
        </w:rPr>
        <w:t xml:space="preserve">The estimated burden for respondents is presented in Exhibit 2. </w:t>
      </w:r>
    </w:p>
    <w:p w:rsidR="00A2708C" w:rsidRDefault="00A2708C">
      <w:pPr>
        <w:rPr>
          <w:color w:val="000000"/>
        </w:rPr>
      </w:pPr>
    </w:p>
    <w:p w:rsidR="00A2708C" w:rsidRDefault="00A2708C">
      <w:pPr>
        <w:rPr>
          <w:color w:val="000000"/>
        </w:rPr>
      </w:pPr>
      <w:r>
        <w:rPr>
          <w:color w:val="000000"/>
        </w:rPr>
        <w:tab/>
        <w:t xml:space="preserve">If any burdens were found to be imposed in the ICR by a rule that </w:t>
      </w:r>
      <w:r w:rsidR="002573BD">
        <w:rPr>
          <w:color w:val="000000"/>
        </w:rPr>
        <w:t>supersedes</w:t>
      </w:r>
      <w:r>
        <w:rPr>
          <w:color w:val="000000"/>
        </w:rPr>
        <w:t xml:space="preserve"> the Brownfields Amendments, those burdens, or a percentage of those burdens, were removed from the overall burden calculation in this ICR (see Exhibit 1). </w:t>
      </w:r>
    </w:p>
    <w:p w:rsidR="00A2708C" w:rsidRDefault="00A2708C">
      <w:pPr>
        <w:rPr>
          <w:color w:val="000000"/>
        </w:rPr>
      </w:pPr>
      <w:r>
        <w:rPr>
          <w:color w:val="000000"/>
        </w:rPr>
        <w:t xml:space="preserve"> </w:t>
      </w:r>
    </w:p>
    <w:p w:rsidR="00A2708C" w:rsidRDefault="00A2708C">
      <w:pPr>
        <w:rPr>
          <w:color w:val="000000"/>
        </w:rPr>
      </w:pPr>
      <w:r>
        <w:rPr>
          <w:color w:val="000000"/>
        </w:rPr>
        <w:tab/>
        <w:t xml:space="preserve">6(b).  Estimating respondent costs - To estimate the unit burden (hours) and hourly rate for the original information collection activity, EPA relied on its extensive experience working closely with Brownfields recipients, as well as in-depth interviews with </w:t>
      </w:r>
      <w:r w:rsidR="00D74AE4" w:rsidRPr="00461FE7">
        <w:t>nine</w:t>
      </w:r>
      <w:r>
        <w:rPr>
          <w:color w:val="000000"/>
        </w:rPr>
        <w:t xml:space="preserve"> current or former </w:t>
      </w:r>
      <w:r w:rsidR="0053376C">
        <w:rPr>
          <w:color w:val="000000"/>
        </w:rPr>
        <w:t>Revolving Loan Fund</w:t>
      </w:r>
      <w:r w:rsidR="00217EDA">
        <w:rPr>
          <w:color w:val="000000"/>
        </w:rPr>
        <w:t xml:space="preserve"> (RLF)</w:t>
      </w:r>
      <w:r>
        <w:rPr>
          <w:color w:val="000000"/>
        </w:rPr>
        <w:t xml:space="preserve"> recipients </w:t>
      </w:r>
      <w:r w:rsidR="00D74AE4">
        <w:rPr>
          <w:color w:val="000000"/>
        </w:rPr>
        <w:t xml:space="preserve">and six </w:t>
      </w:r>
      <w:r w:rsidR="0053376C">
        <w:rPr>
          <w:color w:val="000000"/>
        </w:rPr>
        <w:t>Job Training</w:t>
      </w:r>
      <w:r w:rsidR="00D74AE4">
        <w:rPr>
          <w:color w:val="000000"/>
        </w:rPr>
        <w:t xml:space="preserve"> recipients </w:t>
      </w:r>
      <w:r>
        <w:rPr>
          <w:color w:val="000000"/>
        </w:rPr>
        <w:t xml:space="preserve">specific to this ICR.  Those interviewed were shown draft copies of all forms and accompanying instructions and guidance that would be used for reporting and asked to estimate: (1) the number of hours that would be required to perform each task; and (2) the labor mix required to perform each task (e.g., percentage of management, technical, clerical).  The data gathered from these interviews were then analyzed to estimate </w:t>
      </w:r>
      <w:r w:rsidR="009405B4">
        <w:rPr>
          <w:color w:val="000000"/>
        </w:rPr>
        <w:t xml:space="preserve">the unit burden and labor mix. </w:t>
      </w:r>
    </w:p>
    <w:p w:rsidR="00A2708C" w:rsidRDefault="00A2708C">
      <w:pPr>
        <w:rPr>
          <w:color w:val="000000"/>
        </w:rPr>
      </w:pPr>
    </w:p>
    <w:p w:rsidR="00A2708C" w:rsidRDefault="00A2708C">
      <w:pPr>
        <w:rPr>
          <w:color w:val="000000"/>
        </w:rPr>
      </w:pPr>
      <w:r>
        <w:rPr>
          <w:color w:val="000000"/>
        </w:rPr>
        <w:t>For the renewal of this information collection request</w:t>
      </w:r>
      <w:r w:rsidR="009405B4">
        <w:rPr>
          <w:color w:val="000000"/>
        </w:rPr>
        <w:t xml:space="preserve"> in 20</w:t>
      </w:r>
      <w:r w:rsidR="00537F84">
        <w:rPr>
          <w:color w:val="000000"/>
        </w:rPr>
        <w:t>12</w:t>
      </w:r>
      <w:r>
        <w:rPr>
          <w:color w:val="000000"/>
        </w:rPr>
        <w:t xml:space="preserve">, EPA carried forward the same assumptions that were made for the original request. </w:t>
      </w:r>
    </w:p>
    <w:p w:rsidR="00A2708C" w:rsidRDefault="00A2708C">
      <w:pPr>
        <w:rPr>
          <w:color w:val="000000"/>
        </w:rPr>
      </w:pPr>
    </w:p>
    <w:p w:rsidR="00A2708C" w:rsidRDefault="009405B4" w:rsidP="00FE1B9B">
      <w:pPr>
        <w:rPr>
          <w:b/>
          <w:color w:val="000000"/>
        </w:rPr>
      </w:pPr>
      <w:r>
        <w:rPr>
          <w:color w:val="000000"/>
        </w:rPr>
        <w:t xml:space="preserve">For this </w:t>
      </w:r>
      <w:r w:rsidR="00940935">
        <w:rPr>
          <w:color w:val="000000"/>
        </w:rPr>
        <w:t>revision</w:t>
      </w:r>
      <w:r>
        <w:rPr>
          <w:color w:val="000000"/>
        </w:rPr>
        <w:t>, the forms and d</w:t>
      </w:r>
      <w:r w:rsidR="00940935">
        <w:rPr>
          <w:color w:val="000000"/>
        </w:rPr>
        <w:t>ata collection minimally changed</w:t>
      </w:r>
      <w:r>
        <w:rPr>
          <w:color w:val="000000"/>
        </w:rPr>
        <w:t xml:space="preserve">. To estimate the unit burden (hours) and hourly rate for the renewed information collection activity, EPA conducted in-depth interviews with </w:t>
      </w:r>
      <w:r w:rsidR="00B34F46" w:rsidRPr="00461FE7">
        <w:t xml:space="preserve">nine </w:t>
      </w:r>
      <w:r>
        <w:rPr>
          <w:color w:val="000000"/>
        </w:rPr>
        <w:t xml:space="preserve">current </w:t>
      </w:r>
      <w:r w:rsidR="00B34F46">
        <w:rPr>
          <w:color w:val="000000"/>
        </w:rPr>
        <w:t xml:space="preserve">RLF </w:t>
      </w:r>
      <w:r>
        <w:rPr>
          <w:color w:val="000000"/>
        </w:rPr>
        <w:t>recipients specific to this ICR.  Those interviewed were shown draft copies of the new fields and accompanying instructions and guidance that would be used for reporting and asked to estimate: (1) the number of hours that would be required to perform each task; and (2) the labor mix required to perform each task (e.g., percentage of management, technical, clerical).  The data gathered from these interviews were then analyzed to estimate the unit burden and labor mix.</w:t>
      </w:r>
    </w:p>
    <w:p w:rsidR="00D541BF" w:rsidRDefault="00D541BF">
      <w:pPr>
        <w:jc w:val="center"/>
        <w:rPr>
          <w:color w:val="000000"/>
        </w:rPr>
      </w:pPr>
    </w:p>
    <w:p w:rsidR="006C6431" w:rsidRDefault="00D541BF">
      <w:pPr>
        <w:rPr>
          <w:color w:val="000000"/>
        </w:rPr>
      </w:pPr>
      <w:r>
        <w:rPr>
          <w:color w:val="000000"/>
        </w:rPr>
        <w:br w:type="page"/>
      </w:r>
    </w:p>
    <w:tbl>
      <w:tblPr>
        <w:tblpPr w:leftFromText="180" w:rightFromText="180" w:vertAnchor="page" w:horzAnchor="page" w:tblpX="659" w:tblpY="392"/>
        <w:tblW w:w="10278" w:type="dxa"/>
        <w:tblLayout w:type="fixed"/>
        <w:tblLook w:val="04A0"/>
      </w:tblPr>
      <w:tblGrid>
        <w:gridCol w:w="3888"/>
        <w:gridCol w:w="900"/>
        <w:gridCol w:w="1080"/>
        <w:gridCol w:w="990"/>
        <w:gridCol w:w="1260"/>
        <w:gridCol w:w="990"/>
        <w:gridCol w:w="1170"/>
      </w:tblGrid>
      <w:tr w:rsidR="00DC1648" w:rsidRPr="00D541BF" w:rsidTr="00DC1648">
        <w:trPr>
          <w:trHeight w:val="986"/>
        </w:trPr>
        <w:tc>
          <w:tcPr>
            <w:tcW w:w="3888" w:type="dxa"/>
            <w:tcBorders>
              <w:top w:val="nil"/>
              <w:left w:val="single" w:sz="12" w:space="0" w:color="000000"/>
              <w:bottom w:val="nil"/>
              <w:right w:val="single" w:sz="12" w:space="0" w:color="000000"/>
            </w:tcBorders>
            <w:shd w:val="clear" w:color="auto" w:fill="auto"/>
            <w:hideMark/>
          </w:tcPr>
          <w:p w:rsidR="00D541BF" w:rsidRPr="00D541BF" w:rsidRDefault="00D541BF" w:rsidP="00DC1648">
            <w:pPr>
              <w:jc w:val="center"/>
              <w:rPr>
                <w:b/>
                <w:bCs/>
                <w:color w:val="000000"/>
                <w:szCs w:val="24"/>
              </w:rPr>
            </w:pPr>
            <w:r w:rsidRPr="00D541BF">
              <w:rPr>
                <w:b/>
                <w:bCs/>
                <w:color w:val="000000"/>
                <w:szCs w:val="24"/>
              </w:rPr>
              <w:lastRenderedPageBreak/>
              <w:t>Activity (non-profits)</w:t>
            </w:r>
          </w:p>
        </w:tc>
        <w:tc>
          <w:tcPr>
            <w:tcW w:w="900" w:type="dxa"/>
            <w:tcBorders>
              <w:top w:val="nil"/>
              <w:left w:val="nil"/>
              <w:bottom w:val="single" w:sz="12" w:space="0" w:color="auto"/>
              <w:right w:val="single" w:sz="8" w:space="0" w:color="000000"/>
            </w:tcBorders>
            <w:shd w:val="clear" w:color="auto" w:fill="auto"/>
            <w:hideMark/>
          </w:tcPr>
          <w:p w:rsidR="00D541BF" w:rsidRPr="00D541BF" w:rsidRDefault="00D541BF" w:rsidP="00DC1648">
            <w:pPr>
              <w:jc w:val="center"/>
              <w:rPr>
                <w:b/>
                <w:bCs/>
                <w:color w:val="000000"/>
                <w:sz w:val="20"/>
              </w:rPr>
            </w:pPr>
            <w:r w:rsidRPr="00D541BF">
              <w:rPr>
                <w:b/>
                <w:bCs/>
                <w:color w:val="000000"/>
                <w:sz w:val="20"/>
              </w:rPr>
              <w:t>Unit Burden (Hours)</w:t>
            </w:r>
          </w:p>
        </w:tc>
        <w:tc>
          <w:tcPr>
            <w:tcW w:w="1080" w:type="dxa"/>
            <w:tcBorders>
              <w:top w:val="nil"/>
              <w:left w:val="nil"/>
              <w:bottom w:val="nil"/>
              <w:right w:val="single" w:sz="12" w:space="0" w:color="000000"/>
            </w:tcBorders>
            <w:shd w:val="clear" w:color="auto" w:fill="auto"/>
            <w:hideMark/>
          </w:tcPr>
          <w:p w:rsidR="00D541BF" w:rsidRPr="00D541BF" w:rsidRDefault="00D541BF" w:rsidP="00DC1648">
            <w:pPr>
              <w:jc w:val="center"/>
              <w:rPr>
                <w:b/>
                <w:bCs/>
                <w:color w:val="000000"/>
                <w:sz w:val="20"/>
              </w:rPr>
            </w:pPr>
            <w:r w:rsidRPr="00D541BF">
              <w:rPr>
                <w:b/>
                <w:bCs/>
                <w:color w:val="000000"/>
                <w:sz w:val="20"/>
              </w:rPr>
              <w:t>Unit Labor Cost (Dollars)</w:t>
            </w:r>
          </w:p>
        </w:tc>
        <w:tc>
          <w:tcPr>
            <w:tcW w:w="990" w:type="dxa"/>
            <w:tcBorders>
              <w:top w:val="nil"/>
              <w:left w:val="nil"/>
              <w:bottom w:val="single" w:sz="12" w:space="0" w:color="auto"/>
              <w:right w:val="single" w:sz="12" w:space="0" w:color="000000"/>
            </w:tcBorders>
            <w:shd w:val="clear" w:color="auto" w:fill="auto"/>
            <w:hideMark/>
          </w:tcPr>
          <w:p w:rsidR="00D541BF" w:rsidRPr="00D541BF" w:rsidRDefault="00D541BF" w:rsidP="00DC1648">
            <w:pPr>
              <w:jc w:val="center"/>
              <w:rPr>
                <w:b/>
                <w:bCs/>
                <w:color w:val="000000"/>
                <w:sz w:val="20"/>
              </w:rPr>
            </w:pPr>
            <w:r w:rsidRPr="00D541BF">
              <w:rPr>
                <w:b/>
                <w:bCs/>
                <w:color w:val="000000"/>
                <w:sz w:val="20"/>
              </w:rPr>
              <w:t>Total Unit Cost (Dollars)</w:t>
            </w:r>
          </w:p>
        </w:tc>
        <w:tc>
          <w:tcPr>
            <w:tcW w:w="1260" w:type="dxa"/>
            <w:tcBorders>
              <w:top w:val="nil"/>
              <w:left w:val="nil"/>
              <w:bottom w:val="single" w:sz="12" w:space="0" w:color="auto"/>
              <w:right w:val="single" w:sz="12" w:space="0" w:color="000000"/>
            </w:tcBorders>
            <w:shd w:val="clear" w:color="auto" w:fill="auto"/>
            <w:hideMark/>
          </w:tcPr>
          <w:p w:rsidR="00D541BF" w:rsidRPr="00D541BF" w:rsidRDefault="00D541BF" w:rsidP="00DC1648">
            <w:pPr>
              <w:jc w:val="center"/>
              <w:rPr>
                <w:b/>
                <w:bCs/>
                <w:color w:val="000000"/>
                <w:sz w:val="20"/>
              </w:rPr>
            </w:pPr>
            <w:r w:rsidRPr="00D541BF">
              <w:rPr>
                <w:b/>
                <w:bCs/>
                <w:color w:val="000000"/>
                <w:sz w:val="20"/>
              </w:rPr>
              <w:t>Average Number of Responses/Year*</w:t>
            </w:r>
          </w:p>
        </w:tc>
        <w:tc>
          <w:tcPr>
            <w:tcW w:w="990" w:type="dxa"/>
            <w:tcBorders>
              <w:top w:val="nil"/>
              <w:left w:val="nil"/>
              <w:bottom w:val="nil"/>
              <w:right w:val="single" w:sz="8" w:space="0" w:color="000000"/>
            </w:tcBorders>
            <w:shd w:val="clear" w:color="auto" w:fill="auto"/>
            <w:hideMark/>
          </w:tcPr>
          <w:p w:rsidR="00D541BF" w:rsidRPr="00D541BF" w:rsidRDefault="00D541BF" w:rsidP="00DC1648">
            <w:pPr>
              <w:jc w:val="center"/>
              <w:rPr>
                <w:b/>
                <w:bCs/>
                <w:color w:val="000000"/>
                <w:sz w:val="20"/>
              </w:rPr>
            </w:pPr>
            <w:r w:rsidRPr="00D541BF">
              <w:rPr>
                <w:b/>
                <w:bCs/>
                <w:color w:val="000000"/>
                <w:sz w:val="20"/>
              </w:rPr>
              <w:t>Total Burden Hours/</w:t>
            </w:r>
            <w:r w:rsidR="00DC1648">
              <w:rPr>
                <w:b/>
                <w:bCs/>
                <w:color w:val="000000"/>
                <w:sz w:val="20"/>
              </w:rPr>
              <w:t xml:space="preserve"> </w:t>
            </w:r>
            <w:r w:rsidRPr="00D541BF">
              <w:rPr>
                <w:b/>
                <w:bCs/>
                <w:color w:val="000000"/>
                <w:sz w:val="20"/>
              </w:rPr>
              <w:t>Year*</w:t>
            </w:r>
          </w:p>
        </w:tc>
        <w:tc>
          <w:tcPr>
            <w:tcW w:w="1170" w:type="dxa"/>
            <w:tcBorders>
              <w:top w:val="nil"/>
              <w:left w:val="nil"/>
              <w:bottom w:val="single" w:sz="12" w:space="0" w:color="auto"/>
              <w:right w:val="single" w:sz="12" w:space="0" w:color="000000"/>
            </w:tcBorders>
            <w:shd w:val="clear" w:color="auto" w:fill="auto"/>
            <w:hideMark/>
          </w:tcPr>
          <w:p w:rsidR="00D541BF" w:rsidRPr="00D541BF" w:rsidRDefault="00D541BF" w:rsidP="00DC1648">
            <w:pPr>
              <w:jc w:val="center"/>
              <w:rPr>
                <w:b/>
                <w:bCs/>
                <w:color w:val="000000"/>
                <w:sz w:val="20"/>
              </w:rPr>
            </w:pPr>
            <w:r w:rsidRPr="00D541BF">
              <w:rPr>
                <w:b/>
                <w:bCs/>
                <w:color w:val="000000"/>
                <w:sz w:val="20"/>
              </w:rPr>
              <w:t>Total Cost/</w:t>
            </w:r>
            <w:r w:rsidR="00DC1648">
              <w:rPr>
                <w:b/>
                <w:bCs/>
                <w:color w:val="000000"/>
                <w:sz w:val="20"/>
              </w:rPr>
              <w:t xml:space="preserve"> </w:t>
            </w:r>
            <w:r w:rsidRPr="00D541BF">
              <w:rPr>
                <w:b/>
                <w:bCs/>
                <w:color w:val="000000"/>
                <w:sz w:val="20"/>
              </w:rPr>
              <w:t>Year (Dollars)*</w:t>
            </w:r>
          </w:p>
        </w:tc>
      </w:tr>
      <w:tr w:rsidR="00DC1648" w:rsidRPr="00D541BF" w:rsidTr="00DC1648">
        <w:trPr>
          <w:trHeight w:val="330"/>
        </w:trPr>
        <w:tc>
          <w:tcPr>
            <w:tcW w:w="3888" w:type="dxa"/>
            <w:tcBorders>
              <w:top w:val="single" w:sz="12" w:space="0" w:color="auto"/>
              <w:left w:val="single" w:sz="12" w:space="0" w:color="000000"/>
              <w:bottom w:val="single" w:sz="8" w:space="0" w:color="000000"/>
              <w:right w:val="single" w:sz="12" w:space="0" w:color="000000"/>
            </w:tcBorders>
            <w:shd w:val="clear" w:color="auto" w:fill="auto"/>
            <w:hideMark/>
          </w:tcPr>
          <w:p w:rsidR="00D541BF" w:rsidRPr="00D541BF" w:rsidRDefault="00D541BF" w:rsidP="00DC1648">
            <w:pPr>
              <w:rPr>
                <w:color w:val="000000"/>
                <w:sz w:val="20"/>
              </w:rPr>
            </w:pPr>
            <w:r w:rsidRPr="00D541BF">
              <w:rPr>
                <w:color w:val="000000"/>
                <w:sz w:val="20"/>
              </w:rPr>
              <w:t>Job Training Reporting Form (non-profits)</w:t>
            </w:r>
          </w:p>
        </w:tc>
        <w:tc>
          <w:tcPr>
            <w:tcW w:w="900" w:type="dxa"/>
            <w:tcBorders>
              <w:top w:val="nil"/>
              <w:left w:val="nil"/>
              <w:bottom w:val="single" w:sz="8" w:space="0" w:color="000000"/>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4</w:t>
            </w:r>
          </w:p>
        </w:tc>
        <w:tc>
          <w:tcPr>
            <w:tcW w:w="1080" w:type="dxa"/>
            <w:tcBorders>
              <w:top w:val="single" w:sz="12" w:space="0" w:color="auto"/>
              <w:left w:val="nil"/>
              <w:bottom w:val="nil"/>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$82.00 </w:t>
            </w:r>
          </w:p>
        </w:tc>
        <w:tc>
          <w:tcPr>
            <w:tcW w:w="99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$328.00 </w:t>
            </w:r>
          </w:p>
        </w:tc>
        <w:tc>
          <w:tcPr>
            <w:tcW w:w="126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18</w:t>
            </w:r>
          </w:p>
        </w:tc>
        <w:tc>
          <w:tcPr>
            <w:tcW w:w="990" w:type="dxa"/>
            <w:tcBorders>
              <w:top w:val="single" w:sz="12" w:space="0" w:color="auto"/>
              <w:left w:val="nil"/>
              <w:bottom w:val="nil"/>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73</w:t>
            </w:r>
          </w:p>
        </w:tc>
        <w:tc>
          <w:tcPr>
            <w:tcW w:w="117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$5,904 </w:t>
            </w:r>
          </w:p>
        </w:tc>
      </w:tr>
      <w:tr w:rsidR="00DC1648" w:rsidRPr="00D541BF" w:rsidTr="00DC1648">
        <w:trPr>
          <w:trHeight w:val="525"/>
        </w:trPr>
        <w:tc>
          <w:tcPr>
            <w:tcW w:w="3888" w:type="dxa"/>
            <w:tcBorders>
              <w:top w:val="nil"/>
              <w:left w:val="single" w:sz="12" w:space="0" w:color="000000"/>
              <w:bottom w:val="single" w:sz="8" w:space="0" w:color="000000"/>
              <w:right w:val="single" w:sz="12" w:space="0" w:color="000000"/>
            </w:tcBorders>
            <w:shd w:val="clear" w:color="auto" w:fill="auto"/>
            <w:hideMark/>
          </w:tcPr>
          <w:p w:rsidR="00D541BF" w:rsidRPr="00D541BF" w:rsidRDefault="00D541BF" w:rsidP="00DC1648">
            <w:pPr>
              <w:rPr>
                <w:color w:val="000000"/>
                <w:sz w:val="20"/>
              </w:rPr>
            </w:pPr>
            <w:r w:rsidRPr="00D541BF">
              <w:rPr>
                <w:color w:val="000000"/>
                <w:sz w:val="20"/>
              </w:rPr>
              <w:t>Initial Completion of Property Profile Form (Subtitle A) (non-profits)</w:t>
            </w:r>
          </w:p>
        </w:tc>
        <w:tc>
          <w:tcPr>
            <w:tcW w:w="900" w:type="dxa"/>
            <w:tcBorders>
              <w:top w:val="nil"/>
              <w:left w:val="nil"/>
              <w:bottom w:val="single" w:sz="8" w:space="0" w:color="000000"/>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1</w:t>
            </w:r>
          </w:p>
        </w:tc>
        <w:tc>
          <w:tcPr>
            <w:tcW w:w="1080" w:type="dxa"/>
            <w:tcBorders>
              <w:top w:val="nil"/>
              <w:left w:val="nil"/>
              <w:bottom w:val="single" w:sz="8" w:space="0" w:color="000000"/>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$98.12 </w:t>
            </w:r>
          </w:p>
        </w:tc>
        <w:tc>
          <w:tcPr>
            <w:tcW w:w="99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$98.12 </w:t>
            </w:r>
          </w:p>
        </w:tc>
        <w:tc>
          <w:tcPr>
            <w:tcW w:w="126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55</w:t>
            </w:r>
          </w:p>
        </w:tc>
        <w:tc>
          <w:tcPr>
            <w:tcW w:w="990" w:type="dxa"/>
            <w:tcBorders>
              <w:top w:val="single" w:sz="8" w:space="0" w:color="auto"/>
              <w:left w:val="nil"/>
              <w:bottom w:val="single" w:sz="8" w:space="0" w:color="auto"/>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55</w:t>
            </w:r>
          </w:p>
        </w:tc>
        <w:tc>
          <w:tcPr>
            <w:tcW w:w="117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$5,397 </w:t>
            </w:r>
          </w:p>
        </w:tc>
      </w:tr>
      <w:tr w:rsidR="00DC1648" w:rsidRPr="00D541BF" w:rsidTr="00DC1648">
        <w:trPr>
          <w:trHeight w:val="525"/>
        </w:trPr>
        <w:tc>
          <w:tcPr>
            <w:tcW w:w="3888" w:type="dxa"/>
            <w:tcBorders>
              <w:top w:val="nil"/>
              <w:left w:val="single" w:sz="12" w:space="0" w:color="000000"/>
              <w:bottom w:val="single" w:sz="8" w:space="0" w:color="000000"/>
              <w:right w:val="single" w:sz="12" w:space="0" w:color="000000"/>
            </w:tcBorders>
            <w:shd w:val="clear" w:color="auto" w:fill="auto"/>
            <w:hideMark/>
          </w:tcPr>
          <w:p w:rsidR="00D541BF" w:rsidRPr="00D541BF" w:rsidRDefault="00D541BF" w:rsidP="00DC1648">
            <w:pPr>
              <w:rPr>
                <w:color w:val="000000"/>
                <w:sz w:val="20"/>
              </w:rPr>
            </w:pPr>
            <w:r w:rsidRPr="00D541BF">
              <w:rPr>
                <w:color w:val="000000"/>
                <w:sz w:val="20"/>
              </w:rPr>
              <w:t>Update of Property Profile Form (Subtitle A) (non-profits)</w:t>
            </w:r>
          </w:p>
        </w:tc>
        <w:tc>
          <w:tcPr>
            <w:tcW w:w="900" w:type="dxa"/>
            <w:tcBorders>
              <w:top w:val="nil"/>
              <w:left w:val="nil"/>
              <w:bottom w:val="single" w:sz="8" w:space="0" w:color="000000"/>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1.5</w:t>
            </w:r>
          </w:p>
        </w:tc>
        <w:tc>
          <w:tcPr>
            <w:tcW w:w="1080" w:type="dxa"/>
            <w:tcBorders>
              <w:top w:val="nil"/>
              <w:left w:val="nil"/>
              <w:bottom w:val="single" w:sz="8" w:space="0" w:color="auto"/>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$98.12 </w:t>
            </w:r>
          </w:p>
        </w:tc>
        <w:tc>
          <w:tcPr>
            <w:tcW w:w="99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$147.18 </w:t>
            </w:r>
          </w:p>
        </w:tc>
        <w:tc>
          <w:tcPr>
            <w:tcW w:w="126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38</w:t>
            </w:r>
          </w:p>
        </w:tc>
        <w:tc>
          <w:tcPr>
            <w:tcW w:w="990" w:type="dxa"/>
            <w:tcBorders>
              <w:top w:val="nil"/>
              <w:left w:val="nil"/>
              <w:bottom w:val="single" w:sz="8" w:space="0" w:color="auto"/>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58</w:t>
            </w:r>
          </w:p>
        </w:tc>
        <w:tc>
          <w:tcPr>
            <w:tcW w:w="117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$5,593 </w:t>
            </w:r>
          </w:p>
        </w:tc>
      </w:tr>
      <w:tr w:rsidR="00DC1648" w:rsidRPr="00D541BF" w:rsidTr="00DC1648">
        <w:trPr>
          <w:trHeight w:val="315"/>
        </w:trPr>
        <w:tc>
          <w:tcPr>
            <w:tcW w:w="6858" w:type="dxa"/>
            <w:gridSpan w:val="4"/>
            <w:tcBorders>
              <w:top w:val="nil"/>
              <w:left w:val="single" w:sz="12" w:space="0" w:color="000000"/>
              <w:bottom w:val="single" w:sz="8" w:space="0" w:color="000000"/>
              <w:right w:val="single" w:sz="12" w:space="0" w:color="000000"/>
            </w:tcBorders>
            <w:shd w:val="clear" w:color="auto" w:fill="auto"/>
            <w:hideMark/>
          </w:tcPr>
          <w:p w:rsidR="00D541BF" w:rsidRPr="00D541BF" w:rsidRDefault="00D541BF" w:rsidP="00DC1648">
            <w:pPr>
              <w:rPr>
                <w:b/>
                <w:bCs/>
                <w:color w:val="000000"/>
                <w:sz w:val="20"/>
              </w:rPr>
            </w:pPr>
            <w:r w:rsidRPr="00D541BF">
              <w:rPr>
                <w:b/>
                <w:bCs/>
                <w:color w:val="000000"/>
                <w:sz w:val="20"/>
              </w:rPr>
              <w:t>TOTAL</w:t>
            </w:r>
          </w:p>
        </w:tc>
        <w:tc>
          <w:tcPr>
            <w:tcW w:w="126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111</w:t>
            </w:r>
          </w:p>
        </w:tc>
        <w:tc>
          <w:tcPr>
            <w:tcW w:w="990" w:type="dxa"/>
            <w:tcBorders>
              <w:top w:val="nil"/>
              <w:left w:val="nil"/>
              <w:bottom w:val="single" w:sz="8" w:space="0" w:color="000000"/>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186</w:t>
            </w:r>
          </w:p>
        </w:tc>
        <w:tc>
          <w:tcPr>
            <w:tcW w:w="117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$16,894 </w:t>
            </w:r>
          </w:p>
        </w:tc>
      </w:tr>
      <w:tr w:rsidR="00DC1648" w:rsidRPr="00D541BF" w:rsidTr="00DC1648">
        <w:trPr>
          <w:trHeight w:val="315"/>
        </w:trPr>
        <w:tc>
          <w:tcPr>
            <w:tcW w:w="8118" w:type="dxa"/>
            <w:gridSpan w:val="5"/>
            <w:tcBorders>
              <w:top w:val="single" w:sz="8" w:space="0" w:color="000000"/>
              <w:left w:val="single" w:sz="12" w:space="0" w:color="000000"/>
              <w:bottom w:val="single" w:sz="12" w:space="0" w:color="000000"/>
              <w:right w:val="single" w:sz="12" w:space="0" w:color="000000"/>
            </w:tcBorders>
            <w:shd w:val="clear" w:color="auto" w:fill="auto"/>
            <w:hideMark/>
          </w:tcPr>
          <w:p w:rsidR="00D541BF" w:rsidRPr="00D541BF" w:rsidRDefault="00D541BF" w:rsidP="00DC1648">
            <w:pPr>
              <w:rPr>
                <w:b/>
                <w:bCs/>
                <w:color w:val="000000"/>
                <w:sz w:val="20"/>
              </w:rPr>
            </w:pPr>
            <w:r w:rsidRPr="00D541BF">
              <w:rPr>
                <w:b/>
                <w:bCs/>
                <w:color w:val="000000"/>
                <w:sz w:val="20"/>
              </w:rPr>
              <w:t>AVERAGE TOTAL COST PER BURDEN HOUR</w:t>
            </w:r>
          </w:p>
        </w:tc>
        <w:tc>
          <w:tcPr>
            <w:tcW w:w="2160" w:type="dxa"/>
            <w:gridSpan w:val="2"/>
            <w:tcBorders>
              <w:top w:val="single" w:sz="8" w:space="0" w:color="000000"/>
              <w:left w:val="nil"/>
              <w:bottom w:val="single" w:sz="12"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$90.83 </w:t>
            </w:r>
          </w:p>
        </w:tc>
      </w:tr>
      <w:tr w:rsidR="006C6431" w:rsidRPr="00D541BF" w:rsidTr="00DC1648">
        <w:trPr>
          <w:trHeight w:val="315"/>
        </w:trPr>
        <w:tc>
          <w:tcPr>
            <w:tcW w:w="8118" w:type="dxa"/>
            <w:gridSpan w:val="5"/>
            <w:tcBorders>
              <w:top w:val="single" w:sz="8" w:space="0" w:color="000000"/>
              <w:left w:val="single" w:sz="12" w:space="0" w:color="000000"/>
              <w:bottom w:val="single" w:sz="12" w:space="0" w:color="000000"/>
              <w:right w:val="single" w:sz="12" w:space="0" w:color="000000"/>
            </w:tcBorders>
            <w:shd w:val="clear" w:color="auto" w:fill="auto"/>
            <w:hideMark/>
          </w:tcPr>
          <w:p w:rsidR="006C6431" w:rsidRPr="00D541BF" w:rsidRDefault="006C6431" w:rsidP="00DC1648">
            <w:pPr>
              <w:rPr>
                <w:b/>
                <w:bCs/>
                <w:color w:val="000000"/>
                <w:sz w:val="20"/>
              </w:rPr>
            </w:pPr>
            <w:r>
              <w:rPr>
                <w:b/>
                <w:bCs/>
                <w:color w:val="000000"/>
                <w:sz w:val="20"/>
              </w:rPr>
              <w:t>Total Annual Respondents: 43</w:t>
            </w:r>
          </w:p>
        </w:tc>
        <w:tc>
          <w:tcPr>
            <w:tcW w:w="2160" w:type="dxa"/>
            <w:gridSpan w:val="2"/>
            <w:tcBorders>
              <w:top w:val="single" w:sz="8" w:space="0" w:color="000000"/>
              <w:left w:val="nil"/>
              <w:bottom w:val="single" w:sz="12" w:space="0" w:color="000000"/>
              <w:right w:val="single" w:sz="12" w:space="0" w:color="000000"/>
            </w:tcBorders>
            <w:shd w:val="clear" w:color="auto" w:fill="auto"/>
            <w:hideMark/>
          </w:tcPr>
          <w:p w:rsidR="006C6431" w:rsidRPr="00D541BF" w:rsidRDefault="006C6431" w:rsidP="00DC1648">
            <w:pPr>
              <w:jc w:val="center"/>
              <w:rPr>
                <w:color w:val="000000"/>
                <w:sz w:val="20"/>
              </w:rPr>
            </w:pPr>
          </w:p>
        </w:tc>
      </w:tr>
      <w:tr w:rsidR="00DC1648" w:rsidRPr="00D541BF" w:rsidTr="00DC1648">
        <w:trPr>
          <w:trHeight w:val="330"/>
        </w:trPr>
        <w:tc>
          <w:tcPr>
            <w:tcW w:w="3888" w:type="dxa"/>
            <w:tcBorders>
              <w:top w:val="nil"/>
              <w:left w:val="nil"/>
              <w:bottom w:val="nil"/>
              <w:right w:val="nil"/>
            </w:tcBorders>
            <w:shd w:val="clear" w:color="auto" w:fill="auto"/>
            <w:noWrap/>
            <w:vAlign w:val="bottom"/>
            <w:hideMark/>
          </w:tcPr>
          <w:p w:rsidR="00D541BF" w:rsidRPr="00D541BF" w:rsidRDefault="00D541BF" w:rsidP="00DC1648">
            <w:pPr>
              <w:rPr>
                <w:color w:val="000000"/>
                <w:sz w:val="16"/>
                <w:szCs w:val="16"/>
              </w:rPr>
            </w:pPr>
          </w:p>
        </w:tc>
        <w:tc>
          <w:tcPr>
            <w:tcW w:w="900" w:type="dxa"/>
            <w:tcBorders>
              <w:top w:val="nil"/>
              <w:left w:val="nil"/>
              <w:bottom w:val="nil"/>
              <w:right w:val="nil"/>
            </w:tcBorders>
            <w:shd w:val="clear" w:color="auto" w:fill="auto"/>
            <w:noWrap/>
            <w:vAlign w:val="bottom"/>
            <w:hideMark/>
          </w:tcPr>
          <w:p w:rsidR="00D541BF" w:rsidRPr="00D541BF" w:rsidRDefault="00D541BF" w:rsidP="00DC1648">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D541BF" w:rsidRPr="00D541BF" w:rsidRDefault="00D541BF" w:rsidP="00DC1648">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rsidR="00D541BF" w:rsidRPr="00D541BF" w:rsidRDefault="00D541BF" w:rsidP="00DC1648">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rsidR="00D541BF" w:rsidRPr="00D541BF" w:rsidRDefault="00D541BF" w:rsidP="00DC1648">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rsidR="00D541BF" w:rsidRPr="00D541BF" w:rsidRDefault="00D541BF" w:rsidP="00DC1648">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rsidR="00D541BF" w:rsidRPr="00D541BF" w:rsidRDefault="00D541BF" w:rsidP="00DC1648">
            <w:pPr>
              <w:rPr>
                <w:rFonts w:ascii="Calibri" w:hAnsi="Calibri"/>
                <w:color w:val="000000"/>
                <w:sz w:val="22"/>
                <w:szCs w:val="22"/>
              </w:rPr>
            </w:pPr>
          </w:p>
        </w:tc>
      </w:tr>
      <w:tr w:rsidR="00DC1648" w:rsidRPr="00D541BF" w:rsidTr="00DC1648">
        <w:trPr>
          <w:trHeight w:val="1035"/>
        </w:trPr>
        <w:tc>
          <w:tcPr>
            <w:tcW w:w="3888" w:type="dxa"/>
            <w:tcBorders>
              <w:top w:val="single" w:sz="12" w:space="0" w:color="000000"/>
              <w:left w:val="single" w:sz="12" w:space="0" w:color="000000"/>
              <w:bottom w:val="nil"/>
              <w:right w:val="single" w:sz="12" w:space="0" w:color="000000"/>
            </w:tcBorders>
            <w:shd w:val="clear" w:color="auto" w:fill="auto"/>
            <w:hideMark/>
          </w:tcPr>
          <w:p w:rsidR="00D541BF" w:rsidRPr="00D541BF" w:rsidRDefault="00D541BF" w:rsidP="00DC1648">
            <w:pPr>
              <w:jc w:val="center"/>
              <w:rPr>
                <w:b/>
                <w:bCs/>
                <w:color w:val="000000"/>
                <w:szCs w:val="24"/>
              </w:rPr>
            </w:pPr>
            <w:r w:rsidRPr="00D541BF">
              <w:rPr>
                <w:b/>
                <w:bCs/>
                <w:color w:val="000000"/>
                <w:szCs w:val="24"/>
              </w:rPr>
              <w:t xml:space="preserve">Activity (Governments) </w:t>
            </w:r>
          </w:p>
        </w:tc>
        <w:tc>
          <w:tcPr>
            <w:tcW w:w="900" w:type="dxa"/>
            <w:tcBorders>
              <w:top w:val="single" w:sz="12" w:space="0" w:color="000000"/>
              <w:left w:val="nil"/>
              <w:bottom w:val="single" w:sz="12" w:space="0" w:color="auto"/>
              <w:right w:val="single" w:sz="8" w:space="0" w:color="000000"/>
            </w:tcBorders>
            <w:shd w:val="clear" w:color="auto" w:fill="auto"/>
            <w:hideMark/>
          </w:tcPr>
          <w:p w:rsidR="00D541BF" w:rsidRPr="00D541BF" w:rsidRDefault="00D541BF" w:rsidP="00DC1648">
            <w:pPr>
              <w:jc w:val="center"/>
              <w:rPr>
                <w:b/>
                <w:bCs/>
                <w:color w:val="000000"/>
                <w:sz w:val="20"/>
              </w:rPr>
            </w:pPr>
            <w:r w:rsidRPr="00D541BF">
              <w:rPr>
                <w:b/>
                <w:bCs/>
                <w:color w:val="000000"/>
                <w:sz w:val="20"/>
              </w:rPr>
              <w:t>Unit Burden (Hours)</w:t>
            </w:r>
          </w:p>
        </w:tc>
        <w:tc>
          <w:tcPr>
            <w:tcW w:w="1080" w:type="dxa"/>
            <w:tcBorders>
              <w:top w:val="single" w:sz="12" w:space="0" w:color="000000"/>
              <w:left w:val="nil"/>
              <w:bottom w:val="nil"/>
              <w:right w:val="single" w:sz="12" w:space="0" w:color="000000"/>
            </w:tcBorders>
            <w:shd w:val="clear" w:color="auto" w:fill="auto"/>
            <w:hideMark/>
          </w:tcPr>
          <w:p w:rsidR="00D541BF" w:rsidRPr="00D541BF" w:rsidRDefault="00D541BF" w:rsidP="00DC1648">
            <w:pPr>
              <w:jc w:val="center"/>
              <w:rPr>
                <w:b/>
                <w:bCs/>
                <w:color w:val="000000"/>
                <w:sz w:val="20"/>
              </w:rPr>
            </w:pPr>
            <w:r w:rsidRPr="00D541BF">
              <w:rPr>
                <w:b/>
                <w:bCs/>
                <w:color w:val="000000"/>
                <w:sz w:val="20"/>
              </w:rPr>
              <w:t>Unit Labor Cost (Dollars)</w:t>
            </w:r>
          </w:p>
        </w:tc>
        <w:tc>
          <w:tcPr>
            <w:tcW w:w="990" w:type="dxa"/>
            <w:tcBorders>
              <w:top w:val="single" w:sz="12" w:space="0" w:color="000000"/>
              <w:left w:val="nil"/>
              <w:bottom w:val="single" w:sz="12" w:space="0" w:color="auto"/>
              <w:right w:val="single" w:sz="12" w:space="0" w:color="000000"/>
            </w:tcBorders>
            <w:shd w:val="clear" w:color="auto" w:fill="auto"/>
            <w:hideMark/>
          </w:tcPr>
          <w:p w:rsidR="00D541BF" w:rsidRPr="00D541BF" w:rsidRDefault="00D541BF" w:rsidP="00DC1648">
            <w:pPr>
              <w:jc w:val="center"/>
              <w:rPr>
                <w:b/>
                <w:bCs/>
                <w:color w:val="000000"/>
                <w:sz w:val="20"/>
              </w:rPr>
            </w:pPr>
            <w:r w:rsidRPr="00D541BF">
              <w:rPr>
                <w:b/>
                <w:bCs/>
                <w:color w:val="000000"/>
                <w:sz w:val="20"/>
              </w:rPr>
              <w:t>Total Unit Cost (Dollars)</w:t>
            </w:r>
          </w:p>
        </w:tc>
        <w:tc>
          <w:tcPr>
            <w:tcW w:w="1260" w:type="dxa"/>
            <w:tcBorders>
              <w:top w:val="single" w:sz="12" w:space="0" w:color="000000"/>
              <w:left w:val="nil"/>
              <w:bottom w:val="single" w:sz="12" w:space="0" w:color="auto"/>
              <w:right w:val="single" w:sz="12" w:space="0" w:color="000000"/>
            </w:tcBorders>
            <w:shd w:val="clear" w:color="auto" w:fill="auto"/>
            <w:hideMark/>
          </w:tcPr>
          <w:p w:rsidR="00D541BF" w:rsidRPr="00D541BF" w:rsidRDefault="00D541BF" w:rsidP="00DC1648">
            <w:pPr>
              <w:jc w:val="center"/>
              <w:rPr>
                <w:b/>
                <w:bCs/>
                <w:color w:val="000000"/>
                <w:sz w:val="20"/>
              </w:rPr>
            </w:pPr>
            <w:r w:rsidRPr="00D541BF">
              <w:rPr>
                <w:b/>
                <w:bCs/>
                <w:color w:val="000000"/>
                <w:sz w:val="20"/>
              </w:rPr>
              <w:t>Average Number of Responses/Year*</w:t>
            </w:r>
          </w:p>
        </w:tc>
        <w:tc>
          <w:tcPr>
            <w:tcW w:w="990" w:type="dxa"/>
            <w:tcBorders>
              <w:top w:val="single" w:sz="12" w:space="0" w:color="000000"/>
              <w:left w:val="nil"/>
              <w:bottom w:val="nil"/>
              <w:right w:val="single" w:sz="8" w:space="0" w:color="000000"/>
            </w:tcBorders>
            <w:shd w:val="clear" w:color="auto" w:fill="auto"/>
            <w:hideMark/>
          </w:tcPr>
          <w:p w:rsidR="00D541BF" w:rsidRPr="00D541BF" w:rsidRDefault="00D541BF" w:rsidP="00DC1648">
            <w:pPr>
              <w:jc w:val="center"/>
              <w:rPr>
                <w:b/>
                <w:bCs/>
                <w:color w:val="000000"/>
                <w:sz w:val="20"/>
              </w:rPr>
            </w:pPr>
            <w:r w:rsidRPr="00D541BF">
              <w:rPr>
                <w:b/>
                <w:bCs/>
                <w:color w:val="000000"/>
                <w:sz w:val="20"/>
              </w:rPr>
              <w:t>Total Burden Hours/</w:t>
            </w:r>
            <w:r w:rsidR="00DC1648">
              <w:rPr>
                <w:b/>
                <w:bCs/>
                <w:color w:val="000000"/>
                <w:sz w:val="20"/>
              </w:rPr>
              <w:t xml:space="preserve"> </w:t>
            </w:r>
            <w:r w:rsidRPr="00D541BF">
              <w:rPr>
                <w:b/>
                <w:bCs/>
                <w:color w:val="000000"/>
                <w:sz w:val="20"/>
              </w:rPr>
              <w:t>Year*</w:t>
            </w:r>
          </w:p>
        </w:tc>
        <w:tc>
          <w:tcPr>
            <w:tcW w:w="1170" w:type="dxa"/>
            <w:tcBorders>
              <w:top w:val="single" w:sz="12" w:space="0" w:color="000000"/>
              <w:left w:val="nil"/>
              <w:bottom w:val="single" w:sz="12" w:space="0" w:color="auto"/>
              <w:right w:val="single" w:sz="12" w:space="0" w:color="000000"/>
            </w:tcBorders>
            <w:shd w:val="clear" w:color="auto" w:fill="auto"/>
            <w:hideMark/>
          </w:tcPr>
          <w:p w:rsidR="00D541BF" w:rsidRPr="00D541BF" w:rsidRDefault="00D541BF" w:rsidP="00DC1648">
            <w:pPr>
              <w:jc w:val="center"/>
              <w:rPr>
                <w:b/>
                <w:bCs/>
                <w:color w:val="000000"/>
                <w:sz w:val="20"/>
              </w:rPr>
            </w:pPr>
            <w:r w:rsidRPr="00D541BF">
              <w:rPr>
                <w:b/>
                <w:bCs/>
                <w:color w:val="000000"/>
                <w:sz w:val="20"/>
              </w:rPr>
              <w:t>Total Cost/Year (Dollars)*</w:t>
            </w:r>
          </w:p>
        </w:tc>
      </w:tr>
      <w:tr w:rsidR="00DC1648" w:rsidRPr="00D541BF" w:rsidTr="00DC1648">
        <w:trPr>
          <w:trHeight w:val="330"/>
        </w:trPr>
        <w:tc>
          <w:tcPr>
            <w:tcW w:w="3888" w:type="dxa"/>
            <w:tcBorders>
              <w:top w:val="nil"/>
              <w:left w:val="single" w:sz="12" w:space="0" w:color="000000"/>
              <w:bottom w:val="single" w:sz="8" w:space="0" w:color="000000"/>
              <w:right w:val="single" w:sz="12" w:space="0" w:color="000000"/>
            </w:tcBorders>
            <w:shd w:val="clear" w:color="auto" w:fill="auto"/>
            <w:hideMark/>
          </w:tcPr>
          <w:p w:rsidR="00D541BF" w:rsidRPr="00D541BF" w:rsidRDefault="00D541BF" w:rsidP="00DC1648">
            <w:pPr>
              <w:rPr>
                <w:color w:val="000000"/>
                <w:sz w:val="20"/>
              </w:rPr>
            </w:pPr>
            <w:r w:rsidRPr="00D541BF">
              <w:rPr>
                <w:color w:val="000000"/>
                <w:sz w:val="20"/>
              </w:rPr>
              <w:t>Job Training Reporting Form (Governments)</w:t>
            </w:r>
          </w:p>
        </w:tc>
        <w:tc>
          <w:tcPr>
            <w:tcW w:w="900" w:type="dxa"/>
            <w:tcBorders>
              <w:top w:val="nil"/>
              <w:left w:val="nil"/>
              <w:bottom w:val="single" w:sz="8" w:space="0" w:color="000000"/>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4</w:t>
            </w:r>
          </w:p>
        </w:tc>
        <w:tc>
          <w:tcPr>
            <w:tcW w:w="1080" w:type="dxa"/>
            <w:tcBorders>
              <w:top w:val="single" w:sz="12" w:space="0" w:color="auto"/>
              <w:left w:val="nil"/>
              <w:bottom w:val="single" w:sz="8" w:space="0" w:color="000000"/>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$82.00 </w:t>
            </w:r>
          </w:p>
        </w:tc>
        <w:tc>
          <w:tcPr>
            <w:tcW w:w="99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$328.00 </w:t>
            </w:r>
          </w:p>
        </w:tc>
        <w:tc>
          <w:tcPr>
            <w:tcW w:w="126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11</w:t>
            </w:r>
          </w:p>
        </w:tc>
        <w:tc>
          <w:tcPr>
            <w:tcW w:w="990" w:type="dxa"/>
            <w:tcBorders>
              <w:top w:val="single" w:sz="12" w:space="0" w:color="auto"/>
              <w:left w:val="nil"/>
              <w:bottom w:val="nil"/>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43</w:t>
            </w:r>
          </w:p>
        </w:tc>
        <w:tc>
          <w:tcPr>
            <w:tcW w:w="117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$3,608 </w:t>
            </w:r>
          </w:p>
        </w:tc>
      </w:tr>
      <w:tr w:rsidR="00DC1648" w:rsidRPr="00D541BF" w:rsidTr="00DC1648">
        <w:trPr>
          <w:trHeight w:val="525"/>
        </w:trPr>
        <w:tc>
          <w:tcPr>
            <w:tcW w:w="3888" w:type="dxa"/>
            <w:tcBorders>
              <w:top w:val="nil"/>
              <w:left w:val="single" w:sz="12" w:space="0" w:color="000000"/>
              <w:bottom w:val="single" w:sz="8" w:space="0" w:color="000000"/>
              <w:right w:val="single" w:sz="12" w:space="0" w:color="000000"/>
            </w:tcBorders>
            <w:shd w:val="clear" w:color="auto" w:fill="auto"/>
            <w:hideMark/>
          </w:tcPr>
          <w:p w:rsidR="00D541BF" w:rsidRPr="00D541BF" w:rsidRDefault="00D541BF" w:rsidP="00DC1648">
            <w:pPr>
              <w:rPr>
                <w:color w:val="000000"/>
                <w:sz w:val="20"/>
              </w:rPr>
            </w:pPr>
            <w:r w:rsidRPr="00D541BF">
              <w:rPr>
                <w:color w:val="000000"/>
                <w:sz w:val="20"/>
              </w:rPr>
              <w:t>Initial completion of Property Profile Form (Subtitle A) (Governments)</w:t>
            </w:r>
          </w:p>
        </w:tc>
        <w:tc>
          <w:tcPr>
            <w:tcW w:w="900" w:type="dxa"/>
            <w:tcBorders>
              <w:top w:val="nil"/>
              <w:left w:val="nil"/>
              <w:bottom w:val="single" w:sz="8" w:space="0" w:color="000000"/>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1</w:t>
            </w:r>
          </w:p>
        </w:tc>
        <w:tc>
          <w:tcPr>
            <w:tcW w:w="1080" w:type="dxa"/>
            <w:tcBorders>
              <w:top w:val="nil"/>
              <w:left w:val="nil"/>
              <w:bottom w:val="nil"/>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$98.12 </w:t>
            </w:r>
          </w:p>
        </w:tc>
        <w:tc>
          <w:tcPr>
            <w:tcW w:w="99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$98.12 </w:t>
            </w:r>
          </w:p>
        </w:tc>
        <w:tc>
          <w:tcPr>
            <w:tcW w:w="126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952</w:t>
            </w:r>
          </w:p>
        </w:tc>
        <w:tc>
          <w:tcPr>
            <w:tcW w:w="990" w:type="dxa"/>
            <w:tcBorders>
              <w:top w:val="nil"/>
              <w:left w:val="nil"/>
              <w:bottom w:val="single" w:sz="8" w:space="0" w:color="auto"/>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952</w:t>
            </w:r>
          </w:p>
        </w:tc>
        <w:tc>
          <w:tcPr>
            <w:tcW w:w="117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$93,410 </w:t>
            </w:r>
          </w:p>
        </w:tc>
      </w:tr>
      <w:tr w:rsidR="00DC1648" w:rsidRPr="00D541BF" w:rsidTr="00DC1648">
        <w:trPr>
          <w:trHeight w:val="525"/>
        </w:trPr>
        <w:tc>
          <w:tcPr>
            <w:tcW w:w="3888" w:type="dxa"/>
            <w:tcBorders>
              <w:top w:val="nil"/>
              <w:left w:val="single" w:sz="12" w:space="0" w:color="000000"/>
              <w:bottom w:val="single" w:sz="8" w:space="0" w:color="000000"/>
              <w:right w:val="single" w:sz="12" w:space="0" w:color="000000"/>
            </w:tcBorders>
            <w:shd w:val="clear" w:color="auto" w:fill="auto"/>
            <w:hideMark/>
          </w:tcPr>
          <w:p w:rsidR="00D541BF" w:rsidRPr="00D541BF" w:rsidRDefault="00D541BF" w:rsidP="00DC1648">
            <w:pPr>
              <w:rPr>
                <w:color w:val="000000"/>
                <w:sz w:val="20"/>
              </w:rPr>
            </w:pPr>
            <w:r w:rsidRPr="00D541BF">
              <w:rPr>
                <w:color w:val="000000"/>
                <w:sz w:val="20"/>
              </w:rPr>
              <w:t>Initial Completion of Property Profile Form (Subtitle C)</w:t>
            </w:r>
          </w:p>
        </w:tc>
        <w:tc>
          <w:tcPr>
            <w:tcW w:w="900" w:type="dxa"/>
            <w:tcBorders>
              <w:top w:val="nil"/>
              <w:left w:val="nil"/>
              <w:bottom w:val="single" w:sz="8" w:space="0" w:color="000000"/>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1</w:t>
            </w:r>
          </w:p>
        </w:tc>
        <w:tc>
          <w:tcPr>
            <w:tcW w:w="1080" w:type="dxa"/>
            <w:tcBorders>
              <w:top w:val="single" w:sz="8" w:space="0" w:color="auto"/>
              <w:left w:val="nil"/>
              <w:bottom w:val="single" w:sz="8" w:space="0" w:color="auto"/>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$98.12 </w:t>
            </w:r>
          </w:p>
        </w:tc>
        <w:tc>
          <w:tcPr>
            <w:tcW w:w="99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$98.12 </w:t>
            </w:r>
          </w:p>
        </w:tc>
        <w:tc>
          <w:tcPr>
            <w:tcW w:w="126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564</w:t>
            </w:r>
          </w:p>
        </w:tc>
        <w:tc>
          <w:tcPr>
            <w:tcW w:w="990" w:type="dxa"/>
            <w:tcBorders>
              <w:top w:val="nil"/>
              <w:left w:val="nil"/>
              <w:bottom w:val="single" w:sz="8" w:space="0" w:color="auto"/>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564</w:t>
            </w:r>
          </w:p>
        </w:tc>
        <w:tc>
          <w:tcPr>
            <w:tcW w:w="117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$55,340 </w:t>
            </w:r>
          </w:p>
        </w:tc>
      </w:tr>
      <w:tr w:rsidR="00DC1648" w:rsidRPr="00D541BF" w:rsidTr="00DC1648">
        <w:trPr>
          <w:trHeight w:val="525"/>
        </w:trPr>
        <w:tc>
          <w:tcPr>
            <w:tcW w:w="3888" w:type="dxa"/>
            <w:tcBorders>
              <w:top w:val="nil"/>
              <w:left w:val="single" w:sz="12" w:space="0" w:color="000000"/>
              <w:bottom w:val="single" w:sz="8" w:space="0" w:color="000000"/>
              <w:right w:val="single" w:sz="12" w:space="0" w:color="000000"/>
            </w:tcBorders>
            <w:shd w:val="clear" w:color="auto" w:fill="auto"/>
            <w:hideMark/>
          </w:tcPr>
          <w:p w:rsidR="00D541BF" w:rsidRPr="00D541BF" w:rsidRDefault="00D541BF" w:rsidP="00DC1648">
            <w:pPr>
              <w:rPr>
                <w:color w:val="000000"/>
                <w:sz w:val="20"/>
              </w:rPr>
            </w:pPr>
            <w:r w:rsidRPr="00D541BF">
              <w:rPr>
                <w:color w:val="000000"/>
                <w:sz w:val="20"/>
              </w:rPr>
              <w:t>Update of Property Profile Form (Subtitle A) (Governments)</w:t>
            </w:r>
          </w:p>
        </w:tc>
        <w:tc>
          <w:tcPr>
            <w:tcW w:w="900" w:type="dxa"/>
            <w:tcBorders>
              <w:top w:val="nil"/>
              <w:left w:val="nil"/>
              <w:bottom w:val="single" w:sz="8" w:space="0" w:color="000000"/>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1.5</w:t>
            </w:r>
          </w:p>
        </w:tc>
        <w:tc>
          <w:tcPr>
            <w:tcW w:w="1080" w:type="dxa"/>
            <w:tcBorders>
              <w:top w:val="nil"/>
              <w:left w:val="nil"/>
              <w:bottom w:val="single" w:sz="8" w:space="0" w:color="auto"/>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$98.12 </w:t>
            </w:r>
          </w:p>
        </w:tc>
        <w:tc>
          <w:tcPr>
            <w:tcW w:w="99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$147.18 </w:t>
            </w:r>
          </w:p>
        </w:tc>
        <w:tc>
          <w:tcPr>
            <w:tcW w:w="1260" w:type="dxa"/>
            <w:tcBorders>
              <w:top w:val="nil"/>
              <w:left w:val="nil"/>
              <w:bottom w:val="single" w:sz="8" w:space="0" w:color="000000"/>
              <w:right w:val="single" w:sz="8" w:space="0" w:color="auto"/>
            </w:tcBorders>
            <w:shd w:val="clear" w:color="auto" w:fill="auto"/>
            <w:hideMark/>
          </w:tcPr>
          <w:p w:rsidR="00D541BF" w:rsidRPr="00D541BF" w:rsidRDefault="00D541BF" w:rsidP="00DC1648">
            <w:pPr>
              <w:jc w:val="center"/>
              <w:rPr>
                <w:color w:val="000000"/>
                <w:sz w:val="20"/>
              </w:rPr>
            </w:pPr>
            <w:r w:rsidRPr="00D541BF">
              <w:rPr>
                <w:color w:val="000000"/>
                <w:sz w:val="20"/>
              </w:rPr>
              <w:t>667</w:t>
            </w:r>
          </w:p>
        </w:tc>
        <w:tc>
          <w:tcPr>
            <w:tcW w:w="990" w:type="dxa"/>
            <w:tcBorders>
              <w:top w:val="nil"/>
              <w:left w:val="nil"/>
              <w:bottom w:val="single" w:sz="8" w:space="0" w:color="auto"/>
              <w:right w:val="single" w:sz="8" w:space="0" w:color="auto"/>
            </w:tcBorders>
            <w:shd w:val="clear" w:color="auto" w:fill="auto"/>
            <w:hideMark/>
          </w:tcPr>
          <w:p w:rsidR="00D541BF" w:rsidRPr="00D541BF" w:rsidRDefault="00D541BF" w:rsidP="00DC1648">
            <w:pPr>
              <w:jc w:val="center"/>
              <w:rPr>
                <w:color w:val="000000"/>
                <w:sz w:val="20"/>
              </w:rPr>
            </w:pPr>
            <w:r w:rsidRPr="00D541BF">
              <w:rPr>
                <w:color w:val="000000"/>
                <w:sz w:val="20"/>
              </w:rPr>
              <w:t>999</w:t>
            </w:r>
          </w:p>
        </w:tc>
        <w:tc>
          <w:tcPr>
            <w:tcW w:w="117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$98,169 </w:t>
            </w:r>
          </w:p>
        </w:tc>
      </w:tr>
      <w:tr w:rsidR="00DC1648" w:rsidRPr="00D541BF" w:rsidTr="00DC1648">
        <w:trPr>
          <w:trHeight w:val="315"/>
        </w:trPr>
        <w:tc>
          <w:tcPr>
            <w:tcW w:w="3888" w:type="dxa"/>
            <w:tcBorders>
              <w:top w:val="nil"/>
              <w:left w:val="single" w:sz="12" w:space="0" w:color="000000"/>
              <w:bottom w:val="single" w:sz="12" w:space="0" w:color="000000"/>
              <w:right w:val="single" w:sz="12" w:space="0" w:color="000000"/>
            </w:tcBorders>
            <w:shd w:val="clear" w:color="auto" w:fill="auto"/>
            <w:hideMark/>
          </w:tcPr>
          <w:p w:rsidR="00D541BF" w:rsidRPr="00D541BF" w:rsidRDefault="00D541BF" w:rsidP="00DC1648">
            <w:pPr>
              <w:rPr>
                <w:color w:val="000000"/>
                <w:sz w:val="20"/>
              </w:rPr>
            </w:pPr>
            <w:r w:rsidRPr="00D541BF">
              <w:rPr>
                <w:color w:val="000000"/>
                <w:sz w:val="20"/>
              </w:rPr>
              <w:t>Update of Property Profile Form (Subtitle C)</w:t>
            </w:r>
          </w:p>
        </w:tc>
        <w:tc>
          <w:tcPr>
            <w:tcW w:w="900" w:type="dxa"/>
            <w:tcBorders>
              <w:top w:val="nil"/>
              <w:left w:val="nil"/>
              <w:bottom w:val="single" w:sz="12" w:space="0" w:color="000000"/>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1.5</w:t>
            </w:r>
          </w:p>
        </w:tc>
        <w:tc>
          <w:tcPr>
            <w:tcW w:w="1080" w:type="dxa"/>
            <w:tcBorders>
              <w:top w:val="nil"/>
              <w:left w:val="nil"/>
              <w:bottom w:val="single" w:sz="8" w:space="0" w:color="000000"/>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$98.12 </w:t>
            </w:r>
          </w:p>
        </w:tc>
        <w:tc>
          <w:tcPr>
            <w:tcW w:w="99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$147.18 </w:t>
            </w:r>
          </w:p>
        </w:tc>
        <w:tc>
          <w:tcPr>
            <w:tcW w:w="1260" w:type="dxa"/>
            <w:tcBorders>
              <w:top w:val="nil"/>
              <w:left w:val="nil"/>
              <w:bottom w:val="single" w:sz="12"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282</w:t>
            </w:r>
          </w:p>
        </w:tc>
        <w:tc>
          <w:tcPr>
            <w:tcW w:w="990" w:type="dxa"/>
            <w:tcBorders>
              <w:top w:val="nil"/>
              <w:left w:val="nil"/>
              <w:bottom w:val="single" w:sz="12" w:space="0" w:color="auto"/>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423</w:t>
            </w:r>
          </w:p>
        </w:tc>
        <w:tc>
          <w:tcPr>
            <w:tcW w:w="1170" w:type="dxa"/>
            <w:tcBorders>
              <w:top w:val="nil"/>
              <w:left w:val="nil"/>
              <w:bottom w:val="single" w:sz="12" w:space="0" w:color="auto"/>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$41,505 </w:t>
            </w:r>
          </w:p>
        </w:tc>
      </w:tr>
      <w:tr w:rsidR="00DC1648" w:rsidRPr="00D541BF" w:rsidTr="00DC1648">
        <w:trPr>
          <w:trHeight w:val="330"/>
        </w:trPr>
        <w:tc>
          <w:tcPr>
            <w:tcW w:w="6858" w:type="dxa"/>
            <w:gridSpan w:val="4"/>
            <w:tcBorders>
              <w:top w:val="nil"/>
              <w:left w:val="single" w:sz="12" w:space="0" w:color="000000"/>
              <w:bottom w:val="single" w:sz="8" w:space="0" w:color="000000"/>
              <w:right w:val="single" w:sz="12" w:space="0" w:color="000000"/>
            </w:tcBorders>
            <w:shd w:val="clear" w:color="auto" w:fill="auto"/>
            <w:hideMark/>
          </w:tcPr>
          <w:p w:rsidR="00D541BF" w:rsidRPr="00D541BF" w:rsidRDefault="00D541BF" w:rsidP="00DC1648">
            <w:pPr>
              <w:rPr>
                <w:b/>
                <w:bCs/>
                <w:color w:val="000000"/>
                <w:sz w:val="20"/>
              </w:rPr>
            </w:pPr>
            <w:r w:rsidRPr="00D541BF">
              <w:rPr>
                <w:b/>
                <w:bCs/>
                <w:color w:val="000000"/>
                <w:sz w:val="20"/>
              </w:rPr>
              <w:t>TOTAL</w:t>
            </w:r>
          </w:p>
        </w:tc>
        <w:tc>
          <w:tcPr>
            <w:tcW w:w="126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2,476</w:t>
            </w:r>
          </w:p>
        </w:tc>
        <w:tc>
          <w:tcPr>
            <w:tcW w:w="990" w:type="dxa"/>
            <w:tcBorders>
              <w:top w:val="nil"/>
              <w:left w:val="nil"/>
              <w:bottom w:val="single" w:sz="8" w:space="0" w:color="000000"/>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2,981</w:t>
            </w:r>
          </w:p>
        </w:tc>
        <w:tc>
          <w:tcPr>
            <w:tcW w:w="117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$292,032 </w:t>
            </w:r>
          </w:p>
        </w:tc>
      </w:tr>
      <w:tr w:rsidR="00DC1648" w:rsidRPr="00D541BF" w:rsidTr="00DC1648">
        <w:trPr>
          <w:trHeight w:val="315"/>
        </w:trPr>
        <w:tc>
          <w:tcPr>
            <w:tcW w:w="8118" w:type="dxa"/>
            <w:gridSpan w:val="5"/>
            <w:tcBorders>
              <w:top w:val="single" w:sz="8" w:space="0" w:color="000000"/>
              <w:left w:val="single" w:sz="12" w:space="0" w:color="000000"/>
              <w:bottom w:val="single" w:sz="12" w:space="0" w:color="000000"/>
              <w:right w:val="single" w:sz="12" w:space="0" w:color="000000"/>
            </w:tcBorders>
            <w:shd w:val="clear" w:color="auto" w:fill="auto"/>
            <w:hideMark/>
          </w:tcPr>
          <w:p w:rsidR="00D541BF" w:rsidRPr="00D541BF" w:rsidRDefault="00D541BF" w:rsidP="00DC1648">
            <w:pPr>
              <w:rPr>
                <w:b/>
                <w:bCs/>
                <w:color w:val="000000"/>
                <w:sz w:val="20"/>
              </w:rPr>
            </w:pPr>
            <w:r w:rsidRPr="00D541BF">
              <w:rPr>
                <w:b/>
                <w:bCs/>
                <w:color w:val="000000"/>
                <w:sz w:val="20"/>
              </w:rPr>
              <w:t>AVERAGE TOTAL COST PER BURDEN HOUR</w:t>
            </w:r>
          </w:p>
        </w:tc>
        <w:tc>
          <w:tcPr>
            <w:tcW w:w="2160" w:type="dxa"/>
            <w:gridSpan w:val="2"/>
            <w:tcBorders>
              <w:top w:val="single" w:sz="8" w:space="0" w:color="000000"/>
              <w:left w:val="nil"/>
              <w:bottom w:val="single" w:sz="12"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$97.96 </w:t>
            </w:r>
          </w:p>
        </w:tc>
      </w:tr>
      <w:tr w:rsidR="006C6431" w:rsidRPr="00D541BF" w:rsidTr="00DC1648">
        <w:trPr>
          <w:trHeight w:val="315"/>
        </w:trPr>
        <w:tc>
          <w:tcPr>
            <w:tcW w:w="8118" w:type="dxa"/>
            <w:gridSpan w:val="5"/>
            <w:tcBorders>
              <w:top w:val="single" w:sz="8" w:space="0" w:color="000000"/>
              <w:left w:val="single" w:sz="12" w:space="0" w:color="000000"/>
              <w:bottom w:val="single" w:sz="12" w:space="0" w:color="000000"/>
              <w:right w:val="single" w:sz="12" w:space="0" w:color="000000"/>
            </w:tcBorders>
            <w:shd w:val="clear" w:color="auto" w:fill="auto"/>
            <w:hideMark/>
          </w:tcPr>
          <w:p w:rsidR="006C6431" w:rsidRPr="00D541BF" w:rsidRDefault="006C6431" w:rsidP="00DC1648">
            <w:pPr>
              <w:rPr>
                <w:b/>
                <w:bCs/>
                <w:color w:val="000000"/>
                <w:sz w:val="20"/>
              </w:rPr>
            </w:pPr>
            <w:r>
              <w:rPr>
                <w:b/>
                <w:bCs/>
                <w:color w:val="000000"/>
                <w:sz w:val="20"/>
              </w:rPr>
              <w:t>Total Annual Respondents: 964</w:t>
            </w:r>
          </w:p>
        </w:tc>
        <w:tc>
          <w:tcPr>
            <w:tcW w:w="2160" w:type="dxa"/>
            <w:gridSpan w:val="2"/>
            <w:tcBorders>
              <w:top w:val="single" w:sz="8" w:space="0" w:color="000000"/>
              <w:left w:val="nil"/>
              <w:bottom w:val="single" w:sz="12" w:space="0" w:color="000000"/>
              <w:right w:val="single" w:sz="12" w:space="0" w:color="000000"/>
            </w:tcBorders>
            <w:shd w:val="clear" w:color="auto" w:fill="auto"/>
            <w:hideMark/>
          </w:tcPr>
          <w:p w:rsidR="006C6431" w:rsidRPr="00D541BF" w:rsidRDefault="006C6431" w:rsidP="00DC1648">
            <w:pPr>
              <w:jc w:val="center"/>
              <w:rPr>
                <w:color w:val="000000"/>
                <w:sz w:val="20"/>
              </w:rPr>
            </w:pPr>
          </w:p>
        </w:tc>
      </w:tr>
      <w:tr w:rsidR="00DC1648" w:rsidRPr="00D541BF" w:rsidTr="00DC1648">
        <w:trPr>
          <w:trHeight w:val="315"/>
        </w:trPr>
        <w:tc>
          <w:tcPr>
            <w:tcW w:w="3888" w:type="dxa"/>
            <w:tcBorders>
              <w:top w:val="nil"/>
              <w:left w:val="nil"/>
              <w:bottom w:val="nil"/>
              <w:right w:val="nil"/>
            </w:tcBorders>
            <w:shd w:val="clear" w:color="auto" w:fill="auto"/>
            <w:noWrap/>
            <w:vAlign w:val="bottom"/>
            <w:hideMark/>
          </w:tcPr>
          <w:p w:rsidR="00D541BF" w:rsidRPr="00D541BF" w:rsidRDefault="00D541BF" w:rsidP="00DC1648">
            <w:pPr>
              <w:rPr>
                <w:rFonts w:ascii="Calibri" w:hAnsi="Calibri"/>
                <w:color w:val="000000"/>
                <w:sz w:val="22"/>
                <w:szCs w:val="22"/>
              </w:rPr>
            </w:pPr>
          </w:p>
        </w:tc>
        <w:tc>
          <w:tcPr>
            <w:tcW w:w="900" w:type="dxa"/>
            <w:tcBorders>
              <w:top w:val="nil"/>
              <w:left w:val="nil"/>
              <w:bottom w:val="nil"/>
              <w:right w:val="nil"/>
            </w:tcBorders>
            <w:shd w:val="clear" w:color="auto" w:fill="auto"/>
            <w:noWrap/>
            <w:vAlign w:val="bottom"/>
            <w:hideMark/>
          </w:tcPr>
          <w:p w:rsidR="00D541BF" w:rsidRPr="00D541BF" w:rsidRDefault="00D541BF" w:rsidP="00DC1648">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D541BF" w:rsidRPr="00D541BF" w:rsidRDefault="00D541BF" w:rsidP="00DC1648">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rsidR="00D541BF" w:rsidRPr="00D541BF" w:rsidRDefault="00D541BF" w:rsidP="00DC1648">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rsidR="00D541BF" w:rsidRPr="00D541BF" w:rsidRDefault="00D541BF" w:rsidP="00DC1648">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rsidR="00D541BF" w:rsidRPr="00D541BF" w:rsidRDefault="00D541BF" w:rsidP="00DC1648">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rsidR="00D541BF" w:rsidRPr="00D541BF" w:rsidRDefault="00D541BF" w:rsidP="00DC1648">
            <w:pPr>
              <w:rPr>
                <w:rFonts w:ascii="Calibri" w:hAnsi="Calibri"/>
                <w:color w:val="000000"/>
                <w:sz w:val="22"/>
                <w:szCs w:val="22"/>
              </w:rPr>
            </w:pPr>
          </w:p>
        </w:tc>
      </w:tr>
      <w:tr w:rsidR="00DC1648" w:rsidRPr="00D541BF" w:rsidTr="00DC1648">
        <w:trPr>
          <w:trHeight w:val="315"/>
        </w:trPr>
        <w:tc>
          <w:tcPr>
            <w:tcW w:w="3888" w:type="dxa"/>
            <w:tcBorders>
              <w:top w:val="nil"/>
              <w:left w:val="nil"/>
              <w:bottom w:val="single" w:sz="12" w:space="0" w:color="auto"/>
              <w:right w:val="nil"/>
            </w:tcBorders>
            <w:shd w:val="clear" w:color="auto" w:fill="auto"/>
            <w:noWrap/>
            <w:vAlign w:val="bottom"/>
            <w:hideMark/>
          </w:tcPr>
          <w:p w:rsidR="00D541BF" w:rsidRPr="00D541BF" w:rsidRDefault="00D541BF" w:rsidP="00DC1648">
            <w:pPr>
              <w:rPr>
                <w:rFonts w:ascii="Arial" w:hAnsi="Arial" w:cs="Arial"/>
                <w:color w:val="000000"/>
                <w:sz w:val="20"/>
              </w:rPr>
            </w:pPr>
            <w:r w:rsidRPr="00D541BF">
              <w:rPr>
                <w:rFonts w:ascii="Arial" w:hAnsi="Arial" w:cs="Arial"/>
                <w:color w:val="000000"/>
                <w:sz w:val="20"/>
              </w:rPr>
              <w:t> </w:t>
            </w:r>
          </w:p>
        </w:tc>
        <w:tc>
          <w:tcPr>
            <w:tcW w:w="900" w:type="dxa"/>
            <w:tcBorders>
              <w:top w:val="nil"/>
              <w:left w:val="nil"/>
              <w:bottom w:val="single" w:sz="12" w:space="0" w:color="auto"/>
              <w:right w:val="nil"/>
            </w:tcBorders>
            <w:shd w:val="clear" w:color="auto" w:fill="auto"/>
            <w:noWrap/>
            <w:vAlign w:val="bottom"/>
            <w:hideMark/>
          </w:tcPr>
          <w:p w:rsidR="00D541BF" w:rsidRPr="00D541BF" w:rsidRDefault="00D541BF" w:rsidP="00DC1648">
            <w:pPr>
              <w:rPr>
                <w:rFonts w:ascii="Arial" w:hAnsi="Arial" w:cs="Arial"/>
                <w:color w:val="000000"/>
                <w:sz w:val="20"/>
              </w:rPr>
            </w:pPr>
            <w:r w:rsidRPr="00D541BF">
              <w:rPr>
                <w:rFonts w:ascii="Arial" w:hAnsi="Arial" w:cs="Arial"/>
                <w:color w:val="000000"/>
                <w:sz w:val="20"/>
              </w:rPr>
              <w:t> </w:t>
            </w:r>
          </w:p>
        </w:tc>
        <w:tc>
          <w:tcPr>
            <w:tcW w:w="1080" w:type="dxa"/>
            <w:tcBorders>
              <w:top w:val="nil"/>
              <w:left w:val="nil"/>
              <w:bottom w:val="single" w:sz="12" w:space="0" w:color="auto"/>
              <w:right w:val="nil"/>
            </w:tcBorders>
            <w:shd w:val="clear" w:color="auto" w:fill="auto"/>
            <w:noWrap/>
            <w:vAlign w:val="bottom"/>
            <w:hideMark/>
          </w:tcPr>
          <w:p w:rsidR="00D541BF" w:rsidRPr="00D541BF" w:rsidRDefault="00D541BF" w:rsidP="00DC1648">
            <w:pPr>
              <w:rPr>
                <w:rFonts w:ascii="Arial" w:hAnsi="Arial" w:cs="Arial"/>
                <w:color w:val="000000"/>
                <w:sz w:val="20"/>
              </w:rPr>
            </w:pPr>
            <w:r w:rsidRPr="00D541BF">
              <w:rPr>
                <w:rFonts w:ascii="Arial" w:hAnsi="Arial" w:cs="Arial"/>
                <w:color w:val="000000"/>
                <w:sz w:val="20"/>
              </w:rPr>
              <w:t> </w:t>
            </w:r>
          </w:p>
        </w:tc>
        <w:tc>
          <w:tcPr>
            <w:tcW w:w="990" w:type="dxa"/>
            <w:tcBorders>
              <w:top w:val="nil"/>
              <w:left w:val="nil"/>
              <w:bottom w:val="single" w:sz="12" w:space="0" w:color="auto"/>
              <w:right w:val="nil"/>
            </w:tcBorders>
            <w:shd w:val="clear" w:color="auto" w:fill="auto"/>
            <w:noWrap/>
            <w:vAlign w:val="bottom"/>
            <w:hideMark/>
          </w:tcPr>
          <w:p w:rsidR="00D541BF" w:rsidRPr="00D541BF" w:rsidRDefault="00D541BF" w:rsidP="00DC1648">
            <w:pPr>
              <w:rPr>
                <w:rFonts w:ascii="Arial" w:hAnsi="Arial" w:cs="Arial"/>
                <w:color w:val="000000"/>
                <w:sz w:val="20"/>
              </w:rPr>
            </w:pPr>
            <w:r w:rsidRPr="00D541BF">
              <w:rPr>
                <w:rFonts w:ascii="Arial" w:hAnsi="Arial" w:cs="Arial"/>
                <w:color w:val="000000"/>
                <w:sz w:val="20"/>
              </w:rPr>
              <w:t> </w:t>
            </w:r>
          </w:p>
        </w:tc>
        <w:tc>
          <w:tcPr>
            <w:tcW w:w="1260" w:type="dxa"/>
            <w:tcBorders>
              <w:top w:val="nil"/>
              <w:left w:val="nil"/>
              <w:bottom w:val="single" w:sz="12" w:space="0" w:color="auto"/>
              <w:right w:val="nil"/>
            </w:tcBorders>
            <w:shd w:val="clear" w:color="auto" w:fill="auto"/>
            <w:noWrap/>
            <w:vAlign w:val="bottom"/>
            <w:hideMark/>
          </w:tcPr>
          <w:p w:rsidR="00D541BF" w:rsidRPr="00D541BF" w:rsidRDefault="00D541BF" w:rsidP="00DC1648">
            <w:pPr>
              <w:rPr>
                <w:rFonts w:ascii="Arial" w:hAnsi="Arial" w:cs="Arial"/>
                <w:color w:val="000000"/>
                <w:sz w:val="20"/>
              </w:rPr>
            </w:pPr>
            <w:r w:rsidRPr="00D541BF">
              <w:rPr>
                <w:rFonts w:ascii="Arial" w:hAnsi="Arial" w:cs="Arial"/>
                <w:color w:val="000000"/>
                <w:sz w:val="20"/>
              </w:rPr>
              <w:t> </w:t>
            </w:r>
          </w:p>
        </w:tc>
        <w:tc>
          <w:tcPr>
            <w:tcW w:w="990" w:type="dxa"/>
            <w:tcBorders>
              <w:top w:val="nil"/>
              <w:left w:val="nil"/>
              <w:bottom w:val="single" w:sz="12" w:space="0" w:color="auto"/>
              <w:right w:val="nil"/>
            </w:tcBorders>
            <w:shd w:val="clear" w:color="auto" w:fill="auto"/>
            <w:noWrap/>
            <w:vAlign w:val="bottom"/>
            <w:hideMark/>
          </w:tcPr>
          <w:p w:rsidR="00D541BF" w:rsidRPr="00D541BF" w:rsidRDefault="00D541BF" w:rsidP="00DC1648">
            <w:pPr>
              <w:rPr>
                <w:rFonts w:ascii="Arial" w:hAnsi="Arial" w:cs="Arial"/>
                <w:color w:val="000000"/>
                <w:sz w:val="20"/>
              </w:rPr>
            </w:pPr>
            <w:r w:rsidRPr="00D541BF">
              <w:rPr>
                <w:rFonts w:ascii="Arial" w:hAnsi="Arial" w:cs="Arial"/>
                <w:color w:val="000000"/>
                <w:sz w:val="20"/>
              </w:rPr>
              <w:t> </w:t>
            </w:r>
          </w:p>
        </w:tc>
        <w:tc>
          <w:tcPr>
            <w:tcW w:w="1170" w:type="dxa"/>
            <w:tcBorders>
              <w:top w:val="nil"/>
              <w:left w:val="nil"/>
              <w:bottom w:val="single" w:sz="12" w:space="0" w:color="auto"/>
              <w:right w:val="nil"/>
            </w:tcBorders>
            <w:shd w:val="clear" w:color="auto" w:fill="auto"/>
            <w:noWrap/>
            <w:vAlign w:val="bottom"/>
            <w:hideMark/>
          </w:tcPr>
          <w:p w:rsidR="00D541BF" w:rsidRPr="00D541BF" w:rsidRDefault="00D541BF" w:rsidP="00DC1648">
            <w:pPr>
              <w:rPr>
                <w:rFonts w:ascii="Arial" w:hAnsi="Arial" w:cs="Arial"/>
                <w:color w:val="000000"/>
                <w:sz w:val="20"/>
              </w:rPr>
            </w:pPr>
            <w:r w:rsidRPr="00D541BF">
              <w:rPr>
                <w:rFonts w:ascii="Arial" w:hAnsi="Arial" w:cs="Arial"/>
                <w:color w:val="000000"/>
                <w:sz w:val="20"/>
              </w:rPr>
              <w:t> </w:t>
            </w:r>
          </w:p>
        </w:tc>
      </w:tr>
      <w:tr w:rsidR="00DC1648" w:rsidRPr="00D541BF" w:rsidTr="00DC1648">
        <w:trPr>
          <w:trHeight w:val="1020"/>
        </w:trPr>
        <w:tc>
          <w:tcPr>
            <w:tcW w:w="3888" w:type="dxa"/>
            <w:tcBorders>
              <w:top w:val="nil"/>
              <w:left w:val="single" w:sz="12" w:space="0" w:color="000000"/>
              <w:bottom w:val="nil"/>
              <w:right w:val="single" w:sz="12" w:space="0" w:color="000000"/>
            </w:tcBorders>
            <w:shd w:val="clear" w:color="auto" w:fill="auto"/>
            <w:hideMark/>
          </w:tcPr>
          <w:p w:rsidR="00D541BF" w:rsidRPr="00D541BF" w:rsidRDefault="00D541BF" w:rsidP="00DC1648">
            <w:pPr>
              <w:jc w:val="center"/>
              <w:rPr>
                <w:b/>
                <w:bCs/>
                <w:color w:val="000000"/>
                <w:szCs w:val="24"/>
              </w:rPr>
            </w:pPr>
            <w:r w:rsidRPr="00D541BF">
              <w:rPr>
                <w:b/>
                <w:bCs/>
                <w:color w:val="000000"/>
                <w:szCs w:val="24"/>
              </w:rPr>
              <w:t>Total Activity                                     (Non-Profit + Government)</w:t>
            </w:r>
          </w:p>
        </w:tc>
        <w:tc>
          <w:tcPr>
            <w:tcW w:w="900" w:type="dxa"/>
            <w:tcBorders>
              <w:top w:val="nil"/>
              <w:left w:val="nil"/>
              <w:bottom w:val="single" w:sz="12" w:space="0" w:color="auto"/>
              <w:right w:val="single" w:sz="8" w:space="0" w:color="000000"/>
            </w:tcBorders>
            <w:shd w:val="clear" w:color="auto" w:fill="auto"/>
            <w:hideMark/>
          </w:tcPr>
          <w:p w:rsidR="00D541BF" w:rsidRPr="00D541BF" w:rsidRDefault="00D541BF" w:rsidP="00DC1648">
            <w:pPr>
              <w:jc w:val="center"/>
              <w:rPr>
                <w:b/>
                <w:bCs/>
                <w:color w:val="000000"/>
                <w:sz w:val="20"/>
              </w:rPr>
            </w:pPr>
            <w:r w:rsidRPr="00D541BF">
              <w:rPr>
                <w:b/>
                <w:bCs/>
                <w:color w:val="000000"/>
                <w:sz w:val="20"/>
              </w:rPr>
              <w:t>Unit Burden (Hours)</w:t>
            </w:r>
          </w:p>
        </w:tc>
        <w:tc>
          <w:tcPr>
            <w:tcW w:w="1080" w:type="dxa"/>
            <w:tcBorders>
              <w:top w:val="nil"/>
              <w:left w:val="nil"/>
              <w:bottom w:val="nil"/>
              <w:right w:val="single" w:sz="12" w:space="0" w:color="000000"/>
            </w:tcBorders>
            <w:shd w:val="clear" w:color="auto" w:fill="auto"/>
            <w:hideMark/>
          </w:tcPr>
          <w:p w:rsidR="00D541BF" w:rsidRPr="00D541BF" w:rsidRDefault="00D541BF" w:rsidP="00DC1648">
            <w:pPr>
              <w:jc w:val="center"/>
              <w:rPr>
                <w:b/>
                <w:bCs/>
                <w:color w:val="000000"/>
                <w:sz w:val="20"/>
              </w:rPr>
            </w:pPr>
            <w:r w:rsidRPr="00D541BF">
              <w:rPr>
                <w:b/>
                <w:bCs/>
                <w:color w:val="000000"/>
                <w:sz w:val="20"/>
              </w:rPr>
              <w:t>Unit Labor Cost (Dollars)</w:t>
            </w:r>
          </w:p>
        </w:tc>
        <w:tc>
          <w:tcPr>
            <w:tcW w:w="990" w:type="dxa"/>
            <w:tcBorders>
              <w:top w:val="nil"/>
              <w:left w:val="nil"/>
              <w:bottom w:val="single" w:sz="12" w:space="0" w:color="auto"/>
              <w:right w:val="single" w:sz="12" w:space="0" w:color="000000"/>
            </w:tcBorders>
            <w:shd w:val="clear" w:color="auto" w:fill="auto"/>
            <w:hideMark/>
          </w:tcPr>
          <w:p w:rsidR="00D541BF" w:rsidRPr="00D541BF" w:rsidRDefault="00D541BF" w:rsidP="00DC1648">
            <w:pPr>
              <w:jc w:val="center"/>
              <w:rPr>
                <w:b/>
                <w:bCs/>
                <w:color w:val="000000"/>
                <w:sz w:val="20"/>
              </w:rPr>
            </w:pPr>
            <w:r w:rsidRPr="00D541BF">
              <w:rPr>
                <w:b/>
                <w:bCs/>
                <w:color w:val="000000"/>
                <w:sz w:val="20"/>
              </w:rPr>
              <w:t>Total Unit Cost (Dollars)</w:t>
            </w:r>
          </w:p>
        </w:tc>
        <w:tc>
          <w:tcPr>
            <w:tcW w:w="1260" w:type="dxa"/>
            <w:tcBorders>
              <w:top w:val="nil"/>
              <w:left w:val="nil"/>
              <w:bottom w:val="single" w:sz="12" w:space="0" w:color="auto"/>
              <w:right w:val="single" w:sz="12" w:space="0" w:color="000000"/>
            </w:tcBorders>
            <w:shd w:val="clear" w:color="auto" w:fill="auto"/>
            <w:hideMark/>
          </w:tcPr>
          <w:p w:rsidR="00D541BF" w:rsidRPr="00D541BF" w:rsidRDefault="00D541BF" w:rsidP="00DC1648">
            <w:pPr>
              <w:jc w:val="center"/>
              <w:rPr>
                <w:b/>
                <w:bCs/>
                <w:color w:val="000000"/>
                <w:sz w:val="20"/>
              </w:rPr>
            </w:pPr>
            <w:r w:rsidRPr="00D541BF">
              <w:rPr>
                <w:b/>
                <w:bCs/>
                <w:color w:val="000000"/>
                <w:sz w:val="20"/>
              </w:rPr>
              <w:t>Average Number of Responses/Year*</w:t>
            </w:r>
          </w:p>
        </w:tc>
        <w:tc>
          <w:tcPr>
            <w:tcW w:w="990" w:type="dxa"/>
            <w:tcBorders>
              <w:top w:val="nil"/>
              <w:left w:val="nil"/>
              <w:bottom w:val="nil"/>
              <w:right w:val="single" w:sz="8" w:space="0" w:color="000000"/>
            </w:tcBorders>
            <w:shd w:val="clear" w:color="auto" w:fill="auto"/>
            <w:hideMark/>
          </w:tcPr>
          <w:p w:rsidR="00D541BF" w:rsidRPr="00D541BF" w:rsidRDefault="00D541BF" w:rsidP="00DC1648">
            <w:pPr>
              <w:jc w:val="center"/>
              <w:rPr>
                <w:b/>
                <w:bCs/>
                <w:color w:val="000000"/>
                <w:sz w:val="20"/>
              </w:rPr>
            </w:pPr>
            <w:r w:rsidRPr="00D541BF">
              <w:rPr>
                <w:b/>
                <w:bCs/>
                <w:color w:val="000000"/>
                <w:sz w:val="20"/>
              </w:rPr>
              <w:t>Total Burden Hours/</w:t>
            </w:r>
            <w:r w:rsidR="00DC1648">
              <w:rPr>
                <w:b/>
                <w:bCs/>
                <w:color w:val="000000"/>
                <w:sz w:val="20"/>
              </w:rPr>
              <w:t xml:space="preserve"> </w:t>
            </w:r>
            <w:r w:rsidRPr="00D541BF">
              <w:rPr>
                <w:b/>
                <w:bCs/>
                <w:color w:val="000000"/>
                <w:sz w:val="20"/>
              </w:rPr>
              <w:t>Year*</w:t>
            </w:r>
          </w:p>
        </w:tc>
        <w:tc>
          <w:tcPr>
            <w:tcW w:w="1170" w:type="dxa"/>
            <w:tcBorders>
              <w:top w:val="nil"/>
              <w:left w:val="nil"/>
              <w:bottom w:val="single" w:sz="12" w:space="0" w:color="auto"/>
              <w:right w:val="single" w:sz="12" w:space="0" w:color="000000"/>
            </w:tcBorders>
            <w:shd w:val="clear" w:color="auto" w:fill="auto"/>
            <w:hideMark/>
          </w:tcPr>
          <w:p w:rsidR="00D541BF" w:rsidRPr="00D541BF" w:rsidRDefault="00D541BF" w:rsidP="00DC1648">
            <w:pPr>
              <w:jc w:val="center"/>
              <w:rPr>
                <w:b/>
                <w:bCs/>
                <w:color w:val="000000"/>
                <w:sz w:val="20"/>
              </w:rPr>
            </w:pPr>
            <w:r w:rsidRPr="00D541BF">
              <w:rPr>
                <w:b/>
                <w:bCs/>
                <w:color w:val="000000"/>
                <w:sz w:val="20"/>
              </w:rPr>
              <w:t>Total Cost/Year (Dollars)*</w:t>
            </w:r>
          </w:p>
        </w:tc>
      </w:tr>
      <w:tr w:rsidR="00DC1648" w:rsidRPr="00D541BF" w:rsidTr="00DC1648">
        <w:trPr>
          <w:trHeight w:val="330"/>
        </w:trPr>
        <w:tc>
          <w:tcPr>
            <w:tcW w:w="3888" w:type="dxa"/>
            <w:tcBorders>
              <w:top w:val="single" w:sz="12" w:space="0" w:color="auto"/>
              <w:left w:val="single" w:sz="12" w:space="0" w:color="000000"/>
              <w:bottom w:val="single" w:sz="8" w:space="0" w:color="000000"/>
              <w:right w:val="single" w:sz="12" w:space="0" w:color="000000"/>
            </w:tcBorders>
            <w:shd w:val="clear" w:color="auto" w:fill="auto"/>
            <w:hideMark/>
          </w:tcPr>
          <w:p w:rsidR="00D541BF" w:rsidRPr="00D541BF" w:rsidRDefault="00D541BF" w:rsidP="00DC1648">
            <w:pPr>
              <w:rPr>
                <w:color w:val="000000"/>
                <w:sz w:val="20"/>
              </w:rPr>
            </w:pPr>
            <w:r w:rsidRPr="00D541BF">
              <w:rPr>
                <w:color w:val="000000"/>
                <w:sz w:val="20"/>
              </w:rPr>
              <w:t>Job Training Reporting Form (non-profits)</w:t>
            </w:r>
          </w:p>
        </w:tc>
        <w:tc>
          <w:tcPr>
            <w:tcW w:w="900" w:type="dxa"/>
            <w:tcBorders>
              <w:top w:val="nil"/>
              <w:left w:val="nil"/>
              <w:bottom w:val="single" w:sz="8" w:space="0" w:color="000000"/>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4</w:t>
            </w:r>
          </w:p>
        </w:tc>
        <w:tc>
          <w:tcPr>
            <w:tcW w:w="1080" w:type="dxa"/>
            <w:tcBorders>
              <w:top w:val="single" w:sz="12" w:space="0" w:color="auto"/>
              <w:left w:val="nil"/>
              <w:bottom w:val="nil"/>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$82.00 </w:t>
            </w:r>
          </w:p>
        </w:tc>
        <w:tc>
          <w:tcPr>
            <w:tcW w:w="99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$328.00 </w:t>
            </w:r>
          </w:p>
        </w:tc>
        <w:tc>
          <w:tcPr>
            <w:tcW w:w="126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18</w:t>
            </w:r>
          </w:p>
        </w:tc>
        <w:tc>
          <w:tcPr>
            <w:tcW w:w="990" w:type="dxa"/>
            <w:tcBorders>
              <w:top w:val="single" w:sz="12" w:space="0" w:color="auto"/>
              <w:left w:val="nil"/>
              <w:bottom w:val="nil"/>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73</w:t>
            </w:r>
          </w:p>
        </w:tc>
        <w:tc>
          <w:tcPr>
            <w:tcW w:w="117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$5,904 </w:t>
            </w:r>
          </w:p>
        </w:tc>
      </w:tr>
      <w:tr w:rsidR="00DC1648" w:rsidRPr="00D541BF" w:rsidTr="00DC1648">
        <w:trPr>
          <w:trHeight w:val="330"/>
        </w:trPr>
        <w:tc>
          <w:tcPr>
            <w:tcW w:w="3888" w:type="dxa"/>
            <w:tcBorders>
              <w:top w:val="nil"/>
              <w:left w:val="single" w:sz="12" w:space="0" w:color="000000"/>
              <w:bottom w:val="single" w:sz="8" w:space="0" w:color="000000"/>
              <w:right w:val="single" w:sz="12" w:space="0" w:color="000000"/>
            </w:tcBorders>
            <w:shd w:val="clear" w:color="auto" w:fill="auto"/>
            <w:hideMark/>
          </w:tcPr>
          <w:p w:rsidR="00D541BF" w:rsidRPr="00D541BF" w:rsidRDefault="00D541BF" w:rsidP="00DC1648">
            <w:pPr>
              <w:rPr>
                <w:color w:val="000000"/>
                <w:sz w:val="20"/>
              </w:rPr>
            </w:pPr>
            <w:r w:rsidRPr="00D541BF">
              <w:rPr>
                <w:color w:val="000000"/>
                <w:sz w:val="20"/>
              </w:rPr>
              <w:t>Job Training Reporting Form (Governments)</w:t>
            </w:r>
          </w:p>
        </w:tc>
        <w:tc>
          <w:tcPr>
            <w:tcW w:w="900" w:type="dxa"/>
            <w:tcBorders>
              <w:top w:val="nil"/>
              <w:left w:val="nil"/>
              <w:bottom w:val="single" w:sz="8" w:space="0" w:color="000000"/>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4</w:t>
            </w:r>
          </w:p>
        </w:tc>
        <w:tc>
          <w:tcPr>
            <w:tcW w:w="1080" w:type="dxa"/>
            <w:tcBorders>
              <w:top w:val="single" w:sz="12" w:space="0" w:color="auto"/>
              <w:left w:val="nil"/>
              <w:bottom w:val="single" w:sz="8" w:space="0" w:color="000000"/>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$82.00 </w:t>
            </w:r>
          </w:p>
        </w:tc>
        <w:tc>
          <w:tcPr>
            <w:tcW w:w="99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$328.00 </w:t>
            </w:r>
          </w:p>
        </w:tc>
        <w:tc>
          <w:tcPr>
            <w:tcW w:w="126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11</w:t>
            </w:r>
          </w:p>
        </w:tc>
        <w:tc>
          <w:tcPr>
            <w:tcW w:w="990" w:type="dxa"/>
            <w:tcBorders>
              <w:top w:val="single" w:sz="12" w:space="0" w:color="auto"/>
              <w:left w:val="nil"/>
              <w:bottom w:val="nil"/>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43</w:t>
            </w:r>
          </w:p>
        </w:tc>
        <w:tc>
          <w:tcPr>
            <w:tcW w:w="117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$3,608 </w:t>
            </w:r>
          </w:p>
        </w:tc>
      </w:tr>
      <w:tr w:rsidR="00DC1648" w:rsidRPr="00D541BF" w:rsidTr="00DC1648">
        <w:trPr>
          <w:trHeight w:val="525"/>
        </w:trPr>
        <w:tc>
          <w:tcPr>
            <w:tcW w:w="3888" w:type="dxa"/>
            <w:tcBorders>
              <w:top w:val="nil"/>
              <w:left w:val="single" w:sz="12" w:space="0" w:color="000000"/>
              <w:bottom w:val="single" w:sz="8" w:space="0" w:color="000000"/>
              <w:right w:val="single" w:sz="12" w:space="0" w:color="000000"/>
            </w:tcBorders>
            <w:shd w:val="clear" w:color="auto" w:fill="auto"/>
            <w:hideMark/>
          </w:tcPr>
          <w:p w:rsidR="00D541BF" w:rsidRPr="00D541BF" w:rsidRDefault="00D541BF" w:rsidP="00DC1648">
            <w:pPr>
              <w:rPr>
                <w:color w:val="000000"/>
                <w:sz w:val="20"/>
              </w:rPr>
            </w:pPr>
            <w:r w:rsidRPr="00D541BF">
              <w:rPr>
                <w:color w:val="000000"/>
                <w:sz w:val="20"/>
              </w:rPr>
              <w:t>Initial Completion of Property Profile Form (Subtitle A) (non-profits)</w:t>
            </w:r>
          </w:p>
        </w:tc>
        <w:tc>
          <w:tcPr>
            <w:tcW w:w="900" w:type="dxa"/>
            <w:tcBorders>
              <w:top w:val="nil"/>
              <w:left w:val="nil"/>
              <w:bottom w:val="single" w:sz="8" w:space="0" w:color="000000"/>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1</w:t>
            </w:r>
          </w:p>
        </w:tc>
        <w:tc>
          <w:tcPr>
            <w:tcW w:w="1080" w:type="dxa"/>
            <w:tcBorders>
              <w:top w:val="nil"/>
              <w:left w:val="nil"/>
              <w:bottom w:val="single" w:sz="8" w:space="0" w:color="000000"/>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$98.12 </w:t>
            </w:r>
          </w:p>
        </w:tc>
        <w:tc>
          <w:tcPr>
            <w:tcW w:w="99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$98.12 </w:t>
            </w:r>
          </w:p>
        </w:tc>
        <w:tc>
          <w:tcPr>
            <w:tcW w:w="126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55</w:t>
            </w:r>
          </w:p>
        </w:tc>
        <w:tc>
          <w:tcPr>
            <w:tcW w:w="990" w:type="dxa"/>
            <w:tcBorders>
              <w:top w:val="single" w:sz="8" w:space="0" w:color="auto"/>
              <w:left w:val="nil"/>
              <w:bottom w:val="single" w:sz="8" w:space="0" w:color="auto"/>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55</w:t>
            </w:r>
          </w:p>
        </w:tc>
        <w:tc>
          <w:tcPr>
            <w:tcW w:w="117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$5,397 </w:t>
            </w:r>
          </w:p>
        </w:tc>
      </w:tr>
      <w:tr w:rsidR="00DC1648" w:rsidRPr="00D541BF" w:rsidTr="00DC1648">
        <w:trPr>
          <w:trHeight w:val="525"/>
        </w:trPr>
        <w:tc>
          <w:tcPr>
            <w:tcW w:w="3888" w:type="dxa"/>
            <w:tcBorders>
              <w:top w:val="nil"/>
              <w:left w:val="single" w:sz="12" w:space="0" w:color="000000"/>
              <w:bottom w:val="single" w:sz="8" w:space="0" w:color="000000"/>
              <w:right w:val="single" w:sz="12" w:space="0" w:color="000000"/>
            </w:tcBorders>
            <w:shd w:val="clear" w:color="auto" w:fill="auto"/>
            <w:hideMark/>
          </w:tcPr>
          <w:p w:rsidR="00D541BF" w:rsidRPr="00D541BF" w:rsidRDefault="00D541BF" w:rsidP="00DC1648">
            <w:pPr>
              <w:rPr>
                <w:color w:val="000000"/>
                <w:sz w:val="20"/>
              </w:rPr>
            </w:pPr>
            <w:r w:rsidRPr="00D541BF">
              <w:rPr>
                <w:color w:val="000000"/>
                <w:sz w:val="20"/>
              </w:rPr>
              <w:t>Initial completion of Property Profile Form (Subtitle A) (Governments)</w:t>
            </w:r>
          </w:p>
        </w:tc>
        <w:tc>
          <w:tcPr>
            <w:tcW w:w="900" w:type="dxa"/>
            <w:tcBorders>
              <w:top w:val="nil"/>
              <w:left w:val="nil"/>
              <w:bottom w:val="single" w:sz="8" w:space="0" w:color="000000"/>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1</w:t>
            </w:r>
          </w:p>
        </w:tc>
        <w:tc>
          <w:tcPr>
            <w:tcW w:w="1080" w:type="dxa"/>
            <w:tcBorders>
              <w:top w:val="nil"/>
              <w:left w:val="nil"/>
              <w:bottom w:val="nil"/>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$98.12 </w:t>
            </w:r>
          </w:p>
        </w:tc>
        <w:tc>
          <w:tcPr>
            <w:tcW w:w="99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$98.12 </w:t>
            </w:r>
          </w:p>
        </w:tc>
        <w:tc>
          <w:tcPr>
            <w:tcW w:w="126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952</w:t>
            </w:r>
          </w:p>
        </w:tc>
        <w:tc>
          <w:tcPr>
            <w:tcW w:w="990" w:type="dxa"/>
            <w:tcBorders>
              <w:top w:val="nil"/>
              <w:left w:val="nil"/>
              <w:bottom w:val="single" w:sz="8" w:space="0" w:color="auto"/>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952</w:t>
            </w:r>
          </w:p>
        </w:tc>
        <w:tc>
          <w:tcPr>
            <w:tcW w:w="117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$93,410 </w:t>
            </w:r>
          </w:p>
        </w:tc>
      </w:tr>
      <w:tr w:rsidR="00DC1648" w:rsidRPr="00D541BF" w:rsidTr="00DC1648">
        <w:trPr>
          <w:trHeight w:val="525"/>
        </w:trPr>
        <w:tc>
          <w:tcPr>
            <w:tcW w:w="3888" w:type="dxa"/>
            <w:tcBorders>
              <w:top w:val="nil"/>
              <w:left w:val="single" w:sz="12" w:space="0" w:color="000000"/>
              <w:bottom w:val="single" w:sz="8" w:space="0" w:color="000000"/>
              <w:right w:val="single" w:sz="12" w:space="0" w:color="000000"/>
            </w:tcBorders>
            <w:shd w:val="clear" w:color="auto" w:fill="auto"/>
            <w:hideMark/>
          </w:tcPr>
          <w:p w:rsidR="00D541BF" w:rsidRPr="00D541BF" w:rsidRDefault="00D541BF" w:rsidP="00DC1648">
            <w:pPr>
              <w:rPr>
                <w:color w:val="000000"/>
                <w:sz w:val="20"/>
              </w:rPr>
            </w:pPr>
            <w:r w:rsidRPr="00D541BF">
              <w:rPr>
                <w:color w:val="000000"/>
                <w:sz w:val="20"/>
              </w:rPr>
              <w:t>Initial Completion of Property Profile Form (Subtitle C)</w:t>
            </w:r>
          </w:p>
        </w:tc>
        <w:tc>
          <w:tcPr>
            <w:tcW w:w="900" w:type="dxa"/>
            <w:tcBorders>
              <w:top w:val="nil"/>
              <w:left w:val="nil"/>
              <w:bottom w:val="single" w:sz="8" w:space="0" w:color="000000"/>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1</w:t>
            </w:r>
          </w:p>
        </w:tc>
        <w:tc>
          <w:tcPr>
            <w:tcW w:w="1080" w:type="dxa"/>
            <w:tcBorders>
              <w:top w:val="single" w:sz="8" w:space="0" w:color="auto"/>
              <w:left w:val="nil"/>
              <w:bottom w:val="single" w:sz="8" w:space="0" w:color="auto"/>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$98.12 </w:t>
            </w:r>
          </w:p>
        </w:tc>
        <w:tc>
          <w:tcPr>
            <w:tcW w:w="99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$98.12 </w:t>
            </w:r>
          </w:p>
        </w:tc>
        <w:tc>
          <w:tcPr>
            <w:tcW w:w="126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564</w:t>
            </w:r>
          </w:p>
        </w:tc>
        <w:tc>
          <w:tcPr>
            <w:tcW w:w="990" w:type="dxa"/>
            <w:tcBorders>
              <w:top w:val="nil"/>
              <w:left w:val="nil"/>
              <w:bottom w:val="single" w:sz="8" w:space="0" w:color="auto"/>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564</w:t>
            </w:r>
          </w:p>
        </w:tc>
        <w:tc>
          <w:tcPr>
            <w:tcW w:w="117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$55,340 </w:t>
            </w:r>
          </w:p>
        </w:tc>
      </w:tr>
      <w:tr w:rsidR="00DC1648" w:rsidRPr="00D541BF" w:rsidTr="00DC1648">
        <w:trPr>
          <w:trHeight w:val="525"/>
        </w:trPr>
        <w:tc>
          <w:tcPr>
            <w:tcW w:w="3888" w:type="dxa"/>
            <w:tcBorders>
              <w:top w:val="nil"/>
              <w:left w:val="single" w:sz="12" w:space="0" w:color="000000"/>
              <w:bottom w:val="single" w:sz="8" w:space="0" w:color="000000"/>
              <w:right w:val="single" w:sz="12" w:space="0" w:color="000000"/>
            </w:tcBorders>
            <w:shd w:val="clear" w:color="auto" w:fill="auto"/>
            <w:hideMark/>
          </w:tcPr>
          <w:p w:rsidR="00D541BF" w:rsidRPr="00D541BF" w:rsidRDefault="00D541BF" w:rsidP="00DC1648">
            <w:pPr>
              <w:rPr>
                <w:color w:val="000000"/>
                <w:sz w:val="20"/>
              </w:rPr>
            </w:pPr>
            <w:r w:rsidRPr="00D541BF">
              <w:rPr>
                <w:color w:val="000000"/>
                <w:sz w:val="20"/>
              </w:rPr>
              <w:lastRenderedPageBreak/>
              <w:t>Update of Property Profile Form (Subtitle A) (non-profits)</w:t>
            </w:r>
          </w:p>
        </w:tc>
        <w:tc>
          <w:tcPr>
            <w:tcW w:w="900" w:type="dxa"/>
            <w:tcBorders>
              <w:top w:val="nil"/>
              <w:left w:val="nil"/>
              <w:bottom w:val="single" w:sz="8" w:space="0" w:color="000000"/>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1.5</w:t>
            </w:r>
          </w:p>
        </w:tc>
        <w:tc>
          <w:tcPr>
            <w:tcW w:w="1080" w:type="dxa"/>
            <w:tcBorders>
              <w:top w:val="nil"/>
              <w:left w:val="nil"/>
              <w:bottom w:val="single" w:sz="8" w:space="0" w:color="auto"/>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$98.12 </w:t>
            </w:r>
          </w:p>
        </w:tc>
        <w:tc>
          <w:tcPr>
            <w:tcW w:w="99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$147.18 </w:t>
            </w:r>
          </w:p>
        </w:tc>
        <w:tc>
          <w:tcPr>
            <w:tcW w:w="126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38</w:t>
            </w:r>
          </w:p>
        </w:tc>
        <w:tc>
          <w:tcPr>
            <w:tcW w:w="990" w:type="dxa"/>
            <w:tcBorders>
              <w:top w:val="nil"/>
              <w:left w:val="nil"/>
              <w:bottom w:val="single" w:sz="8" w:space="0" w:color="auto"/>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58</w:t>
            </w:r>
          </w:p>
        </w:tc>
        <w:tc>
          <w:tcPr>
            <w:tcW w:w="117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$5,593 </w:t>
            </w:r>
          </w:p>
        </w:tc>
      </w:tr>
      <w:tr w:rsidR="00DC1648" w:rsidRPr="00D541BF" w:rsidTr="00DC1648">
        <w:trPr>
          <w:trHeight w:val="525"/>
        </w:trPr>
        <w:tc>
          <w:tcPr>
            <w:tcW w:w="3888" w:type="dxa"/>
            <w:tcBorders>
              <w:top w:val="nil"/>
              <w:left w:val="single" w:sz="12" w:space="0" w:color="000000"/>
              <w:bottom w:val="single" w:sz="8" w:space="0" w:color="000000"/>
              <w:right w:val="single" w:sz="12" w:space="0" w:color="000000"/>
            </w:tcBorders>
            <w:shd w:val="clear" w:color="auto" w:fill="auto"/>
            <w:hideMark/>
          </w:tcPr>
          <w:p w:rsidR="00D541BF" w:rsidRPr="00D541BF" w:rsidRDefault="00D541BF" w:rsidP="00DC1648">
            <w:pPr>
              <w:rPr>
                <w:color w:val="000000"/>
                <w:sz w:val="20"/>
              </w:rPr>
            </w:pPr>
            <w:r w:rsidRPr="00D541BF">
              <w:rPr>
                <w:color w:val="000000"/>
                <w:sz w:val="20"/>
              </w:rPr>
              <w:t>Update of Property Profile Form (Subtitle A) (Governments)</w:t>
            </w:r>
          </w:p>
        </w:tc>
        <w:tc>
          <w:tcPr>
            <w:tcW w:w="900" w:type="dxa"/>
            <w:tcBorders>
              <w:top w:val="nil"/>
              <w:left w:val="nil"/>
              <w:bottom w:val="single" w:sz="8" w:space="0" w:color="000000"/>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1.5</w:t>
            </w:r>
          </w:p>
        </w:tc>
        <w:tc>
          <w:tcPr>
            <w:tcW w:w="1080" w:type="dxa"/>
            <w:tcBorders>
              <w:top w:val="nil"/>
              <w:left w:val="nil"/>
              <w:bottom w:val="single" w:sz="8" w:space="0" w:color="auto"/>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$98.12 </w:t>
            </w:r>
          </w:p>
        </w:tc>
        <w:tc>
          <w:tcPr>
            <w:tcW w:w="99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$147.18 </w:t>
            </w:r>
          </w:p>
        </w:tc>
        <w:tc>
          <w:tcPr>
            <w:tcW w:w="1260" w:type="dxa"/>
            <w:tcBorders>
              <w:top w:val="nil"/>
              <w:left w:val="nil"/>
              <w:bottom w:val="single" w:sz="8" w:space="0" w:color="000000"/>
              <w:right w:val="single" w:sz="8" w:space="0" w:color="auto"/>
            </w:tcBorders>
            <w:shd w:val="clear" w:color="auto" w:fill="auto"/>
            <w:hideMark/>
          </w:tcPr>
          <w:p w:rsidR="00D541BF" w:rsidRPr="00D541BF" w:rsidRDefault="00D541BF" w:rsidP="00DC1648">
            <w:pPr>
              <w:jc w:val="center"/>
              <w:rPr>
                <w:color w:val="000000"/>
                <w:sz w:val="20"/>
              </w:rPr>
            </w:pPr>
            <w:r w:rsidRPr="00D541BF">
              <w:rPr>
                <w:color w:val="000000"/>
                <w:sz w:val="20"/>
              </w:rPr>
              <w:t>667</w:t>
            </w:r>
          </w:p>
        </w:tc>
        <w:tc>
          <w:tcPr>
            <w:tcW w:w="990" w:type="dxa"/>
            <w:tcBorders>
              <w:top w:val="nil"/>
              <w:left w:val="nil"/>
              <w:bottom w:val="single" w:sz="8" w:space="0" w:color="auto"/>
              <w:right w:val="single" w:sz="8" w:space="0" w:color="auto"/>
            </w:tcBorders>
            <w:shd w:val="clear" w:color="auto" w:fill="auto"/>
            <w:hideMark/>
          </w:tcPr>
          <w:p w:rsidR="00D541BF" w:rsidRPr="00D541BF" w:rsidRDefault="00D541BF" w:rsidP="00DC1648">
            <w:pPr>
              <w:jc w:val="center"/>
              <w:rPr>
                <w:color w:val="000000"/>
                <w:sz w:val="20"/>
              </w:rPr>
            </w:pPr>
            <w:r w:rsidRPr="00D541BF">
              <w:rPr>
                <w:color w:val="000000"/>
                <w:sz w:val="20"/>
              </w:rPr>
              <w:t>999</w:t>
            </w:r>
          </w:p>
        </w:tc>
        <w:tc>
          <w:tcPr>
            <w:tcW w:w="1170" w:type="dxa"/>
            <w:tcBorders>
              <w:top w:val="nil"/>
              <w:left w:val="nil"/>
              <w:bottom w:val="single" w:sz="8" w:space="0" w:color="000000"/>
              <w:right w:val="single" w:sz="12" w:space="0" w:color="000000"/>
            </w:tcBorders>
            <w:shd w:val="clear" w:color="auto" w:fill="auto"/>
            <w:hideMark/>
          </w:tcPr>
          <w:p w:rsidR="00D541BF" w:rsidRPr="00D541BF" w:rsidRDefault="00D541BF" w:rsidP="00270E39">
            <w:pPr>
              <w:jc w:val="center"/>
              <w:rPr>
                <w:color w:val="000000"/>
                <w:sz w:val="20"/>
              </w:rPr>
            </w:pPr>
            <w:r w:rsidRPr="00D541BF">
              <w:rPr>
                <w:color w:val="000000"/>
                <w:sz w:val="20"/>
              </w:rPr>
              <w:t>$98,169</w:t>
            </w:r>
          </w:p>
        </w:tc>
      </w:tr>
      <w:tr w:rsidR="00DC1648" w:rsidRPr="00D541BF" w:rsidTr="00DC1648">
        <w:trPr>
          <w:trHeight w:val="315"/>
        </w:trPr>
        <w:tc>
          <w:tcPr>
            <w:tcW w:w="3888" w:type="dxa"/>
            <w:tcBorders>
              <w:top w:val="nil"/>
              <w:left w:val="single" w:sz="12" w:space="0" w:color="000000"/>
              <w:bottom w:val="single" w:sz="12" w:space="0" w:color="000000"/>
              <w:right w:val="single" w:sz="12" w:space="0" w:color="000000"/>
            </w:tcBorders>
            <w:shd w:val="clear" w:color="auto" w:fill="auto"/>
            <w:hideMark/>
          </w:tcPr>
          <w:p w:rsidR="00D541BF" w:rsidRPr="00D541BF" w:rsidRDefault="00D541BF" w:rsidP="00DC1648">
            <w:pPr>
              <w:rPr>
                <w:color w:val="000000"/>
                <w:sz w:val="20"/>
              </w:rPr>
            </w:pPr>
            <w:r w:rsidRPr="00D541BF">
              <w:rPr>
                <w:color w:val="000000"/>
                <w:sz w:val="20"/>
              </w:rPr>
              <w:t>Update of Property Profile Form (Subtitle C)</w:t>
            </w:r>
          </w:p>
        </w:tc>
        <w:tc>
          <w:tcPr>
            <w:tcW w:w="900" w:type="dxa"/>
            <w:tcBorders>
              <w:top w:val="nil"/>
              <w:left w:val="nil"/>
              <w:bottom w:val="single" w:sz="12" w:space="0" w:color="000000"/>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1.5</w:t>
            </w:r>
          </w:p>
        </w:tc>
        <w:tc>
          <w:tcPr>
            <w:tcW w:w="1080" w:type="dxa"/>
            <w:tcBorders>
              <w:top w:val="nil"/>
              <w:left w:val="nil"/>
              <w:bottom w:val="single" w:sz="8" w:space="0" w:color="000000"/>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$98.12 </w:t>
            </w:r>
          </w:p>
        </w:tc>
        <w:tc>
          <w:tcPr>
            <w:tcW w:w="99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$147.18 </w:t>
            </w:r>
          </w:p>
        </w:tc>
        <w:tc>
          <w:tcPr>
            <w:tcW w:w="1260" w:type="dxa"/>
            <w:tcBorders>
              <w:top w:val="nil"/>
              <w:left w:val="nil"/>
              <w:bottom w:val="single" w:sz="12"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282</w:t>
            </w:r>
          </w:p>
        </w:tc>
        <w:tc>
          <w:tcPr>
            <w:tcW w:w="990" w:type="dxa"/>
            <w:tcBorders>
              <w:top w:val="nil"/>
              <w:left w:val="nil"/>
              <w:bottom w:val="single" w:sz="12" w:space="0" w:color="auto"/>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423</w:t>
            </w:r>
          </w:p>
        </w:tc>
        <w:tc>
          <w:tcPr>
            <w:tcW w:w="1170" w:type="dxa"/>
            <w:tcBorders>
              <w:top w:val="nil"/>
              <w:left w:val="nil"/>
              <w:bottom w:val="single" w:sz="12" w:space="0" w:color="auto"/>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$41,505 </w:t>
            </w:r>
          </w:p>
        </w:tc>
      </w:tr>
      <w:tr w:rsidR="00DC1648" w:rsidRPr="00D541BF" w:rsidTr="00DC1648">
        <w:trPr>
          <w:trHeight w:val="330"/>
        </w:trPr>
        <w:tc>
          <w:tcPr>
            <w:tcW w:w="6858" w:type="dxa"/>
            <w:gridSpan w:val="4"/>
            <w:tcBorders>
              <w:top w:val="nil"/>
              <w:left w:val="single" w:sz="12" w:space="0" w:color="000000"/>
              <w:bottom w:val="single" w:sz="8" w:space="0" w:color="000000"/>
              <w:right w:val="single" w:sz="12" w:space="0" w:color="000000"/>
            </w:tcBorders>
            <w:shd w:val="clear" w:color="auto" w:fill="auto"/>
            <w:hideMark/>
          </w:tcPr>
          <w:p w:rsidR="00D541BF" w:rsidRPr="00D541BF" w:rsidRDefault="00D541BF" w:rsidP="00DC1648">
            <w:pPr>
              <w:rPr>
                <w:b/>
                <w:bCs/>
                <w:color w:val="000000"/>
                <w:sz w:val="20"/>
              </w:rPr>
            </w:pPr>
            <w:r w:rsidRPr="00D541BF">
              <w:rPr>
                <w:b/>
                <w:bCs/>
                <w:color w:val="000000"/>
                <w:sz w:val="20"/>
              </w:rPr>
              <w:t>TOTAL</w:t>
            </w:r>
          </w:p>
        </w:tc>
        <w:tc>
          <w:tcPr>
            <w:tcW w:w="126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2,587</w:t>
            </w:r>
          </w:p>
        </w:tc>
        <w:tc>
          <w:tcPr>
            <w:tcW w:w="990" w:type="dxa"/>
            <w:tcBorders>
              <w:top w:val="nil"/>
              <w:left w:val="nil"/>
              <w:bottom w:val="single" w:sz="8" w:space="0" w:color="000000"/>
              <w:right w:val="single" w:sz="8"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3,167</w:t>
            </w:r>
          </w:p>
        </w:tc>
        <w:tc>
          <w:tcPr>
            <w:tcW w:w="1170" w:type="dxa"/>
            <w:tcBorders>
              <w:top w:val="nil"/>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$308,926 </w:t>
            </w:r>
          </w:p>
        </w:tc>
      </w:tr>
      <w:tr w:rsidR="00DC1648" w:rsidRPr="00D541BF" w:rsidTr="006C6431">
        <w:trPr>
          <w:trHeight w:val="315"/>
        </w:trPr>
        <w:tc>
          <w:tcPr>
            <w:tcW w:w="8118" w:type="dxa"/>
            <w:gridSpan w:val="5"/>
            <w:tcBorders>
              <w:top w:val="single" w:sz="8" w:space="0" w:color="000000"/>
              <w:left w:val="single" w:sz="12" w:space="0" w:color="000000"/>
              <w:bottom w:val="single" w:sz="8" w:space="0" w:color="000000"/>
              <w:right w:val="single" w:sz="12" w:space="0" w:color="000000"/>
            </w:tcBorders>
            <w:shd w:val="clear" w:color="auto" w:fill="auto"/>
            <w:hideMark/>
          </w:tcPr>
          <w:p w:rsidR="00D541BF" w:rsidRPr="00D541BF" w:rsidRDefault="00D541BF" w:rsidP="00DC1648">
            <w:pPr>
              <w:rPr>
                <w:b/>
                <w:bCs/>
                <w:color w:val="000000"/>
                <w:sz w:val="20"/>
              </w:rPr>
            </w:pPr>
            <w:r w:rsidRPr="00D541BF">
              <w:rPr>
                <w:b/>
                <w:bCs/>
                <w:color w:val="000000"/>
                <w:sz w:val="20"/>
              </w:rPr>
              <w:t>AVERAGE TOTAL COST PER BURDEN HOUR</w:t>
            </w:r>
          </w:p>
        </w:tc>
        <w:tc>
          <w:tcPr>
            <w:tcW w:w="2160" w:type="dxa"/>
            <w:gridSpan w:val="2"/>
            <w:tcBorders>
              <w:top w:val="single" w:sz="8" w:space="0" w:color="000000"/>
              <w:left w:val="nil"/>
              <w:bottom w:val="single" w:sz="8" w:space="0" w:color="000000"/>
              <w:right w:val="single" w:sz="12" w:space="0" w:color="000000"/>
            </w:tcBorders>
            <w:shd w:val="clear" w:color="auto" w:fill="auto"/>
            <w:hideMark/>
          </w:tcPr>
          <w:p w:rsidR="00D541BF" w:rsidRPr="00D541BF" w:rsidRDefault="00D541BF" w:rsidP="00DC1648">
            <w:pPr>
              <w:jc w:val="center"/>
              <w:rPr>
                <w:color w:val="000000"/>
                <w:sz w:val="20"/>
              </w:rPr>
            </w:pPr>
            <w:r w:rsidRPr="00D541BF">
              <w:rPr>
                <w:color w:val="000000"/>
                <w:sz w:val="20"/>
              </w:rPr>
              <w:t xml:space="preserve">$97.54 </w:t>
            </w:r>
            <w:r w:rsidRPr="00D541BF">
              <w:rPr>
                <w:color w:val="000000"/>
                <w:sz w:val="16"/>
                <w:szCs w:val="16"/>
              </w:rPr>
              <w:t> </w:t>
            </w:r>
          </w:p>
        </w:tc>
      </w:tr>
      <w:tr w:rsidR="006C6431" w:rsidRPr="00D541BF" w:rsidTr="00DC1648">
        <w:trPr>
          <w:trHeight w:val="315"/>
        </w:trPr>
        <w:tc>
          <w:tcPr>
            <w:tcW w:w="8118" w:type="dxa"/>
            <w:gridSpan w:val="5"/>
            <w:tcBorders>
              <w:top w:val="single" w:sz="8" w:space="0" w:color="000000"/>
              <w:left w:val="single" w:sz="12" w:space="0" w:color="000000"/>
              <w:bottom w:val="single" w:sz="12" w:space="0" w:color="000000"/>
              <w:right w:val="single" w:sz="12" w:space="0" w:color="000000"/>
            </w:tcBorders>
            <w:shd w:val="clear" w:color="auto" w:fill="auto"/>
            <w:hideMark/>
          </w:tcPr>
          <w:p w:rsidR="006C6431" w:rsidRPr="00D541BF" w:rsidRDefault="006C6431" w:rsidP="00DC1648">
            <w:pPr>
              <w:rPr>
                <w:b/>
                <w:bCs/>
                <w:color w:val="000000"/>
                <w:sz w:val="20"/>
              </w:rPr>
            </w:pPr>
            <w:r>
              <w:rPr>
                <w:b/>
                <w:bCs/>
                <w:color w:val="000000"/>
                <w:sz w:val="20"/>
              </w:rPr>
              <w:t>Total Annual Respondents: 1,007</w:t>
            </w:r>
          </w:p>
        </w:tc>
        <w:tc>
          <w:tcPr>
            <w:tcW w:w="2160" w:type="dxa"/>
            <w:gridSpan w:val="2"/>
            <w:tcBorders>
              <w:top w:val="single" w:sz="8" w:space="0" w:color="000000"/>
              <w:left w:val="nil"/>
              <w:bottom w:val="single" w:sz="12" w:space="0" w:color="000000"/>
              <w:right w:val="single" w:sz="12" w:space="0" w:color="000000"/>
            </w:tcBorders>
            <w:shd w:val="clear" w:color="auto" w:fill="auto"/>
            <w:hideMark/>
          </w:tcPr>
          <w:p w:rsidR="006C6431" w:rsidRPr="00D541BF" w:rsidRDefault="006C6431" w:rsidP="00DC1648">
            <w:pPr>
              <w:jc w:val="center"/>
              <w:rPr>
                <w:color w:val="000000"/>
                <w:sz w:val="20"/>
              </w:rPr>
            </w:pPr>
          </w:p>
        </w:tc>
      </w:tr>
    </w:tbl>
    <w:p w:rsidR="009D49F4" w:rsidRDefault="009D49F4" w:rsidP="009D49F4">
      <w:pPr>
        <w:jc w:val="center"/>
        <w:rPr>
          <w:b/>
          <w:color w:val="000000"/>
        </w:rPr>
      </w:pPr>
    </w:p>
    <w:p w:rsidR="00B713F3" w:rsidRDefault="009D49F4" w:rsidP="009D49F4">
      <w:pPr>
        <w:jc w:val="center"/>
        <w:rPr>
          <w:color w:val="000000"/>
        </w:rPr>
      </w:pPr>
      <w:r>
        <w:rPr>
          <w:b/>
          <w:color w:val="000000"/>
        </w:rPr>
        <w:t>Exhibit 2 - Annual Respondent Burden and Cost</w:t>
      </w:r>
    </w:p>
    <w:p w:rsidR="00554AC5" w:rsidRDefault="00554AC5">
      <w:pPr>
        <w:rPr>
          <w:color w:val="000000"/>
        </w:rPr>
      </w:pPr>
    </w:p>
    <w:p w:rsidR="00554AC5" w:rsidRDefault="00554AC5" w:rsidP="00554AC5">
      <w:pPr>
        <w:rPr>
          <w:color w:val="000000"/>
          <w:sz w:val="20"/>
        </w:rPr>
      </w:pPr>
      <w:r>
        <w:rPr>
          <w:color w:val="000000"/>
          <w:sz w:val="20"/>
        </w:rPr>
        <w:t>*</w:t>
      </w:r>
      <w:r w:rsidRPr="00B713F3">
        <w:t xml:space="preserve"> </w:t>
      </w:r>
      <w:r w:rsidRPr="00B713F3">
        <w:rPr>
          <w:color w:val="000000"/>
          <w:sz w:val="20"/>
        </w:rPr>
        <w:t>Unit Labor Cost in Dollars reflects a “loaded” rate for benefits and overhead.</w:t>
      </w:r>
    </w:p>
    <w:p w:rsidR="00554AC5" w:rsidRPr="00554AC5" w:rsidRDefault="00554AC5">
      <w:pPr>
        <w:rPr>
          <w:color w:val="000000"/>
          <w:sz w:val="20"/>
        </w:rPr>
      </w:pPr>
      <w:r>
        <w:rPr>
          <w:color w:val="000000"/>
          <w:sz w:val="20"/>
        </w:rPr>
        <w:t xml:space="preserve">** Figures may not sum due to rounding. </w:t>
      </w:r>
    </w:p>
    <w:p w:rsidR="00554AC5" w:rsidRDefault="00554AC5">
      <w:pPr>
        <w:rPr>
          <w:color w:val="000000"/>
        </w:rPr>
      </w:pPr>
    </w:p>
    <w:p w:rsidR="00A2708C" w:rsidRPr="00461FE7" w:rsidRDefault="00A2708C">
      <w:r>
        <w:rPr>
          <w:color w:val="000000"/>
        </w:rPr>
        <w:tab/>
      </w:r>
      <w:r w:rsidRPr="00461FE7">
        <w:t xml:space="preserve">The unit labor cost (dollars) for this burden estimate is a weighted hourly rate based upon the estimated labor mix and wage rates gathered from the U.S. Bureau of Labor Statistics (BLS).  Across all tasks, data from consultations indicate that the average </w:t>
      </w:r>
      <w:r w:rsidR="005D6497">
        <w:t>recipient</w:t>
      </w:r>
      <w:r w:rsidRPr="00461FE7">
        <w:t xml:space="preserve"> will incur </w:t>
      </w:r>
      <w:r w:rsidR="000364FF" w:rsidRPr="00461FE7">
        <w:t>13</w:t>
      </w:r>
      <w:r w:rsidRPr="00461FE7">
        <w:t xml:space="preserve"> percent of its burden with executive/managerial staff labor, </w:t>
      </w:r>
      <w:r w:rsidR="000364FF" w:rsidRPr="00461FE7">
        <w:t>6</w:t>
      </w:r>
      <w:r w:rsidRPr="00461FE7">
        <w:t xml:space="preserve"> percent with professional specialty staff labor, </w:t>
      </w:r>
      <w:r w:rsidR="000364FF" w:rsidRPr="00461FE7">
        <w:t>53</w:t>
      </w:r>
      <w:r w:rsidRPr="00461FE7">
        <w:t xml:space="preserve"> percent with technical labor, </w:t>
      </w:r>
      <w:r w:rsidR="000364FF" w:rsidRPr="00461FE7">
        <w:t>10</w:t>
      </w:r>
      <w:r w:rsidRPr="00461FE7">
        <w:t xml:space="preserve"> percent with administrative support or clerical labor</w:t>
      </w:r>
      <w:r w:rsidR="00F15617">
        <w:t>,</w:t>
      </w:r>
      <w:r w:rsidR="00F15617" w:rsidRPr="00F15617">
        <w:rPr>
          <w:color w:val="000000"/>
        </w:rPr>
        <w:t xml:space="preserve"> </w:t>
      </w:r>
      <w:r w:rsidR="00F15617" w:rsidRPr="00AD0BCE">
        <w:rPr>
          <w:color w:val="000000"/>
        </w:rPr>
        <w:t>and 17 percent with program participants and partners</w:t>
      </w:r>
      <w:r w:rsidRPr="00461FE7">
        <w:t xml:space="preserve">.  This labor mix was applied to BLS, National Compensation Survey (NCS) data issued in </w:t>
      </w:r>
      <w:r w:rsidR="0029687A" w:rsidRPr="00461FE7">
        <w:t>December 2008</w:t>
      </w:r>
      <w:r w:rsidRPr="00461FE7">
        <w:rPr>
          <w:vertAlign w:val="superscript"/>
        </w:rPr>
        <w:footnoteReference w:id="3"/>
      </w:r>
      <w:r w:rsidRPr="00461FE7">
        <w:t xml:space="preserve"> for a weighted hourly rate of </w:t>
      </w:r>
      <w:r w:rsidR="000364FF" w:rsidRPr="00461FE7">
        <w:t>$46</w:t>
      </w:r>
      <w:r w:rsidRPr="00461FE7">
        <w:t>.</w:t>
      </w:r>
      <w:r w:rsidR="000364FF" w:rsidRPr="00461FE7">
        <w:t>72</w:t>
      </w:r>
      <w:r w:rsidR="00407D2C" w:rsidRPr="00461FE7">
        <w:t xml:space="preserve"> and a</w:t>
      </w:r>
      <w:r w:rsidR="00B713F3" w:rsidRPr="00461FE7">
        <w:t>n</w:t>
      </w:r>
      <w:r w:rsidR="00407D2C" w:rsidRPr="00461FE7">
        <w:t xml:space="preserve"> </w:t>
      </w:r>
      <w:r w:rsidR="00B713F3" w:rsidRPr="00461FE7">
        <w:t xml:space="preserve">estimated </w:t>
      </w:r>
      <w:r w:rsidR="00407D2C" w:rsidRPr="00461FE7">
        <w:t xml:space="preserve">fully loaded rate of </w:t>
      </w:r>
      <w:r w:rsidR="000364FF" w:rsidRPr="00461FE7">
        <w:t>$98.12.</w:t>
      </w:r>
    </w:p>
    <w:p w:rsidR="00A2708C" w:rsidRDefault="00A2708C">
      <w:pPr>
        <w:rPr>
          <w:color w:val="000000"/>
        </w:rPr>
      </w:pPr>
      <w:r>
        <w:rPr>
          <w:color w:val="000000"/>
        </w:rPr>
        <w:tab/>
      </w:r>
      <w:r>
        <w:rPr>
          <w:color w:val="000000"/>
        </w:rPr>
        <w:tab/>
      </w:r>
      <w:r>
        <w:rPr>
          <w:color w:val="000000"/>
        </w:rPr>
        <w:tab/>
      </w:r>
      <w:r>
        <w:rPr>
          <w:color w:val="000000"/>
        </w:rPr>
        <w:tab/>
      </w:r>
      <w:r>
        <w:rPr>
          <w:color w:val="000000"/>
        </w:rPr>
        <w:tab/>
      </w:r>
    </w:p>
    <w:p w:rsidR="001533BC" w:rsidRDefault="00A2708C" w:rsidP="001533BC">
      <w:pPr>
        <w:rPr>
          <w:color w:val="000000"/>
        </w:rPr>
      </w:pPr>
      <w:r>
        <w:rPr>
          <w:color w:val="000000"/>
        </w:rPr>
        <w:tab/>
      </w:r>
      <w:r w:rsidR="001533BC">
        <w:rPr>
          <w:color w:val="000000"/>
        </w:rPr>
        <w:t xml:space="preserve">For this </w:t>
      </w:r>
      <w:r w:rsidR="00940935">
        <w:rPr>
          <w:color w:val="000000"/>
        </w:rPr>
        <w:t>revision</w:t>
      </w:r>
      <w:r w:rsidR="00152859">
        <w:rPr>
          <w:color w:val="000000"/>
        </w:rPr>
        <w:t xml:space="preserve">, EPA </w:t>
      </w:r>
      <w:r w:rsidR="00217EDA">
        <w:rPr>
          <w:color w:val="000000"/>
        </w:rPr>
        <w:t xml:space="preserve">made </w:t>
      </w:r>
      <w:r w:rsidR="00940935">
        <w:rPr>
          <w:color w:val="000000"/>
        </w:rPr>
        <w:t>minimal changes</w:t>
      </w:r>
      <w:r w:rsidR="00217EDA">
        <w:rPr>
          <w:color w:val="000000"/>
        </w:rPr>
        <w:t xml:space="preserve"> to the</w:t>
      </w:r>
      <w:r w:rsidR="00BC1045">
        <w:rPr>
          <w:color w:val="000000"/>
        </w:rPr>
        <w:t xml:space="preserve"> </w:t>
      </w:r>
      <w:r w:rsidR="0053376C">
        <w:rPr>
          <w:color w:val="000000"/>
        </w:rPr>
        <w:t>Job Training</w:t>
      </w:r>
      <w:r w:rsidR="00BC1045">
        <w:rPr>
          <w:color w:val="000000"/>
        </w:rPr>
        <w:t xml:space="preserve"> report form. </w:t>
      </w:r>
      <w:r w:rsidR="001533BC">
        <w:rPr>
          <w:color w:val="000000"/>
        </w:rPr>
        <w:t xml:space="preserve">To calculate the reporting burden, EPA conducted in-depth interviews with six </w:t>
      </w:r>
      <w:r w:rsidR="0053376C">
        <w:rPr>
          <w:color w:val="000000"/>
        </w:rPr>
        <w:t>Job Training</w:t>
      </w:r>
      <w:r w:rsidRPr="002344B1">
        <w:rPr>
          <w:color w:val="000000"/>
        </w:rPr>
        <w:t xml:space="preserve"> recipients</w:t>
      </w:r>
      <w:r w:rsidR="001533BC">
        <w:rPr>
          <w:color w:val="000000"/>
        </w:rPr>
        <w:t>.  Those interviewed were shown</w:t>
      </w:r>
      <w:r w:rsidR="001533BC" w:rsidRPr="001533BC">
        <w:rPr>
          <w:color w:val="000000"/>
        </w:rPr>
        <w:t xml:space="preserve"> </w:t>
      </w:r>
      <w:r w:rsidR="001533BC">
        <w:rPr>
          <w:color w:val="000000"/>
        </w:rPr>
        <w:t>draft copies of the new fields and accompanying instructions and guidance that would be used for reporting and asked to estimate: (1) the number of hours that would be required to perform each task; and (2) the labor mix required to perform each task (e.g., percentage of management, technical, clerical).  The data gathered from these interviews were then analyzed to estimate the unit burden and labor mix.</w:t>
      </w:r>
    </w:p>
    <w:p w:rsidR="001533BC" w:rsidRDefault="001533BC">
      <w:pPr>
        <w:rPr>
          <w:color w:val="000000"/>
        </w:rPr>
      </w:pPr>
    </w:p>
    <w:p w:rsidR="00A2708C" w:rsidRPr="008F330C" w:rsidRDefault="001533BC">
      <w:r w:rsidRPr="008F330C">
        <w:t xml:space="preserve"> </w:t>
      </w:r>
      <w:r w:rsidR="0053376C" w:rsidRPr="008F330C">
        <w:t>Job Training</w:t>
      </w:r>
      <w:r w:rsidRPr="008F330C">
        <w:t xml:space="preserve"> recipients </w:t>
      </w:r>
      <w:r w:rsidR="00A2708C" w:rsidRPr="008F330C">
        <w:t xml:space="preserve">will be required to report progress on a quarterly basis using EPA’s “Brownfields </w:t>
      </w:r>
      <w:r w:rsidR="0053376C" w:rsidRPr="008F330C">
        <w:t>Job Training</w:t>
      </w:r>
      <w:r w:rsidR="00A2708C" w:rsidRPr="008F330C">
        <w:t xml:space="preserve"> Reporting Form</w:t>
      </w:r>
      <w:r w:rsidR="002344B1" w:rsidRPr="008F330C">
        <w:t>.</w:t>
      </w:r>
      <w:r w:rsidR="00A2708C" w:rsidRPr="008F330C">
        <w:t xml:space="preserve">”  </w:t>
      </w:r>
      <w:r w:rsidR="0053376C" w:rsidRPr="008F330C">
        <w:t>R</w:t>
      </w:r>
      <w:r w:rsidR="00A2708C" w:rsidRPr="008F330C">
        <w:t xml:space="preserve">ecipients will be required to report progress on a quarterly basis, with each update requiring approximately </w:t>
      </w:r>
      <w:r w:rsidR="000364FF" w:rsidRPr="008F330C">
        <w:t>4</w:t>
      </w:r>
      <w:r w:rsidR="00A2708C" w:rsidRPr="008F330C">
        <w:t xml:space="preserve"> hours for a unit burden of </w:t>
      </w:r>
      <w:r w:rsidR="00062D00" w:rsidRPr="008F330C">
        <w:t>$328.00</w:t>
      </w:r>
      <w:r w:rsidR="00194E66">
        <w:t xml:space="preserve"> for both non-</w:t>
      </w:r>
      <w:r w:rsidR="0031169E">
        <w:t>profits and governmental entities</w:t>
      </w:r>
      <w:r w:rsidR="00062D00" w:rsidRPr="008F330C">
        <w:t>.</w:t>
      </w:r>
      <w:r w:rsidR="00A2708C" w:rsidRPr="008F330C">
        <w:t xml:space="preserve">  </w:t>
      </w:r>
      <w:r w:rsidR="002935FD" w:rsidRPr="00AD0BCE">
        <w:rPr>
          <w:color w:val="000000"/>
        </w:rPr>
        <w:t xml:space="preserve">This estimate captures the recipients and the program participants time </w:t>
      </w:r>
      <w:r w:rsidR="00A77A7A">
        <w:rPr>
          <w:color w:val="000000"/>
        </w:rPr>
        <w:t>needed to provide data and the recipients time to gather data and</w:t>
      </w:r>
      <w:r w:rsidR="00A77A7A" w:rsidRPr="00AD0BCE">
        <w:rPr>
          <w:color w:val="000000"/>
        </w:rPr>
        <w:t xml:space="preserve"> </w:t>
      </w:r>
      <w:r w:rsidR="002935FD" w:rsidRPr="00AD0BCE">
        <w:rPr>
          <w:color w:val="000000"/>
        </w:rPr>
        <w:t>submit the form</w:t>
      </w:r>
      <w:r w:rsidR="002935FD" w:rsidRPr="008F330C">
        <w:t xml:space="preserve"> </w:t>
      </w:r>
      <w:r w:rsidR="00A2708C" w:rsidRPr="008F330C">
        <w:t xml:space="preserve">The majority of this burden stems from the </w:t>
      </w:r>
      <w:r w:rsidR="002935FD">
        <w:t xml:space="preserve">activities associated with the </w:t>
      </w:r>
      <w:r w:rsidR="00A2708C" w:rsidRPr="008F330C">
        <w:t xml:space="preserve">collection of salary or wage information from </w:t>
      </w:r>
      <w:r w:rsidR="0053376C" w:rsidRPr="008F330C">
        <w:t>Job Training</w:t>
      </w:r>
      <w:r w:rsidR="00A2708C" w:rsidRPr="008F330C">
        <w:t xml:space="preserve"> program participants who are able to find employment.</w:t>
      </w:r>
    </w:p>
    <w:p w:rsidR="00A2708C" w:rsidRPr="008F330C" w:rsidRDefault="00A2708C">
      <w:pPr>
        <w:rPr>
          <w:highlight w:val="yellow"/>
        </w:rPr>
      </w:pPr>
    </w:p>
    <w:p w:rsidR="00A2708C" w:rsidRDefault="00A2708C">
      <w:pPr>
        <w:rPr>
          <w:color w:val="000000"/>
        </w:rPr>
      </w:pPr>
      <w:r w:rsidRPr="002344B1">
        <w:rPr>
          <w:color w:val="000000"/>
        </w:rPr>
        <w:lastRenderedPageBreak/>
        <w:tab/>
        <w:t xml:space="preserve">Subtitle A </w:t>
      </w:r>
      <w:r w:rsidR="00F2410A">
        <w:rPr>
          <w:color w:val="000000"/>
        </w:rPr>
        <w:t>area-wide planning, assessment, cleanup</w:t>
      </w:r>
      <w:r w:rsidRPr="002344B1">
        <w:rPr>
          <w:color w:val="000000"/>
        </w:rPr>
        <w:t>, and revolving loan fund recipients will be required to report progress with the “Brownfields Property Profile Form</w:t>
      </w:r>
      <w:r w:rsidR="002344B1" w:rsidRPr="002344B1">
        <w:rPr>
          <w:color w:val="000000"/>
        </w:rPr>
        <w:t>.</w:t>
      </w:r>
      <w:r w:rsidRPr="002344B1">
        <w:rPr>
          <w:color w:val="000000"/>
        </w:rPr>
        <w:t xml:space="preserve">”  EPA anticipates that the initial completion of this form will require approximately 1 hour.  </w:t>
      </w:r>
      <w:r w:rsidR="0053376C">
        <w:rPr>
          <w:color w:val="000000"/>
        </w:rPr>
        <w:t>R</w:t>
      </w:r>
      <w:r w:rsidRPr="002344B1">
        <w:rPr>
          <w:color w:val="000000"/>
        </w:rPr>
        <w:t xml:space="preserve">ecipients will be required to update this form as milestones are achieved, though not more frequently than quarterly.  It is estimated that each update will require approximately </w:t>
      </w:r>
      <w:r w:rsidRPr="0006021E">
        <w:t xml:space="preserve">1.5 </w:t>
      </w:r>
      <w:r w:rsidRPr="002344B1">
        <w:rPr>
          <w:color w:val="000000"/>
        </w:rPr>
        <w:t xml:space="preserve">for a unit burden of </w:t>
      </w:r>
      <w:r w:rsidRPr="00461FE7">
        <w:t>$</w:t>
      </w:r>
      <w:r w:rsidR="007136FB">
        <w:t>147.18</w:t>
      </w:r>
      <w:r w:rsidR="0031169E">
        <w:t xml:space="preserve"> </w:t>
      </w:r>
      <w:r w:rsidR="00194E66">
        <w:t>for both non-</w:t>
      </w:r>
      <w:r w:rsidR="0031169E">
        <w:t>profits and governmental entities</w:t>
      </w:r>
      <w:r w:rsidRPr="00461FE7">
        <w:t>.</w:t>
      </w:r>
      <w:r w:rsidRPr="002344B1">
        <w:rPr>
          <w:color w:val="000000"/>
        </w:rPr>
        <w:t xml:space="preserve">  It is estimated that each form will be updated an average of twice per year.</w:t>
      </w:r>
      <w:r>
        <w:rPr>
          <w:color w:val="000000"/>
        </w:rPr>
        <w:t xml:space="preserve"> </w:t>
      </w:r>
    </w:p>
    <w:p w:rsidR="00A2708C" w:rsidRDefault="00A2708C">
      <w:pPr>
        <w:rPr>
          <w:color w:val="000000"/>
        </w:rPr>
      </w:pPr>
    </w:p>
    <w:p w:rsidR="00A2708C" w:rsidRPr="00461FE7" w:rsidRDefault="00A2708C">
      <w:r>
        <w:rPr>
          <w:color w:val="000000"/>
        </w:rPr>
        <w:tab/>
      </w:r>
      <w:r w:rsidR="00F2410A">
        <w:t>Area-wide planning, assessment, and cleanup</w:t>
      </w:r>
      <w:r w:rsidRPr="00461FE7">
        <w:t xml:space="preserve"> </w:t>
      </w:r>
      <w:r w:rsidR="0053376C" w:rsidRPr="00461FE7">
        <w:t xml:space="preserve">cooperative agreements </w:t>
      </w:r>
      <w:r w:rsidRPr="00461FE7">
        <w:t xml:space="preserve">awarded under subtitle A of the Brownfields Amendments cover a period of performance of </w:t>
      </w:r>
      <w:r w:rsidR="00F2410A">
        <w:t xml:space="preserve">up to three </w:t>
      </w:r>
      <w:r w:rsidRPr="00461FE7">
        <w:t xml:space="preserve">years, and revolving loan fund </w:t>
      </w:r>
      <w:r w:rsidR="00593B2D">
        <w:t>cooperative agreements</w:t>
      </w:r>
      <w:r w:rsidR="00593B2D" w:rsidRPr="00461FE7">
        <w:t xml:space="preserve"> </w:t>
      </w:r>
      <w:r w:rsidRPr="00461FE7">
        <w:t xml:space="preserve">cover a period of performance up to 5 years. Based on the Agency’s experience under its program, EPA estimates that at the end of two years, approximately </w:t>
      </w:r>
      <w:r w:rsidR="00062D00" w:rsidRPr="00461FE7">
        <w:t>75</w:t>
      </w:r>
      <w:r w:rsidRPr="00461FE7">
        <w:t xml:space="preserve"> percent of </w:t>
      </w:r>
      <w:r w:rsidR="00593B2D">
        <w:t>cooperative agreements</w:t>
      </w:r>
      <w:r w:rsidRPr="00461FE7">
        <w:t xml:space="preserve"> will receive a no-cost extension, approximately </w:t>
      </w:r>
      <w:r w:rsidR="00062D00" w:rsidRPr="00461FE7">
        <w:t>20</w:t>
      </w:r>
      <w:r w:rsidRPr="00461FE7">
        <w:t xml:space="preserve"> percent of recipients will receive supplemental awards, and </w:t>
      </w:r>
      <w:r w:rsidR="00062D00" w:rsidRPr="00461FE7">
        <w:t>5</w:t>
      </w:r>
      <w:r w:rsidRPr="00461FE7">
        <w:t xml:space="preserve"> percent of </w:t>
      </w:r>
      <w:r w:rsidR="005D6497">
        <w:t>cooperative agreement</w:t>
      </w:r>
      <w:r w:rsidR="005D6497" w:rsidRPr="00461FE7">
        <w:t xml:space="preserve">s </w:t>
      </w:r>
      <w:r w:rsidRPr="00461FE7">
        <w:t xml:space="preserve">will close out.  </w:t>
      </w:r>
      <w:r w:rsidR="0053376C" w:rsidRPr="00461FE7">
        <w:t>R</w:t>
      </w:r>
      <w:r w:rsidRPr="00461FE7">
        <w:t>ecipients that receive either a no-cost extension or a supplemental award will be required to continue to report on their activities using the forms authorized under this ICR.</w:t>
      </w:r>
      <w:r w:rsidR="005D4F8A" w:rsidRPr="00461FE7">
        <w:t xml:space="preserve"> In addition, </w:t>
      </w:r>
      <w:r w:rsidR="00593B2D">
        <w:t>cooperative agreements</w:t>
      </w:r>
      <w:r w:rsidR="00593B2D" w:rsidRPr="00461FE7">
        <w:t xml:space="preserve"> </w:t>
      </w:r>
      <w:r w:rsidR="005D4F8A" w:rsidRPr="00461FE7">
        <w:t xml:space="preserve">that have closed </w:t>
      </w:r>
      <w:r w:rsidR="006C4AE1" w:rsidRPr="00461FE7">
        <w:t>out may</w:t>
      </w:r>
      <w:r w:rsidR="00044B08" w:rsidRPr="00461FE7">
        <w:t xml:space="preserve"> </w:t>
      </w:r>
      <w:r w:rsidR="005D4F8A" w:rsidRPr="00461FE7">
        <w:t xml:space="preserve">undergo a five-year review conducted five years after close out. The five year review gathers data on the current status of properties that benefited from EPA funding while the </w:t>
      </w:r>
      <w:r w:rsidR="00593B2D">
        <w:t>cooperative agreement</w:t>
      </w:r>
      <w:r w:rsidR="00593B2D" w:rsidRPr="00461FE7">
        <w:t xml:space="preserve"> </w:t>
      </w:r>
      <w:r w:rsidR="005D4F8A" w:rsidRPr="00461FE7">
        <w:t>was active using the forms authorized under this ICR.</w:t>
      </w:r>
      <w:r w:rsidRPr="00461FE7">
        <w:t xml:space="preserve">  This burden is included in the estimated number of responses per year and, therefore, the overall burden calculation estimated for this ICR.</w:t>
      </w:r>
    </w:p>
    <w:p w:rsidR="00A2708C" w:rsidRPr="00461FE7" w:rsidRDefault="00A2708C"/>
    <w:p w:rsidR="00A2708C" w:rsidRDefault="00A2708C">
      <w:pPr>
        <w:rPr>
          <w:color w:val="000000"/>
        </w:rPr>
      </w:pPr>
      <w:r>
        <w:rPr>
          <w:color w:val="000000"/>
        </w:rPr>
        <w:tab/>
        <w:t>Subtitle C recipients that conduct property specific activities will be required to report progress with the “Brownfields Property Profile Form</w:t>
      </w:r>
      <w:r w:rsidR="002344B1">
        <w:rPr>
          <w:color w:val="000000"/>
        </w:rPr>
        <w:t>.</w:t>
      </w:r>
      <w:r>
        <w:rPr>
          <w:color w:val="000000"/>
        </w:rPr>
        <w:t xml:space="preserve">”  EPA anticipates that the initial completion of this form will require approximately 1 hour.  </w:t>
      </w:r>
      <w:r w:rsidR="002A6D29">
        <w:rPr>
          <w:color w:val="000000"/>
        </w:rPr>
        <w:t>R</w:t>
      </w:r>
      <w:r>
        <w:rPr>
          <w:color w:val="000000"/>
        </w:rPr>
        <w:t>ecipients will be required to update this form as milestones are achieved, though not more frequently than twice a year.  It is estimated that each update will require approximately 1.5 hours for a unit burden of $</w:t>
      </w:r>
      <w:r w:rsidR="007136FB">
        <w:t>147.18</w:t>
      </w:r>
      <w:r>
        <w:rPr>
          <w:color w:val="000000"/>
        </w:rPr>
        <w:t xml:space="preserve">.  It is estimated that each form will be updated an average of twice per year. </w:t>
      </w:r>
    </w:p>
    <w:p w:rsidR="00A2708C" w:rsidRDefault="00A2708C">
      <w:pPr>
        <w:rPr>
          <w:color w:val="000000"/>
        </w:rPr>
      </w:pPr>
    </w:p>
    <w:p w:rsidR="00A2708C" w:rsidRDefault="00A2708C">
      <w:pPr>
        <w:rPr>
          <w:color w:val="000000"/>
        </w:rPr>
      </w:pPr>
      <w:r>
        <w:rPr>
          <w:color w:val="000000"/>
        </w:rPr>
        <w:tab/>
        <w:t xml:space="preserve">All </w:t>
      </w:r>
      <w:r w:rsidR="002A6D29">
        <w:rPr>
          <w:color w:val="000000"/>
        </w:rPr>
        <w:t>awards made</w:t>
      </w:r>
      <w:r>
        <w:rPr>
          <w:color w:val="000000"/>
        </w:rPr>
        <w:t xml:space="preserve"> under subtitle C of the Brownfields Amendments have at least a one year period of performance or can be a multi-year </w:t>
      </w:r>
      <w:r w:rsidR="002A6D29">
        <w:rPr>
          <w:color w:val="000000"/>
        </w:rPr>
        <w:t xml:space="preserve">award </w:t>
      </w:r>
      <w:r>
        <w:rPr>
          <w:color w:val="000000"/>
        </w:rPr>
        <w:t xml:space="preserve">depending on the </w:t>
      </w:r>
      <w:r w:rsidR="00A545AA">
        <w:rPr>
          <w:color w:val="000000"/>
        </w:rPr>
        <w:t>S</w:t>
      </w:r>
      <w:r>
        <w:rPr>
          <w:color w:val="000000"/>
        </w:rPr>
        <w:t xml:space="preserve">tate’s financial need for continued funding. Based on the Agency’s understanding of </w:t>
      </w:r>
      <w:r w:rsidR="00A545AA">
        <w:rPr>
          <w:color w:val="000000"/>
        </w:rPr>
        <w:t>S</w:t>
      </w:r>
      <w:r>
        <w:rPr>
          <w:color w:val="000000"/>
        </w:rPr>
        <w:t xml:space="preserve">tate response programs, EPA estimates that one-half of the </w:t>
      </w:r>
      <w:r w:rsidR="00A545AA">
        <w:rPr>
          <w:color w:val="000000"/>
        </w:rPr>
        <w:t>S</w:t>
      </w:r>
      <w:r>
        <w:rPr>
          <w:color w:val="000000"/>
        </w:rPr>
        <w:t xml:space="preserve">tate recipients have sophisticated response programs and can complete property specific activities within one year, therefore submitting a total of two responses. EPA further estimates that the remaining </w:t>
      </w:r>
      <w:r w:rsidR="00A545AA">
        <w:rPr>
          <w:color w:val="000000"/>
        </w:rPr>
        <w:t>S</w:t>
      </w:r>
      <w:r>
        <w:rPr>
          <w:color w:val="000000"/>
        </w:rPr>
        <w:t>tate, tribal, and US territories that receive funding take two years to complete property specific activities therefore submitting a total of four responses.</w:t>
      </w:r>
      <w:r>
        <w:rPr>
          <w:color w:val="000000"/>
        </w:rPr>
        <w:tab/>
      </w:r>
    </w:p>
    <w:p w:rsidR="00A2708C" w:rsidRDefault="00A2708C">
      <w:pPr>
        <w:rPr>
          <w:color w:val="000000"/>
        </w:rPr>
      </w:pPr>
    </w:p>
    <w:p w:rsidR="00A2708C" w:rsidRDefault="00A2708C">
      <w:pPr>
        <w:rPr>
          <w:color w:val="000000"/>
        </w:rPr>
      </w:pPr>
      <w:r>
        <w:rPr>
          <w:color w:val="000000"/>
        </w:rPr>
        <w:tab/>
        <w:t>Start-up costs to meet the Brownfields reporting requirements are minimal and are a part of the customary and usual expenses incurred by recipients.  There are no capital costs related to Brownfields reporting requirements.  Therefore, total start-up and capital costs are zero.  There are no operation and maintenance costs required.</w:t>
      </w:r>
    </w:p>
    <w:p w:rsidR="00FC5AF0" w:rsidRDefault="00FC5AF0">
      <w:pPr>
        <w:rPr>
          <w:color w:val="000000"/>
        </w:rPr>
      </w:pPr>
    </w:p>
    <w:p w:rsidR="00A2708C" w:rsidRDefault="00A2708C">
      <w:pPr>
        <w:rPr>
          <w:color w:val="000000"/>
        </w:rPr>
      </w:pPr>
      <w:r>
        <w:rPr>
          <w:color w:val="000000"/>
        </w:rPr>
        <w:tab/>
        <w:t>6(c).  Agency burden and costs - EPA incurs a burden in the process of requesting, reviewing and processing the information covered by this ICR.  This burden includes:</w:t>
      </w:r>
    </w:p>
    <w:p w:rsidR="00A2708C" w:rsidRDefault="00A2708C">
      <w:pPr>
        <w:rPr>
          <w:color w:val="000000"/>
        </w:rPr>
      </w:pPr>
    </w:p>
    <w:p w:rsidR="00A2708C" w:rsidRDefault="00A2708C" w:rsidP="00545B76">
      <w:pPr>
        <w:pStyle w:val="Level1"/>
        <w:widowControl/>
        <w:numPr>
          <w:ilvl w:val="0"/>
          <w:numId w:val="4"/>
        </w:numPr>
        <w:rPr>
          <w:color w:val="000000"/>
        </w:rPr>
      </w:pPr>
      <w:r>
        <w:rPr>
          <w:color w:val="000000"/>
        </w:rPr>
        <w:lastRenderedPageBreak/>
        <w:tab/>
        <w:t xml:space="preserve">Reviewing and processing Brownfields </w:t>
      </w:r>
      <w:r w:rsidR="0053376C">
        <w:rPr>
          <w:color w:val="000000"/>
        </w:rPr>
        <w:t>Job Training</w:t>
      </w:r>
      <w:r>
        <w:rPr>
          <w:color w:val="000000"/>
        </w:rPr>
        <w:t xml:space="preserve"> Reporting Forms;</w:t>
      </w:r>
    </w:p>
    <w:p w:rsidR="00A2708C" w:rsidRDefault="00A2708C" w:rsidP="00545B76">
      <w:pPr>
        <w:pStyle w:val="Level1"/>
        <w:widowControl/>
        <w:numPr>
          <w:ilvl w:val="0"/>
          <w:numId w:val="5"/>
        </w:numPr>
        <w:rPr>
          <w:color w:val="000000"/>
        </w:rPr>
      </w:pPr>
      <w:r>
        <w:rPr>
          <w:color w:val="000000"/>
        </w:rPr>
        <w:tab/>
        <w:t>Reviewing and processing initial Brownfields Property Profile Forms; and</w:t>
      </w:r>
    </w:p>
    <w:p w:rsidR="00A2708C" w:rsidRDefault="00A2708C" w:rsidP="00545B76">
      <w:pPr>
        <w:pStyle w:val="Level1"/>
        <w:widowControl/>
        <w:numPr>
          <w:ilvl w:val="0"/>
          <w:numId w:val="6"/>
        </w:numPr>
        <w:rPr>
          <w:color w:val="000000"/>
        </w:rPr>
      </w:pPr>
      <w:r>
        <w:rPr>
          <w:color w:val="000000"/>
        </w:rPr>
        <w:tab/>
        <w:t>Reviewing and processing updates of Brownfields Property Profile Forms.</w:t>
      </w:r>
    </w:p>
    <w:p w:rsidR="00A2708C" w:rsidRDefault="00A2708C">
      <w:pPr>
        <w:rPr>
          <w:color w:val="000000"/>
        </w:rPr>
      </w:pPr>
    </w:p>
    <w:p w:rsidR="009D49F4" w:rsidRDefault="00A2708C">
      <w:pPr>
        <w:rPr>
          <w:color w:val="000000"/>
        </w:rPr>
      </w:pPr>
      <w:r>
        <w:rPr>
          <w:color w:val="000000"/>
        </w:rPr>
        <w:t xml:space="preserve">The estimated burden associated with EPA activities is presented in Exhibit 3.  </w:t>
      </w:r>
    </w:p>
    <w:tbl>
      <w:tblPr>
        <w:tblW w:w="954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2558"/>
        <w:gridCol w:w="894"/>
        <w:gridCol w:w="972"/>
        <w:gridCol w:w="972"/>
        <w:gridCol w:w="1672"/>
        <w:gridCol w:w="1327"/>
        <w:gridCol w:w="1145"/>
      </w:tblGrid>
      <w:tr w:rsidR="009D49F4" w:rsidRPr="009D49F4" w:rsidTr="007D7C60">
        <w:trPr>
          <w:trHeight w:val="1110"/>
        </w:trPr>
        <w:tc>
          <w:tcPr>
            <w:tcW w:w="2558" w:type="dxa"/>
            <w:tcBorders>
              <w:bottom w:val="single" w:sz="12" w:space="0" w:color="000000"/>
            </w:tcBorders>
            <w:shd w:val="clear" w:color="auto" w:fill="auto"/>
            <w:hideMark/>
          </w:tcPr>
          <w:p w:rsidR="009D49F4" w:rsidRPr="009D49F4" w:rsidRDefault="009D49F4" w:rsidP="007D7C60">
            <w:pPr>
              <w:jc w:val="center"/>
              <w:rPr>
                <w:b/>
                <w:bCs/>
                <w:color w:val="000000"/>
                <w:sz w:val="20"/>
              </w:rPr>
            </w:pPr>
            <w:r w:rsidRPr="009D49F4">
              <w:rPr>
                <w:b/>
                <w:bCs/>
                <w:color w:val="000000"/>
                <w:sz w:val="20"/>
              </w:rPr>
              <w:t xml:space="preserve">Activity </w:t>
            </w:r>
          </w:p>
        </w:tc>
        <w:tc>
          <w:tcPr>
            <w:tcW w:w="894" w:type="dxa"/>
            <w:tcBorders>
              <w:bottom w:val="single" w:sz="12" w:space="0" w:color="000000"/>
            </w:tcBorders>
            <w:shd w:val="clear" w:color="auto" w:fill="auto"/>
            <w:hideMark/>
          </w:tcPr>
          <w:p w:rsidR="009D49F4" w:rsidRPr="009D49F4" w:rsidRDefault="009D49F4" w:rsidP="007D7C60">
            <w:pPr>
              <w:jc w:val="center"/>
              <w:rPr>
                <w:b/>
                <w:bCs/>
                <w:color w:val="000000"/>
                <w:sz w:val="20"/>
              </w:rPr>
            </w:pPr>
            <w:r w:rsidRPr="009D49F4">
              <w:rPr>
                <w:b/>
                <w:bCs/>
                <w:color w:val="000000"/>
                <w:sz w:val="20"/>
              </w:rPr>
              <w:t>Unit Burden (Hours)</w:t>
            </w:r>
          </w:p>
        </w:tc>
        <w:tc>
          <w:tcPr>
            <w:tcW w:w="972" w:type="dxa"/>
            <w:tcBorders>
              <w:bottom w:val="single" w:sz="12" w:space="0" w:color="000000"/>
            </w:tcBorders>
            <w:shd w:val="clear" w:color="auto" w:fill="auto"/>
            <w:hideMark/>
          </w:tcPr>
          <w:p w:rsidR="009D49F4" w:rsidRPr="009D49F4" w:rsidRDefault="009D49F4" w:rsidP="007D7C60">
            <w:pPr>
              <w:jc w:val="center"/>
              <w:rPr>
                <w:b/>
                <w:bCs/>
                <w:color w:val="000000"/>
                <w:sz w:val="20"/>
              </w:rPr>
            </w:pPr>
            <w:r w:rsidRPr="009D49F4">
              <w:rPr>
                <w:b/>
                <w:bCs/>
                <w:color w:val="000000"/>
                <w:sz w:val="20"/>
              </w:rPr>
              <w:t>Unit Labor Cost (Dollars)</w:t>
            </w:r>
          </w:p>
        </w:tc>
        <w:tc>
          <w:tcPr>
            <w:tcW w:w="972" w:type="dxa"/>
            <w:tcBorders>
              <w:bottom w:val="single" w:sz="12" w:space="0" w:color="000000"/>
            </w:tcBorders>
            <w:shd w:val="clear" w:color="auto" w:fill="auto"/>
            <w:hideMark/>
          </w:tcPr>
          <w:p w:rsidR="009D49F4" w:rsidRPr="009D49F4" w:rsidRDefault="009D49F4" w:rsidP="007D7C60">
            <w:pPr>
              <w:jc w:val="center"/>
              <w:rPr>
                <w:b/>
                <w:bCs/>
                <w:color w:val="000000"/>
                <w:sz w:val="20"/>
              </w:rPr>
            </w:pPr>
            <w:r w:rsidRPr="009D49F4">
              <w:rPr>
                <w:b/>
                <w:bCs/>
                <w:color w:val="000000"/>
                <w:sz w:val="20"/>
              </w:rPr>
              <w:t>Total Unit Cost (Dollars)</w:t>
            </w:r>
          </w:p>
        </w:tc>
        <w:tc>
          <w:tcPr>
            <w:tcW w:w="1672" w:type="dxa"/>
            <w:tcBorders>
              <w:bottom w:val="single" w:sz="12" w:space="0" w:color="000000"/>
            </w:tcBorders>
            <w:shd w:val="clear" w:color="auto" w:fill="auto"/>
            <w:hideMark/>
          </w:tcPr>
          <w:p w:rsidR="009D49F4" w:rsidRPr="009D49F4" w:rsidRDefault="009D49F4" w:rsidP="007D7C60">
            <w:pPr>
              <w:jc w:val="center"/>
              <w:rPr>
                <w:b/>
                <w:bCs/>
                <w:color w:val="000000"/>
                <w:sz w:val="20"/>
              </w:rPr>
            </w:pPr>
            <w:r w:rsidRPr="009D49F4">
              <w:rPr>
                <w:b/>
                <w:bCs/>
                <w:color w:val="000000"/>
                <w:sz w:val="20"/>
              </w:rPr>
              <w:t>Average Number of Responses/Year*</w:t>
            </w:r>
          </w:p>
        </w:tc>
        <w:tc>
          <w:tcPr>
            <w:tcW w:w="1327" w:type="dxa"/>
            <w:tcBorders>
              <w:bottom w:val="single" w:sz="12" w:space="0" w:color="000000"/>
            </w:tcBorders>
            <w:shd w:val="clear" w:color="auto" w:fill="auto"/>
            <w:hideMark/>
          </w:tcPr>
          <w:p w:rsidR="009D49F4" w:rsidRPr="009D49F4" w:rsidRDefault="009D49F4" w:rsidP="007D7C60">
            <w:pPr>
              <w:jc w:val="center"/>
              <w:rPr>
                <w:b/>
                <w:bCs/>
                <w:color w:val="000000"/>
                <w:sz w:val="20"/>
              </w:rPr>
            </w:pPr>
            <w:r w:rsidRPr="009D49F4">
              <w:rPr>
                <w:b/>
                <w:bCs/>
                <w:color w:val="000000"/>
                <w:sz w:val="20"/>
              </w:rPr>
              <w:t>Total Burden Hours/Year*</w:t>
            </w:r>
          </w:p>
        </w:tc>
        <w:tc>
          <w:tcPr>
            <w:tcW w:w="1145" w:type="dxa"/>
            <w:tcBorders>
              <w:bottom w:val="single" w:sz="12" w:space="0" w:color="000000"/>
            </w:tcBorders>
            <w:shd w:val="clear" w:color="auto" w:fill="auto"/>
            <w:hideMark/>
          </w:tcPr>
          <w:p w:rsidR="009D49F4" w:rsidRPr="009D49F4" w:rsidRDefault="009D49F4" w:rsidP="007D7C60">
            <w:pPr>
              <w:jc w:val="center"/>
              <w:rPr>
                <w:b/>
                <w:bCs/>
                <w:color w:val="000000"/>
                <w:sz w:val="20"/>
              </w:rPr>
            </w:pPr>
            <w:r w:rsidRPr="009D49F4">
              <w:rPr>
                <w:b/>
                <w:bCs/>
                <w:color w:val="000000"/>
                <w:sz w:val="20"/>
              </w:rPr>
              <w:t>Total Cost/Year (Dollars)*</w:t>
            </w:r>
          </w:p>
        </w:tc>
      </w:tr>
      <w:tr w:rsidR="009D49F4" w:rsidRPr="009D49F4" w:rsidTr="007D7C60">
        <w:trPr>
          <w:trHeight w:val="540"/>
        </w:trPr>
        <w:tc>
          <w:tcPr>
            <w:tcW w:w="2558" w:type="dxa"/>
            <w:shd w:val="clear" w:color="auto" w:fill="auto"/>
            <w:hideMark/>
          </w:tcPr>
          <w:p w:rsidR="009D49F4" w:rsidRPr="009D49F4" w:rsidRDefault="009D49F4" w:rsidP="009D49F4">
            <w:pPr>
              <w:rPr>
                <w:color w:val="000000"/>
                <w:sz w:val="20"/>
              </w:rPr>
            </w:pPr>
            <w:r w:rsidRPr="009D49F4">
              <w:rPr>
                <w:color w:val="000000"/>
                <w:sz w:val="20"/>
              </w:rPr>
              <w:t>Review and Process Job Training Reporting Form</w:t>
            </w:r>
          </w:p>
        </w:tc>
        <w:tc>
          <w:tcPr>
            <w:tcW w:w="894" w:type="dxa"/>
            <w:shd w:val="clear" w:color="auto" w:fill="auto"/>
            <w:hideMark/>
          </w:tcPr>
          <w:p w:rsidR="009D49F4" w:rsidRPr="009D49F4" w:rsidRDefault="009D49F4" w:rsidP="007D7C60">
            <w:pPr>
              <w:jc w:val="center"/>
              <w:rPr>
                <w:color w:val="000000"/>
                <w:sz w:val="20"/>
              </w:rPr>
            </w:pPr>
            <w:r w:rsidRPr="009D49F4">
              <w:rPr>
                <w:color w:val="000000"/>
                <w:sz w:val="20"/>
              </w:rPr>
              <w:t>1</w:t>
            </w:r>
          </w:p>
        </w:tc>
        <w:tc>
          <w:tcPr>
            <w:tcW w:w="972" w:type="dxa"/>
            <w:shd w:val="clear" w:color="auto" w:fill="auto"/>
            <w:hideMark/>
          </w:tcPr>
          <w:p w:rsidR="009D49F4" w:rsidRPr="009D49F4" w:rsidRDefault="009D49F4" w:rsidP="007D7C60">
            <w:pPr>
              <w:jc w:val="center"/>
              <w:rPr>
                <w:color w:val="000000"/>
                <w:sz w:val="20"/>
              </w:rPr>
            </w:pPr>
            <w:r w:rsidRPr="009D49F4">
              <w:rPr>
                <w:color w:val="000000"/>
                <w:sz w:val="20"/>
              </w:rPr>
              <w:t xml:space="preserve">$50.19 </w:t>
            </w:r>
          </w:p>
        </w:tc>
        <w:tc>
          <w:tcPr>
            <w:tcW w:w="972" w:type="dxa"/>
            <w:shd w:val="clear" w:color="auto" w:fill="auto"/>
            <w:hideMark/>
          </w:tcPr>
          <w:p w:rsidR="009D49F4" w:rsidRPr="009D49F4" w:rsidRDefault="009D49F4" w:rsidP="007D7C60">
            <w:pPr>
              <w:jc w:val="center"/>
              <w:rPr>
                <w:color w:val="000000"/>
                <w:sz w:val="20"/>
              </w:rPr>
            </w:pPr>
            <w:r w:rsidRPr="009D49F4">
              <w:rPr>
                <w:color w:val="000000"/>
                <w:sz w:val="20"/>
              </w:rPr>
              <w:t xml:space="preserve">$50.19 </w:t>
            </w:r>
          </w:p>
        </w:tc>
        <w:tc>
          <w:tcPr>
            <w:tcW w:w="1672" w:type="dxa"/>
            <w:shd w:val="clear" w:color="auto" w:fill="auto"/>
            <w:hideMark/>
          </w:tcPr>
          <w:p w:rsidR="009D49F4" w:rsidRPr="009D49F4" w:rsidRDefault="009D49F4" w:rsidP="007D7C60">
            <w:pPr>
              <w:jc w:val="center"/>
              <w:rPr>
                <w:color w:val="000000"/>
                <w:sz w:val="20"/>
              </w:rPr>
            </w:pPr>
            <w:r w:rsidRPr="009D49F4">
              <w:rPr>
                <w:color w:val="000000"/>
                <w:sz w:val="20"/>
              </w:rPr>
              <w:t>29</w:t>
            </w:r>
          </w:p>
        </w:tc>
        <w:tc>
          <w:tcPr>
            <w:tcW w:w="1327" w:type="dxa"/>
            <w:shd w:val="clear" w:color="auto" w:fill="auto"/>
            <w:hideMark/>
          </w:tcPr>
          <w:p w:rsidR="009D49F4" w:rsidRPr="009D49F4" w:rsidRDefault="009D49F4" w:rsidP="007D7C60">
            <w:pPr>
              <w:jc w:val="center"/>
              <w:rPr>
                <w:color w:val="000000"/>
                <w:sz w:val="20"/>
              </w:rPr>
            </w:pPr>
            <w:r w:rsidRPr="009D49F4">
              <w:rPr>
                <w:color w:val="000000"/>
                <w:sz w:val="20"/>
              </w:rPr>
              <w:t>29</w:t>
            </w:r>
          </w:p>
        </w:tc>
        <w:tc>
          <w:tcPr>
            <w:tcW w:w="1145" w:type="dxa"/>
            <w:shd w:val="clear" w:color="auto" w:fill="auto"/>
            <w:hideMark/>
          </w:tcPr>
          <w:p w:rsidR="009D49F4" w:rsidRPr="009D49F4" w:rsidRDefault="009D49F4" w:rsidP="007D7C60">
            <w:pPr>
              <w:jc w:val="center"/>
              <w:rPr>
                <w:color w:val="000000"/>
                <w:sz w:val="20"/>
              </w:rPr>
            </w:pPr>
            <w:r w:rsidRPr="009D49F4">
              <w:rPr>
                <w:color w:val="000000"/>
                <w:sz w:val="20"/>
              </w:rPr>
              <w:t xml:space="preserve">$1,456 </w:t>
            </w:r>
          </w:p>
        </w:tc>
      </w:tr>
      <w:tr w:rsidR="009D49F4" w:rsidRPr="009D49F4" w:rsidTr="007D7C60">
        <w:trPr>
          <w:trHeight w:val="525"/>
        </w:trPr>
        <w:tc>
          <w:tcPr>
            <w:tcW w:w="2558" w:type="dxa"/>
            <w:shd w:val="clear" w:color="auto" w:fill="auto"/>
            <w:hideMark/>
          </w:tcPr>
          <w:p w:rsidR="009D49F4" w:rsidRPr="009D49F4" w:rsidRDefault="009D49F4" w:rsidP="009D49F4">
            <w:pPr>
              <w:rPr>
                <w:color w:val="000000"/>
                <w:sz w:val="20"/>
              </w:rPr>
            </w:pPr>
            <w:r w:rsidRPr="009D49F4">
              <w:rPr>
                <w:color w:val="000000"/>
                <w:sz w:val="20"/>
              </w:rPr>
              <w:t>Review and Process Initial Completion of Property Profile Form (Subtitle A)</w:t>
            </w:r>
          </w:p>
        </w:tc>
        <w:tc>
          <w:tcPr>
            <w:tcW w:w="894" w:type="dxa"/>
            <w:shd w:val="clear" w:color="auto" w:fill="auto"/>
            <w:hideMark/>
          </w:tcPr>
          <w:p w:rsidR="009D49F4" w:rsidRPr="009D49F4" w:rsidRDefault="009D49F4" w:rsidP="007D7C60">
            <w:pPr>
              <w:jc w:val="center"/>
              <w:rPr>
                <w:color w:val="000000"/>
                <w:sz w:val="20"/>
              </w:rPr>
            </w:pPr>
            <w:r w:rsidRPr="009D49F4">
              <w:rPr>
                <w:color w:val="000000"/>
                <w:sz w:val="20"/>
              </w:rPr>
              <w:t>1.5</w:t>
            </w:r>
          </w:p>
        </w:tc>
        <w:tc>
          <w:tcPr>
            <w:tcW w:w="972" w:type="dxa"/>
            <w:shd w:val="clear" w:color="auto" w:fill="auto"/>
            <w:hideMark/>
          </w:tcPr>
          <w:p w:rsidR="009D49F4" w:rsidRPr="009D49F4" w:rsidRDefault="009D49F4" w:rsidP="007D7C60">
            <w:pPr>
              <w:jc w:val="center"/>
              <w:rPr>
                <w:color w:val="000000"/>
                <w:sz w:val="20"/>
              </w:rPr>
            </w:pPr>
            <w:r w:rsidRPr="009D49F4">
              <w:rPr>
                <w:color w:val="000000"/>
                <w:sz w:val="20"/>
              </w:rPr>
              <w:t xml:space="preserve">$49.66 </w:t>
            </w:r>
          </w:p>
        </w:tc>
        <w:tc>
          <w:tcPr>
            <w:tcW w:w="972" w:type="dxa"/>
            <w:shd w:val="clear" w:color="auto" w:fill="auto"/>
            <w:hideMark/>
          </w:tcPr>
          <w:p w:rsidR="009D49F4" w:rsidRPr="009D49F4" w:rsidRDefault="009D49F4" w:rsidP="007D7C60">
            <w:pPr>
              <w:jc w:val="center"/>
              <w:rPr>
                <w:color w:val="000000"/>
                <w:sz w:val="20"/>
              </w:rPr>
            </w:pPr>
            <w:r w:rsidRPr="009D49F4">
              <w:rPr>
                <w:color w:val="000000"/>
                <w:sz w:val="20"/>
              </w:rPr>
              <w:t xml:space="preserve">$74.49 </w:t>
            </w:r>
          </w:p>
        </w:tc>
        <w:tc>
          <w:tcPr>
            <w:tcW w:w="1672" w:type="dxa"/>
            <w:shd w:val="clear" w:color="auto" w:fill="auto"/>
            <w:hideMark/>
          </w:tcPr>
          <w:p w:rsidR="009D49F4" w:rsidRPr="009D49F4" w:rsidRDefault="009D49F4" w:rsidP="007D7C60">
            <w:pPr>
              <w:jc w:val="center"/>
              <w:rPr>
                <w:color w:val="000000"/>
                <w:sz w:val="20"/>
              </w:rPr>
            </w:pPr>
            <w:r w:rsidRPr="009D49F4">
              <w:rPr>
                <w:color w:val="000000"/>
                <w:sz w:val="20"/>
              </w:rPr>
              <w:t>1,007</w:t>
            </w:r>
          </w:p>
        </w:tc>
        <w:tc>
          <w:tcPr>
            <w:tcW w:w="1327" w:type="dxa"/>
            <w:shd w:val="clear" w:color="auto" w:fill="auto"/>
            <w:hideMark/>
          </w:tcPr>
          <w:p w:rsidR="009D49F4" w:rsidRPr="009D49F4" w:rsidRDefault="009D49F4" w:rsidP="007D7C60">
            <w:pPr>
              <w:jc w:val="center"/>
              <w:rPr>
                <w:color w:val="000000"/>
                <w:sz w:val="20"/>
              </w:rPr>
            </w:pPr>
            <w:r w:rsidRPr="009D49F4">
              <w:rPr>
                <w:color w:val="000000"/>
                <w:sz w:val="20"/>
              </w:rPr>
              <w:t>1,511</w:t>
            </w:r>
          </w:p>
        </w:tc>
        <w:tc>
          <w:tcPr>
            <w:tcW w:w="1145" w:type="dxa"/>
            <w:shd w:val="clear" w:color="auto" w:fill="auto"/>
            <w:hideMark/>
          </w:tcPr>
          <w:p w:rsidR="009D49F4" w:rsidRPr="009D49F4" w:rsidRDefault="009D49F4" w:rsidP="007D7C60">
            <w:pPr>
              <w:jc w:val="center"/>
              <w:rPr>
                <w:color w:val="000000"/>
                <w:sz w:val="20"/>
              </w:rPr>
            </w:pPr>
            <w:r w:rsidRPr="009D49F4">
              <w:rPr>
                <w:color w:val="000000"/>
                <w:sz w:val="20"/>
              </w:rPr>
              <w:t xml:space="preserve">$75,015 </w:t>
            </w:r>
          </w:p>
        </w:tc>
      </w:tr>
      <w:tr w:rsidR="009D49F4" w:rsidRPr="009D49F4" w:rsidTr="007D7C60">
        <w:trPr>
          <w:trHeight w:val="525"/>
        </w:trPr>
        <w:tc>
          <w:tcPr>
            <w:tcW w:w="2558" w:type="dxa"/>
            <w:shd w:val="clear" w:color="auto" w:fill="auto"/>
            <w:hideMark/>
          </w:tcPr>
          <w:p w:rsidR="009D49F4" w:rsidRPr="009D49F4" w:rsidRDefault="009D49F4" w:rsidP="009D49F4">
            <w:pPr>
              <w:rPr>
                <w:color w:val="000000"/>
                <w:sz w:val="20"/>
              </w:rPr>
            </w:pPr>
            <w:r w:rsidRPr="009D49F4">
              <w:rPr>
                <w:color w:val="000000"/>
                <w:sz w:val="20"/>
              </w:rPr>
              <w:t>Review and Process Initial Completion Property Profile Form (Subtitle C)</w:t>
            </w:r>
          </w:p>
        </w:tc>
        <w:tc>
          <w:tcPr>
            <w:tcW w:w="894" w:type="dxa"/>
            <w:shd w:val="clear" w:color="auto" w:fill="auto"/>
            <w:hideMark/>
          </w:tcPr>
          <w:p w:rsidR="009D49F4" w:rsidRPr="009D49F4" w:rsidRDefault="009D49F4" w:rsidP="007D7C60">
            <w:pPr>
              <w:jc w:val="center"/>
              <w:rPr>
                <w:color w:val="000000"/>
                <w:sz w:val="20"/>
              </w:rPr>
            </w:pPr>
            <w:r w:rsidRPr="009D49F4">
              <w:rPr>
                <w:color w:val="000000"/>
                <w:sz w:val="20"/>
              </w:rPr>
              <w:t>1.5</w:t>
            </w:r>
          </w:p>
        </w:tc>
        <w:tc>
          <w:tcPr>
            <w:tcW w:w="972" w:type="dxa"/>
            <w:shd w:val="clear" w:color="auto" w:fill="auto"/>
            <w:hideMark/>
          </w:tcPr>
          <w:p w:rsidR="009D49F4" w:rsidRPr="009D49F4" w:rsidRDefault="009D49F4" w:rsidP="007D7C60">
            <w:pPr>
              <w:jc w:val="center"/>
              <w:rPr>
                <w:color w:val="000000"/>
                <w:sz w:val="20"/>
              </w:rPr>
            </w:pPr>
            <w:r w:rsidRPr="009D49F4">
              <w:rPr>
                <w:color w:val="000000"/>
                <w:sz w:val="20"/>
              </w:rPr>
              <w:t xml:space="preserve">$49.66 </w:t>
            </w:r>
          </w:p>
        </w:tc>
        <w:tc>
          <w:tcPr>
            <w:tcW w:w="972" w:type="dxa"/>
            <w:shd w:val="clear" w:color="auto" w:fill="auto"/>
            <w:hideMark/>
          </w:tcPr>
          <w:p w:rsidR="009D49F4" w:rsidRPr="009D49F4" w:rsidRDefault="009D49F4" w:rsidP="007D7C60">
            <w:pPr>
              <w:jc w:val="center"/>
              <w:rPr>
                <w:color w:val="000000"/>
                <w:sz w:val="20"/>
              </w:rPr>
            </w:pPr>
            <w:r w:rsidRPr="009D49F4">
              <w:rPr>
                <w:color w:val="000000"/>
                <w:sz w:val="20"/>
              </w:rPr>
              <w:t xml:space="preserve">$74.49 </w:t>
            </w:r>
          </w:p>
        </w:tc>
        <w:tc>
          <w:tcPr>
            <w:tcW w:w="1672" w:type="dxa"/>
            <w:shd w:val="clear" w:color="auto" w:fill="auto"/>
            <w:hideMark/>
          </w:tcPr>
          <w:p w:rsidR="009D49F4" w:rsidRPr="009D49F4" w:rsidRDefault="009D49F4" w:rsidP="007D7C60">
            <w:pPr>
              <w:jc w:val="center"/>
              <w:rPr>
                <w:color w:val="000000"/>
                <w:sz w:val="20"/>
              </w:rPr>
            </w:pPr>
            <w:r w:rsidRPr="009D49F4">
              <w:rPr>
                <w:color w:val="000000"/>
                <w:sz w:val="20"/>
              </w:rPr>
              <w:t>564</w:t>
            </w:r>
          </w:p>
        </w:tc>
        <w:tc>
          <w:tcPr>
            <w:tcW w:w="1327" w:type="dxa"/>
            <w:shd w:val="clear" w:color="auto" w:fill="auto"/>
            <w:hideMark/>
          </w:tcPr>
          <w:p w:rsidR="009D49F4" w:rsidRPr="009D49F4" w:rsidRDefault="009D49F4" w:rsidP="007D7C60">
            <w:pPr>
              <w:jc w:val="center"/>
              <w:rPr>
                <w:color w:val="000000"/>
                <w:sz w:val="20"/>
              </w:rPr>
            </w:pPr>
            <w:r w:rsidRPr="009D49F4">
              <w:rPr>
                <w:color w:val="000000"/>
                <w:sz w:val="20"/>
              </w:rPr>
              <w:t>846</w:t>
            </w:r>
          </w:p>
        </w:tc>
        <w:tc>
          <w:tcPr>
            <w:tcW w:w="1145" w:type="dxa"/>
            <w:shd w:val="clear" w:color="auto" w:fill="auto"/>
            <w:hideMark/>
          </w:tcPr>
          <w:p w:rsidR="009D49F4" w:rsidRPr="009D49F4" w:rsidRDefault="009D49F4" w:rsidP="007D7C60">
            <w:pPr>
              <w:jc w:val="center"/>
              <w:rPr>
                <w:color w:val="000000"/>
                <w:sz w:val="20"/>
              </w:rPr>
            </w:pPr>
            <w:r w:rsidRPr="009D49F4">
              <w:rPr>
                <w:color w:val="000000"/>
                <w:sz w:val="20"/>
              </w:rPr>
              <w:t xml:space="preserve">$42,014 </w:t>
            </w:r>
          </w:p>
        </w:tc>
      </w:tr>
      <w:tr w:rsidR="009D49F4" w:rsidRPr="009D49F4" w:rsidTr="007D7C60">
        <w:trPr>
          <w:trHeight w:val="525"/>
        </w:trPr>
        <w:tc>
          <w:tcPr>
            <w:tcW w:w="2558" w:type="dxa"/>
            <w:shd w:val="clear" w:color="auto" w:fill="auto"/>
            <w:hideMark/>
          </w:tcPr>
          <w:p w:rsidR="009D49F4" w:rsidRPr="009D49F4" w:rsidRDefault="009D49F4" w:rsidP="009D49F4">
            <w:pPr>
              <w:rPr>
                <w:color w:val="000000"/>
                <w:sz w:val="20"/>
              </w:rPr>
            </w:pPr>
            <w:r w:rsidRPr="009D49F4">
              <w:rPr>
                <w:color w:val="000000"/>
                <w:sz w:val="20"/>
              </w:rPr>
              <w:t>Review and Process Update to Property Profile Form (Subtitle A)</w:t>
            </w:r>
          </w:p>
        </w:tc>
        <w:tc>
          <w:tcPr>
            <w:tcW w:w="894" w:type="dxa"/>
            <w:shd w:val="clear" w:color="auto" w:fill="auto"/>
            <w:hideMark/>
          </w:tcPr>
          <w:p w:rsidR="009D49F4" w:rsidRPr="009D49F4" w:rsidRDefault="009D49F4" w:rsidP="007D7C60">
            <w:pPr>
              <w:jc w:val="center"/>
              <w:rPr>
                <w:color w:val="000000"/>
                <w:sz w:val="20"/>
              </w:rPr>
            </w:pPr>
            <w:r w:rsidRPr="009D49F4">
              <w:rPr>
                <w:color w:val="000000"/>
                <w:sz w:val="20"/>
              </w:rPr>
              <w:t>1</w:t>
            </w:r>
          </w:p>
        </w:tc>
        <w:tc>
          <w:tcPr>
            <w:tcW w:w="972" w:type="dxa"/>
            <w:shd w:val="clear" w:color="auto" w:fill="auto"/>
            <w:hideMark/>
          </w:tcPr>
          <w:p w:rsidR="009D49F4" w:rsidRPr="009D49F4" w:rsidRDefault="009D49F4" w:rsidP="007D7C60">
            <w:pPr>
              <w:jc w:val="center"/>
              <w:rPr>
                <w:color w:val="000000"/>
                <w:sz w:val="20"/>
              </w:rPr>
            </w:pPr>
            <w:r w:rsidRPr="009D49F4">
              <w:rPr>
                <w:color w:val="000000"/>
                <w:sz w:val="20"/>
              </w:rPr>
              <w:t xml:space="preserve">$49.66 </w:t>
            </w:r>
          </w:p>
        </w:tc>
        <w:tc>
          <w:tcPr>
            <w:tcW w:w="972" w:type="dxa"/>
            <w:shd w:val="clear" w:color="auto" w:fill="auto"/>
            <w:hideMark/>
          </w:tcPr>
          <w:p w:rsidR="009D49F4" w:rsidRPr="009D49F4" w:rsidRDefault="009D49F4" w:rsidP="007D7C60">
            <w:pPr>
              <w:jc w:val="center"/>
              <w:rPr>
                <w:color w:val="000000"/>
                <w:sz w:val="20"/>
              </w:rPr>
            </w:pPr>
            <w:r w:rsidRPr="009D49F4">
              <w:rPr>
                <w:color w:val="000000"/>
                <w:sz w:val="20"/>
              </w:rPr>
              <w:t xml:space="preserve">$49.66 </w:t>
            </w:r>
          </w:p>
        </w:tc>
        <w:tc>
          <w:tcPr>
            <w:tcW w:w="1672" w:type="dxa"/>
            <w:shd w:val="clear" w:color="auto" w:fill="auto"/>
            <w:hideMark/>
          </w:tcPr>
          <w:p w:rsidR="009D49F4" w:rsidRPr="009D49F4" w:rsidRDefault="009D49F4" w:rsidP="007D7C60">
            <w:pPr>
              <w:jc w:val="center"/>
              <w:rPr>
                <w:color w:val="000000"/>
                <w:sz w:val="20"/>
              </w:rPr>
            </w:pPr>
            <w:r w:rsidRPr="009D49F4">
              <w:rPr>
                <w:color w:val="000000"/>
                <w:sz w:val="20"/>
              </w:rPr>
              <w:t>705</w:t>
            </w:r>
          </w:p>
        </w:tc>
        <w:tc>
          <w:tcPr>
            <w:tcW w:w="1327" w:type="dxa"/>
            <w:shd w:val="clear" w:color="auto" w:fill="auto"/>
            <w:hideMark/>
          </w:tcPr>
          <w:p w:rsidR="009D49F4" w:rsidRPr="009D49F4" w:rsidRDefault="009D49F4" w:rsidP="007D7C60">
            <w:pPr>
              <w:jc w:val="center"/>
              <w:rPr>
                <w:color w:val="000000"/>
                <w:sz w:val="20"/>
              </w:rPr>
            </w:pPr>
            <w:r w:rsidRPr="009D49F4">
              <w:rPr>
                <w:color w:val="000000"/>
                <w:sz w:val="20"/>
              </w:rPr>
              <w:t>705</w:t>
            </w:r>
          </w:p>
        </w:tc>
        <w:tc>
          <w:tcPr>
            <w:tcW w:w="1145" w:type="dxa"/>
            <w:shd w:val="clear" w:color="auto" w:fill="auto"/>
            <w:hideMark/>
          </w:tcPr>
          <w:p w:rsidR="009D49F4" w:rsidRPr="009D49F4" w:rsidRDefault="009D49F4" w:rsidP="007D7C60">
            <w:pPr>
              <w:jc w:val="center"/>
              <w:rPr>
                <w:color w:val="000000"/>
                <w:sz w:val="20"/>
              </w:rPr>
            </w:pPr>
            <w:r w:rsidRPr="009D49F4">
              <w:rPr>
                <w:color w:val="000000"/>
                <w:sz w:val="20"/>
              </w:rPr>
              <w:t xml:space="preserve">$35,007 </w:t>
            </w:r>
          </w:p>
        </w:tc>
      </w:tr>
      <w:tr w:rsidR="009D49F4" w:rsidRPr="009D49F4" w:rsidTr="007D7C60">
        <w:trPr>
          <w:trHeight w:val="525"/>
        </w:trPr>
        <w:tc>
          <w:tcPr>
            <w:tcW w:w="2558" w:type="dxa"/>
            <w:shd w:val="clear" w:color="auto" w:fill="auto"/>
            <w:hideMark/>
          </w:tcPr>
          <w:p w:rsidR="009D49F4" w:rsidRPr="009D49F4" w:rsidRDefault="009D49F4" w:rsidP="009D49F4">
            <w:pPr>
              <w:rPr>
                <w:color w:val="000000"/>
                <w:sz w:val="20"/>
              </w:rPr>
            </w:pPr>
            <w:r w:rsidRPr="009D49F4">
              <w:rPr>
                <w:color w:val="000000"/>
                <w:sz w:val="20"/>
              </w:rPr>
              <w:t>Review and Process Update to Property Profile Form (Subtitle C)</w:t>
            </w:r>
          </w:p>
        </w:tc>
        <w:tc>
          <w:tcPr>
            <w:tcW w:w="894" w:type="dxa"/>
            <w:shd w:val="clear" w:color="auto" w:fill="auto"/>
            <w:hideMark/>
          </w:tcPr>
          <w:p w:rsidR="009D49F4" w:rsidRPr="009D49F4" w:rsidRDefault="009D49F4" w:rsidP="007D7C60">
            <w:pPr>
              <w:jc w:val="center"/>
              <w:rPr>
                <w:color w:val="000000"/>
                <w:sz w:val="20"/>
              </w:rPr>
            </w:pPr>
            <w:r w:rsidRPr="009D49F4">
              <w:rPr>
                <w:color w:val="000000"/>
                <w:sz w:val="20"/>
              </w:rPr>
              <w:t>1</w:t>
            </w:r>
          </w:p>
        </w:tc>
        <w:tc>
          <w:tcPr>
            <w:tcW w:w="972" w:type="dxa"/>
            <w:shd w:val="clear" w:color="auto" w:fill="auto"/>
            <w:hideMark/>
          </w:tcPr>
          <w:p w:rsidR="009D49F4" w:rsidRPr="009D49F4" w:rsidRDefault="009D49F4" w:rsidP="007D7C60">
            <w:pPr>
              <w:jc w:val="center"/>
              <w:rPr>
                <w:color w:val="000000"/>
                <w:sz w:val="20"/>
              </w:rPr>
            </w:pPr>
            <w:r w:rsidRPr="009D49F4">
              <w:rPr>
                <w:color w:val="000000"/>
                <w:sz w:val="20"/>
              </w:rPr>
              <w:t xml:space="preserve">$49.66 </w:t>
            </w:r>
          </w:p>
        </w:tc>
        <w:tc>
          <w:tcPr>
            <w:tcW w:w="972" w:type="dxa"/>
            <w:shd w:val="clear" w:color="auto" w:fill="auto"/>
            <w:hideMark/>
          </w:tcPr>
          <w:p w:rsidR="009D49F4" w:rsidRPr="009D49F4" w:rsidRDefault="009D49F4" w:rsidP="007D7C60">
            <w:pPr>
              <w:jc w:val="center"/>
              <w:rPr>
                <w:color w:val="000000"/>
                <w:sz w:val="20"/>
              </w:rPr>
            </w:pPr>
            <w:r w:rsidRPr="009D49F4">
              <w:rPr>
                <w:color w:val="000000"/>
                <w:sz w:val="20"/>
              </w:rPr>
              <w:t xml:space="preserve">$49.66 </w:t>
            </w:r>
          </w:p>
        </w:tc>
        <w:tc>
          <w:tcPr>
            <w:tcW w:w="1672" w:type="dxa"/>
            <w:shd w:val="clear" w:color="auto" w:fill="auto"/>
            <w:hideMark/>
          </w:tcPr>
          <w:p w:rsidR="009D49F4" w:rsidRPr="009D49F4" w:rsidRDefault="009D49F4" w:rsidP="007D7C60">
            <w:pPr>
              <w:jc w:val="center"/>
              <w:rPr>
                <w:color w:val="000000"/>
                <w:sz w:val="20"/>
              </w:rPr>
            </w:pPr>
            <w:r w:rsidRPr="009D49F4">
              <w:rPr>
                <w:color w:val="000000"/>
                <w:sz w:val="20"/>
              </w:rPr>
              <w:t>282</w:t>
            </w:r>
          </w:p>
        </w:tc>
        <w:tc>
          <w:tcPr>
            <w:tcW w:w="1327" w:type="dxa"/>
            <w:shd w:val="clear" w:color="auto" w:fill="auto"/>
            <w:hideMark/>
          </w:tcPr>
          <w:p w:rsidR="009D49F4" w:rsidRPr="009D49F4" w:rsidRDefault="009D49F4" w:rsidP="007D7C60">
            <w:pPr>
              <w:jc w:val="center"/>
              <w:rPr>
                <w:color w:val="000000"/>
                <w:sz w:val="20"/>
              </w:rPr>
            </w:pPr>
            <w:r w:rsidRPr="009D49F4">
              <w:rPr>
                <w:color w:val="000000"/>
                <w:sz w:val="20"/>
              </w:rPr>
              <w:t>282</w:t>
            </w:r>
          </w:p>
        </w:tc>
        <w:tc>
          <w:tcPr>
            <w:tcW w:w="1145" w:type="dxa"/>
            <w:shd w:val="clear" w:color="auto" w:fill="auto"/>
            <w:hideMark/>
          </w:tcPr>
          <w:p w:rsidR="009D49F4" w:rsidRPr="009D49F4" w:rsidRDefault="009D49F4" w:rsidP="007D7C60">
            <w:pPr>
              <w:jc w:val="center"/>
              <w:rPr>
                <w:color w:val="000000"/>
                <w:sz w:val="20"/>
              </w:rPr>
            </w:pPr>
            <w:r w:rsidRPr="009D49F4">
              <w:rPr>
                <w:color w:val="000000"/>
                <w:sz w:val="20"/>
              </w:rPr>
              <w:t xml:space="preserve">$14,005 </w:t>
            </w:r>
          </w:p>
        </w:tc>
      </w:tr>
      <w:tr w:rsidR="009D49F4" w:rsidRPr="009D49F4" w:rsidTr="007D7C60">
        <w:trPr>
          <w:trHeight w:val="285"/>
        </w:trPr>
        <w:tc>
          <w:tcPr>
            <w:tcW w:w="5396" w:type="dxa"/>
            <w:gridSpan w:val="4"/>
            <w:shd w:val="clear" w:color="auto" w:fill="auto"/>
            <w:hideMark/>
          </w:tcPr>
          <w:p w:rsidR="009D49F4" w:rsidRPr="009D49F4" w:rsidRDefault="009D49F4" w:rsidP="009D49F4">
            <w:pPr>
              <w:rPr>
                <w:b/>
                <w:bCs/>
                <w:color w:val="000000"/>
                <w:sz w:val="20"/>
              </w:rPr>
            </w:pPr>
            <w:r w:rsidRPr="009D49F4">
              <w:rPr>
                <w:b/>
                <w:bCs/>
                <w:color w:val="000000"/>
                <w:sz w:val="20"/>
              </w:rPr>
              <w:t>TOTAL</w:t>
            </w:r>
          </w:p>
        </w:tc>
        <w:tc>
          <w:tcPr>
            <w:tcW w:w="1672" w:type="dxa"/>
            <w:shd w:val="clear" w:color="auto" w:fill="auto"/>
            <w:hideMark/>
          </w:tcPr>
          <w:p w:rsidR="009D49F4" w:rsidRPr="009D49F4" w:rsidRDefault="009D49F4" w:rsidP="007D7C60">
            <w:pPr>
              <w:jc w:val="center"/>
              <w:rPr>
                <w:color w:val="000000"/>
                <w:sz w:val="20"/>
              </w:rPr>
            </w:pPr>
            <w:r w:rsidRPr="009D49F4">
              <w:rPr>
                <w:color w:val="000000"/>
                <w:sz w:val="20"/>
              </w:rPr>
              <w:t>2,587</w:t>
            </w:r>
          </w:p>
        </w:tc>
        <w:tc>
          <w:tcPr>
            <w:tcW w:w="1327" w:type="dxa"/>
            <w:shd w:val="clear" w:color="auto" w:fill="auto"/>
            <w:hideMark/>
          </w:tcPr>
          <w:p w:rsidR="009D49F4" w:rsidRPr="009D49F4" w:rsidRDefault="009D49F4" w:rsidP="007D7C60">
            <w:pPr>
              <w:jc w:val="center"/>
              <w:rPr>
                <w:color w:val="000000"/>
                <w:sz w:val="20"/>
              </w:rPr>
            </w:pPr>
            <w:r w:rsidRPr="009D49F4">
              <w:rPr>
                <w:color w:val="000000"/>
                <w:sz w:val="20"/>
              </w:rPr>
              <w:t>3,372</w:t>
            </w:r>
          </w:p>
        </w:tc>
        <w:tc>
          <w:tcPr>
            <w:tcW w:w="1145" w:type="dxa"/>
            <w:shd w:val="clear" w:color="auto" w:fill="auto"/>
            <w:hideMark/>
          </w:tcPr>
          <w:p w:rsidR="009D49F4" w:rsidRPr="009D49F4" w:rsidRDefault="009D49F4" w:rsidP="007D7C60">
            <w:pPr>
              <w:jc w:val="center"/>
              <w:rPr>
                <w:color w:val="000000"/>
                <w:sz w:val="20"/>
              </w:rPr>
            </w:pPr>
            <w:r w:rsidRPr="009D49F4">
              <w:rPr>
                <w:color w:val="000000"/>
                <w:sz w:val="20"/>
              </w:rPr>
              <w:t xml:space="preserve">$167,496 </w:t>
            </w:r>
          </w:p>
        </w:tc>
      </w:tr>
      <w:tr w:rsidR="009D49F4" w:rsidRPr="009D49F4" w:rsidTr="007D7C60">
        <w:trPr>
          <w:trHeight w:val="270"/>
        </w:trPr>
        <w:tc>
          <w:tcPr>
            <w:tcW w:w="7068" w:type="dxa"/>
            <w:gridSpan w:val="5"/>
            <w:shd w:val="clear" w:color="auto" w:fill="auto"/>
            <w:hideMark/>
          </w:tcPr>
          <w:p w:rsidR="009D49F4" w:rsidRPr="009D49F4" w:rsidRDefault="009D49F4" w:rsidP="009D49F4">
            <w:pPr>
              <w:rPr>
                <w:b/>
                <w:bCs/>
                <w:color w:val="000000"/>
                <w:sz w:val="20"/>
              </w:rPr>
            </w:pPr>
            <w:r w:rsidRPr="009D49F4">
              <w:rPr>
                <w:b/>
                <w:bCs/>
                <w:color w:val="000000"/>
                <w:sz w:val="20"/>
              </w:rPr>
              <w:t>AVERAGE TOTAL COST PER BURDEN HOUR</w:t>
            </w:r>
          </w:p>
        </w:tc>
        <w:tc>
          <w:tcPr>
            <w:tcW w:w="2472" w:type="dxa"/>
            <w:gridSpan w:val="2"/>
            <w:shd w:val="clear" w:color="auto" w:fill="auto"/>
            <w:hideMark/>
          </w:tcPr>
          <w:p w:rsidR="009D49F4" w:rsidRPr="009D49F4" w:rsidRDefault="009D49F4" w:rsidP="007D7C60">
            <w:pPr>
              <w:jc w:val="center"/>
              <w:rPr>
                <w:color w:val="000000"/>
                <w:sz w:val="20"/>
              </w:rPr>
            </w:pPr>
            <w:r w:rsidRPr="009D49F4">
              <w:rPr>
                <w:color w:val="000000"/>
                <w:sz w:val="20"/>
              </w:rPr>
              <w:t xml:space="preserve">$49.67 </w:t>
            </w:r>
          </w:p>
        </w:tc>
      </w:tr>
    </w:tbl>
    <w:p w:rsidR="009D49F4" w:rsidRDefault="009D49F4">
      <w:pPr>
        <w:rPr>
          <w:color w:val="000000"/>
        </w:rPr>
      </w:pPr>
    </w:p>
    <w:p w:rsidR="00545B76" w:rsidRDefault="00A2708C">
      <w:pPr>
        <w:jc w:val="center"/>
        <w:rPr>
          <w:color w:val="000000"/>
        </w:rPr>
      </w:pPr>
      <w:r>
        <w:rPr>
          <w:b/>
          <w:color w:val="000000"/>
        </w:rPr>
        <w:t>Exhibit 3 - Annual Agency Burden and Cost</w:t>
      </w:r>
    </w:p>
    <w:p w:rsidR="000A3647" w:rsidRDefault="000A3647" w:rsidP="00545B76">
      <w:pPr>
        <w:jc w:val="center"/>
        <w:rPr>
          <w:color w:val="000000"/>
        </w:rPr>
      </w:pPr>
    </w:p>
    <w:p w:rsidR="00FA5D50" w:rsidRDefault="00FA5D50" w:rsidP="00FA5D50">
      <w:pPr>
        <w:rPr>
          <w:color w:val="000000"/>
          <w:sz w:val="20"/>
        </w:rPr>
      </w:pPr>
      <w:r>
        <w:rPr>
          <w:color w:val="000000"/>
          <w:sz w:val="20"/>
        </w:rPr>
        <w:t>*</w:t>
      </w:r>
      <w:r w:rsidRPr="00B713F3">
        <w:t xml:space="preserve"> </w:t>
      </w:r>
      <w:r w:rsidRPr="00B713F3">
        <w:rPr>
          <w:color w:val="000000"/>
          <w:sz w:val="20"/>
        </w:rPr>
        <w:t>Unit Labor Cost in Dollars reflects a “loaded” rate for benefits and overhead.</w:t>
      </w:r>
    </w:p>
    <w:p w:rsidR="00FA5D50" w:rsidRDefault="00FA5D50" w:rsidP="00FA5D50">
      <w:pPr>
        <w:rPr>
          <w:color w:val="000000"/>
          <w:sz w:val="20"/>
        </w:rPr>
      </w:pPr>
      <w:r>
        <w:rPr>
          <w:color w:val="000000"/>
          <w:sz w:val="20"/>
        </w:rPr>
        <w:t xml:space="preserve">** Figures may not sum due to rounding. </w:t>
      </w:r>
    </w:p>
    <w:p w:rsidR="00A2708C" w:rsidRDefault="00A2708C">
      <w:pPr>
        <w:rPr>
          <w:color w:val="000000"/>
          <w:sz w:val="20"/>
        </w:rPr>
      </w:pPr>
    </w:p>
    <w:p w:rsidR="00A2708C" w:rsidRDefault="00A2708C">
      <w:pPr>
        <w:rPr>
          <w:color w:val="000000"/>
          <w:sz w:val="20"/>
        </w:rPr>
      </w:pPr>
    </w:p>
    <w:p w:rsidR="00A2708C" w:rsidRDefault="00A2708C">
      <w:pPr>
        <w:rPr>
          <w:color w:val="000000"/>
        </w:rPr>
      </w:pPr>
      <w:r>
        <w:rPr>
          <w:color w:val="000000"/>
        </w:rPr>
        <w:tab/>
        <w:t xml:space="preserve">The burden imposed upon EPA was initially estimated by:  (1) interviewing EPA Regional and Headquarters staff to gather individual estimates of the time required to perform each activity and the GS level of the staff performing those tasks; (2) averaging the time data to estimate the number of hours required for each burden element; (3) averaging the data on the percentage of time performed by particular staff GS levels; (4) developing a weighted hourly rate based upon percentage of staff labor at different GS levels devoted to each task; and (5) determining the product of the weighted hourly rate and the number of hours required per activity.  </w:t>
      </w:r>
    </w:p>
    <w:p w:rsidR="00A2708C" w:rsidRDefault="00A2708C">
      <w:pPr>
        <w:rPr>
          <w:color w:val="000000"/>
        </w:rPr>
      </w:pPr>
      <w:r>
        <w:rPr>
          <w:color w:val="000000"/>
        </w:rPr>
        <w:tab/>
      </w:r>
    </w:p>
    <w:p w:rsidR="00A2708C" w:rsidRDefault="00A2708C">
      <w:pPr>
        <w:rPr>
          <w:color w:val="000000"/>
        </w:rPr>
      </w:pPr>
      <w:r>
        <w:rPr>
          <w:color w:val="000000"/>
        </w:rPr>
        <w:tab/>
        <w:t xml:space="preserve">For the </w:t>
      </w:r>
      <w:r w:rsidR="00940935">
        <w:rPr>
          <w:color w:val="000000"/>
        </w:rPr>
        <w:t>revision</w:t>
      </w:r>
      <w:r>
        <w:rPr>
          <w:color w:val="000000"/>
        </w:rPr>
        <w:t xml:space="preserve"> and expansion of this information collection request, EPA is using the </w:t>
      </w:r>
      <w:r w:rsidR="000A466E">
        <w:rPr>
          <w:color w:val="000000"/>
        </w:rPr>
        <w:t xml:space="preserve">estimates collected from RLF project officers and </w:t>
      </w:r>
      <w:r w:rsidR="0053376C">
        <w:rPr>
          <w:color w:val="000000"/>
        </w:rPr>
        <w:t>Job Training</w:t>
      </w:r>
      <w:r w:rsidR="000A466E">
        <w:rPr>
          <w:color w:val="000000"/>
        </w:rPr>
        <w:t xml:space="preserve"> project officers. </w:t>
      </w:r>
    </w:p>
    <w:p w:rsidR="00A2708C" w:rsidRDefault="00A2708C">
      <w:pPr>
        <w:rPr>
          <w:color w:val="000000"/>
        </w:rPr>
      </w:pPr>
      <w:r>
        <w:rPr>
          <w:color w:val="000000"/>
        </w:rPr>
        <w:tab/>
      </w:r>
    </w:p>
    <w:p w:rsidR="00A2708C" w:rsidRDefault="00A2708C">
      <w:pPr>
        <w:rPr>
          <w:color w:val="000000"/>
        </w:rPr>
      </w:pPr>
      <w:r>
        <w:rPr>
          <w:color w:val="000000"/>
        </w:rPr>
        <w:tab/>
        <w:t>The weighted hourly rate utilized in the Federal burden estimate is based upon the following composite:</w:t>
      </w:r>
    </w:p>
    <w:p w:rsidR="00A2708C" w:rsidRDefault="00A2708C">
      <w:pPr>
        <w:rPr>
          <w:color w:val="000000"/>
        </w:rPr>
      </w:pPr>
    </w:p>
    <w:tbl>
      <w:tblPr>
        <w:tblW w:w="0" w:type="auto"/>
        <w:jc w:val="center"/>
        <w:tblLayout w:type="fixed"/>
        <w:tblCellMar>
          <w:left w:w="120" w:type="dxa"/>
          <w:right w:w="120" w:type="dxa"/>
        </w:tblCellMar>
        <w:tblLook w:val="0000"/>
      </w:tblPr>
      <w:tblGrid>
        <w:gridCol w:w="3120"/>
        <w:gridCol w:w="3120"/>
        <w:gridCol w:w="3120"/>
      </w:tblGrid>
      <w:tr w:rsidR="004C64E0">
        <w:trPr>
          <w:cantSplit/>
          <w:jc w:val="center"/>
        </w:trPr>
        <w:tc>
          <w:tcPr>
            <w:tcW w:w="3120" w:type="dxa"/>
            <w:tcBorders>
              <w:top w:val="single" w:sz="5" w:space="0" w:color="000000"/>
              <w:left w:val="single" w:sz="5" w:space="0" w:color="000000"/>
              <w:bottom w:val="single" w:sz="5" w:space="0" w:color="000000"/>
              <w:right w:val="single" w:sz="5" w:space="0" w:color="000000"/>
            </w:tcBorders>
          </w:tcPr>
          <w:p w:rsidR="00A2708C" w:rsidRDefault="00A2708C">
            <w:pPr>
              <w:spacing w:before="120" w:after="72"/>
              <w:jc w:val="center"/>
              <w:rPr>
                <w:color w:val="000000"/>
              </w:rPr>
            </w:pPr>
            <w:r>
              <w:rPr>
                <w:b/>
                <w:color w:val="000000"/>
              </w:rPr>
              <w:t>GS Level</w:t>
            </w:r>
          </w:p>
        </w:tc>
        <w:tc>
          <w:tcPr>
            <w:tcW w:w="3120" w:type="dxa"/>
            <w:tcBorders>
              <w:top w:val="single" w:sz="5" w:space="0" w:color="000000"/>
              <w:left w:val="single" w:sz="5" w:space="0" w:color="000000"/>
              <w:bottom w:val="single" w:sz="5" w:space="0" w:color="000000"/>
              <w:right w:val="single" w:sz="5" w:space="0" w:color="000000"/>
            </w:tcBorders>
          </w:tcPr>
          <w:p w:rsidR="00A2708C" w:rsidRDefault="00A2708C">
            <w:pPr>
              <w:spacing w:before="120" w:after="72"/>
              <w:jc w:val="center"/>
              <w:rPr>
                <w:color w:val="000000"/>
              </w:rPr>
            </w:pPr>
            <w:r>
              <w:rPr>
                <w:b/>
                <w:color w:val="000000"/>
              </w:rPr>
              <w:t>Percent</w:t>
            </w:r>
          </w:p>
        </w:tc>
        <w:tc>
          <w:tcPr>
            <w:tcW w:w="3120" w:type="dxa"/>
            <w:tcBorders>
              <w:top w:val="single" w:sz="5" w:space="0" w:color="000000"/>
              <w:left w:val="single" w:sz="5" w:space="0" w:color="000000"/>
              <w:bottom w:val="single" w:sz="5" w:space="0" w:color="000000"/>
              <w:right w:val="single" w:sz="5" w:space="0" w:color="000000"/>
            </w:tcBorders>
          </w:tcPr>
          <w:p w:rsidR="00A2708C" w:rsidRDefault="00A2708C">
            <w:pPr>
              <w:spacing w:before="120" w:after="72"/>
              <w:jc w:val="center"/>
              <w:rPr>
                <w:color w:val="000000"/>
              </w:rPr>
            </w:pPr>
            <w:r>
              <w:rPr>
                <w:b/>
                <w:color w:val="000000"/>
              </w:rPr>
              <w:t>Hourly Wage Rate*</w:t>
            </w:r>
          </w:p>
        </w:tc>
      </w:tr>
      <w:tr w:rsidR="004C64E0">
        <w:trPr>
          <w:cantSplit/>
          <w:jc w:val="center"/>
        </w:trPr>
        <w:tc>
          <w:tcPr>
            <w:tcW w:w="3120" w:type="dxa"/>
            <w:tcBorders>
              <w:top w:val="single" w:sz="5" w:space="0" w:color="000000"/>
              <w:left w:val="single" w:sz="5" w:space="0" w:color="000000"/>
              <w:bottom w:val="single" w:sz="5" w:space="0" w:color="000000"/>
              <w:right w:val="single" w:sz="5" w:space="0" w:color="000000"/>
            </w:tcBorders>
          </w:tcPr>
          <w:p w:rsidR="00A2708C" w:rsidRDefault="00A2708C">
            <w:pPr>
              <w:spacing w:before="120" w:after="72"/>
              <w:jc w:val="center"/>
              <w:rPr>
                <w:color w:val="000000"/>
              </w:rPr>
            </w:pPr>
            <w:r>
              <w:rPr>
                <w:color w:val="000000"/>
              </w:rPr>
              <w:lastRenderedPageBreak/>
              <w:t>GS 4, Step 1</w:t>
            </w:r>
          </w:p>
        </w:tc>
        <w:tc>
          <w:tcPr>
            <w:tcW w:w="3120" w:type="dxa"/>
            <w:tcBorders>
              <w:top w:val="single" w:sz="5" w:space="0" w:color="000000"/>
              <w:left w:val="single" w:sz="5" w:space="0" w:color="000000"/>
              <w:bottom w:val="single" w:sz="5" w:space="0" w:color="000000"/>
              <w:right w:val="single" w:sz="5" w:space="0" w:color="000000"/>
            </w:tcBorders>
          </w:tcPr>
          <w:p w:rsidR="00A2708C" w:rsidRDefault="00A2708C">
            <w:pPr>
              <w:spacing w:before="120" w:after="72"/>
              <w:jc w:val="center"/>
              <w:rPr>
                <w:color w:val="000000"/>
              </w:rPr>
            </w:pPr>
            <w:r>
              <w:rPr>
                <w:color w:val="000000"/>
              </w:rPr>
              <w:t>10%</w:t>
            </w:r>
          </w:p>
        </w:tc>
        <w:tc>
          <w:tcPr>
            <w:tcW w:w="3120" w:type="dxa"/>
            <w:tcBorders>
              <w:top w:val="single" w:sz="5" w:space="0" w:color="000000"/>
              <w:left w:val="single" w:sz="5" w:space="0" w:color="000000"/>
              <w:bottom w:val="single" w:sz="5" w:space="0" w:color="000000"/>
              <w:right w:val="single" w:sz="5" w:space="0" w:color="000000"/>
            </w:tcBorders>
          </w:tcPr>
          <w:p w:rsidR="00A2708C" w:rsidRDefault="00A2708C">
            <w:pPr>
              <w:spacing w:before="120" w:after="72"/>
              <w:jc w:val="center"/>
              <w:rPr>
                <w:color w:val="000000"/>
              </w:rPr>
            </w:pPr>
            <w:r>
              <w:rPr>
                <w:color w:val="000000"/>
              </w:rPr>
              <w:t>$1</w:t>
            </w:r>
            <w:r w:rsidR="00F23EC2">
              <w:rPr>
                <w:color w:val="000000"/>
              </w:rPr>
              <w:t>1</w:t>
            </w:r>
            <w:r>
              <w:rPr>
                <w:color w:val="000000"/>
              </w:rPr>
              <w:t>.</w:t>
            </w:r>
            <w:r w:rsidR="007A1A06">
              <w:rPr>
                <w:color w:val="000000"/>
              </w:rPr>
              <w:t>75</w:t>
            </w:r>
          </w:p>
        </w:tc>
      </w:tr>
      <w:tr w:rsidR="004C64E0">
        <w:trPr>
          <w:cantSplit/>
          <w:jc w:val="center"/>
        </w:trPr>
        <w:tc>
          <w:tcPr>
            <w:tcW w:w="3120" w:type="dxa"/>
            <w:tcBorders>
              <w:top w:val="single" w:sz="5" w:space="0" w:color="000000"/>
              <w:left w:val="single" w:sz="5" w:space="0" w:color="000000"/>
              <w:bottom w:val="single" w:sz="5" w:space="0" w:color="000000"/>
              <w:right w:val="single" w:sz="5" w:space="0" w:color="000000"/>
            </w:tcBorders>
          </w:tcPr>
          <w:p w:rsidR="00A2708C" w:rsidRDefault="00A2708C">
            <w:pPr>
              <w:spacing w:before="120" w:after="72"/>
              <w:jc w:val="center"/>
              <w:rPr>
                <w:color w:val="000000"/>
              </w:rPr>
            </w:pPr>
            <w:r>
              <w:rPr>
                <w:color w:val="000000"/>
              </w:rPr>
              <w:t>GS 11, Step 1</w:t>
            </w:r>
          </w:p>
        </w:tc>
        <w:tc>
          <w:tcPr>
            <w:tcW w:w="3120" w:type="dxa"/>
            <w:tcBorders>
              <w:top w:val="single" w:sz="5" w:space="0" w:color="000000"/>
              <w:left w:val="single" w:sz="5" w:space="0" w:color="000000"/>
              <w:bottom w:val="single" w:sz="5" w:space="0" w:color="000000"/>
              <w:right w:val="single" w:sz="5" w:space="0" w:color="000000"/>
            </w:tcBorders>
          </w:tcPr>
          <w:p w:rsidR="00A2708C" w:rsidRDefault="00A2708C">
            <w:pPr>
              <w:spacing w:before="120" w:after="72"/>
              <w:jc w:val="center"/>
              <w:rPr>
                <w:color w:val="000000"/>
              </w:rPr>
            </w:pPr>
            <w:r>
              <w:rPr>
                <w:color w:val="000000"/>
              </w:rPr>
              <w:t>10%</w:t>
            </w:r>
          </w:p>
        </w:tc>
        <w:tc>
          <w:tcPr>
            <w:tcW w:w="3120" w:type="dxa"/>
            <w:tcBorders>
              <w:top w:val="single" w:sz="5" w:space="0" w:color="000000"/>
              <w:left w:val="single" w:sz="5" w:space="0" w:color="000000"/>
              <w:bottom w:val="single" w:sz="5" w:space="0" w:color="000000"/>
              <w:right w:val="single" w:sz="5" w:space="0" w:color="000000"/>
            </w:tcBorders>
          </w:tcPr>
          <w:p w:rsidR="00A2708C" w:rsidRDefault="00A2708C">
            <w:pPr>
              <w:spacing w:before="120" w:after="72"/>
              <w:jc w:val="center"/>
              <w:rPr>
                <w:color w:val="000000"/>
              </w:rPr>
            </w:pPr>
            <w:r>
              <w:rPr>
                <w:color w:val="000000"/>
              </w:rPr>
              <w:t>$2</w:t>
            </w:r>
            <w:r w:rsidR="007A1A06">
              <w:rPr>
                <w:color w:val="000000"/>
              </w:rPr>
              <w:t>4.10</w:t>
            </w:r>
          </w:p>
        </w:tc>
      </w:tr>
      <w:tr w:rsidR="004C64E0">
        <w:trPr>
          <w:cantSplit/>
          <w:jc w:val="center"/>
        </w:trPr>
        <w:tc>
          <w:tcPr>
            <w:tcW w:w="3120" w:type="dxa"/>
            <w:tcBorders>
              <w:top w:val="single" w:sz="5" w:space="0" w:color="000000"/>
              <w:left w:val="single" w:sz="5" w:space="0" w:color="000000"/>
              <w:bottom w:val="single" w:sz="5" w:space="0" w:color="000000"/>
              <w:right w:val="single" w:sz="5" w:space="0" w:color="000000"/>
            </w:tcBorders>
          </w:tcPr>
          <w:p w:rsidR="00A2708C" w:rsidRDefault="00A2708C">
            <w:pPr>
              <w:spacing w:before="120" w:after="72"/>
              <w:jc w:val="center"/>
              <w:rPr>
                <w:color w:val="000000"/>
              </w:rPr>
            </w:pPr>
            <w:r>
              <w:rPr>
                <w:color w:val="000000"/>
              </w:rPr>
              <w:t>GS 13, Step 1</w:t>
            </w:r>
          </w:p>
        </w:tc>
        <w:tc>
          <w:tcPr>
            <w:tcW w:w="3120" w:type="dxa"/>
            <w:tcBorders>
              <w:top w:val="single" w:sz="5" w:space="0" w:color="000000"/>
              <w:left w:val="single" w:sz="5" w:space="0" w:color="000000"/>
              <w:bottom w:val="single" w:sz="5" w:space="0" w:color="000000"/>
              <w:right w:val="single" w:sz="5" w:space="0" w:color="000000"/>
            </w:tcBorders>
          </w:tcPr>
          <w:p w:rsidR="00A2708C" w:rsidRDefault="00A2708C">
            <w:pPr>
              <w:spacing w:before="120" w:after="72"/>
              <w:jc w:val="center"/>
              <w:rPr>
                <w:color w:val="000000"/>
              </w:rPr>
            </w:pPr>
            <w:r>
              <w:rPr>
                <w:color w:val="000000"/>
              </w:rPr>
              <w:t>75%</w:t>
            </w:r>
          </w:p>
        </w:tc>
        <w:tc>
          <w:tcPr>
            <w:tcW w:w="3120" w:type="dxa"/>
            <w:tcBorders>
              <w:top w:val="single" w:sz="5" w:space="0" w:color="000000"/>
              <w:left w:val="single" w:sz="5" w:space="0" w:color="000000"/>
              <w:bottom w:val="single" w:sz="5" w:space="0" w:color="000000"/>
              <w:right w:val="single" w:sz="5" w:space="0" w:color="000000"/>
            </w:tcBorders>
          </w:tcPr>
          <w:p w:rsidR="00A2708C" w:rsidRDefault="00A2708C">
            <w:pPr>
              <w:spacing w:before="120" w:after="72"/>
              <w:jc w:val="center"/>
              <w:rPr>
                <w:color w:val="000000"/>
              </w:rPr>
            </w:pPr>
            <w:r>
              <w:rPr>
                <w:color w:val="000000"/>
              </w:rPr>
              <w:t>$3</w:t>
            </w:r>
            <w:r w:rsidR="007A1A06">
              <w:rPr>
                <w:color w:val="000000"/>
              </w:rPr>
              <w:t>4.34</w:t>
            </w:r>
          </w:p>
        </w:tc>
      </w:tr>
      <w:tr w:rsidR="004C64E0">
        <w:trPr>
          <w:cantSplit/>
          <w:jc w:val="center"/>
        </w:trPr>
        <w:tc>
          <w:tcPr>
            <w:tcW w:w="3120" w:type="dxa"/>
            <w:tcBorders>
              <w:top w:val="single" w:sz="5" w:space="0" w:color="000000"/>
              <w:left w:val="single" w:sz="5" w:space="0" w:color="000000"/>
              <w:bottom w:val="single" w:sz="5" w:space="0" w:color="000000"/>
              <w:right w:val="single" w:sz="5" w:space="0" w:color="000000"/>
            </w:tcBorders>
          </w:tcPr>
          <w:p w:rsidR="00A2708C" w:rsidRDefault="00A2708C">
            <w:pPr>
              <w:spacing w:before="120" w:after="72"/>
              <w:jc w:val="center"/>
              <w:rPr>
                <w:color w:val="000000"/>
              </w:rPr>
            </w:pPr>
            <w:r>
              <w:rPr>
                <w:color w:val="000000"/>
              </w:rPr>
              <w:t>GS 14, Step 1</w:t>
            </w:r>
          </w:p>
        </w:tc>
        <w:tc>
          <w:tcPr>
            <w:tcW w:w="3120" w:type="dxa"/>
            <w:tcBorders>
              <w:top w:val="single" w:sz="5" w:space="0" w:color="000000"/>
              <w:left w:val="single" w:sz="5" w:space="0" w:color="000000"/>
              <w:bottom w:val="single" w:sz="5" w:space="0" w:color="000000"/>
              <w:right w:val="single" w:sz="5" w:space="0" w:color="000000"/>
            </w:tcBorders>
          </w:tcPr>
          <w:p w:rsidR="00A2708C" w:rsidRDefault="00A2708C">
            <w:pPr>
              <w:spacing w:before="120" w:after="72"/>
              <w:jc w:val="center"/>
              <w:rPr>
                <w:color w:val="000000"/>
              </w:rPr>
            </w:pPr>
            <w:r>
              <w:rPr>
                <w:color w:val="000000"/>
              </w:rPr>
              <w:t>5%</w:t>
            </w:r>
          </w:p>
        </w:tc>
        <w:tc>
          <w:tcPr>
            <w:tcW w:w="3120" w:type="dxa"/>
            <w:tcBorders>
              <w:top w:val="single" w:sz="5" w:space="0" w:color="000000"/>
              <w:left w:val="single" w:sz="5" w:space="0" w:color="000000"/>
              <w:bottom w:val="single" w:sz="5" w:space="0" w:color="000000"/>
              <w:right w:val="single" w:sz="5" w:space="0" w:color="000000"/>
            </w:tcBorders>
          </w:tcPr>
          <w:p w:rsidR="00A2708C" w:rsidRDefault="00A2708C">
            <w:pPr>
              <w:spacing w:before="120" w:after="72"/>
              <w:jc w:val="center"/>
              <w:rPr>
                <w:color w:val="000000"/>
              </w:rPr>
            </w:pPr>
            <w:r>
              <w:rPr>
                <w:color w:val="000000"/>
              </w:rPr>
              <w:t>$</w:t>
            </w:r>
            <w:r w:rsidR="007A1A06">
              <w:rPr>
                <w:color w:val="000000"/>
              </w:rPr>
              <w:t>40.58</w:t>
            </w:r>
          </w:p>
        </w:tc>
      </w:tr>
      <w:tr w:rsidR="004C64E0">
        <w:trPr>
          <w:cantSplit/>
          <w:jc w:val="center"/>
        </w:trPr>
        <w:tc>
          <w:tcPr>
            <w:tcW w:w="6240" w:type="dxa"/>
            <w:gridSpan w:val="2"/>
            <w:tcBorders>
              <w:top w:val="single" w:sz="5" w:space="0" w:color="000000"/>
              <w:left w:val="single" w:sz="5" w:space="0" w:color="000000"/>
              <w:bottom w:val="single" w:sz="5" w:space="0" w:color="000000"/>
              <w:right w:val="single" w:sz="5" w:space="0" w:color="000000"/>
            </w:tcBorders>
          </w:tcPr>
          <w:p w:rsidR="00A2708C" w:rsidRDefault="00A2708C">
            <w:pPr>
              <w:spacing w:before="120" w:after="72"/>
              <w:jc w:val="center"/>
              <w:rPr>
                <w:color w:val="000000"/>
              </w:rPr>
            </w:pPr>
            <w:r>
              <w:rPr>
                <w:b/>
                <w:color w:val="000000"/>
              </w:rPr>
              <w:t xml:space="preserve">Weighted Rate  </w:t>
            </w:r>
          </w:p>
        </w:tc>
        <w:tc>
          <w:tcPr>
            <w:tcW w:w="3120" w:type="dxa"/>
            <w:tcBorders>
              <w:top w:val="single" w:sz="5" w:space="0" w:color="000000"/>
              <w:left w:val="single" w:sz="5" w:space="0" w:color="000000"/>
              <w:bottom w:val="single" w:sz="5" w:space="0" w:color="000000"/>
              <w:right w:val="single" w:sz="5" w:space="0" w:color="000000"/>
            </w:tcBorders>
          </w:tcPr>
          <w:p w:rsidR="00A2708C" w:rsidRDefault="009918DD">
            <w:pPr>
              <w:spacing w:before="120" w:after="72"/>
              <w:jc w:val="center"/>
              <w:rPr>
                <w:color w:val="000000"/>
              </w:rPr>
            </w:pPr>
            <w:r>
              <w:rPr>
                <w:b/>
                <w:color w:val="000000"/>
              </w:rPr>
              <w:t>$31.3</w:t>
            </w:r>
            <w:r w:rsidR="005839DF">
              <w:rPr>
                <w:b/>
                <w:color w:val="000000"/>
              </w:rPr>
              <w:t>7</w:t>
            </w:r>
          </w:p>
        </w:tc>
      </w:tr>
    </w:tbl>
    <w:p w:rsidR="00A2708C" w:rsidRDefault="00A2708C">
      <w:pPr>
        <w:rPr>
          <w:color w:val="000000"/>
          <w:sz w:val="20"/>
        </w:rPr>
      </w:pPr>
      <w:r>
        <w:rPr>
          <w:color w:val="000000"/>
          <w:sz w:val="20"/>
        </w:rPr>
        <w:t>*Rates for 20</w:t>
      </w:r>
      <w:r w:rsidR="007A1A06">
        <w:rPr>
          <w:color w:val="000000"/>
          <w:sz w:val="20"/>
        </w:rPr>
        <w:t>11</w:t>
      </w:r>
      <w:r>
        <w:rPr>
          <w:color w:val="000000"/>
          <w:sz w:val="20"/>
        </w:rPr>
        <w:t xml:space="preserve"> General Schedule (</w:t>
      </w:r>
      <w:r w:rsidR="009918DD" w:rsidRPr="009918DD">
        <w:rPr>
          <w:color w:val="000000"/>
          <w:sz w:val="20"/>
        </w:rPr>
        <w:t>http://www.opm.gov/oca/11tables/pdf/gs_h.pdf</w:t>
      </w:r>
      <w:r>
        <w:rPr>
          <w:color w:val="000000"/>
          <w:sz w:val="20"/>
        </w:rPr>
        <w:t>)</w:t>
      </w:r>
    </w:p>
    <w:p w:rsidR="00A2708C" w:rsidRDefault="00A2708C">
      <w:pPr>
        <w:rPr>
          <w:color w:val="000000"/>
        </w:rPr>
      </w:pPr>
    </w:p>
    <w:p w:rsidR="00A2708C" w:rsidRPr="00461FE7" w:rsidRDefault="00A2708C">
      <w:r>
        <w:rPr>
          <w:color w:val="000000"/>
        </w:rPr>
        <w:tab/>
      </w:r>
      <w:r w:rsidRPr="00461FE7">
        <w:t xml:space="preserve">6(d).  Estimated Respondent Universe and Total Burden and Costs – The estimated annual average number of respondents per year for this information collection is </w:t>
      </w:r>
      <w:r w:rsidR="004F2E2E">
        <w:t>1007</w:t>
      </w:r>
      <w:r w:rsidRPr="00461FE7">
        <w:t xml:space="preserve"> respondents, with the average total number of responses per year estimated at </w:t>
      </w:r>
      <w:r w:rsidR="004F2E2E">
        <w:t>2,587</w:t>
      </w:r>
      <w:r w:rsidRPr="00461FE7">
        <w:t xml:space="preserve">.  </w:t>
      </w:r>
      <w:r w:rsidR="00372AB0">
        <w:t xml:space="preserve">Of these 1,007 respondents, </w:t>
      </w:r>
      <w:r w:rsidR="008E09E6">
        <w:t>43</w:t>
      </w:r>
      <w:r w:rsidR="00372AB0">
        <w:t xml:space="preserve"> are non-profits and </w:t>
      </w:r>
      <w:r w:rsidR="008E09E6">
        <w:t>964</w:t>
      </w:r>
      <w:r w:rsidR="00372AB0">
        <w:t xml:space="preserve"> are state, local, or tribal governments. </w:t>
      </w:r>
      <w:r w:rsidRPr="00461FE7">
        <w:t xml:space="preserve">As presented in Exhibit 2, the total average annual burden to respondents is </w:t>
      </w:r>
      <w:r w:rsidR="007136FB">
        <w:t>3,167</w:t>
      </w:r>
      <w:r w:rsidRPr="00461FE7">
        <w:t xml:space="preserve"> hours per </w:t>
      </w:r>
      <w:r w:rsidR="00585AFE" w:rsidRPr="00461FE7">
        <w:t xml:space="preserve">year at a cost of </w:t>
      </w:r>
      <w:r w:rsidR="004F2E2E">
        <w:t>$</w:t>
      </w:r>
      <w:r w:rsidR="00BC1FC2">
        <w:t>308,926</w:t>
      </w:r>
      <w:r w:rsidR="009918DD" w:rsidRPr="00461FE7">
        <w:t>.</w:t>
      </w:r>
    </w:p>
    <w:p w:rsidR="00A2708C" w:rsidRPr="00461FE7" w:rsidRDefault="00A2708C"/>
    <w:p w:rsidR="00A2708C" w:rsidRPr="00461FE7" w:rsidRDefault="00A2708C">
      <w:r w:rsidRPr="00461FE7">
        <w:tab/>
        <w:t>6(e).  Bottom-line burden hours and costs – Exhibits 2 and 3 provide the bottom-line burden hours and costs for respondents and EPA, respectively.  The hours and costs presented in these exhibits represent the average annual burden resulting from this information collection; the total burden hours and costs for the three-year period covered under this ICR is estimated to be three times the total hours and costs provided in each exhibit.</w:t>
      </w:r>
    </w:p>
    <w:p w:rsidR="00A2708C" w:rsidRPr="00461FE7" w:rsidRDefault="00A2708C"/>
    <w:p w:rsidR="00A2708C" w:rsidRPr="00461FE7" w:rsidRDefault="00A2708C">
      <w:r w:rsidRPr="00461FE7">
        <w:tab/>
        <w:t xml:space="preserve">6(f).  Reasons for Change in Burden – </w:t>
      </w:r>
      <w:r w:rsidR="00D9507A">
        <w:rPr>
          <w:szCs w:val="24"/>
        </w:rPr>
        <w:t>OMB requested the separation of private and government burden in the table and, as a result, there was an increase of $15 in the total cost</w:t>
      </w:r>
      <w:r w:rsidR="00BB59D8">
        <w:rPr>
          <w:szCs w:val="24"/>
        </w:rPr>
        <w:t xml:space="preserve"> to respondents</w:t>
      </w:r>
      <w:r w:rsidR="00D9507A">
        <w:rPr>
          <w:szCs w:val="24"/>
        </w:rPr>
        <w:t>. This small increase is due to rounding</w:t>
      </w:r>
      <w:r w:rsidR="00045E07">
        <w:rPr>
          <w:szCs w:val="24"/>
        </w:rPr>
        <w:t>.</w:t>
      </w:r>
      <w:r w:rsidR="00D9507A">
        <w:rPr>
          <w:szCs w:val="24"/>
        </w:rPr>
        <w:t>.</w:t>
      </w:r>
      <w:r w:rsidR="00080CFE">
        <w:t xml:space="preserve">The </w:t>
      </w:r>
      <w:r w:rsidR="00D9507A">
        <w:t>purpose of this revision is to present</w:t>
      </w:r>
      <w:r w:rsidR="00080CFE">
        <w:t xml:space="preserve"> the correct, revised forms. </w:t>
      </w:r>
    </w:p>
    <w:p w:rsidR="00A2708C" w:rsidRPr="00461FE7" w:rsidRDefault="00A2708C"/>
    <w:p w:rsidR="00A2708C" w:rsidRPr="00461FE7" w:rsidRDefault="00A2708C">
      <w:pPr>
        <w:widowControl w:val="0"/>
      </w:pPr>
      <w:r w:rsidRPr="00461FE7">
        <w:tab/>
        <w:t>6(g).  Burden Statement – The annual public reporting and recordkeeping burden for this collection of information is estimated to average</w:t>
      </w:r>
      <w:r w:rsidR="008F1AB9">
        <w:t xml:space="preserve"> 1.2 hours per response. For non-profit respondents the estimate is</w:t>
      </w:r>
      <w:r w:rsidRPr="00461FE7">
        <w:t xml:space="preserve"> </w:t>
      </w:r>
      <w:r w:rsidR="008F1AB9">
        <w:t>1.7</w:t>
      </w:r>
      <w:r w:rsidR="008F1AB9" w:rsidRPr="00461FE7">
        <w:t xml:space="preserve"> </w:t>
      </w:r>
      <w:r w:rsidRPr="00461FE7">
        <w:t>hours per response</w:t>
      </w:r>
      <w:r w:rsidR="008F1AB9">
        <w:t xml:space="preserve"> and for state/local/tribal government respondents the estimate is</w:t>
      </w:r>
      <w:r w:rsidRPr="00461FE7">
        <w:t xml:space="preserve"> </w:t>
      </w:r>
      <w:r w:rsidR="008E09E6">
        <w:t>1.2</w:t>
      </w:r>
      <w:r w:rsidRPr="00461FE7">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A2708C" w:rsidRPr="00461FE7" w:rsidRDefault="00A2708C">
      <w:pPr>
        <w:widowControl w:val="0"/>
      </w:pPr>
    </w:p>
    <w:p w:rsidR="00A2708C" w:rsidRPr="00525475" w:rsidRDefault="00A2708C" w:rsidP="00525475">
      <w:pPr>
        <w:rPr>
          <w:szCs w:val="24"/>
        </w:rPr>
      </w:pPr>
      <w:r w:rsidRPr="00461FE7">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sidRPr="00FE1B9B">
        <w:lastRenderedPageBreak/>
        <w:t xml:space="preserve">Docket ID No. </w:t>
      </w:r>
      <w:r w:rsidR="006C4F99" w:rsidRPr="00FE1B9B">
        <w:t>EPA-HQ-</w:t>
      </w:r>
      <w:r w:rsidRPr="00FE1B9B">
        <w:t>SFUND-</w:t>
      </w:r>
      <w:r w:rsidR="00651D72">
        <w:t>2012-0104</w:t>
      </w:r>
      <w:r w:rsidRPr="00461FE7">
        <w:t xml:space="preserve"> which is available for public viewing at the OSWER Docket in the EPA Docket Center (EPA/DC),  EPA West, Room </w:t>
      </w:r>
      <w:r w:rsidR="0025776A">
        <w:t>3334</w:t>
      </w:r>
      <w:r w:rsidRPr="00461FE7">
        <w:t>, 1301 Constitution Ave., NW, Washington, DC.  The EPA Docket Center Public Reading Room is open from 8:30 a.m. to 4:30 p.m., Monday through Friday, excluding legal holidays.  The telephone number for the Reading Room is (202) 566-1744, and the telephone number for the OSWER Docket is (202) 566-</w:t>
      </w:r>
      <w:r w:rsidR="006C4F99" w:rsidRPr="00461FE7">
        <w:t>0276</w:t>
      </w:r>
      <w:r w:rsidRPr="00461FE7">
        <w:t>.</w:t>
      </w:r>
      <w:r w:rsidR="00EE51A2" w:rsidRPr="00461FE7">
        <w:t xml:space="preserve"> </w:t>
      </w:r>
      <w:r w:rsidR="00EE51A2" w:rsidRPr="00461FE7">
        <w:rPr>
          <w:szCs w:val="24"/>
        </w:rPr>
        <w:t xml:space="preserve">Use EPA’s electronic docket and comment system at </w:t>
      </w:r>
      <w:hyperlink r:id="rId8" w:history="1">
        <w:r w:rsidR="00EE51A2" w:rsidRPr="00461FE7">
          <w:rPr>
            <w:rStyle w:val="Hyperlink"/>
            <w:color w:val="auto"/>
            <w:szCs w:val="24"/>
          </w:rPr>
          <w:t>www.regulations.gov</w:t>
        </w:r>
      </w:hyperlink>
      <w:r w:rsidR="00EE51A2" w:rsidRPr="00461FE7">
        <w:rPr>
          <w:szCs w:val="24"/>
        </w:rPr>
        <w:t xml:space="preserve">, to submit or view public comments, access the index listing of the contents of the docket, and to access those documents in the docket that are available electronically.  Once in the system, select “docket search,” then key in the docket ID number identified above.   Please note that EPA’s policy is that public comments, whether submitted electronically or in paper, will be made available for public viewing at </w:t>
      </w:r>
      <w:hyperlink r:id="rId9" w:history="1">
        <w:r w:rsidR="00EE51A2" w:rsidRPr="00461FE7">
          <w:rPr>
            <w:rStyle w:val="Hyperlink"/>
            <w:color w:val="auto"/>
            <w:szCs w:val="24"/>
          </w:rPr>
          <w:t>www.regulations.gov</w:t>
        </w:r>
      </w:hyperlink>
      <w:r w:rsidR="00EE51A2" w:rsidRPr="00461FE7">
        <w:rPr>
          <w:szCs w:val="24"/>
        </w:rPr>
        <w:t xml:space="preserve">  as EPA receives them and without change, unless the comment contains copyrighted material, </w:t>
      </w:r>
      <w:r w:rsidR="00036A66">
        <w:rPr>
          <w:szCs w:val="24"/>
        </w:rPr>
        <w:t>confidential business information (</w:t>
      </w:r>
      <w:r w:rsidR="00EE51A2" w:rsidRPr="00461FE7">
        <w:rPr>
          <w:szCs w:val="24"/>
        </w:rPr>
        <w:t>CBI</w:t>
      </w:r>
      <w:r w:rsidR="00036A66">
        <w:rPr>
          <w:szCs w:val="24"/>
        </w:rPr>
        <w:t>)</w:t>
      </w:r>
      <w:r w:rsidR="00EE51A2" w:rsidRPr="00461FE7">
        <w:rPr>
          <w:szCs w:val="24"/>
        </w:rPr>
        <w:t xml:space="preserve">, or other information whose public disclosure is restricted by statute.  For further information about the electronic docket, go to </w:t>
      </w:r>
      <w:hyperlink r:id="rId10" w:history="1">
        <w:r w:rsidR="00EE51A2" w:rsidRPr="00461FE7">
          <w:rPr>
            <w:rStyle w:val="Hyperlink"/>
            <w:color w:val="auto"/>
            <w:szCs w:val="24"/>
          </w:rPr>
          <w:t>www.regulations.gov</w:t>
        </w:r>
      </w:hyperlink>
      <w:r w:rsidR="00EE51A2" w:rsidRPr="00461FE7">
        <w:rPr>
          <w:szCs w:val="24"/>
        </w:rPr>
        <w:t xml:space="preserve">. </w:t>
      </w:r>
      <w:r w:rsidRPr="00461FE7">
        <w:t xml:space="preserve">Also, you can send comments to the Office of Information and Regulatory Affairs, Office of Management and Budget, 725 17th Street, NW, Washington, DC 20503, Attention: Desk Office for EPA.  Please include the </w:t>
      </w:r>
      <w:r w:rsidRPr="00FE1B9B">
        <w:t xml:space="preserve">EPA Docket ID No. </w:t>
      </w:r>
      <w:r w:rsidR="006C4F99" w:rsidRPr="00FE1B9B">
        <w:t>EPA-HQ-</w:t>
      </w:r>
      <w:r w:rsidRPr="00FE1B9B">
        <w:t>SFUND-</w:t>
      </w:r>
      <w:r w:rsidR="00651D72">
        <w:t>2012-0104</w:t>
      </w:r>
      <w:r w:rsidRPr="00461FE7">
        <w:t xml:space="preserve"> and OMB Control Number 2050-0192 in any correspon</w:t>
      </w:r>
      <w:r>
        <w:rPr>
          <w:color w:val="000000"/>
        </w:rPr>
        <w:t>dence.</w:t>
      </w:r>
    </w:p>
    <w:sectPr w:rsidR="00A2708C" w:rsidRPr="00525475" w:rsidSect="00950DF9">
      <w:headerReference w:type="even" r:id="rId11"/>
      <w:headerReference w:type="default" r:id="rId12"/>
      <w:footerReference w:type="even" r:id="rId13"/>
      <w:footerReference w:type="default" r:id="rId14"/>
      <w:endnotePr>
        <w:numFmt w:val="lowerLetter"/>
      </w:endnotePr>
      <w:type w:val="continuous"/>
      <w:pgSz w:w="12240" w:h="15840"/>
      <w:pgMar w:top="1680" w:right="1350" w:bottom="1270" w:left="1440" w:header="1440" w:footer="99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034" w:rsidRDefault="00067034">
      <w:r>
        <w:separator/>
      </w:r>
    </w:p>
  </w:endnote>
  <w:endnote w:type="continuationSeparator" w:id="0">
    <w:p w:rsidR="00067034" w:rsidRDefault="00067034">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431" w:rsidRDefault="006C6431">
    <w:pPr>
      <w:widowControl w:val="0"/>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right" w:pos="9648"/>
      </w:tabs>
      <w:ind w:left="-576"/>
      <w:jc w:val="center"/>
    </w:pPr>
    <w:r>
      <w:pgNum/>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431" w:rsidRDefault="006C6431">
    <w:pPr>
      <w:widowControl w:val="0"/>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right" w:pos="9648"/>
      </w:tabs>
      <w:spacing w:line="0" w:lineRule="atLeast"/>
      <w:ind w:left="-576"/>
      <w:jc w:val="center"/>
    </w:pPr>
    <w:r>
      <w:pgNum/>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034" w:rsidRDefault="00067034">
      <w:r>
        <w:separator/>
      </w:r>
    </w:p>
  </w:footnote>
  <w:footnote w:type="continuationSeparator" w:id="0">
    <w:p w:rsidR="00067034" w:rsidRDefault="00067034">
      <w:r>
        <w:continuationSeparator/>
      </w:r>
    </w:p>
  </w:footnote>
  <w:footnote w:id="1">
    <w:p w:rsidR="006C6431" w:rsidRDefault="006C6431">
      <w:pPr>
        <w:pStyle w:val="FootnoteText"/>
      </w:pPr>
      <w:r>
        <w:rPr>
          <w:rStyle w:val="FootnoteReference"/>
        </w:rPr>
        <w:footnoteRef/>
      </w:r>
      <w:r>
        <w:t xml:space="preserve"> For the purposes of the Brownfields grant program, EPA uses the definition of non-profit organization contained in Section 4(6) of the Federal Financial Assistance Management Improvement Act of 1999, Public Law 106-107.  </w:t>
      </w:r>
    </w:p>
  </w:footnote>
  <w:footnote w:id="2">
    <w:p w:rsidR="006C6431" w:rsidRDefault="006C6431">
      <w:pPr>
        <w:pStyle w:val="FootnoteText"/>
      </w:pPr>
      <w:r>
        <w:rPr>
          <w:rStyle w:val="FootnoteReference"/>
        </w:rPr>
        <w:footnoteRef/>
      </w:r>
      <w:r>
        <w:t xml:space="preserve">NAICS Codes as of 2002. Source: </w:t>
      </w:r>
      <w:hyperlink r:id="rId1" w:history="1">
        <w:r w:rsidRPr="00651058">
          <w:rPr>
            <w:rStyle w:val="Hyperlink"/>
          </w:rPr>
          <w:t>http://www.census.gov/epcd/naics02/naicod02.htm</w:t>
        </w:r>
      </w:hyperlink>
      <w:r>
        <w:t xml:space="preserve">  </w:t>
      </w:r>
    </w:p>
  </w:footnote>
  <w:footnote w:id="3">
    <w:p w:rsidR="006C6431" w:rsidRDefault="006C6431">
      <w:pPr>
        <w:widowControl w:val="0"/>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right" w:pos="9648"/>
        </w:tabs>
        <w:spacing w:before="240" w:after="240"/>
        <w:ind w:left="-144"/>
        <w:rPr>
          <w:color w:val="000000"/>
        </w:rPr>
      </w:pPr>
      <w:r>
        <w:rPr>
          <w:sz w:val="20"/>
        </w:rPr>
        <w:tab/>
      </w:r>
      <w:r>
        <w:rPr>
          <w:vertAlign w:val="superscript"/>
        </w:rPr>
        <w:t>4</w:t>
      </w:r>
      <w:r>
        <w:rPr>
          <w:sz w:val="20"/>
        </w:rPr>
        <w:t xml:space="preserve">See Bureau of Labor Statistics publication entitled “Employer costs per hour worked for employee compensation and costs as a percent of total compensation: State and local government, by occupational group, March 2005 </w:t>
      </w:r>
      <w:bookmarkStart w:id="2" w:name="OLE_LINK3"/>
      <w:bookmarkStart w:id="3" w:name="OLE_LINK4"/>
      <w:r>
        <w:rPr>
          <w:color w:val="0000FF"/>
          <w:sz w:val="20"/>
          <w:u w:val="single"/>
        </w:rPr>
        <w:t>http://stats.bls.gov/news.release/ecec.t04.htm#content</w:t>
      </w:r>
      <w:bookmarkEnd w:id="2"/>
      <w:bookmarkEnd w:id="3"/>
      <w:r>
        <w:rPr>
          <w:color w:val="0000FF"/>
          <w:sz w:val="20"/>
          <w:u w:val="single"/>
        </w:rPr>
        <w:t>.</w:t>
      </w:r>
      <w:r>
        <w:rPr>
          <w:color w:val="000000"/>
          <w:sz w:val="20"/>
        </w:rPr>
        <w:t xml:space="preserve">  </w:t>
      </w:r>
      <w:r w:rsidR="006C5229">
        <w:rPr>
          <w:color w:val="000000"/>
          <w:sz w:val="20"/>
        </w:rPr>
        <w:fldChar w:fldCharType="begin"/>
      </w:r>
      <w:r>
        <w:rPr>
          <w:color w:val="000000"/>
          <w:sz w:val="20"/>
        </w:rPr>
        <w:instrText xml:space="preserve"> ADVANCE \d 12</w:instrText>
      </w:r>
      <w:r w:rsidR="006C5229">
        <w:rPr>
          <w:color w:val="000000"/>
          <w:sz w:val="20"/>
        </w:rPr>
        <w:fldChar w:fldCharType="end"/>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431" w:rsidRDefault="006C6431">
    <w:pPr>
      <w:widowControl w:val="0"/>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right" w:pos="9648"/>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431" w:rsidRDefault="006C6431">
    <w:pPr>
      <w:widowControl w:val="0"/>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right" w:pos="9648"/>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1A6A7EB8"/>
    <w:multiLevelType w:val="hybridMultilevel"/>
    <w:tmpl w:val="5484A4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6AD78D3"/>
    <w:multiLevelType w:val="hybridMultilevel"/>
    <w:tmpl w:val="0B16A0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30C1118"/>
    <w:multiLevelType w:val="hybridMultilevel"/>
    <w:tmpl w:val="0F825D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DB32CFF"/>
    <w:multiLevelType w:val="hybridMultilevel"/>
    <w:tmpl w:val="84D0AC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76F6204E"/>
    <w:multiLevelType w:val="hybridMultilevel"/>
    <w:tmpl w:val="044A05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bordersDoNotSurroundHeader/>
  <w:bordersDoNotSurroundFooter/>
  <w:proofState w:spelling="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2226"/>
  </w:hdrShapeDefaults>
  <w:footnotePr>
    <w:footnote w:id="-1"/>
    <w:footnote w:id="0"/>
  </w:footnotePr>
  <w:endnotePr>
    <w:numFmt w:val="lowerLetter"/>
    <w:endnote w:id="-1"/>
    <w:endnote w:id="0"/>
  </w:endnotePr>
  <w:compat/>
  <w:rsids>
    <w:rsidRoot w:val="007D0B1A"/>
    <w:rsid w:val="000064BD"/>
    <w:rsid w:val="00007301"/>
    <w:rsid w:val="00024534"/>
    <w:rsid w:val="0002602E"/>
    <w:rsid w:val="000302A4"/>
    <w:rsid w:val="000364FF"/>
    <w:rsid w:val="00036A66"/>
    <w:rsid w:val="00044B08"/>
    <w:rsid w:val="000451F8"/>
    <w:rsid w:val="00045E07"/>
    <w:rsid w:val="0006021E"/>
    <w:rsid w:val="00062D00"/>
    <w:rsid w:val="00067034"/>
    <w:rsid w:val="0007209C"/>
    <w:rsid w:val="00080CFE"/>
    <w:rsid w:val="000909AE"/>
    <w:rsid w:val="000A164E"/>
    <w:rsid w:val="000A3647"/>
    <w:rsid w:val="000A466E"/>
    <w:rsid w:val="000B58A4"/>
    <w:rsid w:val="000D622A"/>
    <w:rsid w:val="000D7748"/>
    <w:rsid w:val="000D779D"/>
    <w:rsid w:val="000F7B54"/>
    <w:rsid w:val="00114348"/>
    <w:rsid w:val="00122840"/>
    <w:rsid w:val="001262E4"/>
    <w:rsid w:val="001340D0"/>
    <w:rsid w:val="00142C66"/>
    <w:rsid w:val="0014514D"/>
    <w:rsid w:val="001524A9"/>
    <w:rsid w:val="00152859"/>
    <w:rsid w:val="001533BC"/>
    <w:rsid w:val="00171A53"/>
    <w:rsid w:val="00182F90"/>
    <w:rsid w:val="00194E66"/>
    <w:rsid w:val="001A2DE9"/>
    <w:rsid w:val="001A4C25"/>
    <w:rsid w:val="001E0734"/>
    <w:rsid w:val="001E078D"/>
    <w:rsid w:val="001E285D"/>
    <w:rsid w:val="002007B1"/>
    <w:rsid w:val="002069EA"/>
    <w:rsid w:val="00217EDA"/>
    <w:rsid w:val="00226FAE"/>
    <w:rsid w:val="00230DF5"/>
    <w:rsid w:val="002344B1"/>
    <w:rsid w:val="0025271B"/>
    <w:rsid w:val="002573BD"/>
    <w:rsid w:val="0025776A"/>
    <w:rsid w:val="002624DC"/>
    <w:rsid w:val="0026763C"/>
    <w:rsid w:val="00270E39"/>
    <w:rsid w:val="00271FEA"/>
    <w:rsid w:val="002836E7"/>
    <w:rsid w:val="002935FD"/>
    <w:rsid w:val="0029687A"/>
    <w:rsid w:val="002972E1"/>
    <w:rsid w:val="002A6D29"/>
    <w:rsid w:val="002B499E"/>
    <w:rsid w:val="002E70A1"/>
    <w:rsid w:val="002F111B"/>
    <w:rsid w:val="002F3BF1"/>
    <w:rsid w:val="00304EEA"/>
    <w:rsid w:val="0031169E"/>
    <w:rsid w:val="00325E35"/>
    <w:rsid w:val="003304DF"/>
    <w:rsid w:val="0033633F"/>
    <w:rsid w:val="00336664"/>
    <w:rsid w:val="003367DE"/>
    <w:rsid w:val="00351AA9"/>
    <w:rsid w:val="00352CFC"/>
    <w:rsid w:val="00354370"/>
    <w:rsid w:val="00354579"/>
    <w:rsid w:val="00372AB0"/>
    <w:rsid w:val="003C79C7"/>
    <w:rsid w:val="003D5E99"/>
    <w:rsid w:val="003E5635"/>
    <w:rsid w:val="0040385B"/>
    <w:rsid w:val="0040581F"/>
    <w:rsid w:val="00407D2C"/>
    <w:rsid w:val="0041130B"/>
    <w:rsid w:val="00416806"/>
    <w:rsid w:val="004223F7"/>
    <w:rsid w:val="004552ED"/>
    <w:rsid w:val="00457BFF"/>
    <w:rsid w:val="00461FE7"/>
    <w:rsid w:val="00470C5A"/>
    <w:rsid w:val="00484C80"/>
    <w:rsid w:val="004939BE"/>
    <w:rsid w:val="004A09B2"/>
    <w:rsid w:val="004B2255"/>
    <w:rsid w:val="004B2357"/>
    <w:rsid w:val="004C64E0"/>
    <w:rsid w:val="004F2E2E"/>
    <w:rsid w:val="0051500F"/>
    <w:rsid w:val="0051529A"/>
    <w:rsid w:val="00525475"/>
    <w:rsid w:val="00527C50"/>
    <w:rsid w:val="0053376C"/>
    <w:rsid w:val="00537F84"/>
    <w:rsid w:val="00542D53"/>
    <w:rsid w:val="005456CA"/>
    <w:rsid w:val="00545B76"/>
    <w:rsid w:val="00554AC5"/>
    <w:rsid w:val="005839DF"/>
    <w:rsid w:val="00585AFE"/>
    <w:rsid w:val="00593B2D"/>
    <w:rsid w:val="005A3A98"/>
    <w:rsid w:val="005B1EB7"/>
    <w:rsid w:val="005C1A51"/>
    <w:rsid w:val="005D4F8A"/>
    <w:rsid w:val="005D6497"/>
    <w:rsid w:val="005E22CA"/>
    <w:rsid w:val="005E3E6E"/>
    <w:rsid w:val="00602F45"/>
    <w:rsid w:val="00623728"/>
    <w:rsid w:val="00626692"/>
    <w:rsid w:val="00630264"/>
    <w:rsid w:val="00630E0B"/>
    <w:rsid w:val="00633793"/>
    <w:rsid w:val="00640E45"/>
    <w:rsid w:val="00647C05"/>
    <w:rsid w:val="00651D72"/>
    <w:rsid w:val="00653165"/>
    <w:rsid w:val="006B3A8F"/>
    <w:rsid w:val="006B7A45"/>
    <w:rsid w:val="006C4AE1"/>
    <w:rsid w:val="006C4F99"/>
    <w:rsid w:val="006C5229"/>
    <w:rsid w:val="006C5B22"/>
    <w:rsid w:val="006C6431"/>
    <w:rsid w:val="006D3AC1"/>
    <w:rsid w:val="006F2AE8"/>
    <w:rsid w:val="007136FB"/>
    <w:rsid w:val="00720528"/>
    <w:rsid w:val="00747865"/>
    <w:rsid w:val="0075329A"/>
    <w:rsid w:val="00757902"/>
    <w:rsid w:val="00760145"/>
    <w:rsid w:val="007716DC"/>
    <w:rsid w:val="00772F2D"/>
    <w:rsid w:val="00776F7A"/>
    <w:rsid w:val="00785BE7"/>
    <w:rsid w:val="0079617D"/>
    <w:rsid w:val="007A1A06"/>
    <w:rsid w:val="007A7B9A"/>
    <w:rsid w:val="007B3701"/>
    <w:rsid w:val="007C22AD"/>
    <w:rsid w:val="007C3670"/>
    <w:rsid w:val="007C4431"/>
    <w:rsid w:val="007D0B1A"/>
    <w:rsid w:val="007D448D"/>
    <w:rsid w:val="007D790D"/>
    <w:rsid w:val="007D7C60"/>
    <w:rsid w:val="008149E5"/>
    <w:rsid w:val="008616BA"/>
    <w:rsid w:val="00861A10"/>
    <w:rsid w:val="00864BC3"/>
    <w:rsid w:val="00875349"/>
    <w:rsid w:val="00884F2B"/>
    <w:rsid w:val="008A6722"/>
    <w:rsid w:val="008A6D37"/>
    <w:rsid w:val="008C0E66"/>
    <w:rsid w:val="008C4092"/>
    <w:rsid w:val="008D0FAE"/>
    <w:rsid w:val="008E09E6"/>
    <w:rsid w:val="008E51E6"/>
    <w:rsid w:val="008F1AB9"/>
    <w:rsid w:val="008F330C"/>
    <w:rsid w:val="00917B9C"/>
    <w:rsid w:val="00932656"/>
    <w:rsid w:val="009379C1"/>
    <w:rsid w:val="009405B4"/>
    <w:rsid w:val="00940935"/>
    <w:rsid w:val="0094472C"/>
    <w:rsid w:val="00950DF9"/>
    <w:rsid w:val="0095147E"/>
    <w:rsid w:val="00951767"/>
    <w:rsid w:val="0097356A"/>
    <w:rsid w:val="009745EC"/>
    <w:rsid w:val="009918DD"/>
    <w:rsid w:val="009A497C"/>
    <w:rsid w:val="009D49F4"/>
    <w:rsid w:val="009D7265"/>
    <w:rsid w:val="009D7777"/>
    <w:rsid w:val="00A14C2D"/>
    <w:rsid w:val="00A21A29"/>
    <w:rsid w:val="00A2212B"/>
    <w:rsid w:val="00A2708C"/>
    <w:rsid w:val="00A27314"/>
    <w:rsid w:val="00A545AA"/>
    <w:rsid w:val="00A56257"/>
    <w:rsid w:val="00A77A7A"/>
    <w:rsid w:val="00A80BDC"/>
    <w:rsid w:val="00AB7B67"/>
    <w:rsid w:val="00AC10DF"/>
    <w:rsid w:val="00AD14A9"/>
    <w:rsid w:val="00AE37F8"/>
    <w:rsid w:val="00AF48BF"/>
    <w:rsid w:val="00B13D4D"/>
    <w:rsid w:val="00B25B7A"/>
    <w:rsid w:val="00B34E78"/>
    <w:rsid w:val="00B34F46"/>
    <w:rsid w:val="00B46BB3"/>
    <w:rsid w:val="00B55E73"/>
    <w:rsid w:val="00B713F3"/>
    <w:rsid w:val="00B7669F"/>
    <w:rsid w:val="00B90302"/>
    <w:rsid w:val="00B97174"/>
    <w:rsid w:val="00BA2667"/>
    <w:rsid w:val="00BA2F56"/>
    <w:rsid w:val="00BB59D8"/>
    <w:rsid w:val="00BC004E"/>
    <w:rsid w:val="00BC1045"/>
    <w:rsid w:val="00BC1FC2"/>
    <w:rsid w:val="00BD5C11"/>
    <w:rsid w:val="00BF4B18"/>
    <w:rsid w:val="00C10380"/>
    <w:rsid w:val="00C262BE"/>
    <w:rsid w:val="00C27C04"/>
    <w:rsid w:val="00C3634E"/>
    <w:rsid w:val="00C80878"/>
    <w:rsid w:val="00C83BD5"/>
    <w:rsid w:val="00C932F2"/>
    <w:rsid w:val="00C962BF"/>
    <w:rsid w:val="00CA30DC"/>
    <w:rsid w:val="00CC3502"/>
    <w:rsid w:val="00CC6AD3"/>
    <w:rsid w:val="00CD345E"/>
    <w:rsid w:val="00CD3D1C"/>
    <w:rsid w:val="00CD5927"/>
    <w:rsid w:val="00CE1005"/>
    <w:rsid w:val="00CE6D25"/>
    <w:rsid w:val="00CF150A"/>
    <w:rsid w:val="00D13236"/>
    <w:rsid w:val="00D27D92"/>
    <w:rsid w:val="00D408B0"/>
    <w:rsid w:val="00D541BF"/>
    <w:rsid w:val="00D61F43"/>
    <w:rsid w:val="00D6379F"/>
    <w:rsid w:val="00D74AE4"/>
    <w:rsid w:val="00D848DA"/>
    <w:rsid w:val="00D84E87"/>
    <w:rsid w:val="00D9507A"/>
    <w:rsid w:val="00DB4B7D"/>
    <w:rsid w:val="00DB5192"/>
    <w:rsid w:val="00DB6549"/>
    <w:rsid w:val="00DC1648"/>
    <w:rsid w:val="00DE11EF"/>
    <w:rsid w:val="00DE5704"/>
    <w:rsid w:val="00E022A8"/>
    <w:rsid w:val="00E16C66"/>
    <w:rsid w:val="00E25212"/>
    <w:rsid w:val="00E467BB"/>
    <w:rsid w:val="00E85862"/>
    <w:rsid w:val="00E86701"/>
    <w:rsid w:val="00EA527B"/>
    <w:rsid w:val="00EA6C1E"/>
    <w:rsid w:val="00EB383F"/>
    <w:rsid w:val="00EB52AF"/>
    <w:rsid w:val="00EB5AA3"/>
    <w:rsid w:val="00EC2C08"/>
    <w:rsid w:val="00EC56F2"/>
    <w:rsid w:val="00EE51A2"/>
    <w:rsid w:val="00F01E32"/>
    <w:rsid w:val="00F14AC5"/>
    <w:rsid w:val="00F15617"/>
    <w:rsid w:val="00F23EC2"/>
    <w:rsid w:val="00F2410A"/>
    <w:rsid w:val="00F327DF"/>
    <w:rsid w:val="00F3334F"/>
    <w:rsid w:val="00F446D0"/>
    <w:rsid w:val="00F554E6"/>
    <w:rsid w:val="00F66648"/>
    <w:rsid w:val="00F979A4"/>
    <w:rsid w:val="00FA2B0B"/>
    <w:rsid w:val="00FA5D50"/>
    <w:rsid w:val="00FB438D"/>
    <w:rsid w:val="00FC12BA"/>
    <w:rsid w:val="00FC5AF0"/>
    <w:rsid w:val="00FE17FE"/>
    <w:rsid w:val="00FE1B9B"/>
    <w:rsid w:val="00FF41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date"/>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DF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E51A2"/>
    <w:rPr>
      <w:color w:val="0000FF"/>
      <w:u w:val="single"/>
    </w:rPr>
  </w:style>
  <w:style w:type="paragraph" w:customStyle="1" w:styleId="level11">
    <w:name w:val="_level1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level21">
    <w:name w:val="_level2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style>
  <w:style w:type="paragraph" w:customStyle="1" w:styleId="level31">
    <w:name w:val="_level3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style>
  <w:style w:type="paragraph" w:customStyle="1" w:styleId="level41">
    <w:name w:val="_level4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pPr>
  </w:style>
  <w:style w:type="paragraph" w:customStyle="1" w:styleId="level51">
    <w:name w:val="_level5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style>
  <w:style w:type="paragraph" w:customStyle="1" w:styleId="level61">
    <w:name w:val="_level6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360"/>
    </w:pPr>
  </w:style>
  <w:style w:type="paragraph" w:customStyle="1" w:styleId="level71">
    <w:name w:val="_level7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style>
  <w:style w:type="paragraph" w:customStyle="1" w:styleId="level81">
    <w:name w:val="_level8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360"/>
    </w:pPr>
  </w:style>
  <w:style w:type="paragraph" w:customStyle="1" w:styleId="level91">
    <w:name w:val="_level9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40" w:hanging="360"/>
    </w:pPr>
  </w:style>
  <w:style w:type="paragraph" w:customStyle="1" w:styleId="Level1">
    <w:name w:val="Level 1"/>
    <w:basedOn w:val="Normal"/>
    <w:rsid w:val="00950DF9"/>
    <w:pPr>
      <w:widowControl w:val="0"/>
    </w:pPr>
  </w:style>
  <w:style w:type="paragraph" w:customStyle="1" w:styleId="Level2">
    <w:name w:val="Level 2"/>
    <w:basedOn w:val="Normal"/>
    <w:rsid w:val="00950DF9"/>
    <w:pPr>
      <w:widowControl w:val="0"/>
    </w:pPr>
  </w:style>
  <w:style w:type="paragraph" w:customStyle="1" w:styleId="Level3">
    <w:name w:val="Level 3"/>
    <w:basedOn w:val="Normal"/>
    <w:rsid w:val="00950DF9"/>
    <w:pPr>
      <w:widowControl w:val="0"/>
    </w:pPr>
  </w:style>
  <w:style w:type="paragraph" w:customStyle="1" w:styleId="Level4">
    <w:name w:val="Level 4"/>
    <w:basedOn w:val="Normal"/>
    <w:rsid w:val="00950DF9"/>
    <w:pPr>
      <w:widowControl w:val="0"/>
    </w:pPr>
  </w:style>
  <w:style w:type="paragraph" w:customStyle="1" w:styleId="Level5">
    <w:name w:val="Level 5"/>
    <w:basedOn w:val="Normal"/>
    <w:rsid w:val="00950DF9"/>
    <w:pPr>
      <w:widowControl w:val="0"/>
    </w:pPr>
  </w:style>
  <w:style w:type="paragraph" w:customStyle="1" w:styleId="Level6">
    <w:name w:val="Level 6"/>
    <w:basedOn w:val="Normal"/>
    <w:rsid w:val="00950DF9"/>
    <w:pPr>
      <w:widowControl w:val="0"/>
    </w:pPr>
  </w:style>
  <w:style w:type="paragraph" w:customStyle="1" w:styleId="Level7">
    <w:name w:val="Level 7"/>
    <w:basedOn w:val="Normal"/>
    <w:rsid w:val="00950DF9"/>
    <w:pPr>
      <w:widowControl w:val="0"/>
    </w:pPr>
  </w:style>
  <w:style w:type="paragraph" w:customStyle="1" w:styleId="Level8">
    <w:name w:val="Level 8"/>
    <w:basedOn w:val="Normal"/>
    <w:rsid w:val="00950DF9"/>
    <w:pPr>
      <w:widowControl w:val="0"/>
    </w:pPr>
  </w:style>
  <w:style w:type="paragraph" w:customStyle="1" w:styleId="Level9">
    <w:name w:val="Level 9"/>
    <w:basedOn w:val="Normal"/>
    <w:rsid w:val="00950DF9"/>
    <w:pPr>
      <w:widowControl w:val="0"/>
    </w:pPr>
  </w:style>
  <w:style w:type="paragraph" w:customStyle="1" w:styleId="levsl11">
    <w:name w:val="_levsl1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levsl21">
    <w:name w:val="_levsl2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style>
  <w:style w:type="paragraph" w:customStyle="1" w:styleId="levsl31">
    <w:name w:val="_levsl3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style>
  <w:style w:type="paragraph" w:customStyle="1" w:styleId="levsl41">
    <w:name w:val="_levsl4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pPr>
  </w:style>
  <w:style w:type="paragraph" w:customStyle="1" w:styleId="levsl51">
    <w:name w:val="_levsl5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style>
  <w:style w:type="paragraph" w:customStyle="1" w:styleId="levsl61">
    <w:name w:val="_levsl6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360"/>
    </w:pPr>
  </w:style>
  <w:style w:type="paragraph" w:customStyle="1" w:styleId="levsl71">
    <w:name w:val="_levsl7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style>
  <w:style w:type="paragraph" w:customStyle="1" w:styleId="levsl81">
    <w:name w:val="_levsl8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360"/>
    </w:pPr>
  </w:style>
  <w:style w:type="paragraph" w:customStyle="1" w:styleId="levsl91">
    <w:name w:val="_levsl9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40" w:hanging="360"/>
    </w:pPr>
  </w:style>
  <w:style w:type="paragraph" w:customStyle="1" w:styleId="levnl11">
    <w:name w:val="_levnl1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levnl21">
    <w:name w:val="_levnl2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style>
  <w:style w:type="paragraph" w:customStyle="1" w:styleId="levnl31">
    <w:name w:val="_levnl3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style>
  <w:style w:type="paragraph" w:customStyle="1" w:styleId="levnl41">
    <w:name w:val="_levnl4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pPr>
  </w:style>
  <w:style w:type="paragraph" w:customStyle="1" w:styleId="levnl51">
    <w:name w:val="_levnl5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style>
  <w:style w:type="paragraph" w:customStyle="1" w:styleId="levnl61">
    <w:name w:val="_levnl6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360"/>
    </w:pPr>
  </w:style>
  <w:style w:type="paragraph" w:customStyle="1" w:styleId="levnl71">
    <w:name w:val="_levnl7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style>
  <w:style w:type="paragraph" w:customStyle="1" w:styleId="levnl81">
    <w:name w:val="_levnl8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360"/>
    </w:pPr>
  </w:style>
  <w:style w:type="paragraph" w:customStyle="1" w:styleId="levnl91">
    <w:name w:val="_levnl9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40" w:hanging="360"/>
    </w:pPr>
  </w:style>
  <w:style w:type="character" w:customStyle="1" w:styleId="DefaultPar2">
    <w:name w:val="Default Par2"/>
    <w:rsid w:val="00950DF9"/>
    <w:rPr>
      <w:sz w:val="20"/>
    </w:rPr>
  </w:style>
  <w:style w:type="paragraph" w:customStyle="1" w:styleId="Level110">
    <w:name w:val="Level 11"/>
    <w:basedOn w:val="Normal"/>
    <w:rsid w:val="00950D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style>
  <w:style w:type="character" w:customStyle="1" w:styleId="DefaultPar1">
    <w:name w:val="Default Par1"/>
    <w:rsid w:val="00950DF9"/>
    <w:rPr>
      <w:sz w:val="20"/>
    </w:rPr>
  </w:style>
  <w:style w:type="paragraph" w:customStyle="1" w:styleId="level10">
    <w:name w:val="_level1"/>
    <w:basedOn w:val="Normal"/>
    <w:rsid w:val="00950DF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360" w:hanging="360"/>
      <w:jc w:val="both"/>
    </w:pPr>
  </w:style>
  <w:style w:type="paragraph" w:customStyle="1" w:styleId="level20">
    <w:name w:val="_level2"/>
    <w:basedOn w:val="Normal"/>
    <w:rsid w:val="00950D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720" w:hanging="360"/>
      <w:jc w:val="both"/>
    </w:pPr>
  </w:style>
  <w:style w:type="paragraph" w:customStyle="1" w:styleId="level30">
    <w:name w:val="_level3"/>
    <w:basedOn w:val="Normal"/>
    <w:rsid w:val="00950DF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1080" w:hanging="360"/>
      <w:jc w:val="both"/>
    </w:pPr>
  </w:style>
  <w:style w:type="paragraph" w:customStyle="1" w:styleId="level40">
    <w:name w:val="_level4"/>
    <w:basedOn w:val="Normal"/>
    <w:rsid w:val="00950DF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1440" w:hanging="360"/>
      <w:jc w:val="both"/>
    </w:pPr>
  </w:style>
  <w:style w:type="paragraph" w:customStyle="1" w:styleId="level50">
    <w:name w:val="_level5"/>
    <w:basedOn w:val="Normal"/>
    <w:rsid w:val="00950DF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1800" w:hanging="360"/>
      <w:jc w:val="both"/>
    </w:pPr>
  </w:style>
  <w:style w:type="paragraph" w:customStyle="1" w:styleId="level60">
    <w:name w:val="_level6"/>
    <w:basedOn w:val="Normal"/>
    <w:rsid w:val="00950DF9"/>
    <w:pPr>
      <w:widowControl w:val="0"/>
      <w:tabs>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2160" w:hanging="360"/>
      <w:jc w:val="both"/>
    </w:pPr>
  </w:style>
  <w:style w:type="paragraph" w:customStyle="1" w:styleId="level70">
    <w:name w:val="_level7"/>
    <w:basedOn w:val="Normal"/>
    <w:rsid w:val="00950DF9"/>
    <w:pPr>
      <w:widowControl w:val="0"/>
      <w:tabs>
        <w:tab w:val="left" w:pos="2520"/>
        <w:tab w:val="left" w:pos="2880"/>
        <w:tab w:val="left" w:pos="3600"/>
        <w:tab w:val="left" w:pos="4320"/>
        <w:tab w:val="left" w:pos="5040"/>
        <w:tab w:val="left" w:pos="5760"/>
        <w:tab w:val="left" w:pos="6480"/>
        <w:tab w:val="left" w:pos="7200"/>
        <w:tab w:val="left" w:pos="7920"/>
        <w:tab w:val="right" w:pos="8640"/>
        <w:tab w:val="left" w:pos="9360"/>
        <w:tab w:val="left" w:pos="10080"/>
      </w:tabs>
      <w:ind w:left="2520" w:hanging="360"/>
      <w:jc w:val="both"/>
    </w:pPr>
  </w:style>
  <w:style w:type="paragraph" w:customStyle="1" w:styleId="level80">
    <w:name w:val="_level8"/>
    <w:basedOn w:val="Normal"/>
    <w:rsid w:val="00950DF9"/>
    <w:pPr>
      <w:widowControl w:val="0"/>
      <w:tabs>
        <w:tab w:val="left" w:pos="2880"/>
        <w:tab w:val="left" w:pos="3600"/>
        <w:tab w:val="left" w:pos="4320"/>
        <w:tab w:val="left" w:pos="5040"/>
        <w:tab w:val="left" w:pos="5760"/>
        <w:tab w:val="left" w:pos="6480"/>
        <w:tab w:val="left" w:pos="7200"/>
        <w:tab w:val="left" w:pos="7920"/>
        <w:tab w:val="right" w:pos="8640"/>
        <w:tab w:val="left" w:pos="9360"/>
        <w:tab w:val="left" w:pos="10080"/>
      </w:tabs>
      <w:ind w:left="2880" w:hanging="360"/>
      <w:jc w:val="both"/>
    </w:pPr>
  </w:style>
  <w:style w:type="paragraph" w:customStyle="1" w:styleId="level90">
    <w:name w:val="_level9"/>
    <w:basedOn w:val="Normal"/>
    <w:rsid w:val="00950DF9"/>
    <w:pPr>
      <w:widowControl w:val="0"/>
      <w:tabs>
        <w:tab w:val="left" w:pos="3240"/>
        <w:tab w:val="left" w:pos="3600"/>
        <w:tab w:val="left" w:pos="4320"/>
        <w:tab w:val="left" w:pos="5040"/>
        <w:tab w:val="left" w:pos="5760"/>
        <w:tab w:val="left" w:pos="6480"/>
        <w:tab w:val="left" w:pos="7200"/>
        <w:tab w:val="left" w:pos="7920"/>
        <w:tab w:val="right" w:pos="8640"/>
        <w:tab w:val="left" w:pos="9360"/>
        <w:tab w:val="left" w:pos="10080"/>
      </w:tabs>
      <w:ind w:left="3240" w:hanging="360"/>
      <w:jc w:val="both"/>
    </w:pPr>
  </w:style>
  <w:style w:type="paragraph" w:customStyle="1" w:styleId="levsl1">
    <w:name w:val="_levsl1"/>
    <w:basedOn w:val="Normal"/>
    <w:rsid w:val="00950DF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360" w:hanging="360"/>
      <w:jc w:val="both"/>
    </w:pPr>
  </w:style>
  <w:style w:type="paragraph" w:customStyle="1" w:styleId="levsl2">
    <w:name w:val="_levsl2"/>
    <w:basedOn w:val="Normal"/>
    <w:rsid w:val="00950D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720" w:hanging="360"/>
      <w:jc w:val="both"/>
    </w:pPr>
  </w:style>
  <w:style w:type="paragraph" w:customStyle="1" w:styleId="levsl3">
    <w:name w:val="_levsl3"/>
    <w:basedOn w:val="Normal"/>
    <w:rsid w:val="00950DF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1080" w:hanging="360"/>
      <w:jc w:val="both"/>
    </w:pPr>
  </w:style>
  <w:style w:type="paragraph" w:customStyle="1" w:styleId="levsl4">
    <w:name w:val="_levsl4"/>
    <w:basedOn w:val="Normal"/>
    <w:rsid w:val="00950DF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1440" w:hanging="360"/>
      <w:jc w:val="both"/>
    </w:pPr>
  </w:style>
  <w:style w:type="paragraph" w:customStyle="1" w:styleId="levsl5">
    <w:name w:val="_levsl5"/>
    <w:basedOn w:val="Normal"/>
    <w:rsid w:val="00950DF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1800" w:hanging="360"/>
      <w:jc w:val="both"/>
    </w:pPr>
  </w:style>
  <w:style w:type="paragraph" w:customStyle="1" w:styleId="levsl6">
    <w:name w:val="_levsl6"/>
    <w:basedOn w:val="Normal"/>
    <w:rsid w:val="00950DF9"/>
    <w:pPr>
      <w:widowControl w:val="0"/>
      <w:tabs>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2160" w:hanging="360"/>
      <w:jc w:val="both"/>
    </w:pPr>
  </w:style>
  <w:style w:type="paragraph" w:customStyle="1" w:styleId="levsl7">
    <w:name w:val="_levsl7"/>
    <w:basedOn w:val="Normal"/>
    <w:rsid w:val="00950DF9"/>
    <w:pPr>
      <w:widowControl w:val="0"/>
      <w:tabs>
        <w:tab w:val="left" w:pos="2520"/>
        <w:tab w:val="left" w:pos="2880"/>
        <w:tab w:val="left" w:pos="3600"/>
        <w:tab w:val="left" w:pos="4320"/>
        <w:tab w:val="left" w:pos="5040"/>
        <w:tab w:val="left" w:pos="5760"/>
        <w:tab w:val="left" w:pos="6480"/>
        <w:tab w:val="left" w:pos="7200"/>
        <w:tab w:val="left" w:pos="7920"/>
        <w:tab w:val="right" w:pos="8640"/>
        <w:tab w:val="left" w:pos="9360"/>
        <w:tab w:val="left" w:pos="10080"/>
      </w:tabs>
      <w:ind w:left="2520" w:hanging="360"/>
      <w:jc w:val="both"/>
    </w:pPr>
  </w:style>
  <w:style w:type="paragraph" w:customStyle="1" w:styleId="levsl8">
    <w:name w:val="_levsl8"/>
    <w:basedOn w:val="Normal"/>
    <w:rsid w:val="00950DF9"/>
    <w:pPr>
      <w:widowControl w:val="0"/>
      <w:tabs>
        <w:tab w:val="left" w:pos="2880"/>
        <w:tab w:val="left" w:pos="3600"/>
        <w:tab w:val="left" w:pos="4320"/>
        <w:tab w:val="left" w:pos="5040"/>
        <w:tab w:val="left" w:pos="5760"/>
        <w:tab w:val="left" w:pos="6480"/>
        <w:tab w:val="left" w:pos="7200"/>
        <w:tab w:val="left" w:pos="7920"/>
        <w:tab w:val="right" w:pos="8640"/>
        <w:tab w:val="left" w:pos="9360"/>
        <w:tab w:val="left" w:pos="10080"/>
      </w:tabs>
      <w:ind w:left="2880" w:hanging="360"/>
      <w:jc w:val="both"/>
    </w:pPr>
  </w:style>
  <w:style w:type="paragraph" w:customStyle="1" w:styleId="levsl9">
    <w:name w:val="_levsl9"/>
    <w:basedOn w:val="Normal"/>
    <w:rsid w:val="00950DF9"/>
    <w:pPr>
      <w:widowControl w:val="0"/>
      <w:tabs>
        <w:tab w:val="left" w:pos="3240"/>
        <w:tab w:val="left" w:pos="3600"/>
        <w:tab w:val="left" w:pos="4320"/>
        <w:tab w:val="left" w:pos="5040"/>
        <w:tab w:val="left" w:pos="5760"/>
        <w:tab w:val="left" w:pos="6480"/>
        <w:tab w:val="left" w:pos="7200"/>
        <w:tab w:val="left" w:pos="7920"/>
        <w:tab w:val="right" w:pos="8640"/>
        <w:tab w:val="left" w:pos="9360"/>
        <w:tab w:val="left" w:pos="10080"/>
      </w:tabs>
      <w:ind w:left="3240" w:hanging="360"/>
      <w:jc w:val="both"/>
    </w:pPr>
  </w:style>
  <w:style w:type="paragraph" w:customStyle="1" w:styleId="levnl1">
    <w:name w:val="_levnl1"/>
    <w:basedOn w:val="Normal"/>
    <w:rsid w:val="00950DF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360" w:hanging="360"/>
      <w:jc w:val="both"/>
    </w:pPr>
  </w:style>
  <w:style w:type="paragraph" w:customStyle="1" w:styleId="levnl2">
    <w:name w:val="_levnl2"/>
    <w:basedOn w:val="Normal"/>
    <w:rsid w:val="00950D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720" w:hanging="360"/>
      <w:jc w:val="both"/>
    </w:pPr>
  </w:style>
  <w:style w:type="paragraph" w:customStyle="1" w:styleId="levnl3">
    <w:name w:val="_levnl3"/>
    <w:basedOn w:val="Normal"/>
    <w:rsid w:val="00950DF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1080" w:hanging="360"/>
      <w:jc w:val="both"/>
    </w:pPr>
  </w:style>
  <w:style w:type="paragraph" w:customStyle="1" w:styleId="levnl4">
    <w:name w:val="_levnl4"/>
    <w:basedOn w:val="Normal"/>
    <w:rsid w:val="00950DF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1440" w:hanging="360"/>
      <w:jc w:val="both"/>
    </w:pPr>
  </w:style>
  <w:style w:type="paragraph" w:customStyle="1" w:styleId="levnl5">
    <w:name w:val="_levnl5"/>
    <w:basedOn w:val="Normal"/>
    <w:rsid w:val="00950DF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1800" w:hanging="360"/>
      <w:jc w:val="both"/>
    </w:pPr>
  </w:style>
  <w:style w:type="paragraph" w:customStyle="1" w:styleId="levnl6">
    <w:name w:val="_levnl6"/>
    <w:basedOn w:val="Normal"/>
    <w:rsid w:val="00950DF9"/>
    <w:pPr>
      <w:widowControl w:val="0"/>
      <w:tabs>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2160" w:hanging="360"/>
      <w:jc w:val="both"/>
    </w:pPr>
  </w:style>
  <w:style w:type="paragraph" w:customStyle="1" w:styleId="levnl7">
    <w:name w:val="_levnl7"/>
    <w:basedOn w:val="Normal"/>
    <w:rsid w:val="00950DF9"/>
    <w:pPr>
      <w:widowControl w:val="0"/>
      <w:tabs>
        <w:tab w:val="left" w:pos="2520"/>
        <w:tab w:val="left" w:pos="2880"/>
        <w:tab w:val="left" w:pos="3600"/>
        <w:tab w:val="left" w:pos="4320"/>
        <w:tab w:val="left" w:pos="5040"/>
        <w:tab w:val="left" w:pos="5760"/>
        <w:tab w:val="left" w:pos="6480"/>
        <w:tab w:val="left" w:pos="7200"/>
        <w:tab w:val="left" w:pos="7920"/>
        <w:tab w:val="right" w:pos="8640"/>
        <w:tab w:val="left" w:pos="9360"/>
        <w:tab w:val="left" w:pos="10080"/>
      </w:tabs>
      <w:ind w:left="2520" w:hanging="360"/>
      <w:jc w:val="both"/>
    </w:pPr>
  </w:style>
  <w:style w:type="paragraph" w:customStyle="1" w:styleId="levnl8">
    <w:name w:val="_levnl8"/>
    <w:basedOn w:val="Normal"/>
    <w:rsid w:val="00950DF9"/>
    <w:pPr>
      <w:widowControl w:val="0"/>
      <w:tabs>
        <w:tab w:val="left" w:pos="2880"/>
        <w:tab w:val="left" w:pos="3600"/>
        <w:tab w:val="left" w:pos="4320"/>
        <w:tab w:val="left" w:pos="5040"/>
        <w:tab w:val="left" w:pos="5760"/>
        <w:tab w:val="left" w:pos="6480"/>
        <w:tab w:val="left" w:pos="7200"/>
        <w:tab w:val="left" w:pos="7920"/>
        <w:tab w:val="right" w:pos="8640"/>
        <w:tab w:val="left" w:pos="9360"/>
        <w:tab w:val="left" w:pos="10080"/>
      </w:tabs>
      <w:ind w:left="2880" w:hanging="360"/>
      <w:jc w:val="both"/>
    </w:pPr>
  </w:style>
  <w:style w:type="paragraph" w:customStyle="1" w:styleId="levnl9">
    <w:name w:val="_levnl9"/>
    <w:basedOn w:val="Normal"/>
    <w:rsid w:val="00950DF9"/>
    <w:pPr>
      <w:widowControl w:val="0"/>
      <w:tabs>
        <w:tab w:val="left" w:pos="3240"/>
        <w:tab w:val="left" w:pos="3600"/>
        <w:tab w:val="left" w:pos="4320"/>
        <w:tab w:val="left" w:pos="5040"/>
        <w:tab w:val="left" w:pos="5760"/>
        <w:tab w:val="left" w:pos="6480"/>
        <w:tab w:val="left" w:pos="7200"/>
        <w:tab w:val="left" w:pos="7920"/>
        <w:tab w:val="right" w:pos="8640"/>
        <w:tab w:val="left" w:pos="9360"/>
        <w:tab w:val="left" w:pos="10080"/>
      </w:tabs>
      <w:ind w:left="3240" w:hanging="360"/>
      <w:jc w:val="both"/>
    </w:pPr>
  </w:style>
  <w:style w:type="character" w:customStyle="1" w:styleId="DefaultPara">
    <w:name w:val="Default Para"/>
    <w:rsid w:val="00950DF9"/>
    <w:rPr>
      <w:sz w:val="20"/>
    </w:rPr>
  </w:style>
  <w:style w:type="paragraph" w:customStyle="1" w:styleId="BodyTextIn">
    <w:name w:val="Body Text In"/>
    <w:basedOn w:val="Normal"/>
    <w:rsid w:val="00950DF9"/>
    <w:pPr>
      <w:widowControl w:val="0"/>
      <w:ind w:firstLine="720"/>
      <w:jc w:val="both"/>
    </w:pPr>
  </w:style>
  <w:style w:type="character" w:customStyle="1" w:styleId="WP9Hyperlin">
    <w:name w:val="WP9_Hyperlin"/>
    <w:rsid w:val="00950DF9"/>
    <w:rPr>
      <w:color w:val="0000FF"/>
      <w:u w:val="single"/>
    </w:rPr>
  </w:style>
  <w:style w:type="paragraph" w:customStyle="1" w:styleId="DefinitionT">
    <w:name w:val="Definition T"/>
    <w:basedOn w:val="Normal"/>
    <w:rsid w:val="00950DF9"/>
    <w:pPr>
      <w:widowControl w:val="0"/>
    </w:pPr>
  </w:style>
  <w:style w:type="paragraph" w:customStyle="1" w:styleId="DefinitionL">
    <w:name w:val="Definition L"/>
    <w:basedOn w:val="Normal"/>
    <w:rsid w:val="00950DF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pPr>
  </w:style>
  <w:style w:type="character" w:customStyle="1" w:styleId="Definition">
    <w:name w:val="Definition"/>
    <w:rsid w:val="00950DF9"/>
    <w:rPr>
      <w:i/>
    </w:rPr>
  </w:style>
  <w:style w:type="paragraph" w:customStyle="1" w:styleId="H1">
    <w:name w:val="H1"/>
    <w:basedOn w:val="Normal"/>
    <w:rsid w:val="00950DF9"/>
    <w:pPr>
      <w:widowControl w:val="0"/>
    </w:pPr>
    <w:rPr>
      <w:b/>
      <w:sz w:val="48"/>
    </w:rPr>
  </w:style>
  <w:style w:type="paragraph" w:customStyle="1" w:styleId="H2">
    <w:name w:val="H2"/>
    <w:basedOn w:val="Normal"/>
    <w:rsid w:val="00950DF9"/>
    <w:pPr>
      <w:widowControl w:val="0"/>
    </w:pPr>
    <w:rPr>
      <w:b/>
      <w:sz w:val="36"/>
    </w:rPr>
  </w:style>
  <w:style w:type="paragraph" w:customStyle="1" w:styleId="H3">
    <w:name w:val="H3"/>
    <w:basedOn w:val="Normal"/>
    <w:rsid w:val="00950DF9"/>
    <w:pPr>
      <w:widowControl w:val="0"/>
    </w:pPr>
    <w:rPr>
      <w:b/>
      <w:sz w:val="28"/>
    </w:rPr>
  </w:style>
  <w:style w:type="paragraph" w:customStyle="1" w:styleId="H4">
    <w:name w:val="H4"/>
    <w:basedOn w:val="Normal"/>
    <w:rsid w:val="00950DF9"/>
    <w:pPr>
      <w:widowControl w:val="0"/>
    </w:pPr>
    <w:rPr>
      <w:b/>
    </w:rPr>
  </w:style>
  <w:style w:type="paragraph" w:customStyle="1" w:styleId="H5">
    <w:name w:val="H5"/>
    <w:basedOn w:val="Normal"/>
    <w:rsid w:val="00950DF9"/>
    <w:pPr>
      <w:widowControl w:val="0"/>
    </w:pPr>
    <w:rPr>
      <w:b/>
    </w:rPr>
  </w:style>
  <w:style w:type="paragraph" w:customStyle="1" w:styleId="H6">
    <w:name w:val="H6"/>
    <w:basedOn w:val="Normal"/>
    <w:rsid w:val="00950DF9"/>
    <w:pPr>
      <w:widowControl w:val="0"/>
    </w:pPr>
    <w:rPr>
      <w:b/>
      <w:sz w:val="16"/>
    </w:rPr>
  </w:style>
  <w:style w:type="paragraph" w:customStyle="1" w:styleId="Address">
    <w:name w:val="Address"/>
    <w:basedOn w:val="Normal"/>
    <w:rsid w:val="00950DF9"/>
    <w:pPr>
      <w:widowControl w:val="0"/>
    </w:pPr>
    <w:rPr>
      <w:i/>
    </w:rPr>
  </w:style>
  <w:style w:type="paragraph" w:customStyle="1" w:styleId="Blockquote">
    <w:name w:val="Blockquote"/>
    <w:basedOn w:val="Normal"/>
    <w:rsid w:val="00950DF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jc w:val="both"/>
    </w:pPr>
  </w:style>
  <w:style w:type="character" w:customStyle="1" w:styleId="CITE">
    <w:name w:val="CITE"/>
    <w:rsid w:val="00950DF9"/>
    <w:rPr>
      <w:i/>
    </w:rPr>
  </w:style>
  <w:style w:type="character" w:customStyle="1" w:styleId="CODE">
    <w:name w:val="CODE"/>
    <w:rsid w:val="00950DF9"/>
    <w:rPr>
      <w:rFonts w:ascii="Courier New" w:hAnsi="Courier New"/>
      <w:sz w:val="20"/>
    </w:rPr>
  </w:style>
  <w:style w:type="character" w:customStyle="1" w:styleId="WP9Emphasis">
    <w:name w:val="WP9_Emphasis"/>
    <w:rsid w:val="00950DF9"/>
    <w:rPr>
      <w:i/>
    </w:rPr>
  </w:style>
  <w:style w:type="character" w:customStyle="1" w:styleId="WP9Hyperlink">
    <w:name w:val="WP9_Hyperlink"/>
    <w:rsid w:val="00950DF9"/>
    <w:rPr>
      <w:color w:val="0000FF"/>
      <w:u w:val="single"/>
    </w:rPr>
  </w:style>
  <w:style w:type="character" w:customStyle="1" w:styleId="FollowedHype">
    <w:name w:val="FollowedHype"/>
    <w:rsid w:val="00950DF9"/>
    <w:rPr>
      <w:color w:val="800080"/>
      <w:u w:val="single"/>
    </w:rPr>
  </w:style>
  <w:style w:type="character" w:customStyle="1" w:styleId="Keyboard">
    <w:name w:val="Keyboard"/>
    <w:rsid w:val="00950DF9"/>
    <w:rPr>
      <w:rFonts w:ascii="Courier New" w:hAnsi="Courier New"/>
      <w:b/>
      <w:sz w:val="20"/>
    </w:rPr>
  </w:style>
  <w:style w:type="paragraph" w:customStyle="1" w:styleId="Preformatted">
    <w:name w:val="Preformatted"/>
    <w:basedOn w:val="Normal"/>
    <w:rsid w:val="00950DF9"/>
    <w:pPr>
      <w:widowControl w:val="0"/>
      <w:tabs>
        <w:tab w:val="left" w:pos="0"/>
        <w:tab w:val="left" w:pos="958"/>
        <w:tab w:val="left" w:pos="1916"/>
        <w:tab w:val="left" w:pos="2875"/>
        <w:tab w:val="left" w:pos="3834"/>
        <w:tab w:val="left" w:pos="4794"/>
        <w:tab w:val="left" w:pos="5754"/>
        <w:tab w:val="left" w:pos="6712"/>
        <w:tab w:val="left" w:pos="7670"/>
        <w:tab w:val="left" w:pos="8629"/>
        <w:tab w:val="left" w:pos="9355"/>
        <w:tab w:val="left" w:pos="9360"/>
        <w:tab w:val="left" w:pos="10080"/>
      </w:tabs>
      <w:jc w:val="both"/>
    </w:pPr>
    <w:rPr>
      <w:rFonts w:ascii="Courier New" w:hAnsi="Courier New"/>
    </w:rPr>
  </w:style>
  <w:style w:type="paragraph" w:customStyle="1" w:styleId="zBottomof">
    <w:name w:val="zBottom of"/>
    <w:basedOn w:val="Normal"/>
    <w:rsid w:val="00950DF9"/>
    <w:pPr>
      <w:widowControl w:val="0"/>
      <w:pBdr>
        <w:top w:val="single" w:sz="18" w:space="0" w:color="000000"/>
      </w:pBdr>
      <w:jc w:val="center"/>
    </w:pPr>
    <w:rPr>
      <w:rFonts w:ascii="Arial" w:hAnsi="Arial"/>
      <w:sz w:val="16"/>
    </w:rPr>
  </w:style>
  <w:style w:type="paragraph" w:customStyle="1" w:styleId="zTopofFor">
    <w:name w:val="zTop of For"/>
    <w:basedOn w:val="Normal"/>
    <w:rsid w:val="00950DF9"/>
    <w:pPr>
      <w:widowControl w:val="0"/>
      <w:pBdr>
        <w:bottom w:val="single" w:sz="18" w:space="0" w:color="000000"/>
      </w:pBdr>
      <w:jc w:val="center"/>
    </w:pPr>
    <w:rPr>
      <w:rFonts w:ascii="Arial" w:hAnsi="Arial"/>
      <w:sz w:val="16"/>
    </w:rPr>
  </w:style>
  <w:style w:type="character" w:customStyle="1" w:styleId="Sample">
    <w:name w:val="Sample"/>
    <w:rsid w:val="00950DF9"/>
    <w:rPr>
      <w:rFonts w:ascii="Courier New" w:hAnsi="Courier New"/>
    </w:rPr>
  </w:style>
  <w:style w:type="character" w:customStyle="1" w:styleId="WP9Strong">
    <w:name w:val="WP9_Strong"/>
    <w:rsid w:val="00950DF9"/>
    <w:rPr>
      <w:b/>
    </w:rPr>
  </w:style>
  <w:style w:type="character" w:customStyle="1" w:styleId="Typewriter">
    <w:name w:val="Typewriter"/>
    <w:rsid w:val="00950DF9"/>
    <w:rPr>
      <w:rFonts w:ascii="Courier New" w:hAnsi="Courier New"/>
      <w:sz w:val="20"/>
    </w:rPr>
  </w:style>
  <w:style w:type="character" w:customStyle="1" w:styleId="Variable">
    <w:name w:val="Variable"/>
    <w:rsid w:val="00950DF9"/>
    <w:rPr>
      <w:i/>
    </w:rPr>
  </w:style>
  <w:style w:type="character" w:customStyle="1" w:styleId="HTMLMarkup">
    <w:name w:val="HTML Markup"/>
    <w:rsid w:val="00950DF9"/>
    <w:rPr>
      <w:vanish/>
      <w:color w:val="FF0000"/>
    </w:rPr>
  </w:style>
  <w:style w:type="character" w:customStyle="1" w:styleId="Comment">
    <w:name w:val="Comment"/>
    <w:basedOn w:val="DefaultParagraphFont"/>
    <w:rsid w:val="00950DF9"/>
  </w:style>
  <w:style w:type="paragraph" w:customStyle="1" w:styleId="QuickFormat1">
    <w:name w:val="QuickFormat1"/>
    <w:basedOn w:val="Normal"/>
    <w:rsid w:val="00950DF9"/>
    <w:pPr>
      <w:widowControl w:val="0"/>
    </w:pPr>
    <w:rPr>
      <w:color w:val="000000"/>
    </w:rPr>
  </w:style>
  <w:style w:type="paragraph" w:customStyle="1" w:styleId="WP9Header">
    <w:name w:val="WP9_Header"/>
    <w:basedOn w:val="Normal"/>
    <w:rsid w:val="00950DF9"/>
    <w:pPr>
      <w:tabs>
        <w:tab w:val="center" w:pos="4320"/>
        <w:tab w:val="right" w:pos="8640"/>
        <w:tab w:val="left" w:pos="9360"/>
        <w:tab w:val="left" w:pos="10080"/>
      </w:tabs>
    </w:pPr>
  </w:style>
  <w:style w:type="paragraph" w:customStyle="1" w:styleId="WP9Footer">
    <w:name w:val="WP9_Footer"/>
    <w:basedOn w:val="Normal"/>
    <w:rsid w:val="00950DF9"/>
    <w:pPr>
      <w:tabs>
        <w:tab w:val="center" w:pos="4320"/>
        <w:tab w:val="right" w:pos="8640"/>
        <w:tab w:val="left" w:pos="9360"/>
        <w:tab w:val="left" w:pos="10080"/>
      </w:tabs>
    </w:pPr>
  </w:style>
  <w:style w:type="character" w:customStyle="1" w:styleId="WP9PageNumber">
    <w:name w:val="WP9_Page Number"/>
    <w:basedOn w:val="DefaultParagraphFont"/>
    <w:rsid w:val="00950DF9"/>
  </w:style>
  <w:style w:type="paragraph" w:customStyle="1" w:styleId="26">
    <w:name w:val="_26"/>
    <w:basedOn w:val="Normal"/>
    <w:rsid w:val="00950DF9"/>
    <w:pPr>
      <w:widowControl w:val="0"/>
    </w:pPr>
  </w:style>
  <w:style w:type="paragraph" w:customStyle="1" w:styleId="25">
    <w:name w:val="_25"/>
    <w:basedOn w:val="Normal"/>
    <w:rsid w:val="00950DF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950DF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950DF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950DF9"/>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950DF9"/>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950DF9"/>
    <w:pPr>
      <w:widowControl w:val="0"/>
      <w:tabs>
        <w:tab w:val="left" w:pos="5040"/>
        <w:tab w:val="left" w:pos="5760"/>
        <w:tab w:val="left" w:pos="6480"/>
        <w:tab w:val="left" w:pos="7200"/>
        <w:tab w:val="left" w:pos="7920"/>
      </w:tabs>
      <w:ind w:left="5040"/>
    </w:pPr>
  </w:style>
  <w:style w:type="paragraph" w:customStyle="1" w:styleId="19">
    <w:name w:val="_19"/>
    <w:basedOn w:val="Normal"/>
    <w:rsid w:val="00950DF9"/>
    <w:pPr>
      <w:widowControl w:val="0"/>
      <w:tabs>
        <w:tab w:val="left" w:pos="5760"/>
        <w:tab w:val="left" w:pos="6480"/>
        <w:tab w:val="left" w:pos="7200"/>
        <w:tab w:val="left" w:pos="7920"/>
      </w:tabs>
      <w:ind w:left="5760"/>
    </w:pPr>
  </w:style>
  <w:style w:type="paragraph" w:customStyle="1" w:styleId="18">
    <w:name w:val="_18"/>
    <w:basedOn w:val="Normal"/>
    <w:rsid w:val="00950DF9"/>
    <w:pPr>
      <w:widowControl w:val="0"/>
      <w:tabs>
        <w:tab w:val="left" w:pos="6480"/>
        <w:tab w:val="left" w:pos="7200"/>
        <w:tab w:val="left" w:pos="7920"/>
      </w:tabs>
      <w:ind w:left="6480"/>
    </w:pPr>
  </w:style>
  <w:style w:type="paragraph" w:customStyle="1" w:styleId="17">
    <w:name w:val="_17"/>
    <w:basedOn w:val="Normal"/>
    <w:rsid w:val="00950D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950DF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950DF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950DF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950DF9"/>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950DF9"/>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950DF9"/>
    <w:pPr>
      <w:widowControl w:val="0"/>
      <w:tabs>
        <w:tab w:val="left" w:pos="5040"/>
        <w:tab w:val="left" w:pos="5760"/>
        <w:tab w:val="left" w:pos="6480"/>
        <w:tab w:val="left" w:pos="7200"/>
        <w:tab w:val="left" w:pos="7920"/>
      </w:tabs>
      <w:ind w:left="5040"/>
    </w:pPr>
  </w:style>
  <w:style w:type="paragraph" w:customStyle="1" w:styleId="10">
    <w:name w:val="_10"/>
    <w:basedOn w:val="Normal"/>
    <w:rsid w:val="00950DF9"/>
    <w:pPr>
      <w:widowControl w:val="0"/>
      <w:tabs>
        <w:tab w:val="left" w:pos="5760"/>
        <w:tab w:val="left" w:pos="6480"/>
        <w:tab w:val="left" w:pos="7200"/>
        <w:tab w:val="left" w:pos="7920"/>
      </w:tabs>
      <w:ind w:left="5760"/>
    </w:pPr>
  </w:style>
  <w:style w:type="paragraph" w:customStyle="1" w:styleId="9">
    <w:name w:val="_9"/>
    <w:basedOn w:val="Normal"/>
    <w:rsid w:val="00950DF9"/>
    <w:pPr>
      <w:widowControl w:val="0"/>
      <w:tabs>
        <w:tab w:val="left" w:pos="6480"/>
        <w:tab w:val="left" w:pos="7200"/>
        <w:tab w:val="left" w:pos="7920"/>
      </w:tabs>
      <w:ind w:left="6480"/>
    </w:pPr>
  </w:style>
  <w:style w:type="paragraph" w:customStyle="1" w:styleId="8">
    <w:name w:val="_8"/>
    <w:basedOn w:val="Normal"/>
    <w:rsid w:val="00950D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950DF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950DF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950DF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950DF9"/>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950DF9"/>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950DF9"/>
    <w:pPr>
      <w:widowControl w:val="0"/>
      <w:tabs>
        <w:tab w:val="left" w:pos="5040"/>
        <w:tab w:val="left" w:pos="5760"/>
        <w:tab w:val="left" w:pos="6480"/>
        <w:tab w:val="left" w:pos="7200"/>
        <w:tab w:val="left" w:pos="7920"/>
      </w:tabs>
      <w:ind w:left="5040"/>
    </w:pPr>
  </w:style>
  <w:style w:type="paragraph" w:customStyle="1" w:styleId="1">
    <w:name w:val="_1"/>
    <w:basedOn w:val="Normal"/>
    <w:rsid w:val="00950DF9"/>
    <w:pPr>
      <w:widowControl w:val="0"/>
      <w:tabs>
        <w:tab w:val="left" w:pos="5760"/>
        <w:tab w:val="left" w:pos="6480"/>
        <w:tab w:val="left" w:pos="7200"/>
        <w:tab w:val="left" w:pos="7920"/>
      </w:tabs>
      <w:ind w:left="5760"/>
    </w:pPr>
  </w:style>
  <w:style w:type="paragraph" w:customStyle="1" w:styleId="a">
    <w:name w:val="_"/>
    <w:basedOn w:val="Normal"/>
    <w:rsid w:val="00950DF9"/>
    <w:pPr>
      <w:widowControl w:val="0"/>
      <w:tabs>
        <w:tab w:val="left" w:pos="6480"/>
        <w:tab w:val="left" w:pos="7200"/>
        <w:tab w:val="left" w:pos="7920"/>
      </w:tabs>
      <w:ind w:left="6480"/>
    </w:pPr>
  </w:style>
  <w:style w:type="character" w:customStyle="1" w:styleId="SYSHYPERTEXT">
    <w:name w:val="SYS_HYPERTEXT"/>
    <w:rsid w:val="00950DF9"/>
    <w:rPr>
      <w:color w:val="0000FF"/>
      <w:u w:val="single"/>
    </w:rPr>
  </w:style>
  <w:style w:type="paragraph" w:styleId="BalloonText">
    <w:name w:val="Balloon Text"/>
    <w:basedOn w:val="Normal"/>
    <w:semiHidden/>
    <w:rsid w:val="00F01E32"/>
    <w:rPr>
      <w:rFonts w:ascii="Tahoma" w:hAnsi="Tahoma" w:cs="Tahoma"/>
      <w:sz w:val="16"/>
      <w:szCs w:val="16"/>
    </w:rPr>
  </w:style>
  <w:style w:type="paragraph" w:styleId="FootnoteText">
    <w:name w:val="footnote text"/>
    <w:basedOn w:val="Normal"/>
    <w:semiHidden/>
    <w:rsid w:val="002836E7"/>
    <w:rPr>
      <w:sz w:val="20"/>
    </w:rPr>
  </w:style>
  <w:style w:type="character" w:styleId="FootnoteReference">
    <w:name w:val="footnote reference"/>
    <w:semiHidden/>
    <w:rsid w:val="002836E7"/>
    <w:rPr>
      <w:vertAlign w:val="superscript"/>
    </w:rPr>
  </w:style>
  <w:style w:type="paragraph" w:styleId="Header">
    <w:name w:val="header"/>
    <w:basedOn w:val="Normal"/>
    <w:rsid w:val="00AD14A9"/>
    <w:pPr>
      <w:tabs>
        <w:tab w:val="center" w:pos="4320"/>
        <w:tab w:val="right" w:pos="8640"/>
      </w:tabs>
    </w:pPr>
  </w:style>
  <w:style w:type="paragraph" w:styleId="Footer">
    <w:name w:val="footer"/>
    <w:basedOn w:val="Normal"/>
    <w:rsid w:val="00AD14A9"/>
    <w:pPr>
      <w:tabs>
        <w:tab w:val="center" w:pos="4320"/>
        <w:tab w:val="right" w:pos="8640"/>
      </w:tabs>
    </w:pPr>
  </w:style>
  <w:style w:type="table" w:styleId="TableGrid">
    <w:name w:val="Table Grid"/>
    <w:basedOn w:val="TableNormal"/>
    <w:rsid w:val="000D6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044B08"/>
    <w:rPr>
      <w:sz w:val="16"/>
      <w:szCs w:val="16"/>
    </w:rPr>
  </w:style>
  <w:style w:type="paragraph" w:styleId="CommentText">
    <w:name w:val="annotation text"/>
    <w:basedOn w:val="Normal"/>
    <w:semiHidden/>
    <w:rsid w:val="00044B08"/>
    <w:rPr>
      <w:sz w:val="20"/>
    </w:rPr>
  </w:style>
  <w:style w:type="paragraph" w:styleId="CommentSubject">
    <w:name w:val="annotation subject"/>
    <w:basedOn w:val="CommentText"/>
    <w:next w:val="CommentText"/>
    <w:semiHidden/>
    <w:rsid w:val="00044B08"/>
    <w:rPr>
      <w:b/>
      <w:bCs/>
    </w:rPr>
  </w:style>
  <w:style w:type="paragraph" w:styleId="Revision">
    <w:name w:val="Revision"/>
    <w:hidden/>
    <w:uiPriority w:val="99"/>
    <w:semiHidden/>
    <w:rsid w:val="00554AC5"/>
    <w:rPr>
      <w:sz w:val="24"/>
    </w:rPr>
  </w:style>
  <w:style w:type="table" w:styleId="TableGrid5">
    <w:name w:val="Table Grid 5"/>
    <w:basedOn w:val="TableNormal"/>
    <w:rsid w:val="005A3A9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422460039">
      <w:bodyDiv w:val="1"/>
      <w:marLeft w:val="0"/>
      <w:marRight w:val="0"/>
      <w:marTop w:val="0"/>
      <w:marBottom w:val="0"/>
      <w:divBdr>
        <w:top w:val="none" w:sz="0" w:space="0" w:color="auto"/>
        <w:left w:val="none" w:sz="0" w:space="0" w:color="auto"/>
        <w:bottom w:val="none" w:sz="0" w:space="0" w:color="auto"/>
        <w:right w:val="none" w:sz="0" w:space="0" w:color="auto"/>
      </w:divBdr>
    </w:div>
    <w:div w:id="688991830">
      <w:bodyDiv w:val="1"/>
      <w:marLeft w:val="0"/>
      <w:marRight w:val="0"/>
      <w:marTop w:val="0"/>
      <w:marBottom w:val="0"/>
      <w:divBdr>
        <w:top w:val="none" w:sz="0" w:space="0" w:color="auto"/>
        <w:left w:val="none" w:sz="0" w:space="0" w:color="auto"/>
        <w:bottom w:val="none" w:sz="0" w:space="0" w:color="auto"/>
        <w:right w:val="none" w:sz="0" w:space="0" w:color="auto"/>
      </w:divBdr>
      <w:divsChild>
        <w:div w:id="2144154245">
          <w:marLeft w:val="0"/>
          <w:marRight w:val="0"/>
          <w:marTop w:val="0"/>
          <w:marBottom w:val="0"/>
          <w:divBdr>
            <w:top w:val="none" w:sz="0" w:space="0" w:color="auto"/>
            <w:left w:val="none" w:sz="0" w:space="0" w:color="auto"/>
            <w:bottom w:val="none" w:sz="0" w:space="0" w:color="auto"/>
            <w:right w:val="none" w:sz="0" w:space="0" w:color="auto"/>
          </w:divBdr>
        </w:div>
      </w:divsChild>
    </w:div>
    <w:div w:id="775368506">
      <w:bodyDiv w:val="1"/>
      <w:marLeft w:val="0"/>
      <w:marRight w:val="0"/>
      <w:marTop w:val="0"/>
      <w:marBottom w:val="0"/>
      <w:divBdr>
        <w:top w:val="none" w:sz="0" w:space="0" w:color="auto"/>
        <w:left w:val="none" w:sz="0" w:space="0" w:color="auto"/>
        <w:bottom w:val="none" w:sz="0" w:space="0" w:color="auto"/>
        <w:right w:val="none" w:sz="0" w:space="0" w:color="auto"/>
      </w:divBdr>
    </w:div>
    <w:div w:id="797339410">
      <w:bodyDiv w:val="1"/>
      <w:marLeft w:val="0"/>
      <w:marRight w:val="0"/>
      <w:marTop w:val="0"/>
      <w:marBottom w:val="0"/>
      <w:divBdr>
        <w:top w:val="none" w:sz="0" w:space="0" w:color="auto"/>
        <w:left w:val="none" w:sz="0" w:space="0" w:color="auto"/>
        <w:bottom w:val="none" w:sz="0" w:space="0" w:color="auto"/>
        <w:right w:val="none" w:sz="0" w:space="0" w:color="auto"/>
      </w:divBdr>
    </w:div>
    <w:div w:id="835268496">
      <w:bodyDiv w:val="1"/>
      <w:marLeft w:val="0"/>
      <w:marRight w:val="0"/>
      <w:marTop w:val="0"/>
      <w:marBottom w:val="0"/>
      <w:divBdr>
        <w:top w:val="none" w:sz="0" w:space="0" w:color="auto"/>
        <w:left w:val="none" w:sz="0" w:space="0" w:color="auto"/>
        <w:bottom w:val="none" w:sz="0" w:space="0" w:color="auto"/>
        <w:right w:val="none" w:sz="0" w:space="0" w:color="auto"/>
      </w:divBdr>
    </w:div>
    <w:div w:id="879704506">
      <w:bodyDiv w:val="1"/>
      <w:marLeft w:val="0"/>
      <w:marRight w:val="0"/>
      <w:marTop w:val="0"/>
      <w:marBottom w:val="0"/>
      <w:divBdr>
        <w:top w:val="none" w:sz="0" w:space="0" w:color="auto"/>
        <w:left w:val="none" w:sz="0" w:space="0" w:color="auto"/>
        <w:bottom w:val="none" w:sz="0" w:space="0" w:color="auto"/>
        <w:right w:val="none" w:sz="0" w:space="0" w:color="auto"/>
      </w:divBdr>
    </w:div>
    <w:div w:id="881864617">
      <w:bodyDiv w:val="1"/>
      <w:marLeft w:val="0"/>
      <w:marRight w:val="0"/>
      <w:marTop w:val="0"/>
      <w:marBottom w:val="0"/>
      <w:divBdr>
        <w:top w:val="none" w:sz="0" w:space="0" w:color="auto"/>
        <w:left w:val="none" w:sz="0" w:space="0" w:color="auto"/>
        <w:bottom w:val="none" w:sz="0" w:space="0" w:color="auto"/>
        <w:right w:val="none" w:sz="0" w:space="0" w:color="auto"/>
      </w:divBdr>
    </w:div>
    <w:div w:id="1198470773">
      <w:bodyDiv w:val="1"/>
      <w:marLeft w:val="0"/>
      <w:marRight w:val="0"/>
      <w:marTop w:val="0"/>
      <w:marBottom w:val="0"/>
      <w:divBdr>
        <w:top w:val="none" w:sz="0" w:space="0" w:color="auto"/>
        <w:left w:val="none" w:sz="0" w:space="0" w:color="auto"/>
        <w:bottom w:val="none" w:sz="0" w:space="0" w:color="auto"/>
        <w:right w:val="none" w:sz="0" w:space="0" w:color="auto"/>
      </w:divBdr>
    </w:div>
    <w:div w:id="1455441528">
      <w:bodyDiv w:val="1"/>
      <w:marLeft w:val="0"/>
      <w:marRight w:val="0"/>
      <w:marTop w:val="0"/>
      <w:marBottom w:val="0"/>
      <w:divBdr>
        <w:top w:val="none" w:sz="0" w:space="0" w:color="auto"/>
        <w:left w:val="none" w:sz="0" w:space="0" w:color="auto"/>
        <w:bottom w:val="none" w:sz="0" w:space="0" w:color="auto"/>
        <w:right w:val="none" w:sz="0" w:space="0" w:color="auto"/>
      </w:divBdr>
    </w:div>
    <w:div w:id="1466003768">
      <w:bodyDiv w:val="1"/>
      <w:marLeft w:val="0"/>
      <w:marRight w:val="0"/>
      <w:marTop w:val="0"/>
      <w:marBottom w:val="0"/>
      <w:divBdr>
        <w:top w:val="none" w:sz="0" w:space="0" w:color="auto"/>
        <w:left w:val="none" w:sz="0" w:space="0" w:color="auto"/>
        <w:bottom w:val="none" w:sz="0" w:space="0" w:color="auto"/>
        <w:right w:val="none" w:sz="0" w:space="0" w:color="auto"/>
      </w:divBdr>
    </w:div>
    <w:div w:id="1598096978">
      <w:bodyDiv w:val="1"/>
      <w:marLeft w:val="0"/>
      <w:marRight w:val="0"/>
      <w:marTop w:val="0"/>
      <w:marBottom w:val="0"/>
      <w:divBdr>
        <w:top w:val="none" w:sz="0" w:space="0" w:color="auto"/>
        <w:left w:val="none" w:sz="0" w:space="0" w:color="auto"/>
        <w:bottom w:val="none" w:sz="0" w:space="0" w:color="auto"/>
        <w:right w:val="none" w:sz="0" w:space="0" w:color="auto"/>
      </w:divBdr>
    </w:div>
    <w:div w:id="1680230270">
      <w:bodyDiv w:val="1"/>
      <w:marLeft w:val="0"/>
      <w:marRight w:val="0"/>
      <w:marTop w:val="0"/>
      <w:marBottom w:val="0"/>
      <w:divBdr>
        <w:top w:val="none" w:sz="0" w:space="0" w:color="auto"/>
        <w:left w:val="none" w:sz="0" w:space="0" w:color="auto"/>
        <w:bottom w:val="none" w:sz="0" w:space="0" w:color="auto"/>
        <w:right w:val="none" w:sz="0" w:space="0" w:color="auto"/>
      </w:divBdr>
    </w:div>
    <w:div w:id="1686635385">
      <w:bodyDiv w:val="1"/>
      <w:marLeft w:val="0"/>
      <w:marRight w:val="0"/>
      <w:marTop w:val="0"/>
      <w:marBottom w:val="0"/>
      <w:divBdr>
        <w:top w:val="none" w:sz="0" w:space="0" w:color="auto"/>
        <w:left w:val="none" w:sz="0" w:space="0" w:color="auto"/>
        <w:bottom w:val="none" w:sz="0" w:space="0" w:color="auto"/>
        <w:right w:val="none" w:sz="0" w:space="0" w:color="auto"/>
      </w:divBdr>
    </w:div>
    <w:div w:id="1892111492">
      <w:bodyDiv w:val="1"/>
      <w:marLeft w:val="0"/>
      <w:marRight w:val="0"/>
      <w:marTop w:val="0"/>
      <w:marBottom w:val="0"/>
      <w:divBdr>
        <w:top w:val="none" w:sz="0" w:space="0" w:color="auto"/>
        <w:left w:val="none" w:sz="0" w:space="0" w:color="auto"/>
        <w:bottom w:val="none" w:sz="0" w:space="0" w:color="auto"/>
        <w:right w:val="none" w:sz="0" w:space="0" w:color="auto"/>
      </w:divBdr>
    </w:div>
    <w:div w:id="2086951396">
      <w:bodyDiv w:val="1"/>
      <w:marLeft w:val="0"/>
      <w:marRight w:val="0"/>
      <w:marTop w:val="0"/>
      <w:marBottom w:val="0"/>
      <w:divBdr>
        <w:top w:val="none" w:sz="0" w:space="0" w:color="auto"/>
        <w:left w:val="none" w:sz="0" w:space="0" w:color="auto"/>
        <w:bottom w:val="none" w:sz="0" w:space="0" w:color="auto"/>
        <w:right w:val="none" w:sz="0" w:space="0" w:color="auto"/>
      </w:divBdr>
    </w:div>
    <w:div w:id="212908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census.gov/epcd/naics02/naicod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E4DB5-8071-4F8A-8844-E0365F6C6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5865</Words>
  <Characters>33437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83-I OMB SUPPORTING STATEMENT</vt:lpstr>
    </vt:vector>
  </TitlesOfParts>
  <Company>SRA International, Inc.</Company>
  <LinksUpToDate>false</LinksUpToDate>
  <CharactersWithSpaces>39224</CharactersWithSpaces>
  <SharedDoc>false</SharedDoc>
  <HLinks>
    <vt:vector size="24" baseType="variant">
      <vt:variant>
        <vt:i4>2818151</vt:i4>
      </vt:variant>
      <vt:variant>
        <vt:i4>12</vt:i4>
      </vt:variant>
      <vt:variant>
        <vt:i4>0</vt:i4>
      </vt:variant>
      <vt:variant>
        <vt:i4>5</vt:i4>
      </vt:variant>
      <vt:variant>
        <vt:lpwstr>http://www.regulations.gov/</vt:lpwstr>
      </vt:variant>
      <vt:variant>
        <vt:lpwstr/>
      </vt:variant>
      <vt:variant>
        <vt:i4>2818151</vt:i4>
      </vt:variant>
      <vt:variant>
        <vt:i4>6</vt:i4>
      </vt:variant>
      <vt:variant>
        <vt:i4>0</vt:i4>
      </vt:variant>
      <vt:variant>
        <vt:i4>5</vt:i4>
      </vt:variant>
      <vt:variant>
        <vt:lpwstr>http://www.regulations.gov/</vt:lpwstr>
      </vt:variant>
      <vt:variant>
        <vt:lpwstr/>
      </vt:variant>
      <vt:variant>
        <vt:i4>2818151</vt:i4>
      </vt:variant>
      <vt:variant>
        <vt:i4>3</vt:i4>
      </vt:variant>
      <vt:variant>
        <vt:i4>0</vt:i4>
      </vt:variant>
      <vt:variant>
        <vt:i4>5</vt:i4>
      </vt:variant>
      <vt:variant>
        <vt:lpwstr>http://www.regulations.gov/</vt:lpwstr>
      </vt:variant>
      <vt:variant>
        <vt:lpwstr/>
      </vt:variant>
      <vt:variant>
        <vt:i4>7143468</vt:i4>
      </vt:variant>
      <vt:variant>
        <vt:i4>0</vt:i4>
      </vt:variant>
      <vt:variant>
        <vt:i4>0</vt:i4>
      </vt:variant>
      <vt:variant>
        <vt:i4>5</vt:i4>
      </vt:variant>
      <vt:variant>
        <vt:lpwstr>http://www.census.gov/epcd/naics02/naicod02.htm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OMB SUPPORTING STATEMENT</dc:title>
  <dc:subject/>
  <dc:creator>David Shellard</dc:creator>
  <cp:keywords/>
  <dc:description/>
  <cp:lastModifiedBy>JUMBERGE</cp:lastModifiedBy>
  <cp:revision>2</cp:revision>
  <cp:lastPrinted>2012-08-15T13:23:00Z</cp:lastPrinted>
  <dcterms:created xsi:type="dcterms:W3CDTF">2013-05-07T13:45:00Z</dcterms:created>
  <dcterms:modified xsi:type="dcterms:W3CDTF">2013-05-07T13:45:00Z</dcterms:modified>
</cp:coreProperties>
</file>