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F6F" w:rsidRPr="006D07B3" w:rsidRDefault="005E2F6F">
      <w:pPr>
        <w:widowControl/>
        <w:ind w:firstLine="6480"/>
        <w:rPr>
          <w:rFonts w:ascii="Calibri" w:hAnsi="Calibri"/>
          <w:color w:val="000000"/>
          <w:sz w:val="24"/>
        </w:rPr>
      </w:pPr>
    </w:p>
    <w:p w:rsidR="00C772E2" w:rsidRDefault="00C772E2" w:rsidP="00C772E2">
      <w:pPr>
        <w:widowControl/>
        <w:tabs>
          <w:tab w:val="center" w:pos="4680"/>
        </w:tabs>
        <w:jc w:val="center"/>
        <w:rPr>
          <w:rFonts w:ascii="Calibri" w:hAnsi="Calibri"/>
          <w:b/>
          <w:color w:val="000000"/>
          <w:sz w:val="24"/>
        </w:rPr>
      </w:pPr>
      <w:r>
        <w:rPr>
          <w:rFonts w:ascii="Calibri" w:hAnsi="Calibri"/>
          <w:b/>
          <w:color w:val="000000"/>
          <w:sz w:val="24"/>
        </w:rPr>
        <w:t>SUPPORTING STATEMENT PART B</w:t>
      </w:r>
    </w:p>
    <w:p w:rsidR="00000000" w:rsidRDefault="00C772E2">
      <w:pPr>
        <w:widowControl/>
        <w:tabs>
          <w:tab w:val="center" w:pos="4680"/>
        </w:tabs>
        <w:jc w:val="center"/>
        <w:rPr>
          <w:rFonts w:ascii="Calibri" w:hAnsi="Calibri"/>
          <w:b/>
          <w:color w:val="000000"/>
          <w:sz w:val="24"/>
        </w:rPr>
      </w:pPr>
      <w:r>
        <w:rPr>
          <w:rFonts w:ascii="Calibri" w:hAnsi="Calibri"/>
          <w:b/>
          <w:color w:val="000000"/>
          <w:sz w:val="24"/>
        </w:rPr>
        <w:t>FOR FORMS EIA-871A-J</w:t>
      </w:r>
    </w:p>
    <w:p w:rsidR="00000000" w:rsidRDefault="005E2F6F">
      <w:pPr>
        <w:widowControl/>
        <w:tabs>
          <w:tab w:val="center" w:pos="4680"/>
        </w:tabs>
        <w:jc w:val="center"/>
        <w:rPr>
          <w:rFonts w:ascii="Calibri" w:hAnsi="Calibri"/>
          <w:b/>
          <w:color w:val="000000"/>
          <w:sz w:val="24"/>
        </w:rPr>
      </w:pPr>
      <w:r w:rsidRPr="006D07B3">
        <w:rPr>
          <w:rFonts w:ascii="Calibri" w:hAnsi="Calibri"/>
          <w:b/>
          <w:color w:val="000000"/>
          <w:sz w:val="24"/>
        </w:rPr>
        <w:t>COMMERCIAL BUILDINGS ENERGY CONSUMPTION SURVEY</w:t>
      </w:r>
    </w:p>
    <w:p w:rsidR="006D07B3" w:rsidRPr="006D07B3" w:rsidRDefault="006D07B3">
      <w:pPr>
        <w:jc w:val="center"/>
        <w:rPr>
          <w:rFonts w:ascii="Calibri" w:hAnsi="Calibri"/>
          <w:b/>
          <w:color w:val="000000"/>
          <w:sz w:val="24"/>
        </w:rPr>
      </w:pPr>
    </w:p>
    <w:p w:rsidR="005E2F6F" w:rsidRPr="006D07B3" w:rsidRDefault="005E2F6F">
      <w:pPr>
        <w:pStyle w:val="Heading2"/>
        <w:rPr>
          <w:rFonts w:ascii="Calibri" w:hAnsi="Calibri"/>
          <w:color w:val="000000"/>
        </w:rPr>
      </w:pPr>
      <w:r w:rsidRPr="006D07B3">
        <w:rPr>
          <w:rFonts w:ascii="Calibri" w:hAnsi="Calibri"/>
          <w:color w:val="000000"/>
        </w:rPr>
        <w:t>OMB NO: 1905-0145</w:t>
      </w:r>
    </w:p>
    <w:p w:rsidR="005E2F6F" w:rsidRPr="006D07B3" w:rsidRDefault="005E2F6F">
      <w:pPr>
        <w:widowControl/>
        <w:rPr>
          <w:rFonts w:ascii="Calibri" w:hAnsi="Calibri"/>
          <w:color w:val="000000"/>
          <w:sz w:val="24"/>
        </w:rPr>
      </w:pPr>
    </w:p>
    <w:p w:rsidR="005D1D13" w:rsidRPr="006D07B3" w:rsidRDefault="005D1D13">
      <w:pPr>
        <w:rPr>
          <w:rFonts w:ascii="Calibri" w:hAnsi="Calibri"/>
          <w:sz w:val="24"/>
        </w:rPr>
      </w:pPr>
    </w:p>
    <w:p w:rsidR="00000000" w:rsidRDefault="00F6570E">
      <w:pPr>
        <w:rPr>
          <w:rFonts w:ascii="Calibri" w:hAnsi="Calibri"/>
          <w:b/>
          <w:bCs/>
          <w:color w:val="000000"/>
          <w:sz w:val="24"/>
        </w:rPr>
      </w:pPr>
      <w:proofErr w:type="gramStart"/>
      <w:r w:rsidRPr="006D07B3">
        <w:rPr>
          <w:rFonts w:ascii="Calibri" w:hAnsi="Calibri"/>
          <w:b/>
          <w:bCs/>
          <w:color w:val="000000"/>
          <w:sz w:val="24"/>
        </w:rPr>
        <w:t>B-</w:t>
      </w:r>
      <w:r w:rsidR="005E2F6F" w:rsidRPr="006D07B3">
        <w:rPr>
          <w:rFonts w:ascii="Calibri" w:hAnsi="Calibri"/>
          <w:b/>
          <w:bCs/>
          <w:color w:val="000000"/>
          <w:sz w:val="24"/>
        </w:rPr>
        <w:t>2.</w:t>
      </w:r>
      <w:proofErr w:type="gramEnd"/>
      <w:r w:rsidR="005E2F6F" w:rsidRPr="006D07B3">
        <w:rPr>
          <w:rFonts w:ascii="Calibri" w:hAnsi="Calibri"/>
          <w:b/>
          <w:bCs/>
          <w:color w:val="000000"/>
          <w:sz w:val="24"/>
        </w:rPr>
        <w:tab/>
        <w:t xml:space="preserve"> The Sampling Methodology and Estimation Procedures </w:t>
      </w:r>
    </w:p>
    <w:p w:rsidR="005E2F6F" w:rsidRPr="006D07B3" w:rsidRDefault="005E2F6F">
      <w:pPr>
        <w:rPr>
          <w:rFonts w:ascii="Calibri" w:hAnsi="Calibri"/>
          <w:b/>
          <w:sz w:val="24"/>
        </w:rPr>
      </w:pPr>
    </w:p>
    <w:p w:rsidR="00BA5E70" w:rsidRPr="006D07B3" w:rsidRDefault="00BA5E70" w:rsidP="00BA5E70">
      <w:pPr>
        <w:pStyle w:val="Heading4"/>
        <w:rPr>
          <w:rFonts w:ascii="Calibri" w:hAnsi="Calibri"/>
          <w:sz w:val="24"/>
          <w:szCs w:val="24"/>
        </w:rPr>
      </w:pPr>
      <w:r w:rsidRPr="006D07B3">
        <w:rPr>
          <w:rFonts w:ascii="Calibri" w:hAnsi="Calibri"/>
          <w:sz w:val="24"/>
          <w:szCs w:val="24"/>
        </w:rPr>
        <w:t>Sampling Methodology</w:t>
      </w:r>
    </w:p>
    <w:p w:rsidR="00BA5E70" w:rsidRPr="006D07B3" w:rsidRDefault="00BA5E70" w:rsidP="00BA5E70">
      <w:pPr>
        <w:rPr>
          <w:rFonts w:ascii="Calibri" w:hAnsi="Calibri"/>
          <w:b/>
          <w:bCs/>
          <w:sz w:val="24"/>
        </w:rPr>
      </w:pPr>
    </w:p>
    <w:p w:rsidR="00BA5E70" w:rsidRPr="006D07B3" w:rsidRDefault="00BA5E70" w:rsidP="00BA5E70">
      <w:pPr>
        <w:rPr>
          <w:rFonts w:ascii="Calibri" w:hAnsi="Calibri"/>
          <w:sz w:val="24"/>
        </w:rPr>
      </w:pPr>
      <w:r w:rsidRPr="006D07B3">
        <w:rPr>
          <w:rFonts w:ascii="Calibri" w:hAnsi="Calibri"/>
          <w:sz w:val="24"/>
        </w:rPr>
        <w:t xml:space="preserve">The 2012 </w:t>
      </w:r>
      <w:smartTag w:uri="urn:schemas-microsoft-com:office:smarttags" w:element="PersonName">
        <w:r w:rsidRPr="006D07B3">
          <w:rPr>
            <w:rFonts w:ascii="Calibri" w:hAnsi="Calibri"/>
            <w:sz w:val="24"/>
          </w:rPr>
          <w:t>CBECS</w:t>
        </w:r>
      </w:smartTag>
      <w:r w:rsidRPr="006D07B3">
        <w:rPr>
          <w:rFonts w:ascii="Calibri" w:hAnsi="Calibri"/>
          <w:sz w:val="24"/>
        </w:rPr>
        <w:t xml:space="preserve"> design provides estimates of baseline energy consumption and related building characteristics for the universe of commercial buildings in the </w:t>
      </w:r>
      <w:smartTag w:uri="urn:schemas-microsoft-com:office:smarttags" w:element="country-region">
        <w:smartTag w:uri="urn:schemas-microsoft-com:office:smarttags" w:element="place">
          <w:r w:rsidRPr="006D07B3">
            <w:rPr>
              <w:rFonts w:ascii="Calibri" w:hAnsi="Calibri"/>
              <w:sz w:val="24"/>
            </w:rPr>
            <w:t>United States</w:t>
          </w:r>
        </w:smartTag>
      </w:smartTag>
      <w:r w:rsidRPr="006D07B3">
        <w:rPr>
          <w:rFonts w:ascii="Calibri" w:hAnsi="Calibri"/>
          <w:sz w:val="24"/>
        </w:rPr>
        <w:t>. The survey results will be presented at the national level, the four Census regions, and in instances where the data allow, at the Census division level, as well as by other characteristics such as climate zone, building type, total square footage, number of floors, and year constructed. The top priority levels of aggregat</w:t>
      </w:r>
      <w:r w:rsidR="00FC0287">
        <w:rPr>
          <w:rFonts w:ascii="Calibri" w:hAnsi="Calibri"/>
          <w:sz w:val="24"/>
        </w:rPr>
        <w:t xml:space="preserve">ion are the National and Census </w:t>
      </w:r>
      <w:r w:rsidRPr="006D07B3">
        <w:rPr>
          <w:rFonts w:ascii="Calibri" w:hAnsi="Calibri"/>
          <w:sz w:val="24"/>
        </w:rPr>
        <w:t xml:space="preserve">region estimates. </w:t>
      </w:r>
    </w:p>
    <w:p w:rsidR="00BA5E70" w:rsidRPr="006D07B3" w:rsidRDefault="00BA5E70" w:rsidP="00BA5E70">
      <w:pPr>
        <w:rPr>
          <w:rFonts w:ascii="Calibri" w:hAnsi="Calibri"/>
          <w:sz w:val="24"/>
        </w:rPr>
      </w:pPr>
      <w:r w:rsidRPr="006D07B3">
        <w:rPr>
          <w:rFonts w:ascii="Calibri" w:hAnsi="Calibri"/>
          <w:sz w:val="24"/>
        </w:rPr>
        <w:t xml:space="preserve"> </w:t>
      </w:r>
    </w:p>
    <w:p w:rsidR="00BA5E70" w:rsidRPr="006D07B3" w:rsidRDefault="00BA5E70" w:rsidP="00BA5E70">
      <w:pPr>
        <w:rPr>
          <w:rFonts w:ascii="Calibri" w:hAnsi="Calibri"/>
          <w:sz w:val="24"/>
          <w:u w:val="single"/>
        </w:rPr>
      </w:pPr>
      <w:r w:rsidRPr="006D07B3">
        <w:rPr>
          <w:rFonts w:ascii="Calibri" w:hAnsi="Calibri"/>
          <w:sz w:val="24"/>
        </w:rPr>
        <w:t xml:space="preserve">Similar aggregations of data were produced from the 1979, 1983, 1986, 1989, 1992, 1995, 1999 and 2003 </w:t>
      </w:r>
      <w:smartTag w:uri="urn:schemas-microsoft-com:office:smarttags" w:element="PersonName">
        <w:r w:rsidRPr="006D07B3">
          <w:rPr>
            <w:rFonts w:ascii="Calibri" w:hAnsi="Calibri"/>
            <w:sz w:val="24"/>
          </w:rPr>
          <w:t>CBECS</w:t>
        </w:r>
      </w:smartTag>
      <w:r w:rsidRPr="006D07B3">
        <w:rPr>
          <w:rFonts w:ascii="Calibri" w:hAnsi="Calibri"/>
          <w:sz w:val="24"/>
        </w:rPr>
        <w:t xml:space="preserve">. The 2007 CBECS sample design did not yield statistically valid results. For the 2003 </w:t>
      </w:r>
      <w:smartTag w:uri="urn:schemas-microsoft-com:office:smarttags" w:element="PersonName">
        <w:r w:rsidRPr="006D07B3">
          <w:rPr>
            <w:rFonts w:ascii="Calibri" w:hAnsi="Calibri"/>
            <w:sz w:val="24"/>
          </w:rPr>
          <w:t>CBECS</w:t>
        </w:r>
      </w:smartTag>
      <w:r w:rsidRPr="006D07B3">
        <w:rPr>
          <w:rFonts w:ascii="Calibri" w:hAnsi="Calibri"/>
          <w:sz w:val="24"/>
        </w:rPr>
        <w:t xml:space="preserve">, the sample of </w:t>
      </w:r>
      <w:r w:rsidRPr="006D07B3">
        <w:rPr>
          <w:rFonts w:ascii="Calibri" w:hAnsi="Calibri"/>
          <w:color w:val="000000"/>
          <w:sz w:val="24"/>
        </w:rPr>
        <w:t>5,215</w:t>
      </w:r>
      <w:r w:rsidRPr="006D07B3">
        <w:rPr>
          <w:rFonts w:ascii="Calibri" w:hAnsi="Calibri"/>
          <w:color w:val="FF0000"/>
          <w:sz w:val="24"/>
        </w:rPr>
        <w:t xml:space="preserve"> </w:t>
      </w:r>
      <w:r w:rsidRPr="006D07B3">
        <w:rPr>
          <w:rFonts w:ascii="Calibri" w:hAnsi="Calibri"/>
          <w:sz w:val="24"/>
        </w:rPr>
        <w:t>completed building interviews resulted in a relative standard error (RSE) of approximately 4</w:t>
      </w:r>
      <w:r w:rsidRPr="006D07B3">
        <w:rPr>
          <w:rFonts w:ascii="Calibri" w:hAnsi="Calibri"/>
          <w:color w:val="FF0000"/>
          <w:sz w:val="24"/>
        </w:rPr>
        <w:t xml:space="preserve"> </w:t>
      </w:r>
      <w:r w:rsidRPr="006D07B3">
        <w:rPr>
          <w:rFonts w:ascii="Calibri" w:hAnsi="Calibri"/>
          <w:color w:val="000000"/>
          <w:sz w:val="24"/>
        </w:rPr>
        <w:t>percent</w:t>
      </w:r>
      <w:r w:rsidRPr="006D07B3">
        <w:rPr>
          <w:rFonts w:ascii="Calibri" w:hAnsi="Calibri"/>
          <w:sz w:val="24"/>
        </w:rPr>
        <w:t xml:space="preserve"> for national estimates of total energy consumption</w:t>
      </w:r>
      <w:r w:rsidR="00160DD5">
        <w:rPr>
          <w:rFonts w:ascii="Calibri" w:hAnsi="Calibri"/>
          <w:sz w:val="24"/>
        </w:rPr>
        <w:t xml:space="preserve">. At the regional level, energy </w:t>
      </w:r>
      <w:r w:rsidRPr="006D07B3">
        <w:rPr>
          <w:rFonts w:ascii="Calibri" w:hAnsi="Calibri"/>
          <w:sz w:val="24"/>
        </w:rPr>
        <w:t xml:space="preserve">consumption RSEs </w:t>
      </w:r>
      <w:proofErr w:type="gramStart"/>
      <w:r w:rsidRPr="006D07B3">
        <w:rPr>
          <w:rFonts w:ascii="Calibri" w:hAnsi="Calibri"/>
          <w:sz w:val="24"/>
        </w:rPr>
        <w:t>were</w:t>
      </w:r>
      <w:proofErr w:type="gramEnd"/>
      <w:r w:rsidRPr="006D07B3">
        <w:rPr>
          <w:rFonts w:ascii="Calibri" w:hAnsi="Calibri"/>
          <w:sz w:val="24"/>
        </w:rPr>
        <w:t xml:space="preserve"> between 5 and 11 percent, depending on the region. For energy expenditures at the national and regional levels, the RSEs were similar to the RSEs for total consumption (See Tables C3A-C6A: Consumption and Expenditures RSE Tables: </w:t>
      </w:r>
      <w:hyperlink r:id="rId8" w:history="1">
        <w:r w:rsidR="00D64C76" w:rsidRPr="005C7BD2">
          <w:rPr>
            <w:rStyle w:val="Hyperlink"/>
            <w:rFonts w:ascii="Calibri" w:hAnsi="Calibri"/>
            <w:sz w:val="24"/>
          </w:rPr>
          <w:t>http://www.eia.gov/emeu/cbecs/cbecs2003/detailed_tables_2003/2003rsetables.html</w:t>
        </w:r>
      </w:hyperlink>
      <w:r w:rsidRPr="006D07B3">
        <w:rPr>
          <w:rFonts w:ascii="Calibri" w:hAnsi="Calibri"/>
          <w:sz w:val="24"/>
          <w:u w:val="single"/>
        </w:rPr>
        <w:t>)</w:t>
      </w:r>
    </w:p>
    <w:p w:rsidR="00BA5E70" w:rsidRPr="006D07B3" w:rsidRDefault="00BA5E70" w:rsidP="00BA5E70">
      <w:pPr>
        <w:pStyle w:val="FootnoteText"/>
        <w:rPr>
          <w:rFonts w:ascii="Calibri" w:hAnsi="Calibri"/>
          <w:sz w:val="24"/>
          <w:szCs w:val="24"/>
        </w:rPr>
      </w:pPr>
    </w:p>
    <w:p w:rsidR="00BA5E70" w:rsidRPr="006D07B3" w:rsidRDefault="00BA5E70" w:rsidP="00BA5E70">
      <w:pPr>
        <w:rPr>
          <w:rFonts w:ascii="Calibri" w:hAnsi="Calibri"/>
          <w:sz w:val="24"/>
        </w:rPr>
      </w:pPr>
      <w:r w:rsidRPr="006D07B3">
        <w:rPr>
          <w:rFonts w:ascii="Calibri" w:hAnsi="Calibri"/>
          <w:sz w:val="24"/>
        </w:rPr>
        <w:t xml:space="preserve">Similar to previous CBECS, there are two parts to </w:t>
      </w:r>
      <w:r w:rsidR="00D64C76">
        <w:rPr>
          <w:rFonts w:ascii="Calibri" w:hAnsi="Calibri"/>
          <w:sz w:val="24"/>
        </w:rPr>
        <w:t>the 2012 CBECS</w:t>
      </w:r>
      <w:r w:rsidRPr="006D07B3">
        <w:rPr>
          <w:rFonts w:ascii="Calibri" w:hAnsi="Calibri"/>
          <w:sz w:val="24"/>
        </w:rPr>
        <w:t xml:space="preserve"> sample design, a multistage area probability sample and a supplemental sample of special buildings.</w:t>
      </w:r>
    </w:p>
    <w:p w:rsidR="00BA5E70" w:rsidRPr="006D07B3" w:rsidRDefault="00BA5E70" w:rsidP="00BA5E70">
      <w:pPr>
        <w:rPr>
          <w:rFonts w:ascii="Calibri" w:hAnsi="Calibri"/>
          <w:b/>
          <w:sz w:val="24"/>
        </w:rPr>
      </w:pPr>
    </w:p>
    <w:p w:rsidR="00BA5E70" w:rsidRPr="006D07B3" w:rsidRDefault="00BA5E70" w:rsidP="00BA5E70">
      <w:pPr>
        <w:rPr>
          <w:rFonts w:ascii="Calibri" w:hAnsi="Calibri"/>
          <w:sz w:val="24"/>
        </w:rPr>
      </w:pPr>
      <w:r w:rsidRPr="006D07B3">
        <w:rPr>
          <w:rFonts w:ascii="Calibri" w:hAnsi="Calibri"/>
          <w:b/>
          <w:sz w:val="24"/>
        </w:rPr>
        <w:t xml:space="preserve">Multistage Area Probability Frame </w:t>
      </w:r>
    </w:p>
    <w:p w:rsidR="00BA5E70" w:rsidRPr="006D07B3" w:rsidRDefault="00BA5E70" w:rsidP="00BA5E70">
      <w:pPr>
        <w:rPr>
          <w:rFonts w:ascii="Calibri" w:hAnsi="Calibri"/>
          <w:sz w:val="24"/>
        </w:rPr>
      </w:pPr>
    </w:p>
    <w:p w:rsidR="00BA5E70" w:rsidRPr="006D07B3" w:rsidRDefault="00BA5E70" w:rsidP="00BA5E70">
      <w:pPr>
        <w:rPr>
          <w:rFonts w:ascii="Calibri" w:hAnsi="Calibri"/>
          <w:sz w:val="24"/>
        </w:rPr>
      </w:pPr>
      <w:r w:rsidRPr="006D07B3">
        <w:rPr>
          <w:rFonts w:ascii="Calibri" w:hAnsi="Calibri"/>
          <w:sz w:val="24"/>
        </w:rPr>
        <w:t xml:space="preserve">The 2012 </w:t>
      </w:r>
      <w:smartTag w:uri="urn:schemas-microsoft-com:office:smarttags" w:element="PersonName">
        <w:r w:rsidRPr="006D07B3">
          <w:rPr>
            <w:rFonts w:ascii="Calibri" w:hAnsi="Calibri"/>
            <w:sz w:val="24"/>
          </w:rPr>
          <w:t>CBECS</w:t>
        </w:r>
      </w:smartTag>
      <w:r w:rsidRPr="006D07B3">
        <w:rPr>
          <w:rFonts w:ascii="Calibri" w:hAnsi="Calibri"/>
          <w:sz w:val="24"/>
        </w:rPr>
        <w:t xml:space="preserve"> is based on a sample frame and design that was new for the 2003 </w:t>
      </w:r>
      <w:smartTag w:uri="urn:schemas-microsoft-com:office:smarttags" w:element="PersonName">
        <w:r w:rsidRPr="006D07B3">
          <w:rPr>
            <w:rFonts w:ascii="Calibri" w:hAnsi="Calibri"/>
            <w:sz w:val="24"/>
          </w:rPr>
          <w:t>CBECS</w:t>
        </w:r>
      </w:smartTag>
      <w:r w:rsidRPr="006D07B3">
        <w:rPr>
          <w:rFonts w:ascii="Calibri" w:hAnsi="Calibri"/>
          <w:sz w:val="24"/>
        </w:rPr>
        <w:t>.</w:t>
      </w:r>
      <w:r w:rsidR="005847D7">
        <w:rPr>
          <w:rFonts w:ascii="Calibri" w:hAnsi="Calibri"/>
          <w:sz w:val="24"/>
        </w:rPr>
        <w:t xml:space="preserve">  The 2003 design is described below. </w:t>
      </w:r>
      <w:r w:rsidRPr="006D07B3">
        <w:rPr>
          <w:rFonts w:ascii="Calibri" w:hAnsi="Calibri"/>
          <w:sz w:val="24"/>
        </w:rPr>
        <w:t xml:space="preserve"> Previous </w:t>
      </w:r>
      <w:smartTag w:uri="urn:schemas-microsoft-com:office:smarttags" w:element="PersonName">
        <w:r w:rsidRPr="006D07B3">
          <w:rPr>
            <w:rFonts w:ascii="Calibri" w:hAnsi="Calibri"/>
            <w:sz w:val="24"/>
          </w:rPr>
          <w:t>CBECS</w:t>
        </w:r>
      </w:smartTag>
      <w:r w:rsidRPr="006D07B3">
        <w:rPr>
          <w:rFonts w:ascii="Calibri" w:hAnsi="Calibri"/>
          <w:sz w:val="24"/>
        </w:rPr>
        <w:t xml:space="preserve"> were based on a 1986 sample design that was updated for new construction for each subsequent survey cycle. The general approach of the multistage area probability sample design is to sample and subsample successively smaller geographic areas until it is feasible to list all commercial buildings in the selected areas. </w:t>
      </w:r>
    </w:p>
    <w:p w:rsidR="00BA5E70" w:rsidRPr="006D07B3" w:rsidRDefault="00BA5E70" w:rsidP="00BA5E70">
      <w:pPr>
        <w:rPr>
          <w:rFonts w:ascii="Calibri" w:hAnsi="Calibri"/>
          <w:sz w:val="24"/>
        </w:rPr>
      </w:pPr>
    </w:p>
    <w:p w:rsidR="00BA5E70" w:rsidRPr="006D07B3" w:rsidRDefault="00BA5E70" w:rsidP="00BA5E70">
      <w:pPr>
        <w:rPr>
          <w:rFonts w:ascii="Calibri" w:hAnsi="Calibri"/>
          <w:color w:val="000000"/>
          <w:sz w:val="24"/>
        </w:rPr>
      </w:pPr>
      <w:r w:rsidRPr="006D07B3">
        <w:rPr>
          <w:rFonts w:ascii="Calibri" w:hAnsi="Calibri"/>
          <w:b/>
          <w:i/>
          <w:sz w:val="24"/>
        </w:rPr>
        <w:t>Primary Sampling Unit (PSU):</w:t>
      </w:r>
      <w:r w:rsidRPr="006D07B3">
        <w:rPr>
          <w:rFonts w:ascii="Calibri" w:hAnsi="Calibri"/>
          <w:b/>
          <w:sz w:val="24"/>
        </w:rPr>
        <w:t xml:space="preserve"> </w:t>
      </w:r>
      <w:r w:rsidRPr="006D07B3">
        <w:rPr>
          <w:rFonts w:ascii="Calibri" w:hAnsi="Calibri"/>
          <w:sz w:val="24"/>
        </w:rPr>
        <w:t xml:space="preserve">In the multistage area sample portion of the 2003 </w:t>
      </w:r>
      <w:smartTag w:uri="urn:schemas-microsoft-com:office:smarttags" w:element="PersonName">
        <w:r w:rsidRPr="006D07B3">
          <w:rPr>
            <w:rFonts w:ascii="Calibri" w:hAnsi="Calibri"/>
            <w:sz w:val="24"/>
          </w:rPr>
          <w:t>CBECS</w:t>
        </w:r>
      </w:smartTag>
      <w:r w:rsidRPr="006D07B3">
        <w:rPr>
          <w:rFonts w:ascii="Calibri" w:hAnsi="Calibri"/>
          <w:sz w:val="24"/>
        </w:rPr>
        <w:t xml:space="preserve"> design, the approximate </w:t>
      </w:r>
      <w:r w:rsidRPr="006D07B3">
        <w:rPr>
          <w:rFonts w:ascii="Calibri" w:hAnsi="Calibri"/>
          <w:color w:val="000000"/>
          <w:sz w:val="24"/>
        </w:rPr>
        <w:t>3,100 counties and independent cities in the 50 States and the District of Columbia are grouped into 687 PSUs. The boundaries of these PSUs are contiguous with the boundaries of counties, and independent cities. Of the 687 PSUs in the frame, 108 are selected for the sample PSUs.</w:t>
      </w:r>
    </w:p>
    <w:p w:rsidR="00BA5E70" w:rsidRPr="006D07B3" w:rsidRDefault="00BA5E70" w:rsidP="00BA5E70">
      <w:pPr>
        <w:rPr>
          <w:rFonts w:ascii="Calibri" w:hAnsi="Calibri"/>
          <w:color w:val="000000"/>
          <w:sz w:val="24"/>
        </w:rPr>
      </w:pPr>
    </w:p>
    <w:p w:rsidR="00BA5E70" w:rsidRPr="006D07B3" w:rsidRDefault="00BA5E70" w:rsidP="00BA5E70">
      <w:pPr>
        <w:rPr>
          <w:rFonts w:ascii="Calibri" w:hAnsi="Calibri"/>
          <w:color w:val="000000"/>
          <w:sz w:val="24"/>
        </w:rPr>
      </w:pPr>
      <w:r w:rsidRPr="006D07B3">
        <w:rPr>
          <w:rFonts w:ascii="Calibri" w:hAnsi="Calibri"/>
          <w:color w:val="000000"/>
          <w:sz w:val="24"/>
        </w:rPr>
        <w:t xml:space="preserve">The PSUs in the frame are grouped into 65 strata that are relatively homogeneous based on geographic characteristics such as similar climate and topography. These strata are designed not for estimation purposes, but as representative homogeneous groupings from which PSUs are selected. Because of this rationale, a given stratum may include geographic areas that are not contiguous.  </w:t>
      </w:r>
    </w:p>
    <w:p w:rsidR="00BA5E70" w:rsidRPr="006D07B3" w:rsidRDefault="00BA5E70" w:rsidP="00BA5E70">
      <w:pPr>
        <w:rPr>
          <w:rFonts w:ascii="Calibri" w:hAnsi="Calibri"/>
          <w:color w:val="000000"/>
          <w:sz w:val="24"/>
        </w:rPr>
      </w:pPr>
    </w:p>
    <w:p w:rsidR="00BA5E70" w:rsidRPr="006D07B3" w:rsidRDefault="00BA5E70" w:rsidP="00BA5E70">
      <w:pPr>
        <w:rPr>
          <w:rFonts w:ascii="Calibri" w:hAnsi="Calibri"/>
          <w:color w:val="000000"/>
          <w:sz w:val="24"/>
        </w:rPr>
      </w:pPr>
      <w:r w:rsidRPr="006D07B3">
        <w:rPr>
          <w:rFonts w:ascii="Calibri" w:hAnsi="Calibri"/>
          <w:color w:val="000000"/>
          <w:sz w:val="24"/>
        </w:rPr>
        <w:t xml:space="preserve">Twenty of the 65 strata contained only one PSU and were sampled with certainty. The remaining 45 </w:t>
      </w:r>
      <w:proofErr w:type="spellStart"/>
      <w:r w:rsidRPr="006D07B3">
        <w:rPr>
          <w:rFonts w:ascii="Calibri" w:hAnsi="Calibri"/>
          <w:color w:val="000000"/>
          <w:sz w:val="24"/>
        </w:rPr>
        <w:t>noncertainty</w:t>
      </w:r>
      <w:proofErr w:type="spellEnd"/>
      <w:r w:rsidRPr="006D07B3">
        <w:rPr>
          <w:rFonts w:ascii="Calibri" w:hAnsi="Calibri"/>
          <w:color w:val="000000"/>
          <w:sz w:val="24"/>
        </w:rPr>
        <w:t xml:space="preserve"> strata contained multiple PSUs. In 43 of these strata, two PSUs were selected using probabilities proportional to a measure of size that relates to commercial activity (in the last 2 strata, only one PSU was selected). These selections resulted in 88 </w:t>
      </w:r>
      <w:proofErr w:type="spellStart"/>
      <w:r w:rsidRPr="006D07B3">
        <w:rPr>
          <w:rFonts w:ascii="Calibri" w:hAnsi="Calibri"/>
          <w:color w:val="000000"/>
          <w:sz w:val="24"/>
        </w:rPr>
        <w:t>noncertainty</w:t>
      </w:r>
      <w:proofErr w:type="spellEnd"/>
      <w:r w:rsidRPr="006D07B3">
        <w:rPr>
          <w:rFonts w:ascii="Calibri" w:hAnsi="Calibri"/>
          <w:color w:val="000000"/>
          <w:sz w:val="24"/>
        </w:rPr>
        <w:t xml:space="preserve"> PSUs and 20 certainty PSUs. </w:t>
      </w:r>
    </w:p>
    <w:p w:rsidR="00BA5E70" w:rsidRPr="006D07B3" w:rsidRDefault="00BA5E70" w:rsidP="00BA5E70">
      <w:pPr>
        <w:rPr>
          <w:rFonts w:ascii="Calibri" w:hAnsi="Calibri"/>
          <w:color w:val="000000"/>
          <w:sz w:val="24"/>
        </w:rPr>
      </w:pPr>
      <w:r w:rsidRPr="006D07B3">
        <w:rPr>
          <w:rFonts w:ascii="Calibri" w:hAnsi="Calibri"/>
          <w:color w:val="000000"/>
          <w:sz w:val="24"/>
        </w:rPr>
        <w:t xml:space="preserve"> </w:t>
      </w:r>
    </w:p>
    <w:p w:rsidR="00BA5E70" w:rsidRPr="006D07B3" w:rsidRDefault="00BA5E70" w:rsidP="00BA5E70">
      <w:pPr>
        <w:rPr>
          <w:rFonts w:ascii="Calibri" w:hAnsi="Calibri"/>
          <w:color w:val="000000"/>
          <w:sz w:val="24"/>
        </w:rPr>
      </w:pPr>
      <w:r w:rsidRPr="006D07B3">
        <w:rPr>
          <w:rFonts w:ascii="Calibri" w:hAnsi="Calibri"/>
          <w:b/>
          <w:i/>
          <w:color w:val="000000"/>
          <w:sz w:val="24"/>
        </w:rPr>
        <w:t>Secondary Sampling Unit (SSU):</w:t>
      </w:r>
      <w:r w:rsidRPr="006D07B3">
        <w:rPr>
          <w:rFonts w:ascii="Calibri" w:hAnsi="Calibri"/>
          <w:i/>
          <w:color w:val="000000"/>
          <w:sz w:val="24"/>
        </w:rPr>
        <w:t xml:space="preserve"> </w:t>
      </w:r>
      <w:r w:rsidRPr="006D07B3">
        <w:rPr>
          <w:rFonts w:ascii="Calibri" w:hAnsi="Calibri"/>
          <w:color w:val="000000"/>
          <w:sz w:val="24"/>
        </w:rPr>
        <w:t xml:space="preserve"> The next step in the multistage area sampling procedure consists of selecting subareas within each sampled PSU. Within the 108 sample PSUs, 7,031 SSUs were constructed by combining 23,117 Census tracts. Of these, 511 SSUs were selected in the main sample and 220 were in a reserve sample to be used only if one of the main SSUs had no buildings or if there were a shortage of listed buildings at the PSU level. The boundaries of the SSUs coincide with those of the Census tracts available from the Bureau of the Census.</w:t>
      </w:r>
    </w:p>
    <w:p w:rsidR="00BA5E70" w:rsidRPr="006D07B3" w:rsidRDefault="00BA5E70" w:rsidP="00BA5E70">
      <w:pPr>
        <w:rPr>
          <w:rFonts w:ascii="Calibri" w:hAnsi="Calibri"/>
          <w:color w:val="FF0000"/>
          <w:sz w:val="24"/>
        </w:rPr>
      </w:pPr>
    </w:p>
    <w:p w:rsidR="00BA5E70" w:rsidRPr="006D07B3" w:rsidRDefault="00BA5E70" w:rsidP="00BA5E70">
      <w:pPr>
        <w:rPr>
          <w:rFonts w:ascii="Calibri" w:hAnsi="Calibri"/>
          <w:color w:val="000000"/>
          <w:sz w:val="24"/>
        </w:rPr>
      </w:pPr>
      <w:r w:rsidRPr="006D07B3">
        <w:rPr>
          <w:rFonts w:ascii="Calibri" w:hAnsi="Calibri"/>
          <w:b/>
          <w:i/>
          <w:color w:val="000000"/>
          <w:sz w:val="24"/>
        </w:rPr>
        <w:t xml:space="preserve">Buildings: </w:t>
      </w:r>
      <w:r w:rsidRPr="006D07B3">
        <w:rPr>
          <w:rFonts w:ascii="Calibri" w:hAnsi="Calibri"/>
          <w:color w:val="000000"/>
          <w:sz w:val="24"/>
        </w:rPr>
        <w:t>The final step consists of selecting buildings within each sampled segment.  A segment is the same as an SSU in most cases.  In geographically large SSUs, segments are smaller areas of the SSU that are broken up, or “chunked</w:t>
      </w:r>
      <w:r w:rsidR="00D64C76">
        <w:rPr>
          <w:rFonts w:ascii="Calibri" w:hAnsi="Calibri"/>
          <w:color w:val="000000"/>
          <w:sz w:val="24"/>
        </w:rPr>
        <w:t>,”</w:t>
      </w:r>
      <w:r w:rsidRPr="006D07B3">
        <w:rPr>
          <w:rFonts w:ascii="Calibri" w:hAnsi="Calibri"/>
          <w:color w:val="000000"/>
          <w:sz w:val="24"/>
        </w:rPr>
        <w:t xml:space="preserve"> and </w:t>
      </w:r>
      <w:proofErr w:type="spellStart"/>
      <w:r w:rsidRPr="006D07B3">
        <w:rPr>
          <w:rFonts w:ascii="Calibri" w:hAnsi="Calibri"/>
          <w:color w:val="000000"/>
          <w:sz w:val="24"/>
        </w:rPr>
        <w:t>subsampled</w:t>
      </w:r>
      <w:proofErr w:type="spellEnd"/>
      <w:r w:rsidRPr="006D07B3">
        <w:rPr>
          <w:rFonts w:ascii="Calibri" w:hAnsi="Calibri"/>
          <w:color w:val="000000"/>
          <w:sz w:val="24"/>
        </w:rPr>
        <w:t xml:space="preserve"> so that these areas are feasible to list. A field listing was conducted in 515 segments (511 main sample and 4 reserve sample segments) that produced a listing of all commercial buildings, their size and type. Buildings are selected for inclusion in the sample from these listings.  Sampling rates within each size and building use category are calculated with an optimization formula that minimizes the variance of total estimated energy consumption. </w:t>
      </w:r>
    </w:p>
    <w:p w:rsidR="00BA5E70" w:rsidRPr="006D07B3" w:rsidRDefault="00BA5E70" w:rsidP="00BA5E70">
      <w:pPr>
        <w:rPr>
          <w:rFonts w:ascii="Calibri" w:hAnsi="Calibri"/>
          <w:color w:val="000000"/>
          <w:sz w:val="24"/>
        </w:rPr>
      </w:pPr>
    </w:p>
    <w:p w:rsidR="00BA5E70" w:rsidRPr="006D07B3" w:rsidRDefault="00BA5E70" w:rsidP="00BA5E70">
      <w:pPr>
        <w:pStyle w:val="Heading5"/>
        <w:rPr>
          <w:rFonts w:ascii="Calibri" w:hAnsi="Calibri"/>
          <w:sz w:val="24"/>
          <w:szCs w:val="24"/>
        </w:rPr>
      </w:pPr>
      <w:r w:rsidRPr="006D07B3">
        <w:rPr>
          <w:rFonts w:ascii="Calibri" w:hAnsi="Calibri"/>
          <w:sz w:val="24"/>
          <w:szCs w:val="24"/>
        </w:rPr>
        <w:t xml:space="preserve">List Frame of Special Buildings </w:t>
      </w:r>
    </w:p>
    <w:p w:rsidR="00BA5E70" w:rsidRPr="006D07B3" w:rsidRDefault="00BA5E70" w:rsidP="00BA5E70">
      <w:pPr>
        <w:rPr>
          <w:rFonts w:ascii="Calibri" w:hAnsi="Calibri"/>
          <w:b/>
          <w:color w:val="000000"/>
          <w:sz w:val="24"/>
        </w:rPr>
      </w:pPr>
    </w:p>
    <w:p w:rsidR="00BA5E70" w:rsidRPr="006D07B3" w:rsidRDefault="00BA5E70" w:rsidP="00BA5E70">
      <w:pPr>
        <w:pStyle w:val="BodyText"/>
        <w:widowControl w:val="0"/>
        <w:rPr>
          <w:rFonts w:ascii="Calibri" w:hAnsi="Calibri"/>
          <w:b/>
          <w:sz w:val="24"/>
          <w:szCs w:val="24"/>
        </w:rPr>
      </w:pPr>
      <w:r w:rsidRPr="006D07B3">
        <w:rPr>
          <w:rFonts w:ascii="Calibri" w:hAnsi="Calibri"/>
          <w:sz w:val="24"/>
          <w:szCs w:val="24"/>
        </w:rPr>
        <w:t xml:space="preserve">It is desirable to sample large buildings at a higher rate than small buildings because of the relatively large amount of energy that is consumed in large buildings. However, the area sampling procedure cannot provide an optimally efficient mix of large and small buildings unless an exceedingly large number of buildings are listed in order to guarantee that a sufficient number of very large buildings would be available for sampling. </w:t>
      </w:r>
    </w:p>
    <w:p w:rsidR="00BA5E70" w:rsidRPr="006D07B3" w:rsidRDefault="00BA5E70" w:rsidP="00BA5E70">
      <w:pPr>
        <w:rPr>
          <w:rFonts w:ascii="Calibri" w:hAnsi="Calibri"/>
          <w:b/>
          <w:color w:val="000000"/>
          <w:sz w:val="24"/>
        </w:rPr>
      </w:pPr>
    </w:p>
    <w:p w:rsidR="00BA5E70" w:rsidRPr="006D07B3" w:rsidRDefault="00BA5E70" w:rsidP="00BA5E70">
      <w:pPr>
        <w:rPr>
          <w:rFonts w:ascii="Calibri" w:hAnsi="Calibri"/>
          <w:color w:val="000000"/>
          <w:sz w:val="24"/>
        </w:rPr>
      </w:pPr>
      <w:r w:rsidRPr="006D07B3">
        <w:rPr>
          <w:rFonts w:ascii="Calibri" w:hAnsi="Calibri"/>
          <w:color w:val="000000"/>
          <w:sz w:val="24"/>
        </w:rPr>
        <w:t xml:space="preserve">To compensate for this inefficiency of the area sample, special lists of government buildings, schools, hospitals, airports, and other large buildings are prepared for the sample PSUs. To complete the full 2012 sample, buildings will be sampled from these lists at the PSU level and then combined with those selected by the area sampling procedure after checking the frames for duplication. </w:t>
      </w:r>
    </w:p>
    <w:p w:rsidR="00BA5E70" w:rsidRPr="006D07B3" w:rsidRDefault="00BA5E70" w:rsidP="00BA5E70">
      <w:pPr>
        <w:rPr>
          <w:rFonts w:ascii="Calibri" w:hAnsi="Calibri"/>
          <w:color w:val="000000"/>
          <w:sz w:val="24"/>
        </w:rPr>
      </w:pPr>
    </w:p>
    <w:p w:rsidR="00BA5E70" w:rsidRPr="006D07B3" w:rsidRDefault="00BA5E70" w:rsidP="00BA5E70">
      <w:pPr>
        <w:rPr>
          <w:rFonts w:ascii="Calibri" w:hAnsi="Calibri"/>
          <w:color w:val="FF0000"/>
          <w:sz w:val="24"/>
        </w:rPr>
      </w:pPr>
      <w:r w:rsidRPr="006D07B3">
        <w:rPr>
          <w:rFonts w:ascii="Calibri" w:hAnsi="Calibri"/>
          <w:color w:val="000000"/>
          <w:sz w:val="24"/>
        </w:rPr>
        <w:t>The list frame consists of: U.S</w:t>
      </w:r>
      <w:r w:rsidR="00D64C76">
        <w:rPr>
          <w:rFonts w:ascii="Calibri" w:hAnsi="Calibri"/>
          <w:color w:val="000000"/>
          <w:sz w:val="24"/>
        </w:rPr>
        <w:t>.</w:t>
      </w:r>
      <w:r w:rsidRPr="006D07B3">
        <w:rPr>
          <w:rFonts w:ascii="Calibri" w:hAnsi="Calibri"/>
          <w:color w:val="000000"/>
          <w:sz w:val="24"/>
        </w:rPr>
        <w:t xml:space="preserve"> Government buildings that are at least 200,000 square feet</w:t>
      </w:r>
      <w:r w:rsidR="003A503F">
        <w:rPr>
          <w:rFonts w:ascii="Calibri" w:hAnsi="Calibri"/>
          <w:color w:val="000000"/>
          <w:sz w:val="24"/>
        </w:rPr>
        <w:t xml:space="preserve"> (from </w:t>
      </w:r>
      <w:r w:rsidR="003A503F">
        <w:rPr>
          <w:rFonts w:ascii="Calibri" w:hAnsi="Calibri"/>
          <w:color w:val="000000"/>
          <w:sz w:val="24"/>
        </w:rPr>
        <w:lastRenderedPageBreak/>
        <w:t>the General Services Administration Real Property Inventory)</w:t>
      </w:r>
      <w:r w:rsidRPr="006D07B3">
        <w:rPr>
          <w:rFonts w:ascii="Calibri" w:hAnsi="Calibri"/>
          <w:color w:val="000000"/>
          <w:sz w:val="24"/>
        </w:rPr>
        <w:t xml:space="preserve">; four-year colleges and universities that are estimated to have at least 1,000,000 square feet of </w:t>
      </w:r>
      <w:proofErr w:type="spellStart"/>
      <w:r w:rsidRPr="006D07B3">
        <w:rPr>
          <w:rFonts w:ascii="Calibri" w:hAnsi="Calibri"/>
          <w:color w:val="000000"/>
          <w:sz w:val="24"/>
        </w:rPr>
        <w:t>floorspace</w:t>
      </w:r>
      <w:proofErr w:type="spellEnd"/>
      <w:r w:rsidR="003A503F">
        <w:rPr>
          <w:rFonts w:ascii="Calibri" w:hAnsi="Calibri"/>
          <w:color w:val="000000"/>
          <w:sz w:val="24"/>
        </w:rPr>
        <w:t xml:space="preserve"> (from the Integrated Postsecondary Education Data System)</w:t>
      </w:r>
      <w:r w:rsidRPr="006D07B3">
        <w:rPr>
          <w:rFonts w:ascii="Calibri" w:hAnsi="Calibri"/>
          <w:color w:val="000000"/>
          <w:sz w:val="24"/>
        </w:rPr>
        <w:t xml:space="preserve">; hospitals that are estimated to have at least 200,000 square feet of </w:t>
      </w:r>
      <w:proofErr w:type="spellStart"/>
      <w:r w:rsidRPr="006D07B3">
        <w:rPr>
          <w:rFonts w:ascii="Calibri" w:hAnsi="Calibri"/>
          <w:color w:val="000000"/>
          <w:sz w:val="24"/>
        </w:rPr>
        <w:t>floorspace</w:t>
      </w:r>
      <w:proofErr w:type="spellEnd"/>
      <w:r w:rsidR="003A503F">
        <w:rPr>
          <w:rFonts w:ascii="Calibri" w:hAnsi="Calibri"/>
          <w:color w:val="000000"/>
          <w:sz w:val="24"/>
        </w:rPr>
        <w:t xml:space="preserve"> (</w:t>
      </w:r>
      <w:r w:rsidR="00C0459A">
        <w:rPr>
          <w:rFonts w:ascii="Calibri" w:hAnsi="Calibri"/>
          <w:color w:val="000000"/>
          <w:sz w:val="24"/>
        </w:rPr>
        <w:t xml:space="preserve">purchased </w:t>
      </w:r>
      <w:r w:rsidR="003A503F">
        <w:rPr>
          <w:rFonts w:ascii="Calibri" w:hAnsi="Calibri"/>
          <w:color w:val="000000"/>
          <w:sz w:val="24"/>
        </w:rPr>
        <w:t>from the IMS Healthcare Market Index)</w:t>
      </w:r>
      <w:r w:rsidRPr="006D07B3">
        <w:rPr>
          <w:rFonts w:ascii="Calibri" w:hAnsi="Calibri"/>
          <w:color w:val="000000"/>
          <w:sz w:val="24"/>
        </w:rPr>
        <w:t xml:space="preserve">; a list of airports </w:t>
      </w:r>
      <w:r w:rsidR="003A503F">
        <w:rPr>
          <w:rFonts w:ascii="Calibri" w:hAnsi="Calibri"/>
          <w:color w:val="000000"/>
          <w:sz w:val="24"/>
        </w:rPr>
        <w:t>(</w:t>
      </w:r>
      <w:r w:rsidRPr="006D07B3">
        <w:rPr>
          <w:rFonts w:ascii="Calibri" w:hAnsi="Calibri"/>
          <w:color w:val="000000"/>
          <w:sz w:val="24"/>
        </w:rPr>
        <w:t>from the F</w:t>
      </w:r>
      <w:r w:rsidR="003A503F">
        <w:rPr>
          <w:rFonts w:ascii="Calibri" w:hAnsi="Calibri"/>
          <w:color w:val="000000"/>
          <w:sz w:val="24"/>
        </w:rPr>
        <w:t xml:space="preserve">ederal </w:t>
      </w:r>
      <w:r w:rsidRPr="006D07B3">
        <w:rPr>
          <w:rFonts w:ascii="Calibri" w:hAnsi="Calibri"/>
          <w:color w:val="000000"/>
          <w:sz w:val="24"/>
        </w:rPr>
        <w:t>A</w:t>
      </w:r>
      <w:r w:rsidR="003A503F">
        <w:rPr>
          <w:rFonts w:ascii="Calibri" w:hAnsi="Calibri"/>
          <w:color w:val="000000"/>
          <w:sz w:val="24"/>
        </w:rPr>
        <w:t xml:space="preserve">viation </w:t>
      </w:r>
      <w:r w:rsidRPr="006D07B3">
        <w:rPr>
          <w:rFonts w:ascii="Calibri" w:hAnsi="Calibri"/>
          <w:color w:val="000000"/>
          <w:sz w:val="24"/>
        </w:rPr>
        <w:t>A</w:t>
      </w:r>
      <w:r w:rsidR="003A503F">
        <w:rPr>
          <w:rFonts w:ascii="Calibri" w:hAnsi="Calibri"/>
          <w:color w:val="000000"/>
          <w:sz w:val="24"/>
        </w:rPr>
        <w:t>dministration)</w:t>
      </w:r>
      <w:r w:rsidRPr="006D07B3">
        <w:rPr>
          <w:rFonts w:ascii="Calibri" w:hAnsi="Calibri"/>
          <w:color w:val="000000"/>
          <w:sz w:val="24"/>
        </w:rPr>
        <w:t>; and a list of large buildings over 200,000 square feet</w:t>
      </w:r>
      <w:r w:rsidR="003A503F">
        <w:rPr>
          <w:rFonts w:ascii="Calibri" w:hAnsi="Calibri"/>
          <w:color w:val="000000"/>
          <w:sz w:val="24"/>
        </w:rPr>
        <w:t xml:space="preserve"> (from the </w:t>
      </w:r>
      <w:r w:rsidRPr="006D07B3">
        <w:rPr>
          <w:rFonts w:ascii="Calibri" w:hAnsi="Calibri"/>
          <w:color w:val="000000"/>
          <w:sz w:val="24"/>
        </w:rPr>
        <w:t>Common Premise Locations (CPL) file purchased from Dun &amp; Bradstreet</w:t>
      </w:r>
      <w:r w:rsidR="003A503F">
        <w:rPr>
          <w:rFonts w:ascii="Calibri" w:hAnsi="Calibri"/>
          <w:color w:val="000000"/>
          <w:sz w:val="24"/>
        </w:rPr>
        <w:t>)</w:t>
      </w:r>
      <w:r w:rsidRPr="006D07B3">
        <w:rPr>
          <w:rFonts w:ascii="Calibri" w:hAnsi="Calibri"/>
          <w:color w:val="000000"/>
          <w:sz w:val="24"/>
        </w:rPr>
        <w:t>.</w:t>
      </w:r>
      <w:r w:rsidR="003A503F">
        <w:rPr>
          <w:rFonts w:ascii="Calibri" w:hAnsi="Calibri"/>
          <w:color w:val="000000"/>
          <w:sz w:val="24"/>
        </w:rPr>
        <w:t xml:space="preserve">  </w:t>
      </w:r>
      <w:r w:rsidR="00F15BDB">
        <w:rPr>
          <w:rFonts w:ascii="Calibri" w:hAnsi="Calibri"/>
          <w:color w:val="000000"/>
          <w:sz w:val="24"/>
        </w:rPr>
        <w:t xml:space="preserve">The list of airports is new to the 2012 CBECS; </w:t>
      </w:r>
      <w:r w:rsidR="00C0459A">
        <w:rPr>
          <w:rFonts w:ascii="Calibri" w:hAnsi="Calibri"/>
          <w:color w:val="000000"/>
          <w:sz w:val="24"/>
        </w:rPr>
        <w:t>previous versions of the</w:t>
      </w:r>
      <w:r w:rsidR="00F15BDB">
        <w:rPr>
          <w:rFonts w:ascii="Calibri" w:hAnsi="Calibri"/>
          <w:color w:val="000000"/>
          <w:sz w:val="24"/>
        </w:rPr>
        <w:t xml:space="preserve"> other lists were used in the 2003 CBECS.</w:t>
      </w:r>
      <w:r w:rsidRPr="006D07B3">
        <w:rPr>
          <w:rFonts w:ascii="Calibri" w:hAnsi="Calibri"/>
          <w:color w:val="000000"/>
          <w:sz w:val="24"/>
        </w:rPr>
        <w:t xml:space="preserve"> </w:t>
      </w:r>
    </w:p>
    <w:p w:rsidR="00BA5E70" w:rsidRPr="006D07B3" w:rsidRDefault="00BA5E70" w:rsidP="00BA5E70">
      <w:pPr>
        <w:rPr>
          <w:rFonts w:ascii="Calibri" w:hAnsi="Calibri"/>
          <w:color w:val="000000"/>
          <w:sz w:val="24"/>
        </w:rPr>
      </w:pPr>
    </w:p>
    <w:p w:rsidR="00BA5E70" w:rsidRPr="006D07B3" w:rsidRDefault="00BA5E70" w:rsidP="00BA5E70">
      <w:pPr>
        <w:rPr>
          <w:rFonts w:ascii="Calibri" w:hAnsi="Calibri"/>
          <w:color w:val="000000"/>
          <w:sz w:val="24"/>
        </w:rPr>
      </w:pPr>
    </w:p>
    <w:p w:rsidR="00BA5E70" w:rsidRPr="006D07B3" w:rsidRDefault="00BA5E70" w:rsidP="00BA5E70">
      <w:pPr>
        <w:rPr>
          <w:rFonts w:ascii="Calibri" w:hAnsi="Calibri"/>
          <w:b/>
          <w:color w:val="000000"/>
          <w:sz w:val="24"/>
        </w:rPr>
      </w:pPr>
      <w:r w:rsidRPr="006D07B3">
        <w:rPr>
          <w:rFonts w:ascii="Calibri" w:hAnsi="Calibri"/>
          <w:b/>
          <w:color w:val="000000"/>
          <w:sz w:val="24"/>
        </w:rPr>
        <w:t>Update for New Construction</w:t>
      </w:r>
    </w:p>
    <w:p w:rsidR="00BA5E70" w:rsidRPr="006D07B3" w:rsidRDefault="00BA5E70" w:rsidP="00BA5E70">
      <w:pPr>
        <w:rPr>
          <w:rFonts w:ascii="Calibri" w:hAnsi="Calibri"/>
          <w:b/>
          <w:color w:val="000000"/>
          <w:sz w:val="24"/>
        </w:rPr>
      </w:pPr>
    </w:p>
    <w:p w:rsidR="00E60D5A" w:rsidRPr="005847D7" w:rsidRDefault="00E60D5A" w:rsidP="00E60D5A">
      <w:pPr>
        <w:rPr>
          <w:rFonts w:ascii="Calibri" w:hAnsi="Calibri"/>
          <w:sz w:val="24"/>
        </w:rPr>
      </w:pPr>
      <w:r w:rsidRPr="005847D7">
        <w:rPr>
          <w:rFonts w:ascii="Calibri" w:hAnsi="Calibri"/>
          <w:sz w:val="24"/>
        </w:rPr>
        <w:t>The new construction is covered by several different sources in the 2012 CBECS sample desig</w:t>
      </w:r>
      <w:r w:rsidR="00390C98" w:rsidRPr="005847D7">
        <w:rPr>
          <w:rFonts w:ascii="Calibri" w:hAnsi="Calibri"/>
          <w:sz w:val="24"/>
        </w:rPr>
        <w:t>n. I</w:t>
      </w:r>
      <w:r w:rsidRPr="005847D7">
        <w:rPr>
          <w:rFonts w:ascii="Calibri" w:hAnsi="Calibri"/>
          <w:sz w:val="24"/>
        </w:rPr>
        <w:t xml:space="preserve">n the </w:t>
      </w:r>
      <w:r w:rsidR="00AD7E0D" w:rsidRPr="005847D7">
        <w:rPr>
          <w:rFonts w:ascii="Calibri" w:hAnsi="Calibri"/>
          <w:sz w:val="24"/>
        </w:rPr>
        <w:t xml:space="preserve">20 </w:t>
      </w:r>
      <w:r w:rsidRPr="005847D7">
        <w:rPr>
          <w:rFonts w:ascii="Calibri" w:hAnsi="Calibri"/>
          <w:sz w:val="24"/>
        </w:rPr>
        <w:t>SR PSUs</w:t>
      </w:r>
      <w:r w:rsidR="00390C98" w:rsidRPr="005847D7">
        <w:rPr>
          <w:rFonts w:ascii="Calibri" w:hAnsi="Calibri"/>
          <w:sz w:val="24"/>
        </w:rPr>
        <w:t>, 61 new segments were selected</w:t>
      </w:r>
      <w:r w:rsidRPr="005847D7">
        <w:rPr>
          <w:rFonts w:ascii="Calibri" w:hAnsi="Calibri"/>
          <w:sz w:val="24"/>
        </w:rPr>
        <w:t>. In additi</w:t>
      </w:r>
      <w:r w:rsidR="00390C98" w:rsidRPr="005847D7">
        <w:rPr>
          <w:rFonts w:ascii="Calibri" w:hAnsi="Calibri"/>
          <w:sz w:val="24"/>
        </w:rPr>
        <w:t xml:space="preserve">on, a total of 196 segments </w:t>
      </w:r>
      <w:r w:rsidR="00AD7E0D" w:rsidRPr="005847D7">
        <w:rPr>
          <w:rFonts w:ascii="Calibri" w:hAnsi="Calibri"/>
          <w:sz w:val="24"/>
        </w:rPr>
        <w:t>were selected from</w:t>
      </w:r>
      <w:r w:rsidRPr="005847D7">
        <w:rPr>
          <w:rFonts w:ascii="Calibri" w:hAnsi="Calibri"/>
          <w:sz w:val="24"/>
        </w:rPr>
        <w:t xml:space="preserve"> 43 new PSUs that were selected from the NSR strata. All of these </w:t>
      </w:r>
      <w:r w:rsidR="00AD7E0D" w:rsidRPr="005847D7">
        <w:rPr>
          <w:rFonts w:ascii="Calibri" w:hAnsi="Calibri"/>
          <w:sz w:val="24"/>
        </w:rPr>
        <w:t xml:space="preserve">257 new </w:t>
      </w:r>
      <w:r w:rsidRPr="005847D7">
        <w:rPr>
          <w:rFonts w:ascii="Calibri" w:hAnsi="Calibri"/>
          <w:sz w:val="24"/>
        </w:rPr>
        <w:t xml:space="preserve">segments will be listed and both old and new construction </w:t>
      </w:r>
      <w:r w:rsidR="005847D7" w:rsidRPr="005847D7">
        <w:rPr>
          <w:rFonts w:ascii="Calibri" w:hAnsi="Calibri"/>
          <w:sz w:val="24"/>
        </w:rPr>
        <w:t xml:space="preserve">buildings </w:t>
      </w:r>
      <w:r w:rsidRPr="005847D7">
        <w:rPr>
          <w:rFonts w:ascii="Calibri" w:hAnsi="Calibri"/>
          <w:sz w:val="24"/>
        </w:rPr>
        <w:t xml:space="preserve">will be sampled with rates to achieve the desired building overall selection probabilities. </w:t>
      </w:r>
      <w:r w:rsidR="005847D7" w:rsidRPr="005847D7">
        <w:rPr>
          <w:rFonts w:ascii="Calibri" w:hAnsi="Calibri"/>
          <w:sz w:val="24"/>
        </w:rPr>
        <w:t xml:space="preserve">In addition to providing new construction coverage, these new PSUs and segments will help achieve the increased sample size.  </w:t>
      </w:r>
      <w:r w:rsidRPr="005847D7">
        <w:rPr>
          <w:rFonts w:ascii="Calibri" w:hAnsi="Calibri"/>
          <w:sz w:val="24"/>
        </w:rPr>
        <w:t xml:space="preserve">All supplemental list frames for large buildings were created using the latest available lists to provide highest coverage of new large buildings. The new buildings from these lists will be sampled to achieve the desired building sampling rates. </w:t>
      </w:r>
    </w:p>
    <w:p w:rsidR="00E60D5A" w:rsidRPr="005847D7" w:rsidRDefault="00E60D5A" w:rsidP="00E60D5A">
      <w:pPr>
        <w:rPr>
          <w:rFonts w:ascii="Calibri" w:hAnsi="Calibri"/>
          <w:sz w:val="24"/>
        </w:rPr>
      </w:pPr>
    </w:p>
    <w:p w:rsidR="00E60D5A" w:rsidRPr="005847D7" w:rsidRDefault="00E60D5A" w:rsidP="00E60D5A">
      <w:pPr>
        <w:rPr>
          <w:rFonts w:ascii="Calibri" w:hAnsi="Calibri"/>
          <w:sz w:val="24"/>
        </w:rPr>
      </w:pPr>
      <w:r w:rsidRPr="005847D7">
        <w:rPr>
          <w:rFonts w:ascii="Calibri" w:hAnsi="Calibri"/>
          <w:sz w:val="24"/>
        </w:rPr>
        <w:t>In addition, a 10% sample of update segments was drawn from the 2003 sample segments, where only these update segments will be dependent-listed to identify changes to the 2003 list.</w:t>
      </w:r>
      <w:r w:rsidR="00AD7E0D" w:rsidRPr="005847D7">
        <w:rPr>
          <w:rFonts w:ascii="Calibri" w:hAnsi="Calibri"/>
          <w:sz w:val="24"/>
        </w:rPr>
        <w:t xml:space="preserve">  The dependent-listing procedures will use the 2003 listings as a starting point f</w:t>
      </w:r>
      <w:r w:rsidR="003A503F" w:rsidRPr="005847D7">
        <w:rPr>
          <w:rFonts w:ascii="Calibri" w:hAnsi="Calibri"/>
          <w:sz w:val="24"/>
        </w:rPr>
        <w:t xml:space="preserve">or field </w:t>
      </w:r>
      <w:proofErr w:type="spellStart"/>
      <w:r w:rsidR="003A503F" w:rsidRPr="005847D7">
        <w:rPr>
          <w:rFonts w:ascii="Calibri" w:hAnsi="Calibri"/>
          <w:sz w:val="24"/>
        </w:rPr>
        <w:t>listers</w:t>
      </w:r>
      <w:proofErr w:type="spellEnd"/>
      <w:r w:rsidR="003A503F" w:rsidRPr="005847D7">
        <w:rPr>
          <w:rFonts w:ascii="Calibri" w:hAnsi="Calibri"/>
          <w:sz w:val="24"/>
        </w:rPr>
        <w:t xml:space="preserve"> to identify changes since 2003, specifically new and demolished buildings. </w:t>
      </w:r>
      <w:r w:rsidR="00AD7E0D" w:rsidRPr="005847D7">
        <w:rPr>
          <w:rFonts w:ascii="Calibri" w:hAnsi="Calibri"/>
          <w:sz w:val="24"/>
        </w:rPr>
        <w:t xml:space="preserve"> </w:t>
      </w:r>
      <w:r w:rsidRPr="005847D7">
        <w:rPr>
          <w:rFonts w:ascii="Calibri" w:hAnsi="Calibri"/>
          <w:sz w:val="24"/>
        </w:rPr>
        <w:t>A new sample of buildings will be drawn from the listings in the update and non-update segments. In the update segments, the buildings will be stratified by “old construction” (buildings confirmed to exist from dependent relisting) and “new construction” (buildings added to the list in 2012). In the old construction strata, the 2003 sampling rates will be applied (with further optimization based on lessons learned from the 2003 CBECS, such as non-response rates). In the new construction strata, the new listings will be sampled with higher rates to bring their overall probability of selection in line with old construction listings. The update segments were selected with probability proportional to size (PPS) with the segment weight as the measure of size. This selection procedure will help to achieve the desired overall building selection probabilities for the new construction avoiding small segment selection probabilities.</w:t>
      </w:r>
    </w:p>
    <w:p w:rsidR="00BA5E70" w:rsidRPr="006D07B3" w:rsidRDefault="00BA5E70" w:rsidP="00BA5E70">
      <w:pPr>
        <w:pStyle w:val="BodyText"/>
        <w:widowControl w:val="0"/>
        <w:rPr>
          <w:rFonts w:ascii="Calibri" w:hAnsi="Calibri"/>
          <w:sz w:val="24"/>
          <w:szCs w:val="24"/>
        </w:rPr>
      </w:pPr>
    </w:p>
    <w:p w:rsidR="00BA5E70" w:rsidRPr="006D07B3" w:rsidRDefault="00BA5E70" w:rsidP="00BA5E70">
      <w:pPr>
        <w:rPr>
          <w:rFonts w:ascii="Calibri" w:hAnsi="Calibri"/>
          <w:sz w:val="24"/>
        </w:rPr>
      </w:pPr>
      <w:r w:rsidRPr="006D07B3">
        <w:rPr>
          <w:rFonts w:ascii="Calibri" w:hAnsi="Calibri"/>
          <w:b/>
          <w:sz w:val="24"/>
        </w:rPr>
        <w:t>Sample Size</w:t>
      </w:r>
    </w:p>
    <w:p w:rsidR="00BA5E70" w:rsidRPr="006D07B3" w:rsidRDefault="00BA5E70" w:rsidP="00BA5E70">
      <w:pPr>
        <w:rPr>
          <w:rFonts w:ascii="Calibri" w:hAnsi="Calibri"/>
          <w:sz w:val="24"/>
        </w:rPr>
      </w:pPr>
    </w:p>
    <w:p w:rsidR="00BA5E70" w:rsidRDefault="00BA5E70" w:rsidP="00BA5E70">
      <w:pPr>
        <w:rPr>
          <w:rFonts w:ascii="Calibri" w:hAnsi="Calibri"/>
          <w:sz w:val="24"/>
        </w:rPr>
      </w:pPr>
      <w:r w:rsidRPr="006D07B3">
        <w:rPr>
          <w:rFonts w:ascii="Calibri" w:hAnsi="Calibri"/>
          <w:sz w:val="24"/>
        </w:rPr>
        <w:t xml:space="preserve">Approximately </w:t>
      </w:r>
      <w:r w:rsidRPr="006D07B3">
        <w:rPr>
          <w:rFonts w:ascii="Calibri" w:hAnsi="Calibri"/>
          <w:color w:val="000000"/>
          <w:sz w:val="24"/>
        </w:rPr>
        <w:t>12,340 b</w:t>
      </w:r>
      <w:r w:rsidRPr="006D07B3">
        <w:rPr>
          <w:rFonts w:ascii="Calibri" w:hAnsi="Calibri"/>
          <w:sz w:val="24"/>
        </w:rPr>
        <w:t xml:space="preserve">uildings (including strip malls) and 1,700 mall establishments will be selected for the 2012 </w:t>
      </w:r>
      <w:smartTag w:uri="urn:schemas-microsoft-com:office:smarttags" w:element="PersonName">
        <w:r w:rsidRPr="006D07B3">
          <w:rPr>
            <w:rFonts w:ascii="Calibri" w:hAnsi="Calibri"/>
            <w:sz w:val="24"/>
          </w:rPr>
          <w:t>CBECS</w:t>
        </w:r>
      </w:smartTag>
      <w:r w:rsidRPr="006D07B3">
        <w:rPr>
          <w:rFonts w:ascii="Calibri" w:hAnsi="Calibri"/>
          <w:sz w:val="24"/>
        </w:rPr>
        <w:t xml:space="preserve"> sample.</w:t>
      </w:r>
    </w:p>
    <w:p w:rsidR="00F76A1A" w:rsidRDefault="00F76A1A" w:rsidP="00BA5E70">
      <w:pPr>
        <w:rPr>
          <w:rFonts w:ascii="Calibri" w:hAnsi="Calibri"/>
          <w:sz w:val="24"/>
        </w:rPr>
      </w:pPr>
    </w:p>
    <w:p w:rsidR="00443902" w:rsidRDefault="00F76A1A" w:rsidP="00BA5E70">
      <w:pPr>
        <w:rPr>
          <w:rFonts w:ascii="Calibri" w:hAnsi="Calibri"/>
          <w:sz w:val="24"/>
        </w:rPr>
      </w:pPr>
      <w:r>
        <w:rPr>
          <w:rFonts w:ascii="Calibri" w:hAnsi="Calibri"/>
          <w:sz w:val="24"/>
        </w:rPr>
        <w:t xml:space="preserve">Assuming an 83 percent in-scope rate and an 82 percent response rate, the 12,340 buildings selected will yield the target of 8,400 completed building interviews. </w:t>
      </w:r>
      <w:r w:rsidR="00443902">
        <w:rPr>
          <w:rFonts w:ascii="Calibri" w:hAnsi="Calibri"/>
          <w:sz w:val="24"/>
        </w:rPr>
        <w:t xml:space="preserve">This target represents </w:t>
      </w:r>
      <w:r w:rsidR="00443902">
        <w:rPr>
          <w:rFonts w:ascii="Calibri" w:hAnsi="Calibri"/>
          <w:sz w:val="24"/>
        </w:rPr>
        <w:lastRenderedPageBreak/>
        <w:t>about a 1.5 increase from the 2007 CBECS target of 5,625 complete building interviews. The sample is being increased mainly in order to improve the statistical precision of the estimates and reduce the number of suppressed cells in the published tables, revealing more estimates by building activity at lower levels of geography.</w:t>
      </w:r>
    </w:p>
    <w:p w:rsidR="00443902" w:rsidRPr="00B92BBD" w:rsidRDefault="00443902" w:rsidP="00443902">
      <w:pPr>
        <w:rPr>
          <w:rFonts w:ascii="Calibri" w:hAnsi="Calibri"/>
          <w:sz w:val="24"/>
        </w:rPr>
      </w:pPr>
      <w:r w:rsidRPr="00B92BBD">
        <w:rPr>
          <w:rFonts w:ascii="Calibri" w:hAnsi="Calibri"/>
          <w:sz w:val="24"/>
        </w:rPr>
        <w:t xml:space="preserve">To arrive at the decision to increase the sample size by 1.5, EIA </w:t>
      </w:r>
      <w:r w:rsidR="00B92BBD" w:rsidRPr="00B92BBD">
        <w:rPr>
          <w:rFonts w:ascii="Calibri" w:hAnsi="Calibri"/>
          <w:sz w:val="24"/>
        </w:rPr>
        <w:t xml:space="preserve">studied the effects of both a 1.5 </w:t>
      </w:r>
      <w:proofErr w:type="gramStart"/>
      <w:r w:rsidR="00B92BBD" w:rsidRPr="00B92BBD">
        <w:rPr>
          <w:rFonts w:ascii="Calibri" w:hAnsi="Calibri"/>
          <w:sz w:val="24"/>
        </w:rPr>
        <w:t>times</w:t>
      </w:r>
      <w:proofErr w:type="gramEnd"/>
      <w:r w:rsidR="00B92BBD" w:rsidRPr="00B92BBD">
        <w:rPr>
          <w:rFonts w:ascii="Calibri" w:hAnsi="Calibri"/>
          <w:sz w:val="24"/>
        </w:rPr>
        <w:t xml:space="preserve"> increase and a 2 times increase. </w:t>
      </w:r>
      <w:r w:rsidRPr="00B92BBD">
        <w:rPr>
          <w:rFonts w:ascii="Calibri" w:hAnsi="Calibri"/>
          <w:sz w:val="24"/>
        </w:rPr>
        <w:t>To determine the effect of a doubled sample size on the published CBECS data, a simulated data set was created that had two copies of each sampled building from the 2003 data set. To reflect the higher probability of selection with a doubled sample, and to make the simulated estimates consistent with the 2003 published estimates, the weight of each copy was halved.</w:t>
      </w:r>
    </w:p>
    <w:p w:rsidR="00443902" w:rsidRPr="00B92BBD" w:rsidRDefault="00443902" w:rsidP="00443902">
      <w:pPr>
        <w:rPr>
          <w:rFonts w:ascii="Calibri" w:hAnsi="Calibri"/>
          <w:sz w:val="24"/>
        </w:rPr>
      </w:pPr>
    </w:p>
    <w:p w:rsidR="00443902" w:rsidRPr="00B92BBD" w:rsidRDefault="00443902" w:rsidP="00443902">
      <w:pPr>
        <w:rPr>
          <w:rFonts w:ascii="Calibri" w:hAnsi="Calibri"/>
          <w:sz w:val="24"/>
        </w:rPr>
      </w:pPr>
      <w:r w:rsidRPr="00B92BBD">
        <w:rPr>
          <w:rFonts w:ascii="Calibri" w:hAnsi="Calibri"/>
          <w:sz w:val="24"/>
        </w:rPr>
        <w:t xml:space="preserve">For variance estimation purposes, the usual jackknife procedure was used. Each simulated building remained in the same stratum but was randomly assigned to a group in the formation of </w:t>
      </w:r>
      <w:proofErr w:type="spellStart"/>
      <w:r w:rsidRPr="00B92BBD">
        <w:rPr>
          <w:rFonts w:ascii="Calibri" w:hAnsi="Calibri"/>
          <w:sz w:val="24"/>
        </w:rPr>
        <w:t>psuedoreplicates</w:t>
      </w:r>
      <w:proofErr w:type="spellEnd"/>
      <w:r w:rsidRPr="00B92BBD">
        <w:rPr>
          <w:rFonts w:ascii="Calibri" w:hAnsi="Calibri"/>
          <w:sz w:val="24"/>
        </w:rPr>
        <w:t>. The random assignments were independent of a building's actual group in the variance estimation for the real 2003 CBECS.</w:t>
      </w:r>
    </w:p>
    <w:p w:rsidR="00443902" w:rsidRPr="00B92BBD" w:rsidRDefault="00443902" w:rsidP="00443902">
      <w:pPr>
        <w:rPr>
          <w:rFonts w:ascii="Calibri" w:hAnsi="Calibri"/>
          <w:sz w:val="24"/>
        </w:rPr>
      </w:pPr>
    </w:p>
    <w:p w:rsidR="00443902" w:rsidRPr="00B92BBD" w:rsidRDefault="00443902" w:rsidP="00443902">
      <w:pPr>
        <w:rPr>
          <w:rFonts w:ascii="Calibri" w:hAnsi="Calibri"/>
          <w:sz w:val="24"/>
        </w:rPr>
      </w:pPr>
      <w:r w:rsidRPr="00B92BBD">
        <w:rPr>
          <w:rFonts w:ascii="Calibri" w:hAnsi="Calibri"/>
          <w:sz w:val="24"/>
        </w:rPr>
        <w:t>For the “1.5 sample” data set, a similar procedure was followed, except each full sample weight was multiplied by 2/3, and a randomly selected half of the buildings were duplicated on the final data set.</w:t>
      </w:r>
    </w:p>
    <w:p w:rsidR="00443902" w:rsidRPr="00B92BBD" w:rsidRDefault="00443902" w:rsidP="00443902">
      <w:pPr>
        <w:rPr>
          <w:rFonts w:ascii="Calibri" w:hAnsi="Calibri"/>
          <w:sz w:val="24"/>
        </w:rPr>
      </w:pPr>
    </w:p>
    <w:p w:rsidR="00443902" w:rsidRDefault="00443902" w:rsidP="00443902">
      <w:pPr>
        <w:rPr>
          <w:rFonts w:ascii="Calibri" w:hAnsi="Calibri"/>
          <w:sz w:val="24"/>
        </w:rPr>
      </w:pPr>
      <w:r w:rsidRPr="00B92BBD">
        <w:rPr>
          <w:rFonts w:ascii="Calibri" w:hAnsi="Calibri"/>
          <w:sz w:val="24"/>
        </w:rPr>
        <w:t>The tables produced from these simulated data sets displayed results that were consistent with statistical theory, in that variances were lower and more table cells met the threshold for publication.</w:t>
      </w:r>
    </w:p>
    <w:p w:rsidR="00B92BBD" w:rsidRDefault="00B92BBD" w:rsidP="00443902">
      <w:pPr>
        <w:rPr>
          <w:rFonts w:ascii="Calibri" w:hAnsi="Calibri"/>
          <w:sz w:val="24"/>
        </w:rPr>
      </w:pPr>
    </w:p>
    <w:p w:rsidR="00B92BBD" w:rsidRPr="00B92BBD" w:rsidRDefault="00B92BBD" w:rsidP="00443902">
      <w:pPr>
        <w:rPr>
          <w:rFonts w:ascii="Calibri" w:hAnsi="Calibri"/>
          <w:sz w:val="24"/>
        </w:rPr>
      </w:pPr>
      <w:r>
        <w:rPr>
          <w:rFonts w:ascii="Calibri" w:hAnsi="Calibri"/>
          <w:sz w:val="24"/>
        </w:rPr>
        <w:t xml:space="preserve">As an example, in a </w:t>
      </w:r>
      <w:proofErr w:type="spellStart"/>
      <w:r>
        <w:rPr>
          <w:rFonts w:ascii="Calibri" w:hAnsi="Calibri"/>
          <w:sz w:val="24"/>
        </w:rPr>
        <w:t>crosstabulation</w:t>
      </w:r>
      <w:proofErr w:type="spellEnd"/>
      <w:r>
        <w:rPr>
          <w:rFonts w:ascii="Calibri" w:hAnsi="Calibri"/>
          <w:sz w:val="24"/>
        </w:rPr>
        <w:t xml:space="preserve"> defined by nine Census divisions as column headers and 16 building activities as row categories, with the original sample size, there are 51 cells suppressed out of the total 144 cells (35% suppression). This same </w:t>
      </w:r>
      <w:proofErr w:type="spellStart"/>
      <w:r>
        <w:rPr>
          <w:rFonts w:ascii="Calibri" w:hAnsi="Calibri"/>
          <w:sz w:val="24"/>
        </w:rPr>
        <w:t>crosstabulation</w:t>
      </w:r>
      <w:proofErr w:type="spellEnd"/>
      <w:r>
        <w:rPr>
          <w:rFonts w:ascii="Calibri" w:hAnsi="Calibri"/>
          <w:sz w:val="24"/>
        </w:rPr>
        <w:t xml:space="preserve"> with the 1.5 sample yielded only 28 suppressed cells (19% suppression), while the double sample still yielded 24 suppressed cells (17% suppression).</w:t>
      </w:r>
    </w:p>
    <w:p w:rsidR="00443902" w:rsidRPr="00B92BBD" w:rsidRDefault="00443902" w:rsidP="00443902">
      <w:pPr>
        <w:rPr>
          <w:rFonts w:ascii="Calibri" w:hAnsi="Calibri"/>
          <w:sz w:val="24"/>
        </w:rPr>
      </w:pPr>
    </w:p>
    <w:p w:rsidR="00443902" w:rsidRPr="00B92BBD" w:rsidRDefault="00B92BBD" w:rsidP="00443902">
      <w:pPr>
        <w:rPr>
          <w:rFonts w:ascii="Calibri" w:hAnsi="Calibri"/>
          <w:sz w:val="24"/>
        </w:rPr>
      </w:pPr>
      <w:r>
        <w:rPr>
          <w:rFonts w:ascii="Calibri" w:hAnsi="Calibri"/>
          <w:sz w:val="24"/>
        </w:rPr>
        <w:t>As evidenced by this example, t</w:t>
      </w:r>
      <w:r w:rsidR="00443902" w:rsidRPr="00B92BBD">
        <w:rPr>
          <w:rFonts w:ascii="Calibri" w:hAnsi="Calibri"/>
          <w:sz w:val="24"/>
        </w:rPr>
        <w:t xml:space="preserve">he 1.5 sample produced greater </w:t>
      </w:r>
      <w:r>
        <w:rPr>
          <w:rFonts w:ascii="Calibri" w:hAnsi="Calibri"/>
          <w:sz w:val="24"/>
        </w:rPr>
        <w:t xml:space="preserve">incremental </w:t>
      </w:r>
      <w:r w:rsidR="00443902" w:rsidRPr="00B92BBD">
        <w:rPr>
          <w:rFonts w:ascii="Calibri" w:hAnsi="Calibri"/>
          <w:sz w:val="24"/>
        </w:rPr>
        <w:t xml:space="preserve">statistical benefit (reduced suppression) than the second increment, the </w:t>
      </w:r>
      <w:r>
        <w:rPr>
          <w:rFonts w:ascii="Calibri" w:hAnsi="Calibri"/>
          <w:sz w:val="24"/>
        </w:rPr>
        <w:t>double</w:t>
      </w:r>
      <w:r w:rsidR="00443902" w:rsidRPr="00B92BBD">
        <w:rPr>
          <w:rFonts w:ascii="Calibri" w:hAnsi="Calibri"/>
          <w:sz w:val="24"/>
        </w:rPr>
        <w:t xml:space="preserve"> sample.  This observation, coupled with cost considerations, led </w:t>
      </w:r>
      <w:r>
        <w:rPr>
          <w:rFonts w:ascii="Calibri" w:hAnsi="Calibri"/>
          <w:sz w:val="24"/>
        </w:rPr>
        <w:t>EIA</w:t>
      </w:r>
      <w:r w:rsidR="00443902" w:rsidRPr="00B92BBD">
        <w:rPr>
          <w:rFonts w:ascii="Calibri" w:hAnsi="Calibri"/>
          <w:sz w:val="24"/>
        </w:rPr>
        <w:t xml:space="preserve"> to a </w:t>
      </w:r>
      <w:r w:rsidR="0085165D">
        <w:rPr>
          <w:rFonts w:ascii="Calibri" w:hAnsi="Calibri"/>
          <w:sz w:val="24"/>
        </w:rPr>
        <w:t xml:space="preserve">target </w:t>
      </w:r>
      <w:r w:rsidR="00443902" w:rsidRPr="00B92BBD">
        <w:rPr>
          <w:rFonts w:ascii="Calibri" w:hAnsi="Calibri"/>
          <w:sz w:val="24"/>
        </w:rPr>
        <w:t xml:space="preserve">sample size of about 8,400 buildings. </w:t>
      </w:r>
    </w:p>
    <w:p w:rsidR="00443902" w:rsidRPr="006D07B3" w:rsidRDefault="00443902" w:rsidP="00BA5E70">
      <w:pPr>
        <w:rPr>
          <w:rFonts w:ascii="Calibri" w:hAnsi="Calibri"/>
          <w:sz w:val="24"/>
        </w:rPr>
      </w:pPr>
    </w:p>
    <w:p w:rsidR="00BA5E70" w:rsidRPr="006D07B3" w:rsidRDefault="00BA5E70" w:rsidP="00BA5E70">
      <w:pPr>
        <w:rPr>
          <w:rFonts w:ascii="Calibri" w:hAnsi="Calibri"/>
          <w:sz w:val="24"/>
        </w:rPr>
      </w:pPr>
    </w:p>
    <w:p w:rsidR="00BA5E70" w:rsidRPr="006D07B3" w:rsidRDefault="00BA5E70" w:rsidP="00BA5E70">
      <w:pPr>
        <w:rPr>
          <w:rFonts w:ascii="Calibri" w:hAnsi="Calibri"/>
          <w:sz w:val="24"/>
        </w:rPr>
      </w:pPr>
      <w:r w:rsidRPr="006D07B3">
        <w:rPr>
          <w:rFonts w:ascii="Calibri" w:hAnsi="Calibri"/>
          <w:b/>
          <w:sz w:val="24"/>
        </w:rPr>
        <w:t>Estimation Procedures</w:t>
      </w:r>
    </w:p>
    <w:p w:rsidR="00BA5E70" w:rsidRPr="006D07B3" w:rsidRDefault="00BA5E70" w:rsidP="00BA5E70">
      <w:pPr>
        <w:rPr>
          <w:rFonts w:ascii="Calibri" w:hAnsi="Calibri"/>
          <w:sz w:val="24"/>
        </w:rPr>
      </w:pPr>
    </w:p>
    <w:p w:rsidR="00BA5E70" w:rsidRPr="006D07B3" w:rsidRDefault="00BA5E70" w:rsidP="00BA5E70">
      <w:pPr>
        <w:rPr>
          <w:rFonts w:ascii="Calibri" w:hAnsi="Calibri"/>
          <w:sz w:val="24"/>
        </w:rPr>
      </w:pPr>
      <w:r w:rsidRPr="006D07B3">
        <w:rPr>
          <w:rFonts w:ascii="Calibri" w:hAnsi="Calibri"/>
          <w:b/>
          <w:i/>
          <w:sz w:val="24"/>
        </w:rPr>
        <w:t>Population Parameters:</w:t>
      </w:r>
      <w:r w:rsidRPr="006D07B3">
        <w:rPr>
          <w:rFonts w:ascii="Calibri" w:hAnsi="Calibri"/>
          <w:b/>
          <w:sz w:val="24"/>
        </w:rPr>
        <w:t xml:space="preserve"> </w:t>
      </w:r>
      <w:r w:rsidRPr="006D07B3">
        <w:rPr>
          <w:rFonts w:ascii="Calibri" w:hAnsi="Calibri"/>
          <w:sz w:val="24"/>
        </w:rPr>
        <w:t xml:space="preserve">Estimates of population parameters will be prepared by weighting the values from the sample. For each sampled building, the base weight will be equal to the inverse of the probability of selecting the building. These base weights will be adjusted to account for </w:t>
      </w:r>
      <w:proofErr w:type="spellStart"/>
      <w:r w:rsidRPr="006D07B3">
        <w:rPr>
          <w:rFonts w:ascii="Calibri" w:hAnsi="Calibri"/>
          <w:sz w:val="24"/>
        </w:rPr>
        <w:t>nonresponse</w:t>
      </w:r>
      <w:proofErr w:type="spellEnd"/>
      <w:r w:rsidRPr="006D07B3">
        <w:rPr>
          <w:rFonts w:ascii="Calibri" w:hAnsi="Calibri"/>
          <w:sz w:val="24"/>
        </w:rPr>
        <w:t>.</w:t>
      </w:r>
    </w:p>
    <w:p w:rsidR="00BA5E70" w:rsidRPr="006D07B3" w:rsidRDefault="00BA5E70" w:rsidP="00BA5E70">
      <w:pPr>
        <w:rPr>
          <w:rFonts w:ascii="Calibri" w:hAnsi="Calibri"/>
          <w:sz w:val="24"/>
        </w:rPr>
      </w:pPr>
    </w:p>
    <w:p w:rsidR="00BA5E70" w:rsidRPr="006D07B3" w:rsidRDefault="00BA5E70" w:rsidP="00BA5E70">
      <w:pPr>
        <w:rPr>
          <w:rFonts w:ascii="Calibri" w:hAnsi="Calibri"/>
          <w:sz w:val="24"/>
        </w:rPr>
      </w:pPr>
      <w:r w:rsidRPr="006D07B3">
        <w:rPr>
          <w:rFonts w:ascii="Calibri" w:hAnsi="Calibri"/>
          <w:b/>
          <w:i/>
          <w:sz w:val="24"/>
        </w:rPr>
        <w:t xml:space="preserve">Variance Estimates: </w:t>
      </w:r>
      <w:r w:rsidRPr="006D07B3">
        <w:rPr>
          <w:rFonts w:ascii="Calibri" w:hAnsi="Calibri"/>
          <w:sz w:val="24"/>
        </w:rPr>
        <w:t xml:space="preserve">Variance estimates and relative standard error (RSE) estimates will be calculated by means of a replication technique such as the Jackknife or Balanced Repeated </w:t>
      </w:r>
      <w:r w:rsidRPr="006D07B3">
        <w:rPr>
          <w:rFonts w:ascii="Calibri" w:hAnsi="Calibri"/>
          <w:sz w:val="24"/>
        </w:rPr>
        <w:lastRenderedPageBreak/>
        <w:t xml:space="preserve">Replications (BRR). The generalized RSEs for the statistics in the cells of most </w:t>
      </w:r>
      <w:smartTag w:uri="urn:schemas-microsoft-com:office:smarttags" w:element="PersonName">
        <w:r w:rsidRPr="006D07B3">
          <w:rPr>
            <w:rFonts w:ascii="Calibri" w:hAnsi="Calibri"/>
            <w:sz w:val="24"/>
          </w:rPr>
          <w:t>CBECS</w:t>
        </w:r>
      </w:smartTag>
      <w:r w:rsidRPr="006D07B3">
        <w:rPr>
          <w:rFonts w:ascii="Calibri" w:hAnsi="Calibri"/>
          <w:sz w:val="24"/>
        </w:rPr>
        <w:t xml:space="preserve"> report tables will be expressed in separate RSE tables.</w:t>
      </w:r>
    </w:p>
    <w:p w:rsidR="005E2F6F" w:rsidRPr="006D07B3" w:rsidRDefault="005E2F6F">
      <w:pPr>
        <w:widowControl/>
        <w:rPr>
          <w:rFonts w:ascii="Calibri" w:hAnsi="Calibri"/>
          <w:b/>
          <w:bCs/>
          <w:sz w:val="24"/>
        </w:rPr>
      </w:pPr>
    </w:p>
    <w:p w:rsidR="005E2F6F" w:rsidRPr="006D07B3" w:rsidRDefault="005E2F6F">
      <w:pPr>
        <w:widowControl/>
        <w:rPr>
          <w:rFonts w:ascii="Calibri" w:hAnsi="Calibri"/>
          <w:sz w:val="24"/>
        </w:rPr>
      </w:pPr>
      <w:r w:rsidRPr="006D07B3">
        <w:rPr>
          <w:rFonts w:ascii="Calibri" w:hAnsi="Calibri"/>
          <w:b/>
          <w:bCs/>
          <w:sz w:val="24"/>
        </w:rPr>
        <w:t>Data Collection</w:t>
      </w:r>
    </w:p>
    <w:p w:rsidR="005E2F6F" w:rsidRPr="006D07B3" w:rsidRDefault="005E2F6F">
      <w:pPr>
        <w:widowControl/>
        <w:rPr>
          <w:rFonts w:ascii="Calibri" w:hAnsi="Calibri"/>
          <w:sz w:val="24"/>
        </w:rPr>
      </w:pPr>
    </w:p>
    <w:p w:rsidR="00357859" w:rsidRPr="006D07B3" w:rsidRDefault="000C69CA" w:rsidP="000C69CA">
      <w:pPr>
        <w:widowControl/>
        <w:rPr>
          <w:rFonts w:ascii="Calibri" w:hAnsi="Calibri"/>
          <w:color w:val="000000"/>
          <w:sz w:val="24"/>
        </w:rPr>
      </w:pPr>
      <w:r w:rsidRPr="006D07B3">
        <w:rPr>
          <w:rFonts w:ascii="Calibri" w:hAnsi="Calibri"/>
          <w:color w:val="000000"/>
          <w:sz w:val="24"/>
        </w:rPr>
        <w:t xml:space="preserve">The </w:t>
      </w:r>
      <w:r w:rsidR="003F6AEB" w:rsidRPr="006D07B3">
        <w:rPr>
          <w:rFonts w:ascii="Calibri" w:hAnsi="Calibri"/>
          <w:color w:val="000000"/>
          <w:sz w:val="24"/>
        </w:rPr>
        <w:t>2012</w:t>
      </w:r>
      <w:r w:rsidRPr="006D07B3">
        <w:rPr>
          <w:rFonts w:ascii="Calibri" w:hAnsi="Calibri"/>
          <w:color w:val="000000"/>
          <w:sz w:val="24"/>
        </w:rPr>
        <w:t xml:space="preserve"> </w:t>
      </w:r>
      <w:smartTag w:uri="urn:schemas-microsoft-com:office:smarttags" w:element="PersonName">
        <w:r w:rsidRPr="006D07B3">
          <w:rPr>
            <w:rFonts w:ascii="Calibri" w:hAnsi="Calibri"/>
            <w:color w:val="000000"/>
            <w:sz w:val="24"/>
          </w:rPr>
          <w:t>CBECS</w:t>
        </w:r>
      </w:smartTag>
      <w:r w:rsidRPr="006D07B3">
        <w:rPr>
          <w:rFonts w:ascii="Calibri" w:hAnsi="Calibri"/>
          <w:color w:val="000000"/>
          <w:sz w:val="24"/>
        </w:rPr>
        <w:t xml:space="preserve"> will collect energy-related building characteristics and energy consumption and expenditures information from a sample of </w:t>
      </w:r>
      <w:smartTag w:uri="urn:schemas-microsoft-com:office:smarttags" w:element="country-region">
        <w:smartTag w:uri="urn:schemas-microsoft-com:office:smarttags" w:element="place">
          <w:r w:rsidRPr="006D07B3">
            <w:rPr>
              <w:rFonts w:ascii="Calibri" w:hAnsi="Calibri"/>
              <w:color w:val="000000"/>
              <w:sz w:val="24"/>
            </w:rPr>
            <w:t>U.S.</w:t>
          </w:r>
        </w:smartTag>
      </w:smartTag>
      <w:r w:rsidRPr="006D07B3">
        <w:rPr>
          <w:rFonts w:ascii="Calibri" w:hAnsi="Calibri"/>
          <w:color w:val="000000"/>
          <w:sz w:val="24"/>
        </w:rPr>
        <w:t xml:space="preserve"> commercial buildings. </w:t>
      </w:r>
      <w:r w:rsidR="009B0352" w:rsidRPr="006D07B3">
        <w:rPr>
          <w:rFonts w:ascii="Calibri" w:hAnsi="Calibri"/>
          <w:color w:val="000000"/>
          <w:sz w:val="24"/>
        </w:rPr>
        <w:t xml:space="preserve">After the sample of buildings are selected, introduction letters will be sent </w:t>
      </w:r>
      <w:r w:rsidR="00357859" w:rsidRPr="006D07B3">
        <w:rPr>
          <w:rFonts w:ascii="Calibri" w:hAnsi="Calibri"/>
          <w:color w:val="000000"/>
          <w:sz w:val="24"/>
        </w:rPr>
        <w:t>to give</w:t>
      </w:r>
      <w:r w:rsidR="009B0352" w:rsidRPr="006D07B3">
        <w:rPr>
          <w:rFonts w:ascii="Calibri" w:hAnsi="Calibri"/>
          <w:color w:val="000000"/>
          <w:sz w:val="24"/>
        </w:rPr>
        <w:t xml:space="preserve"> the building owners </w:t>
      </w:r>
      <w:r w:rsidR="00357859" w:rsidRPr="006D07B3">
        <w:rPr>
          <w:rFonts w:ascii="Calibri" w:hAnsi="Calibri"/>
          <w:color w:val="000000"/>
          <w:sz w:val="24"/>
        </w:rPr>
        <w:t xml:space="preserve">and managers </w:t>
      </w:r>
      <w:r w:rsidR="009B0352" w:rsidRPr="006D07B3">
        <w:rPr>
          <w:rFonts w:ascii="Calibri" w:hAnsi="Calibri"/>
          <w:color w:val="000000"/>
          <w:sz w:val="24"/>
        </w:rPr>
        <w:t xml:space="preserve">advance notice that </w:t>
      </w:r>
      <w:r w:rsidR="00357859" w:rsidRPr="006D07B3">
        <w:rPr>
          <w:rFonts w:ascii="Calibri" w:hAnsi="Calibri"/>
          <w:color w:val="000000"/>
          <w:sz w:val="24"/>
        </w:rPr>
        <w:t>a representative of EIA</w:t>
      </w:r>
      <w:r w:rsidR="009B0352" w:rsidRPr="006D07B3">
        <w:rPr>
          <w:rFonts w:ascii="Calibri" w:hAnsi="Calibri"/>
          <w:color w:val="000000"/>
          <w:sz w:val="24"/>
        </w:rPr>
        <w:t xml:space="preserve"> will be</w:t>
      </w:r>
      <w:r w:rsidR="00357859" w:rsidRPr="006D07B3">
        <w:rPr>
          <w:rFonts w:ascii="Calibri" w:hAnsi="Calibri"/>
          <w:color w:val="000000"/>
          <w:sz w:val="24"/>
        </w:rPr>
        <w:t xml:space="preserve"> contacting them. Then an interviewer will call or visit the building and provide the appropriate respondent with some background information about CBECS. </w:t>
      </w:r>
    </w:p>
    <w:p w:rsidR="00357859" w:rsidRPr="006D07B3" w:rsidRDefault="00357859" w:rsidP="00357859">
      <w:pPr>
        <w:widowControl/>
        <w:rPr>
          <w:rFonts w:ascii="Calibri" w:hAnsi="Calibri"/>
          <w:color w:val="000000"/>
          <w:sz w:val="24"/>
        </w:rPr>
      </w:pPr>
    </w:p>
    <w:p w:rsidR="00357859" w:rsidRDefault="00357859" w:rsidP="00357859">
      <w:pPr>
        <w:widowControl/>
        <w:rPr>
          <w:rFonts w:ascii="Calibri" w:hAnsi="Calibri"/>
          <w:color w:val="000000"/>
          <w:sz w:val="24"/>
        </w:rPr>
      </w:pPr>
      <w:r w:rsidRPr="006D07B3">
        <w:rPr>
          <w:rFonts w:ascii="Calibri" w:hAnsi="Calibri"/>
          <w:color w:val="000000"/>
          <w:sz w:val="24"/>
        </w:rPr>
        <w:t xml:space="preserve">Included in this background CBECS information are two worksheets (Forms EIA-871G and H) for the respondent to complete prior to the interview. These worksheets will be formatted slightly differently depending on the interview type – for example, not all questions will appear on the versions to be used for the strip mall building and the mall establishment questionnaire forms, and the words “establishment” and “mall building” will be substituted for “building” on the mall building and the establishment questionnaire worksheets. Respondents to the mall building questionnaire will not require Form EIA-871H. The worksheets will help the interview to proceed more quickly and smoothly by allowing the respondent to obtain answers to several of the questions that may require some research prior to the interview. </w:t>
      </w:r>
    </w:p>
    <w:p w:rsidR="00591728" w:rsidRPr="006D07B3" w:rsidRDefault="00591728" w:rsidP="00357859">
      <w:pPr>
        <w:widowControl/>
        <w:rPr>
          <w:rFonts w:ascii="Calibri" w:hAnsi="Calibri"/>
          <w:color w:val="000000"/>
          <w:sz w:val="24"/>
        </w:rPr>
      </w:pPr>
    </w:p>
    <w:p w:rsidR="00227D7E" w:rsidRPr="006D07B3" w:rsidRDefault="00357859" w:rsidP="000C69CA">
      <w:pPr>
        <w:widowControl/>
        <w:rPr>
          <w:rFonts w:ascii="Calibri" w:hAnsi="Calibri"/>
          <w:color w:val="000000"/>
          <w:sz w:val="24"/>
        </w:rPr>
      </w:pPr>
      <w:r w:rsidRPr="006D07B3">
        <w:rPr>
          <w:rFonts w:ascii="Calibri" w:hAnsi="Calibri"/>
          <w:color w:val="000000"/>
          <w:sz w:val="24"/>
        </w:rPr>
        <w:t xml:space="preserve">At the time that they provide the background information to the buildings’ owners, managers or tenants, the interviewer will also schedule an appointment for the CBECS interview, to be conducted either by telephone or in person. </w:t>
      </w:r>
      <w:r w:rsidR="000C69CA" w:rsidRPr="006D07B3">
        <w:rPr>
          <w:rFonts w:ascii="Calibri" w:hAnsi="Calibri"/>
          <w:color w:val="000000"/>
          <w:sz w:val="24"/>
        </w:rPr>
        <w:t>The majority of respondents will be administered Form EIA-871A, which is the Building Questionnaire. Data for strip shopping centers will be collected via several interviews with several different respondents</w:t>
      </w:r>
      <w:r w:rsidR="00B02213" w:rsidRPr="006D07B3">
        <w:rPr>
          <w:rFonts w:ascii="Calibri" w:hAnsi="Calibri"/>
          <w:color w:val="000000"/>
          <w:sz w:val="24"/>
        </w:rPr>
        <w:t xml:space="preserve"> within the selected centers</w:t>
      </w:r>
      <w:r w:rsidR="000C69CA" w:rsidRPr="006D07B3">
        <w:rPr>
          <w:rFonts w:ascii="Calibri" w:hAnsi="Calibri"/>
          <w:color w:val="000000"/>
          <w:sz w:val="24"/>
        </w:rPr>
        <w:t xml:space="preserve">. The </w:t>
      </w:r>
      <w:r w:rsidR="00FC5747" w:rsidRPr="006D07B3">
        <w:rPr>
          <w:rFonts w:ascii="Calibri" w:hAnsi="Calibri"/>
          <w:color w:val="000000"/>
          <w:sz w:val="24"/>
        </w:rPr>
        <w:t xml:space="preserve">strip </w:t>
      </w:r>
      <w:r w:rsidR="000C69CA" w:rsidRPr="006D07B3">
        <w:rPr>
          <w:rFonts w:ascii="Calibri" w:hAnsi="Calibri"/>
          <w:color w:val="000000"/>
          <w:sz w:val="24"/>
        </w:rPr>
        <w:t xml:space="preserve">mall manager or leasing agent will be administered Form EIA-871I, which will collect general information on the mall structure; </w:t>
      </w:r>
      <w:r w:rsidR="00227D7E" w:rsidRPr="006D07B3">
        <w:rPr>
          <w:rFonts w:ascii="Calibri" w:hAnsi="Calibri"/>
          <w:color w:val="000000"/>
          <w:sz w:val="24"/>
        </w:rPr>
        <w:t>several</w:t>
      </w:r>
      <w:r w:rsidR="000C69CA" w:rsidRPr="006D07B3">
        <w:rPr>
          <w:rFonts w:ascii="Calibri" w:hAnsi="Calibri"/>
          <w:color w:val="000000"/>
          <w:sz w:val="24"/>
        </w:rPr>
        <w:t xml:space="preserve"> establishments within the mall will be </w:t>
      </w:r>
      <w:proofErr w:type="spellStart"/>
      <w:r w:rsidR="000C69CA" w:rsidRPr="006D07B3">
        <w:rPr>
          <w:rFonts w:ascii="Calibri" w:hAnsi="Calibri"/>
          <w:color w:val="000000"/>
          <w:sz w:val="24"/>
        </w:rPr>
        <w:t>subsampled</w:t>
      </w:r>
      <w:proofErr w:type="spellEnd"/>
      <w:r w:rsidR="000C69CA" w:rsidRPr="006D07B3">
        <w:rPr>
          <w:rFonts w:ascii="Calibri" w:hAnsi="Calibri"/>
          <w:color w:val="000000"/>
          <w:sz w:val="24"/>
        </w:rPr>
        <w:t xml:space="preserve"> and respondents from each of those businesses will be asked questions </w:t>
      </w:r>
      <w:r w:rsidR="00A414AD" w:rsidRPr="006D07B3">
        <w:rPr>
          <w:rFonts w:ascii="Calibri" w:hAnsi="Calibri"/>
          <w:color w:val="000000"/>
          <w:sz w:val="24"/>
        </w:rPr>
        <w:t xml:space="preserve">(Form EIA-871J) </w:t>
      </w:r>
      <w:r w:rsidR="000C69CA" w:rsidRPr="006D07B3">
        <w:rPr>
          <w:rFonts w:ascii="Calibri" w:hAnsi="Calibri"/>
          <w:color w:val="000000"/>
          <w:sz w:val="24"/>
        </w:rPr>
        <w:t xml:space="preserve">pertaining specifically to that establishment, such as operating characteristics, equipment used, and energy consumption. </w:t>
      </w:r>
    </w:p>
    <w:p w:rsidR="00227D7E" w:rsidRPr="006D07B3" w:rsidRDefault="00227D7E" w:rsidP="000C69CA">
      <w:pPr>
        <w:widowControl/>
        <w:rPr>
          <w:rFonts w:ascii="Calibri" w:hAnsi="Calibri"/>
          <w:color w:val="000000"/>
          <w:sz w:val="24"/>
        </w:rPr>
      </w:pPr>
    </w:p>
    <w:p w:rsidR="000C69CA" w:rsidRPr="006D07B3" w:rsidRDefault="000C69CA" w:rsidP="000C69CA">
      <w:pPr>
        <w:widowControl/>
        <w:rPr>
          <w:rFonts w:ascii="Calibri" w:hAnsi="Calibri"/>
          <w:color w:val="000000"/>
          <w:sz w:val="24"/>
        </w:rPr>
      </w:pPr>
      <w:r w:rsidRPr="006D07B3">
        <w:rPr>
          <w:rFonts w:ascii="Calibri" w:hAnsi="Calibri"/>
          <w:color w:val="000000"/>
          <w:sz w:val="24"/>
        </w:rPr>
        <w:t>In cases where the building respondent is unable to provide the consumption and expenditure</w:t>
      </w:r>
      <w:r w:rsidR="007B475E">
        <w:rPr>
          <w:rFonts w:ascii="Calibri" w:hAnsi="Calibri"/>
          <w:color w:val="000000"/>
          <w:sz w:val="24"/>
        </w:rPr>
        <w:t>s</w:t>
      </w:r>
      <w:r w:rsidRPr="006D07B3">
        <w:rPr>
          <w:rFonts w:ascii="Calibri" w:hAnsi="Calibri"/>
          <w:color w:val="000000"/>
          <w:sz w:val="24"/>
        </w:rPr>
        <w:t xml:space="preserve"> data, the respondent will be asked to sign an authorization form (Form EIA-871B)</w:t>
      </w:r>
      <w:r w:rsidR="00227D7E" w:rsidRPr="006D07B3">
        <w:rPr>
          <w:rFonts w:ascii="Calibri" w:hAnsi="Calibri"/>
          <w:sz w:val="24"/>
        </w:rPr>
        <w:t>, giving their energy suppliers permission to release their billing records for the building.</w:t>
      </w:r>
      <w:r w:rsidRPr="006D07B3">
        <w:rPr>
          <w:rFonts w:ascii="Calibri" w:hAnsi="Calibri"/>
          <w:color w:val="000000"/>
          <w:sz w:val="24"/>
        </w:rPr>
        <w:t xml:space="preserve"> In these cases, the consumption and expenditures data will be collected from the energy suppliers on Forms EIA</w:t>
      </w:r>
      <w:r w:rsidRPr="006D07B3">
        <w:rPr>
          <w:rFonts w:ascii="Calibri" w:hAnsi="Calibri"/>
          <w:color w:val="000000"/>
          <w:sz w:val="24"/>
        </w:rPr>
        <w:noBreakHyphen/>
        <w:t>871C</w:t>
      </w:r>
      <w:r w:rsidRPr="006D07B3">
        <w:rPr>
          <w:rFonts w:ascii="Calibri" w:hAnsi="Calibri"/>
          <w:color w:val="000000"/>
          <w:sz w:val="24"/>
        </w:rPr>
        <w:noBreakHyphen/>
        <w:t xml:space="preserve">F. </w:t>
      </w:r>
      <w:r w:rsidR="00227D7E" w:rsidRPr="006D07B3">
        <w:rPr>
          <w:rFonts w:ascii="Calibri" w:hAnsi="Calibri"/>
          <w:sz w:val="24"/>
        </w:rPr>
        <w:t xml:space="preserve">The energy supplier will be asked to provide the annual amount of energy sold, the annual cost of the energy, the billing dates, and other pertinent data specific to each type of energy source. The energy supplier data will be linked to the results of the Building Questionnaire for analysis purposes. </w:t>
      </w:r>
      <w:r w:rsidRPr="006D07B3">
        <w:rPr>
          <w:rFonts w:ascii="Calibri" w:hAnsi="Calibri"/>
          <w:color w:val="000000"/>
          <w:sz w:val="24"/>
        </w:rPr>
        <w:t xml:space="preserve">Response to the energy suppliers forms (EIA-871C-F) is mandatory for the supplier. </w:t>
      </w:r>
    </w:p>
    <w:p w:rsidR="000C69CA" w:rsidRPr="006D07B3" w:rsidRDefault="000C69CA">
      <w:pPr>
        <w:widowControl/>
        <w:rPr>
          <w:rFonts w:ascii="Calibri" w:hAnsi="Calibri"/>
          <w:sz w:val="24"/>
        </w:rPr>
      </w:pPr>
    </w:p>
    <w:p w:rsidR="00E10DB8" w:rsidRPr="006D07B3" w:rsidRDefault="00E10DB8" w:rsidP="00E10DB8">
      <w:pPr>
        <w:widowControl/>
        <w:tabs>
          <w:tab w:val="left" w:pos="-1440"/>
        </w:tabs>
        <w:rPr>
          <w:rFonts w:ascii="Calibri" w:hAnsi="Calibri"/>
          <w:color w:val="000000"/>
          <w:sz w:val="24"/>
        </w:rPr>
      </w:pPr>
      <w:r w:rsidRPr="006D07B3">
        <w:rPr>
          <w:rFonts w:ascii="Calibri" w:hAnsi="Calibri"/>
          <w:color w:val="000000"/>
          <w:sz w:val="24"/>
        </w:rPr>
        <w:lastRenderedPageBreak/>
        <w:t>The respondent burden on energy suppliers will be reduced because, for a substantial number of buildings, the energy consumption and expenditures data will be collected at the building level rather than at the supplier level. This will result in fewer forms the energy suppliers will have to process and increased overall efficiency</w:t>
      </w:r>
      <w:r w:rsidR="00FA16BC" w:rsidRPr="006D07B3">
        <w:rPr>
          <w:rFonts w:ascii="Calibri" w:hAnsi="Calibri"/>
          <w:color w:val="000000"/>
          <w:sz w:val="24"/>
        </w:rPr>
        <w:t>.</w:t>
      </w:r>
      <w:r w:rsidRPr="006D07B3">
        <w:rPr>
          <w:rFonts w:ascii="Calibri" w:hAnsi="Calibri"/>
          <w:color w:val="000000"/>
          <w:sz w:val="24"/>
        </w:rPr>
        <w:t xml:space="preserve"> </w:t>
      </w:r>
    </w:p>
    <w:p w:rsidR="00E10DB8" w:rsidRPr="006D07B3" w:rsidRDefault="00E10DB8" w:rsidP="00E10DB8">
      <w:pPr>
        <w:pStyle w:val="BodyTextIndent"/>
        <w:ind w:left="0" w:firstLine="0"/>
        <w:rPr>
          <w:rFonts w:ascii="Calibri" w:hAnsi="Calibri"/>
          <w:color w:val="000000"/>
          <w:sz w:val="24"/>
          <w:szCs w:val="24"/>
        </w:rPr>
      </w:pPr>
    </w:p>
    <w:p w:rsidR="00E10DB8" w:rsidRPr="006D07B3" w:rsidRDefault="00E10DB8" w:rsidP="00E10DB8">
      <w:pPr>
        <w:pStyle w:val="BodyTextIndent"/>
        <w:ind w:left="0" w:firstLine="0"/>
        <w:rPr>
          <w:rFonts w:ascii="Calibri" w:hAnsi="Calibri"/>
          <w:color w:val="000000"/>
          <w:sz w:val="24"/>
          <w:szCs w:val="24"/>
        </w:rPr>
      </w:pPr>
      <w:r w:rsidRPr="006D07B3">
        <w:rPr>
          <w:rFonts w:ascii="Calibri" w:hAnsi="Calibri"/>
          <w:color w:val="000000"/>
          <w:sz w:val="24"/>
          <w:szCs w:val="24"/>
        </w:rPr>
        <w:t xml:space="preserve">In cases where energy suppliers must be contacted to obtain the consumption and expenditures data, EIA does not require these suppliers to transcribe the data onto the survey forms. EIA will accept responses from the energy suppliers in any format (such as a computer printout or </w:t>
      </w:r>
      <w:r w:rsidR="00A414AD" w:rsidRPr="006D07B3">
        <w:rPr>
          <w:rFonts w:ascii="Calibri" w:hAnsi="Calibri"/>
          <w:color w:val="000000"/>
          <w:sz w:val="24"/>
          <w:szCs w:val="24"/>
        </w:rPr>
        <w:t>spreadsheet</w:t>
      </w:r>
      <w:r w:rsidRPr="006D07B3">
        <w:rPr>
          <w:rFonts w:ascii="Calibri" w:hAnsi="Calibri"/>
          <w:color w:val="000000"/>
          <w:sz w:val="24"/>
          <w:szCs w:val="24"/>
        </w:rPr>
        <w:t>) as long as all the necessary information is provided.</w:t>
      </w:r>
    </w:p>
    <w:p w:rsidR="00E10DB8" w:rsidRPr="006D07B3" w:rsidRDefault="00E10DB8" w:rsidP="00E10DB8">
      <w:pPr>
        <w:pStyle w:val="BodyTextIndent"/>
        <w:tabs>
          <w:tab w:val="clear" w:pos="-1440"/>
        </w:tabs>
        <w:ind w:left="0" w:firstLine="0"/>
        <w:rPr>
          <w:rFonts w:ascii="Calibri" w:hAnsi="Calibri"/>
          <w:color w:val="000000"/>
          <w:sz w:val="24"/>
          <w:szCs w:val="24"/>
        </w:rPr>
      </w:pPr>
    </w:p>
    <w:p w:rsidR="00E10DB8" w:rsidRPr="006D07B3" w:rsidRDefault="00E10DB8" w:rsidP="00E10DB8">
      <w:pPr>
        <w:pStyle w:val="BodyTextIndent"/>
        <w:tabs>
          <w:tab w:val="clear" w:pos="-1440"/>
        </w:tabs>
        <w:ind w:left="0" w:firstLine="0"/>
        <w:rPr>
          <w:rFonts w:ascii="Calibri" w:hAnsi="Calibri"/>
          <w:color w:val="000000"/>
          <w:sz w:val="24"/>
          <w:szCs w:val="24"/>
        </w:rPr>
      </w:pPr>
      <w:r w:rsidRPr="006D07B3">
        <w:rPr>
          <w:rFonts w:ascii="Calibri" w:hAnsi="Calibri"/>
          <w:color w:val="000000"/>
          <w:sz w:val="24"/>
          <w:szCs w:val="24"/>
        </w:rPr>
        <w:t xml:space="preserve">Similar to previous CBECS, the </w:t>
      </w:r>
      <w:r w:rsidR="003F6AEB" w:rsidRPr="006D07B3">
        <w:rPr>
          <w:rFonts w:ascii="Calibri" w:hAnsi="Calibri"/>
          <w:color w:val="000000"/>
          <w:sz w:val="24"/>
          <w:szCs w:val="24"/>
        </w:rPr>
        <w:t>2012</w:t>
      </w:r>
      <w:r w:rsidRPr="006D07B3">
        <w:rPr>
          <w:rFonts w:ascii="Calibri" w:hAnsi="Calibri"/>
          <w:color w:val="000000"/>
          <w:sz w:val="24"/>
          <w:szCs w:val="24"/>
        </w:rPr>
        <w:t xml:space="preserve"> CBECS will not survey buildings or suppliers for the </w:t>
      </w:r>
      <w:r w:rsidR="00C0459A">
        <w:rPr>
          <w:rFonts w:ascii="Calibri" w:hAnsi="Calibri"/>
          <w:color w:val="000000"/>
          <w:sz w:val="24"/>
          <w:szCs w:val="24"/>
        </w:rPr>
        <w:t xml:space="preserve">actual </w:t>
      </w:r>
      <w:r w:rsidRPr="006D07B3">
        <w:rPr>
          <w:rFonts w:ascii="Calibri" w:hAnsi="Calibri"/>
          <w:color w:val="000000"/>
          <w:sz w:val="24"/>
          <w:szCs w:val="24"/>
        </w:rPr>
        <w:t>consumpti</w:t>
      </w:r>
      <w:r w:rsidR="00C0459A">
        <w:rPr>
          <w:rFonts w:ascii="Calibri" w:hAnsi="Calibri"/>
          <w:color w:val="000000"/>
          <w:sz w:val="24"/>
          <w:szCs w:val="24"/>
        </w:rPr>
        <w:t xml:space="preserve">on of district chilled water, </w:t>
      </w:r>
      <w:r w:rsidRPr="006D07B3">
        <w:rPr>
          <w:rFonts w:ascii="Calibri" w:hAnsi="Calibri"/>
          <w:color w:val="000000"/>
          <w:sz w:val="24"/>
          <w:szCs w:val="24"/>
        </w:rPr>
        <w:t>bottled gas (LPG or propane)</w:t>
      </w:r>
      <w:r w:rsidR="00C0459A">
        <w:rPr>
          <w:rFonts w:ascii="Calibri" w:hAnsi="Calibri"/>
          <w:color w:val="000000"/>
          <w:sz w:val="24"/>
          <w:szCs w:val="24"/>
        </w:rPr>
        <w:t>, wood or coal</w:t>
      </w:r>
      <w:r w:rsidR="00965909" w:rsidRPr="006D07B3">
        <w:rPr>
          <w:rFonts w:ascii="Calibri" w:hAnsi="Calibri"/>
          <w:color w:val="000000"/>
          <w:sz w:val="24"/>
          <w:szCs w:val="24"/>
        </w:rPr>
        <w:t>.</w:t>
      </w:r>
      <w:r w:rsidR="00357859" w:rsidRPr="006D07B3">
        <w:rPr>
          <w:rFonts w:ascii="Calibri" w:hAnsi="Calibri"/>
          <w:color w:val="000000"/>
          <w:sz w:val="24"/>
          <w:szCs w:val="24"/>
        </w:rPr>
        <w:t xml:space="preserve"> </w:t>
      </w:r>
      <w:r w:rsidR="00C0459A">
        <w:rPr>
          <w:rFonts w:ascii="Calibri" w:hAnsi="Calibri"/>
          <w:color w:val="000000"/>
          <w:sz w:val="24"/>
          <w:szCs w:val="24"/>
        </w:rPr>
        <w:t>Categorical estimates of bottled gas and wood consumption are collected from the building respondent, but these energy sources are</w:t>
      </w:r>
      <w:r w:rsidR="00357859" w:rsidRPr="006D07B3">
        <w:rPr>
          <w:rFonts w:ascii="Calibri" w:hAnsi="Calibri"/>
          <w:color w:val="000000"/>
          <w:sz w:val="24"/>
          <w:szCs w:val="24"/>
        </w:rPr>
        <w:t xml:space="preserve"> usually purchased as-needed in small quantities, so neither would yield much information from an energy supplier.</w:t>
      </w:r>
    </w:p>
    <w:p w:rsidR="00E10DB8" w:rsidRPr="006D07B3" w:rsidRDefault="00E10DB8">
      <w:pPr>
        <w:widowControl/>
        <w:rPr>
          <w:rFonts w:ascii="Calibri" w:hAnsi="Calibri"/>
          <w:sz w:val="24"/>
        </w:rPr>
      </w:pPr>
    </w:p>
    <w:p w:rsidR="005E2F6F" w:rsidRPr="006D07B3" w:rsidRDefault="005E2F6F">
      <w:pPr>
        <w:widowControl/>
        <w:rPr>
          <w:rFonts w:ascii="Calibri" w:hAnsi="Calibri"/>
          <w:sz w:val="24"/>
        </w:rPr>
      </w:pPr>
      <w:r w:rsidRPr="006D07B3">
        <w:rPr>
          <w:rFonts w:ascii="Calibri" w:hAnsi="Calibri"/>
          <w:sz w:val="24"/>
        </w:rPr>
        <w:t xml:space="preserve"> </w:t>
      </w:r>
    </w:p>
    <w:p w:rsidR="005E2F6F" w:rsidRPr="006D07B3" w:rsidRDefault="00F6570E" w:rsidP="00F6570E">
      <w:pPr>
        <w:widowControl/>
        <w:tabs>
          <w:tab w:val="left" w:pos="-1440"/>
        </w:tabs>
        <w:ind w:left="720" w:hanging="720"/>
        <w:rPr>
          <w:rFonts w:ascii="Calibri" w:hAnsi="Calibri"/>
          <w:b/>
          <w:bCs/>
          <w:color w:val="000000"/>
          <w:sz w:val="24"/>
        </w:rPr>
      </w:pPr>
      <w:proofErr w:type="gramStart"/>
      <w:r w:rsidRPr="006D07B3">
        <w:rPr>
          <w:rFonts w:ascii="Calibri" w:hAnsi="Calibri"/>
          <w:b/>
          <w:bCs/>
          <w:color w:val="000000"/>
          <w:sz w:val="24"/>
        </w:rPr>
        <w:t>B-</w:t>
      </w:r>
      <w:r w:rsidR="005E2F6F" w:rsidRPr="006D07B3">
        <w:rPr>
          <w:rFonts w:ascii="Calibri" w:hAnsi="Calibri"/>
          <w:b/>
          <w:bCs/>
          <w:color w:val="000000"/>
          <w:sz w:val="24"/>
        </w:rPr>
        <w:t>3</w:t>
      </w:r>
      <w:r w:rsidR="00A8592B" w:rsidRPr="006D07B3">
        <w:rPr>
          <w:rFonts w:ascii="Calibri" w:hAnsi="Calibri"/>
          <w:b/>
          <w:bCs/>
          <w:color w:val="000000"/>
          <w:sz w:val="24"/>
        </w:rPr>
        <w:t>.</w:t>
      </w:r>
      <w:proofErr w:type="gramEnd"/>
      <w:r w:rsidR="00A8592B" w:rsidRPr="006D07B3">
        <w:rPr>
          <w:rFonts w:ascii="Calibri" w:hAnsi="Calibri"/>
          <w:b/>
          <w:bCs/>
          <w:color w:val="000000"/>
          <w:sz w:val="24"/>
        </w:rPr>
        <w:t xml:space="preserve"> </w:t>
      </w:r>
      <w:r w:rsidR="00F720BA" w:rsidRPr="006D07B3">
        <w:rPr>
          <w:rFonts w:ascii="Calibri" w:hAnsi="Calibri"/>
          <w:b/>
          <w:bCs/>
          <w:color w:val="000000"/>
          <w:sz w:val="24"/>
        </w:rPr>
        <w:tab/>
      </w:r>
      <w:r w:rsidR="005E2F6F" w:rsidRPr="006D07B3">
        <w:rPr>
          <w:rFonts w:ascii="Calibri" w:hAnsi="Calibri"/>
          <w:b/>
          <w:bCs/>
          <w:color w:val="000000"/>
          <w:sz w:val="24"/>
        </w:rPr>
        <w:t xml:space="preserve">Maximizing the Response Rate  </w:t>
      </w:r>
    </w:p>
    <w:p w:rsidR="005E2F6F" w:rsidRPr="006D07B3" w:rsidRDefault="005E2F6F">
      <w:pPr>
        <w:widowControl/>
        <w:rPr>
          <w:rFonts w:ascii="Calibri" w:hAnsi="Calibri"/>
          <w:sz w:val="24"/>
        </w:rPr>
      </w:pPr>
    </w:p>
    <w:p w:rsidR="008A3B76" w:rsidRPr="006D07B3" w:rsidRDefault="005E2F6F" w:rsidP="008A3B76">
      <w:pPr>
        <w:widowControl/>
        <w:rPr>
          <w:rFonts w:ascii="Calibri" w:hAnsi="Calibri"/>
          <w:sz w:val="24"/>
        </w:rPr>
      </w:pPr>
      <w:r w:rsidRPr="006D07B3">
        <w:rPr>
          <w:rFonts w:ascii="Calibri" w:hAnsi="Calibri"/>
          <w:sz w:val="24"/>
        </w:rPr>
        <w:t>The data</w:t>
      </w:r>
      <w:r w:rsidR="00B87ECD" w:rsidRPr="006D07B3">
        <w:rPr>
          <w:rFonts w:ascii="Calibri" w:hAnsi="Calibri"/>
          <w:sz w:val="24"/>
        </w:rPr>
        <w:t xml:space="preserve"> </w:t>
      </w:r>
      <w:r w:rsidRPr="006D07B3">
        <w:rPr>
          <w:rFonts w:ascii="Calibri" w:hAnsi="Calibri"/>
          <w:sz w:val="24"/>
        </w:rPr>
        <w:t xml:space="preserve">collection contractors will use procedures similar to those used on previous surveys to maximize the response rate for the </w:t>
      </w:r>
      <w:r w:rsidR="003F6AEB" w:rsidRPr="006D07B3">
        <w:rPr>
          <w:rFonts w:ascii="Calibri" w:hAnsi="Calibri"/>
          <w:sz w:val="24"/>
        </w:rPr>
        <w:t>2012</w:t>
      </w:r>
      <w:r w:rsidRPr="006D07B3">
        <w:rPr>
          <w:rFonts w:ascii="Calibri" w:hAnsi="Calibri"/>
          <w:sz w:val="24"/>
        </w:rPr>
        <w:t xml:space="preserve"> </w:t>
      </w:r>
      <w:smartTag w:uri="urn:schemas-microsoft-com:office:smarttags" w:element="PersonName">
        <w:r w:rsidRPr="006D07B3">
          <w:rPr>
            <w:rFonts w:ascii="Calibri" w:hAnsi="Calibri"/>
            <w:sz w:val="24"/>
          </w:rPr>
          <w:t>CBECS</w:t>
        </w:r>
      </w:smartTag>
      <w:r w:rsidR="00F720BA" w:rsidRPr="006D07B3">
        <w:rPr>
          <w:rFonts w:ascii="Calibri" w:hAnsi="Calibri"/>
          <w:sz w:val="24"/>
        </w:rPr>
        <w:t xml:space="preserve"> with some additional effort</w:t>
      </w:r>
      <w:r w:rsidR="00A8592B" w:rsidRPr="006D07B3">
        <w:rPr>
          <w:rFonts w:ascii="Calibri" w:hAnsi="Calibri"/>
          <w:sz w:val="24"/>
        </w:rPr>
        <w:t xml:space="preserve">. </w:t>
      </w:r>
      <w:r w:rsidRPr="006D07B3">
        <w:rPr>
          <w:rFonts w:ascii="Calibri" w:hAnsi="Calibri"/>
          <w:sz w:val="24"/>
        </w:rPr>
        <w:t xml:space="preserve">Over the years, the response rates to the </w:t>
      </w:r>
      <w:r w:rsidR="00600068" w:rsidRPr="006D07B3">
        <w:rPr>
          <w:rFonts w:ascii="Calibri" w:hAnsi="Calibri"/>
          <w:sz w:val="24"/>
        </w:rPr>
        <w:t>CBECS</w:t>
      </w:r>
      <w:r w:rsidRPr="006D07B3">
        <w:rPr>
          <w:rFonts w:ascii="Calibri" w:hAnsi="Calibri"/>
          <w:sz w:val="24"/>
        </w:rPr>
        <w:t xml:space="preserve"> have been quite high</w:t>
      </w:r>
      <w:r w:rsidR="00600068" w:rsidRPr="006D07B3">
        <w:rPr>
          <w:rFonts w:ascii="Calibri" w:hAnsi="Calibri"/>
          <w:sz w:val="24"/>
        </w:rPr>
        <w:t>, but i</w:t>
      </w:r>
      <w:r w:rsidR="00600068" w:rsidRPr="006D07B3">
        <w:rPr>
          <w:rFonts w:ascii="Calibri" w:hAnsi="Calibri"/>
          <w:color w:val="000000"/>
          <w:sz w:val="24"/>
        </w:rPr>
        <w:t>t is recognized that response rates have been declining over the years</w:t>
      </w:r>
      <w:r w:rsidR="00686F19" w:rsidRPr="006D07B3">
        <w:rPr>
          <w:rFonts w:ascii="Calibri" w:hAnsi="Calibri"/>
          <w:color w:val="000000"/>
          <w:sz w:val="24"/>
        </w:rPr>
        <w:t xml:space="preserve"> for surveys in general. The CBECS is no exception; response rates on the buildings survey have fallen from 91 percent in 1992 to 82 percent in 2003 and 81 percent in 2007. Gr</w:t>
      </w:r>
      <w:r w:rsidR="00B87ECD" w:rsidRPr="006D07B3">
        <w:rPr>
          <w:rFonts w:ascii="Calibri" w:hAnsi="Calibri"/>
          <w:color w:val="000000"/>
          <w:sz w:val="24"/>
        </w:rPr>
        <w:t xml:space="preserve">eat effort will be made in </w:t>
      </w:r>
      <w:r w:rsidR="003F6AEB" w:rsidRPr="006D07B3">
        <w:rPr>
          <w:rFonts w:ascii="Calibri" w:hAnsi="Calibri"/>
          <w:color w:val="000000"/>
          <w:sz w:val="24"/>
        </w:rPr>
        <w:t>2012</w:t>
      </w:r>
      <w:r w:rsidR="00B87ECD" w:rsidRPr="006D07B3">
        <w:rPr>
          <w:rFonts w:ascii="Calibri" w:hAnsi="Calibri"/>
          <w:color w:val="000000"/>
          <w:sz w:val="24"/>
        </w:rPr>
        <w:t xml:space="preserve"> in an attempt to reverse that trend.</w:t>
      </w:r>
      <w:r w:rsidR="008A3B76" w:rsidRPr="006D07B3">
        <w:rPr>
          <w:rFonts w:ascii="Calibri" w:hAnsi="Calibri"/>
          <w:color w:val="000000"/>
          <w:sz w:val="24"/>
        </w:rPr>
        <w:t xml:space="preserve"> </w:t>
      </w:r>
      <w:r w:rsidRPr="006D07B3">
        <w:rPr>
          <w:rFonts w:ascii="Calibri" w:hAnsi="Calibri"/>
          <w:sz w:val="24"/>
        </w:rPr>
        <w:t xml:space="preserve">Procedures that will be used to maximize the response rate </w:t>
      </w:r>
      <w:r w:rsidR="008A3B76" w:rsidRPr="006D07B3">
        <w:rPr>
          <w:rFonts w:ascii="Calibri" w:hAnsi="Calibri"/>
          <w:sz w:val="24"/>
        </w:rPr>
        <w:t>make use of</w:t>
      </w:r>
      <w:r w:rsidRPr="006D07B3">
        <w:rPr>
          <w:rFonts w:ascii="Calibri" w:hAnsi="Calibri"/>
          <w:sz w:val="24"/>
        </w:rPr>
        <w:t xml:space="preserve"> extensive pre-data</w:t>
      </w:r>
      <w:r w:rsidR="008A3B76" w:rsidRPr="006D07B3">
        <w:rPr>
          <w:rFonts w:ascii="Calibri" w:hAnsi="Calibri"/>
          <w:sz w:val="24"/>
        </w:rPr>
        <w:t xml:space="preserve"> </w:t>
      </w:r>
      <w:r w:rsidRPr="006D07B3">
        <w:rPr>
          <w:rFonts w:ascii="Calibri" w:hAnsi="Calibri"/>
          <w:sz w:val="24"/>
        </w:rPr>
        <w:t>collection procedures that include:</w:t>
      </w:r>
    </w:p>
    <w:p w:rsidR="008A3B76" w:rsidRPr="006D07B3" w:rsidRDefault="008A3B76" w:rsidP="008A3B76">
      <w:pPr>
        <w:widowControl/>
        <w:rPr>
          <w:rFonts w:ascii="Calibri" w:hAnsi="Calibri"/>
          <w:sz w:val="24"/>
        </w:rPr>
      </w:pPr>
    </w:p>
    <w:p w:rsidR="008A3B76" w:rsidRPr="006D07B3" w:rsidRDefault="008A3B76" w:rsidP="008A3B76">
      <w:pPr>
        <w:widowControl/>
        <w:numPr>
          <w:ilvl w:val="0"/>
          <w:numId w:val="9"/>
        </w:numPr>
        <w:rPr>
          <w:rFonts w:ascii="Calibri" w:hAnsi="Calibri"/>
          <w:sz w:val="24"/>
        </w:rPr>
      </w:pPr>
      <w:r w:rsidRPr="006D07B3">
        <w:rPr>
          <w:rFonts w:ascii="Calibri" w:hAnsi="Calibri"/>
          <w:sz w:val="24"/>
        </w:rPr>
        <w:t xml:space="preserve">Training interviewers in refusal aversion; </w:t>
      </w:r>
    </w:p>
    <w:p w:rsidR="008A3B76" w:rsidRPr="006D07B3" w:rsidRDefault="008A3B76" w:rsidP="008A3B76">
      <w:pPr>
        <w:widowControl/>
        <w:numPr>
          <w:ilvl w:val="0"/>
          <w:numId w:val="9"/>
        </w:numPr>
        <w:rPr>
          <w:rFonts w:ascii="Calibri" w:hAnsi="Calibri"/>
          <w:sz w:val="24"/>
        </w:rPr>
      </w:pPr>
      <w:r w:rsidRPr="006D07B3">
        <w:rPr>
          <w:rFonts w:ascii="Calibri" w:hAnsi="Calibri"/>
          <w:sz w:val="24"/>
        </w:rPr>
        <w:t>Emphasis on the importance of the content of the survey</w:t>
      </w:r>
      <w:r w:rsidR="00357859" w:rsidRPr="006D07B3">
        <w:rPr>
          <w:rFonts w:ascii="Calibri" w:hAnsi="Calibri"/>
          <w:sz w:val="24"/>
        </w:rPr>
        <w:t>, both to the interviewers and to the survey respondents</w:t>
      </w:r>
      <w:r w:rsidRPr="006D07B3">
        <w:rPr>
          <w:rFonts w:ascii="Calibri" w:hAnsi="Calibri"/>
          <w:sz w:val="24"/>
        </w:rPr>
        <w:t>;</w:t>
      </w:r>
    </w:p>
    <w:p w:rsidR="008A3B76" w:rsidRPr="006D07B3" w:rsidRDefault="00357859" w:rsidP="008A3B76">
      <w:pPr>
        <w:widowControl/>
        <w:numPr>
          <w:ilvl w:val="0"/>
          <w:numId w:val="9"/>
        </w:numPr>
        <w:rPr>
          <w:rFonts w:ascii="Calibri" w:hAnsi="Calibri"/>
          <w:sz w:val="24"/>
        </w:rPr>
      </w:pPr>
      <w:r w:rsidRPr="006D07B3">
        <w:rPr>
          <w:rFonts w:ascii="Calibri" w:hAnsi="Calibri"/>
          <w:sz w:val="24"/>
        </w:rPr>
        <w:t>Training interviewers to locate</w:t>
      </w:r>
      <w:r w:rsidR="005E2F6F" w:rsidRPr="006D07B3">
        <w:rPr>
          <w:rFonts w:ascii="Calibri" w:hAnsi="Calibri"/>
          <w:sz w:val="24"/>
        </w:rPr>
        <w:t xml:space="preserve"> a knowledgeable respondent</w:t>
      </w:r>
      <w:r w:rsidR="008A3B76" w:rsidRPr="006D07B3">
        <w:rPr>
          <w:rFonts w:ascii="Calibri" w:hAnsi="Calibri"/>
          <w:sz w:val="24"/>
        </w:rPr>
        <w:t>;</w:t>
      </w:r>
    </w:p>
    <w:p w:rsidR="00F720BA" w:rsidRPr="006D07B3" w:rsidRDefault="008A3B76" w:rsidP="00F720BA">
      <w:pPr>
        <w:widowControl/>
        <w:numPr>
          <w:ilvl w:val="0"/>
          <w:numId w:val="9"/>
        </w:numPr>
        <w:rPr>
          <w:rFonts w:ascii="Calibri" w:hAnsi="Calibri"/>
          <w:sz w:val="24"/>
        </w:rPr>
      </w:pPr>
      <w:r w:rsidRPr="006D07B3">
        <w:rPr>
          <w:rFonts w:ascii="Calibri" w:hAnsi="Calibri"/>
          <w:sz w:val="24"/>
        </w:rPr>
        <w:t>M</w:t>
      </w:r>
      <w:r w:rsidR="005E2F6F" w:rsidRPr="006D07B3">
        <w:rPr>
          <w:rFonts w:ascii="Calibri" w:hAnsi="Calibri"/>
          <w:sz w:val="24"/>
        </w:rPr>
        <w:t>ailing letters signed by a Department of Energy official to the respondent to inform them about the survey</w:t>
      </w:r>
      <w:r w:rsidRPr="006D07B3">
        <w:rPr>
          <w:rFonts w:ascii="Calibri" w:hAnsi="Calibri"/>
          <w:sz w:val="24"/>
        </w:rPr>
        <w:t>;</w:t>
      </w:r>
      <w:r w:rsidR="005E2F6F" w:rsidRPr="006D07B3">
        <w:rPr>
          <w:rFonts w:ascii="Calibri" w:hAnsi="Calibri"/>
          <w:sz w:val="24"/>
        </w:rPr>
        <w:t xml:space="preserve"> </w:t>
      </w:r>
    </w:p>
    <w:p w:rsidR="008A3B76" w:rsidRPr="006D07B3" w:rsidRDefault="00F720BA" w:rsidP="00F720BA">
      <w:pPr>
        <w:widowControl/>
        <w:numPr>
          <w:ilvl w:val="0"/>
          <w:numId w:val="9"/>
        </w:numPr>
        <w:rPr>
          <w:rFonts w:ascii="Calibri" w:hAnsi="Calibri"/>
          <w:sz w:val="24"/>
        </w:rPr>
      </w:pPr>
      <w:r w:rsidRPr="006D07B3">
        <w:rPr>
          <w:rFonts w:ascii="Calibri" w:hAnsi="Calibri"/>
          <w:sz w:val="24"/>
        </w:rPr>
        <w:t xml:space="preserve">Providing the identified respondent a packet of materials consisting of information about the survey, worksheets to assist them with the interview, and an introductory letter signed by the EIA </w:t>
      </w:r>
      <w:r w:rsidR="006C3FC7" w:rsidRPr="006D07B3">
        <w:rPr>
          <w:rFonts w:ascii="Calibri" w:hAnsi="Calibri"/>
          <w:sz w:val="24"/>
        </w:rPr>
        <w:t>Office</w:t>
      </w:r>
      <w:r w:rsidRPr="006D07B3">
        <w:rPr>
          <w:rFonts w:ascii="Calibri" w:hAnsi="Calibri"/>
          <w:sz w:val="24"/>
        </w:rPr>
        <w:t xml:space="preserve"> Director;</w:t>
      </w:r>
    </w:p>
    <w:p w:rsidR="00F720BA" w:rsidRPr="006D07B3" w:rsidRDefault="00F720BA" w:rsidP="008A3B76">
      <w:pPr>
        <w:widowControl/>
        <w:numPr>
          <w:ilvl w:val="0"/>
          <w:numId w:val="9"/>
        </w:numPr>
        <w:rPr>
          <w:rFonts w:ascii="Calibri" w:hAnsi="Calibri"/>
          <w:sz w:val="24"/>
        </w:rPr>
      </w:pPr>
      <w:r w:rsidRPr="006D07B3">
        <w:rPr>
          <w:rFonts w:ascii="Calibri" w:hAnsi="Calibri"/>
          <w:sz w:val="24"/>
        </w:rPr>
        <w:t xml:space="preserve">Including a well-designed brochure </w:t>
      </w:r>
      <w:r w:rsidR="00A33B60">
        <w:rPr>
          <w:rFonts w:ascii="Calibri" w:hAnsi="Calibri"/>
          <w:sz w:val="24"/>
        </w:rPr>
        <w:t xml:space="preserve">and an endorsement insert </w:t>
      </w:r>
      <w:r w:rsidRPr="006D07B3">
        <w:rPr>
          <w:rFonts w:ascii="Calibri" w:hAnsi="Calibri"/>
          <w:sz w:val="24"/>
        </w:rPr>
        <w:t>in the packet of materials that highlights the importance of the CBECS and why their participation is so vital;</w:t>
      </w:r>
    </w:p>
    <w:p w:rsidR="004C7B5E" w:rsidRPr="006D07B3" w:rsidRDefault="008A3B76" w:rsidP="008A3B76">
      <w:pPr>
        <w:widowControl/>
        <w:numPr>
          <w:ilvl w:val="0"/>
          <w:numId w:val="9"/>
        </w:numPr>
        <w:rPr>
          <w:rFonts w:ascii="Calibri" w:hAnsi="Calibri"/>
          <w:sz w:val="24"/>
        </w:rPr>
      </w:pPr>
      <w:r w:rsidRPr="006D07B3">
        <w:rPr>
          <w:rFonts w:ascii="Calibri" w:hAnsi="Calibri"/>
          <w:sz w:val="24"/>
        </w:rPr>
        <w:t>S</w:t>
      </w:r>
      <w:r w:rsidR="005E2F6F" w:rsidRPr="006D07B3">
        <w:rPr>
          <w:rFonts w:ascii="Calibri" w:hAnsi="Calibri"/>
          <w:sz w:val="24"/>
        </w:rPr>
        <w:t>etting an appointment to conduct the interview</w:t>
      </w:r>
      <w:r w:rsidR="006C3FC7" w:rsidRPr="006D07B3">
        <w:rPr>
          <w:rFonts w:ascii="Calibri" w:hAnsi="Calibri"/>
          <w:sz w:val="24"/>
        </w:rPr>
        <w:t xml:space="preserve"> and providing the option to do so either in person or by telephone</w:t>
      </w:r>
      <w:r w:rsidRPr="006D07B3">
        <w:rPr>
          <w:rFonts w:ascii="Calibri" w:hAnsi="Calibri"/>
          <w:sz w:val="24"/>
        </w:rPr>
        <w:t xml:space="preserve">; </w:t>
      </w:r>
    </w:p>
    <w:p w:rsidR="006C3FC7" w:rsidRPr="006D07B3" w:rsidRDefault="004C7B5E" w:rsidP="008A3B76">
      <w:pPr>
        <w:widowControl/>
        <w:numPr>
          <w:ilvl w:val="0"/>
          <w:numId w:val="9"/>
        </w:numPr>
        <w:rPr>
          <w:rFonts w:ascii="Calibri" w:hAnsi="Calibri"/>
          <w:sz w:val="24"/>
        </w:rPr>
      </w:pPr>
      <w:r w:rsidRPr="006D07B3">
        <w:rPr>
          <w:rFonts w:ascii="Calibri" w:hAnsi="Calibri"/>
          <w:sz w:val="24"/>
        </w:rPr>
        <w:t xml:space="preserve">Providing </w:t>
      </w:r>
      <w:r w:rsidR="00CE2179" w:rsidRPr="006D07B3">
        <w:rPr>
          <w:rFonts w:ascii="Calibri" w:hAnsi="Calibri"/>
          <w:sz w:val="24"/>
        </w:rPr>
        <w:t xml:space="preserve">a </w:t>
      </w:r>
      <w:r w:rsidR="00F720BA" w:rsidRPr="006D07B3">
        <w:rPr>
          <w:rFonts w:ascii="Calibri" w:hAnsi="Calibri"/>
          <w:sz w:val="24"/>
        </w:rPr>
        <w:t xml:space="preserve">Help Center with a </w:t>
      </w:r>
      <w:r w:rsidR="00CE2179" w:rsidRPr="006D07B3">
        <w:rPr>
          <w:rFonts w:ascii="Calibri" w:hAnsi="Calibri"/>
          <w:sz w:val="24"/>
        </w:rPr>
        <w:t>toll-free</w:t>
      </w:r>
      <w:r w:rsidRPr="006D07B3">
        <w:rPr>
          <w:rFonts w:ascii="Calibri" w:hAnsi="Calibri"/>
          <w:sz w:val="24"/>
        </w:rPr>
        <w:t xml:space="preserve"> number for the respondents to </w:t>
      </w:r>
      <w:r w:rsidR="00F720BA" w:rsidRPr="006D07B3">
        <w:rPr>
          <w:rFonts w:ascii="Calibri" w:hAnsi="Calibri"/>
          <w:sz w:val="24"/>
        </w:rPr>
        <w:t>call</w:t>
      </w:r>
      <w:r w:rsidRPr="006D07B3">
        <w:rPr>
          <w:rFonts w:ascii="Calibri" w:hAnsi="Calibri"/>
          <w:sz w:val="24"/>
        </w:rPr>
        <w:t xml:space="preserve"> </w:t>
      </w:r>
      <w:r w:rsidR="00F720BA" w:rsidRPr="006D07B3">
        <w:rPr>
          <w:rFonts w:ascii="Calibri" w:hAnsi="Calibri"/>
          <w:sz w:val="24"/>
        </w:rPr>
        <w:t>with any questions or concerns</w:t>
      </w:r>
      <w:r w:rsidR="006C3FC7" w:rsidRPr="006D07B3">
        <w:rPr>
          <w:rFonts w:ascii="Calibri" w:hAnsi="Calibri"/>
          <w:sz w:val="24"/>
        </w:rPr>
        <w:t>, as well as the phone number of a contact at EIA</w:t>
      </w:r>
      <w:r w:rsidRPr="006D07B3">
        <w:rPr>
          <w:rFonts w:ascii="Calibri" w:hAnsi="Calibri"/>
          <w:sz w:val="24"/>
        </w:rPr>
        <w:t>;</w:t>
      </w:r>
    </w:p>
    <w:p w:rsidR="004C7B5E" w:rsidRPr="006D07B3" w:rsidRDefault="004C7B5E" w:rsidP="008A3B76">
      <w:pPr>
        <w:widowControl/>
        <w:numPr>
          <w:ilvl w:val="0"/>
          <w:numId w:val="9"/>
        </w:numPr>
        <w:rPr>
          <w:rFonts w:ascii="Calibri" w:hAnsi="Calibri"/>
          <w:sz w:val="24"/>
        </w:rPr>
      </w:pPr>
      <w:r w:rsidRPr="006D07B3">
        <w:rPr>
          <w:rFonts w:ascii="Calibri" w:hAnsi="Calibri"/>
          <w:sz w:val="24"/>
        </w:rPr>
        <w:lastRenderedPageBreak/>
        <w:t xml:space="preserve">Following up with </w:t>
      </w:r>
      <w:proofErr w:type="spellStart"/>
      <w:r w:rsidRPr="006D07B3">
        <w:rPr>
          <w:rFonts w:ascii="Calibri" w:hAnsi="Calibri"/>
          <w:sz w:val="24"/>
        </w:rPr>
        <w:t>nonrespondents</w:t>
      </w:r>
      <w:proofErr w:type="spellEnd"/>
      <w:r w:rsidRPr="006D07B3">
        <w:rPr>
          <w:rFonts w:ascii="Calibri" w:hAnsi="Calibri"/>
          <w:sz w:val="24"/>
        </w:rPr>
        <w:t xml:space="preserve"> by various methods such as reminder letters (tailored </w:t>
      </w:r>
      <w:r w:rsidR="00A82703" w:rsidRPr="006D07B3">
        <w:rPr>
          <w:rFonts w:ascii="Calibri" w:hAnsi="Calibri"/>
          <w:sz w:val="24"/>
        </w:rPr>
        <w:t>for</w:t>
      </w:r>
      <w:r w:rsidRPr="006D07B3">
        <w:rPr>
          <w:rFonts w:ascii="Calibri" w:hAnsi="Calibri"/>
          <w:sz w:val="24"/>
        </w:rPr>
        <w:t xml:space="preserve"> the reason for reluctance) and telephone calls </w:t>
      </w:r>
      <w:r w:rsidR="006C3FC7" w:rsidRPr="006D07B3">
        <w:rPr>
          <w:rFonts w:ascii="Calibri" w:hAnsi="Calibri"/>
          <w:sz w:val="24"/>
        </w:rPr>
        <w:t>for building owners or managers;</w:t>
      </w:r>
    </w:p>
    <w:p w:rsidR="005E2F6F" w:rsidRPr="006D07B3" w:rsidRDefault="006C3FC7" w:rsidP="006C3FC7">
      <w:pPr>
        <w:widowControl/>
        <w:numPr>
          <w:ilvl w:val="0"/>
          <w:numId w:val="9"/>
        </w:numPr>
        <w:rPr>
          <w:rFonts w:ascii="Calibri" w:hAnsi="Calibri"/>
          <w:sz w:val="24"/>
        </w:rPr>
      </w:pPr>
      <w:r w:rsidRPr="006D07B3">
        <w:rPr>
          <w:rFonts w:ascii="Calibri" w:hAnsi="Calibri"/>
          <w:sz w:val="24"/>
        </w:rPr>
        <w:t>Staffing</w:t>
      </w:r>
      <w:r w:rsidR="00CF7939" w:rsidRPr="006D07B3">
        <w:rPr>
          <w:rFonts w:ascii="Calibri" w:hAnsi="Calibri"/>
          <w:sz w:val="24"/>
        </w:rPr>
        <w:t xml:space="preserve"> two interviewers in most PSUs. This is advantageous to achieving high response rates because it allows reassignment of </w:t>
      </w:r>
      <w:proofErr w:type="spellStart"/>
      <w:r w:rsidR="00CF7939" w:rsidRPr="006D07B3">
        <w:rPr>
          <w:rFonts w:ascii="Calibri" w:hAnsi="Calibri"/>
          <w:sz w:val="24"/>
        </w:rPr>
        <w:t>nonresponse</w:t>
      </w:r>
      <w:proofErr w:type="spellEnd"/>
      <w:r w:rsidR="00CF7939" w:rsidRPr="006D07B3">
        <w:rPr>
          <w:rFonts w:ascii="Calibri" w:hAnsi="Calibri"/>
          <w:sz w:val="24"/>
        </w:rPr>
        <w:t xml:space="preserve"> cases among interviewers living in the same area, as well as depth to handle illness or attrition.</w:t>
      </w:r>
    </w:p>
    <w:p w:rsidR="006C3FC7" w:rsidRPr="006D07B3" w:rsidRDefault="006C3FC7" w:rsidP="006C3FC7">
      <w:pPr>
        <w:widowControl/>
        <w:ind w:left="1080"/>
        <w:rPr>
          <w:rFonts w:ascii="Calibri" w:hAnsi="Calibri"/>
          <w:sz w:val="24"/>
        </w:rPr>
      </w:pPr>
    </w:p>
    <w:p w:rsidR="005E2F6F" w:rsidRPr="006D07B3" w:rsidRDefault="005E2F6F">
      <w:pPr>
        <w:widowControl/>
        <w:rPr>
          <w:rFonts w:ascii="Calibri" w:hAnsi="Calibri"/>
          <w:sz w:val="24"/>
        </w:rPr>
      </w:pPr>
      <w:r w:rsidRPr="006D07B3">
        <w:rPr>
          <w:rFonts w:ascii="Calibri" w:hAnsi="Calibri"/>
          <w:sz w:val="24"/>
        </w:rPr>
        <w:t xml:space="preserve">To adjust for </w:t>
      </w:r>
      <w:proofErr w:type="spellStart"/>
      <w:r w:rsidRPr="006D07B3">
        <w:rPr>
          <w:rFonts w:ascii="Calibri" w:hAnsi="Calibri"/>
          <w:sz w:val="24"/>
        </w:rPr>
        <w:t>nonresponding</w:t>
      </w:r>
      <w:proofErr w:type="spellEnd"/>
      <w:r w:rsidRPr="006D07B3">
        <w:rPr>
          <w:rFonts w:ascii="Calibri" w:hAnsi="Calibri"/>
          <w:sz w:val="24"/>
        </w:rPr>
        <w:t xml:space="preserve"> buildings, EIA adjusts the weights on responding buildings so that responding buildings represent not only </w:t>
      </w:r>
      <w:proofErr w:type="spellStart"/>
      <w:r w:rsidRPr="006D07B3">
        <w:rPr>
          <w:rFonts w:ascii="Calibri" w:hAnsi="Calibri"/>
          <w:sz w:val="24"/>
        </w:rPr>
        <w:t>nonsampled</w:t>
      </w:r>
      <w:proofErr w:type="spellEnd"/>
      <w:r w:rsidRPr="006D07B3">
        <w:rPr>
          <w:rFonts w:ascii="Calibri" w:hAnsi="Calibri"/>
          <w:sz w:val="24"/>
        </w:rPr>
        <w:t xml:space="preserve"> buildings but also </w:t>
      </w:r>
      <w:proofErr w:type="spellStart"/>
      <w:r w:rsidRPr="006D07B3">
        <w:rPr>
          <w:rFonts w:ascii="Calibri" w:hAnsi="Calibri"/>
          <w:sz w:val="24"/>
        </w:rPr>
        <w:t>nonrespondents</w:t>
      </w:r>
      <w:proofErr w:type="spellEnd"/>
      <w:r w:rsidRPr="006D07B3">
        <w:rPr>
          <w:rFonts w:ascii="Calibri" w:hAnsi="Calibri"/>
          <w:sz w:val="24"/>
        </w:rPr>
        <w:t>.</w:t>
      </w:r>
    </w:p>
    <w:p w:rsidR="005E2F6F" w:rsidRPr="006D07B3" w:rsidRDefault="005E2F6F">
      <w:pPr>
        <w:widowControl/>
        <w:rPr>
          <w:rFonts w:ascii="Calibri" w:hAnsi="Calibri"/>
          <w:sz w:val="24"/>
        </w:rPr>
      </w:pPr>
    </w:p>
    <w:p w:rsidR="005E2F6F" w:rsidRPr="006D07B3" w:rsidRDefault="005E2F6F">
      <w:pPr>
        <w:widowControl/>
        <w:rPr>
          <w:rFonts w:ascii="Calibri" w:hAnsi="Calibri"/>
          <w:sz w:val="24"/>
        </w:rPr>
      </w:pPr>
    </w:p>
    <w:p w:rsidR="005E2F6F" w:rsidRPr="006D07B3" w:rsidRDefault="00F6570E" w:rsidP="00F6570E">
      <w:pPr>
        <w:widowControl/>
        <w:tabs>
          <w:tab w:val="left" w:pos="-1440"/>
        </w:tabs>
        <w:ind w:left="720" w:hanging="720"/>
        <w:rPr>
          <w:rFonts w:ascii="Calibri" w:hAnsi="Calibri"/>
          <w:b/>
          <w:bCs/>
          <w:color w:val="000000"/>
          <w:sz w:val="24"/>
        </w:rPr>
      </w:pPr>
      <w:proofErr w:type="gramStart"/>
      <w:r w:rsidRPr="006D07B3">
        <w:rPr>
          <w:rFonts w:ascii="Calibri" w:hAnsi="Calibri"/>
          <w:b/>
          <w:bCs/>
          <w:color w:val="000000"/>
          <w:sz w:val="24"/>
        </w:rPr>
        <w:t>B-</w:t>
      </w:r>
      <w:r w:rsidR="005E2F6F" w:rsidRPr="006D07B3">
        <w:rPr>
          <w:rFonts w:ascii="Calibri" w:hAnsi="Calibri"/>
          <w:b/>
          <w:bCs/>
          <w:color w:val="000000"/>
          <w:sz w:val="24"/>
        </w:rPr>
        <w:t>4.</w:t>
      </w:r>
      <w:proofErr w:type="gramEnd"/>
      <w:r w:rsidR="005E2F6F" w:rsidRPr="006D07B3">
        <w:rPr>
          <w:rFonts w:ascii="Calibri" w:hAnsi="Calibri"/>
          <w:b/>
          <w:bCs/>
          <w:color w:val="000000"/>
          <w:sz w:val="24"/>
        </w:rPr>
        <w:tab/>
        <w:t xml:space="preserve"> Tests of the Procedures</w:t>
      </w:r>
    </w:p>
    <w:p w:rsidR="005E2F6F" w:rsidRPr="006D07B3" w:rsidRDefault="005E2F6F">
      <w:pPr>
        <w:widowControl/>
        <w:rPr>
          <w:rFonts w:ascii="Calibri" w:hAnsi="Calibri"/>
          <w:sz w:val="24"/>
        </w:rPr>
      </w:pPr>
    </w:p>
    <w:p w:rsidR="00FA16BC" w:rsidRPr="006D07B3" w:rsidRDefault="006C3FC7">
      <w:pPr>
        <w:widowControl/>
        <w:rPr>
          <w:rFonts w:ascii="Calibri" w:hAnsi="Calibri"/>
          <w:sz w:val="24"/>
        </w:rPr>
      </w:pPr>
      <w:r w:rsidRPr="00732ADD">
        <w:rPr>
          <w:rFonts w:ascii="Calibri" w:hAnsi="Calibri"/>
          <w:sz w:val="24"/>
        </w:rPr>
        <w:t>EIA plans to conduct</w:t>
      </w:r>
      <w:r w:rsidR="002E2DAA" w:rsidRPr="00732ADD">
        <w:rPr>
          <w:rFonts w:ascii="Calibri" w:hAnsi="Calibri"/>
          <w:sz w:val="24"/>
        </w:rPr>
        <w:t xml:space="preserve"> </w:t>
      </w:r>
      <w:r w:rsidRPr="00732ADD">
        <w:rPr>
          <w:rFonts w:ascii="Calibri" w:hAnsi="Calibri"/>
          <w:sz w:val="24"/>
        </w:rPr>
        <w:t>some</w:t>
      </w:r>
      <w:r w:rsidR="00FA16BC" w:rsidRPr="00732ADD">
        <w:rPr>
          <w:rFonts w:ascii="Calibri" w:hAnsi="Calibri"/>
          <w:sz w:val="24"/>
        </w:rPr>
        <w:t xml:space="preserve"> targeted </w:t>
      </w:r>
      <w:r w:rsidR="00732ADD" w:rsidRPr="00732ADD">
        <w:rPr>
          <w:rFonts w:ascii="Calibri" w:hAnsi="Calibri"/>
          <w:sz w:val="24"/>
        </w:rPr>
        <w:t xml:space="preserve">cognitive </w:t>
      </w:r>
      <w:r w:rsidR="00FA16BC" w:rsidRPr="00732ADD">
        <w:rPr>
          <w:rFonts w:ascii="Calibri" w:hAnsi="Calibri"/>
          <w:sz w:val="24"/>
        </w:rPr>
        <w:t xml:space="preserve">pretesting of new </w:t>
      </w:r>
      <w:r w:rsidRPr="00732ADD">
        <w:rPr>
          <w:rFonts w:ascii="Calibri" w:hAnsi="Calibri"/>
          <w:sz w:val="24"/>
        </w:rPr>
        <w:t xml:space="preserve">questions or </w:t>
      </w:r>
      <w:r w:rsidR="00FA16BC" w:rsidRPr="00732ADD">
        <w:rPr>
          <w:rFonts w:ascii="Calibri" w:hAnsi="Calibri"/>
          <w:sz w:val="24"/>
        </w:rPr>
        <w:t xml:space="preserve">procedures </w:t>
      </w:r>
      <w:r w:rsidRPr="00732ADD">
        <w:rPr>
          <w:rFonts w:ascii="Calibri" w:hAnsi="Calibri"/>
          <w:sz w:val="24"/>
        </w:rPr>
        <w:t xml:space="preserve">in </w:t>
      </w:r>
      <w:r w:rsidR="00732ADD" w:rsidRPr="00732ADD">
        <w:rPr>
          <w:rFonts w:ascii="Calibri" w:hAnsi="Calibri"/>
          <w:sz w:val="24"/>
        </w:rPr>
        <w:t>late 2012</w:t>
      </w:r>
      <w:r w:rsidR="00FA16BC" w:rsidRPr="00732ADD">
        <w:rPr>
          <w:rFonts w:ascii="Calibri" w:hAnsi="Calibri"/>
          <w:sz w:val="24"/>
        </w:rPr>
        <w:t>.</w:t>
      </w:r>
      <w:r w:rsidR="00732ADD" w:rsidRPr="00732ADD">
        <w:rPr>
          <w:rFonts w:ascii="Calibri" w:hAnsi="Calibri"/>
          <w:sz w:val="24"/>
        </w:rPr>
        <w:t xml:space="preserve"> The survey contractor will also be performing systems integration testing in late 2012. </w:t>
      </w:r>
      <w:r w:rsidR="009E291C" w:rsidRPr="00732ADD">
        <w:rPr>
          <w:rFonts w:ascii="Calibri" w:hAnsi="Calibri"/>
          <w:sz w:val="24"/>
        </w:rPr>
        <w:t xml:space="preserve">This </w:t>
      </w:r>
      <w:r w:rsidR="000479C6" w:rsidRPr="00732ADD">
        <w:rPr>
          <w:rFonts w:ascii="Calibri" w:hAnsi="Calibri"/>
          <w:sz w:val="24"/>
        </w:rPr>
        <w:t xml:space="preserve">will be an operational test of the end-to-end systems involved in the survey. </w:t>
      </w:r>
    </w:p>
    <w:p w:rsidR="00306FCE" w:rsidRPr="006D07B3" w:rsidRDefault="00306FCE" w:rsidP="00F6570E">
      <w:pPr>
        <w:widowControl/>
        <w:tabs>
          <w:tab w:val="left" w:pos="-1440"/>
        </w:tabs>
        <w:ind w:left="720" w:hanging="720"/>
        <w:rPr>
          <w:rFonts w:ascii="Calibri" w:hAnsi="Calibri"/>
          <w:b/>
          <w:bCs/>
          <w:color w:val="000000"/>
          <w:sz w:val="24"/>
        </w:rPr>
      </w:pPr>
    </w:p>
    <w:p w:rsidR="00306FCE" w:rsidRPr="006D07B3" w:rsidRDefault="00306FCE" w:rsidP="00F6570E">
      <w:pPr>
        <w:widowControl/>
        <w:tabs>
          <w:tab w:val="left" w:pos="-1440"/>
        </w:tabs>
        <w:ind w:left="720" w:hanging="720"/>
        <w:rPr>
          <w:rFonts w:ascii="Calibri" w:hAnsi="Calibri"/>
          <w:b/>
          <w:bCs/>
          <w:color w:val="000000"/>
          <w:sz w:val="24"/>
        </w:rPr>
      </w:pPr>
    </w:p>
    <w:p w:rsidR="005E2F6F" w:rsidRPr="006D07B3" w:rsidRDefault="00F6570E" w:rsidP="00F6570E">
      <w:pPr>
        <w:widowControl/>
        <w:tabs>
          <w:tab w:val="left" w:pos="-1440"/>
        </w:tabs>
        <w:ind w:left="720" w:hanging="720"/>
        <w:rPr>
          <w:rFonts w:ascii="Calibri" w:hAnsi="Calibri"/>
          <w:b/>
          <w:bCs/>
          <w:color w:val="000000"/>
          <w:sz w:val="24"/>
        </w:rPr>
      </w:pPr>
      <w:proofErr w:type="gramStart"/>
      <w:r w:rsidRPr="006D07B3">
        <w:rPr>
          <w:rFonts w:ascii="Calibri" w:hAnsi="Calibri"/>
          <w:b/>
          <w:bCs/>
          <w:color w:val="000000"/>
          <w:sz w:val="24"/>
        </w:rPr>
        <w:t>B-</w:t>
      </w:r>
      <w:r w:rsidR="005E2F6F" w:rsidRPr="006D07B3">
        <w:rPr>
          <w:rFonts w:ascii="Calibri" w:hAnsi="Calibri"/>
          <w:b/>
          <w:bCs/>
          <w:color w:val="000000"/>
          <w:sz w:val="24"/>
        </w:rPr>
        <w:t>5.</w:t>
      </w:r>
      <w:proofErr w:type="gramEnd"/>
      <w:r w:rsidR="005E2F6F" w:rsidRPr="006D07B3">
        <w:rPr>
          <w:rFonts w:ascii="Calibri" w:hAnsi="Calibri"/>
          <w:b/>
          <w:bCs/>
          <w:color w:val="000000"/>
          <w:sz w:val="24"/>
        </w:rPr>
        <w:tab/>
        <w:t xml:space="preserve"> Statistical Consultations</w:t>
      </w:r>
    </w:p>
    <w:p w:rsidR="005E2F6F" w:rsidRPr="006D07B3" w:rsidRDefault="005E2F6F">
      <w:pPr>
        <w:pStyle w:val="FootnoteText"/>
        <w:widowControl/>
        <w:rPr>
          <w:rFonts w:ascii="Calibri" w:hAnsi="Calibri"/>
          <w:sz w:val="24"/>
          <w:szCs w:val="24"/>
        </w:rPr>
      </w:pPr>
    </w:p>
    <w:p w:rsidR="002F4C0D" w:rsidRPr="006D07B3" w:rsidRDefault="005E2F6F">
      <w:pPr>
        <w:widowControl/>
        <w:rPr>
          <w:rFonts w:ascii="Calibri" w:hAnsi="Calibri"/>
          <w:sz w:val="24"/>
        </w:rPr>
      </w:pPr>
      <w:r w:rsidRPr="006D07B3">
        <w:rPr>
          <w:rFonts w:ascii="Calibri" w:hAnsi="Calibri"/>
          <w:sz w:val="24"/>
        </w:rPr>
        <w:t xml:space="preserve">EIA has chosen </w:t>
      </w:r>
      <w:r w:rsidR="00FC0287">
        <w:rPr>
          <w:rFonts w:ascii="Calibri" w:hAnsi="Calibri"/>
          <w:sz w:val="24"/>
        </w:rPr>
        <w:t xml:space="preserve">SAIC as the prime survey contractor with </w:t>
      </w:r>
      <w:proofErr w:type="spellStart"/>
      <w:r w:rsidR="0034524A" w:rsidRPr="006D07B3">
        <w:rPr>
          <w:rFonts w:ascii="Calibri" w:hAnsi="Calibri"/>
          <w:sz w:val="24"/>
        </w:rPr>
        <w:t>Westat</w:t>
      </w:r>
      <w:proofErr w:type="spellEnd"/>
      <w:r w:rsidRPr="006D07B3">
        <w:rPr>
          <w:rFonts w:ascii="Calibri" w:hAnsi="Calibri"/>
          <w:sz w:val="24"/>
        </w:rPr>
        <w:t xml:space="preserve"> </w:t>
      </w:r>
      <w:r w:rsidR="00F6570E" w:rsidRPr="006D07B3">
        <w:rPr>
          <w:rFonts w:ascii="Calibri" w:hAnsi="Calibri"/>
          <w:sz w:val="24"/>
        </w:rPr>
        <w:t xml:space="preserve">as the </w:t>
      </w:r>
      <w:r w:rsidR="00FC0287">
        <w:rPr>
          <w:rFonts w:ascii="Calibri" w:hAnsi="Calibri"/>
          <w:sz w:val="24"/>
        </w:rPr>
        <w:t>sub</w:t>
      </w:r>
      <w:r w:rsidR="00F6570E" w:rsidRPr="006D07B3">
        <w:rPr>
          <w:rFonts w:ascii="Calibri" w:hAnsi="Calibri"/>
          <w:sz w:val="24"/>
        </w:rPr>
        <w:t xml:space="preserve">contractor for the </w:t>
      </w:r>
      <w:smartTag w:uri="urn:schemas-microsoft-com:office:smarttags" w:element="PersonName">
        <w:r w:rsidR="00F6570E" w:rsidRPr="006D07B3">
          <w:rPr>
            <w:rFonts w:ascii="Calibri" w:hAnsi="Calibri"/>
            <w:sz w:val="24"/>
          </w:rPr>
          <w:t>CBECS</w:t>
        </w:r>
      </w:smartTag>
      <w:r w:rsidR="00F6570E" w:rsidRPr="006D07B3">
        <w:rPr>
          <w:rFonts w:ascii="Calibri" w:hAnsi="Calibri"/>
          <w:sz w:val="24"/>
        </w:rPr>
        <w:t xml:space="preserve"> building survey. </w:t>
      </w:r>
      <w:r w:rsidRPr="006D07B3">
        <w:rPr>
          <w:rFonts w:ascii="Calibri" w:hAnsi="Calibri"/>
          <w:sz w:val="24"/>
        </w:rPr>
        <w:t xml:space="preserve">At </w:t>
      </w:r>
      <w:proofErr w:type="spellStart"/>
      <w:r w:rsidR="0034524A" w:rsidRPr="006D07B3">
        <w:rPr>
          <w:rFonts w:ascii="Calibri" w:hAnsi="Calibri"/>
          <w:sz w:val="24"/>
        </w:rPr>
        <w:t>Westat</w:t>
      </w:r>
      <w:proofErr w:type="spellEnd"/>
      <w:r w:rsidR="00F6570E" w:rsidRPr="006D07B3">
        <w:rPr>
          <w:rFonts w:ascii="Calibri" w:hAnsi="Calibri"/>
          <w:sz w:val="24"/>
        </w:rPr>
        <w:t xml:space="preserve">, the program director is </w:t>
      </w:r>
      <w:r w:rsidR="00732ADD">
        <w:rPr>
          <w:rFonts w:ascii="Calibri" w:hAnsi="Calibri"/>
          <w:sz w:val="24"/>
        </w:rPr>
        <w:t xml:space="preserve">Robert </w:t>
      </w:r>
      <w:proofErr w:type="spellStart"/>
      <w:r w:rsidR="00732ADD">
        <w:rPr>
          <w:rFonts w:ascii="Calibri" w:hAnsi="Calibri"/>
          <w:sz w:val="24"/>
        </w:rPr>
        <w:t>Patchen</w:t>
      </w:r>
      <w:proofErr w:type="spellEnd"/>
      <w:r w:rsidR="00F6570E" w:rsidRPr="006D07B3">
        <w:rPr>
          <w:rFonts w:ascii="Calibri" w:hAnsi="Calibri"/>
          <w:sz w:val="24"/>
        </w:rPr>
        <w:t xml:space="preserve">. </w:t>
      </w:r>
      <w:r w:rsidR="00732ADD">
        <w:rPr>
          <w:rFonts w:ascii="Calibri" w:hAnsi="Calibri"/>
          <w:sz w:val="24"/>
        </w:rPr>
        <w:t xml:space="preserve">Mr. </w:t>
      </w:r>
      <w:proofErr w:type="spellStart"/>
      <w:r w:rsidR="00732ADD">
        <w:rPr>
          <w:rFonts w:ascii="Calibri" w:hAnsi="Calibri"/>
          <w:sz w:val="24"/>
        </w:rPr>
        <w:t>Patchen</w:t>
      </w:r>
      <w:proofErr w:type="spellEnd"/>
      <w:r w:rsidR="00F6570E" w:rsidRPr="006D07B3">
        <w:rPr>
          <w:rFonts w:ascii="Calibri" w:hAnsi="Calibri"/>
          <w:sz w:val="24"/>
        </w:rPr>
        <w:t xml:space="preserve"> may be reached at (3</w:t>
      </w:r>
      <w:r w:rsidR="0034524A" w:rsidRPr="006D07B3">
        <w:rPr>
          <w:rFonts w:ascii="Calibri" w:hAnsi="Calibri"/>
          <w:sz w:val="24"/>
        </w:rPr>
        <w:t>01</w:t>
      </w:r>
      <w:r w:rsidR="00F6570E" w:rsidRPr="006D07B3">
        <w:rPr>
          <w:rFonts w:ascii="Calibri" w:hAnsi="Calibri"/>
          <w:sz w:val="24"/>
        </w:rPr>
        <w:t xml:space="preserve">) </w:t>
      </w:r>
      <w:r w:rsidR="00732ADD">
        <w:rPr>
          <w:rFonts w:ascii="Calibri" w:hAnsi="Calibri"/>
          <w:sz w:val="24"/>
        </w:rPr>
        <w:t>610</w:t>
      </w:r>
      <w:r w:rsidR="00F6570E" w:rsidRPr="006D07B3">
        <w:rPr>
          <w:rFonts w:ascii="Calibri" w:hAnsi="Calibri"/>
          <w:sz w:val="24"/>
        </w:rPr>
        <w:t>-</w:t>
      </w:r>
      <w:r w:rsidR="00732ADD">
        <w:rPr>
          <w:rFonts w:ascii="Calibri" w:hAnsi="Calibri"/>
          <w:sz w:val="24"/>
        </w:rPr>
        <w:t>5113</w:t>
      </w:r>
      <w:r w:rsidR="00F6570E" w:rsidRPr="006D07B3">
        <w:rPr>
          <w:rFonts w:ascii="Calibri" w:hAnsi="Calibri"/>
          <w:sz w:val="24"/>
        </w:rPr>
        <w:t xml:space="preserve"> or by e-mail at </w:t>
      </w:r>
      <w:hyperlink r:id="rId9" w:history="1">
        <w:r w:rsidR="00732ADD" w:rsidRPr="005C3376">
          <w:rPr>
            <w:rStyle w:val="Hyperlink"/>
            <w:rFonts w:ascii="Calibri" w:hAnsi="Calibri"/>
            <w:sz w:val="24"/>
          </w:rPr>
          <w:t>bobpatchen@westat.com</w:t>
        </w:r>
      </w:hyperlink>
      <w:r w:rsidR="00F6570E" w:rsidRPr="006D07B3">
        <w:rPr>
          <w:rFonts w:ascii="Calibri" w:hAnsi="Calibri"/>
          <w:sz w:val="24"/>
        </w:rPr>
        <w:t xml:space="preserve">. The </w:t>
      </w:r>
      <w:r w:rsidR="00A82703" w:rsidRPr="006D07B3">
        <w:rPr>
          <w:rFonts w:ascii="Calibri" w:hAnsi="Calibri"/>
          <w:sz w:val="24"/>
        </w:rPr>
        <w:t>lead senior statistician from</w:t>
      </w:r>
      <w:r w:rsidR="00F6570E" w:rsidRPr="006D07B3">
        <w:rPr>
          <w:rFonts w:ascii="Calibri" w:hAnsi="Calibri"/>
          <w:sz w:val="24"/>
        </w:rPr>
        <w:t xml:space="preserve"> </w:t>
      </w:r>
      <w:proofErr w:type="spellStart"/>
      <w:r w:rsidR="0034524A" w:rsidRPr="006D07B3">
        <w:rPr>
          <w:rFonts w:ascii="Calibri" w:hAnsi="Calibri"/>
          <w:sz w:val="24"/>
        </w:rPr>
        <w:t>Westat</w:t>
      </w:r>
      <w:proofErr w:type="spellEnd"/>
      <w:r w:rsidR="00F6570E" w:rsidRPr="006D07B3">
        <w:rPr>
          <w:rFonts w:ascii="Calibri" w:hAnsi="Calibri"/>
          <w:sz w:val="24"/>
        </w:rPr>
        <w:t xml:space="preserve"> is </w:t>
      </w:r>
      <w:proofErr w:type="spellStart"/>
      <w:r w:rsidR="0034524A" w:rsidRPr="006D07B3">
        <w:rPr>
          <w:rFonts w:ascii="Calibri" w:hAnsi="Calibri"/>
          <w:sz w:val="24"/>
        </w:rPr>
        <w:t>Huseyin</w:t>
      </w:r>
      <w:proofErr w:type="spellEnd"/>
      <w:r w:rsidR="0034524A" w:rsidRPr="006D07B3">
        <w:rPr>
          <w:rFonts w:ascii="Calibri" w:hAnsi="Calibri"/>
          <w:sz w:val="24"/>
        </w:rPr>
        <w:t xml:space="preserve"> </w:t>
      </w:r>
      <w:proofErr w:type="spellStart"/>
      <w:r w:rsidR="0034524A" w:rsidRPr="006D07B3">
        <w:rPr>
          <w:rFonts w:ascii="Calibri" w:hAnsi="Calibri"/>
          <w:sz w:val="24"/>
        </w:rPr>
        <w:t>Goksel</w:t>
      </w:r>
      <w:proofErr w:type="spellEnd"/>
      <w:r w:rsidR="00F6570E" w:rsidRPr="006D07B3">
        <w:rPr>
          <w:rFonts w:ascii="Calibri" w:hAnsi="Calibri"/>
          <w:sz w:val="24"/>
        </w:rPr>
        <w:t>. M</w:t>
      </w:r>
      <w:r w:rsidR="0034524A" w:rsidRPr="006D07B3">
        <w:rPr>
          <w:rFonts w:ascii="Calibri" w:hAnsi="Calibri"/>
          <w:sz w:val="24"/>
        </w:rPr>
        <w:t>r</w:t>
      </w:r>
      <w:r w:rsidR="00F6570E" w:rsidRPr="006D07B3">
        <w:rPr>
          <w:rFonts w:ascii="Calibri" w:hAnsi="Calibri"/>
          <w:sz w:val="24"/>
        </w:rPr>
        <w:t xml:space="preserve">. </w:t>
      </w:r>
      <w:proofErr w:type="spellStart"/>
      <w:r w:rsidR="0034524A" w:rsidRPr="006D07B3">
        <w:rPr>
          <w:rFonts w:ascii="Calibri" w:hAnsi="Calibri"/>
          <w:sz w:val="24"/>
        </w:rPr>
        <w:t>Goksel</w:t>
      </w:r>
      <w:proofErr w:type="spellEnd"/>
      <w:r w:rsidR="00F6570E" w:rsidRPr="006D07B3">
        <w:rPr>
          <w:rFonts w:ascii="Calibri" w:hAnsi="Calibri"/>
          <w:sz w:val="24"/>
        </w:rPr>
        <w:t xml:space="preserve"> may be reached by e-mail at </w:t>
      </w:r>
      <w:hyperlink r:id="rId10" w:history="1">
        <w:r w:rsidR="00187EFE" w:rsidRPr="006D07B3">
          <w:rPr>
            <w:rStyle w:val="Hyperlink"/>
            <w:rFonts w:ascii="Calibri" w:hAnsi="Calibri"/>
            <w:sz w:val="24"/>
          </w:rPr>
          <w:t>gokselh1@westat.com</w:t>
        </w:r>
      </w:hyperlink>
      <w:r w:rsidR="00F6570E" w:rsidRPr="006D07B3">
        <w:rPr>
          <w:rFonts w:ascii="Calibri" w:hAnsi="Calibri"/>
          <w:sz w:val="24"/>
        </w:rPr>
        <w:t xml:space="preserve">. </w:t>
      </w:r>
      <w:r w:rsidRPr="006D07B3">
        <w:rPr>
          <w:rFonts w:ascii="Calibri" w:hAnsi="Calibri"/>
          <w:sz w:val="24"/>
        </w:rPr>
        <w:t xml:space="preserve">The </w:t>
      </w:r>
      <w:r w:rsidR="002E2DAA" w:rsidRPr="006D07B3">
        <w:rPr>
          <w:rFonts w:ascii="Calibri" w:hAnsi="Calibri"/>
          <w:sz w:val="24"/>
        </w:rPr>
        <w:t>CBECS Survey Manager</w:t>
      </w:r>
      <w:r w:rsidR="00FC0287">
        <w:rPr>
          <w:rFonts w:ascii="Calibri" w:hAnsi="Calibri"/>
          <w:sz w:val="24"/>
        </w:rPr>
        <w:t xml:space="preserve"> at EIA</w:t>
      </w:r>
      <w:r w:rsidR="002E2DAA" w:rsidRPr="006D07B3">
        <w:rPr>
          <w:rFonts w:ascii="Calibri" w:hAnsi="Calibri"/>
          <w:sz w:val="24"/>
        </w:rPr>
        <w:t xml:space="preserve"> is</w:t>
      </w:r>
      <w:r w:rsidR="00F6570E" w:rsidRPr="006D07B3">
        <w:rPr>
          <w:rFonts w:ascii="Calibri" w:hAnsi="Calibri"/>
          <w:sz w:val="24"/>
        </w:rPr>
        <w:t xml:space="preserve"> Joelle Michaels. Ms. Michaels may be reached at (202) 586-8952 or by e-mail at </w:t>
      </w:r>
      <w:hyperlink r:id="rId11" w:history="1">
        <w:r w:rsidR="002F4C0D" w:rsidRPr="006D07B3">
          <w:rPr>
            <w:rStyle w:val="Hyperlink"/>
            <w:rFonts w:ascii="Calibri" w:hAnsi="Calibri"/>
            <w:sz w:val="24"/>
          </w:rPr>
          <w:t>joelle.michaels@eia.gov</w:t>
        </w:r>
      </w:hyperlink>
      <w:r w:rsidR="00F6570E" w:rsidRPr="006D07B3">
        <w:rPr>
          <w:rFonts w:ascii="Calibri" w:hAnsi="Calibri"/>
          <w:sz w:val="24"/>
        </w:rPr>
        <w:t>.</w:t>
      </w:r>
    </w:p>
    <w:p w:rsidR="002F4C0D" w:rsidRPr="006D07B3" w:rsidRDefault="002F4C0D">
      <w:pPr>
        <w:widowControl/>
        <w:rPr>
          <w:rFonts w:ascii="Calibri" w:hAnsi="Calibri"/>
          <w:sz w:val="24"/>
        </w:rPr>
      </w:pPr>
    </w:p>
    <w:p w:rsidR="005E2F6F" w:rsidRPr="006D07B3" w:rsidRDefault="002F4C0D" w:rsidP="0026514F">
      <w:pPr>
        <w:widowControl/>
        <w:rPr>
          <w:rFonts w:ascii="Calibri" w:hAnsi="Calibri"/>
          <w:sz w:val="24"/>
        </w:rPr>
      </w:pPr>
      <w:r w:rsidRPr="006D07B3">
        <w:rPr>
          <w:rFonts w:ascii="Calibri" w:hAnsi="Calibri"/>
          <w:sz w:val="24"/>
        </w:rPr>
        <w:t xml:space="preserve">The agency point-of-contact regarding this clearance is </w:t>
      </w:r>
      <w:r w:rsidR="00DF06EB" w:rsidRPr="006D07B3">
        <w:rPr>
          <w:rFonts w:ascii="Calibri" w:hAnsi="Calibri"/>
          <w:sz w:val="24"/>
        </w:rPr>
        <w:t xml:space="preserve">Alethea Jennings. Ms. Jennings </w:t>
      </w:r>
      <w:r w:rsidRPr="006D07B3">
        <w:rPr>
          <w:rFonts w:ascii="Calibri" w:hAnsi="Calibri"/>
          <w:sz w:val="24"/>
        </w:rPr>
        <w:t xml:space="preserve">may be reached at (202) </w:t>
      </w:r>
      <w:r w:rsidR="00321BBB" w:rsidRPr="006D07B3">
        <w:rPr>
          <w:rFonts w:ascii="Calibri" w:hAnsi="Calibri"/>
          <w:sz w:val="24"/>
        </w:rPr>
        <w:t>586-</w:t>
      </w:r>
      <w:r w:rsidR="00DF06EB" w:rsidRPr="006D07B3">
        <w:rPr>
          <w:rFonts w:ascii="Calibri" w:hAnsi="Calibri"/>
          <w:sz w:val="24"/>
        </w:rPr>
        <w:t>5879</w:t>
      </w:r>
      <w:r w:rsidRPr="006D07B3">
        <w:rPr>
          <w:rFonts w:ascii="Calibri" w:hAnsi="Calibri"/>
          <w:sz w:val="24"/>
        </w:rPr>
        <w:t xml:space="preserve"> or by e-mail at </w:t>
      </w:r>
      <w:hyperlink r:id="rId12" w:history="1">
        <w:r w:rsidR="00DF06EB" w:rsidRPr="006D07B3">
          <w:rPr>
            <w:rStyle w:val="Hyperlink"/>
            <w:rFonts w:ascii="Calibri" w:hAnsi="Calibri"/>
            <w:sz w:val="24"/>
          </w:rPr>
          <w:t>alethea.jennings@eia.gov</w:t>
        </w:r>
      </w:hyperlink>
      <w:r w:rsidRPr="006D07B3">
        <w:rPr>
          <w:rFonts w:ascii="Calibri" w:hAnsi="Calibri"/>
          <w:sz w:val="24"/>
        </w:rPr>
        <w:t>.</w:t>
      </w:r>
    </w:p>
    <w:sectPr w:rsidR="005E2F6F" w:rsidRPr="006D07B3" w:rsidSect="00BC4291">
      <w:headerReference w:type="default" r:id="rId13"/>
      <w:footerReference w:type="default" r:id="rId14"/>
      <w:endnotePr>
        <w:numFmt w:val="decimal"/>
      </w:endnotePr>
      <w:type w:val="continuous"/>
      <w:pgSz w:w="12240" w:h="15840" w:code="1"/>
      <w:pgMar w:top="1440" w:right="1440" w:bottom="1440" w:left="1440" w:header="576" w:footer="576"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284E" w:rsidRDefault="00D2284E">
      <w:r>
        <w:separator/>
      </w:r>
    </w:p>
  </w:endnote>
  <w:endnote w:type="continuationSeparator" w:id="0">
    <w:p w:rsidR="00D2284E" w:rsidRDefault="00D2284E">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P TypographicSymbols">
    <w:altName w:val="Times New Roman"/>
    <w:panose1 w:val="00000000000000000000"/>
    <w:charset w:val="00"/>
    <w:family w:val="auto"/>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BBD" w:rsidRPr="00732ADD" w:rsidRDefault="00B92BBD">
    <w:pPr>
      <w:spacing w:line="240" w:lineRule="exact"/>
      <w:rPr>
        <w:rFonts w:ascii="Calibri" w:hAnsi="Calibri"/>
        <w:szCs w:val="20"/>
      </w:rPr>
    </w:pPr>
    <w:smartTag w:uri="urn:schemas-microsoft-com:office:smarttags" w:element="PersonName">
      <w:r w:rsidRPr="00732ADD">
        <w:rPr>
          <w:rFonts w:ascii="Calibri" w:hAnsi="Calibri"/>
          <w:szCs w:val="20"/>
        </w:rPr>
        <w:t>CBECS</w:t>
      </w:r>
    </w:smartTag>
    <w:r w:rsidRPr="00732ADD">
      <w:rPr>
        <w:rFonts w:ascii="Calibri" w:hAnsi="Calibri"/>
        <w:szCs w:val="20"/>
      </w:rPr>
      <w:t xml:space="preserve"> (OMB No. 1905-0145)</w:t>
    </w:r>
    <w:r w:rsidRPr="00732ADD">
      <w:rPr>
        <w:rFonts w:ascii="Calibri" w:hAnsi="Calibri"/>
        <w:szCs w:val="20"/>
      </w:rPr>
      <w:tab/>
    </w:r>
    <w:r w:rsidRPr="00732ADD">
      <w:rPr>
        <w:rFonts w:ascii="Calibri" w:hAnsi="Calibri"/>
        <w:szCs w:val="20"/>
      </w:rPr>
      <w:tab/>
      <w:t xml:space="preserve">    </w:t>
    </w:r>
    <w:r w:rsidRPr="00732ADD">
      <w:rPr>
        <w:rFonts w:ascii="Calibri" w:hAnsi="Calibri"/>
        <w:szCs w:val="20"/>
      </w:rPr>
      <w:tab/>
    </w:r>
    <w:r w:rsidRPr="00732ADD">
      <w:rPr>
        <w:rFonts w:ascii="Calibri" w:hAnsi="Calibri"/>
        <w:szCs w:val="20"/>
      </w:rPr>
      <w:tab/>
      <w:t xml:space="preserve"> </w:t>
    </w:r>
    <w:r w:rsidR="00973B93" w:rsidRPr="00732ADD">
      <w:rPr>
        <w:rStyle w:val="PageNumber"/>
        <w:rFonts w:ascii="Calibri" w:hAnsi="Calibri"/>
        <w:szCs w:val="20"/>
      </w:rPr>
      <w:fldChar w:fldCharType="begin"/>
    </w:r>
    <w:r w:rsidRPr="00732ADD">
      <w:rPr>
        <w:rStyle w:val="PageNumber"/>
        <w:rFonts w:ascii="Calibri" w:hAnsi="Calibri"/>
        <w:szCs w:val="20"/>
      </w:rPr>
      <w:instrText xml:space="preserve"> PAGE </w:instrText>
    </w:r>
    <w:r w:rsidR="00973B93" w:rsidRPr="00732ADD">
      <w:rPr>
        <w:rStyle w:val="PageNumber"/>
        <w:rFonts w:ascii="Calibri" w:hAnsi="Calibri"/>
        <w:szCs w:val="20"/>
      </w:rPr>
      <w:fldChar w:fldCharType="separate"/>
    </w:r>
    <w:r w:rsidR="006963F3">
      <w:rPr>
        <w:rStyle w:val="PageNumber"/>
        <w:rFonts w:ascii="Calibri" w:hAnsi="Calibri"/>
        <w:noProof/>
        <w:szCs w:val="20"/>
      </w:rPr>
      <w:t>7</w:t>
    </w:r>
    <w:r w:rsidR="00973B93" w:rsidRPr="00732ADD">
      <w:rPr>
        <w:rStyle w:val="PageNumber"/>
        <w:rFonts w:ascii="Calibri" w:hAnsi="Calibri"/>
        <w:szCs w:val="20"/>
      </w:rPr>
      <w:fldChar w:fldCharType="end"/>
    </w:r>
    <w:r>
      <w:rPr>
        <w:rStyle w:val="PageNumber"/>
        <w:rFonts w:ascii="Calibri" w:hAnsi="Calibri"/>
        <w:szCs w:val="20"/>
      </w:rPr>
      <w:tab/>
    </w:r>
    <w:r>
      <w:rPr>
        <w:rStyle w:val="PageNumber"/>
        <w:rFonts w:ascii="Calibri" w:hAnsi="Calibri"/>
        <w:szCs w:val="20"/>
      </w:rPr>
      <w:tab/>
    </w:r>
    <w:r>
      <w:rPr>
        <w:rStyle w:val="PageNumber"/>
        <w:rFonts w:ascii="Calibri" w:hAnsi="Calibri"/>
        <w:szCs w:val="20"/>
      </w:rPr>
      <w:tab/>
      <w:t xml:space="preserve">      </w:t>
    </w:r>
    <w:r>
      <w:rPr>
        <w:rStyle w:val="PageNumber"/>
        <w:rFonts w:ascii="Calibri" w:hAnsi="Calibri"/>
        <w:szCs w:val="20"/>
      </w:rPr>
      <w:tab/>
      <w:t xml:space="preserve"> September</w:t>
    </w:r>
    <w:r w:rsidRPr="00732ADD">
      <w:rPr>
        <w:rStyle w:val="PageNumber"/>
        <w:rFonts w:ascii="Calibri" w:hAnsi="Calibri"/>
        <w:szCs w:val="20"/>
      </w:rPr>
      <w:t xml:space="preserve"> 2012</w:t>
    </w:r>
  </w:p>
  <w:p w:rsidR="00B92BBD" w:rsidRDefault="00B92BBD">
    <w:pPr>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284E" w:rsidRDefault="00D2284E">
      <w:r>
        <w:separator/>
      </w:r>
    </w:p>
  </w:footnote>
  <w:footnote w:type="continuationSeparator" w:id="0">
    <w:p w:rsidR="00D2284E" w:rsidRDefault="00D228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BBD" w:rsidRPr="00C82225" w:rsidRDefault="00B92BBD" w:rsidP="00C82225">
    <w:pPr>
      <w:pStyle w:val="Header"/>
      <w:jc w:val="right"/>
      <w:rPr>
        <w:rFonts w:ascii="Calibri" w:hAnsi="Calibr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B946CEE"/>
    <w:lvl w:ilvl="0">
      <w:numFmt w:val="decimal"/>
      <w:lvlText w:val="*"/>
      <w:lvlJc w:val="left"/>
    </w:lvl>
  </w:abstractNum>
  <w:abstractNum w:abstractNumId="1">
    <w:nsid w:val="03BD1CFD"/>
    <w:multiLevelType w:val="hybridMultilevel"/>
    <w:tmpl w:val="7646C8B2"/>
    <w:lvl w:ilvl="0" w:tplc="04BC18CE">
      <w:start w:val="370"/>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3C012C0"/>
    <w:multiLevelType w:val="hybridMultilevel"/>
    <w:tmpl w:val="E640CC3E"/>
    <w:lvl w:ilvl="0" w:tplc="E7982EDE">
      <w:start w:val="1"/>
      <w:numFmt w:val="bullet"/>
      <w:lvlText w:val="•"/>
      <w:lvlJc w:val="left"/>
      <w:pPr>
        <w:tabs>
          <w:tab w:val="num" w:pos="720"/>
        </w:tabs>
        <w:ind w:left="720" w:hanging="360"/>
      </w:pPr>
      <w:rPr>
        <w:rFonts w:ascii="Arial" w:hAnsi="Arial" w:hint="default"/>
      </w:rPr>
    </w:lvl>
    <w:lvl w:ilvl="1" w:tplc="73DC1AB2">
      <w:start w:val="370"/>
      <w:numFmt w:val="bullet"/>
      <w:lvlText w:val="–"/>
      <w:lvlJc w:val="left"/>
      <w:pPr>
        <w:tabs>
          <w:tab w:val="num" w:pos="1440"/>
        </w:tabs>
        <w:ind w:left="1440" w:hanging="360"/>
      </w:pPr>
      <w:rPr>
        <w:rFonts w:ascii="Arial" w:hAnsi="Arial" w:hint="default"/>
      </w:rPr>
    </w:lvl>
    <w:lvl w:ilvl="2" w:tplc="787C97B0" w:tentative="1">
      <w:start w:val="1"/>
      <w:numFmt w:val="bullet"/>
      <w:lvlText w:val="•"/>
      <w:lvlJc w:val="left"/>
      <w:pPr>
        <w:tabs>
          <w:tab w:val="num" w:pos="2160"/>
        </w:tabs>
        <w:ind w:left="2160" w:hanging="360"/>
      </w:pPr>
      <w:rPr>
        <w:rFonts w:ascii="Arial" w:hAnsi="Arial" w:hint="default"/>
      </w:rPr>
    </w:lvl>
    <w:lvl w:ilvl="3" w:tplc="B868F57E" w:tentative="1">
      <w:start w:val="1"/>
      <w:numFmt w:val="bullet"/>
      <w:lvlText w:val="•"/>
      <w:lvlJc w:val="left"/>
      <w:pPr>
        <w:tabs>
          <w:tab w:val="num" w:pos="2880"/>
        </w:tabs>
        <w:ind w:left="2880" w:hanging="360"/>
      </w:pPr>
      <w:rPr>
        <w:rFonts w:ascii="Arial" w:hAnsi="Arial" w:hint="default"/>
      </w:rPr>
    </w:lvl>
    <w:lvl w:ilvl="4" w:tplc="7D5A53D6" w:tentative="1">
      <w:start w:val="1"/>
      <w:numFmt w:val="bullet"/>
      <w:lvlText w:val="•"/>
      <w:lvlJc w:val="left"/>
      <w:pPr>
        <w:tabs>
          <w:tab w:val="num" w:pos="3600"/>
        </w:tabs>
        <w:ind w:left="3600" w:hanging="360"/>
      </w:pPr>
      <w:rPr>
        <w:rFonts w:ascii="Arial" w:hAnsi="Arial" w:hint="default"/>
      </w:rPr>
    </w:lvl>
    <w:lvl w:ilvl="5" w:tplc="9B160EB6" w:tentative="1">
      <w:start w:val="1"/>
      <w:numFmt w:val="bullet"/>
      <w:lvlText w:val="•"/>
      <w:lvlJc w:val="left"/>
      <w:pPr>
        <w:tabs>
          <w:tab w:val="num" w:pos="4320"/>
        </w:tabs>
        <w:ind w:left="4320" w:hanging="360"/>
      </w:pPr>
      <w:rPr>
        <w:rFonts w:ascii="Arial" w:hAnsi="Arial" w:hint="default"/>
      </w:rPr>
    </w:lvl>
    <w:lvl w:ilvl="6" w:tplc="A87C07D8" w:tentative="1">
      <w:start w:val="1"/>
      <w:numFmt w:val="bullet"/>
      <w:lvlText w:val="•"/>
      <w:lvlJc w:val="left"/>
      <w:pPr>
        <w:tabs>
          <w:tab w:val="num" w:pos="5040"/>
        </w:tabs>
        <w:ind w:left="5040" w:hanging="360"/>
      </w:pPr>
      <w:rPr>
        <w:rFonts w:ascii="Arial" w:hAnsi="Arial" w:hint="default"/>
      </w:rPr>
    </w:lvl>
    <w:lvl w:ilvl="7" w:tplc="434C4E5C" w:tentative="1">
      <w:start w:val="1"/>
      <w:numFmt w:val="bullet"/>
      <w:lvlText w:val="•"/>
      <w:lvlJc w:val="left"/>
      <w:pPr>
        <w:tabs>
          <w:tab w:val="num" w:pos="5760"/>
        </w:tabs>
        <w:ind w:left="5760" w:hanging="360"/>
      </w:pPr>
      <w:rPr>
        <w:rFonts w:ascii="Arial" w:hAnsi="Arial" w:hint="default"/>
      </w:rPr>
    </w:lvl>
    <w:lvl w:ilvl="8" w:tplc="748E0DC6" w:tentative="1">
      <w:start w:val="1"/>
      <w:numFmt w:val="bullet"/>
      <w:lvlText w:val="•"/>
      <w:lvlJc w:val="left"/>
      <w:pPr>
        <w:tabs>
          <w:tab w:val="num" w:pos="6480"/>
        </w:tabs>
        <w:ind w:left="6480" w:hanging="360"/>
      </w:pPr>
      <w:rPr>
        <w:rFonts w:ascii="Arial" w:hAnsi="Arial" w:hint="default"/>
      </w:rPr>
    </w:lvl>
  </w:abstractNum>
  <w:abstractNum w:abstractNumId="3">
    <w:nsid w:val="047E77F3"/>
    <w:multiLevelType w:val="hybridMultilevel"/>
    <w:tmpl w:val="03CADB2A"/>
    <w:lvl w:ilvl="0" w:tplc="71F2AC14">
      <w:start w:val="1"/>
      <w:numFmt w:val="bullet"/>
      <w:lvlText w:val="•"/>
      <w:lvlJc w:val="left"/>
      <w:pPr>
        <w:tabs>
          <w:tab w:val="num" w:pos="720"/>
        </w:tabs>
        <w:ind w:left="720" w:hanging="360"/>
      </w:pPr>
      <w:rPr>
        <w:rFonts w:ascii="Arial" w:hAnsi="Arial" w:hint="default"/>
      </w:rPr>
    </w:lvl>
    <w:lvl w:ilvl="1" w:tplc="04BC18CE">
      <w:start w:val="370"/>
      <w:numFmt w:val="bullet"/>
      <w:lvlText w:val="–"/>
      <w:lvlJc w:val="left"/>
      <w:pPr>
        <w:tabs>
          <w:tab w:val="num" w:pos="1440"/>
        </w:tabs>
        <w:ind w:left="1440" w:hanging="360"/>
      </w:pPr>
      <w:rPr>
        <w:rFonts w:ascii="Arial" w:hAnsi="Arial" w:hint="default"/>
      </w:rPr>
    </w:lvl>
    <w:lvl w:ilvl="2" w:tplc="11D43004" w:tentative="1">
      <w:start w:val="1"/>
      <w:numFmt w:val="bullet"/>
      <w:lvlText w:val="•"/>
      <w:lvlJc w:val="left"/>
      <w:pPr>
        <w:tabs>
          <w:tab w:val="num" w:pos="2160"/>
        </w:tabs>
        <w:ind w:left="2160" w:hanging="360"/>
      </w:pPr>
      <w:rPr>
        <w:rFonts w:ascii="Arial" w:hAnsi="Arial" w:hint="default"/>
      </w:rPr>
    </w:lvl>
    <w:lvl w:ilvl="3" w:tplc="585AFE5C" w:tentative="1">
      <w:start w:val="1"/>
      <w:numFmt w:val="bullet"/>
      <w:lvlText w:val="•"/>
      <w:lvlJc w:val="left"/>
      <w:pPr>
        <w:tabs>
          <w:tab w:val="num" w:pos="2880"/>
        </w:tabs>
        <w:ind w:left="2880" w:hanging="360"/>
      </w:pPr>
      <w:rPr>
        <w:rFonts w:ascii="Arial" w:hAnsi="Arial" w:hint="default"/>
      </w:rPr>
    </w:lvl>
    <w:lvl w:ilvl="4" w:tplc="B8C02278" w:tentative="1">
      <w:start w:val="1"/>
      <w:numFmt w:val="bullet"/>
      <w:lvlText w:val="•"/>
      <w:lvlJc w:val="left"/>
      <w:pPr>
        <w:tabs>
          <w:tab w:val="num" w:pos="3600"/>
        </w:tabs>
        <w:ind w:left="3600" w:hanging="360"/>
      </w:pPr>
      <w:rPr>
        <w:rFonts w:ascii="Arial" w:hAnsi="Arial" w:hint="default"/>
      </w:rPr>
    </w:lvl>
    <w:lvl w:ilvl="5" w:tplc="D982E032" w:tentative="1">
      <w:start w:val="1"/>
      <w:numFmt w:val="bullet"/>
      <w:lvlText w:val="•"/>
      <w:lvlJc w:val="left"/>
      <w:pPr>
        <w:tabs>
          <w:tab w:val="num" w:pos="4320"/>
        </w:tabs>
        <w:ind w:left="4320" w:hanging="360"/>
      </w:pPr>
      <w:rPr>
        <w:rFonts w:ascii="Arial" w:hAnsi="Arial" w:hint="default"/>
      </w:rPr>
    </w:lvl>
    <w:lvl w:ilvl="6" w:tplc="783631B8" w:tentative="1">
      <w:start w:val="1"/>
      <w:numFmt w:val="bullet"/>
      <w:lvlText w:val="•"/>
      <w:lvlJc w:val="left"/>
      <w:pPr>
        <w:tabs>
          <w:tab w:val="num" w:pos="5040"/>
        </w:tabs>
        <w:ind w:left="5040" w:hanging="360"/>
      </w:pPr>
      <w:rPr>
        <w:rFonts w:ascii="Arial" w:hAnsi="Arial" w:hint="default"/>
      </w:rPr>
    </w:lvl>
    <w:lvl w:ilvl="7" w:tplc="BBF2B7B0" w:tentative="1">
      <w:start w:val="1"/>
      <w:numFmt w:val="bullet"/>
      <w:lvlText w:val="•"/>
      <w:lvlJc w:val="left"/>
      <w:pPr>
        <w:tabs>
          <w:tab w:val="num" w:pos="5760"/>
        </w:tabs>
        <w:ind w:left="5760" w:hanging="360"/>
      </w:pPr>
      <w:rPr>
        <w:rFonts w:ascii="Arial" w:hAnsi="Arial" w:hint="default"/>
      </w:rPr>
    </w:lvl>
    <w:lvl w:ilvl="8" w:tplc="5BFAEE1A" w:tentative="1">
      <w:start w:val="1"/>
      <w:numFmt w:val="bullet"/>
      <w:lvlText w:val="•"/>
      <w:lvlJc w:val="left"/>
      <w:pPr>
        <w:tabs>
          <w:tab w:val="num" w:pos="6480"/>
        </w:tabs>
        <w:ind w:left="6480" w:hanging="360"/>
      </w:pPr>
      <w:rPr>
        <w:rFonts w:ascii="Arial" w:hAnsi="Arial" w:hint="default"/>
      </w:rPr>
    </w:lvl>
  </w:abstractNum>
  <w:abstractNum w:abstractNumId="4">
    <w:nsid w:val="07E05AF7"/>
    <w:multiLevelType w:val="hybridMultilevel"/>
    <w:tmpl w:val="FF480502"/>
    <w:lvl w:ilvl="0" w:tplc="5838D3E8">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90948E7"/>
    <w:multiLevelType w:val="hybridMultilevel"/>
    <w:tmpl w:val="0212B00C"/>
    <w:lvl w:ilvl="0" w:tplc="5838D3E8">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C36310A"/>
    <w:multiLevelType w:val="hybridMultilevel"/>
    <w:tmpl w:val="ED185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D927EB"/>
    <w:multiLevelType w:val="hybridMultilevel"/>
    <w:tmpl w:val="27DC91D2"/>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4F120A8"/>
    <w:multiLevelType w:val="hybridMultilevel"/>
    <w:tmpl w:val="05B6549E"/>
    <w:lvl w:ilvl="0" w:tplc="5838D3E8">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95C2A3A4">
      <w:start w:val="1"/>
      <w:numFmt w:val="bullet"/>
      <w:lvlText w:val="-"/>
      <w:lvlJc w:val="left"/>
      <w:pPr>
        <w:ind w:left="2160" w:hanging="36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A911B3"/>
    <w:multiLevelType w:val="hybridMultilevel"/>
    <w:tmpl w:val="6A12B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D22B36"/>
    <w:multiLevelType w:val="hybridMultilevel"/>
    <w:tmpl w:val="CB0ADE44"/>
    <w:lvl w:ilvl="0" w:tplc="5838D3E8">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B981389"/>
    <w:multiLevelType w:val="hybridMultilevel"/>
    <w:tmpl w:val="2768336A"/>
    <w:lvl w:ilvl="0" w:tplc="5838D3E8">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007469E"/>
    <w:multiLevelType w:val="hybridMultilevel"/>
    <w:tmpl w:val="B61E1112"/>
    <w:lvl w:ilvl="0" w:tplc="5838D3E8">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1746C77"/>
    <w:multiLevelType w:val="hybridMultilevel"/>
    <w:tmpl w:val="84E01F8E"/>
    <w:lvl w:ilvl="0" w:tplc="229E6D82">
      <w:start w:val="6"/>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nsid w:val="359B37B5"/>
    <w:multiLevelType w:val="hybridMultilevel"/>
    <w:tmpl w:val="8D02F864"/>
    <w:lvl w:ilvl="0" w:tplc="5838D3E8">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A0A43AE"/>
    <w:multiLevelType w:val="hybridMultilevel"/>
    <w:tmpl w:val="57D88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CB9370B"/>
    <w:multiLevelType w:val="hybridMultilevel"/>
    <w:tmpl w:val="A516BF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D5656C6"/>
    <w:multiLevelType w:val="hybridMultilevel"/>
    <w:tmpl w:val="495CCE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DD5601C"/>
    <w:multiLevelType w:val="hybridMultilevel"/>
    <w:tmpl w:val="214CECAC"/>
    <w:lvl w:ilvl="0" w:tplc="5838D3E8">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AB542B0"/>
    <w:multiLevelType w:val="hybridMultilevel"/>
    <w:tmpl w:val="4134E6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B65357C"/>
    <w:multiLevelType w:val="hybridMultilevel"/>
    <w:tmpl w:val="467C6340"/>
    <w:lvl w:ilvl="0" w:tplc="5838D3E8">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C9D7ABD"/>
    <w:multiLevelType w:val="hybridMultilevel"/>
    <w:tmpl w:val="481004D2"/>
    <w:lvl w:ilvl="0" w:tplc="01B27B2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4E2A6D5B"/>
    <w:multiLevelType w:val="multilevel"/>
    <w:tmpl w:val="668A1CDE"/>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55323452"/>
    <w:multiLevelType w:val="hybridMultilevel"/>
    <w:tmpl w:val="D4622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BC44C5"/>
    <w:multiLevelType w:val="hybridMultilevel"/>
    <w:tmpl w:val="01CA0AA4"/>
    <w:lvl w:ilvl="0" w:tplc="5838D3E8">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6E13379"/>
    <w:multiLevelType w:val="hybridMultilevel"/>
    <w:tmpl w:val="668A1CDE"/>
    <w:lvl w:ilvl="0" w:tplc="5838D3E8">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1705D8B"/>
    <w:multiLevelType w:val="hybridMultilevel"/>
    <w:tmpl w:val="D1FA0A54"/>
    <w:lvl w:ilvl="0" w:tplc="5838D3E8">
      <w:start w:val="1"/>
      <w:numFmt w:val="bullet"/>
      <w:lvlText w:val=""/>
      <w:lvlJc w:val="left"/>
      <w:pPr>
        <w:tabs>
          <w:tab w:val="num" w:pos="1080"/>
        </w:tabs>
        <w:ind w:left="1080" w:hanging="360"/>
      </w:pPr>
      <w:rPr>
        <w:rFonts w:ascii="Wingdings" w:hAnsi="Wingdings" w:hint="default"/>
      </w:rPr>
    </w:lvl>
    <w:lvl w:ilvl="1" w:tplc="04BC18CE">
      <w:start w:val="370"/>
      <w:numFmt w:val="bullet"/>
      <w:lvlText w:val="–"/>
      <w:lvlJc w:val="left"/>
      <w:pPr>
        <w:tabs>
          <w:tab w:val="num" w:pos="1440"/>
        </w:tabs>
        <w:ind w:left="1440" w:hanging="360"/>
      </w:pPr>
      <w:rPr>
        <w:rFonts w:ascii="Arial" w:hAnsi="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5011EB0"/>
    <w:multiLevelType w:val="hybridMultilevel"/>
    <w:tmpl w:val="E760E5B8"/>
    <w:lvl w:ilvl="0" w:tplc="7CAC67AE">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6D83063D"/>
    <w:multiLevelType w:val="hybridMultilevel"/>
    <w:tmpl w:val="DF30DF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3"/>
  </w:num>
  <w:num w:numId="3">
    <w:abstractNumId w:val="27"/>
  </w:num>
  <w:num w:numId="4">
    <w:abstractNumId w:val="19"/>
  </w:num>
  <w:num w:numId="5">
    <w:abstractNumId w:val="21"/>
  </w:num>
  <w:num w:numId="6">
    <w:abstractNumId w:val="28"/>
  </w:num>
  <w:num w:numId="7">
    <w:abstractNumId w:val="16"/>
  </w:num>
  <w:num w:numId="8">
    <w:abstractNumId w:val="7"/>
  </w:num>
  <w:num w:numId="9">
    <w:abstractNumId w:val="18"/>
  </w:num>
  <w:num w:numId="10">
    <w:abstractNumId w:val="12"/>
  </w:num>
  <w:num w:numId="11">
    <w:abstractNumId w:val="25"/>
  </w:num>
  <w:num w:numId="12">
    <w:abstractNumId w:val="4"/>
  </w:num>
  <w:num w:numId="13">
    <w:abstractNumId w:val="11"/>
  </w:num>
  <w:num w:numId="14">
    <w:abstractNumId w:val="5"/>
  </w:num>
  <w:num w:numId="15">
    <w:abstractNumId w:val="10"/>
  </w:num>
  <w:num w:numId="16">
    <w:abstractNumId w:val="14"/>
  </w:num>
  <w:num w:numId="17">
    <w:abstractNumId w:val="20"/>
  </w:num>
  <w:num w:numId="18">
    <w:abstractNumId w:val="17"/>
  </w:num>
  <w:num w:numId="19">
    <w:abstractNumId w:val="2"/>
  </w:num>
  <w:num w:numId="20">
    <w:abstractNumId w:val="3"/>
  </w:num>
  <w:num w:numId="21">
    <w:abstractNumId w:val="6"/>
  </w:num>
  <w:num w:numId="22">
    <w:abstractNumId w:val="15"/>
  </w:num>
  <w:num w:numId="23">
    <w:abstractNumId w:val="9"/>
  </w:num>
  <w:num w:numId="24">
    <w:abstractNumId w:val="1"/>
  </w:num>
  <w:num w:numId="25">
    <w:abstractNumId w:val="26"/>
  </w:num>
  <w:num w:numId="26">
    <w:abstractNumId w:val="22"/>
  </w:num>
  <w:num w:numId="27">
    <w:abstractNumId w:val="23"/>
  </w:num>
  <w:num w:numId="28">
    <w:abstractNumId w:val="24"/>
  </w:num>
  <w:num w:numId="2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22"/>
  </w:hdrShapeDefaults>
  <w:footnotePr>
    <w:footnote w:id="-1"/>
    <w:footnote w:id="0"/>
  </w:footnotePr>
  <w:endnotePr>
    <w:numFmt w:val="decimal"/>
    <w:endnote w:id="-1"/>
    <w:endnote w:id="0"/>
  </w:endnotePr>
  <w:compat/>
  <w:rsids>
    <w:rsidRoot w:val="005E2F6F"/>
    <w:rsid w:val="00001F4C"/>
    <w:rsid w:val="000154AB"/>
    <w:rsid w:val="000273FD"/>
    <w:rsid w:val="000334B6"/>
    <w:rsid w:val="0003431C"/>
    <w:rsid w:val="000356A5"/>
    <w:rsid w:val="00040156"/>
    <w:rsid w:val="000435CC"/>
    <w:rsid w:val="000479C6"/>
    <w:rsid w:val="00047A5A"/>
    <w:rsid w:val="00064328"/>
    <w:rsid w:val="000756CE"/>
    <w:rsid w:val="0008100F"/>
    <w:rsid w:val="0008478E"/>
    <w:rsid w:val="00093F9D"/>
    <w:rsid w:val="00094BA1"/>
    <w:rsid w:val="000A0655"/>
    <w:rsid w:val="000A0891"/>
    <w:rsid w:val="000A5D1D"/>
    <w:rsid w:val="000B2CEA"/>
    <w:rsid w:val="000B3AD6"/>
    <w:rsid w:val="000C69CA"/>
    <w:rsid w:val="000C6A35"/>
    <w:rsid w:val="000D2439"/>
    <w:rsid w:val="000D3EDA"/>
    <w:rsid w:val="000D4FCB"/>
    <w:rsid w:val="000E10AB"/>
    <w:rsid w:val="000E4E7A"/>
    <w:rsid w:val="000F6D87"/>
    <w:rsid w:val="00102562"/>
    <w:rsid w:val="00122D3C"/>
    <w:rsid w:val="00126813"/>
    <w:rsid w:val="00127258"/>
    <w:rsid w:val="00153D17"/>
    <w:rsid w:val="00155D37"/>
    <w:rsid w:val="00160DD5"/>
    <w:rsid w:val="00182D60"/>
    <w:rsid w:val="00182F5C"/>
    <w:rsid w:val="00187EFE"/>
    <w:rsid w:val="001A3F25"/>
    <w:rsid w:val="001A51C5"/>
    <w:rsid w:val="001B654D"/>
    <w:rsid w:val="001C12B5"/>
    <w:rsid w:val="001C2607"/>
    <w:rsid w:val="001C317E"/>
    <w:rsid w:val="001D6878"/>
    <w:rsid w:val="001E69AA"/>
    <w:rsid w:val="001F6DC0"/>
    <w:rsid w:val="00200775"/>
    <w:rsid w:val="00207D77"/>
    <w:rsid w:val="00220DC9"/>
    <w:rsid w:val="0022374C"/>
    <w:rsid w:val="00227D7E"/>
    <w:rsid w:val="00235790"/>
    <w:rsid w:val="00243DB6"/>
    <w:rsid w:val="00245A27"/>
    <w:rsid w:val="0026514F"/>
    <w:rsid w:val="002830D3"/>
    <w:rsid w:val="002A519F"/>
    <w:rsid w:val="002B0CA3"/>
    <w:rsid w:val="002B69A0"/>
    <w:rsid w:val="002B7D45"/>
    <w:rsid w:val="002C42B3"/>
    <w:rsid w:val="002D5B5E"/>
    <w:rsid w:val="002E2DAA"/>
    <w:rsid w:val="002E57B6"/>
    <w:rsid w:val="002F4C0D"/>
    <w:rsid w:val="0030290D"/>
    <w:rsid w:val="00304123"/>
    <w:rsid w:val="00306FCE"/>
    <w:rsid w:val="00315AD4"/>
    <w:rsid w:val="00321BBB"/>
    <w:rsid w:val="00321CF4"/>
    <w:rsid w:val="00326E0A"/>
    <w:rsid w:val="00327601"/>
    <w:rsid w:val="00331078"/>
    <w:rsid w:val="00331752"/>
    <w:rsid w:val="0034524A"/>
    <w:rsid w:val="003508B2"/>
    <w:rsid w:val="00356665"/>
    <w:rsid w:val="00357859"/>
    <w:rsid w:val="00372847"/>
    <w:rsid w:val="00384E1D"/>
    <w:rsid w:val="00390C98"/>
    <w:rsid w:val="00393125"/>
    <w:rsid w:val="003933C5"/>
    <w:rsid w:val="003A503F"/>
    <w:rsid w:val="003A50F3"/>
    <w:rsid w:val="003A5325"/>
    <w:rsid w:val="003B0E1C"/>
    <w:rsid w:val="003C198C"/>
    <w:rsid w:val="003C4BB6"/>
    <w:rsid w:val="003D1FC9"/>
    <w:rsid w:val="003E4517"/>
    <w:rsid w:val="003E5597"/>
    <w:rsid w:val="003F6AEB"/>
    <w:rsid w:val="00422795"/>
    <w:rsid w:val="00422A96"/>
    <w:rsid w:val="004274EB"/>
    <w:rsid w:val="00432414"/>
    <w:rsid w:val="00434A28"/>
    <w:rsid w:val="00437819"/>
    <w:rsid w:val="00443902"/>
    <w:rsid w:val="004440CB"/>
    <w:rsid w:val="00455CF1"/>
    <w:rsid w:val="0046175C"/>
    <w:rsid w:val="00464FB2"/>
    <w:rsid w:val="0047536B"/>
    <w:rsid w:val="00477BD9"/>
    <w:rsid w:val="00480D14"/>
    <w:rsid w:val="00482967"/>
    <w:rsid w:val="00484CE5"/>
    <w:rsid w:val="00485D4F"/>
    <w:rsid w:val="00490DA6"/>
    <w:rsid w:val="004A3A6B"/>
    <w:rsid w:val="004B0443"/>
    <w:rsid w:val="004B077F"/>
    <w:rsid w:val="004B3F8B"/>
    <w:rsid w:val="004C0BE9"/>
    <w:rsid w:val="004C1D38"/>
    <w:rsid w:val="004C31DF"/>
    <w:rsid w:val="004C7A31"/>
    <w:rsid w:val="004C7B5E"/>
    <w:rsid w:val="004E26AF"/>
    <w:rsid w:val="004E314A"/>
    <w:rsid w:val="004E49D2"/>
    <w:rsid w:val="005101E2"/>
    <w:rsid w:val="00510D93"/>
    <w:rsid w:val="00512DC6"/>
    <w:rsid w:val="00525D64"/>
    <w:rsid w:val="00537595"/>
    <w:rsid w:val="00537ACD"/>
    <w:rsid w:val="00544C3B"/>
    <w:rsid w:val="00545D8D"/>
    <w:rsid w:val="00552E0B"/>
    <w:rsid w:val="00555932"/>
    <w:rsid w:val="00565E20"/>
    <w:rsid w:val="00566F84"/>
    <w:rsid w:val="00567D75"/>
    <w:rsid w:val="005706F5"/>
    <w:rsid w:val="00582255"/>
    <w:rsid w:val="005847D7"/>
    <w:rsid w:val="00585BA9"/>
    <w:rsid w:val="0059028A"/>
    <w:rsid w:val="00591728"/>
    <w:rsid w:val="005A726B"/>
    <w:rsid w:val="005B4434"/>
    <w:rsid w:val="005B63EF"/>
    <w:rsid w:val="005C3FBE"/>
    <w:rsid w:val="005D0798"/>
    <w:rsid w:val="005D1D13"/>
    <w:rsid w:val="005D3945"/>
    <w:rsid w:val="005D39F1"/>
    <w:rsid w:val="005E2F6F"/>
    <w:rsid w:val="005E429D"/>
    <w:rsid w:val="005E7F88"/>
    <w:rsid w:val="005F31ED"/>
    <w:rsid w:val="00600068"/>
    <w:rsid w:val="00606F4B"/>
    <w:rsid w:val="0061039F"/>
    <w:rsid w:val="00612DD7"/>
    <w:rsid w:val="0062169F"/>
    <w:rsid w:val="006223E1"/>
    <w:rsid w:val="00623A12"/>
    <w:rsid w:val="00623D90"/>
    <w:rsid w:val="0062637A"/>
    <w:rsid w:val="00632172"/>
    <w:rsid w:val="00637FAC"/>
    <w:rsid w:val="006421E7"/>
    <w:rsid w:val="00646BF5"/>
    <w:rsid w:val="00652C22"/>
    <w:rsid w:val="00654668"/>
    <w:rsid w:val="00656B77"/>
    <w:rsid w:val="00686F19"/>
    <w:rsid w:val="00687008"/>
    <w:rsid w:val="00694C22"/>
    <w:rsid w:val="006963F3"/>
    <w:rsid w:val="006A1383"/>
    <w:rsid w:val="006B7FDF"/>
    <w:rsid w:val="006C23CF"/>
    <w:rsid w:val="006C3FC7"/>
    <w:rsid w:val="006C468D"/>
    <w:rsid w:val="006D07B3"/>
    <w:rsid w:val="006E3D5A"/>
    <w:rsid w:val="007013E8"/>
    <w:rsid w:val="00704BFA"/>
    <w:rsid w:val="0071128B"/>
    <w:rsid w:val="00713D82"/>
    <w:rsid w:val="00721563"/>
    <w:rsid w:val="00725174"/>
    <w:rsid w:val="00725A2B"/>
    <w:rsid w:val="00732ADD"/>
    <w:rsid w:val="00737E7A"/>
    <w:rsid w:val="0075753B"/>
    <w:rsid w:val="00765A98"/>
    <w:rsid w:val="007852C8"/>
    <w:rsid w:val="007967A1"/>
    <w:rsid w:val="007A2797"/>
    <w:rsid w:val="007A46B3"/>
    <w:rsid w:val="007A5632"/>
    <w:rsid w:val="007A7F6E"/>
    <w:rsid w:val="007B2DC2"/>
    <w:rsid w:val="007B475E"/>
    <w:rsid w:val="007C14B8"/>
    <w:rsid w:val="007C1FE6"/>
    <w:rsid w:val="007C7E47"/>
    <w:rsid w:val="007E26DB"/>
    <w:rsid w:val="007F12B2"/>
    <w:rsid w:val="00814E41"/>
    <w:rsid w:val="00816C06"/>
    <w:rsid w:val="00820BE0"/>
    <w:rsid w:val="00823EC7"/>
    <w:rsid w:val="0082780C"/>
    <w:rsid w:val="008378A5"/>
    <w:rsid w:val="008423AE"/>
    <w:rsid w:val="008458FE"/>
    <w:rsid w:val="0085165D"/>
    <w:rsid w:val="00854556"/>
    <w:rsid w:val="0086748C"/>
    <w:rsid w:val="00867A36"/>
    <w:rsid w:val="008710ED"/>
    <w:rsid w:val="00886043"/>
    <w:rsid w:val="008870A4"/>
    <w:rsid w:val="00896E5F"/>
    <w:rsid w:val="008A0138"/>
    <w:rsid w:val="008A156C"/>
    <w:rsid w:val="008A3B76"/>
    <w:rsid w:val="008A5EFA"/>
    <w:rsid w:val="008C1529"/>
    <w:rsid w:val="008C2920"/>
    <w:rsid w:val="008E38DA"/>
    <w:rsid w:val="00913011"/>
    <w:rsid w:val="009255E4"/>
    <w:rsid w:val="00933075"/>
    <w:rsid w:val="00933DF0"/>
    <w:rsid w:val="00946659"/>
    <w:rsid w:val="009506A3"/>
    <w:rsid w:val="00961517"/>
    <w:rsid w:val="00965909"/>
    <w:rsid w:val="0097300C"/>
    <w:rsid w:val="00973B93"/>
    <w:rsid w:val="00977117"/>
    <w:rsid w:val="00977A68"/>
    <w:rsid w:val="009832C1"/>
    <w:rsid w:val="00984FEA"/>
    <w:rsid w:val="009855E8"/>
    <w:rsid w:val="00990D93"/>
    <w:rsid w:val="00994D0B"/>
    <w:rsid w:val="009A0EB5"/>
    <w:rsid w:val="009B0352"/>
    <w:rsid w:val="009B1D44"/>
    <w:rsid w:val="009C1621"/>
    <w:rsid w:val="009C6599"/>
    <w:rsid w:val="009D3D42"/>
    <w:rsid w:val="009E0D3D"/>
    <w:rsid w:val="009E291C"/>
    <w:rsid w:val="009F0B52"/>
    <w:rsid w:val="009F1875"/>
    <w:rsid w:val="00A05643"/>
    <w:rsid w:val="00A33B60"/>
    <w:rsid w:val="00A362AC"/>
    <w:rsid w:val="00A414AD"/>
    <w:rsid w:val="00A43579"/>
    <w:rsid w:val="00A44F32"/>
    <w:rsid w:val="00A541BF"/>
    <w:rsid w:val="00A56792"/>
    <w:rsid w:val="00A622EA"/>
    <w:rsid w:val="00A6733D"/>
    <w:rsid w:val="00A674BD"/>
    <w:rsid w:val="00A7649C"/>
    <w:rsid w:val="00A826AD"/>
    <w:rsid w:val="00A82703"/>
    <w:rsid w:val="00A8592B"/>
    <w:rsid w:val="00A86605"/>
    <w:rsid w:val="00A9295C"/>
    <w:rsid w:val="00A95600"/>
    <w:rsid w:val="00A9784C"/>
    <w:rsid w:val="00AA4F9E"/>
    <w:rsid w:val="00AA6B50"/>
    <w:rsid w:val="00AB4D2B"/>
    <w:rsid w:val="00AB74E1"/>
    <w:rsid w:val="00AC4052"/>
    <w:rsid w:val="00AC7F0C"/>
    <w:rsid w:val="00AD7E0D"/>
    <w:rsid w:val="00AE75F9"/>
    <w:rsid w:val="00B02213"/>
    <w:rsid w:val="00B101BE"/>
    <w:rsid w:val="00B12E75"/>
    <w:rsid w:val="00B30073"/>
    <w:rsid w:val="00B520CB"/>
    <w:rsid w:val="00B62AEB"/>
    <w:rsid w:val="00B731D2"/>
    <w:rsid w:val="00B742CB"/>
    <w:rsid w:val="00B77782"/>
    <w:rsid w:val="00B777FE"/>
    <w:rsid w:val="00B87757"/>
    <w:rsid w:val="00B87ECD"/>
    <w:rsid w:val="00B92BBD"/>
    <w:rsid w:val="00BA0B36"/>
    <w:rsid w:val="00BA1688"/>
    <w:rsid w:val="00BA5E70"/>
    <w:rsid w:val="00BB2E3A"/>
    <w:rsid w:val="00BC0E3B"/>
    <w:rsid w:val="00BC4291"/>
    <w:rsid w:val="00BC7784"/>
    <w:rsid w:val="00BD6221"/>
    <w:rsid w:val="00BE1E3B"/>
    <w:rsid w:val="00C0459A"/>
    <w:rsid w:val="00C05BF3"/>
    <w:rsid w:val="00C15A83"/>
    <w:rsid w:val="00C22F87"/>
    <w:rsid w:val="00C533BE"/>
    <w:rsid w:val="00C6480C"/>
    <w:rsid w:val="00C66300"/>
    <w:rsid w:val="00C7426F"/>
    <w:rsid w:val="00C772E2"/>
    <w:rsid w:val="00C8114D"/>
    <w:rsid w:val="00C81BD6"/>
    <w:rsid w:val="00C82225"/>
    <w:rsid w:val="00C82C7D"/>
    <w:rsid w:val="00C86E66"/>
    <w:rsid w:val="00C90505"/>
    <w:rsid w:val="00C93AC4"/>
    <w:rsid w:val="00CA0AD4"/>
    <w:rsid w:val="00CC0FA2"/>
    <w:rsid w:val="00CC4FAE"/>
    <w:rsid w:val="00CC731C"/>
    <w:rsid w:val="00CD0290"/>
    <w:rsid w:val="00CD38EA"/>
    <w:rsid w:val="00CE2179"/>
    <w:rsid w:val="00CE2C77"/>
    <w:rsid w:val="00CE6435"/>
    <w:rsid w:val="00CE77AC"/>
    <w:rsid w:val="00CF1FCD"/>
    <w:rsid w:val="00CF516C"/>
    <w:rsid w:val="00CF7939"/>
    <w:rsid w:val="00D063A4"/>
    <w:rsid w:val="00D1477F"/>
    <w:rsid w:val="00D2284E"/>
    <w:rsid w:val="00D4406D"/>
    <w:rsid w:val="00D501A3"/>
    <w:rsid w:val="00D509C1"/>
    <w:rsid w:val="00D51AEE"/>
    <w:rsid w:val="00D56CDA"/>
    <w:rsid w:val="00D64C76"/>
    <w:rsid w:val="00D71701"/>
    <w:rsid w:val="00D778D4"/>
    <w:rsid w:val="00D847A6"/>
    <w:rsid w:val="00D90C69"/>
    <w:rsid w:val="00D91645"/>
    <w:rsid w:val="00DB541E"/>
    <w:rsid w:val="00DC77D1"/>
    <w:rsid w:val="00DD01D0"/>
    <w:rsid w:val="00DD17BF"/>
    <w:rsid w:val="00DD48F0"/>
    <w:rsid w:val="00DE338D"/>
    <w:rsid w:val="00DE7E12"/>
    <w:rsid w:val="00DF06EB"/>
    <w:rsid w:val="00E10DB8"/>
    <w:rsid w:val="00E12C03"/>
    <w:rsid w:val="00E148F3"/>
    <w:rsid w:val="00E15D13"/>
    <w:rsid w:val="00E16DEC"/>
    <w:rsid w:val="00E238A2"/>
    <w:rsid w:val="00E246E4"/>
    <w:rsid w:val="00E2525E"/>
    <w:rsid w:val="00E3252F"/>
    <w:rsid w:val="00E3628C"/>
    <w:rsid w:val="00E40DAF"/>
    <w:rsid w:val="00E520A8"/>
    <w:rsid w:val="00E60D5A"/>
    <w:rsid w:val="00E678C7"/>
    <w:rsid w:val="00E7199E"/>
    <w:rsid w:val="00E727B6"/>
    <w:rsid w:val="00E77324"/>
    <w:rsid w:val="00E83169"/>
    <w:rsid w:val="00EA6C69"/>
    <w:rsid w:val="00EB3703"/>
    <w:rsid w:val="00EB4D96"/>
    <w:rsid w:val="00ED24B9"/>
    <w:rsid w:val="00EF2D48"/>
    <w:rsid w:val="00EF362A"/>
    <w:rsid w:val="00F03126"/>
    <w:rsid w:val="00F04143"/>
    <w:rsid w:val="00F12233"/>
    <w:rsid w:val="00F15BDB"/>
    <w:rsid w:val="00F36C51"/>
    <w:rsid w:val="00F44EA1"/>
    <w:rsid w:val="00F60E14"/>
    <w:rsid w:val="00F62D84"/>
    <w:rsid w:val="00F6570E"/>
    <w:rsid w:val="00F720BA"/>
    <w:rsid w:val="00F73258"/>
    <w:rsid w:val="00F76A1A"/>
    <w:rsid w:val="00F77DDB"/>
    <w:rsid w:val="00F8389F"/>
    <w:rsid w:val="00F84537"/>
    <w:rsid w:val="00F909E6"/>
    <w:rsid w:val="00F91D08"/>
    <w:rsid w:val="00FA16BC"/>
    <w:rsid w:val="00FB19F1"/>
    <w:rsid w:val="00FC0287"/>
    <w:rsid w:val="00FC5747"/>
    <w:rsid w:val="00FD288F"/>
    <w:rsid w:val="00FD52F0"/>
    <w:rsid w:val="00FD70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ersonName"/>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0B52"/>
    <w:pPr>
      <w:widowControl w:val="0"/>
      <w:autoSpaceDE w:val="0"/>
      <w:autoSpaceDN w:val="0"/>
      <w:adjustRightInd w:val="0"/>
    </w:pPr>
    <w:rPr>
      <w:rFonts w:ascii="Courier" w:hAnsi="Courier"/>
      <w:szCs w:val="24"/>
    </w:rPr>
  </w:style>
  <w:style w:type="paragraph" w:styleId="Heading1">
    <w:name w:val="heading 1"/>
    <w:basedOn w:val="Normal"/>
    <w:next w:val="Normal"/>
    <w:qFormat/>
    <w:rsid w:val="009F0B52"/>
    <w:pPr>
      <w:keepNext/>
      <w:widowControl/>
      <w:tabs>
        <w:tab w:val="center" w:pos="4680"/>
      </w:tabs>
      <w:outlineLvl w:val="0"/>
    </w:pPr>
    <w:rPr>
      <w:rFonts w:ascii="Times New Roman" w:hAnsi="Times New Roman"/>
      <w:sz w:val="24"/>
    </w:rPr>
  </w:style>
  <w:style w:type="paragraph" w:styleId="Heading2">
    <w:name w:val="heading 2"/>
    <w:basedOn w:val="Normal"/>
    <w:next w:val="Normal"/>
    <w:qFormat/>
    <w:rsid w:val="009F0B52"/>
    <w:pPr>
      <w:keepNext/>
      <w:widowControl/>
      <w:jc w:val="center"/>
      <w:outlineLvl w:val="1"/>
    </w:pPr>
    <w:rPr>
      <w:rFonts w:ascii="Times New Roman" w:hAnsi="Times New Roman"/>
      <w:sz w:val="24"/>
    </w:rPr>
  </w:style>
  <w:style w:type="paragraph" w:styleId="Heading3">
    <w:name w:val="heading 3"/>
    <w:basedOn w:val="Normal"/>
    <w:next w:val="Normal"/>
    <w:qFormat/>
    <w:rsid w:val="009F0B52"/>
    <w:pPr>
      <w:keepNext/>
      <w:widowControl/>
      <w:tabs>
        <w:tab w:val="center" w:pos="4680"/>
      </w:tabs>
      <w:jc w:val="center"/>
      <w:outlineLvl w:val="2"/>
    </w:pPr>
    <w:rPr>
      <w:rFonts w:ascii="Times New Roman" w:hAnsi="Times New Roman"/>
      <w:u w:val="single"/>
    </w:rPr>
  </w:style>
  <w:style w:type="paragraph" w:styleId="Heading4">
    <w:name w:val="heading 4"/>
    <w:basedOn w:val="Normal"/>
    <w:next w:val="Normal"/>
    <w:qFormat/>
    <w:rsid w:val="009F0B52"/>
    <w:pPr>
      <w:keepNext/>
      <w:widowControl/>
      <w:outlineLvl w:val="3"/>
    </w:pPr>
    <w:rPr>
      <w:rFonts w:ascii="Times New Roman" w:hAnsi="Times New Roman"/>
      <w:b/>
      <w:bCs/>
      <w:szCs w:val="20"/>
    </w:rPr>
  </w:style>
  <w:style w:type="paragraph" w:styleId="Heading5">
    <w:name w:val="heading 5"/>
    <w:basedOn w:val="Normal"/>
    <w:next w:val="Normal"/>
    <w:qFormat/>
    <w:rsid w:val="009F0B52"/>
    <w:pPr>
      <w:keepNext/>
      <w:widowControl/>
      <w:outlineLvl w:val="4"/>
    </w:pPr>
    <w:rPr>
      <w:rFonts w:ascii="Times New Roman" w:hAnsi="Times New Roman"/>
      <w:b/>
      <w:bCs/>
      <w:color w:val="000000"/>
      <w:szCs w:val="20"/>
    </w:rPr>
  </w:style>
  <w:style w:type="paragraph" w:styleId="Heading6">
    <w:name w:val="heading 6"/>
    <w:basedOn w:val="Normal"/>
    <w:next w:val="Normal"/>
    <w:qFormat/>
    <w:rsid w:val="009F0B52"/>
    <w:pPr>
      <w:keepNext/>
      <w:widowControl/>
      <w:ind w:left="2160"/>
      <w:outlineLvl w:val="5"/>
    </w:pPr>
    <w:rPr>
      <w:rFonts w:ascii="Times New Roman" w:hAnsi="Times New Roman"/>
      <w:b/>
      <w:b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F0B52"/>
  </w:style>
  <w:style w:type="paragraph" w:customStyle="1" w:styleId="Style">
    <w:name w:val="Style"/>
    <w:basedOn w:val="Normal"/>
    <w:rsid w:val="009F0B52"/>
    <w:pPr>
      <w:ind w:left="720" w:hanging="720"/>
    </w:pPr>
  </w:style>
  <w:style w:type="paragraph" w:styleId="BodyTextIndent">
    <w:name w:val="Body Text Indent"/>
    <w:basedOn w:val="Normal"/>
    <w:rsid w:val="009F0B52"/>
    <w:pPr>
      <w:widowControl/>
      <w:tabs>
        <w:tab w:val="left" w:pos="-1440"/>
      </w:tabs>
      <w:ind w:left="1440" w:hanging="720"/>
    </w:pPr>
    <w:rPr>
      <w:rFonts w:ascii="Times New Roman" w:hAnsi="Times New Roman"/>
      <w:szCs w:val="20"/>
    </w:rPr>
  </w:style>
  <w:style w:type="paragraph" w:styleId="BodyTextIndent2">
    <w:name w:val="Body Text Indent 2"/>
    <w:basedOn w:val="Normal"/>
    <w:rsid w:val="009F0B52"/>
    <w:pPr>
      <w:widowControl/>
      <w:ind w:left="720"/>
    </w:pPr>
    <w:rPr>
      <w:rFonts w:ascii="Times New Roman" w:hAnsi="Times New Roman"/>
      <w:szCs w:val="20"/>
    </w:rPr>
  </w:style>
  <w:style w:type="paragraph" w:styleId="BodyText">
    <w:name w:val="Body Text"/>
    <w:basedOn w:val="Normal"/>
    <w:rsid w:val="009F0B52"/>
    <w:pPr>
      <w:widowControl/>
    </w:pPr>
    <w:rPr>
      <w:rFonts w:ascii="Times New Roman" w:hAnsi="Times New Roman"/>
      <w:color w:val="000000"/>
      <w:szCs w:val="20"/>
    </w:rPr>
  </w:style>
  <w:style w:type="paragraph" w:styleId="BodyText2">
    <w:name w:val="Body Text 2"/>
    <w:basedOn w:val="Normal"/>
    <w:rsid w:val="009F0B52"/>
    <w:pPr>
      <w:widowControl/>
    </w:pPr>
    <w:rPr>
      <w:rFonts w:ascii="Times New Roman" w:hAnsi="Times New Roman"/>
      <w:color w:val="FF0000"/>
      <w:szCs w:val="20"/>
    </w:rPr>
  </w:style>
  <w:style w:type="character" w:styleId="Hyperlink">
    <w:name w:val="Hyperlink"/>
    <w:basedOn w:val="DefaultParagraphFont"/>
    <w:rsid w:val="009F0B52"/>
    <w:rPr>
      <w:color w:val="0000FF"/>
      <w:u w:val="single"/>
    </w:rPr>
  </w:style>
  <w:style w:type="paragraph" w:styleId="FootnoteText">
    <w:name w:val="footnote text"/>
    <w:basedOn w:val="Normal"/>
    <w:semiHidden/>
    <w:rsid w:val="009F0B52"/>
    <w:rPr>
      <w:szCs w:val="20"/>
    </w:rPr>
  </w:style>
  <w:style w:type="table" w:styleId="TableGrid">
    <w:name w:val="Table Grid"/>
    <w:basedOn w:val="TableNormal"/>
    <w:rsid w:val="0086748C"/>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3A50F3"/>
    <w:pPr>
      <w:tabs>
        <w:tab w:val="center" w:pos="4320"/>
        <w:tab w:val="right" w:pos="8640"/>
      </w:tabs>
    </w:pPr>
  </w:style>
  <w:style w:type="paragraph" w:styleId="Footer">
    <w:name w:val="footer"/>
    <w:basedOn w:val="Normal"/>
    <w:rsid w:val="003A50F3"/>
    <w:pPr>
      <w:tabs>
        <w:tab w:val="center" w:pos="4320"/>
        <w:tab w:val="right" w:pos="8640"/>
      </w:tabs>
    </w:pPr>
  </w:style>
  <w:style w:type="character" w:styleId="PageNumber">
    <w:name w:val="page number"/>
    <w:basedOn w:val="DefaultParagraphFont"/>
    <w:rsid w:val="003A50F3"/>
  </w:style>
  <w:style w:type="character" w:styleId="FollowedHyperlink">
    <w:name w:val="FollowedHyperlink"/>
    <w:basedOn w:val="DefaultParagraphFont"/>
    <w:uiPriority w:val="99"/>
    <w:semiHidden/>
    <w:unhideWhenUsed/>
    <w:rsid w:val="003F6AEB"/>
    <w:rPr>
      <w:color w:val="800080"/>
      <w:u w:val="single"/>
    </w:rPr>
  </w:style>
  <w:style w:type="character" w:styleId="CommentReference">
    <w:name w:val="annotation reference"/>
    <w:basedOn w:val="DefaultParagraphFont"/>
    <w:uiPriority w:val="99"/>
    <w:semiHidden/>
    <w:unhideWhenUsed/>
    <w:rsid w:val="00093F9D"/>
    <w:rPr>
      <w:sz w:val="16"/>
      <w:szCs w:val="16"/>
    </w:rPr>
  </w:style>
  <w:style w:type="paragraph" w:styleId="CommentText">
    <w:name w:val="annotation text"/>
    <w:basedOn w:val="Normal"/>
    <w:link w:val="CommentTextChar"/>
    <w:uiPriority w:val="99"/>
    <w:semiHidden/>
    <w:unhideWhenUsed/>
    <w:rsid w:val="00093F9D"/>
    <w:rPr>
      <w:szCs w:val="20"/>
    </w:rPr>
  </w:style>
  <w:style w:type="character" w:customStyle="1" w:styleId="CommentTextChar">
    <w:name w:val="Comment Text Char"/>
    <w:basedOn w:val="DefaultParagraphFont"/>
    <w:link w:val="CommentText"/>
    <w:uiPriority w:val="99"/>
    <w:semiHidden/>
    <w:rsid w:val="00093F9D"/>
    <w:rPr>
      <w:rFonts w:ascii="Courier" w:hAnsi="Courier"/>
    </w:rPr>
  </w:style>
  <w:style w:type="paragraph" w:styleId="CommentSubject">
    <w:name w:val="annotation subject"/>
    <w:basedOn w:val="CommentText"/>
    <w:next w:val="CommentText"/>
    <w:link w:val="CommentSubjectChar"/>
    <w:uiPriority w:val="99"/>
    <w:semiHidden/>
    <w:unhideWhenUsed/>
    <w:rsid w:val="00093F9D"/>
    <w:rPr>
      <w:b/>
      <w:bCs/>
    </w:rPr>
  </w:style>
  <w:style w:type="character" w:customStyle="1" w:styleId="CommentSubjectChar">
    <w:name w:val="Comment Subject Char"/>
    <w:basedOn w:val="CommentTextChar"/>
    <w:link w:val="CommentSubject"/>
    <w:uiPriority w:val="99"/>
    <w:semiHidden/>
    <w:rsid w:val="00093F9D"/>
    <w:rPr>
      <w:b/>
      <w:bCs/>
    </w:rPr>
  </w:style>
  <w:style w:type="paragraph" w:styleId="BalloonText">
    <w:name w:val="Balloon Text"/>
    <w:basedOn w:val="Normal"/>
    <w:link w:val="BalloonTextChar"/>
    <w:uiPriority w:val="99"/>
    <w:semiHidden/>
    <w:unhideWhenUsed/>
    <w:rsid w:val="00093F9D"/>
    <w:rPr>
      <w:rFonts w:ascii="Tahoma" w:hAnsi="Tahoma" w:cs="Tahoma"/>
      <w:sz w:val="16"/>
      <w:szCs w:val="16"/>
    </w:rPr>
  </w:style>
  <w:style w:type="character" w:customStyle="1" w:styleId="BalloonTextChar">
    <w:name w:val="Balloon Text Char"/>
    <w:basedOn w:val="DefaultParagraphFont"/>
    <w:link w:val="BalloonText"/>
    <w:uiPriority w:val="99"/>
    <w:semiHidden/>
    <w:rsid w:val="00093F9D"/>
    <w:rPr>
      <w:rFonts w:ascii="Tahoma" w:hAnsi="Tahoma" w:cs="Tahoma"/>
      <w:sz w:val="16"/>
      <w:szCs w:val="16"/>
    </w:rPr>
  </w:style>
  <w:style w:type="paragraph" w:customStyle="1" w:styleId="L1-FlLSp12">
    <w:name w:val="L1-FlL Sp&amp;1/2"/>
    <w:basedOn w:val="Normal"/>
    <w:uiPriority w:val="99"/>
    <w:rsid w:val="00093F9D"/>
    <w:pPr>
      <w:widowControl/>
      <w:tabs>
        <w:tab w:val="left" w:pos="1152"/>
      </w:tabs>
      <w:autoSpaceDE/>
      <w:autoSpaceDN/>
      <w:adjustRightInd/>
      <w:spacing w:line="360" w:lineRule="atLeast"/>
    </w:pPr>
    <w:rPr>
      <w:rFonts w:ascii="Garamond" w:hAnsi="Garamond"/>
      <w:sz w:val="24"/>
      <w:szCs w:val="20"/>
    </w:rPr>
  </w:style>
  <w:style w:type="paragraph" w:styleId="ListParagraph">
    <w:name w:val="List Paragraph"/>
    <w:basedOn w:val="Normal"/>
    <w:uiPriority w:val="34"/>
    <w:qFormat/>
    <w:rsid w:val="00207D77"/>
    <w:pPr>
      <w:ind w:left="720"/>
    </w:pPr>
  </w:style>
  <w:style w:type="paragraph" w:styleId="PlainText">
    <w:name w:val="Plain Text"/>
    <w:basedOn w:val="Normal"/>
    <w:link w:val="PlainTextChar"/>
    <w:uiPriority w:val="99"/>
    <w:unhideWhenUsed/>
    <w:rsid w:val="00AC4052"/>
    <w:pPr>
      <w:widowControl/>
      <w:autoSpaceDE/>
      <w:autoSpaceDN/>
      <w:adjustRightInd/>
    </w:pPr>
    <w:rPr>
      <w:rFonts w:ascii="Consolas" w:eastAsia="Calibri" w:hAnsi="Consolas"/>
      <w:sz w:val="21"/>
      <w:szCs w:val="21"/>
    </w:rPr>
  </w:style>
  <w:style w:type="character" w:customStyle="1" w:styleId="PlainTextChar">
    <w:name w:val="Plain Text Char"/>
    <w:basedOn w:val="DefaultParagraphFont"/>
    <w:link w:val="PlainText"/>
    <w:uiPriority w:val="99"/>
    <w:rsid w:val="00AC4052"/>
    <w:rPr>
      <w:rFonts w:ascii="Consolas" w:eastAsia="Calibri" w:hAnsi="Consolas" w:cs="Times New Roman"/>
      <w:sz w:val="21"/>
      <w:szCs w:val="21"/>
    </w:rPr>
  </w:style>
  <w:style w:type="paragraph" w:styleId="Revision">
    <w:name w:val="Revision"/>
    <w:hidden/>
    <w:uiPriority w:val="99"/>
    <w:semiHidden/>
    <w:rsid w:val="0082780C"/>
    <w:rPr>
      <w:rFonts w:ascii="Courier" w:hAnsi="Courier"/>
      <w:szCs w:val="24"/>
    </w:rPr>
  </w:style>
</w:styles>
</file>

<file path=word/webSettings.xml><?xml version="1.0" encoding="utf-8"?>
<w:webSettings xmlns:r="http://schemas.openxmlformats.org/officeDocument/2006/relationships" xmlns:w="http://schemas.openxmlformats.org/wordprocessingml/2006/main">
  <w:divs>
    <w:div w:id="299966454">
      <w:bodyDiv w:val="1"/>
      <w:marLeft w:val="0"/>
      <w:marRight w:val="0"/>
      <w:marTop w:val="0"/>
      <w:marBottom w:val="0"/>
      <w:divBdr>
        <w:top w:val="none" w:sz="0" w:space="0" w:color="auto"/>
        <w:left w:val="none" w:sz="0" w:space="0" w:color="auto"/>
        <w:bottom w:val="none" w:sz="0" w:space="0" w:color="auto"/>
        <w:right w:val="none" w:sz="0" w:space="0" w:color="auto"/>
      </w:divBdr>
      <w:divsChild>
        <w:div w:id="271669547">
          <w:marLeft w:val="547"/>
          <w:marRight w:val="0"/>
          <w:marTop w:val="96"/>
          <w:marBottom w:val="0"/>
          <w:divBdr>
            <w:top w:val="none" w:sz="0" w:space="0" w:color="auto"/>
            <w:left w:val="none" w:sz="0" w:space="0" w:color="auto"/>
            <w:bottom w:val="none" w:sz="0" w:space="0" w:color="auto"/>
            <w:right w:val="none" w:sz="0" w:space="0" w:color="auto"/>
          </w:divBdr>
        </w:div>
        <w:div w:id="1710370563">
          <w:marLeft w:val="1166"/>
          <w:marRight w:val="0"/>
          <w:marTop w:val="86"/>
          <w:marBottom w:val="0"/>
          <w:divBdr>
            <w:top w:val="none" w:sz="0" w:space="0" w:color="auto"/>
            <w:left w:val="none" w:sz="0" w:space="0" w:color="auto"/>
            <w:bottom w:val="none" w:sz="0" w:space="0" w:color="auto"/>
            <w:right w:val="none" w:sz="0" w:space="0" w:color="auto"/>
          </w:divBdr>
        </w:div>
      </w:divsChild>
    </w:div>
    <w:div w:id="366761974">
      <w:bodyDiv w:val="1"/>
      <w:marLeft w:val="0"/>
      <w:marRight w:val="0"/>
      <w:marTop w:val="0"/>
      <w:marBottom w:val="0"/>
      <w:divBdr>
        <w:top w:val="none" w:sz="0" w:space="0" w:color="auto"/>
        <w:left w:val="none" w:sz="0" w:space="0" w:color="auto"/>
        <w:bottom w:val="none" w:sz="0" w:space="0" w:color="auto"/>
        <w:right w:val="none" w:sz="0" w:space="0" w:color="auto"/>
      </w:divBdr>
    </w:div>
    <w:div w:id="743726808">
      <w:bodyDiv w:val="1"/>
      <w:marLeft w:val="0"/>
      <w:marRight w:val="0"/>
      <w:marTop w:val="0"/>
      <w:marBottom w:val="0"/>
      <w:divBdr>
        <w:top w:val="none" w:sz="0" w:space="0" w:color="auto"/>
        <w:left w:val="none" w:sz="0" w:space="0" w:color="auto"/>
        <w:bottom w:val="none" w:sz="0" w:space="0" w:color="auto"/>
        <w:right w:val="none" w:sz="0" w:space="0" w:color="auto"/>
      </w:divBdr>
    </w:div>
    <w:div w:id="827792551">
      <w:bodyDiv w:val="1"/>
      <w:marLeft w:val="0"/>
      <w:marRight w:val="0"/>
      <w:marTop w:val="0"/>
      <w:marBottom w:val="0"/>
      <w:divBdr>
        <w:top w:val="none" w:sz="0" w:space="0" w:color="auto"/>
        <w:left w:val="none" w:sz="0" w:space="0" w:color="auto"/>
        <w:bottom w:val="none" w:sz="0" w:space="0" w:color="auto"/>
        <w:right w:val="none" w:sz="0" w:space="0" w:color="auto"/>
      </w:divBdr>
    </w:div>
    <w:div w:id="1319650601">
      <w:bodyDiv w:val="1"/>
      <w:marLeft w:val="48"/>
      <w:marRight w:val="48"/>
      <w:marTop w:val="48"/>
      <w:marBottom w:val="12"/>
      <w:divBdr>
        <w:top w:val="none" w:sz="0" w:space="0" w:color="auto"/>
        <w:left w:val="none" w:sz="0" w:space="0" w:color="auto"/>
        <w:bottom w:val="none" w:sz="0" w:space="0" w:color="auto"/>
        <w:right w:val="none" w:sz="0" w:space="0" w:color="auto"/>
      </w:divBdr>
      <w:divsChild>
        <w:div w:id="1102644671">
          <w:marLeft w:val="0"/>
          <w:marRight w:val="0"/>
          <w:marTop w:val="0"/>
          <w:marBottom w:val="0"/>
          <w:divBdr>
            <w:top w:val="none" w:sz="0" w:space="0" w:color="auto"/>
            <w:left w:val="none" w:sz="0" w:space="0" w:color="auto"/>
            <w:bottom w:val="none" w:sz="0" w:space="0" w:color="auto"/>
            <w:right w:val="none" w:sz="0" w:space="0" w:color="auto"/>
          </w:divBdr>
        </w:div>
        <w:div w:id="1927298224">
          <w:marLeft w:val="0"/>
          <w:marRight w:val="0"/>
          <w:marTop w:val="0"/>
          <w:marBottom w:val="0"/>
          <w:divBdr>
            <w:top w:val="none" w:sz="0" w:space="0" w:color="auto"/>
            <w:left w:val="none" w:sz="0" w:space="0" w:color="auto"/>
            <w:bottom w:val="none" w:sz="0" w:space="0" w:color="auto"/>
            <w:right w:val="none" w:sz="0" w:space="0" w:color="auto"/>
          </w:divBdr>
        </w:div>
      </w:divsChild>
    </w:div>
    <w:div w:id="1455562395">
      <w:bodyDiv w:val="1"/>
      <w:marLeft w:val="0"/>
      <w:marRight w:val="0"/>
      <w:marTop w:val="0"/>
      <w:marBottom w:val="0"/>
      <w:divBdr>
        <w:top w:val="none" w:sz="0" w:space="0" w:color="auto"/>
        <w:left w:val="none" w:sz="0" w:space="0" w:color="auto"/>
        <w:bottom w:val="none" w:sz="0" w:space="0" w:color="auto"/>
        <w:right w:val="none" w:sz="0" w:space="0" w:color="auto"/>
      </w:divBdr>
      <w:divsChild>
        <w:div w:id="317073873">
          <w:marLeft w:val="1166"/>
          <w:marRight w:val="0"/>
          <w:marTop w:val="86"/>
          <w:marBottom w:val="0"/>
          <w:divBdr>
            <w:top w:val="none" w:sz="0" w:space="0" w:color="auto"/>
            <w:left w:val="none" w:sz="0" w:space="0" w:color="auto"/>
            <w:bottom w:val="none" w:sz="0" w:space="0" w:color="auto"/>
            <w:right w:val="none" w:sz="0" w:space="0" w:color="auto"/>
          </w:divBdr>
        </w:div>
        <w:div w:id="1398937148">
          <w:marLeft w:val="547"/>
          <w:marRight w:val="0"/>
          <w:marTop w:val="96"/>
          <w:marBottom w:val="0"/>
          <w:divBdr>
            <w:top w:val="none" w:sz="0" w:space="0" w:color="auto"/>
            <w:left w:val="none" w:sz="0" w:space="0" w:color="auto"/>
            <w:bottom w:val="none" w:sz="0" w:space="0" w:color="auto"/>
            <w:right w:val="none" w:sz="0" w:space="0" w:color="auto"/>
          </w:divBdr>
        </w:div>
      </w:divsChild>
    </w:div>
    <w:div w:id="166717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ia.gov/emeu/cbecs/cbecs2003/detailed_tables_2003/2003rsetables.htm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lethea.jennings@eia.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elle.michaels@eia.doe.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gokselh1@westat.com" TargetMode="External"/><Relationship Id="rId4" Type="http://schemas.openxmlformats.org/officeDocument/2006/relationships/settings" Target="settings.xml"/><Relationship Id="rId9" Type="http://schemas.openxmlformats.org/officeDocument/2006/relationships/hyperlink" Target="mailto:bobpatchen@westat.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29D89F-DC07-409A-B3A5-9C01669C1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2875</Words>
  <Characters>16389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SUPPORTING STATEMENT FOR FORMS EIA-871A-J</vt:lpstr>
    </vt:vector>
  </TitlesOfParts>
  <Company>DOE/EIA</Company>
  <LinksUpToDate>false</LinksUpToDate>
  <CharactersWithSpaces>19226</CharactersWithSpaces>
  <SharedDoc>false</SharedDoc>
  <HLinks>
    <vt:vector size="42" baseType="variant">
      <vt:variant>
        <vt:i4>852076</vt:i4>
      </vt:variant>
      <vt:variant>
        <vt:i4>18</vt:i4>
      </vt:variant>
      <vt:variant>
        <vt:i4>0</vt:i4>
      </vt:variant>
      <vt:variant>
        <vt:i4>5</vt:i4>
      </vt:variant>
      <vt:variant>
        <vt:lpwstr>mailto:alethea.jennings@eia.gov</vt:lpwstr>
      </vt:variant>
      <vt:variant>
        <vt:lpwstr/>
      </vt:variant>
      <vt:variant>
        <vt:i4>2883590</vt:i4>
      </vt:variant>
      <vt:variant>
        <vt:i4>15</vt:i4>
      </vt:variant>
      <vt:variant>
        <vt:i4>0</vt:i4>
      </vt:variant>
      <vt:variant>
        <vt:i4>5</vt:i4>
      </vt:variant>
      <vt:variant>
        <vt:lpwstr>mailto:joelle.michaels@eia.doe.gov</vt:lpwstr>
      </vt:variant>
      <vt:variant>
        <vt:lpwstr/>
      </vt:variant>
      <vt:variant>
        <vt:i4>4718639</vt:i4>
      </vt:variant>
      <vt:variant>
        <vt:i4>12</vt:i4>
      </vt:variant>
      <vt:variant>
        <vt:i4>0</vt:i4>
      </vt:variant>
      <vt:variant>
        <vt:i4>5</vt:i4>
      </vt:variant>
      <vt:variant>
        <vt:lpwstr>mailto:gokselh1@westat.com</vt:lpwstr>
      </vt:variant>
      <vt:variant>
        <vt:lpwstr/>
      </vt:variant>
      <vt:variant>
        <vt:i4>3014659</vt:i4>
      </vt:variant>
      <vt:variant>
        <vt:i4>9</vt:i4>
      </vt:variant>
      <vt:variant>
        <vt:i4>0</vt:i4>
      </vt:variant>
      <vt:variant>
        <vt:i4>5</vt:i4>
      </vt:variant>
      <vt:variant>
        <vt:lpwstr>mailto:bobpatchen@westat.com</vt:lpwstr>
      </vt:variant>
      <vt:variant>
        <vt:lpwstr/>
      </vt:variant>
      <vt:variant>
        <vt:i4>6225988</vt:i4>
      </vt:variant>
      <vt:variant>
        <vt:i4>6</vt:i4>
      </vt:variant>
      <vt:variant>
        <vt:i4>0</vt:i4>
      </vt:variant>
      <vt:variant>
        <vt:i4>5</vt:i4>
      </vt:variant>
      <vt:variant>
        <vt:lpwstr>http://www.eia.doe.gov/emeu/cbecs/cbecs2003/detailed_tables_2003/2003rsetables.html</vt:lpwstr>
      </vt:variant>
      <vt:variant>
        <vt:lpwstr/>
      </vt:variant>
      <vt:variant>
        <vt:i4>1048649</vt:i4>
      </vt:variant>
      <vt:variant>
        <vt:i4>3</vt:i4>
      </vt:variant>
      <vt:variant>
        <vt:i4>0</vt:i4>
      </vt:variant>
      <vt:variant>
        <vt:i4>5</vt:i4>
      </vt:variant>
      <vt:variant>
        <vt:lpwstr>http://www.eia.gov/emeu/cbecs</vt:lpwstr>
      </vt:variant>
      <vt:variant>
        <vt:lpwstr/>
      </vt:variant>
      <vt:variant>
        <vt:i4>1048649</vt:i4>
      </vt:variant>
      <vt:variant>
        <vt:i4>0</vt:i4>
      </vt:variant>
      <vt:variant>
        <vt:i4>0</vt:i4>
      </vt:variant>
      <vt:variant>
        <vt:i4>5</vt:i4>
      </vt:variant>
      <vt:variant>
        <vt:lpwstr>http://www.eia.gov/emeu/cbecs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FORMS EIA-871A-J</dc:title>
  <dc:subject/>
  <dc:creator>Marty Johnson</dc:creator>
  <cp:keywords/>
  <dc:description/>
  <cp:lastModifiedBy>ALETHEA K. JENNINGS</cp:lastModifiedBy>
  <cp:revision>6</cp:revision>
  <cp:lastPrinted>2012-09-26T14:35:00Z</cp:lastPrinted>
  <dcterms:created xsi:type="dcterms:W3CDTF">2013-01-18T22:06:00Z</dcterms:created>
  <dcterms:modified xsi:type="dcterms:W3CDTF">2013-01-18T22:29:00Z</dcterms:modified>
</cp:coreProperties>
</file>