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6D" w:rsidRPr="00E14D82" w:rsidRDefault="00964EA6" w:rsidP="00916E6D">
      <w:pPr>
        <w:jc w:val="center"/>
        <w:rPr>
          <w:b/>
          <w:szCs w:val="28"/>
        </w:rPr>
      </w:pPr>
      <w:r>
        <w:rPr>
          <w:b/>
          <w:szCs w:val="28"/>
        </w:rPr>
        <w:t>S</w:t>
      </w:r>
      <w:r w:rsidR="00916E6D" w:rsidRPr="00E14D82">
        <w:rPr>
          <w:b/>
          <w:szCs w:val="28"/>
        </w:rPr>
        <w:t>upporting Statement</w:t>
      </w:r>
    </w:p>
    <w:p w:rsidR="00916E6D" w:rsidRDefault="00916E6D" w:rsidP="00E14D82">
      <w:pPr>
        <w:jc w:val="center"/>
        <w:rPr>
          <w:b/>
          <w:szCs w:val="28"/>
        </w:rPr>
      </w:pPr>
      <w:r w:rsidRPr="00E14D82">
        <w:rPr>
          <w:b/>
          <w:szCs w:val="28"/>
        </w:rPr>
        <w:t>Approval Request to Conduct Customer Satisfaction Research (OMB #1545-</w:t>
      </w:r>
      <w:r w:rsidR="00777C92" w:rsidRPr="00E14D82">
        <w:rPr>
          <w:b/>
          <w:szCs w:val="28"/>
        </w:rPr>
        <w:t>1432</w:t>
      </w:r>
      <w:r w:rsidRPr="00E14D82">
        <w:rPr>
          <w:b/>
          <w:szCs w:val="28"/>
        </w:rPr>
        <w:t>)</w:t>
      </w:r>
    </w:p>
    <w:p w:rsidR="00BB4D7F" w:rsidRDefault="00BB4D7F" w:rsidP="00E14D82">
      <w:pPr>
        <w:jc w:val="center"/>
        <w:rPr>
          <w:b/>
          <w:szCs w:val="28"/>
        </w:rPr>
      </w:pPr>
      <w:r>
        <w:rPr>
          <w:b/>
          <w:szCs w:val="28"/>
        </w:rPr>
        <w:t>IRS.gov ITA Survey</w:t>
      </w:r>
    </w:p>
    <w:p w:rsidR="00916E6D" w:rsidRPr="00E14D82" w:rsidRDefault="00916E6D" w:rsidP="00916E6D">
      <w:pPr>
        <w:ind w:firstLine="720"/>
        <w:jc w:val="center"/>
        <w:rPr>
          <w:rFonts w:ascii="Berlin Sans FB" w:hAnsi="Berlin Sans FB"/>
          <w:b/>
          <w:szCs w:val="28"/>
        </w:rPr>
      </w:pPr>
    </w:p>
    <w:p w:rsidR="00916E6D" w:rsidRDefault="00916E6D" w:rsidP="00916E6D"/>
    <w:p w:rsidR="00916E6D" w:rsidRDefault="00916E6D" w:rsidP="00916E6D"/>
    <w:p w:rsidR="00916E6D" w:rsidRDefault="00916E6D" w:rsidP="00916E6D">
      <w:pPr>
        <w:pStyle w:val="ListParagraph"/>
        <w:numPr>
          <w:ilvl w:val="0"/>
          <w:numId w:val="19"/>
        </w:numPr>
        <w:ind w:left="0"/>
        <w:rPr>
          <w:b/>
        </w:rPr>
      </w:pPr>
      <w:r>
        <w:rPr>
          <w:b/>
        </w:rPr>
        <w:t>JUSTIFICATION</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t>Circumstances Making the Collection of Information Necessary</w:t>
      </w:r>
    </w:p>
    <w:p w:rsidR="00964EA6" w:rsidRDefault="00964EA6" w:rsidP="00964EA6">
      <w:pPr>
        <w:pStyle w:val="ListParagraph"/>
        <w:ind w:left="-360"/>
        <w:rPr>
          <w:b/>
        </w:rPr>
      </w:pPr>
    </w:p>
    <w:p w:rsidR="00964EA6" w:rsidRPr="007D3423" w:rsidRDefault="00964EA6" w:rsidP="00964EA6">
      <w:pPr>
        <w:pStyle w:val="ListParagraph"/>
        <w:ind w:left="0"/>
      </w:pPr>
      <w:r w:rsidRPr="007D3423">
        <w:t>The Rules Base Program Office within the Wage &amp; Investment Division is conducting a customer survey to measure customer satisfaction with their use of the Interactive Tax Assistant on irs.gov.  The survey instruments will be used to determine the customer satisfaction of the ITA tool and its ease of use.</w:t>
      </w:r>
    </w:p>
    <w:p w:rsidR="00A623C3" w:rsidRPr="007D3423" w:rsidRDefault="00A623C3" w:rsidP="00964EA6">
      <w:pPr>
        <w:pStyle w:val="ListParagraph"/>
        <w:ind w:left="0"/>
      </w:pPr>
    </w:p>
    <w:p w:rsidR="00916E6D" w:rsidRDefault="00916E6D" w:rsidP="00916E6D">
      <w:pPr>
        <w:pStyle w:val="ListParagraph"/>
        <w:numPr>
          <w:ilvl w:val="0"/>
          <w:numId w:val="20"/>
        </w:numPr>
        <w:ind w:left="0"/>
        <w:rPr>
          <w:b/>
        </w:rPr>
      </w:pPr>
      <w:r>
        <w:rPr>
          <w:b/>
        </w:rPr>
        <w:t>Purpose and Use of the Information Collection</w:t>
      </w:r>
    </w:p>
    <w:p w:rsidR="00964EA6" w:rsidRDefault="00964EA6" w:rsidP="00964EA6">
      <w:pPr>
        <w:pStyle w:val="ListParagraph"/>
        <w:ind w:left="0"/>
        <w:rPr>
          <w:b/>
        </w:rPr>
      </w:pPr>
    </w:p>
    <w:p w:rsidR="00964EA6" w:rsidRPr="007D3423" w:rsidRDefault="00964EA6" w:rsidP="00964EA6">
      <w:pPr>
        <w:pStyle w:val="ListParagraph"/>
        <w:ind w:left="0"/>
      </w:pPr>
      <w:r w:rsidRPr="007D3423">
        <w:t>The primary goal of the survey is to assist in determining the ease of using ITA as well as how satisfied the customer is with the answer received when using the tool.</w:t>
      </w:r>
    </w:p>
    <w:p w:rsidR="00916E6D" w:rsidRDefault="00916E6D" w:rsidP="00916E6D"/>
    <w:p w:rsidR="00916E6D" w:rsidRDefault="00916E6D" w:rsidP="00916E6D">
      <w:pPr>
        <w:pStyle w:val="ListParagraph"/>
        <w:numPr>
          <w:ilvl w:val="0"/>
          <w:numId w:val="20"/>
        </w:numPr>
        <w:ind w:left="0"/>
        <w:rPr>
          <w:b/>
        </w:rPr>
      </w:pPr>
      <w:r>
        <w:rPr>
          <w:b/>
        </w:rPr>
        <w:t>Consideration Given to Information Technology</w:t>
      </w:r>
    </w:p>
    <w:p w:rsidR="00964EA6" w:rsidRDefault="00964EA6" w:rsidP="00964EA6">
      <w:pPr>
        <w:pStyle w:val="ListParagraph"/>
        <w:ind w:left="0"/>
        <w:rPr>
          <w:b/>
        </w:rPr>
      </w:pPr>
    </w:p>
    <w:p w:rsidR="00964EA6" w:rsidRPr="007D3423" w:rsidRDefault="00964EA6" w:rsidP="00964EA6">
      <w:pPr>
        <w:pStyle w:val="ListParagraph"/>
        <w:ind w:left="0"/>
      </w:pPr>
      <w:r w:rsidRPr="007D3423">
        <w:t>The questionnaire will be administered on irs.gov at the completion of using the ITA tool and receiving a response to the tax law question posed.</w:t>
      </w:r>
    </w:p>
    <w:p w:rsidR="00916E6D" w:rsidRDefault="00916E6D" w:rsidP="00916E6D"/>
    <w:p w:rsidR="00916E6D" w:rsidRDefault="00916E6D" w:rsidP="00916E6D">
      <w:pPr>
        <w:pStyle w:val="ListParagraph"/>
        <w:numPr>
          <w:ilvl w:val="0"/>
          <w:numId w:val="20"/>
        </w:numPr>
        <w:ind w:left="0"/>
        <w:rPr>
          <w:b/>
        </w:rPr>
      </w:pPr>
      <w:r>
        <w:rPr>
          <w:b/>
        </w:rPr>
        <w:t xml:space="preserve"> Duplication of Information</w:t>
      </w:r>
    </w:p>
    <w:p w:rsidR="00964EA6" w:rsidRDefault="00964EA6" w:rsidP="00964EA6">
      <w:pPr>
        <w:pStyle w:val="ListParagraph"/>
        <w:ind w:left="0"/>
        <w:rPr>
          <w:b/>
        </w:rPr>
      </w:pPr>
    </w:p>
    <w:p w:rsidR="00964EA6" w:rsidRPr="007D3423" w:rsidRDefault="00964EA6" w:rsidP="00964EA6">
      <w:pPr>
        <w:pStyle w:val="ListParagraph"/>
        <w:ind w:left="0"/>
      </w:pPr>
      <w:r w:rsidRPr="007D3423">
        <w:t>This is the only study conducted by the IRS to measure customer satisfaction for the on-line ITA tool.</w:t>
      </w:r>
    </w:p>
    <w:p w:rsidR="00916E6D" w:rsidRDefault="00916E6D" w:rsidP="00916E6D"/>
    <w:p w:rsidR="00916E6D" w:rsidRDefault="00916E6D" w:rsidP="00916E6D">
      <w:pPr>
        <w:pStyle w:val="ListParagraph"/>
        <w:numPr>
          <w:ilvl w:val="0"/>
          <w:numId w:val="20"/>
        </w:numPr>
        <w:ind w:left="0"/>
        <w:rPr>
          <w:b/>
        </w:rPr>
      </w:pPr>
      <w:r>
        <w:rPr>
          <w:b/>
        </w:rPr>
        <w:t xml:space="preserve"> Reducing the Burden on Small Entities</w:t>
      </w:r>
    </w:p>
    <w:p w:rsidR="00964EA6" w:rsidRDefault="00964EA6" w:rsidP="00964EA6">
      <w:pPr>
        <w:pStyle w:val="ListParagraph"/>
        <w:ind w:left="0"/>
        <w:rPr>
          <w:b/>
        </w:rPr>
      </w:pPr>
    </w:p>
    <w:p w:rsidR="00964EA6" w:rsidRPr="007D3423" w:rsidRDefault="00964EA6" w:rsidP="00964EA6">
      <w:pPr>
        <w:pStyle w:val="ListParagraph"/>
        <w:ind w:left="0"/>
      </w:pPr>
      <w:r w:rsidRPr="007D3423">
        <w:t xml:space="preserve">The ITA Customer Satisfaction Survey has been designed to minimize burden.  The time it takes a respondent to complete the survey has been carefully considered and only the most important areas are being surveyed.  The average time of survey completion is expected to be less than 2 minutes.  Burden estimate are based on </w:t>
      </w:r>
      <w:r w:rsidR="007D3423">
        <w:t>8</w:t>
      </w:r>
      <w:r w:rsidR="009724AE" w:rsidRPr="007D3423">
        <w:t>% response rate.</w:t>
      </w:r>
    </w:p>
    <w:p w:rsidR="00916E6D" w:rsidRDefault="00916E6D" w:rsidP="00916E6D"/>
    <w:p w:rsidR="00916E6D" w:rsidRDefault="00916E6D" w:rsidP="00916E6D">
      <w:pPr>
        <w:pStyle w:val="ListParagraph"/>
        <w:numPr>
          <w:ilvl w:val="0"/>
          <w:numId w:val="20"/>
        </w:numPr>
        <w:ind w:left="0"/>
        <w:rPr>
          <w:b/>
        </w:rPr>
      </w:pPr>
      <w:r>
        <w:rPr>
          <w:b/>
        </w:rPr>
        <w:t xml:space="preserve">Consequences of Not Conducting Collection </w:t>
      </w:r>
    </w:p>
    <w:p w:rsidR="009724AE" w:rsidRDefault="009724AE" w:rsidP="009724AE">
      <w:pPr>
        <w:pStyle w:val="ListParagraph"/>
        <w:ind w:left="0"/>
        <w:rPr>
          <w:b/>
        </w:rPr>
      </w:pPr>
    </w:p>
    <w:p w:rsidR="009724AE" w:rsidRPr="007D3423" w:rsidRDefault="009724AE" w:rsidP="009724AE">
      <w:pPr>
        <w:pStyle w:val="ListParagraph"/>
        <w:ind w:left="0"/>
      </w:pPr>
      <w:r w:rsidRPr="007D3423">
        <w:t>The RBPO will not be able to measure external customer satisfaction with ITA.  Feedback from customers is important in order to assess ease of use and reliability of the tool.  If the survey is</w:t>
      </w:r>
      <w:r w:rsidR="007D3423" w:rsidRPr="007D3423">
        <w:t xml:space="preserve"> </w:t>
      </w:r>
      <w:r w:rsidRPr="007D3423">
        <w:t>not conducted, opportunities to improve the product would be missed.</w:t>
      </w:r>
    </w:p>
    <w:p w:rsidR="00916E6D" w:rsidRDefault="00916E6D" w:rsidP="00916E6D">
      <w:pPr>
        <w:pStyle w:val="ListParagraph"/>
        <w:ind w:left="0"/>
        <w:rPr>
          <w:b/>
        </w:rPr>
      </w:pPr>
    </w:p>
    <w:p w:rsidR="00916E6D" w:rsidRDefault="00916E6D" w:rsidP="00916E6D">
      <w:pPr>
        <w:pStyle w:val="ListParagraph"/>
        <w:numPr>
          <w:ilvl w:val="0"/>
          <w:numId w:val="20"/>
        </w:numPr>
        <w:ind w:left="0"/>
        <w:rPr>
          <w:b/>
        </w:rPr>
      </w:pPr>
      <w:r>
        <w:rPr>
          <w:b/>
        </w:rPr>
        <w:t>Special Circumstances</w:t>
      </w:r>
    </w:p>
    <w:p w:rsidR="009724AE" w:rsidRDefault="009724AE" w:rsidP="009724AE">
      <w:pPr>
        <w:pStyle w:val="ListParagraph"/>
        <w:ind w:left="0"/>
        <w:rPr>
          <w:b/>
        </w:rPr>
      </w:pPr>
    </w:p>
    <w:p w:rsidR="009724AE" w:rsidRPr="007D3423" w:rsidRDefault="009724AE" w:rsidP="009724AE">
      <w:pPr>
        <w:pStyle w:val="ListParagraph"/>
        <w:ind w:left="0"/>
      </w:pPr>
      <w:r w:rsidRPr="007D3423">
        <w:t>There are no special circumstances.  The information collected will be voluntary and will not be used for statistical purposes.</w:t>
      </w:r>
    </w:p>
    <w:p w:rsidR="00916E6D" w:rsidRDefault="00916E6D" w:rsidP="00916E6D"/>
    <w:p w:rsidR="00916E6D" w:rsidRDefault="00916E6D" w:rsidP="00916E6D">
      <w:pPr>
        <w:pStyle w:val="ListParagraph"/>
        <w:numPr>
          <w:ilvl w:val="0"/>
          <w:numId w:val="20"/>
        </w:numPr>
        <w:ind w:left="0"/>
        <w:rPr>
          <w:b/>
        </w:rPr>
      </w:pPr>
      <w:r>
        <w:rPr>
          <w:b/>
        </w:rPr>
        <w:lastRenderedPageBreak/>
        <w:t>Consultations with Persons Outside the Agency</w:t>
      </w:r>
      <w:r w:rsidR="009724AE">
        <w:rPr>
          <w:b/>
        </w:rPr>
        <w:t xml:space="preserve">    N/A</w:t>
      </w:r>
    </w:p>
    <w:p w:rsidR="00916E6D" w:rsidRDefault="00916E6D" w:rsidP="00916E6D"/>
    <w:p w:rsidR="00916E6D" w:rsidRDefault="00916E6D" w:rsidP="00916E6D">
      <w:pPr>
        <w:pStyle w:val="ListParagraph"/>
        <w:numPr>
          <w:ilvl w:val="0"/>
          <w:numId w:val="20"/>
        </w:numPr>
        <w:ind w:left="0"/>
        <w:rPr>
          <w:b/>
        </w:rPr>
      </w:pPr>
      <w:r>
        <w:rPr>
          <w:b/>
        </w:rPr>
        <w:t>Payment or Gift</w:t>
      </w:r>
      <w:r w:rsidR="009724AE">
        <w:rPr>
          <w:b/>
        </w:rPr>
        <w:t xml:space="preserve"> </w:t>
      </w:r>
      <w:r w:rsidR="007D3423">
        <w:rPr>
          <w:b/>
        </w:rPr>
        <w:t xml:space="preserve">. </w:t>
      </w:r>
      <w:r w:rsidR="009724AE">
        <w:rPr>
          <w:b/>
        </w:rPr>
        <w:t xml:space="preserve"> No payments or gifts to be provided.</w:t>
      </w:r>
    </w:p>
    <w:p w:rsidR="00916E6D" w:rsidRDefault="00916E6D" w:rsidP="00916E6D"/>
    <w:p w:rsidR="00916E6D" w:rsidRDefault="00916E6D" w:rsidP="00916E6D">
      <w:pPr>
        <w:pStyle w:val="ListParagraph"/>
        <w:numPr>
          <w:ilvl w:val="0"/>
          <w:numId w:val="20"/>
        </w:numPr>
        <w:ind w:left="0"/>
        <w:rPr>
          <w:b/>
        </w:rPr>
      </w:pPr>
      <w:r w:rsidRPr="00253B65">
        <w:rPr>
          <w:b/>
        </w:rPr>
        <w:t xml:space="preserve"> </w:t>
      </w:r>
      <w:r w:rsidRPr="00F15739">
        <w:rPr>
          <w:b/>
        </w:rPr>
        <w:t xml:space="preserve">Confidentiality </w:t>
      </w:r>
    </w:p>
    <w:p w:rsidR="009724AE" w:rsidRDefault="009724AE" w:rsidP="009724AE">
      <w:pPr>
        <w:pStyle w:val="ListParagraph"/>
        <w:ind w:left="0"/>
        <w:rPr>
          <w:b/>
        </w:rPr>
      </w:pPr>
    </w:p>
    <w:p w:rsidR="00916E6D" w:rsidRPr="00C8427A" w:rsidRDefault="00C8427A" w:rsidP="00916E6D">
      <w:pPr>
        <w:rPr>
          <w:rFonts w:ascii="Californian FB" w:hAnsi="Californian FB"/>
          <w:b/>
        </w:rPr>
      </w:pPr>
      <w:r w:rsidRPr="00C8427A">
        <w:rPr>
          <w:rFonts w:ascii="Californian FB" w:hAnsi="Californian FB"/>
          <w:b/>
        </w:rPr>
        <w:t>The survey is conducted online with no data collection of a personal or sensitive nature.  The data returned to IRS will have no identifying information relating specific records to individual taxpayers. Nonetheless, IRS will ensure that privacy to the extent allowed by law and security of the aggregated results will receive the utmost attention. Public and official access to the information will be tightly controlled. The computer files containing this tabulated information will remain password protected at all times.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w:t>
      </w:r>
    </w:p>
    <w:p w:rsidR="00C8427A" w:rsidRDefault="00C8427A" w:rsidP="00916E6D"/>
    <w:p w:rsidR="00916E6D" w:rsidRDefault="00916E6D" w:rsidP="00916E6D">
      <w:pPr>
        <w:pStyle w:val="ListParagraph"/>
        <w:numPr>
          <w:ilvl w:val="0"/>
          <w:numId w:val="20"/>
        </w:numPr>
        <w:ind w:left="0"/>
        <w:rPr>
          <w:b/>
        </w:rPr>
      </w:pPr>
      <w:r>
        <w:rPr>
          <w:b/>
        </w:rPr>
        <w:t>Sensitive Nature</w:t>
      </w:r>
    </w:p>
    <w:p w:rsidR="009724AE" w:rsidRDefault="009724AE" w:rsidP="009724AE">
      <w:pPr>
        <w:pStyle w:val="ListParagraph"/>
        <w:ind w:left="0"/>
        <w:rPr>
          <w:b/>
        </w:rPr>
      </w:pPr>
    </w:p>
    <w:p w:rsidR="009724AE" w:rsidRPr="007D3423" w:rsidRDefault="009724AE" w:rsidP="009724AE">
      <w:pPr>
        <w:pStyle w:val="ListParagraph"/>
        <w:ind w:left="0"/>
      </w:pPr>
      <w:r w:rsidRPr="007D3423">
        <w:t>There are no questions within the survey that are of a personal or sensitive nature.</w:t>
      </w:r>
    </w:p>
    <w:p w:rsidR="00916E6D" w:rsidRDefault="00916E6D" w:rsidP="00916E6D"/>
    <w:p w:rsidR="00916E6D" w:rsidRDefault="00916E6D" w:rsidP="00916E6D">
      <w:pPr>
        <w:pStyle w:val="ListParagraph"/>
        <w:numPr>
          <w:ilvl w:val="0"/>
          <w:numId w:val="20"/>
        </w:numPr>
        <w:ind w:left="0"/>
        <w:rPr>
          <w:b/>
        </w:rPr>
      </w:pPr>
      <w:r>
        <w:rPr>
          <w:b/>
        </w:rPr>
        <w:t>Burden of Information Collection</w:t>
      </w:r>
      <w:r w:rsidR="00E14D82">
        <w:rPr>
          <w:b/>
        </w:rPr>
        <w:t xml:space="preserve"> </w:t>
      </w:r>
    </w:p>
    <w:p w:rsidR="00591FCE" w:rsidRDefault="00591FCE" w:rsidP="00591FCE">
      <w:pPr>
        <w:tabs>
          <w:tab w:val="left" w:pos="-1080"/>
          <w:tab w:val="left" w:pos="-720"/>
          <w:tab w:val="left" w:pos="0"/>
          <w:tab w:val="left" w:pos="450"/>
          <w:tab w:val="left" w:pos="720"/>
          <w:tab w:val="left" w:pos="2160"/>
        </w:tabs>
        <w:rPr>
          <w:b/>
        </w:rPr>
      </w:pPr>
    </w:p>
    <w:p w:rsidR="00591FCE" w:rsidRPr="007D3423" w:rsidRDefault="00591FCE" w:rsidP="00591FCE">
      <w:pPr>
        <w:tabs>
          <w:tab w:val="left" w:pos="-1080"/>
          <w:tab w:val="left" w:pos="-720"/>
          <w:tab w:val="left" w:pos="0"/>
          <w:tab w:val="left" w:pos="450"/>
          <w:tab w:val="left" w:pos="720"/>
          <w:tab w:val="left" w:pos="2160"/>
        </w:tabs>
      </w:pPr>
      <w:r w:rsidRPr="007D3423">
        <w:t xml:space="preserve">The estimated time to complete the survey is </w:t>
      </w:r>
      <w:r w:rsidR="00806F2B" w:rsidRPr="007D3423">
        <w:t>30 seconds</w:t>
      </w:r>
      <w:r w:rsidRPr="007D3423">
        <w:t xml:space="preserve">.  Based on a potential sample of </w:t>
      </w:r>
      <w:r w:rsidR="002C2D2E" w:rsidRPr="007D3423">
        <w:t>500,000</w:t>
      </w:r>
      <w:r w:rsidR="00357AD4" w:rsidRPr="007D3423">
        <w:t xml:space="preserve"> </w:t>
      </w:r>
      <w:r w:rsidRPr="007D3423">
        <w:t xml:space="preserve">and assuming a </w:t>
      </w:r>
      <w:r w:rsidR="002C2D2E" w:rsidRPr="007D3423">
        <w:t>8</w:t>
      </w:r>
      <w:r w:rsidRPr="007D3423">
        <w:t xml:space="preserve"> percent response rate, the total annual burden hours requested (</w:t>
      </w:r>
      <w:r w:rsidR="002C2D2E" w:rsidRPr="007D3423">
        <w:t>333</w:t>
      </w:r>
      <w:r w:rsidRPr="007D3423">
        <w:t xml:space="preserve"> hrs</w:t>
      </w:r>
      <w:r w:rsidR="007D3423">
        <w:t>.</w:t>
      </w:r>
      <w:r w:rsidRPr="007D3423">
        <w:t xml:space="preserve">) are based on the number of </w:t>
      </w:r>
      <w:r w:rsidR="00357AD4" w:rsidRPr="007D3423">
        <w:t>survey completions</w:t>
      </w:r>
      <w:r w:rsidRPr="007D3423">
        <w:t xml:space="preserve"> we expect to </w:t>
      </w:r>
      <w:r w:rsidR="00357AD4" w:rsidRPr="007D3423">
        <w:t>receive</w:t>
      </w:r>
      <w:r w:rsidRPr="007D3423">
        <w:t xml:space="preserve"> over the requested period for this clearance. </w:t>
      </w:r>
    </w:p>
    <w:p w:rsidR="00591FCE" w:rsidRDefault="00591FCE" w:rsidP="00591FCE"/>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362"/>
      </w:tblGrid>
      <w:tr w:rsidR="00591FCE" w:rsidRPr="000947EB" w:rsidTr="00357AD4">
        <w:trPr>
          <w:tblHeader/>
        </w:trPr>
        <w:tc>
          <w:tcPr>
            <w:tcW w:w="9462" w:type="dxa"/>
            <w:gridSpan w:val="5"/>
            <w:tcBorders>
              <w:top w:val="single" w:sz="6" w:space="0" w:color="000000"/>
              <w:left w:val="single" w:sz="6" w:space="0" w:color="000000"/>
              <w:bottom w:val="single" w:sz="6" w:space="0" w:color="FFFFFF"/>
              <w:right w:val="single" w:sz="6" w:space="0" w:color="000000"/>
            </w:tcBorders>
          </w:tcPr>
          <w:p w:rsidR="00591FCE" w:rsidRPr="000947EB" w:rsidRDefault="00591FCE" w:rsidP="00B51F57"/>
          <w:p w:rsidR="00591FCE" w:rsidRPr="000947EB" w:rsidRDefault="00591FCE" w:rsidP="00B51F57">
            <w:pPr>
              <w:tabs>
                <w:tab w:val="left" w:pos="-1080"/>
                <w:tab w:val="left" w:pos="-720"/>
                <w:tab w:val="left" w:pos="0"/>
                <w:tab w:val="left" w:pos="450"/>
                <w:tab w:val="left" w:pos="720"/>
                <w:tab w:val="left" w:pos="2160"/>
              </w:tabs>
              <w:jc w:val="center"/>
              <w:rPr>
                <w:sz w:val="20"/>
              </w:rPr>
            </w:pPr>
            <w:r w:rsidRPr="000947EB">
              <w:rPr>
                <w:sz w:val="20"/>
              </w:rPr>
              <w:t xml:space="preserve">           Estimated Burden</w:t>
            </w:r>
          </w:p>
        </w:tc>
      </w:tr>
      <w:tr w:rsidR="00591FCE" w:rsidRPr="000947EB" w:rsidTr="00357AD4">
        <w:tc>
          <w:tcPr>
            <w:tcW w:w="2880" w:type="dxa"/>
            <w:tcBorders>
              <w:top w:val="single" w:sz="6" w:space="0" w:color="000000"/>
              <w:left w:val="single" w:sz="6" w:space="0" w:color="000000"/>
              <w:bottom w:val="single" w:sz="6" w:space="0" w:color="FFFFFF"/>
              <w:right w:val="single" w:sz="6" w:space="0" w:color="FFFFFF"/>
            </w:tcBorders>
          </w:tcPr>
          <w:p w:rsidR="00591FCE" w:rsidRPr="000947EB" w:rsidRDefault="00591FCE" w:rsidP="00B51F57">
            <w:pPr>
              <w:rPr>
                <w:sz w:val="20"/>
              </w:rPr>
            </w:pPr>
          </w:p>
          <w:p w:rsidR="00591FCE" w:rsidRPr="000947EB" w:rsidRDefault="00591FCE" w:rsidP="00B51F57">
            <w:pPr>
              <w:tabs>
                <w:tab w:val="left" w:pos="-1080"/>
                <w:tab w:val="left" w:pos="-720"/>
                <w:tab w:val="left" w:pos="0"/>
                <w:tab w:val="left" w:pos="450"/>
                <w:tab w:val="left" w:pos="720"/>
                <w:tab w:val="left" w:pos="2160"/>
              </w:tabs>
              <w:jc w:val="center"/>
              <w:rPr>
                <w:sz w:val="20"/>
              </w:rPr>
            </w:pPr>
            <w:r w:rsidRPr="000947EB">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591FCE" w:rsidRPr="000947EB" w:rsidRDefault="00591FCE" w:rsidP="00B51F57">
            <w:pPr>
              <w:rPr>
                <w:sz w:val="20"/>
              </w:rPr>
            </w:pPr>
          </w:p>
          <w:p w:rsidR="00591FCE" w:rsidRPr="000947EB" w:rsidRDefault="00591FCE" w:rsidP="00B51F57">
            <w:pPr>
              <w:tabs>
                <w:tab w:val="left" w:pos="-1080"/>
                <w:tab w:val="left" w:pos="-720"/>
                <w:tab w:val="left" w:pos="0"/>
                <w:tab w:val="left" w:pos="450"/>
                <w:tab w:val="left" w:pos="720"/>
                <w:tab w:val="left" w:pos="2160"/>
              </w:tabs>
              <w:jc w:val="center"/>
              <w:rPr>
                <w:sz w:val="20"/>
              </w:rPr>
            </w:pPr>
            <w:r w:rsidRPr="000947EB">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591FCE" w:rsidRPr="000947EB" w:rsidRDefault="00591FCE" w:rsidP="00B51F57">
            <w:pPr>
              <w:rPr>
                <w:sz w:val="20"/>
              </w:rPr>
            </w:pPr>
          </w:p>
          <w:p w:rsidR="00591FCE" w:rsidRPr="000947EB" w:rsidRDefault="00591FCE" w:rsidP="00B51F57">
            <w:pPr>
              <w:tabs>
                <w:tab w:val="left" w:pos="-1080"/>
                <w:tab w:val="left" w:pos="-720"/>
                <w:tab w:val="left" w:pos="0"/>
                <w:tab w:val="left" w:pos="450"/>
                <w:tab w:val="left" w:pos="720"/>
                <w:tab w:val="left" w:pos="2160"/>
              </w:tabs>
              <w:jc w:val="center"/>
              <w:rPr>
                <w:sz w:val="20"/>
              </w:rPr>
            </w:pPr>
            <w:r w:rsidRPr="000947EB">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591FCE" w:rsidRPr="000947EB" w:rsidRDefault="00591FCE" w:rsidP="00B51F57">
            <w:pPr>
              <w:rPr>
                <w:sz w:val="20"/>
              </w:rPr>
            </w:pPr>
          </w:p>
          <w:p w:rsidR="00591FCE" w:rsidRPr="000947EB" w:rsidRDefault="00591FCE" w:rsidP="00B51F57">
            <w:pPr>
              <w:tabs>
                <w:tab w:val="left" w:pos="-1080"/>
                <w:tab w:val="left" w:pos="-720"/>
                <w:tab w:val="left" w:pos="0"/>
                <w:tab w:val="left" w:pos="450"/>
                <w:tab w:val="left" w:pos="720"/>
                <w:tab w:val="left" w:pos="2160"/>
              </w:tabs>
              <w:jc w:val="center"/>
              <w:rPr>
                <w:sz w:val="20"/>
              </w:rPr>
            </w:pPr>
            <w:r>
              <w:rPr>
                <w:sz w:val="20"/>
              </w:rPr>
              <w:t>Minutes</w:t>
            </w:r>
            <w:r w:rsidRPr="000947EB">
              <w:rPr>
                <w:sz w:val="20"/>
              </w:rPr>
              <w:t xml:space="preserve"> per Response</w:t>
            </w:r>
          </w:p>
        </w:tc>
        <w:tc>
          <w:tcPr>
            <w:tcW w:w="1362" w:type="dxa"/>
            <w:tcBorders>
              <w:top w:val="single" w:sz="6" w:space="0" w:color="000000"/>
              <w:left w:val="single" w:sz="6" w:space="0" w:color="000000"/>
              <w:bottom w:val="single" w:sz="6" w:space="0" w:color="FFFFFF"/>
              <w:right w:val="single" w:sz="6" w:space="0" w:color="000000"/>
            </w:tcBorders>
          </w:tcPr>
          <w:p w:rsidR="00591FCE" w:rsidRPr="000947EB" w:rsidRDefault="00591FCE" w:rsidP="00B51F57">
            <w:pPr>
              <w:rPr>
                <w:sz w:val="20"/>
              </w:rPr>
            </w:pPr>
          </w:p>
          <w:p w:rsidR="00591FCE" w:rsidRPr="000947EB" w:rsidRDefault="00591FCE" w:rsidP="00B51F57">
            <w:pPr>
              <w:tabs>
                <w:tab w:val="left" w:pos="-1080"/>
                <w:tab w:val="left" w:pos="-720"/>
                <w:tab w:val="left" w:pos="0"/>
                <w:tab w:val="left" w:pos="450"/>
                <w:tab w:val="left" w:pos="720"/>
                <w:tab w:val="left" w:pos="2160"/>
              </w:tabs>
              <w:jc w:val="center"/>
              <w:rPr>
                <w:sz w:val="20"/>
              </w:rPr>
            </w:pPr>
            <w:r w:rsidRPr="000947EB">
              <w:rPr>
                <w:sz w:val="20"/>
              </w:rPr>
              <w:t>Total Hours</w:t>
            </w:r>
          </w:p>
        </w:tc>
      </w:tr>
      <w:tr w:rsidR="00591FCE" w:rsidRPr="000947EB" w:rsidTr="00357AD4">
        <w:tc>
          <w:tcPr>
            <w:tcW w:w="2880" w:type="dxa"/>
            <w:tcBorders>
              <w:top w:val="single" w:sz="6" w:space="0" w:color="000000"/>
              <w:left w:val="single" w:sz="6" w:space="0" w:color="000000"/>
              <w:bottom w:val="single" w:sz="6" w:space="0" w:color="000000"/>
              <w:right w:val="single" w:sz="6" w:space="0" w:color="FFFFFF"/>
            </w:tcBorders>
            <w:vAlign w:val="center"/>
          </w:tcPr>
          <w:p w:rsidR="00591FCE" w:rsidRPr="000947EB" w:rsidRDefault="00591FCE" w:rsidP="00B51F57">
            <w:pPr>
              <w:rPr>
                <w:sz w:val="20"/>
              </w:rPr>
            </w:pPr>
            <w:r w:rsidRPr="000947EB">
              <w:rPr>
                <w:sz w:val="20"/>
              </w:rPr>
              <w:t>Customers who respond to survey (</w:t>
            </w:r>
            <w:r>
              <w:rPr>
                <w:sz w:val="20"/>
              </w:rPr>
              <w:t>percent of above</w:t>
            </w:r>
            <w:r w:rsidRPr="000947EB">
              <w:rPr>
                <w:sz w:val="20"/>
              </w:rPr>
              <w:t>)</w:t>
            </w:r>
          </w:p>
        </w:tc>
        <w:tc>
          <w:tcPr>
            <w:tcW w:w="1710" w:type="dxa"/>
            <w:tcBorders>
              <w:top w:val="single" w:sz="6" w:space="0" w:color="000000"/>
              <w:left w:val="single" w:sz="6" w:space="0" w:color="000000"/>
              <w:bottom w:val="single" w:sz="6" w:space="0" w:color="000000"/>
              <w:right w:val="single" w:sz="6" w:space="0" w:color="FFFFFF"/>
            </w:tcBorders>
            <w:vAlign w:val="center"/>
          </w:tcPr>
          <w:p w:rsidR="00591FCE" w:rsidRPr="000947EB" w:rsidRDefault="002C2D2E" w:rsidP="00B51F57">
            <w:pPr>
              <w:jc w:val="center"/>
              <w:rPr>
                <w:sz w:val="20"/>
              </w:rPr>
            </w:pPr>
            <w:r>
              <w:rPr>
                <w:sz w:val="20"/>
              </w:rPr>
              <w:t>40,000</w:t>
            </w:r>
          </w:p>
        </w:tc>
        <w:tc>
          <w:tcPr>
            <w:tcW w:w="1710" w:type="dxa"/>
            <w:tcBorders>
              <w:top w:val="single" w:sz="6" w:space="0" w:color="000000"/>
              <w:left w:val="single" w:sz="6" w:space="0" w:color="000000"/>
              <w:bottom w:val="single" w:sz="6" w:space="0" w:color="000000"/>
              <w:right w:val="single" w:sz="6" w:space="0" w:color="FFFFFF"/>
            </w:tcBorders>
            <w:vAlign w:val="center"/>
          </w:tcPr>
          <w:p w:rsidR="00591FCE" w:rsidRPr="000947EB" w:rsidRDefault="00591FCE" w:rsidP="00B51F57">
            <w:pPr>
              <w:jc w:val="center"/>
              <w:rPr>
                <w:sz w:val="20"/>
              </w:rPr>
            </w:pPr>
            <w:r w:rsidRPr="000947EB">
              <w:rPr>
                <w:sz w:val="20"/>
              </w:rPr>
              <w:t>1</w:t>
            </w:r>
          </w:p>
        </w:tc>
        <w:tc>
          <w:tcPr>
            <w:tcW w:w="1800" w:type="dxa"/>
            <w:tcBorders>
              <w:top w:val="single" w:sz="6" w:space="0" w:color="000000"/>
              <w:left w:val="single" w:sz="6" w:space="0" w:color="000000"/>
              <w:bottom w:val="single" w:sz="6" w:space="0" w:color="000000"/>
              <w:right w:val="single" w:sz="6" w:space="0" w:color="FFFFFF"/>
            </w:tcBorders>
            <w:vAlign w:val="center"/>
          </w:tcPr>
          <w:p w:rsidR="00591FCE" w:rsidRDefault="002C2D2E" w:rsidP="00B51F57">
            <w:pPr>
              <w:jc w:val="center"/>
              <w:rPr>
                <w:sz w:val="20"/>
              </w:rPr>
            </w:pPr>
            <w:r>
              <w:rPr>
                <w:sz w:val="20"/>
              </w:rPr>
              <w:t>.5</w:t>
            </w:r>
            <w:r w:rsidR="00591FCE" w:rsidRPr="000947EB">
              <w:rPr>
                <w:sz w:val="20"/>
              </w:rPr>
              <w:t xml:space="preserve"> minutes</w:t>
            </w:r>
          </w:p>
          <w:p w:rsidR="00903E23" w:rsidRPr="000947EB" w:rsidRDefault="00903E23" w:rsidP="00B51F57">
            <w:pPr>
              <w:jc w:val="center"/>
              <w:rPr>
                <w:sz w:val="20"/>
              </w:rPr>
            </w:pPr>
            <w:r>
              <w:rPr>
                <w:sz w:val="20"/>
              </w:rPr>
              <w:t>(30 seconds)</w:t>
            </w:r>
          </w:p>
        </w:tc>
        <w:tc>
          <w:tcPr>
            <w:tcW w:w="1362" w:type="dxa"/>
            <w:tcBorders>
              <w:top w:val="single" w:sz="6" w:space="0" w:color="000000"/>
              <w:left w:val="single" w:sz="6" w:space="0" w:color="000000"/>
              <w:bottom w:val="single" w:sz="6" w:space="0" w:color="000000"/>
              <w:right w:val="single" w:sz="6" w:space="0" w:color="000000"/>
            </w:tcBorders>
            <w:vAlign w:val="center"/>
          </w:tcPr>
          <w:p w:rsidR="00591FCE" w:rsidRDefault="002C2D2E" w:rsidP="00B51F57">
            <w:pPr>
              <w:tabs>
                <w:tab w:val="left" w:pos="-1080"/>
                <w:tab w:val="left" w:pos="-720"/>
                <w:tab w:val="left" w:pos="0"/>
                <w:tab w:val="left" w:pos="450"/>
                <w:tab w:val="left" w:pos="720"/>
                <w:tab w:val="left" w:pos="2160"/>
              </w:tabs>
              <w:jc w:val="center"/>
              <w:rPr>
                <w:sz w:val="20"/>
              </w:rPr>
            </w:pPr>
            <w:r>
              <w:rPr>
                <w:sz w:val="20"/>
              </w:rPr>
              <w:t>333</w:t>
            </w:r>
            <w:r w:rsidR="00591FCE">
              <w:rPr>
                <w:sz w:val="20"/>
              </w:rPr>
              <w:t xml:space="preserve"> hrs</w:t>
            </w:r>
          </w:p>
          <w:p w:rsidR="00591FCE" w:rsidRPr="000947EB" w:rsidRDefault="00903E23" w:rsidP="00B51F57">
            <w:pPr>
              <w:tabs>
                <w:tab w:val="left" w:pos="-1080"/>
                <w:tab w:val="left" w:pos="-720"/>
                <w:tab w:val="left" w:pos="0"/>
                <w:tab w:val="left" w:pos="450"/>
                <w:tab w:val="left" w:pos="720"/>
                <w:tab w:val="left" w:pos="2160"/>
              </w:tabs>
              <w:jc w:val="center"/>
              <w:rPr>
                <w:sz w:val="20"/>
              </w:rPr>
            </w:pPr>
            <w:r>
              <w:rPr>
                <w:sz w:val="20"/>
              </w:rPr>
              <w:t>(40K*.5)/60</w:t>
            </w:r>
          </w:p>
        </w:tc>
      </w:tr>
      <w:tr w:rsidR="00591FCE" w:rsidRPr="000947EB" w:rsidTr="00357AD4">
        <w:tc>
          <w:tcPr>
            <w:tcW w:w="2880" w:type="dxa"/>
            <w:tcBorders>
              <w:top w:val="single" w:sz="6" w:space="0" w:color="000000"/>
              <w:left w:val="single" w:sz="6" w:space="0" w:color="000000"/>
              <w:bottom w:val="single" w:sz="6" w:space="0" w:color="000000"/>
              <w:right w:val="single" w:sz="6" w:space="0" w:color="FFFFFF"/>
            </w:tcBorders>
            <w:vAlign w:val="center"/>
          </w:tcPr>
          <w:p w:rsidR="00591FCE" w:rsidRPr="001B3956" w:rsidRDefault="00591FCE" w:rsidP="00B51F57">
            <w:pPr>
              <w:rPr>
                <w:b/>
                <w:sz w:val="20"/>
              </w:rPr>
            </w:pPr>
            <w:r w:rsidRPr="001B3956">
              <w:rPr>
                <w:b/>
                <w:sz w:val="20"/>
              </w:rPr>
              <w:t>Total</w:t>
            </w:r>
          </w:p>
        </w:tc>
        <w:tc>
          <w:tcPr>
            <w:tcW w:w="1710" w:type="dxa"/>
            <w:tcBorders>
              <w:top w:val="single" w:sz="6" w:space="0" w:color="000000"/>
              <w:left w:val="single" w:sz="6" w:space="0" w:color="000000"/>
              <w:bottom w:val="single" w:sz="6" w:space="0" w:color="000000"/>
              <w:right w:val="single" w:sz="6" w:space="0" w:color="FFFFFF"/>
            </w:tcBorders>
            <w:vAlign w:val="center"/>
          </w:tcPr>
          <w:p w:rsidR="00591FCE" w:rsidRPr="000947EB" w:rsidRDefault="00591FCE" w:rsidP="00B51F57">
            <w:pPr>
              <w:jc w:val="center"/>
              <w:rPr>
                <w:sz w:val="20"/>
              </w:rPr>
            </w:pPr>
          </w:p>
        </w:tc>
        <w:tc>
          <w:tcPr>
            <w:tcW w:w="1710" w:type="dxa"/>
            <w:tcBorders>
              <w:top w:val="single" w:sz="6" w:space="0" w:color="000000"/>
              <w:left w:val="single" w:sz="6" w:space="0" w:color="000000"/>
              <w:bottom w:val="single" w:sz="6" w:space="0" w:color="000000"/>
              <w:right w:val="single" w:sz="6" w:space="0" w:color="FFFFFF"/>
            </w:tcBorders>
            <w:vAlign w:val="center"/>
          </w:tcPr>
          <w:p w:rsidR="00591FCE" w:rsidRPr="000947EB" w:rsidRDefault="00591FCE" w:rsidP="00B51F57">
            <w:pPr>
              <w:jc w:val="center"/>
              <w:rPr>
                <w:sz w:val="20"/>
              </w:rPr>
            </w:pPr>
          </w:p>
        </w:tc>
        <w:tc>
          <w:tcPr>
            <w:tcW w:w="1800" w:type="dxa"/>
            <w:tcBorders>
              <w:top w:val="single" w:sz="6" w:space="0" w:color="000000"/>
              <w:left w:val="single" w:sz="6" w:space="0" w:color="000000"/>
              <w:bottom w:val="single" w:sz="6" w:space="0" w:color="000000"/>
              <w:right w:val="single" w:sz="6" w:space="0" w:color="FFFFFF"/>
            </w:tcBorders>
            <w:vAlign w:val="center"/>
          </w:tcPr>
          <w:p w:rsidR="00591FCE" w:rsidRPr="000947EB" w:rsidRDefault="00591FCE" w:rsidP="00B51F57">
            <w:pPr>
              <w:jc w:val="center"/>
              <w:rPr>
                <w:sz w:val="20"/>
              </w:rPr>
            </w:pPr>
          </w:p>
        </w:tc>
        <w:tc>
          <w:tcPr>
            <w:tcW w:w="1362" w:type="dxa"/>
            <w:tcBorders>
              <w:top w:val="single" w:sz="6" w:space="0" w:color="000000"/>
              <w:left w:val="single" w:sz="6" w:space="0" w:color="000000"/>
              <w:bottom w:val="single" w:sz="6" w:space="0" w:color="000000"/>
              <w:right w:val="single" w:sz="6" w:space="0" w:color="000000"/>
            </w:tcBorders>
            <w:vAlign w:val="center"/>
          </w:tcPr>
          <w:p w:rsidR="00357AD4" w:rsidRPr="00357AD4" w:rsidRDefault="002C2D2E" w:rsidP="00357AD4">
            <w:pPr>
              <w:tabs>
                <w:tab w:val="left" w:pos="-1080"/>
                <w:tab w:val="left" w:pos="-720"/>
                <w:tab w:val="left" w:pos="0"/>
                <w:tab w:val="left" w:pos="450"/>
                <w:tab w:val="left" w:pos="720"/>
                <w:tab w:val="left" w:pos="2160"/>
              </w:tabs>
              <w:jc w:val="center"/>
              <w:rPr>
                <w:b/>
                <w:sz w:val="20"/>
              </w:rPr>
            </w:pPr>
            <w:r>
              <w:rPr>
                <w:b/>
                <w:sz w:val="20"/>
              </w:rPr>
              <w:t>333</w:t>
            </w:r>
            <w:r w:rsidR="00357AD4" w:rsidRPr="00357AD4">
              <w:rPr>
                <w:b/>
                <w:sz w:val="20"/>
              </w:rPr>
              <w:t xml:space="preserve"> hrs</w:t>
            </w:r>
          </w:p>
          <w:p w:rsidR="00591FCE" w:rsidRPr="001B3956" w:rsidRDefault="00591FCE" w:rsidP="00B51F57">
            <w:pPr>
              <w:tabs>
                <w:tab w:val="left" w:pos="-1080"/>
                <w:tab w:val="left" w:pos="-720"/>
                <w:tab w:val="left" w:pos="0"/>
                <w:tab w:val="left" w:pos="450"/>
                <w:tab w:val="left" w:pos="720"/>
                <w:tab w:val="left" w:pos="2160"/>
              </w:tabs>
              <w:jc w:val="center"/>
              <w:rPr>
                <w:b/>
                <w:sz w:val="20"/>
              </w:rPr>
            </w:pPr>
          </w:p>
        </w:tc>
      </w:tr>
    </w:tbl>
    <w:p w:rsidR="00916E6D" w:rsidRDefault="00916E6D" w:rsidP="00916E6D">
      <w:pPr>
        <w:tabs>
          <w:tab w:val="left" w:pos="-1080"/>
          <w:tab w:val="left" w:pos="-720"/>
          <w:tab w:val="left" w:pos="0"/>
          <w:tab w:val="left" w:pos="450"/>
          <w:tab w:val="left" w:pos="720"/>
          <w:tab w:val="left" w:pos="2160"/>
        </w:tabs>
      </w:pPr>
    </w:p>
    <w:p w:rsidR="00916E6D" w:rsidRDefault="00916E6D" w:rsidP="00916E6D">
      <w:pPr>
        <w:pStyle w:val="ListParagraph"/>
        <w:numPr>
          <w:ilvl w:val="0"/>
          <w:numId w:val="20"/>
        </w:numPr>
        <w:ind w:left="0"/>
        <w:rPr>
          <w:b/>
        </w:rPr>
      </w:pPr>
      <w:r>
        <w:rPr>
          <w:b/>
        </w:rPr>
        <w:t>Costs to Respondents</w:t>
      </w:r>
    </w:p>
    <w:p w:rsidR="00916E6D" w:rsidRDefault="00916E6D" w:rsidP="00916E6D">
      <w:pPr>
        <w:pStyle w:val="ListParagraph"/>
        <w:ind w:left="0"/>
        <w:rPr>
          <w:b/>
        </w:rPr>
      </w:pPr>
    </w:p>
    <w:p w:rsidR="00916E6D" w:rsidRPr="00357AD4" w:rsidRDefault="001B3956" w:rsidP="00916E6D">
      <w:pPr>
        <w:rPr>
          <w:b/>
        </w:rPr>
      </w:pPr>
      <w:r w:rsidRPr="00357AD4">
        <w:rPr>
          <w:b/>
        </w:rPr>
        <w:t xml:space="preserve">Not Applicable.  </w:t>
      </w:r>
    </w:p>
    <w:p w:rsidR="00591FCE" w:rsidRDefault="00591FCE" w:rsidP="00916E6D"/>
    <w:p w:rsidR="00916E6D" w:rsidRDefault="00916E6D" w:rsidP="00916E6D">
      <w:pPr>
        <w:pStyle w:val="ListParagraph"/>
        <w:numPr>
          <w:ilvl w:val="0"/>
          <w:numId w:val="20"/>
        </w:numPr>
        <w:ind w:left="0"/>
        <w:rPr>
          <w:b/>
        </w:rPr>
      </w:pPr>
      <w:r>
        <w:rPr>
          <w:b/>
        </w:rPr>
        <w:t>Costs to Federal Government</w:t>
      </w:r>
    </w:p>
    <w:p w:rsidR="00916E6D" w:rsidRDefault="00916E6D" w:rsidP="00916E6D">
      <w:pPr>
        <w:pStyle w:val="ListParagraph"/>
        <w:ind w:left="0"/>
        <w:rPr>
          <w:b/>
        </w:rPr>
      </w:pPr>
    </w:p>
    <w:p w:rsidR="00357AD4" w:rsidRDefault="00357AD4" w:rsidP="00916E6D">
      <w:pPr>
        <w:pStyle w:val="ListParagraph"/>
        <w:ind w:left="0"/>
        <w:rPr>
          <w:b/>
        </w:rPr>
      </w:pPr>
      <w:r>
        <w:rPr>
          <w:b/>
        </w:rPr>
        <w:t>Not applicable</w:t>
      </w:r>
    </w:p>
    <w:p w:rsidR="00916E6D" w:rsidRPr="00916E6D" w:rsidRDefault="00916E6D" w:rsidP="00916E6D"/>
    <w:p w:rsidR="00916E6D" w:rsidRDefault="00916E6D" w:rsidP="00916E6D">
      <w:pPr>
        <w:pStyle w:val="ListParagraph"/>
        <w:numPr>
          <w:ilvl w:val="0"/>
          <w:numId w:val="20"/>
        </w:numPr>
        <w:ind w:left="0"/>
        <w:rPr>
          <w:b/>
        </w:rPr>
      </w:pPr>
      <w:r>
        <w:rPr>
          <w:b/>
        </w:rPr>
        <w:t>Reason for Change</w:t>
      </w:r>
    </w:p>
    <w:p w:rsidR="00916E6D" w:rsidRDefault="00916E6D" w:rsidP="00916E6D">
      <w:pPr>
        <w:pStyle w:val="ListParagraph"/>
        <w:ind w:left="0"/>
        <w:rPr>
          <w:b/>
        </w:rPr>
      </w:pPr>
    </w:p>
    <w:p w:rsidR="00916E6D" w:rsidRDefault="00EB451F" w:rsidP="00916E6D">
      <w:r>
        <w:t xml:space="preserve">Not applicable.  </w:t>
      </w:r>
    </w:p>
    <w:p w:rsidR="00591FCE" w:rsidRDefault="00591FCE" w:rsidP="00916E6D">
      <w:pPr>
        <w:rPr>
          <w:b/>
        </w:rPr>
      </w:pPr>
    </w:p>
    <w:p w:rsidR="00916E6D" w:rsidRDefault="00916E6D" w:rsidP="00916E6D">
      <w:pPr>
        <w:pStyle w:val="ListParagraph"/>
        <w:numPr>
          <w:ilvl w:val="0"/>
          <w:numId w:val="20"/>
        </w:numPr>
        <w:ind w:left="0"/>
        <w:rPr>
          <w:b/>
        </w:rPr>
      </w:pPr>
      <w:r>
        <w:rPr>
          <w:b/>
        </w:rPr>
        <w:t>Tabulation of Results, Schedule, Analysis Plans</w:t>
      </w:r>
    </w:p>
    <w:p w:rsidR="00357AD4" w:rsidRDefault="00357AD4" w:rsidP="00357AD4">
      <w:pPr>
        <w:pStyle w:val="ListParagraph"/>
        <w:ind w:left="0"/>
        <w:rPr>
          <w:b/>
        </w:rPr>
      </w:pPr>
    </w:p>
    <w:p w:rsidR="00357AD4" w:rsidRPr="007D3423" w:rsidRDefault="00357AD4" w:rsidP="00357AD4">
      <w:pPr>
        <w:pStyle w:val="ListParagraph"/>
        <w:ind w:left="0"/>
      </w:pPr>
      <w:r w:rsidRPr="007D3423">
        <w:t>Taxpayers who complete an ITA topic will be asked to take the survey on the response page.  The IRS will assume that all data collected from this survey is qualitative in nature and that no critical decisions will be made by this office sole from the analysis of data from this survey.  The results from this survey are simple one piece of a larger set of information needed to assess the needs related to services provided by the IRS.</w:t>
      </w:r>
    </w:p>
    <w:p w:rsidR="00916E6D" w:rsidRPr="007D3423" w:rsidRDefault="00916E6D" w:rsidP="00916E6D"/>
    <w:p w:rsidR="00916E6D" w:rsidRDefault="00916E6D" w:rsidP="00916E6D">
      <w:pPr>
        <w:pStyle w:val="ListParagraph"/>
        <w:numPr>
          <w:ilvl w:val="0"/>
          <w:numId w:val="20"/>
        </w:numPr>
        <w:ind w:left="0"/>
        <w:rPr>
          <w:b/>
        </w:rPr>
      </w:pPr>
      <w:r>
        <w:rPr>
          <w:b/>
        </w:rPr>
        <w:t>Display of OMB Approval Date</w:t>
      </w:r>
    </w:p>
    <w:p w:rsidR="00591FCE" w:rsidRDefault="00591FCE" w:rsidP="00916E6D"/>
    <w:p w:rsidR="00916E6D" w:rsidRDefault="00591FCE" w:rsidP="00916E6D">
      <w:r>
        <w:t>Not applicable</w:t>
      </w:r>
    </w:p>
    <w:p w:rsidR="00916E6D" w:rsidRDefault="00916E6D" w:rsidP="00916E6D"/>
    <w:p w:rsidR="00916E6D" w:rsidRDefault="00916E6D" w:rsidP="00916E6D"/>
    <w:p w:rsidR="00916E6D" w:rsidRDefault="00916E6D" w:rsidP="00916E6D">
      <w:pPr>
        <w:pStyle w:val="ListParagraph"/>
        <w:numPr>
          <w:ilvl w:val="0"/>
          <w:numId w:val="20"/>
        </w:numPr>
        <w:ind w:left="0"/>
        <w:rPr>
          <w:b/>
        </w:rPr>
      </w:pPr>
      <w:r>
        <w:rPr>
          <w:b/>
        </w:rPr>
        <w:t>Exceptions to Certification for Paperwork Reduction Act Submissions</w:t>
      </w:r>
    </w:p>
    <w:p w:rsidR="00916E6D" w:rsidRDefault="00916E6D" w:rsidP="00916E6D">
      <w:pPr>
        <w:pStyle w:val="ListParagraph"/>
        <w:ind w:left="0"/>
        <w:rPr>
          <w:b/>
        </w:rPr>
      </w:pPr>
    </w:p>
    <w:p w:rsidR="00357AD4" w:rsidRDefault="00916E6D" w:rsidP="00916E6D">
      <w:r>
        <w:t>These activities comply with the requirements in 5 CFR 1320.9.</w:t>
      </w:r>
      <w:r w:rsidR="001B3956">
        <w:t xml:space="preserve"> </w:t>
      </w:r>
    </w:p>
    <w:p w:rsidR="00357AD4" w:rsidRDefault="00357AD4" w:rsidP="00916E6D"/>
    <w:p w:rsidR="00916E6D" w:rsidRDefault="001B3956" w:rsidP="00357AD4">
      <w:r>
        <w:t xml:space="preserve"> </w:t>
      </w:r>
    </w:p>
    <w:p w:rsidR="00916E6D" w:rsidRDefault="00BB4D7F" w:rsidP="00BB4D7F">
      <w:pPr>
        <w:pStyle w:val="BodyTextIndent3"/>
        <w:ind w:left="0" w:hanging="360"/>
        <w:rPr>
          <w:b/>
        </w:rPr>
      </w:pPr>
      <w:r>
        <w:rPr>
          <w:b/>
        </w:rPr>
        <w:t>19.  Period of Survey:</w:t>
      </w:r>
    </w:p>
    <w:p w:rsidR="00BB4D7F" w:rsidRDefault="00BB4D7F" w:rsidP="00BB4D7F">
      <w:pPr>
        <w:pStyle w:val="BodyTextIndent3"/>
        <w:ind w:left="0" w:hanging="360"/>
        <w:rPr>
          <w:b/>
        </w:rPr>
      </w:pPr>
    </w:p>
    <w:p w:rsidR="00BB4D7F" w:rsidRDefault="00BB4D7F" w:rsidP="00BB4D7F">
      <w:pPr>
        <w:pStyle w:val="BodyTextIndent3"/>
        <w:ind w:left="0" w:hanging="360"/>
        <w:rPr>
          <w:b/>
        </w:rPr>
      </w:pPr>
      <w:r>
        <w:rPr>
          <w:b/>
        </w:rPr>
        <w:tab/>
      </w:r>
      <w:r w:rsidR="005D62F2">
        <w:rPr>
          <w:b/>
        </w:rPr>
        <w:t>November</w:t>
      </w:r>
      <w:r w:rsidR="000B6D9D">
        <w:rPr>
          <w:b/>
        </w:rPr>
        <w:t xml:space="preserve"> 2013 through </w:t>
      </w:r>
      <w:r w:rsidR="005D62F2">
        <w:rPr>
          <w:b/>
        </w:rPr>
        <w:t>November</w:t>
      </w:r>
      <w:r w:rsidR="000B6D9D">
        <w:rPr>
          <w:b/>
        </w:rPr>
        <w:t xml:space="preserve"> 2014</w:t>
      </w:r>
    </w:p>
    <w:p w:rsidR="00916E6D" w:rsidRDefault="00916E6D" w:rsidP="00916E6D">
      <w:pPr>
        <w:pStyle w:val="BodyTextIndent3"/>
        <w:ind w:left="0"/>
        <w:rPr>
          <w:b/>
        </w:rPr>
      </w:pPr>
    </w:p>
    <w:p w:rsidR="00916E6D" w:rsidRDefault="00916E6D" w:rsidP="00916E6D">
      <w:pPr>
        <w:pStyle w:val="BodyTextIndent3"/>
        <w:ind w:left="0"/>
        <w:rPr>
          <w:b/>
        </w:rPr>
      </w:pPr>
      <w:r>
        <w:rPr>
          <w:b/>
        </w:rPr>
        <w:t>B.</w:t>
      </w:r>
      <w:r>
        <w:rPr>
          <w:b/>
        </w:rPr>
        <w:tab/>
        <w:t>STATISTICAL METHODS</w:t>
      </w:r>
    </w:p>
    <w:p w:rsidR="00916E6D" w:rsidRDefault="00916E6D" w:rsidP="00916E6D">
      <w:pPr>
        <w:pStyle w:val="BodyTextIndent3"/>
        <w:ind w:left="0"/>
        <w:rPr>
          <w:b/>
        </w:rPr>
      </w:pPr>
    </w:p>
    <w:p w:rsidR="00916E6D" w:rsidRDefault="00916E6D" w:rsidP="00916E6D">
      <w:pPr>
        <w:rPr>
          <w:b/>
        </w:rPr>
      </w:pPr>
      <w:r>
        <w:t xml:space="preserve">The primary purpose of these collections will be for internal management purposes; there are no plans to publish or otherwise release this information.  </w:t>
      </w:r>
    </w:p>
    <w:p w:rsidR="00916E6D" w:rsidRDefault="00916E6D" w:rsidP="00916E6D">
      <w:pPr>
        <w:rPr>
          <w:b/>
        </w:rPr>
      </w:pPr>
    </w:p>
    <w:p w:rsidR="00916E6D" w:rsidRDefault="00916E6D" w:rsidP="00916E6D">
      <w:pPr>
        <w:pStyle w:val="ListParagraph"/>
        <w:numPr>
          <w:ilvl w:val="0"/>
          <w:numId w:val="21"/>
        </w:numPr>
        <w:rPr>
          <w:b/>
        </w:rPr>
      </w:pPr>
      <w:r>
        <w:rPr>
          <w:b/>
        </w:rPr>
        <w:t>Universe and Respondent Selection</w:t>
      </w:r>
    </w:p>
    <w:p w:rsidR="008445D7" w:rsidRDefault="008445D7" w:rsidP="008445D7">
      <w:pPr>
        <w:pStyle w:val="ListParagraph"/>
        <w:ind w:left="0"/>
        <w:rPr>
          <w:b/>
        </w:rPr>
      </w:pPr>
    </w:p>
    <w:p w:rsidR="008445D7" w:rsidRPr="007D3423" w:rsidRDefault="008445D7" w:rsidP="008445D7">
      <w:pPr>
        <w:pStyle w:val="ListParagraph"/>
        <w:ind w:left="360"/>
      </w:pPr>
      <w:r w:rsidRPr="007D3423">
        <w:t>Taxpayers will be asked to take the survey once they have completed an ITA topic and have received a response.</w:t>
      </w:r>
    </w:p>
    <w:p w:rsidR="00916E6D" w:rsidRDefault="00916E6D" w:rsidP="00916E6D">
      <w:pPr>
        <w:pStyle w:val="ListParagraph"/>
        <w:ind w:left="360"/>
        <w:rPr>
          <w:b/>
        </w:rPr>
      </w:pPr>
    </w:p>
    <w:p w:rsidR="00916E6D" w:rsidRDefault="00916E6D" w:rsidP="00916E6D">
      <w:pPr>
        <w:pStyle w:val="ListParagraph"/>
        <w:ind w:left="360"/>
        <w:rPr>
          <w:b/>
        </w:rPr>
      </w:pPr>
    </w:p>
    <w:p w:rsidR="00916E6D" w:rsidRDefault="00916E6D" w:rsidP="00916E6D">
      <w:pPr>
        <w:pStyle w:val="ListParagraph"/>
        <w:numPr>
          <w:ilvl w:val="0"/>
          <w:numId w:val="21"/>
        </w:numPr>
        <w:rPr>
          <w:b/>
        </w:rPr>
      </w:pPr>
      <w:r>
        <w:rPr>
          <w:b/>
        </w:rPr>
        <w:t>Procedures for Collecting Information</w:t>
      </w:r>
    </w:p>
    <w:p w:rsidR="008445D7" w:rsidRDefault="008445D7" w:rsidP="008445D7">
      <w:pPr>
        <w:pStyle w:val="ListParagraph"/>
        <w:ind w:left="0"/>
        <w:rPr>
          <w:b/>
        </w:rPr>
      </w:pPr>
    </w:p>
    <w:p w:rsidR="008445D7" w:rsidRPr="007D3423" w:rsidRDefault="008445D7" w:rsidP="008445D7">
      <w:pPr>
        <w:pStyle w:val="ListParagraph"/>
        <w:ind w:left="360"/>
      </w:pPr>
      <w:r w:rsidRPr="007D3423">
        <w:t>W&amp;I, Strategy &amp; Finance, Research will be responsible for collecting the data and conducting data analysis.</w:t>
      </w:r>
    </w:p>
    <w:p w:rsidR="00916E6D" w:rsidRDefault="00916E6D" w:rsidP="00916E6D">
      <w:pPr>
        <w:pStyle w:val="ListParagraph"/>
        <w:ind w:left="360"/>
        <w:rPr>
          <w:b/>
        </w:rPr>
      </w:pPr>
    </w:p>
    <w:p w:rsidR="00916E6D" w:rsidRDefault="00916E6D" w:rsidP="00916E6D">
      <w:pPr>
        <w:rPr>
          <w:i/>
          <w:iCs/>
        </w:rPr>
      </w:pPr>
    </w:p>
    <w:p w:rsidR="00916E6D" w:rsidRDefault="00916E6D" w:rsidP="00916E6D">
      <w:pPr>
        <w:pStyle w:val="ListParagraph"/>
        <w:numPr>
          <w:ilvl w:val="0"/>
          <w:numId w:val="21"/>
        </w:numPr>
        <w:rPr>
          <w:b/>
        </w:rPr>
      </w:pPr>
      <w:r>
        <w:rPr>
          <w:b/>
        </w:rPr>
        <w:t>Methods to Maximize Response</w:t>
      </w:r>
    </w:p>
    <w:p w:rsidR="008445D7" w:rsidRDefault="008445D7" w:rsidP="008445D7">
      <w:pPr>
        <w:pStyle w:val="ListParagraph"/>
        <w:ind w:left="0"/>
        <w:rPr>
          <w:b/>
        </w:rPr>
      </w:pPr>
    </w:p>
    <w:p w:rsidR="008445D7" w:rsidRPr="007D3423" w:rsidRDefault="008445D7" w:rsidP="008445D7">
      <w:pPr>
        <w:pStyle w:val="ListParagraph"/>
        <w:ind w:left="360"/>
      </w:pPr>
      <w:r w:rsidRPr="007D3423">
        <w:t xml:space="preserve">The survey is offered to all taxpayers who complete an ITA topic and have received a response.  The response rate is determined based on those taxpayers who wish to complete the survey. </w:t>
      </w:r>
    </w:p>
    <w:p w:rsidR="00916E6D" w:rsidRDefault="00916E6D" w:rsidP="00916E6D">
      <w:pPr>
        <w:pStyle w:val="ListParagraph"/>
        <w:ind w:left="360"/>
      </w:pPr>
    </w:p>
    <w:p w:rsidR="00916E6D" w:rsidRDefault="00916E6D" w:rsidP="00916E6D">
      <w:pPr>
        <w:pStyle w:val="ListParagraph"/>
        <w:numPr>
          <w:ilvl w:val="0"/>
          <w:numId w:val="21"/>
        </w:numPr>
        <w:rPr>
          <w:b/>
        </w:rPr>
      </w:pPr>
      <w:r>
        <w:rPr>
          <w:b/>
        </w:rPr>
        <w:t>Testing of Procedures</w:t>
      </w:r>
    </w:p>
    <w:p w:rsidR="008445D7" w:rsidRDefault="008445D7" w:rsidP="008445D7">
      <w:pPr>
        <w:pStyle w:val="ListParagraph"/>
        <w:ind w:left="0"/>
        <w:rPr>
          <w:b/>
        </w:rPr>
      </w:pPr>
    </w:p>
    <w:p w:rsidR="008445D7" w:rsidRPr="007D3423" w:rsidRDefault="008445D7" w:rsidP="008445D7">
      <w:pPr>
        <w:pStyle w:val="ListParagraph"/>
        <w:ind w:left="360"/>
      </w:pPr>
      <w:r w:rsidRPr="007D3423">
        <w:lastRenderedPageBreak/>
        <w:t>No testing will be conducted.</w:t>
      </w:r>
    </w:p>
    <w:p w:rsidR="00916E6D" w:rsidRDefault="00916E6D" w:rsidP="00916E6D">
      <w:pPr>
        <w:pStyle w:val="ListParagraph"/>
        <w:ind w:left="360"/>
        <w:rPr>
          <w:b/>
        </w:rPr>
      </w:pPr>
      <w:r>
        <w:rPr>
          <w:b/>
        </w:rPr>
        <w:t xml:space="preserve"> </w:t>
      </w:r>
    </w:p>
    <w:p w:rsidR="00916E6D" w:rsidRDefault="00916E6D" w:rsidP="00916E6D">
      <w:pPr>
        <w:pStyle w:val="ListParagraph"/>
        <w:numPr>
          <w:ilvl w:val="0"/>
          <w:numId w:val="21"/>
        </w:numPr>
        <w:rPr>
          <w:b/>
        </w:rPr>
      </w:pPr>
      <w:r>
        <w:rPr>
          <w:b/>
        </w:rPr>
        <w:t>Contacts for Statistical Aspects and Data Collection</w:t>
      </w:r>
    </w:p>
    <w:p w:rsidR="008445D7" w:rsidRDefault="008445D7" w:rsidP="008445D7">
      <w:pPr>
        <w:pStyle w:val="ListParagraph"/>
        <w:ind w:left="0"/>
        <w:rPr>
          <w:b/>
        </w:rPr>
      </w:pPr>
    </w:p>
    <w:p w:rsidR="008445D7" w:rsidRPr="007D3423" w:rsidRDefault="008445D7" w:rsidP="008445D7">
      <w:pPr>
        <w:pStyle w:val="ListParagraph"/>
        <w:ind w:left="360"/>
      </w:pPr>
      <w:r w:rsidRPr="007D3423">
        <w:t>For questions regarding the survey, questionnaire design or statistical methodology, contact:</w:t>
      </w:r>
    </w:p>
    <w:p w:rsidR="008445D7" w:rsidRPr="007D3423" w:rsidRDefault="008445D7" w:rsidP="008445D7">
      <w:pPr>
        <w:pStyle w:val="ListParagraph"/>
        <w:ind w:left="360"/>
      </w:pPr>
    </w:p>
    <w:p w:rsidR="008445D7" w:rsidRPr="007D3423" w:rsidRDefault="008445D7" w:rsidP="008445D7">
      <w:pPr>
        <w:pStyle w:val="ListParagraph"/>
        <w:ind w:left="360"/>
      </w:pPr>
      <w:r w:rsidRPr="007D3423">
        <w:t>Jeffrey W. Gray</w:t>
      </w:r>
    </w:p>
    <w:p w:rsidR="008445D7" w:rsidRPr="007D3423" w:rsidRDefault="008445D7" w:rsidP="008445D7">
      <w:pPr>
        <w:pStyle w:val="ListParagraph"/>
        <w:ind w:left="360"/>
      </w:pPr>
      <w:r w:rsidRPr="007D3423">
        <w:t>W&amp;I, ES&amp;P, RBPO</w:t>
      </w:r>
    </w:p>
    <w:bookmarkStart w:id="0" w:name="KeyList"/>
    <w:bookmarkEnd w:id="0"/>
    <w:p w:rsidR="008445D7" w:rsidRPr="007D3423" w:rsidRDefault="008445D7" w:rsidP="008445D7">
      <w:pPr>
        <w:pStyle w:val="ListParagraph"/>
        <w:ind w:left="360"/>
      </w:pPr>
      <w:r w:rsidRPr="007D3423">
        <w:fldChar w:fldCharType="begin"/>
      </w:r>
      <w:r w:rsidRPr="007D3423">
        <w:instrText xml:space="preserve"> HYPERLINK "mailto:jeffrey.w.gray@irs.gov" </w:instrText>
      </w:r>
      <w:r w:rsidRPr="007D3423">
        <w:fldChar w:fldCharType="separate"/>
      </w:r>
      <w:r w:rsidRPr="007D3423">
        <w:rPr>
          <w:rStyle w:val="Hyperlink"/>
        </w:rPr>
        <w:t>jeffrey.w.gray@irs.gov</w:t>
      </w:r>
      <w:r w:rsidRPr="007D3423">
        <w:fldChar w:fldCharType="end"/>
      </w:r>
    </w:p>
    <w:p w:rsidR="008445D7" w:rsidRPr="007D3423" w:rsidRDefault="008445D7" w:rsidP="008445D7">
      <w:pPr>
        <w:pStyle w:val="ListParagraph"/>
        <w:ind w:left="360"/>
      </w:pPr>
      <w:r w:rsidRPr="007D3423">
        <w:t>859-669-7857</w:t>
      </w:r>
    </w:p>
    <w:p w:rsidR="008445D7" w:rsidRPr="007D3423" w:rsidRDefault="008445D7" w:rsidP="008445D7">
      <w:pPr>
        <w:pStyle w:val="ListParagraph"/>
        <w:ind w:left="360"/>
      </w:pPr>
    </w:p>
    <w:p w:rsidR="008445D7" w:rsidRDefault="008445D7" w:rsidP="008445D7">
      <w:pPr>
        <w:pStyle w:val="ListParagraph"/>
        <w:ind w:left="360"/>
        <w:rPr>
          <w:b/>
        </w:rPr>
      </w:pPr>
      <w:r>
        <w:rPr>
          <w:b/>
        </w:rPr>
        <w:t>Attachment:</w:t>
      </w:r>
    </w:p>
    <w:p w:rsidR="008445D7" w:rsidRDefault="008445D7" w:rsidP="008445D7">
      <w:pPr>
        <w:pStyle w:val="ListParagraph"/>
        <w:ind w:left="360"/>
        <w:rPr>
          <w:b/>
        </w:rPr>
      </w:pPr>
    </w:p>
    <w:p w:rsidR="008445D7" w:rsidRDefault="008445D7" w:rsidP="008445D7">
      <w:pPr>
        <w:pStyle w:val="ListParagraph"/>
        <w:ind w:left="360"/>
        <w:rPr>
          <w:b/>
        </w:rPr>
      </w:pPr>
      <w:r>
        <w:rPr>
          <w:b/>
        </w:rPr>
        <w:t>Survey</w:t>
      </w:r>
      <w:bookmarkStart w:id="1" w:name="_GoBack"/>
      <w:bookmarkEnd w:id="1"/>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8445D7">
      <w:pPr>
        <w:pStyle w:val="ListParagraph"/>
        <w:ind w:left="360"/>
        <w:rPr>
          <w:b/>
        </w:rPr>
      </w:pPr>
    </w:p>
    <w:p w:rsidR="008445D7" w:rsidRDefault="008445D7" w:rsidP="00BC23C5">
      <w:pPr>
        <w:pStyle w:val="ListParagraph"/>
        <w:ind w:left="0"/>
        <w:rPr>
          <w:b/>
        </w:rPr>
      </w:pPr>
    </w:p>
    <w:sectPr w:rsidR="008445D7"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E23" w:rsidRDefault="00903E23">
      <w:r>
        <w:separator/>
      </w:r>
    </w:p>
  </w:endnote>
  <w:endnote w:type="continuationSeparator" w:id="0">
    <w:p w:rsidR="00903E23" w:rsidRDefault="0090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E23" w:rsidRDefault="00903E2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D3423">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E23" w:rsidRDefault="00903E23">
      <w:r>
        <w:separator/>
      </w:r>
    </w:p>
  </w:footnote>
  <w:footnote w:type="continuationSeparator" w:id="0">
    <w:p w:rsidR="00903E23" w:rsidRDefault="00903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E23" w:rsidRDefault="00903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18413E"/>
    <w:multiLevelType w:val="hybridMultilevel"/>
    <w:tmpl w:val="3828D3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3"/>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4"/>
  </w:num>
  <w:num w:numId="18">
    <w:abstractNumId w:val="6"/>
  </w:num>
  <w:num w:numId="19">
    <w:abstractNumId w:val="13"/>
  </w:num>
  <w:num w:numId="20">
    <w:abstractNumId w:val="17"/>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23A57"/>
    <w:rsid w:val="00047A64"/>
    <w:rsid w:val="00067329"/>
    <w:rsid w:val="000B2838"/>
    <w:rsid w:val="000B6D9D"/>
    <w:rsid w:val="000D44CA"/>
    <w:rsid w:val="000E200B"/>
    <w:rsid w:val="000F68BE"/>
    <w:rsid w:val="00157D98"/>
    <w:rsid w:val="001927A4"/>
    <w:rsid w:val="00194AC6"/>
    <w:rsid w:val="001A23B0"/>
    <w:rsid w:val="001A25CC"/>
    <w:rsid w:val="001B0AAA"/>
    <w:rsid w:val="001B3956"/>
    <w:rsid w:val="001C39F7"/>
    <w:rsid w:val="001F1CA3"/>
    <w:rsid w:val="00203E87"/>
    <w:rsid w:val="00225C38"/>
    <w:rsid w:val="00237B48"/>
    <w:rsid w:val="0024521E"/>
    <w:rsid w:val="00263C3D"/>
    <w:rsid w:val="00274D0B"/>
    <w:rsid w:val="002B3C95"/>
    <w:rsid w:val="002C2D2E"/>
    <w:rsid w:val="002D0B92"/>
    <w:rsid w:val="002F5C81"/>
    <w:rsid w:val="00357AD4"/>
    <w:rsid w:val="003D5BBE"/>
    <w:rsid w:val="003E3C61"/>
    <w:rsid w:val="003F1C5B"/>
    <w:rsid w:val="00400920"/>
    <w:rsid w:val="00434E33"/>
    <w:rsid w:val="00441434"/>
    <w:rsid w:val="0045264C"/>
    <w:rsid w:val="004872C1"/>
    <w:rsid w:val="004876EC"/>
    <w:rsid w:val="004C290D"/>
    <w:rsid w:val="004D6E14"/>
    <w:rsid w:val="005009B0"/>
    <w:rsid w:val="00591FCE"/>
    <w:rsid w:val="005A1006"/>
    <w:rsid w:val="005A382C"/>
    <w:rsid w:val="005D62F2"/>
    <w:rsid w:val="005E714A"/>
    <w:rsid w:val="006140A0"/>
    <w:rsid w:val="00636621"/>
    <w:rsid w:val="00642B49"/>
    <w:rsid w:val="006832D9"/>
    <w:rsid w:val="0069403B"/>
    <w:rsid w:val="006A680D"/>
    <w:rsid w:val="006D0FFF"/>
    <w:rsid w:val="006F3DDE"/>
    <w:rsid w:val="00704678"/>
    <w:rsid w:val="007425E7"/>
    <w:rsid w:val="00777C92"/>
    <w:rsid w:val="007D1731"/>
    <w:rsid w:val="007D3423"/>
    <w:rsid w:val="00802607"/>
    <w:rsid w:val="00805535"/>
    <w:rsid w:val="00806F2B"/>
    <w:rsid w:val="008101A5"/>
    <w:rsid w:val="00822664"/>
    <w:rsid w:val="00843796"/>
    <w:rsid w:val="008445D7"/>
    <w:rsid w:val="00895229"/>
    <w:rsid w:val="008A5CB4"/>
    <w:rsid w:val="008E1814"/>
    <w:rsid w:val="008F0203"/>
    <w:rsid w:val="008F33C4"/>
    <w:rsid w:val="008F50D4"/>
    <w:rsid w:val="00903E23"/>
    <w:rsid w:val="00916E6D"/>
    <w:rsid w:val="009202FB"/>
    <w:rsid w:val="009239AA"/>
    <w:rsid w:val="00935ADA"/>
    <w:rsid w:val="00946B6C"/>
    <w:rsid w:val="00955A71"/>
    <w:rsid w:val="0096108F"/>
    <w:rsid w:val="00964EA6"/>
    <w:rsid w:val="009721E6"/>
    <w:rsid w:val="009724AE"/>
    <w:rsid w:val="009C13B9"/>
    <w:rsid w:val="009D01A2"/>
    <w:rsid w:val="009E4B0D"/>
    <w:rsid w:val="009F5923"/>
    <w:rsid w:val="009F66AC"/>
    <w:rsid w:val="00A403BB"/>
    <w:rsid w:val="00A43A0C"/>
    <w:rsid w:val="00A623C3"/>
    <w:rsid w:val="00A674DF"/>
    <w:rsid w:val="00A83AA6"/>
    <w:rsid w:val="00AC3BEF"/>
    <w:rsid w:val="00AE1809"/>
    <w:rsid w:val="00B51F57"/>
    <w:rsid w:val="00B80D76"/>
    <w:rsid w:val="00BA2105"/>
    <w:rsid w:val="00BA7E06"/>
    <w:rsid w:val="00BB43B5"/>
    <w:rsid w:val="00BB4D7F"/>
    <w:rsid w:val="00BB6219"/>
    <w:rsid w:val="00BC23C5"/>
    <w:rsid w:val="00BD0A7D"/>
    <w:rsid w:val="00BD290F"/>
    <w:rsid w:val="00C14CC4"/>
    <w:rsid w:val="00C166C2"/>
    <w:rsid w:val="00C32735"/>
    <w:rsid w:val="00C33C52"/>
    <w:rsid w:val="00C40D8B"/>
    <w:rsid w:val="00C8407A"/>
    <w:rsid w:val="00C8427A"/>
    <w:rsid w:val="00C8488C"/>
    <w:rsid w:val="00C86E91"/>
    <w:rsid w:val="00CA2650"/>
    <w:rsid w:val="00CB1078"/>
    <w:rsid w:val="00CC6FAF"/>
    <w:rsid w:val="00D24698"/>
    <w:rsid w:val="00D6383F"/>
    <w:rsid w:val="00DB59D0"/>
    <w:rsid w:val="00DC33D3"/>
    <w:rsid w:val="00DE364B"/>
    <w:rsid w:val="00E14D82"/>
    <w:rsid w:val="00E2468B"/>
    <w:rsid w:val="00E26329"/>
    <w:rsid w:val="00E40B50"/>
    <w:rsid w:val="00E50293"/>
    <w:rsid w:val="00E65FFC"/>
    <w:rsid w:val="00E74051"/>
    <w:rsid w:val="00E80951"/>
    <w:rsid w:val="00E854FE"/>
    <w:rsid w:val="00E86CC6"/>
    <w:rsid w:val="00EB451F"/>
    <w:rsid w:val="00EB56B3"/>
    <w:rsid w:val="00ED6492"/>
    <w:rsid w:val="00EF2095"/>
    <w:rsid w:val="00F06866"/>
    <w:rsid w:val="00F15956"/>
    <w:rsid w:val="00F24CFC"/>
    <w:rsid w:val="00F2709B"/>
    <w:rsid w:val="00F3170F"/>
    <w:rsid w:val="00F6093A"/>
    <w:rsid w:val="00F976B0"/>
    <w:rsid w:val="00FA6DE7"/>
    <w:rsid w:val="00FB0BD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locked/>
    <w:rsid w:val="00FA6DE7"/>
    <w:rPr>
      <w:rFonts w:ascii="Tahoma" w:hAnsi="Tahoma" w:cs="Tahoma"/>
      <w:sz w:val="16"/>
      <w:szCs w:val="16"/>
    </w:rPr>
  </w:style>
  <w:style w:type="character" w:styleId="CommentReference">
    <w:name w:val="annotation reference"/>
    <w:basedOn w:val="DefaultParagraphFont"/>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basedOn w:val="DefaultParagraphFont"/>
    <w:rsid w:val="00916E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054814030">
      <w:bodyDiv w:val="1"/>
      <w:marLeft w:val="0"/>
      <w:marRight w:val="0"/>
      <w:marTop w:val="0"/>
      <w:marBottom w:val="0"/>
      <w:divBdr>
        <w:top w:val="none" w:sz="0" w:space="0" w:color="auto"/>
        <w:left w:val="none" w:sz="0" w:space="0" w:color="auto"/>
        <w:bottom w:val="none" w:sz="0" w:space="0" w:color="auto"/>
        <w:right w:val="none" w:sz="0" w:space="0" w:color="auto"/>
      </w:divBdr>
      <w:divsChild>
        <w:div w:id="240452343">
          <w:marLeft w:val="0"/>
          <w:marRight w:val="0"/>
          <w:marTop w:val="30"/>
          <w:marBottom w:val="30"/>
          <w:divBdr>
            <w:top w:val="none" w:sz="0" w:space="0" w:color="auto"/>
            <w:left w:val="none" w:sz="0" w:space="0" w:color="auto"/>
            <w:bottom w:val="none" w:sz="0" w:space="0" w:color="auto"/>
            <w:right w:val="none" w:sz="0" w:space="0" w:color="auto"/>
          </w:divBdr>
          <w:divsChild>
            <w:div w:id="508636657">
              <w:marLeft w:val="150"/>
              <w:marRight w:val="150"/>
              <w:marTop w:val="180"/>
              <w:marBottom w:val="0"/>
              <w:divBdr>
                <w:top w:val="none" w:sz="0" w:space="0" w:color="auto"/>
                <w:left w:val="none" w:sz="0" w:space="0" w:color="auto"/>
                <w:bottom w:val="none" w:sz="0" w:space="0" w:color="auto"/>
                <w:right w:val="none" w:sz="0" w:space="0" w:color="auto"/>
              </w:divBdr>
              <w:divsChild>
                <w:div w:id="166604021">
                  <w:marLeft w:val="0"/>
                  <w:marRight w:val="0"/>
                  <w:marTop w:val="0"/>
                  <w:marBottom w:val="0"/>
                  <w:divBdr>
                    <w:top w:val="none" w:sz="0" w:space="0" w:color="auto"/>
                    <w:left w:val="none" w:sz="0" w:space="0" w:color="auto"/>
                    <w:bottom w:val="none" w:sz="0" w:space="0" w:color="auto"/>
                    <w:right w:val="none" w:sz="0" w:space="0" w:color="auto"/>
                  </w:divBdr>
                </w:div>
                <w:div w:id="434982238">
                  <w:marLeft w:val="0"/>
                  <w:marRight w:val="0"/>
                  <w:marTop w:val="0"/>
                  <w:marBottom w:val="0"/>
                  <w:divBdr>
                    <w:top w:val="none" w:sz="0" w:space="0" w:color="auto"/>
                    <w:left w:val="none" w:sz="0" w:space="0" w:color="auto"/>
                    <w:bottom w:val="none" w:sz="0" w:space="0" w:color="auto"/>
                    <w:right w:val="none" w:sz="0" w:space="0" w:color="auto"/>
                  </w:divBdr>
                </w:div>
                <w:div w:id="980890588">
                  <w:marLeft w:val="0"/>
                  <w:marRight w:val="0"/>
                  <w:marTop w:val="0"/>
                  <w:marBottom w:val="0"/>
                  <w:divBdr>
                    <w:top w:val="none" w:sz="0" w:space="0" w:color="auto"/>
                    <w:left w:val="none" w:sz="0" w:space="0" w:color="auto"/>
                    <w:bottom w:val="none" w:sz="0" w:space="0" w:color="auto"/>
                    <w:right w:val="none" w:sz="0" w:space="0" w:color="auto"/>
                  </w:divBdr>
                </w:div>
                <w:div w:id="187500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4681</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5492</CharactersWithSpaces>
  <SharedDoc>false</SharedDoc>
  <HLinks>
    <vt:vector size="6" baseType="variant">
      <vt:variant>
        <vt:i4>6750298</vt:i4>
      </vt:variant>
      <vt:variant>
        <vt:i4>0</vt:i4>
      </vt:variant>
      <vt:variant>
        <vt:i4>0</vt:i4>
      </vt:variant>
      <vt:variant>
        <vt:i4>5</vt:i4>
      </vt:variant>
      <vt:variant>
        <vt:lpwstr>mailto:jeffrey.w.gray@irs.gov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2</cp:revision>
  <cp:lastPrinted>2011-06-16T18:42:00Z</cp:lastPrinted>
  <dcterms:created xsi:type="dcterms:W3CDTF">2013-08-27T15:08:00Z</dcterms:created>
  <dcterms:modified xsi:type="dcterms:W3CDTF">2013-08-27T15:08:00Z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