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B6E" w:rsidRDefault="00326B6E" w:rsidP="00592CDD">
      <w:pPr>
        <w:spacing w:after="240" w:line="240" w:lineRule="auto"/>
        <w:jc w:val="center"/>
        <w:rPr>
          <w:b/>
        </w:rPr>
      </w:pPr>
      <w:r>
        <w:rPr>
          <w:b/>
        </w:rPr>
        <w:t>Assessing Fina</w:t>
      </w:r>
      <w:r w:rsidR="00B362CC">
        <w:rPr>
          <w:b/>
        </w:rPr>
        <w:t>ncial Capability Outcomes Pilot</w:t>
      </w:r>
    </w:p>
    <w:p w:rsidR="000C6803" w:rsidRDefault="000C6803" w:rsidP="00592CDD">
      <w:pPr>
        <w:spacing w:after="240" w:line="240" w:lineRule="auto"/>
        <w:jc w:val="center"/>
        <w:rPr>
          <w:b/>
        </w:rPr>
      </w:pPr>
      <w:r>
        <w:rPr>
          <w:b/>
        </w:rPr>
        <w:t>PRA Submission Supporting Materials</w:t>
      </w:r>
    </w:p>
    <w:p w:rsidR="00326B6E" w:rsidRDefault="00B362CC" w:rsidP="000C6803">
      <w:pPr>
        <w:spacing w:after="240" w:line="240" w:lineRule="auto"/>
        <w:rPr>
          <w:b/>
        </w:rPr>
      </w:pPr>
      <w:r>
        <w:rPr>
          <w:b/>
        </w:rPr>
        <w:t xml:space="preserve">Youth </w:t>
      </w:r>
      <w:r w:rsidR="00326B6E">
        <w:rPr>
          <w:b/>
        </w:rPr>
        <w:t xml:space="preserve">Survey Question </w:t>
      </w:r>
      <w:r>
        <w:rPr>
          <w:b/>
        </w:rPr>
        <w:t xml:space="preserve">Justification and </w:t>
      </w:r>
      <w:r w:rsidR="00326B6E">
        <w:rPr>
          <w:b/>
        </w:rPr>
        <w:t>Sources</w:t>
      </w:r>
    </w:p>
    <w:p w:rsidR="00B362CC" w:rsidRDefault="00B362CC" w:rsidP="001605F9">
      <w:pPr>
        <w:spacing w:after="240" w:line="240" w:lineRule="auto"/>
        <w:rPr>
          <w:color w:val="000000" w:themeColor="text1"/>
        </w:rPr>
      </w:pPr>
      <w:proofErr w:type="gramStart"/>
      <w:r w:rsidRPr="00E939F0">
        <w:rPr>
          <w:b/>
          <w:color w:val="000000" w:themeColor="text1"/>
        </w:rPr>
        <w:t>Question 2</w:t>
      </w:r>
      <w:r>
        <w:rPr>
          <w:color w:val="000000" w:themeColor="text1"/>
        </w:rPr>
        <w:t>.</w:t>
      </w:r>
      <w:proofErr w:type="gramEnd"/>
      <w:r>
        <w:rPr>
          <w:color w:val="000000" w:themeColor="text1"/>
        </w:rPr>
        <w:t xml:space="preserve"> </w:t>
      </w:r>
    </w:p>
    <w:p w:rsidR="00B362CC" w:rsidRDefault="00E939F0" w:rsidP="001605F9">
      <w:pPr>
        <w:spacing w:after="240" w:line="240" w:lineRule="auto"/>
        <w:rPr>
          <w:color w:val="000000" w:themeColor="text1"/>
        </w:rPr>
      </w:pPr>
      <w:r>
        <w:rPr>
          <w:color w:val="000000" w:themeColor="text1"/>
        </w:rPr>
        <w:t>We will compare the responses to this question back to administrative data we are collecting on student account balances to measure student awareness of accounts.</w:t>
      </w:r>
      <w:r w:rsidR="001C560E">
        <w:rPr>
          <w:color w:val="000000" w:themeColor="text1"/>
        </w:rPr>
        <w:t xml:space="preserve"> </w:t>
      </w:r>
    </w:p>
    <w:p w:rsidR="00E939F0" w:rsidRDefault="00E939F0" w:rsidP="001605F9">
      <w:pPr>
        <w:spacing w:after="240" w:line="240" w:lineRule="auto"/>
        <w:rPr>
          <w:color w:val="000000" w:themeColor="text1"/>
        </w:rPr>
      </w:pPr>
      <w:proofErr w:type="gramStart"/>
      <w:r w:rsidRPr="00E939F0">
        <w:rPr>
          <w:b/>
          <w:color w:val="000000" w:themeColor="text1"/>
        </w:rPr>
        <w:t>Question 5</w:t>
      </w:r>
      <w:r>
        <w:rPr>
          <w:color w:val="000000" w:themeColor="text1"/>
        </w:rPr>
        <w:t>.</w:t>
      </w:r>
      <w:proofErr w:type="gramEnd"/>
      <w:r>
        <w:rPr>
          <w:color w:val="000000" w:themeColor="text1"/>
        </w:rPr>
        <w:t xml:space="preserve"> </w:t>
      </w:r>
    </w:p>
    <w:p w:rsidR="00B362CC" w:rsidRDefault="00113162" w:rsidP="001605F9">
      <w:pPr>
        <w:spacing w:after="240" w:line="240" w:lineRule="auto"/>
        <w:rPr>
          <w:color w:val="000000" w:themeColor="text1"/>
        </w:rPr>
      </w:pPr>
      <w:r>
        <w:rPr>
          <w:color w:val="000000" w:themeColor="text1"/>
        </w:rPr>
        <w:t xml:space="preserve">There is a growing body of research on children’s understanding of college, savings and the connection between the two. </w:t>
      </w:r>
      <w:r w:rsidR="004D3DD7">
        <w:rPr>
          <w:color w:val="000000" w:themeColor="text1"/>
        </w:rPr>
        <w:t xml:space="preserve">There is evidence that children understand the idea of the future by the age of three as well as the idea of their future selves by the ages of four and five. </w:t>
      </w:r>
      <w:proofErr w:type="gramStart"/>
      <w:r w:rsidR="003A2AAF">
        <w:rPr>
          <w:color w:val="000000" w:themeColor="text1"/>
        </w:rPr>
        <w:t>(</w:t>
      </w:r>
      <w:proofErr w:type="spellStart"/>
      <w:r w:rsidR="003A2AAF">
        <w:rPr>
          <w:color w:val="000000" w:themeColor="text1"/>
        </w:rPr>
        <w:t>Oyserman</w:t>
      </w:r>
      <w:proofErr w:type="spellEnd"/>
      <w:r w:rsidR="003A2AAF">
        <w:rPr>
          <w:color w:val="000000" w:themeColor="text1"/>
        </w:rPr>
        <w:t xml:space="preserve"> 2012).</w:t>
      </w:r>
      <w:proofErr w:type="gramEnd"/>
      <w:r w:rsidR="003A2AAF">
        <w:rPr>
          <w:color w:val="000000" w:themeColor="text1"/>
        </w:rPr>
        <w:t xml:space="preserve"> Interviews with 2</w:t>
      </w:r>
      <w:r w:rsidR="003A2AAF" w:rsidRPr="003A2AAF">
        <w:rPr>
          <w:color w:val="000000" w:themeColor="text1"/>
          <w:vertAlign w:val="superscript"/>
        </w:rPr>
        <w:t>nd</w:t>
      </w:r>
      <w:r w:rsidR="003A2AAF">
        <w:rPr>
          <w:color w:val="000000" w:themeColor="text1"/>
        </w:rPr>
        <w:t xml:space="preserve"> and 4</w:t>
      </w:r>
      <w:r w:rsidR="003A2AAF" w:rsidRPr="003A2AAF">
        <w:rPr>
          <w:color w:val="000000" w:themeColor="text1"/>
          <w:vertAlign w:val="superscript"/>
        </w:rPr>
        <w:t>th</w:t>
      </w:r>
      <w:r w:rsidR="003A2AAF">
        <w:rPr>
          <w:color w:val="000000" w:themeColor="text1"/>
        </w:rPr>
        <w:t xml:space="preserve"> graders suggested that students had a fairly sophisticated understanding of college and many understood that saving was a way to finance college</w:t>
      </w:r>
      <w:r w:rsidR="003644AE">
        <w:rPr>
          <w:color w:val="000000" w:themeColor="text1"/>
        </w:rPr>
        <w:t xml:space="preserve"> (Elliott, et al.</w:t>
      </w:r>
      <w:r w:rsidR="003A2AAF">
        <w:rPr>
          <w:color w:val="000000" w:themeColor="text1"/>
        </w:rPr>
        <w:t xml:space="preserve"> 2010)</w:t>
      </w:r>
      <w:r w:rsidR="00D90869">
        <w:rPr>
          <w:color w:val="000000" w:themeColor="text1"/>
        </w:rPr>
        <w:t xml:space="preserve">. Saving money towards the college may be a way to help students connect their present actions to their future goals: </w:t>
      </w:r>
    </w:p>
    <w:p w:rsidR="000F3451" w:rsidRDefault="00D90869" w:rsidP="000F3451">
      <w:pPr>
        <w:spacing w:after="0" w:line="240" w:lineRule="auto"/>
        <w:ind w:left="720" w:right="720"/>
        <w:rPr>
          <w:color w:val="000000" w:themeColor="text1"/>
        </w:rPr>
      </w:pPr>
      <w:r w:rsidRPr="00D90869">
        <w:rPr>
          <w:color w:val="000000" w:themeColor="text1"/>
        </w:rPr>
        <w:t xml:space="preserve">First, the act of saving now for a later </w:t>
      </w:r>
      <w:proofErr w:type="spellStart"/>
      <w:r w:rsidRPr="00D90869">
        <w:rPr>
          <w:color w:val="000000" w:themeColor="text1"/>
        </w:rPr>
        <w:t>collegebound</w:t>
      </w:r>
      <w:proofErr w:type="spellEnd"/>
      <w:r>
        <w:rPr>
          <w:color w:val="000000" w:themeColor="text1"/>
        </w:rPr>
        <w:t xml:space="preserve"> </w:t>
      </w:r>
      <w:r w:rsidRPr="00D90869">
        <w:rPr>
          <w:color w:val="000000" w:themeColor="text1"/>
        </w:rPr>
        <w:t>self implies that it future is near enough that current</w:t>
      </w:r>
      <w:r>
        <w:rPr>
          <w:color w:val="000000" w:themeColor="text1"/>
        </w:rPr>
        <w:t xml:space="preserve"> </w:t>
      </w:r>
      <w:r w:rsidRPr="00D90869">
        <w:rPr>
          <w:color w:val="000000" w:themeColor="text1"/>
        </w:rPr>
        <w:t>action is needed. This should improve chances of children</w:t>
      </w:r>
      <w:r>
        <w:rPr>
          <w:color w:val="000000" w:themeColor="text1"/>
        </w:rPr>
        <w:t xml:space="preserve"> </w:t>
      </w:r>
      <w:r w:rsidRPr="00D90869">
        <w:rPr>
          <w:color w:val="000000" w:themeColor="text1"/>
        </w:rPr>
        <w:t>spending time on homework as well as their engagement</w:t>
      </w:r>
      <w:r>
        <w:rPr>
          <w:color w:val="000000" w:themeColor="text1"/>
        </w:rPr>
        <w:t xml:space="preserve"> </w:t>
      </w:r>
      <w:r w:rsidRPr="00D90869">
        <w:rPr>
          <w:color w:val="000000" w:themeColor="text1"/>
        </w:rPr>
        <w:t xml:space="preserve">in classroom </w:t>
      </w:r>
      <w:proofErr w:type="gramStart"/>
      <w:r w:rsidRPr="00D90869">
        <w:rPr>
          <w:color w:val="000000" w:themeColor="text1"/>
        </w:rPr>
        <w:t>activities</w:t>
      </w:r>
      <w:proofErr w:type="gramEnd"/>
      <w:r w:rsidRPr="00D90869">
        <w:rPr>
          <w:color w:val="000000" w:themeColor="text1"/>
        </w:rPr>
        <w:t>. Second, the act of saving now for a</w:t>
      </w:r>
      <w:r>
        <w:rPr>
          <w:color w:val="000000" w:themeColor="text1"/>
        </w:rPr>
        <w:t xml:space="preserve"> </w:t>
      </w:r>
      <w:r w:rsidRPr="00D90869">
        <w:rPr>
          <w:color w:val="000000" w:themeColor="text1"/>
        </w:rPr>
        <w:t>later college-bound self is not easy but implies that the</w:t>
      </w:r>
      <w:r>
        <w:rPr>
          <w:color w:val="000000" w:themeColor="text1"/>
        </w:rPr>
        <w:t xml:space="preserve"> </w:t>
      </w:r>
      <w:r w:rsidRPr="00D90869">
        <w:rPr>
          <w:color w:val="000000" w:themeColor="text1"/>
        </w:rPr>
        <w:t>future college-bound self is an important goal. This should</w:t>
      </w:r>
      <w:r>
        <w:rPr>
          <w:color w:val="000000" w:themeColor="text1"/>
        </w:rPr>
        <w:t xml:space="preserve"> </w:t>
      </w:r>
      <w:r w:rsidRPr="00D90869">
        <w:rPr>
          <w:color w:val="000000" w:themeColor="text1"/>
        </w:rPr>
        <w:t>improve chances of children persisting on difficult school</w:t>
      </w:r>
      <w:r>
        <w:rPr>
          <w:color w:val="000000" w:themeColor="text1"/>
        </w:rPr>
        <w:t xml:space="preserve"> </w:t>
      </w:r>
      <w:r w:rsidRPr="00D90869">
        <w:rPr>
          <w:color w:val="000000" w:themeColor="text1"/>
        </w:rPr>
        <w:t xml:space="preserve">tasks. Third, the act of saving now for a future </w:t>
      </w:r>
      <w:proofErr w:type="spellStart"/>
      <w:r w:rsidRPr="00D90869">
        <w:rPr>
          <w:color w:val="000000" w:themeColor="text1"/>
        </w:rPr>
        <w:t>collegebound</w:t>
      </w:r>
      <w:proofErr w:type="spellEnd"/>
      <w:r>
        <w:rPr>
          <w:color w:val="000000" w:themeColor="text1"/>
        </w:rPr>
        <w:t xml:space="preserve"> </w:t>
      </w:r>
      <w:r w:rsidRPr="00D90869">
        <w:rPr>
          <w:color w:val="000000" w:themeColor="text1"/>
        </w:rPr>
        <w:t>self implies that people like oneself can get ahead,</w:t>
      </w:r>
      <w:r>
        <w:rPr>
          <w:color w:val="000000" w:themeColor="text1"/>
        </w:rPr>
        <w:t xml:space="preserve"> </w:t>
      </w:r>
      <w:r w:rsidRPr="00D90869">
        <w:rPr>
          <w:color w:val="000000" w:themeColor="text1"/>
        </w:rPr>
        <w:t>making strategies for persisting school more likely to come</w:t>
      </w:r>
      <w:r>
        <w:rPr>
          <w:color w:val="000000" w:themeColor="text1"/>
        </w:rPr>
        <w:t xml:space="preserve"> </w:t>
      </w:r>
      <w:r w:rsidRPr="00D90869">
        <w:rPr>
          <w:color w:val="000000" w:themeColor="text1"/>
        </w:rPr>
        <w:t>to mind.</w:t>
      </w:r>
      <w:r w:rsidR="000F3451">
        <w:rPr>
          <w:color w:val="000000" w:themeColor="text1"/>
        </w:rPr>
        <w:t xml:space="preserve"> </w:t>
      </w:r>
    </w:p>
    <w:p w:rsidR="000F3451" w:rsidRDefault="003644AE" w:rsidP="000F3451">
      <w:pPr>
        <w:spacing w:after="0" w:line="240" w:lineRule="auto"/>
        <w:ind w:left="720" w:right="720"/>
        <w:jc w:val="right"/>
        <w:rPr>
          <w:color w:val="000000" w:themeColor="text1"/>
        </w:rPr>
      </w:pPr>
      <w:r>
        <w:rPr>
          <w:color w:val="000000" w:themeColor="text1"/>
        </w:rPr>
        <w:t>(</w:t>
      </w:r>
      <w:proofErr w:type="spellStart"/>
      <w:r w:rsidR="000F3451">
        <w:rPr>
          <w:color w:val="000000" w:themeColor="text1"/>
        </w:rPr>
        <w:t>Oyserman</w:t>
      </w:r>
      <w:proofErr w:type="spellEnd"/>
      <w:r w:rsidR="000F3451">
        <w:rPr>
          <w:color w:val="000000" w:themeColor="text1"/>
        </w:rPr>
        <w:t>, 2012</w:t>
      </w:r>
      <w:r>
        <w:rPr>
          <w:color w:val="000000" w:themeColor="text1"/>
        </w:rPr>
        <w:t>)</w:t>
      </w:r>
    </w:p>
    <w:p w:rsidR="000F3451" w:rsidRDefault="000F3451" w:rsidP="000F3451">
      <w:pPr>
        <w:spacing w:after="0" w:line="240" w:lineRule="auto"/>
        <w:ind w:left="720" w:right="720"/>
        <w:jc w:val="right"/>
        <w:rPr>
          <w:color w:val="000000" w:themeColor="text1"/>
        </w:rPr>
      </w:pPr>
    </w:p>
    <w:p w:rsidR="00B362CC" w:rsidRPr="003644AE" w:rsidRDefault="000F3451" w:rsidP="001605F9">
      <w:pPr>
        <w:spacing w:after="240" w:line="240" w:lineRule="auto"/>
        <w:rPr>
          <w:i/>
          <w:color w:val="000000" w:themeColor="text1"/>
        </w:rPr>
      </w:pPr>
      <w:r w:rsidRPr="003644AE">
        <w:rPr>
          <w:i/>
          <w:color w:val="000000" w:themeColor="text1"/>
        </w:rPr>
        <w:t>Citations</w:t>
      </w:r>
    </w:p>
    <w:p w:rsidR="000F3451" w:rsidRPr="003644AE" w:rsidRDefault="000F3451" w:rsidP="003644AE">
      <w:pPr>
        <w:pStyle w:val="ListParagraph"/>
        <w:numPr>
          <w:ilvl w:val="0"/>
          <w:numId w:val="3"/>
        </w:numPr>
        <w:spacing w:after="240" w:line="240" w:lineRule="auto"/>
        <w:contextualSpacing w:val="0"/>
        <w:rPr>
          <w:rFonts w:ascii="Times New Roman" w:hAnsi="Times New Roman" w:cs="Times New Roman"/>
          <w:sz w:val="24"/>
          <w:szCs w:val="24"/>
        </w:rPr>
      </w:pPr>
      <w:proofErr w:type="spellStart"/>
      <w:r w:rsidRPr="003644AE">
        <w:rPr>
          <w:rFonts w:ascii="Times New Roman" w:hAnsi="Times New Roman" w:cs="Times New Roman"/>
          <w:sz w:val="24"/>
          <w:szCs w:val="24"/>
        </w:rPr>
        <w:t>Oyserman</w:t>
      </w:r>
      <w:proofErr w:type="spellEnd"/>
      <w:r w:rsidRPr="003644AE">
        <w:rPr>
          <w:rFonts w:ascii="Times New Roman" w:hAnsi="Times New Roman" w:cs="Times New Roman"/>
          <w:sz w:val="24"/>
          <w:szCs w:val="24"/>
        </w:rPr>
        <w:t xml:space="preserve">, D. 2012. Not Just Any Path: Implications of Identity-Based Motivation for </w:t>
      </w:r>
      <w:proofErr w:type="spellStart"/>
      <w:r w:rsidRPr="003644AE">
        <w:rPr>
          <w:rFonts w:ascii="Times New Roman" w:hAnsi="Times New Roman" w:cs="Times New Roman"/>
          <w:sz w:val="24"/>
          <w:szCs w:val="24"/>
        </w:rPr>
        <w:t>Dispartities</w:t>
      </w:r>
      <w:proofErr w:type="spellEnd"/>
      <w:r w:rsidRPr="003644AE">
        <w:rPr>
          <w:rFonts w:ascii="Times New Roman" w:hAnsi="Times New Roman" w:cs="Times New Roman"/>
          <w:sz w:val="24"/>
          <w:szCs w:val="24"/>
        </w:rPr>
        <w:t xml:space="preserve"> in School Outcomes. </w:t>
      </w:r>
      <w:r w:rsidRPr="00DE2928">
        <w:rPr>
          <w:rFonts w:ascii="Times New Roman" w:hAnsi="Times New Roman" w:cs="Times New Roman"/>
          <w:i/>
          <w:sz w:val="24"/>
          <w:szCs w:val="24"/>
        </w:rPr>
        <w:t>Economics of Education Review</w:t>
      </w:r>
      <w:r w:rsidR="00DE2928">
        <w:rPr>
          <w:rFonts w:ascii="Times New Roman" w:hAnsi="Times New Roman" w:cs="Times New Roman"/>
          <w:i/>
          <w:sz w:val="24"/>
          <w:szCs w:val="24"/>
        </w:rPr>
        <w:t>.</w:t>
      </w:r>
      <w:r w:rsidRPr="003644AE">
        <w:rPr>
          <w:rFonts w:ascii="Times New Roman" w:hAnsi="Times New Roman" w:cs="Times New Roman"/>
          <w:sz w:val="24"/>
          <w:szCs w:val="24"/>
        </w:rPr>
        <w:t xml:space="preserve"> </w:t>
      </w:r>
      <w:hyperlink r:id="rId6" w:history="1">
        <w:r w:rsidRPr="003644AE">
          <w:rPr>
            <w:rFonts w:ascii="Times New Roman" w:hAnsi="Times New Roman" w:cs="Times New Roman"/>
            <w:sz w:val="24"/>
            <w:szCs w:val="24"/>
          </w:rPr>
          <w:t>http://dx.doi.org/10.1016/j.econedurev.2012.09.002</w:t>
        </w:r>
      </w:hyperlink>
      <w:r w:rsidRPr="003644AE">
        <w:rPr>
          <w:rFonts w:ascii="Times New Roman" w:hAnsi="Times New Roman" w:cs="Times New Roman"/>
          <w:sz w:val="24"/>
          <w:szCs w:val="24"/>
        </w:rPr>
        <w:t xml:space="preserve"> </w:t>
      </w:r>
    </w:p>
    <w:p w:rsidR="000F3451" w:rsidRPr="003644AE" w:rsidRDefault="003644AE" w:rsidP="003644AE">
      <w:pPr>
        <w:pStyle w:val="ListParagraph"/>
        <w:numPr>
          <w:ilvl w:val="0"/>
          <w:numId w:val="3"/>
        </w:numPr>
        <w:spacing w:after="240" w:line="240" w:lineRule="auto"/>
        <w:contextualSpacing w:val="0"/>
        <w:rPr>
          <w:rFonts w:ascii="Times New Roman" w:hAnsi="Times New Roman" w:cs="Times New Roman"/>
          <w:sz w:val="24"/>
          <w:szCs w:val="24"/>
        </w:rPr>
      </w:pPr>
      <w:r w:rsidRPr="003644AE">
        <w:rPr>
          <w:rFonts w:ascii="Times New Roman" w:hAnsi="Times New Roman" w:cs="Times New Roman"/>
          <w:sz w:val="24"/>
          <w:szCs w:val="24"/>
        </w:rPr>
        <w:t xml:space="preserve">Elliott, W., et al. 2010. Young Children's Perceptions of College and Saving: Potential Role of Child Development Accounts. </w:t>
      </w:r>
      <w:r w:rsidRPr="00DE2928">
        <w:rPr>
          <w:rFonts w:ascii="Times New Roman" w:hAnsi="Times New Roman" w:cs="Times New Roman"/>
          <w:i/>
          <w:sz w:val="24"/>
          <w:szCs w:val="24"/>
        </w:rPr>
        <w:t>Children and Youth Services Review</w:t>
      </w:r>
      <w:r w:rsidRPr="003644AE">
        <w:rPr>
          <w:rFonts w:ascii="Times New Roman" w:hAnsi="Times New Roman" w:cs="Times New Roman"/>
          <w:sz w:val="24"/>
          <w:szCs w:val="24"/>
        </w:rPr>
        <w:t>. 32 (11):1577-1584</w:t>
      </w:r>
      <w:r w:rsidR="00DE2928">
        <w:rPr>
          <w:rFonts w:ascii="Times New Roman" w:hAnsi="Times New Roman" w:cs="Times New Roman"/>
          <w:sz w:val="24"/>
          <w:szCs w:val="24"/>
        </w:rPr>
        <w:t>.</w:t>
      </w:r>
    </w:p>
    <w:p w:rsidR="003644AE" w:rsidRDefault="003644AE" w:rsidP="003644AE">
      <w:pPr>
        <w:spacing w:after="240" w:line="240" w:lineRule="auto"/>
        <w:rPr>
          <w:i/>
          <w:color w:val="000000" w:themeColor="text1"/>
        </w:rPr>
      </w:pPr>
      <w:r w:rsidRPr="003644AE">
        <w:rPr>
          <w:i/>
          <w:color w:val="000000" w:themeColor="text1"/>
        </w:rPr>
        <w:t>Other Related Literature</w:t>
      </w:r>
    </w:p>
    <w:p w:rsidR="003644AE" w:rsidRDefault="00DE2928" w:rsidP="00DE2928">
      <w:pPr>
        <w:pStyle w:val="ListParagraph"/>
        <w:numPr>
          <w:ilvl w:val="0"/>
          <w:numId w:val="5"/>
        </w:numPr>
        <w:spacing w:after="240" w:line="240" w:lineRule="auto"/>
        <w:rPr>
          <w:rFonts w:ascii="Times New Roman" w:hAnsi="Times New Roman" w:cs="Times New Roman"/>
          <w:color w:val="000000" w:themeColor="text1"/>
          <w:sz w:val="24"/>
          <w:szCs w:val="24"/>
        </w:rPr>
      </w:pPr>
      <w:r w:rsidRPr="00DE2928">
        <w:rPr>
          <w:rFonts w:ascii="Times New Roman" w:hAnsi="Times New Roman" w:cs="Times New Roman"/>
          <w:color w:val="000000" w:themeColor="text1"/>
          <w:sz w:val="24"/>
          <w:szCs w:val="24"/>
        </w:rPr>
        <w:t xml:space="preserve">Sherraden, M., et al, 2013. </w:t>
      </w:r>
      <w:r w:rsidR="003644AE" w:rsidRPr="00DE2928">
        <w:rPr>
          <w:rFonts w:ascii="Times New Roman" w:hAnsi="Times New Roman" w:cs="Times New Roman"/>
          <w:color w:val="000000" w:themeColor="text1"/>
          <w:sz w:val="24"/>
          <w:szCs w:val="24"/>
        </w:rPr>
        <w:t>Contributions of Qualitative Research to Understanding Savings for Children and Youth</w:t>
      </w:r>
      <w:r w:rsidRPr="00DE2928">
        <w:rPr>
          <w:rFonts w:ascii="Times New Roman" w:hAnsi="Times New Roman" w:cs="Times New Roman"/>
          <w:color w:val="000000" w:themeColor="text1"/>
          <w:sz w:val="24"/>
          <w:szCs w:val="24"/>
        </w:rPr>
        <w:t xml:space="preserve">. </w:t>
      </w:r>
      <w:r w:rsidRPr="00DE2928">
        <w:rPr>
          <w:rFonts w:ascii="Times New Roman" w:hAnsi="Times New Roman" w:cs="Times New Roman"/>
          <w:i/>
          <w:color w:val="000000" w:themeColor="text1"/>
          <w:sz w:val="24"/>
          <w:szCs w:val="24"/>
        </w:rPr>
        <w:t>Economics of Education Review</w:t>
      </w:r>
      <w:r w:rsidRPr="00DE2928">
        <w:rPr>
          <w:rFonts w:ascii="Times New Roman" w:hAnsi="Times New Roman" w:cs="Times New Roman"/>
          <w:color w:val="000000" w:themeColor="text1"/>
          <w:sz w:val="24"/>
          <w:szCs w:val="24"/>
        </w:rPr>
        <w:t>. 32: 66-77</w:t>
      </w:r>
      <w:r>
        <w:rPr>
          <w:rFonts w:ascii="Times New Roman" w:hAnsi="Times New Roman" w:cs="Times New Roman"/>
          <w:color w:val="000000" w:themeColor="text1"/>
          <w:sz w:val="24"/>
          <w:szCs w:val="24"/>
        </w:rPr>
        <w:t>.</w:t>
      </w:r>
    </w:p>
    <w:p w:rsidR="00DE2928" w:rsidRPr="00DE2928" w:rsidRDefault="00DE2928" w:rsidP="00DE2928">
      <w:pPr>
        <w:pStyle w:val="ListParagraph"/>
        <w:numPr>
          <w:ilvl w:val="0"/>
          <w:numId w:val="5"/>
        </w:numPr>
        <w:spacing w:after="240" w:line="240" w:lineRule="auto"/>
        <w:rPr>
          <w:rFonts w:ascii="Times New Roman" w:hAnsi="Times New Roman" w:cs="Times New Roman"/>
          <w:color w:val="000000" w:themeColor="text1"/>
          <w:sz w:val="24"/>
          <w:szCs w:val="24"/>
        </w:rPr>
      </w:pPr>
      <w:r w:rsidRPr="00DE2928">
        <w:rPr>
          <w:rFonts w:ascii="Times New Roman" w:hAnsi="Times New Roman" w:cs="Times New Roman"/>
          <w:color w:val="000000" w:themeColor="text1"/>
          <w:sz w:val="24"/>
          <w:szCs w:val="24"/>
        </w:rPr>
        <w:t xml:space="preserve">Otto, A. 2012. Saving in childhood and adolescence: Insights from developmental psychology. </w:t>
      </w:r>
      <w:r w:rsidRPr="00DE2928">
        <w:rPr>
          <w:rFonts w:ascii="Times New Roman" w:hAnsi="Times New Roman" w:cs="Times New Roman"/>
          <w:i/>
          <w:color w:val="000000" w:themeColor="text1"/>
          <w:sz w:val="24"/>
          <w:szCs w:val="24"/>
        </w:rPr>
        <w:t>Economics of Education Review</w:t>
      </w:r>
      <w:r>
        <w:rPr>
          <w:rFonts w:ascii="Times New Roman" w:hAnsi="Times New Roman" w:cs="Times New Roman"/>
          <w:i/>
          <w:color w:val="000000" w:themeColor="text1"/>
          <w:sz w:val="24"/>
          <w:szCs w:val="24"/>
        </w:rPr>
        <w:t xml:space="preserve">. </w:t>
      </w:r>
      <w:r w:rsidRPr="00DE2928">
        <w:rPr>
          <w:rFonts w:ascii="Times New Roman" w:hAnsi="Times New Roman" w:cs="Times New Roman"/>
          <w:color w:val="000000" w:themeColor="text1"/>
          <w:sz w:val="24"/>
          <w:szCs w:val="24"/>
        </w:rPr>
        <w:t>http://www.sciencedirect.com/science/article/pii/S0272775712001173</w:t>
      </w:r>
    </w:p>
    <w:p w:rsidR="004D3CA1" w:rsidRPr="000F3451" w:rsidRDefault="004D3CA1" w:rsidP="004D3CA1">
      <w:pPr>
        <w:spacing w:after="240" w:line="240" w:lineRule="auto"/>
        <w:rPr>
          <w:b/>
          <w:color w:val="000000" w:themeColor="text1"/>
        </w:rPr>
      </w:pPr>
      <w:r w:rsidRPr="000F3451">
        <w:rPr>
          <w:b/>
          <w:color w:val="000000" w:themeColor="text1"/>
        </w:rPr>
        <w:lastRenderedPageBreak/>
        <w:t xml:space="preserve">Source for questions </w:t>
      </w:r>
      <w:r>
        <w:rPr>
          <w:b/>
          <w:color w:val="000000" w:themeColor="text1"/>
        </w:rPr>
        <w:t>24, 25, 26, 27</w:t>
      </w:r>
    </w:p>
    <w:p w:rsidR="004D3CA1" w:rsidRPr="001605F9" w:rsidRDefault="004D3CA1" w:rsidP="004D3CA1">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r>
        <w:rPr>
          <w:rFonts w:ascii="Times New Roman" w:hAnsi="Times New Roman" w:cs="Times New Roman"/>
          <w:bCs/>
          <w:sz w:val="24"/>
          <w:szCs w:val="24"/>
        </w:rPr>
        <w:t xml:space="preserve">Otto, A. </w:t>
      </w:r>
      <w:r w:rsidRPr="001605F9">
        <w:rPr>
          <w:rFonts w:ascii="Times New Roman" w:hAnsi="Times New Roman" w:cs="Times New Roman"/>
          <w:bCs/>
          <w:sz w:val="24"/>
          <w:szCs w:val="24"/>
        </w:rPr>
        <w:t xml:space="preserve">2009. The economic psychology of adolescent saving. Unpublished PhD thesis, The Exeter Research and Institutional Content archive (ERIC), University of Exeter </w:t>
      </w:r>
      <w:hyperlink r:id="rId7" w:tgtFrame="_self" w:history="1">
        <w:r w:rsidRPr="001605F9">
          <w:rPr>
            <w:rStyle w:val="Hyperlink"/>
            <w:rFonts w:ascii="Times New Roman" w:hAnsi="Times New Roman" w:cs="Times New Roman"/>
            <w:sz w:val="24"/>
            <w:szCs w:val="24"/>
            <w:lang w:val="nl-NL"/>
          </w:rPr>
          <w:t>http://hdl.handle.net/10036/83873 </w:t>
        </w:r>
      </w:hyperlink>
    </w:p>
    <w:p w:rsidR="00B362CC" w:rsidRPr="000F3451" w:rsidRDefault="00B362CC" w:rsidP="001605F9">
      <w:pPr>
        <w:spacing w:after="240" w:line="240" w:lineRule="auto"/>
        <w:rPr>
          <w:b/>
          <w:color w:val="000000" w:themeColor="text1"/>
        </w:rPr>
      </w:pPr>
      <w:r w:rsidRPr="000F3451">
        <w:rPr>
          <w:b/>
          <w:color w:val="000000" w:themeColor="text1"/>
        </w:rPr>
        <w:t>Source for questions 31, 33, 34</w:t>
      </w:r>
    </w:p>
    <w:p w:rsidR="000F3451" w:rsidRPr="001605F9" w:rsidRDefault="000F3451" w:rsidP="000F3451">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r w:rsidRPr="001605F9">
        <w:rPr>
          <w:rFonts w:ascii="Times New Roman" w:hAnsi="Times New Roman" w:cs="Times New Roman"/>
          <w:sz w:val="24"/>
          <w:szCs w:val="24"/>
        </w:rPr>
        <w:t>Simons</w:t>
      </w:r>
      <w:r w:rsidRPr="001605F9">
        <w:rPr>
          <w:rFonts w:ascii="Cambria Math" w:hAnsi="Cambria Math" w:cs="Cambria Math"/>
          <w:sz w:val="24"/>
          <w:szCs w:val="24"/>
        </w:rPr>
        <w:t>‐</w:t>
      </w:r>
      <w:r w:rsidRPr="001605F9">
        <w:rPr>
          <w:rFonts w:ascii="Times New Roman" w:hAnsi="Times New Roman" w:cs="Times New Roman"/>
          <w:sz w:val="24"/>
          <w:szCs w:val="24"/>
        </w:rPr>
        <w:t xml:space="preserve">Morton, B.G., and A.D. Crump. 2003. Association of Parental Involvement and Social Competence with School Adjustment and Engagement among Sixth Graders. </w:t>
      </w:r>
      <w:r w:rsidRPr="001605F9">
        <w:rPr>
          <w:rFonts w:ascii="Times New Roman" w:hAnsi="Times New Roman" w:cs="Times New Roman"/>
          <w:i/>
          <w:iCs/>
          <w:sz w:val="24"/>
          <w:szCs w:val="24"/>
        </w:rPr>
        <w:t>Journal of School Health</w:t>
      </w:r>
      <w:r w:rsidRPr="001605F9">
        <w:rPr>
          <w:rFonts w:ascii="Times New Roman" w:hAnsi="Times New Roman" w:cs="Times New Roman"/>
          <w:sz w:val="24"/>
          <w:szCs w:val="24"/>
        </w:rPr>
        <w:t xml:space="preserve"> 73 (3):121-126.</w:t>
      </w:r>
    </w:p>
    <w:p w:rsidR="00A04070" w:rsidRPr="001605F9" w:rsidRDefault="00A04070" w:rsidP="001605F9">
      <w:pPr>
        <w:spacing w:after="240" w:line="240" w:lineRule="auto"/>
        <w:rPr>
          <w:color w:val="000000" w:themeColor="text1"/>
        </w:rPr>
      </w:pPr>
      <w:r>
        <w:rPr>
          <w:color w:val="000000" w:themeColor="text1"/>
        </w:rPr>
        <w:t xml:space="preserve">Many </w:t>
      </w:r>
      <w:r w:rsidR="000F3451">
        <w:rPr>
          <w:color w:val="000000" w:themeColor="text1"/>
        </w:rPr>
        <w:t xml:space="preserve">other </w:t>
      </w:r>
      <w:r>
        <w:rPr>
          <w:color w:val="000000" w:themeColor="text1"/>
        </w:rPr>
        <w:t xml:space="preserve">questions </w:t>
      </w:r>
      <w:r w:rsidR="00CA4E2E">
        <w:rPr>
          <w:color w:val="000000" w:themeColor="text1"/>
        </w:rPr>
        <w:t xml:space="preserve">in the survey </w:t>
      </w:r>
      <w:r w:rsidRPr="001605F9">
        <w:rPr>
          <w:color w:val="000000" w:themeColor="text1"/>
        </w:rPr>
        <w:t xml:space="preserve">were taken/adapted from the literature, including: </w:t>
      </w:r>
    </w:p>
    <w:p w:rsidR="00A04070" w:rsidRPr="001605F9" w:rsidRDefault="00C7413D" w:rsidP="001605F9">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r w:rsidRPr="001605F9">
        <w:rPr>
          <w:rFonts w:ascii="Times New Roman" w:hAnsi="Times New Roman" w:cs="Times New Roman"/>
          <w:color w:val="000000" w:themeColor="text1"/>
          <w:sz w:val="24"/>
          <w:szCs w:val="24"/>
        </w:rPr>
        <w:t xml:space="preserve">Lusardi, A., and O. Mitchell. 2007. Financial Literacy and Retirement Preparedness: Evidence and Implications for Financial Education. </w:t>
      </w:r>
      <w:r w:rsidRPr="001605F9">
        <w:rPr>
          <w:rFonts w:ascii="Times New Roman" w:hAnsi="Times New Roman" w:cs="Times New Roman"/>
          <w:i/>
          <w:iCs/>
          <w:color w:val="000000" w:themeColor="text1"/>
          <w:sz w:val="24"/>
          <w:szCs w:val="24"/>
        </w:rPr>
        <w:t>Business Economics</w:t>
      </w:r>
      <w:r w:rsidRPr="001605F9">
        <w:rPr>
          <w:rFonts w:ascii="Times New Roman" w:hAnsi="Times New Roman" w:cs="Times New Roman"/>
          <w:color w:val="000000" w:themeColor="text1"/>
          <w:sz w:val="24"/>
          <w:szCs w:val="24"/>
        </w:rPr>
        <w:t xml:space="preserve"> 42 (1):35-44.</w:t>
      </w:r>
    </w:p>
    <w:p w:rsidR="00265D27" w:rsidRPr="00917D3F" w:rsidRDefault="00265D27" w:rsidP="001605F9">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proofErr w:type="spellStart"/>
      <w:r w:rsidRPr="001605F9">
        <w:rPr>
          <w:rFonts w:ascii="Times New Roman" w:hAnsi="Times New Roman" w:cs="Times New Roman"/>
          <w:sz w:val="24"/>
          <w:szCs w:val="24"/>
        </w:rPr>
        <w:t>Walstad</w:t>
      </w:r>
      <w:proofErr w:type="spellEnd"/>
      <w:r w:rsidRPr="001605F9">
        <w:rPr>
          <w:rFonts w:ascii="Times New Roman" w:hAnsi="Times New Roman" w:cs="Times New Roman"/>
          <w:sz w:val="24"/>
          <w:szCs w:val="24"/>
        </w:rPr>
        <w:t xml:space="preserve">, W.B., and K. Rebeck. 2005. </w:t>
      </w:r>
      <w:r w:rsidRPr="00AE6444">
        <w:rPr>
          <w:rFonts w:ascii="Times New Roman" w:hAnsi="Times New Roman" w:cs="Times New Roman"/>
          <w:i/>
          <w:sz w:val="24"/>
          <w:szCs w:val="24"/>
        </w:rPr>
        <w:t>Financial Fitness for Life Upper Elementary Test Examiner’s Manual: Grades 3–5.</w:t>
      </w:r>
      <w:r w:rsidRPr="001605F9">
        <w:rPr>
          <w:rFonts w:ascii="Times New Roman" w:hAnsi="Times New Roman" w:cs="Times New Roman"/>
          <w:sz w:val="24"/>
          <w:szCs w:val="24"/>
        </w:rPr>
        <w:t xml:space="preserve"> </w:t>
      </w:r>
      <w:r w:rsidRPr="00AE6444">
        <w:rPr>
          <w:rFonts w:ascii="Times New Roman" w:hAnsi="Times New Roman" w:cs="Times New Roman"/>
          <w:iCs/>
          <w:sz w:val="24"/>
          <w:szCs w:val="24"/>
        </w:rPr>
        <w:t>New York: National Council on Economic Education</w:t>
      </w:r>
      <w:r w:rsidRPr="00AE6444">
        <w:rPr>
          <w:rFonts w:ascii="Times New Roman" w:hAnsi="Times New Roman" w:cs="Times New Roman"/>
          <w:sz w:val="24"/>
          <w:szCs w:val="24"/>
        </w:rPr>
        <w:t>.</w:t>
      </w:r>
    </w:p>
    <w:p w:rsidR="008A64AB" w:rsidRDefault="0000742A" w:rsidP="00917D3F">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r w:rsidRPr="0000742A">
        <w:rPr>
          <w:rFonts w:ascii="Times New Roman" w:hAnsi="Times New Roman" w:cs="Times New Roman"/>
          <w:color w:val="000000" w:themeColor="text1"/>
          <w:sz w:val="24"/>
          <w:szCs w:val="24"/>
        </w:rPr>
        <w:t xml:space="preserve">National Education Longitudinal Study: Base Year </w:t>
      </w:r>
      <w:proofErr w:type="gramStart"/>
      <w:r w:rsidRPr="0000742A">
        <w:rPr>
          <w:rFonts w:ascii="Times New Roman" w:hAnsi="Times New Roman" w:cs="Times New Roman"/>
          <w:color w:val="000000" w:themeColor="text1"/>
          <w:sz w:val="24"/>
          <w:szCs w:val="24"/>
        </w:rPr>
        <w:t>Through</w:t>
      </w:r>
      <w:proofErr w:type="gramEnd"/>
      <w:r w:rsidRPr="0000742A">
        <w:rPr>
          <w:rFonts w:ascii="Times New Roman" w:hAnsi="Times New Roman" w:cs="Times New Roman"/>
          <w:color w:val="000000" w:themeColor="text1"/>
          <w:sz w:val="24"/>
          <w:szCs w:val="24"/>
        </w:rPr>
        <w:t xml:space="preserve"> Fourth Follow-Up, 1988-2000, National Center for Education Statistics.</w:t>
      </w:r>
    </w:p>
    <w:p w:rsidR="008A64AB" w:rsidRDefault="0000742A" w:rsidP="00917D3F">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r w:rsidRPr="0000742A">
        <w:rPr>
          <w:rFonts w:ascii="Times New Roman" w:hAnsi="Times New Roman" w:cs="Times New Roman"/>
          <w:color w:val="000000" w:themeColor="text1"/>
          <w:sz w:val="24"/>
          <w:szCs w:val="24"/>
        </w:rPr>
        <w:t xml:space="preserve">The Maryland Adolescent Development </w:t>
      </w:r>
      <w:proofErr w:type="gramStart"/>
      <w:r w:rsidRPr="0000742A">
        <w:rPr>
          <w:rFonts w:ascii="Times New Roman" w:hAnsi="Times New Roman" w:cs="Times New Roman"/>
          <w:color w:val="000000" w:themeColor="text1"/>
          <w:sz w:val="24"/>
          <w:szCs w:val="24"/>
        </w:rPr>
        <w:t>In</w:t>
      </w:r>
      <w:proofErr w:type="gramEnd"/>
      <w:r w:rsidRPr="0000742A">
        <w:rPr>
          <w:rFonts w:ascii="Times New Roman" w:hAnsi="Times New Roman" w:cs="Times New Roman"/>
          <w:color w:val="000000" w:themeColor="text1"/>
          <w:sz w:val="24"/>
          <w:szCs w:val="24"/>
        </w:rPr>
        <w:t xml:space="preserve"> Context Study (MADICS).</w:t>
      </w:r>
    </w:p>
    <w:p w:rsidR="008A64AB" w:rsidRDefault="0000742A" w:rsidP="00917D3F">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r w:rsidRPr="0000742A">
        <w:rPr>
          <w:rFonts w:ascii="Times New Roman" w:hAnsi="Times New Roman" w:cs="Times New Roman"/>
          <w:color w:val="000000" w:themeColor="text1"/>
          <w:sz w:val="24"/>
          <w:szCs w:val="24"/>
        </w:rPr>
        <w:t>The Financial Capability Study</w:t>
      </w:r>
      <w:r>
        <w:rPr>
          <w:rFonts w:ascii="Times New Roman" w:hAnsi="Times New Roman" w:cs="Times New Roman"/>
          <w:color w:val="000000" w:themeColor="text1"/>
          <w:sz w:val="24"/>
          <w:szCs w:val="24"/>
        </w:rPr>
        <w:t xml:space="preserve">, National/State samples, 2009, </w:t>
      </w:r>
      <w:r w:rsidRPr="0000742A">
        <w:rPr>
          <w:rFonts w:ascii="Times New Roman" w:hAnsi="Times New Roman" w:cs="Times New Roman"/>
          <w:color w:val="000000" w:themeColor="text1"/>
          <w:sz w:val="24"/>
          <w:szCs w:val="24"/>
        </w:rPr>
        <w:t>FINRA Investor Education Foundation</w:t>
      </w:r>
    </w:p>
    <w:p w:rsidR="008937BF" w:rsidRDefault="008937BF" w:rsidP="00592CDD">
      <w:pPr>
        <w:spacing w:after="240" w:line="240" w:lineRule="auto"/>
        <w:rPr>
          <w:u w:val="single"/>
        </w:rPr>
      </w:pPr>
    </w:p>
    <w:p w:rsidR="00CA4E2E" w:rsidRDefault="00CA4E2E" w:rsidP="000C6803">
      <w:pPr>
        <w:spacing w:after="240" w:line="240" w:lineRule="auto"/>
        <w:rPr>
          <w:b/>
        </w:rPr>
      </w:pPr>
      <w:r w:rsidRPr="00CA4E2E">
        <w:rPr>
          <w:b/>
        </w:rPr>
        <w:t>Incentives in the Adult Pilot</w:t>
      </w:r>
    </w:p>
    <w:p w:rsidR="00B833C1" w:rsidRDefault="00A8597E" w:rsidP="00B833C1">
      <w:pPr>
        <w:autoSpaceDE w:val="0"/>
        <w:autoSpaceDN w:val="0"/>
        <w:adjustRightInd w:val="0"/>
        <w:spacing w:after="0" w:line="240" w:lineRule="auto"/>
      </w:pPr>
      <w:r>
        <w:t xml:space="preserve">Church (1993) conducted a </w:t>
      </w:r>
      <w:proofErr w:type="gramStart"/>
      <w:r>
        <w:t>meta</w:t>
      </w:r>
      <w:proofErr w:type="gramEnd"/>
      <w:r>
        <w:t xml:space="preserve"> analysis of </w:t>
      </w:r>
      <w:r>
        <w:rPr>
          <w:rFonts w:ascii="TimesNewRoman" w:hAnsi="TimesNewRoman" w:cs="TimesNewRoman"/>
        </w:rPr>
        <w:t xml:space="preserve">38 studies </w:t>
      </w:r>
      <w:r w:rsidR="00F4420E">
        <w:rPr>
          <w:rFonts w:ascii="TimesNewRoman" w:hAnsi="TimesNewRoman" w:cs="TimesNewRoman"/>
        </w:rPr>
        <w:t>that explored</w:t>
      </w:r>
      <w:r>
        <w:rPr>
          <w:rFonts w:ascii="TimesNewRoman" w:hAnsi="TimesNewRoman" w:cs="TimesNewRoman"/>
        </w:rPr>
        <w:t xml:space="preserve"> the effects of incentives in mail surveys</w:t>
      </w:r>
      <w:r w:rsidR="00F4420E">
        <w:rPr>
          <w:rFonts w:ascii="TimesNewRoman" w:hAnsi="TimesNewRoman" w:cs="TimesNewRoman"/>
        </w:rPr>
        <w:t>.  H</w:t>
      </w:r>
      <w:r>
        <w:rPr>
          <w:rFonts w:ascii="TimesNewRoman" w:hAnsi="TimesNewRoman" w:cs="TimesNewRoman"/>
        </w:rPr>
        <w:t xml:space="preserve">e concluded that </w:t>
      </w:r>
      <w:r>
        <w:t>cash p</w:t>
      </w:r>
      <w:r w:rsidR="008C54F7">
        <w:t>re-incentives are more effective tha</w:t>
      </w:r>
      <w:r w:rsidR="007C0DFF">
        <w:t>n</w:t>
      </w:r>
      <w:r w:rsidR="008C54F7">
        <w:t xml:space="preserve"> </w:t>
      </w:r>
      <w:r>
        <w:t xml:space="preserve">promised </w:t>
      </w:r>
      <w:r w:rsidR="008C54F7">
        <w:t>post-</w:t>
      </w:r>
      <w:r w:rsidR="008C54F7" w:rsidRPr="007B76F8">
        <w:t>incentives</w:t>
      </w:r>
      <w:r w:rsidR="007C0DFF" w:rsidRPr="007B76F8">
        <w:t xml:space="preserve"> </w:t>
      </w:r>
      <w:r w:rsidRPr="007B76F8">
        <w:t xml:space="preserve">or </w:t>
      </w:r>
      <w:r w:rsidR="00F4420E" w:rsidRPr="007B76F8">
        <w:t xml:space="preserve">pre-incentive </w:t>
      </w:r>
      <w:r w:rsidRPr="007B76F8">
        <w:t>gifts, a</w:t>
      </w:r>
      <w:r w:rsidR="00F4420E" w:rsidRPr="007B76F8">
        <w:t>nd that response rates increase</w:t>
      </w:r>
      <w:r w:rsidRPr="007B76F8">
        <w:t xml:space="preserve"> with increasing amoun</w:t>
      </w:r>
      <w:r w:rsidR="00F4420E" w:rsidRPr="007B76F8">
        <w:t>ts of money.</w:t>
      </w:r>
      <w:r w:rsidR="00731FFC" w:rsidRPr="007B76F8">
        <w:t xml:space="preserve"> </w:t>
      </w:r>
      <w:r w:rsidR="00731FFC" w:rsidRPr="00D81415">
        <w:t xml:space="preserve">Edwards et al. (2002) report similar </w:t>
      </w:r>
      <w:r w:rsidR="007B76F8">
        <w:t>findings</w:t>
      </w:r>
      <w:r w:rsidR="00731FFC" w:rsidRPr="00D81415">
        <w:t xml:space="preserve"> from a larger and more</w:t>
      </w:r>
      <w:r w:rsidR="00B833C1">
        <w:t xml:space="preserve"> </w:t>
      </w:r>
      <w:r w:rsidR="00731FFC" w:rsidRPr="00D81415">
        <w:t>recent meta-analysis.</w:t>
      </w:r>
      <w:r w:rsidR="00F4420E" w:rsidRPr="007B76F8">
        <w:t xml:space="preserve"> </w:t>
      </w:r>
      <w:r w:rsidR="00B833C1">
        <w:t xml:space="preserve">These studies and more are summarized in the most recent major work by </w:t>
      </w:r>
      <w:r w:rsidR="00917D3F">
        <w:t>University</w:t>
      </w:r>
      <w:r w:rsidR="001C560E">
        <w:t xml:space="preserve"> of Wisconsin's </w:t>
      </w:r>
      <w:r w:rsidR="00B833C1">
        <w:t>Eleanor Singer (2013)</w:t>
      </w:r>
      <w:r w:rsidR="001C560E">
        <w:t xml:space="preserve"> which reviewed more recent literature and generally concluded the empirical evidence supports pre-incentives for mail-based surveys</w:t>
      </w:r>
      <w:r w:rsidR="00B833C1">
        <w:t xml:space="preserve">. </w:t>
      </w:r>
    </w:p>
    <w:p w:rsidR="00B833C1" w:rsidRDefault="00B833C1" w:rsidP="00B833C1">
      <w:pPr>
        <w:autoSpaceDE w:val="0"/>
        <w:autoSpaceDN w:val="0"/>
        <w:adjustRightInd w:val="0"/>
        <w:spacing w:after="0" w:line="240" w:lineRule="auto"/>
      </w:pPr>
    </w:p>
    <w:p w:rsidR="00A8597E" w:rsidRDefault="00F4420E" w:rsidP="00731FFC">
      <w:pPr>
        <w:spacing w:after="240" w:line="240" w:lineRule="auto"/>
      </w:pPr>
      <w:r w:rsidRPr="007B76F8">
        <w:t xml:space="preserve">Our study design, which offers a $10 pre-incentive rather than a $5 pre-incentive, takes into account these findings.  </w:t>
      </w:r>
      <w:r w:rsidR="00886A96" w:rsidRPr="007B76F8">
        <w:t xml:space="preserve">The </w:t>
      </w:r>
      <w:hyperlink r:id="rId8" w:history="1">
        <w:r w:rsidR="00886A96" w:rsidRPr="001C560E">
          <w:rPr>
            <w:rStyle w:val="Hyperlink"/>
          </w:rPr>
          <w:t>University of Wisconsin Survey Center</w:t>
        </w:r>
      </w:hyperlink>
      <w:r w:rsidR="00886A96" w:rsidRPr="007B76F8">
        <w:t xml:space="preserve"> consider</w:t>
      </w:r>
      <w:r w:rsidR="00731FFC" w:rsidRPr="007B76F8">
        <w:t>s a $10</w:t>
      </w:r>
      <w:r w:rsidR="00731FFC">
        <w:t xml:space="preserve"> pre-incentive to be standard in its administration of mail surveys</w:t>
      </w:r>
      <w:r w:rsidR="001C560E">
        <w:t xml:space="preserve">. </w:t>
      </w:r>
      <w:r w:rsidR="0000742A">
        <w:t>Recall a quarter or more of respondents are in homeless shelters or transient housing; the research team has experience with other surveys with similar populations and based on this prior work does not recommend changing incentive designs</w:t>
      </w:r>
      <w:r w:rsidR="00A94FD3">
        <w:t xml:space="preserve"> See </w:t>
      </w:r>
      <w:proofErr w:type="spellStart"/>
      <w:r w:rsidR="00A94FD3">
        <w:t>Ver</w:t>
      </w:r>
      <w:proofErr w:type="spellEnd"/>
      <w:r w:rsidR="00A94FD3">
        <w:t xml:space="preserve"> </w:t>
      </w:r>
      <w:proofErr w:type="spellStart"/>
      <w:r w:rsidR="00A94FD3">
        <w:t>Ploeg</w:t>
      </w:r>
      <w:proofErr w:type="spellEnd"/>
      <w:r w:rsidR="00A94FD3">
        <w:t>, et al (2002) for more discussion is special issues related to this population.</w:t>
      </w:r>
      <w:bookmarkStart w:id="0" w:name="_GoBack"/>
      <w:bookmarkEnd w:id="0"/>
    </w:p>
    <w:p w:rsidR="00731FFC" w:rsidRPr="00D81415" w:rsidRDefault="00E91435" w:rsidP="00CA4E2E">
      <w:pPr>
        <w:spacing w:after="240" w:line="240" w:lineRule="auto"/>
        <w:rPr>
          <w:i/>
        </w:rPr>
      </w:pPr>
      <w:r w:rsidRPr="00D81415">
        <w:rPr>
          <w:i/>
        </w:rPr>
        <w:lastRenderedPageBreak/>
        <w:t>Citations</w:t>
      </w:r>
    </w:p>
    <w:p w:rsidR="00731FFC" w:rsidRDefault="00731FFC" w:rsidP="00731FFC">
      <w:pPr>
        <w:autoSpaceDE w:val="0"/>
        <w:autoSpaceDN w:val="0"/>
        <w:adjustRightInd w:val="0"/>
        <w:spacing w:after="0" w:line="240" w:lineRule="auto"/>
        <w:rPr>
          <w:rFonts w:ascii="TimesNewRoman" w:hAnsi="TimesNewRoman" w:cs="TimesNewRoman"/>
        </w:rPr>
      </w:pPr>
      <w:r>
        <w:rPr>
          <w:rFonts w:ascii="TimesNewRoman" w:hAnsi="TimesNewRoman" w:cs="TimesNewRoman"/>
        </w:rPr>
        <w:t>Church, Allan H. 1993. “Estimating the Effect of Incentives on Mail Survey Response Rates: A</w:t>
      </w:r>
    </w:p>
    <w:p w:rsidR="00731FFC" w:rsidRDefault="00731FFC" w:rsidP="00731FFC">
      <w:pPr>
        <w:spacing w:after="240" w:line="240" w:lineRule="auto"/>
        <w:rPr>
          <w:rFonts w:ascii="TimesNewRoman" w:hAnsi="TimesNewRoman" w:cs="TimesNewRoman"/>
        </w:rPr>
      </w:pPr>
      <w:proofErr w:type="gramStart"/>
      <w:r>
        <w:rPr>
          <w:rFonts w:ascii="TimesNewRoman" w:hAnsi="TimesNewRoman" w:cs="TimesNewRoman"/>
        </w:rPr>
        <w:t>Meta-Analysis.”</w:t>
      </w:r>
      <w:proofErr w:type="gramEnd"/>
      <w:r>
        <w:rPr>
          <w:rFonts w:ascii="TimesNewRoman" w:hAnsi="TimesNewRoman" w:cs="TimesNewRoman"/>
        </w:rPr>
        <w:t xml:space="preserve"> </w:t>
      </w:r>
      <w:r>
        <w:rPr>
          <w:rFonts w:ascii="TimesNewRoman,Italic" w:hAnsi="TimesNewRoman,Italic" w:cs="TimesNewRoman,Italic"/>
          <w:i/>
          <w:iCs/>
        </w:rPr>
        <w:t xml:space="preserve">Public Opinion Quarterly </w:t>
      </w:r>
      <w:r>
        <w:rPr>
          <w:rFonts w:ascii="TimesNewRoman" w:hAnsi="TimesNewRoman" w:cs="TimesNewRoman"/>
        </w:rPr>
        <w:t>57:62-79.</w:t>
      </w:r>
    </w:p>
    <w:p w:rsidR="001C560E" w:rsidRDefault="001C560E" w:rsidP="001C560E">
      <w:pPr>
        <w:spacing w:after="240" w:line="240" w:lineRule="auto"/>
        <w:rPr>
          <w:rFonts w:ascii="TimesNewRoman" w:hAnsi="TimesNewRoman" w:cs="TimesNewRoman"/>
        </w:rPr>
      </w:pPr>
      <w:proofErr w:type="spellStart"/>
      <w:proofErr w:type="gramStart"/>
      <w:r w:rsidRPr="001C560E">
        <w:rPr>
          <w:rFonts w:ascii="TimesNewRoman" w:hAnsi="TimesNewRoman" w:cs="TimesNewRoman"/>
        </w:rPr>
        <w:t>Dillman</w:t>
      </w:r>
      <w:proofErr w:type="spellEnd"/>
      <w:r w:rsidRPr="001C560E">
        <w:rPr>
          <w:rFonts w:ascii="TimesNewRoman" w:hAnsi="TimesNewRoman" w:cs="TimesNewRoman"/>
        </w:rPr>
        <w:t xml:space="preserve">, Don A., Jolene D. Smyth and Leah </w:t>
      </w:r>
      <w:proofErr w:type="spellStart"/>
      <w:r w:rsidRPr="001C560E">
        <w:rPr>
          <w:rFonts w:ascii="TimesNewRoman" w:hAnsi="TimesNewRoman" w:cs="TimesNewRoman"/>
        </w:rPr>
        <w:t>Melani</w:t>
      </w:r>
      <w:proofErr w:type="spellEnd"/>
      <w:r w:rsidRPr="001C560E">
        <w:rPr>
          <w:rFonts w:ascii="TimesNewRoman" w:hAnsi="TimesNewRoman" w:cs="TimesNewRoman"/>
        </w:rPr>
        <w:t xml:space="preserve"> Christian.</w:t>
      </w:r>
      <w:proofErr w:type="gramEnd"/>
      <w:r w:rsidRPr="001C560E">
        <w:rPr>
          <w:rFonts w:ascii="TimesNewRoman" w:hAnsi="TimesNewRoman" w:cs="TimesNewRoman"/>
        </w:rPr>
        <w:t xml:space="preserve">  2009.   Internet, Mail and </w:t>
      </w:r>
      <w:proofErr w:type="spellStart"/>
      <w:r w:rsidRPr="001C560E">
        <w:rPr>
          <w:rFonts w:ascii="TimesNewRoman" w:hAnsi="TimesNewRoman" w:cs="TimesNewRoman"/>
        </w:rPr>
        <w:t>MixedMode</w:t>
      </w:r>
      <w:proofErr w:type="spellEnd"/>
      <w:r w:rsidRPr="001C560E">
        <w:rPr>
          <w:rFonts w:ascii="TimesNewRoman" w:hAnsi="TimesNewRoman" w:cs="TimesNewRoman"/>
        </w:rPr>
        <w:t xml:space="preserve"> Surveys: The Tailored Design Method, 3rd edition.  John Wiley: Hoboken, NJ</w:t>
      </w:r>
    </w:p>
    <w:p w:rsidR="007B76F8" w:rsidRDefault="007B76F8" w:rsidP="00D81415">
      <w:pPr>
        <w:autoSpaceDE w:val="0"/>
        <w:autoSpaceDN w:val="0"/>
        <w:adjustRightInd w:val="0"/>
        <w:spacing w:after="0" w:line="240" w:lineRule="auto"/>
      </w:pPr>
      <w:proofErr w:type="gramStart"/>
      <w:r w:rsidRPr="00D81415">
        <w:t xml:space="preserve">Edwards, Phil, Ian Roberts, Mike Clarke, Carolyn </w:t>
      </w:r>
      <w:proofErr w:type="spellStart"/>
      <w:r w:rsidRPr="00D81415">
        <w:t>DiGuiseppi</w:t>
      </w:r>
      <w:proofErr w:type="spellEnd"/>
      <w:r w:rsidRPr="00D81415">
        <w:t xml:space="preserve">, Sarah </w:t>
      </w:r>
      <w:proofErr w:type="spellStart"/>
      <w:r w:rsidRPr="00D81415">
        <w:t>Pr</w:t>
      </w:r>
      <w:r>
        <w:t>atap</w:t>
      </w:r>
      <w:proofErr w:type="spellEnd"/>
      <w:r>
        <w:t xml:space="preserve">, </w:t>
      </w:r>
      <w:proofErr w:type="spellStart"/>
      <w:r>
        <w:t>Reinhard</w:t>
      </w:r>
      <w:proofErr w:type="spellEnd"/>
      <w:r>
        <w:t xml:space="preserve"> Wentz, and Irene </w:t>
      </w:r>
      <w:r w:rsidRPr="00D81415">
        <w:t>Kwan.</w:t>
      </w:r>
      <w:proofErr w:type="gramEnd"/>
      <w:r w:rsidRPr="00D81415">
        <w:t xml:space="preserve"> 2002. Increasing response rates to postal questionnaires: Systematic review. </w:t>
      </w:r>
      <w:r>
        <w:rPr>
          <w:i/>
          <w:iCs/>
        </w:rPr>
        <w:t xml:space="preserve">British Journal of </w:t>
      </w:r>
      <w:r w:rsidRPr="00D81415">
        <w:rPr>
          <w:i/>
          <w:iCs/>
        </w:rPr>
        <w:t xml:space="preserve">Medicine </w:t>
      </w:r>
      <w:r w:rsidRPr="00D81415">
        <w:t>324 (7347): 1183–91.</w:t>
      </w:r>
    </w:p>
    <w:p w:rsidR="00B833C1" w:rsidRDefault="00B833C1" w:rsidP="00D81415">
      <w:pPr>
        <w:autoSpaceDE w:val="0"/>
        <w:autoSpaceDN w:val="0"/>
        <w:adjustRightInd w:val="0"/>
        <w:spacing w:after="0" w:line="240" w:lineRule="auto"/>
      </w:pPr>
    </w:p>
    <w:p w:rsidR="00731FFC" w:rsidRDefault="00B833C1" w:rsidP="004D3CA1">
      <w:pPr>
        <w:autoSpaceDE w:val="0"/>
        <w:autoSpaceDN w:val="0"/>
        <w:adjustRightInd w:val="0"/>
        <w:spacing w:after="0" w:line="240" w:lineRule="auto"/>
      </w:pPr>
      <w:proofErr w:type="gramStart"/>
      <w:r>
        <w:t>Singer, Eleanor and Cong Ye.</w:t>
      </w:r>
      <w:proofErr w:type="gramEnd"/>
      <w:r>
        <w:t xml:space="preserve"> 2013. The Use and Effects of Incentives in Surveys. </w:t>
      </w:r>
      <w:proofErr w:type="gramStart"/>
      <w:r w:rsidRPr="00917D3F">
        <w:rPr>
          <w:i/>
        </w:rPr>
        <w:t>The Annals of the American Academy of Political and Social Science</w:t>
      </w:r>
      <w:r>
        <w:t>.</w:t>
      </w:r>
      <w:proofErr w:type="gramEnd"/>
      <w:r>
        <w:t xml:space="preserve"> 645: 112-141. </w:t>
      </w:r>
    </w:p>
    <w:p w:rsidR="00A94FD3" w:rsidRDefault="00A94FD3" w:rsidP="004D3CA1">
      <w:pPr>
        <w:autoSpaceDE w:val="0"/>
        <w:autoSpaceDN w:val="0"/>
        <w:adjustRightInd w:val="0"/>
        <w:spacing w:after="0" w:line="240" w:lineRule="auto"/>
      </w:pPr>
    </w:p>
    <w:p w:rsidR="00A94FD3" w:rsidRDefault="00A94FD3" w:rsidP="00A94FD3">
      <w:pPr>
        <w:autoSpaceDE w:val="0"/>
        <w:autoSpaceDN w:val="0"/>
        <w:adjustRightInd w:val="0"/>
        <w:spacing w:after="0" w:line="240" w:lineRule="auto"/>
      </w:pPr>
      <w:proofErr w:type="spellStart"/>
      <w:proofErr w:type="gramStart"/>
      <w:r>
        <w:t>Ver</w:t>
      </w:r>
      <w:proofErr w:type="spellEnd"/>
      <w:r>
        <w:t xml:space="preserve"> </w:t>
      </w:r>
      <w:proofErr w:type="spellStart"/>
      <w:r>
        <w:t>Ploeg</w:t>
      </w:r>
      <w:proofErr w:type="spellEnd"/>
      <w:r>
        <w:t xml:space="preserve">, Michele, Robert A. Moffitt, and Constance F. </w:t>
      </w:r>
      <w:proofErr w:type="spellStart"/>
      <w:r>
        <w:t>Citro</w:t>
      </w:r>
      <w:proofErr w:type="spellEnd"/>
      <w:r>
        <w:t>.</w:t>
      </w:r>
      <w:proofErr w:type="gramEnd"/>
      <w:r>
        <w:t xml:space="preserve"> 2002. "Studies of Welfare Populations:  Data Collection and Research Issues."  Committee on National Statistics, Division of Behavioral and Social Sciences and Education of the National Research </w:t>
      </w:r>
      <w:proofErr w:type="gramStart"/>
      <w:r>
        <w:t>Council  (</w:t>
      </w:r>
      <w:proofErr w:type="gramEnd"/>
      <w:r>
        <w:t>See section titled: EFFECTS IN SURVEYS OF LOW-INCOME POPULATIONS) online at: http://aspe.hhs.gov/hsp/welf-res-data-issues02/04/04.htm</w:t>
      </w:r>
    </w:p>
    <w:p w:rsidR="00A94FD3" w:rsidRDefault="00A94FD3" w:rsidP="00A94FD3">
      <w:pPr>
        <w:autoSpaceDE w:val="0"/>
        <w:autoSpaceDN w:val="0"/>
        <w:adjustRightInd w:val="0"/>
        <w:spacing w:after="0" w:line="240" w:lineRule="auto"/>
      </w:pPr>
    </w:p>
    <w:p w:rsidR="00A94FD3" w:rsidRPr="00917D3F" w:rsidRDefault="00A94FD3" w:rsidP="00A94FD3">
      <w:pPr>
        <w:autoSpaceDE w:val="0"/>
        <w:autoSpaceDN w:val="0"/>
        <w:adjustRightInd w:val="0"/>
        <w:spacing w:after="0" w:line="240" w:lineRule="auto"/>
        <w:rPr>
          <w:i/>
        </w:rPr>
      </w:pPr>
      <w:r w:rsidRPr="00917D3F">
        <w:rPr>
          <w:i/>
        </w:rPr>
        <w:t>See also</w:t>
      </w:r>
    </w:p>
    <w:p w:rsidR="00A94FD3" w:rsidRDefault="00A94FD3" w:rsidP="00A94FD3">
      <w:pPr>
        <w:autoSpaceDE w:val="0"/>
        <w:autoSpaceDN w:val="0"/>
        <w:adjustRightInd w:val="0"/>
        <w:spacing w:after="0" w:line="240" w:lineRule="auto"/>
      </w:pPr>
    </w:p>
    <w:p w:rsidR="00A94FD3" w:rsidRDefault="00A94FD3" w:rsidP="00A94FD3">
      <w:pPr>
        <w:autoSpaceDE w:val="0"/>
        <w:autoSpaceDN w:val="0"/>
        <w:adjustRightInd w:val="0"/>
        <w:spacing w:after="0" w:line="240" w:lineRule="auto"/>
      </w:pPr>
      <w:r>
        <w:t xml:space="preserve">Groves, Robert M. Nonresponse Rates and Nonresponse Bias in Household Surveys </w:t>
      </w:r>
      <w:r w:rsidRPr="00917D3F">
        <w:rPr>
          <w:i/>
        </w:rPr>
        <w:t>Public Opinion Quarterly</w:t>
      </w:r>
      <w:r>
        <w:t xml:space="preserve"> (2006) 70(5): 646-675.</w:t>
      </w:r>
    </w:p>
    <w:sectPr w:rsidR="00A94FD3" w:rsidSect="00D87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E7CDB"/>
    <w:multiLevelType w:val="hybridMultilevel"/>
    <w:tmpl w:val="2188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FD2D45"/>
    <w:multiLevelType w:val="hybridMultilevel"/>
    <w:tmpl w:val="F790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957E7D"/>
    <w:multiLevelType w:val="hybridMultilevel"/>
    <w:tmpl w:val="9914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7F4E28"/>
    <w:multiLevelType w:val="hybridMultilevel"/>
    <w:tmpl w:val="291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747054"/>
    <w:multiLevelType w:val="hybridMultilevel"/>
    <w:tmpl w:val="513E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95"/>
    <w:rsid w:val="0000742A"/>
    <w:rsid w:val="000636EC"/>
    <w:rsid w:val="00083E0A"/>
    <w:rsid w:val="000C6803"/>
    <w:rsid w:val="000F3451"/>
    <w:rsid w:val="0010441C"/>
    <w:rsid w:val="00112ACC"/>
    <w:rsid w:val="00113162"/>
    <w:rsid w:val="001605F9"/>
    <w:rsid w:val="001C560E"/>
    <w:rsid w:val="00221C5F"/>
    <w:rsid w:val="00265D27"/>
    <w:rsid w:val="00282FE6"/>
    <w:rsid w:val="002F06D8"/>
    <w:rsid w:val="00305A72"/>
    <w:rsid w:val="00326B6E"/>
    <w:rsid w:val="00336A79"/>
    <w:rsid w:val="00355D59"/>
    <w:rsid w:val="003644AE"/>
    <w:rsid w:val="00381483"/>
    <w:rsid w:val="003A2AAF"/>
    <w:rsid w:val="00405E9F"/>
    <w:rsid w:val="00441404"/>
    <w:rsid w:val="0044531F"/>
    <w:rsid w:val="00465564"/>
    <w:rsid w:val="004D3CA1"/>
    <w:rsid w:val="004D3DD7"/>
    <w:rsid w:val="005051FB"/>
    <w:rsid w:val="00536CD1"/>
    <w:rsid w:val="00592CDD"/>
    <w:rsid w:val="005C700D"/>
    <w:rsid w:val="006619E6"/>
    <w:rsid w:val="006C49D1"/>
    <w:rsid w:val="006D1E95"/>
    <w:rsid w:val="006D3AA1"/>
    <w:rsid w:val="0073098B"/>
    <w:rsid w:val="00731FFC"/>
    <w:rsid w:val="007B76F8"/>
    <w:rsid w:val="007C0DFF"/>
    <w:rsid w:val="007F0FFD"/>
    <w:rsid w:val="00886A96"/>
    <w:rsid w:val="008937BF"/>
    <w:rsid w:val="00894DE0"/>
    <w:rsid w:val="008A64AB"/>
    <w:rsid w:val="008C54F7"/>
    <w:rsid w:val="008F17D4"/>
    <w:rsid w:val="00917D3F"/>
    <w:rsid w:val="009D2E5D"/>
    <w:rsid w:val="00A04070"/>
    <w:rsid w:val="00A321B9"/>
    <w:rsid w:val="00A76741"/>
    <w:rsid w:val="00A80069"/>
    <w:rsid w:val="00A8597E"/>
    <w:rsid w:val="00A94FD3"/>
    <w:rsid w:val="00AB3816"/>
    <w:rsid w:val="00AE5671"/>
    <w:rsid w:val="00AE6444"/>
    <w:rsid w:val="00B362CC"/>
    <w:rsid w:val="00B54547"/>
    <w:rsid w:val="00B833C1"/>
    <w:rsid w:val="00BA3F5F"/>
    <w:rsid w:val="00C7413D"/>
    <w:rsid w:val="00C8604F"/>
    <w:rsid w:val="00CA4E2E"/>
    <w:rsid w:val="00CD136F"/>
    <w:rsid w:val="00D81415"/>
    <w:rsid w:val="00D841B5"/>
    <w:rsid w:val="00D874DC"/>
    <w:rsid w:val="00D90869"/>
    <w:rsid w:val="00DA0723"/>
    <w:rsid w:val="00DE2928"/>
    <w:rsid w:val="00E91435"/>
    <w:rsid w:val="00E939F0"/>
    <w:rsid w:val="00EB2D95"/>
    <w:rsid w:val="00F4420E"/>
    <w:rsid w:val="00FA30A5"/>
    <w:rsid w:val="00FC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04F"/>
    <w:pPr>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65D27"/>
    <w:rPr>
      <w:color w:val="0000FF"/>
      <w:u w:val="single"/>
    </w:rPr>
  </w:style>
  <w:style w:type="character" w:styleId="FollowedHyperlink">
    <w:name w:val="FollowedHyperlink"/>
    <w:basedOn w:val="DefaultParagraphFont"/>
    <w:uiPriority w:val="99"/>
    <w:semiHidden/>
    <w:unhideWhenUsed/>
    <w:rsid w:val="00BA3F5F"/>
    <w:rPr>
      <w:color w:val="800080" w:themeColor="followedHyperlink"/>
      <w:u w:val="single"/>
    </w:rPr>
  </w:style>
  <w:style w:type="paragraph" w:styleId="BalloonText">
    <w:name w:val="Balloon Text"/>
    <w:basedOn w:val="Normal"/>
    <w:link w:val="BalloonTextChar"/>
    <w:uiPriority w:val="99"/>
    <w:semiHidden/>
    <w:unhideWhenUsed/>
    <w:rsid w:val="00D81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04F"/>
    <w:pPr>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65D27"/>
    <w:rPr>
      <w:color w:val="0000FF"/>
      <w:u w:val="single"/>
    </w:rPr>
  </w:style>
  <w:style w:type="character" w:styleId="FollowedHyperlink">
    <w:name w:val="FollowedHyperlink"/>
    <w:basedOn w:val="DefaultParagraphFont"/>
    <w:uiPriority w:val="99"/>
    <w:semiHidden/>
    <w:unhideWhenUsed/>
    <w:rsid w:val="00BA3F5F"/>
    <w:rPr>
      <w:color w:val="800080" w:themeColor="followedHyperlink"/>
      <w:u w:val="single"/>
    </w:rPr>
  </w:style>
  <w:style w:type="paragraph" w:styleId="BalloonText">
    <w:name w:val="Balloon Text"/>
    <w:basedOn w:val="Normal"/>
    <w:link w:val="BalloonTextChar"/>
    <w:uiPriority w:val="99"/>
    <w:semiHidden/>
    <w:unhideWhenUsed/>
    <w:rsid w:val="00D81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6355">
      <w:bodyDiv w:val="1"/>
      <w:marLeft w:val="0"/>
      <w:marRight w:val="0"/>
      <w:marTop w:val="0"/>
      <w:marBottom w:val="0"/>
      <w:divBdr>
        <w:top w:val="none" w:sz="0" w:space="0" w:color="auto"/>
        <w:left w:val="none" w:sz="0" w:space="0" w:color="auto"/>
        <w:bottom w:val="none" w:sz="0" w:space="0" w:color="auto"/>
        <w:right w:val="none" w:sz="0" w:space="0" w:color="auto"/>
      </w:divBdr>
    </w:div>
    <w:div w:id="1218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sc.wisc.edu/" TargetMode="External"/><Relationship Id="rId3" Type="http://schemas.microsoft.com/office/2007/relationships/stylesWithEffects" Target="stylesWithEffects.xml"/><Relationship Id="rId7" Type="http://schemas.openxmlformats.org/officeDocument/2006/relationships/hyperlink" Target="http://hdl.handle.net/10036/838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j.econedurev.2012.09.00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Walsh</dc:creator>
  <cp:lastModifiedBy>Quittman, Louisa</cp:lastModifiedBy>
  <cp:revision>2</cp:revision>
  <dcterms:created xsi:type="dcterms:W3CDTF">2013-01-30T13:07:00Z</dcterms:created>
  <dcterms:modified xsi:type="dcterms:W3CDTF">2013-01-30T13:07:00Z</dcterms:modified>
</cp:coreProperties>
</file>