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C8E" w:rsidRPr="00404750" w:rsidRDefault="00A22DDA" w:rsidP="00787C8E">
      <w:pPr>
        <w:spacing w:line="276" w:lineRule="auto"/>
        <w:jc w:val="center"/>
        <w:rPr>
          <w:rFonts w:ascii="Calibri" w:hAnsi="Calibri" w:cs="Calibri"/>
          <w:b/>
          <w:sz w:val="22"/>
          <w:szCs w:val="22"/>
        </w:rPr>
      </w:pPr>
      <w:r w:rsidRPr="00404750">
        <w:rPr>
          <w:rFonts w:ascii="Calibri" w:hAnsi="Calibri" w:cs="Calibri"/>
          <w:b/>
          <w:sz w:val="22"/>
          <w:szCs w:val="22"/>
        </w:rPr>
        <w:t>Supporting Statement A</w:t>
      </w:r>
    </w:p>
    <w:p w:rsidR="00A22DDA" w:rsidRPr="00404750" w:rsidRDefault="00A22DDA" w:rsidP="00787C8E">
      <w:pPr>
        <w:spacing w:line="276" w:lineRule="auto"/>
        <w:jc w:val="center"/>
        <w:rPr>
          <w:rFonts w:ascii="Calibri" w:hAnsi="Calibri" w:cs="Calibri"/>
          <w:b/>
          <w:sz w:val="22"/>
          <w:szCs w:val="22"/>
        </w:rPr>
      </w:pPr>
    </w:p>
    <w:p w:rsidR="00A22DDA" w:rsidRDefault="00550C9C" w:rsidP="00A22DDA">
      <w:pPr>
        <w:spacing w:line="276" w:lineRule="auto"/>
        <w:jc w:val="center"/>
        <w:rPr>
          <w:rFonts w:ascii="Calibri" w:hAnsi="Calibri" w:cs="Calibri"/>
          <w:b/>
          <w:sz w:val="22"/>
          <w:szCs w:val="22"/>
        </w:rPr>
      </w:pPr>
      <w:r>
        <w:rPr>
          <w:rFonts w:ascii="Calibri" w:hAnsi="Calibri" w:cs="Calibri"/>
          <w:b/>
          <w:sz w:val="22"/>
          <w:szCs w:val="22"/>
        </w:rPr>
        <w:t>Mine, Development, and Mineral Exploration Supplement</w:t>
      </w:r>
    </w:p>
    <w:p w:rsidR="00A22DDA" w:rsidRPr="00A22DDA" w:rsidRDefault="00A22DDA" w:rsidP="00A22DDA">
      <w:pPr>
        <w:spacing w:line="276" w:lineRule="auto"/>
        <w:jc w:val="center"/>
        <w:rPr>
          <w:rFonts w:ascii="Calibri" w:hAnsi="Calibri" w:cs="Calibri"/>
          <w:b/>
          <w:sz w:val="22"/>
          <w:szCs w:val="22"/>
        </w:rPr>
      </w:pPr>
    </w:p>
    <w:p w:rsidR="00787C8E" w:rsidRPr="00404750" w:rsidRDefault="00550C9C" w:rsidP="00787C8E">
      <w:pPr>
        <w:spacing w:line="276" w:lineRule="auto"/>
        <w:jc w:val="center"/>
        <w:rPr>
          <w:rFonts w:ascii="Calibri" w:hAnsi="Calibri" w:cs="Calibri"/>
          <w:b/>
          <w:sz w:val="22"/>
          <w:szCs w:val="22"/>
        </w:rPr>
      </w:pPr>
      <w:r>
        <w:rPr>
          <w:rFonts w:ascii="Calibri" w:hAnsi="Calibri" w:cs="Calibri"/>
          <w:b/>
          <w:sz w:val="22"/>
          <w:szCs w:val="22"/>
        </w:rPr>
        <w:t>OMB Control Number 1028-0060</w:t>
      </w:r>
    </w:p>
    <w:p w:rsidR="00787C8E" w:rsidRPr="00404750" w:rsidRDefault="00787C8E" w:rsidP="00787C8E">
      <w:pPr>
        <w:spacing w:line="276" w:lineRule="auto"/>
        <w:jc w:val="center"/>
        <w:rPr>
          <w:rFonts w:ascii="Calibri" w:hAnsi="Calibri" w:cs="Calibri"/>
          <w:b/>
          <w:sz w:val="22"/>
          <w:szCs w:val="22"/>
        </w:rPr>
      </w:pPr>
    </w:p>
    <w:p w:rsidR="00787C8E" w:rsidRPr="00404750" w:rsidRDefault="00787C8E" w:rsidP="00787C8E">
      <w:pPr>
        <w:spacing w:line="276" w:lineRule="auto"/>
        <w:rPr>
          <w:rFonts w:ascii="Calibri" w:hAnsi="Calibri" w:cs="Calibri"/>
          <w:b/>
          <w:sz w:val="22"/>
          <w:szCs w:val="22"/>
        </w:rPr>
      </w:pPr>
    </w:p>
    <w:p w:rsidR="00946D28" w:rsidRPr="00404750" w:rsidRDefault="00946D28" w:rsidP="00813EB7">
      <w:pPr>
        <w:spacing w:line="276" w:lineRule="auto"/>
        <w:jc w:val="center"/>
        <w:rPr>
          <w:rFonts w:ascii="Calibri" w:hAnsi="Calibri" w:cs="Calibri"/>
          <w:b/>
          <w:sz w:val="22"/>
          <w:szCs w:val="22"/>
        </w:rPr>
      </w:pPr>
    </w:p>
    <w:p w:rsidR="008319EE" w:rsidRPr="00404750" w:rsidRDefault="008319EE" w:rsidP="001F2189">
      <w:pPr>
        <w:spacing w:line="276" w:lineRule="auto"/>
        <w:rPr>
          <w:rFonts w:ascii="Calibri" w:hAnsi="Calibri" w:cs="Calibri"/>
          <w:sz w:val="22"/>
          <w:szCs w:val="22"/>
        </w:rPr>
      </w:pPr>
      <w:r w:rsidRPr="00404750">
        <w:rPr>
          <w:rFonts w:ascii="Calibri" w:hAnsi="Calibri" w:cs="Calibri"/>
          <w:sz w:val="22"/>
          <w:szCs w:val="22"/>
        </w:rPr>
        <w:t>Terms of Clearance: None</w:t>
      </w:r>
    </w:p>
    <w:p w:rsidR="00A22DDA" w:rsidRDefault="00A22DDA" w:rsidP="00A22DDA">
      <w:pPr>
        <w:spacing w:line="276" w:lineRule="auto"/>
        <w:rPr>
          <w:rFonts w:ascii="Calibri" w:hAnsi="Calibri" w:cs="Calibri"/>
          <w:sz w:val="22"/>
          <w:szCs w:val="22"/>
        </w:rPr>
      </w:pPr>
    </w:p>
    <w:p w:rsidR="00A22DDA" w:rsidRPr="00A22DDA" w:rsidRDefault="00A22DDA" w:rsidP="00A22DDA">
      <w:pPr>
        <w:spacing w:line="276" w:lineRule="auto"/>
        <w:rPr>
          <w:rFonts w:ascii="Calibri" w:hAnsi="Calibri" w:cs="Calibri"/>
          <w:b/>
          <w:sz w:val="22"/>
          <w:szCs w:val="22"/>
        </w:rPr>
      </w:pPr>
      <w:r w:rsidRPr="00A22DDA">
        <w:rPr>
          <w:rFonts w:ascii="Calibri" w:hAnsi="Calibri" w:cs="Calibri"/>
          <w:b/>
          <w:sz w:val="22"/>
          <w:szCs w:val="22"/>
        </w:rPr>
        <w:t xml:space="preserve">General Instructions </w:t>
      </w:r>
    </w:p>
    <w:p w:rsidR="00A22DDA" w:rsidRPr="00A22DDA" w:rsidRDefault="00A22DDA" w:rsidP="00A22DDA">
      <w:pPr>
        <w:spacing w:line="276" w:lineRule="auto"/>
        <w:rPr>
          <w:rFonts w:ascii="Calibri" w:hAnsi="Calibri" w:cs="Calibri"/>
          <w:sz w:val="22"/>
          <w:szCs w:val="22"/>
        </w:rPr>
      </w:pPr>
    </w:p>
    <w:p w:rsidR="00A22DDA" w:rsidRPr="00A22DDA" w:rsidRDefault="00A22DDA" w:rsidP="00A22DDA">
      <w:pPr>
        <w:spacing w:line="276" w:lineRule="auto"/>
        <w:rPr>
          <w:rFonts w:ascii="Calibri" w:hAnsi="Calibri" w:cs="Calibri"/>
          <w:sz w:val="22"/>
          <w:szCs w:val="22"/>
        </w:rPr>
      </w:pPr>
      <w:r w:rsidRPr="00A22DDA">
        <w:rPr>
          <w:rFonts w:ascii="Calibri" w:hAnsi="Calibri" w:cs="Calibri"/>
          <w:sz w:val="22"/>
          <w:szCs w:val="22"/>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A22DDA" w:rsidRPr="00A22DDA" w:rsidRDefault="00A22DDA" w:rsidP="00A22DDA">
      <w:pPr>
        <w:spacing w:line="276" w:lineRule="auto"/>
        <w:rPr>
          <w:rFonts w:ascii="Calibri" w:hAnsi="Calibri" w:cs="Calibri"/>
          <w:sz w:val="22"/>
          <w:szCs w:val="22"/>
        </w:rPr>
      </w:pPr>
    </w:p>
    <w:p w:rsidR="00A22DDA" w:rsidRPr="00A22DDA" w:rsidRDefault="00A22DDA" w:rsidP="00A22DDA">
      <w:pPr>
        <w:spacing w:line="276" w:lineRule="auto"/>
        <w:rPr>
          <w:rFonts w:ascii="Calibri" w:hAnsi="Calibri" w:cs="Calibri"/>
          <w:b/>
          <w:sz w:val="22"/>
          <w:szCs w:val="22"/>
        </w:rPr>
      </w:pPr>
      <w:r w:rsidRPr="00A22DDA">
        <w:rPr>
          <w:rFonts w:ascii="Calibri" w:hAnsi="Calibri" w:cs="Calibri"/>
          <w:b/>
          <w:sz w:val="22"/>
          <w:szCs w:val="22"/>
        </w:rPr>
        <w:t>Specific Instructions</w:t>
      </w:r>
    </w:p>
    <w:p w:rsidR="00A22DDA" w:rsidRPr="00A22DDA" w:rsidRDefault="00A22DDA" w:rsidP="00A22DDA">
      <w:pPr>
        <w:spacing w:line="276" w:lineRule="auto"/>
        <w:rPr>
          <w:rFonts w:ascii="Calibri" w:hAnsi="Calibri" w:cs="Calibri"/>
          <w:sz w:val="22"/>
          <w:szCs w:val="22"/>
        </w:rPr>
      </w:pPr>
    </w:p>
    <w:p w:rsidR="008319EE" w:rsidRPr="00404750" w:rsidRDefault="00A22DDA" w:rsidP="00A22DDA">
      <w:pPr>
        <w:spacing w:line="276" w:lineRule="auto"/>
        <w:rPr>
          <w:rFonts w:ascii="Calibri" w:hAnsi="Calibri" w:cs="Calibri"/>
          <w:sz w:val="22"/>
          <w:szCs w:val="22"/>
        </w:rPr>
      </w:pPr>
      <w:r w:rsidRPr="00A22DDA">
        <w:rPr>
          <w:rFonts w:ascii="Calibri" w:hAnsi="Calibri" w:cs="Calibri"/>
          <w:sz w:val="22"/>
          <w:szCs w:val="22"/>
        </w:rPr>
        <w:t>Justification</w:t>
      </w:r>
    </w:p>
    <w:p w:rsidR="00BA09C9" w:rsidRPr="00404750" w:rsidRDefault="00BA09C9" w:rsidP="001F2189">
      <w:pPr>
        <w:spacing w:line="276" w:lineRule="auto"/>
        <w:rPr>
          <w:rFonts w:ascii="Calibri" w:hAnsi="Calibri" w:cs="Calibri"/>
          <w:sz w:val="22"/>
          <w:szCs w:val="22"/>
        </w:rPr>
      </w:pPr>
    </w:p>
    <w:p w:rsidR="00A22DDA" w:rsidRPr="00404750" w:rsidRDefault="00A22DDA" w:rsidP="00A22D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1.</w:t>
      </w:r>
      <w:r w:rsidRPr="00404750">
        <w:rPr>
          <w:rFonts w:ascii="Calibri" w:hAnsi="Calibri" w:cs="Calibri"/>
          <w:b/>
          <w:sz w:val="22"/>
          <w:szCs w:val="22"/>
        </w:rPr>
        <w:tab/>
        <w:t>Explain the circumstances that make the collection of information necessary.  Identify any legal or administrative requirements that necessitate the collection.</w:t>
      </w:r>
    </w:p>
    <w:p w:rsidR="00A22DDA" w:rsidRPr="00404750" w:rsidRDefault="00A22DDA" w:rsidP="00A22DDA">
      <w:pPr>
        <w:spacing w:line="276" w:lineRule="auto"/>
        <w:ind w:left="1080"/>
        <w:rPr>
          <w:rFonts w:ascii="Calibri" w:hAnsi="Calibri" w:cs="Calibri"/>
          <w:sz w:val="22"/>
          <w:szCs w:val="22"/>
        </w:rPr>
      </w:pPr>
    </w:p>
    <w:p w:rsidR="00BA09C9" w:rsidRPr="00404750" w:rsidRDefault="00BA09C9" w:rsidP="001F2189">
      <w:pPr>
        <w:spacing w:line="276" w:lineRule="auto"/>
        <w:rPr>
          <w:rFonts w:ascii="Calibri" w:hAnsi="Calibri" w:cs="Calibri"/>
          <w:b/>
          <w:i/>
          <w:sz w:val="22"/>
          <w:szCs w:val="22"/>
        </w:rPr>
      </w:pPr>
      <w:r w:rsidRPr="00404750">
        <w:rPr>
          <w:rFonts w:ascii="Calibri" w:hAnsi="Calibri" w:cs="Calibri"/>
          <w:b/>
          <w:i/>
          <w:sz w:val="22"/>
          <w:szCs w:val="22"/>
        </w:rPr>
        <w:t>The authorities for this collection are:</w:t>
      </w:r>
    </w:p>
    <w:p w:rsidR="00BA09C9" w:rsidRPr="00404750" w:rsidRDefault="00BA09C9" w:rsidP="00DD1393">
      <w:pPr>
        <w:numPr>
          <w:ilvl w:val="0"/>
          <w:numId w:val="25"/>
        </w:numPr>
        <w:spacing w:line="276" w:lineRule="auto"/>
        <w:rPr>
          <w:rFonts w:ascii="Calibri" w:hAnsi="Calibri" w:cs="Calibri"/>
          <w:i/>
          <w:sz w:val="22"/>
          <w:szCs w:val="22"/>
        </w:rPr>
      </w:pPr>
      <w:r w:rsidRPr="00404750">
        <w:rPr>
          <w:rFonts w:ascii="Calibri" w:hAnsi="Calibri" w:cs="Calibri"/>
          <w:i/>
          <w:sz w:val="22"/>
          <w:szCs w:val="22"/>
        </w:rPr>
        <w:t>National Materials and Minerals Policy, Research and Development Act of 1980 (Public Law 96-479)</w:t>
      </w:r>
    </w:p>
    <w:p w:rsidR="00385086" w:rsidRPr="00404750" w:rsidRDefault="00385086" w:rsidP="00DD1393">
      <w:pPr>
        <w:numPr>
          <w:ilvl w:val="0"/>
          <w:numId w:val="25"/>
        </w:numPr>
        <w:spacing w:line="276" w:lineRule="auto"/>
        <w:rPr>
          <w:rFonts w:ascii="Calibri" w:hAnsi="Calibri" w:cs="Calibri"/>
          <w:i/>
          <w:sz w:val="22"/>
          <w:szCs w:val="22"/>
        </w:rPr>
      </w:pPr>
      <w:r w:rsidRPr="00404750">
        <w:rPr>
          <w:rFonts w:ascii="Calibri" w:hAnsi="Calibri" w:cs="Calibri"/>
          <w:i/>
          <w:sz w:val="22"/>
          <w:szCs w:val="22"/>
        </w:rPr>
        <w:t>National Mining and Minerals Policy Act of 1970 (Public Law 91-631)</w:t>
      </w:r>
    </w:p>
    <w:p w:rsidR="00231471" w:rsidRPr="00404750" w:rsidRDefault="00231471" w:rsidP="001F2189">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rsidR="00705E8B" w:rsidRPr="00404750" w:rsidRDefault="00705E8B" w:rsidP="001F2189">
      <w:pPr>
        <w:spacing w:line="276" w:lineRule="auto"/>
        <w:rPr>
          <w:rFonts w:ascii="Calibri" w:hAnsi="Calibri" w:cs="Calibri"/>
          <w:sz w:val="22"/>
          <w:szCs w:val="22"/>
        </w:rPr>
      </w:pPr>
    </w:p>
    <w:p w:rsidR="000C0D2E" w:rsidRPr="00404750" w:rsidRDefault="002156FB" w:rsidP="00DD1393">
      <w:pPr>
        <w:spacing w:line="276" w:lineRule="auto"/>
        <w:ind w:firstLine="360"/>
        <w:rPr>
          <w:rFonts w:ascii="Calibri" w:hAnsi="Calibri" w:cs="Calibri"/>
          <w:sz w:val="22"/>
          <w:szCs w:val="22"/>
        </w:rPr>
      </w:pPr>
      <w:r w:rsidRPr="00404750">
        <w:rPr>
          <w:rFonts w:ascii="Calibri" w:hAnsi="Calibri" w:cs="Calibri"/>
          <w:sz w:val="22"/>
          <w:szCs w:val="22"/>
        </w:rPr>
        <w:t>The U.S. Department of the Interior (DOI) has policy responsibility for the Nation’s mineral resources and their derived industries.</w:t>
      </w:r>
      <w:r w:rsidR="00060ED4" w:rsidRPr="00404750">
        <w:rPr>
          <w:rFonts w:ascii="Calibri" w:hAnsi="Calibri" w:cs="Calibri"/>
          <w:sz w:val="22"/>
          <w:szCs w:val="22"/>
        </w:rPr>
        <w:t xml:space="preserve">  </w:t>
      </w:r>
      <w:r w:rsidR="00E46690" w:rsidRPr="00404750">
        <w:rPr>
          <w:rFonts w:ascii="Calibri" w:hAnsi="Calibri" w:cs="Calibri"/>
          <w:sz w:val="22"/>
          <w:szCs w:val="22"/>
        </w:rPr>
        <w:t>The National Mining and Minerals Policy Act of 1970 (Public Law 91-63</w:t>
      </w:r>
      <w:r w:rsidR="00A335B2" w:rsidRPr="00404750">
        <w:rPr>
          <w:rFonts w:ascii="Calibri" w:hAnsi="Calibri" w:cs="Calibri"/>
          <w:sz w:val="22"/>
          <w:szCs w:val="22"/>
        </w:rPr>
        <w:t>1</w:t>
      </w:r>
      <w:r w:rsidR="00EF187D">
        <w:rPr>
          <w:rFonts w:ascii="Calibri" w:hAnsi="Calibri" w:cs="Calibri"/>
          <w:sz w:val="22"/>
          <w:szCs w:val="22"/>
        </w:rPr>
        <w:t>) and</w:t>
      </w:r>
      <w:r w:rsidR="00F43547" w:rsidRPr="00404750">
        <w:rPr>
          <w:rFonts w:ascii="Calibri" w:hAnsi="Calibri" w:cs="Calibri"/>
          <w:sz w:val="22"/>
          <w:szCs w:val="22"/>
        </w:rPr>
        <w:t xml:space="preserve"> </w:t>
      </w:r>
      <w:r w:rsidR="00E46690" w:rsidRPr="00404750">
        <w:rPr>
          <w:rFonts w:ascii="Calibri" w:hAnsi="Calibri" w:cs="Calibri"/>
          <w:sz w:val="22"/>
          <w:szCs w:val="22"/>
        </w:rPr>
        <w:t>the National Materials and Minerals Policy, Research and Development Act of 1980 (Public Law 96-479)</w:t>
      </w:r>
      <w:r w:rsidR="00EF187D">
        <w:rPr>
          <w:rFonts w:ascii="Calibri" w:hAnsi="Calibri" w:cs="Calibri"/>
          <w:sz w:val="22"/>
          <w:szCs w:val="22"/>
        </w:rPr>
        <w:t xml:space="preserve"> </w:t>
      </w:r>
      <w:r w:rsidR="00E46690" w:rsidRPr="00404750">
        <w:rPr>
          <w:rFonts w:ascii="Calibri" w:hAnsi="Calibri" w:cs="Calibri"/>
          <w:sz w:val="22"/>
          <w:szCs w:val="22"/>
        </w:rPr>
        <w:t>make it incumbent upon the Secretary of the Interior to be informed about and to inform the Congress of important developments, including crises, in the minerals industries.</w:t>
      </w:r>
      <w:r w:rsidR="006733B8" w:rsidRPr="00404750">
        <w:rPr>
          <w:rFonts w:ascii="Calibri" w:hAnsi="Calibri" w:cs="Calibri"/>
          <w:sz w:val="22"/>
          <w:szCs w:val="22"/>
        </w:rPr>
        <w:t xml:space="preserve">  </w:t>
      </w:r>
      <w:r w:rsidR="00916F3C" w:rsidRPr="00404750">
        <w:rPr>
          <w:rFonts w:ascii="Calibri" w:hAnsi="Calibri" w:cs="Calibri"/>
          <w:sz w:val="22"/>
          <w:szCs w:val="22"/>
        </w:rPr>
        <w:t xml:space="preserve">Many of the responsibilities regarding mineral resources are assigned to the U.S. Geological Survey (USGS), where they are discharged through a staff that includes chemists, economists, engineers, </w:t>
      </w:r>
      <w:r w:rsidR="00F62013" w:rsidRPr="00404750">
        <w:rPr>
          <w:rFonts w:ascii="Calibri" w:hAnsi="Calibri" w:cs="Calibri"/>
          <w:sz w:val="22"/>
          <w:szCs w:val="22"/>
        </w:rPr>
        <w:t xml:space="preserve">geologists, </w:t>
      </w:r>
      <w:r w:rsidR="00916F3C" w:rsidRPr="00404750">
        <w:rPr>
          <w:rFonts w:ascii="Calibri" w:hAnsi="Calibri" w:cs="Calibri"/>
          <w:sz w:val="22"/>
          <w:szCs w:val="22"/>
        </w:rPr>
        <w:t>mineral commodity specialists, and physicists.</w:t>
      </w:r>
    </w:p>
    <w:p w:rsidR="00A22DDA" w:rsidRPr="00404750" w:rsidRDefault="00A22DDA" w:rsidP="00DD1393">
      <w:pPr>
        <w:spacing w:line="276" w:lineRule="auto"/>
        <w:ind w:firstLine="360"/>
        <w:rPr>
          <w:rFonts w:ascii="Calibri" w:hAnsi="Calibri" w:cs="Calibri"/>
          <w:sz w:val="22"/>
          <w:szCs w:val="22"/>
        </w:rPr>
      </w:pPr>
    </w:p>
    <w:p w:rsidR="00916F3C" w:rsidRPr="00404750" w:rsidRDefault="00174805" w:rsidP="00DD1393">
      <w:pPr>
        <w:spacing w:line="276" w:lineRule="auto"/>
        <w:ind w:firstLine="360"/>
        <w:rPr>
          <w:rFonts w:ascii="Calibri" w:hAnsi="Calibri" w:cs="Calibri"/>
          <w:sz w:val="22"/>
          <w:szCs w:val="22"/>
        </w:rPr>
      </w:pPr>
      <w:r w:rsidRPr="00404750">
        <w:rPr>
          <w:rFonts w:ascii="Calibri" w:hAnsi="Calibri" w:cs="Calibri"/>
          <w:sz w:val="22"/>
          <w:szCs w:val="22"/>
        </w:rPr>
        <w:t xml:space="preserve">Two fundamental activities—mining and agriculture—form the basis of the Nation’s wealth because </w:t>
      </w:r>
      <w:r w:rsidRPr="00404750">
        <w:rPr>
          <w:rFonts w:ascii="Calibri" w:hAnsi="Calibri" w:cs="Calibri"/>
          <w:sz w:val="22"/>
          <w:szCs w:val="22"/>
        </w:rPr>
        <w:lastRenderedPageBreak/>
        <w:t>they furnish all the raw materials and most of the energy that are used in all other industries.</w:t>
      </w:r>
      <w:r w:rsidR="00E52F68" w:rsidRPr="00404750">
        <w:rPr>
          <w:rFonts w:ascii="Calibri" w:hAnsi="Calibri" w:cs="Calibri"/>
          <w:sz w:val="22"/>
          <w:szCs w:val="22"/>
        </w:rPr>
        <w:t xml:space="preserve">  Additionally, the mining industry supplies the fertilizers, pesticides, and soil conditioners that significantly enhance the performance of the agricultural sector.</w:t>
      </w:r>
      <w:r w:rsidR="00801463" w:rsidRPr="00404750">
        <w:rPr>
          <w:rFonts w:ascii="Calibri" w:hAnsi="Calibri" w:cs="Calibri"/>
          <w:sz w:val="22"/>
          <w:szCs w:val="22"/>
        </w:rPr>
        <w:t xml:space="preserve">  For those raw materials not produced</w:t>
      </w:r>
      <w:r w:rsidR="00DF39B3" w:rsidRPr="00404750">
        <w:rPr>
          <w:rFonts w:ascii="Calibri" w:hAnsi="Calibri" w:cs="Calibri"/>
          <w:sz w:val="22"/>
          <w:szCs w:val="22"/>
        </w:rPr>
        <w:t xml:space="preserve"> domestically, supplies must be imported.  This adversely affects the trade balance and, for some materials, puts U.S. industries at risk of supply disr</w:t>
      </w:r>
      <w:r w:rsidR="00183C76" w:rsidRPr="00404750">
        <w:rPr>
          <w:rFonts w:ascii="Calibri" w:hAnsi="Calibri" w:cs="Calibri"/>
          <w:sz w:val="22"/>
          <w:szCs w:val="22"/>
        </w:rPr>
        <w:t>uptions because of global</w:t>
      </w:r>
      <w:r w:rsidR="00DF39B3" w:rsidRPr="00404750">
        <w:rPr>
          <w:rFonts w:ascii="Calibri" w:hAnsi="Calibri" w:cs="Calibri"/>
          <w:sz w:val="22"/>
          <w:szCs w:val="22"/>
        </w:rPr>
        <w:t xml:space="preserve"> political developments.</w:t>
      </w:r>
      <w:r w:rsidR="00864280" w:rsidRPr="00404750">
        <w:rPr>
          <w:rFonts w:ascii="Calibri" w:hAnsi="Calibri" w:cs="Calibri"/>
          <w:sz w:val="22"/>
          <w:szCs w:val="22"/>
        </w:rPr>
        <w:t xml:space="preserve">  Imports may also compete with domestic production, thus jeopardizing U.S. jobs.</w:t>
      </w:r>
      <w:r w:rsidR="003D5186" w:rsidRPr="00404750">
        <w:rPr>
          <w:rFonts w:ascii="Calibri" w:hAnsi="Calibri" w:cs="Calibri"/>
          <w:sz w:val="22"/>
          <w:szCs w:val="22"/>
        </w:rPr>
        <w:t xml:space="preserve">  Accordingly, the Government requires accurate, timely data on raw materials production and related industries to formulate policies that ensure national security and economic well-being.</w:t>
      </w:r>
      <w:r w:rsidR="00E94075" w:rsidRPr="00404750">
        <w:rPr>
          <w:rFonts w:ascii="Calibri" w:hAnsi="Calibri" w:cs="Calibri"/>
          <w:sz w:val="22"/>
          <w:szCs w:val="22"/>
        </w:rPr>
        <w:t xml:space="preserve">  The USGS canvass forms are the fundamental means by which data on minerals, mining, and related materials production are obtained.</w:t>
      </w:r>
    </w:p>
    <w:p w:rsidR="00916F3C" w:rsidRPr="00404750" w:rsidRDefault="00916F3C" w:rsidP="00D155BE">
      <w:pPr>
        <w:spacing w:line="276" w:lineRule="auto"/>
        <w:rPr>
          <w:rFonts w:ascii="Calibri" w:hAnsi="Calibri" w:cs="Calibri"/>
          <w:sz w:val="22"/>
          <w:szCs w:val="22"/>
        </w:rPr>
      </w:pPr>
    </w:p>
    <w:p w:rsidR="00A22DDA" w:rsidRPr="00404750" w:rsidRDefault="00A22DDA" w:rsidP="00A22D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2.</w:t>
      </w:r>
      <w:r w:rsidRPr="00404750">
        <w:rPr>
          <w:rFonts w:ascii="Calibri" w:hAnsi="Calibri" w:cs="Calibri"/>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F2189" w:rsidRPr="00404750" w:rsidRDefault="001F2189" w:rsidP="001F2189">
      <w:pPr>
        <w:spacing w:line="276" w:lineRule="auto"/>
        <w:rPr>
          <w:rFonts w:ascii="Calibri" w:hAnsi="Calibri" w:cs="Calibri"/>
          <w:sz w:val="22"/>
          <w:szCs w:val="22"/>
        </w:rPr>
      </w:pPr>
    </w:p>
    <w:p w:rsidR="0061731B" w:rsidRPr="00404750" w:rsidRDefault="00CD3874" w:rsidP="00DD1393">
      <w:pPr>
        <w:spacing w:line="276" w:lineRule="auto"/>
        <w:ind w:firstLine="360"/>
        <w:rPr>
          <w:rFonts w:ascii="Calibri" w:hAnsi="Calibri" w:cs="Calibri"/>
          <w:sz w:val="22"/>
          <w:szCs w:val="22"/>
        </w:rPr>
      </w:pPr>
      <w:r w:rsidRPr="00404750">
        <w:rPr>
          <w:rFonts w:ascii="Calibri" w:hAnsi="Calibri" w:cs="Calibri"/>
          <w:sz w:val="22"/>
          <w:szCs w:val="22"/>
        </w:rPr>
        <w:t>The data obtained from this collection are used by Government agencies, Congressional offices, educational institutions, research organizations, financial institutions, consulting firms, industry, and the public.</w:t>
      </w:r>
      <w:r w:rsidR="003C6F4F" w:rsidRPr="00404750">
        <w:rPr>
          <w:rFonts w:ascii="Calibri" w:hAnsi="Calibri" w:cs="Calibri"/>
          <w:sz w:val="22"/>
          <w:szCs w:val="22"/>
        </w:rPr>
        <w:t xml:space="preserve">  </w:t>
      </w:r>
      <w:r w:rsidR="009B3645">
        <w:rPr>
          <w:rFonts w:ascii="Calibri" w:hAnsi="Calibri" w:cs="Calibri"/>
          <w:sz w:val="22"/>
          <w:szCs w:val="22"/>
        </w:rPr>
        <w:t>They provide essential mining, exploration, and development information used to make domestic ore resource analyses.</w:t>
      </w:r>
    </w:p>
    <w:p w:rsidR="0061731B" w:rsidRPr="00404750" w:rsidRDefault="0061731B" w:rsidP="001F2189">
      <w:pPr>
        <w:spacing w:line="276" w:lineRule="auto"/>
        <w:ind w:firstLine="720"/>
        <w:rPr>
          <w:rFonts w:ascii="Calibri" w:hAnsi="Calibri" w:cs="Calibri"/>
          <w:sz w:val="22"/>
          <w:szCs w:val="22"/>
        </w:rPr>
      </w:pPr>
    </w:p>
    <w:p w:rsidR="003C6F4F" w:rsidRPr="00404750" w:rsidRDefault="00DD1393"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r>
      <w:r w:rsidR="005C2B3D" w:rsidRPr="00404750">
        <w:rPr>
          <w:rFonts w:ascii="Calibri" w:hAnsi="Calibri" w:cs="Calibri"/>
          <w:sz w:val="22"/>
          <w:szCs w:val="22"/>
        </w:rPr>
        <w:t>Each company reports commodity data consistent with industry standards and as mutually agreed upon by the company and the USGS mineral commodity specialists.</w:t>
      </w:r>
      <w:r w:rsidR="0061731B" w:rsidRPr="00404750">
        <w:rPr>
          <w:rFonts w:ascii="Calibri" w:hAnsi="Calibri" w:cs="Calibri"/>
          <w:sz w:val="22"/>
          <w:szCs w:val="22"/>
        </w:rPr>
        <w:t xml:space="preserve">  The USGS routinely uses this information to provide analyses and data for decision-making purposes to the Congress and various Presidential councils and commissions.  The National Security Council, in particular, has frequently used USGS data in relation to materials mobilization studies and sustainability analyses.</w:t>
      </w:r>
    </w:p>
    <w:p w:rsidR="0069697D" w:rsidRPr="00404750" w:rsidRDefault="0069697D" w:rsidP="008E3CE4">
      <w:pPr>
        <w:spacing w:line="276" w:lineRule="auto"/>
        <w:rPr>
          <w:rFonts w:ascii="Calibri" w:hAnsi="Calibri" w:cs="Calibri"/>
          <w:sz w:val="22"/>
          <w:szCs w:val="22"/>
        </w:rPr>
      </w:pPr>
    </w:p>
    <w:p w:rsidR="0069697D" w:rsidRPr="00404750" w:rsidRDefault="00DD1393"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r>
      <w:r w:rsidR="0069697D" w:rsidRPr="00404750">
        <w:rPr>
          <w:rFonts w:ascii="Calibri" w:hAnsi="Calibri" w:cs="Calibri"/>
          <w:sz w:val="22"/>
          <w:szCs w:val="22"/>
        </w:rPr>
        <w:t>Information gathered from this collection is used by the Secretary of the Interior in the annual report to the Congress on the state of domestic mining and mineral industries as required by the National Materials and Minerals Policy, Research, and Development Act of 1980.</w:t>
      </w:r>
      <w:r w:rsidR="00836780" w:rsidRPr="00404750">
        <w:rPr>
          <w:rFonts w:ascii="Calibri" w:hAnsi="Calibri" w:cs="Calibri"/>
          <w:sz w:val="22"/>
          <w:szCs w:val="22"/>
        </w:rPr>
        <w:t xml:space="preserve">  </w:t>
      </w:r>
      <w:r w:rsidR="008C760C" w:rsidRPr="00404750">
        <w:rPr>
          <w:rFonts w:ascii="Calibri" w:hAnsi="Calibri" w:cs="Calibri"/>
          <w:sz w:val="22"/>
          <w:szCs w:val="22"/>
        </w:rPr>
        <w:t xml:space="preserve">Two of the basic provisions of the Act are “the availability of materials is essential for national security, economic well-being, and industrial production” and the “extraction, production, processing, use, recycling, and disposal of materials are closely linked with natural concerns for energy and the environment.”  The data also provide ways of identifying industry trends; making supply and demand analyses on varying time cycles; assembling meaningful conclusions concerning such important indicators as industry vitality; and formulating appropriate recommendations for the Government on such matters as stockpiling, tariffs, research and development, and production incentives.  </w:t>
      </w:r>
      <w:r w:rsidR="0023419E">
        <w:rPr>
          <w:rFonts w:ascii="Calibri" w:hAnsi="Calibri" w:cs="Calibri"/>
          <w:sz w:val="22"/>
          <w:szCs w:val="22"/>
        </w:rPr>
        <w:t>Exploration data can provide a window to the future because exploration activity often takes place many years before mining begins.</w:t>
      </w:r>
    </w:p>
    <w:p w:rsidR="00B30042" w:rsidRPr="00404750" w:rsidRDefault="00B30042" w:rsidP="001F2189">
      <w:pPr>
        <w:spacing w:line="276" w:lineRule="auto"/>
        <w:ind w:firstLine="720"/>
        <w:rPr>
          <w:rFonts w:ascii="Calibri" w:hAnsi="Calibri" w:cs="Calibri"/>
          <w:sz w:val="22"/>
          <w:szCs w:val="22"/>
        </w:rPr>
      </w:pPr>
    </w:p>
    <w:p w:rsidR="008364BB" w:rsidRDefault="00DD1393"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r>
      <w:r w:rsidR="006C7052">
        <w:rPr>
          <w:rFonts w:ascii="Calibri" w:hAnsi="Calibri" w:cs="Calibri"/>
          <w:sz w:val="22"/>
          <w:szCs w:val="22"/>
        </w:rPr>
        <w:t>This canvass</w:t>
      </w:r>
      <w:r w:rsidR="00B30042" w:rsidRPr="00404750">
        <w:rPr>
          <w:rFonts w:ascii="Calibri" w:hAnsi="Calibri" w:cs="Calibri"/>
          <w:sz w:val="22"/>
          <w:szCs w:val="22"/>
        </w:rPr>
        <w:t xml:space="preserve"> cover</w:t>
      </w:r>
      <w:r w:rsidR="006C7052">
        <w:rPr>
          <w:rFonts w:ascii="Calibri" w:hAnsi="Calibri" w:cs="Calibri"/>
          <w:sz w:val="22"/>
          <w:szCs w:val="22"/>
        </w:rPr>
        <w:t>s the entire nonfuel minerals mining industry</w:t>
      </w:r>
      <w:r w:rsidR="00B30042" w:rsidRPr="00404750">
        <w:rPr>
          <w:rFonts w:ascii="Calibri" w:hAnsi="Calibri" w:cs="Calibri"/>
          <w:sz w:val="22"/>
          <w:szCs w:val="22"/>
        </w:rPr>
        <w:t xml:space="preserve">.  The data collected are analyzed and used by the USGS to </w:t>
      </w:r>
      <w:r w:rsidR="00AE4B42">
        <w:rPr>
          <w:rFonts w:ascii="Calibri" w:hAnsi="Calibri" w:cs="Calibri"/>
          <w:sz w:val="22"/>
          <w:szCs w:val="22"/>
        </w:rPr>
        <w:t xml:space="preserve">make domestic ore resource analyses then </w:t>
      </w:r>
      <w:r w:rsidR="00B30042" w:rsidRPr="00404750">
        <w:rPr>
          <w:rFonts w:ascii="Calibri" w:hAnsi="Calibri" w:cs="Calibri"/>
          <w:sz w:val="22"/>
          <w:szCs w:val="22"/>
        </w:rPr>
        <w:t xml:space="preserve">issue, as promptly as possible, </w:t>
      </w:r>
      <w:r w:rsidR="00AE4B42">
        <w:rPr>
          <w:rFonts w:ascii="Calibri" w:hAnsi="Calibri" w:cs="Calibri"/>
          <w:sz w:val="22"/>
          <w:szCs w:val="22"/>
        </w:rPr>
        <w:t xml:space="preserve">an Annual Report </w:t>
      </w:r>
      <w:r w:rsidR="00B30042" w:rsidRPr="00404750">
        <w:rPr>
          <w:rFonts w:ascii="Calibri" w:hAnsi="Calibri" w:cs="Calibri"/>
          <w:sz w:val="22"/>
          <w:szCs w:val="22"/>
        </w:rPr>
        <w:t>that provide</w:t>
      </w:r>
      <w:r w:rsidR="00D07E1D">
        <w:rPr>
          <w:rFonts w:ascii="Calibri" w:hAnsi="Calibri" w:cs="Calibri"/>
          <w:sz w:val="22"/>
          <w:szCs w:val="22"/>
        </w:rPr>
        <w:t>s</w:t>
      </w:r>
      <w:r w:rsidR="00B30042" w:rsidRPr="00404750">
        <w:rPr>
          <w:rFonts w:ascii="Calibri" w:hAnsi="Calibri" w:cs="Calibri"/>
          <w:sz w:val="22"/>
          <w:szCs w:val="22"/>
        </w:rPr>
        <w:t xml:space="preserve"> essential information while protecting trade secrets and privileged or </w:t>
      </w:r>
      <w:r w:rsidR="00B30042" w:rsidRPr="00404750">
        <w:rPr>
          <w:rFonts w:ascii="Calibri" w:hAnsi="Calibri" w:cs="Calibri"/>
          <w:sz w:val="22"/>
          <w:szCs w:val="22"/>
        </w:rPr>
        <w:lastRenderedPageBreak/>
        <w:t>proprietary commercial or financial information.  These data form a substantial part of the USGS Automated Minerals Information System (AMIS)</w:t>
      </w:r>
      <w:r w:rsidR="00276C2E">
        <w:rPr>
          <w:rFonts w:ascii="Calibri" w:hAnsi="Calibri" w:cs="Calibri"/>
          <w:sz w:val="22"/>
          <w:szCs w:val="22"/>
        </w:rPr>
        <w:t>,</w:t>
      </w:r>
      <w:r w:rsidR="00B30042" w:rsidRPr="00404750">
        <w:rPr>
          <w:rFonts w:ascii="Calibri" w:hAnsi="Calibri" w:cs="Calibri"/>
          <w:sz w:val="22"/>
          <w:szCs w:val="22"/>
        </w:rPr>
        <w:t xml:space="preserve"> which the USGS uses in legislative programs, research programs, econo</w:t>
      </w:r>
      <w:r w:rsidR="001A3521" w:rsidRPr="00404750">
        <w:rPr>
          <w:rFonts w:ascii="Calibri" w:hAnsi="Calibri" w:cs="Calibri"/>
          <w:sz w:val="22"/>
          <w:szCs w:val="22"/>
        </w:rPr>
        <w:t>mic studies, analyses, and land use</w:t>
      </w:r>
      <w:r w:rsidR="00B30042" w:rsidRPr="00404750">
        <w:rPr>
          <w:rFonts w:ascii="Calibri" w:hAnsi="Calibri" w:cs="Calibri"/>
          <w:sz w:val="22"/>
          <w:szCs w:val="22"/>
        </w:rPr>
        <w:t xml:space="preserve"> and environmental impact studies.  These data are also used to respond</w:t>
      </w:r>
      <w:r w:rsidR="00183C76" w:rsidRPr="00404750">
        <w:rPr>
          <w:rFonts w:ascii="Calibri" w:hAnsi="Calibri" w:cs="Calibri"/>
          <w:sz w:val="22"/>
          <w:szCs w:val="22"/>
        </w:rPr>
        <w:t xml:space="preserve"> to nationwide and global</w:t>
      </w:r>
      <w:r w:rsidR="00B30042" w:rsidRPr="00404750">
        <w:rPr>
          <w:rFonts w:ascii="Calibri" w:hAnsi="Calibri" w:cs="Calibri"/>
          <w:sz w:val="22"/>
          <w:szCs w:val="22"/>
        </w:rPr>
        <w:t xml:space="preserve"> requests for minerals information.</w:t>
      </w:r>
    </w:p>
    <w:p w:rsidR="008364BB" w:rsidRDefault="008364BB" w:rsidP="00DD1393">
      <w:pPr>
        <w:tabs>
          <w:tab w:val="left" w:pos="360"/>
        </w:tabs>
        <w:spacing w:line="276" w:lineRule="auto"/>
        <w:rPr>
          <w:rFonts w:ascii="Calibri" w:hAnsi="Calibri" w:cs="Calibri"/>
          <w:sz w:val="22"/>
          <w:szCs w:val="22"/>
        </w:rPr>
      </w:pPr>
    </w:p>
    <w:p w:rsidR="00231471" w:rsidRPr="00404750" w:rsidRDefault="008364BB" w:rsidP="004D6DD3">
      <w:pPr>
        <w:tabs>
          <w:tab w:val="left" w:pos="360"/>
        </w:tabs>
        <w:spacing w:line="276" w:lineRule="auto"/>
        <w:rPr>
          <w:rFonts w:ascii="Calibri" w:hAnsi="Calibri" w:cs="Calibri"/>
          <w:sz w:val="22"/>
          <w:szCs w:val="22"/>
        </w:rPr>
      </w:pPr>
      <w:r>
        <w:rPr>
          <w:rFonts w:ascii="Calibri" w:hAnsi="Calibri" w:cs="Calibri"/>
          <w:sz w:val="22"/>
          <w:szCs w:val="22"/>
        </w:rPr>
        <w:tab/>
        <w:t xml:space="preserve">Form USGS 9-4000-A asks respondents for information on production status, activity, and type of operations </w:t>
      </w:r>
      <w:r w:rsidR="007A06B0">
        <w:rPr>
          <w:rFonts w:ascii="Calibri" w:hAnsi="Calibri" w:cs="Calibri"/>
          <w:sz w:val="22"/>
          <w:szCs w:val="22"/>
        </w:rPr>
        <w:t xml:space="preserve">during the </w:t>
      </w:r>
      <w:r>
        <w:rPr>
          <w:rFonts w:ascii="Calibri" w:hAnsi="Calibri" w:cs="Calibri"/>
          <w:sz w:val="22"/>
          <w:szCs w:val="22"/>
        </w:rPr>
        <w:t>year; type and quantity of crude material mined; type of development work; mining methods; and exploration activity.</w:t>
      </w:r>
    </w:p>
    <w:p w:rsidR="001C7751" w:rsidRPr="00404750" w:rsidRDefault="001C7751" w:rsidP="001F2189">
      <w:pPr>
        <w:spacing w:line="276" w:lineRule="auto"/>
        <w:rPr>
          <w:rFonts w:ascii="Calibri" w:hAnsi="Calibri" w:cs="Calibri"/>
          <w:sz w:val="22"/>
          <w:szCs w:val="22"/>
        </w:rPr>
      </w:pPr>
    </w:p>
    <w:p w:rsidR="00497498" w:rsidRPr="00404750" w:rsidRDefault="00497498" w:rsidP="004974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3.</w:t>
      </w:r>
      <w:r w:rsidRPr="00404750">
        <w:rPr>
          <w:rFonts w:ascii="Calibri" w:hAnsi="Calibri" w:cs="Calibr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1F2189" w:rsidRPr="00404750" w:rsidRDefault="001F2189" w:rsidP="001F2189">
      <w:pPr>
        <w:spacing w:line="276" w:lineRule="auto"/>
        <w:rPr>
          <w:rFonts w:ascii="Calibri" w:hAnsi="Calibri" w:cs="Calibri"/>
          <w:sz w:val="22"/>
          <w:szCs w:val="22"/>
        </w:rPr>
      </w:pPr>
    </w:p>
    <w:p w:rsidR="003862BC" w:rsidRPr="00404750" w:rsidRDefault="003862BC" w:rsidP="00DD1393">
      <w:pPr>
        <w:spacing w:line="276" w:lineRule="auto"/>
        <w:ind w:firstLine="360"/>
        <w:rPr>
          <w:rFonts w:ascii="Calibri" w:hAnsi="Calibri" w:cs="Calibri"/>
          <w:sz w:val="22"/>
          <w:szCs w:val="22"/>
        </w:rPr>
      </w:pPr>
      <w:r w:rsidRPr="00404750">
        <w:rPr>
          <w:rFonts w:ascii="Calibri" w:hAnsi="Calibri" w:cs="Calibri"/>
          <w:sz w:val="22"/>
          <w:szCs w:val="22"/>
        </w:rPr>
        <w:t xml:space="preserve">On-line electronic forms are available to </w:t>
      </w:r>
      <w:r w:rsidR="009839BD" w:rsidRPr="00404750">
        <w:rPr>
          <w:rFonts w:ascii="Calibri" w:hAnsi="Calibri" w:cs="Calibri"/>
          <w:sz w:val="22"/>
          <w:szCs w:val="22"/>
        </w:rPr>
        <w:t xml:space="preserve">registered </w:t>
      </w:r>
      <w:r w:rsidRPr="00404750">
        <w:rPr>
          <w:rFonts w:ascii="Calibri" w:hAnsi="Calibri" w:cs="Calibri"/>
          <w:sz w:val="22"/>
          <w:szCs w:val="22"/>
        </w:rPr>
        <w:t>users</w:t>
      </w:r>
      <w:r w:rsidR="009839BD" w:rsidRPr="00404750">
        <w:rPr>
          <w:rFonts w:ascii="Calibri" w:hAnsi="Calibri" w:cs="Calibri"/>
          <w:sz w:val="22"/>
          <w:szCs w:val="22"/>
        </w:rPr>
        <w:t xml:space="preserve"> at the minerals information forms (MIFORMS) </w:t>
      </w:r>
      <w:r w:rsidR="00F202D7" w:rsidRPr="00404750">
        <w:rPr>
          <w:rFonts w:ascii="Calibri" w:hAnsi="Calibri" w:cs="Calibri"/>
          <w:sz w:val="22"/>
          <w:szCs w:val="22"/>
        </w:rPr>
        <w:t>W</w:t>
      </w:r>
      <w:r w:rsidR="009839BD" w:rsidRPr="00404750">
        <w:rPr>
          <w:rFonts w:ascii="Calibri" w:hAnsi="Calibri" w:cs="Calibri"/>
          <w:sz w:val="22"/>
          <w:szCs w:val="22"/>
        </w:rPr>
        <w:t>eb</w:t>
      </w:r>
      <w:r w:rsidR="00F202D7" w:rsidRPr="00404750">
        <w:rPr>
          <w:rFonts w:ascii="Calibri" w:hAnsi="Calibri" w:cs="Calibri"/>
          <w:sz w:val="22"/>
          <w:szCs w:val="22"/>
        </w:rPr>
        <w:t xml:space="preserve"> </w:t>
      </w:r>
      <w:r w:rsidR="009839BD" w:rsidRPr="00404750">
        <w:rPr>
          <w:rFonts w:ascii="Calibri" w:hAnsi="Calibri" w:cs="Calibri"/>
          <w:sz w:val="22"/>
          <w:szCs w:val="22"/>
        </w:rPr>
        <w:t>si</w:t>
      </w:r>
      <w:r w:rsidR="009839BD" w:rsidRPr="00056575">
        <w:rPr>
          <w:rFonts w:ascii="Calibri" w:hAnsi="Calibri" w:cs="Calibri"/>
          <w:sz w:val="22"/>
          <w:szCs w:val="22"/>
        </w:rPr>
        <w:t>te (</w:t>
      </w:r>
      <w:hyperlink r:id="rId9" w:history="1">
        <w:r w:rsidR="009839BD" w:rsidRPr="00056575">
          <w:rPr>
            <w:rStyle w:val="Hyperlink"/>
            <w:rFonts w:ascii="Calibri" w:hAnsi="Calibri" w:cs="Calibri"/>
            <w:sz w:val="22"/>
            <w:szCs w:val="22"/>
          </w:rPr>
          <w:t>https://miforms.er.usgs.gov</w:t>
        </w:r>
      </w:hyperlink>
      <w:r w:rsidR="009839BD" w:rsidRPr="00056575">
        <w:rPr>
          <w:rFonts w:ascii="Calibri" w:hAnsi="Calibri" w:cs="Calibri"/>
          <w:sz w:val="22"/>
          <w:szCs w:val="22"/>
        </w:rPr>
        <w:t xml:space="preserve">). </w:t>
      </w:r>
      <w:r w:rsidRPr="00056575">
        <w:rPr>
          <w:rFonts w:ascii="Calibri" w:hAnsi="Calibri" w:cs="Calibri"/>
          <w:sz w:val="22"/>
          <w:szCs w:val="22"/>
        </w:rPr>
        <w:t xml:space="preserve"> </w:t>
      </w:r>
      <w:r w:rsidR="00CF00D1" w:rsidRPr="00404750">
        <w:rPr>
          <w:rFonts w:ascii="Calibri" w:hAnsi="Calibri" w:cs="Calibri"/>
          <w:sz w:val="22"/>
          <w:szCs w:val="22"/>
        </w:rPr>
        <w:t xml:space="preserve">Immediate on-line registration is available where new respondents and new users are granted immediate access.  For security purposes, </w:t>
      </w:r>
      <w:r w:rsidR="000E1DC9" w:rsidRPr="00404750">
        <w:rPr>
          <w:rFonts w:ascii="Calibri" w:hAnsi="Calibri" w:cs="Calibri"/>
          <w:sz w:val="22"/>
          <w:szCs w:val="22"/>
        </w:rPr>
        <w:t>additional</w:t>
      </w:r>
      <w:r w:rsidR="0085318D">
        <w:rPr>
          <w:rFonts w:ascii="Calibri" w:hAnsi="Calibri" w:cs="Calibri"/>
          <w:sz w:val="22"/>
          <w:szCs w:val="22"/>
        </w:rPr>
        <w:t xml:space="preserve"> new registrants (two or more) for the same operation</w:t>
      </w:r>
      <w:r w:rsidR="00CF00D1" w:rsidRPr="00404750">
        <w:rPr>
          <w:rFonts w:ascii="Calibri" w:hAnsi="Calibri" w:cs="Calibri"/>
          <w:sz w:val="22"/>
          <w:szCs w:val="22"/>
        </w:rPr>
        <w:t xml:space="preserve"> will not be allowed to access past submissions on-line unless they specifically request administrative privileges to retrieve such historical data.</w:t>
      </w:r>
    </w:p>
    <w:p w:rsidR="001875DE" w:rsidRPr="00404750" w:rsidRDefault="001875DE" w:rsidP="001F2189">
      <w:pPr>
        <w:spacing w:line="276" w:lineRule="auto"/>
        <w:ind w:firstLine="720"/>
        <w:rPr>
          <w:rFonts w:ascii="Calibri" w:hAnsi="Calibri" w:cs="Calibri"/>
          <w:sz w:val="22"/>
          <w:szCs w:val="22"/>
        </w:rPr>
      </w:pPr>
    </w:p>
    <w:p w:rsidR="00A7785C" w:rsidRDefault="008A533F" w:rsidP="00DD1393">
      <w:pPr>
        <w:spacing w:line="276" w:lineRule="auto"/>
        <w:ind w:firstLine="360"/>
        <w:rPr>
          <w:rFonts w:ascii="Calibri" w:hAnsi="Calibri" w:cs="Calibri"/>
          <w:sz w:val="22"/>
          <w:szCs w:val="22"/>
        </w:rPr>
      </w:pPr>
      <w:r>
        <w:rPr>
          <w:rFonts w:ascii="Calibri" w:hAnsi="Calibri" w:cs="Calibri"/>
          <w:color w:val="000000"/>
          <w:sz w:val="22"/>
          <w:szCs w:val="22"/>
        </w:rPr>
        <w:t>We expect that</w:t>
      </w:r>
      <w:r w:rsidR="00990A9F" w:rsidRPr="006E448D">
        <w:rPr>
          <w:rFonts w:ascii="Calibri" w:hAnsi="Calibri" w:cs="Calibri"/>
          <w:color w:val="000000"/>
          <w:sz w:val="22"/>
          <w:szCs w:val="22"/>
        </w:rPr>
        <w:t xml:space="preserve"> </w:t>
      </w:r>
      <w:r w:rsidR="00207B2F" w:rsidRPr="0064512A">
        <w:rPr>
          <w:rFonts w:ascii="Calibri" w:hAnsi="Calibri" w:cs="Calibri"/>
          <w:color w:val="000000"/>
          <w:sz w:val="22"/>
          <w:szCs w:val="22"/>
        </w:rPr>
        <w:t>15</w:t>
      </w:r>
      <w:r w:rsidR="005661B3" w:rsidRPr="006E448D">
        <w:rPr>
          <w:rFonts w:ascii="Calibri" w:hAnsi="Calibri" w:cs="Calibri"/>
          <w:color w:val="000000"/>
          <w:sz w:val="22"/>
          <w:szCs w:val="22"/>
        </w:rPr>
        <w:t>% o</w:t>
      </w:r>
      <w:r w:rsidR="001875DE" w:rsidRPr="006E448D">
        <w:rPr>
          <w:rFonts w:ascii="Calibri" w:hAnsi="Calibri" w:cs="Calibri"/>
          <w:color w:val="000000"/>
          <w:sz w:val="22"/>
          <w:szCs w:val="22"/>
        </w:rPr>
        <w:t xml:space="preserve">f the universe </w:t>
      </w:r>
      <w:r>
        <w:rPr>
          <w:rFonts w:ascii="Calibri" w:hAnsi="Calibri" w:cs="Calibri"/>
          <w:color w:val="000000"/>
          <w:sz w:val="22"/>
          <w:szCs w:val="22"/>
        </w:rPr>
        <w:t xml:space="preserve">will </w:t>
      </w:r>
      <w:r w:rsidR="001875DE" w:rsidRPr="006E448D">
        <w:rPr>
          <w:rFonts w:ascii="Calibri" w:hAnsi="Calibri" w:cs="Calibri"/>
          <w:color w:val="000000"/>
          <w:sz w:val="22"/>
          <w:szCs w:val="22"/>
        </w:rPr>
        <w:t>respond</w:t>
      </w:r>
      <w:r w:rsidR="00DE0F41">
        <w:rPr>
          <w:rFonts w:ascii="Calibri" w:hAnsi="Calibri" w:cs="Calibri"/>
          <w:color w:val="000000"/>
          <w:sz w:val="22"/>
          <w:szCs w:val="22"/>
        </w:rPr>
        <w:t xml:space="preserve"> electronically</w:t>
      </w:r>
      <w:r w:rsidR="00327DDA" w:rsidRPr="00404750">
        <w:rPr>
          <w:rFonts w:ascii="Calibri" w:hAnsi="Calibri" w:cs="Calibri"/>
          <w:sz w:val="22"/>
          <w:szCs w:val="22"/>
        </w:rPr>
        <w:t xml:space="preserve">.  </w:t>
      </w:r>
      <w:r w:rsidR="00AA6BC2" w:rsidRPr="00404750">
        <w:rPr>
          <w:rFonts w:ascii="Calibri" w:hAnsi="Calibri" w:cs="Calibri"/>
          <w:sz w:val="22"/>
          <w:szCs w:val="22"/>
        </w:rPr>
        <w:t>Paper forms will remain an option for submission because not all industry respondents are able or wish to transmit their data to the USGS by electronic means.</w:t>
      </w:r>
      <w:r w:rsidR="00D50390" w:rsidRPr="00404750">
        <w:rPr>
          <w:rFonts w:ascii="Calibri" w:hAnsi="Calibri" w:cs="Calibri"/>
          <w:sz w:val="22"/>
          <w:szCs w:val="22"/>
        </w:rPr>
        <w:t xml:space="preserve"> </w:t>
      </w:r>
    </w:p>
    <w:p w:rsidR="008A533F" w:rsidRPr="00404750" w:rsidRDefault="008A533F" w:rsidP="00DD1393">
      <w:pPr>
        <w:spacing w:line="276" w:lineRule="auto"/>
        <w:ind w:firstLine="360"/>
        <w:rPr>
          <w:rFonts w:ascii="Calibri" w:hAnsi="Calibri" w:cs="Calibri"/>
          <w:sz w:val="22"/>
          <w:szCs w:val="22"/>
        </w:rPr>
      </w:pPr>
    </w:p>
    <w:p w:rsidR="00351D60" w:rsidRDefault="00A7785C" w:rsidP="00DD1393">
      <w:pPr>
        <w:spacing w:line="276" w:lineRule="auto"/>
        <w:ind w:firstLine="360"/>
        <w:rPr>
          <w:rFonts w:ascii="Calibri" w:hAnsi="Calibri" w:cs="Calibri"/>
          <w:sz w:val="22"/>
          <w:szCs w:val="22"/>
        </w:rPr>
      </w:pPr>
      <w:r w:rsidRPr="00404750">
        <w:rPr>
          <w:rFonts w:ascii="Calibri" w:hAnsi="Calibri" w:cs="Calibri"/>
          <w:sz w:val="22"/>
          <w:szCs w:val="22"/>
        </w:rPr>
        <w:t>The electronic forms conversion effort continues to fulfill the Government P</w:t>
      </w:r>
      <w:r w:rsidR="001B649C" w:rsidRPr="00404750">
        <w:rPr>
          <w:rFonts w:ascii="Calibri" w:hAnsi="Calibri" w:cs="Calibri"/>
          <w:sz w:val="22"/>
          <w:szCs w:val="22"/>
        </w:rPr>
        <w:t xml:space="preserve">aperwork Elimination Act </w:t>
      </w:r>
      <w:r w:rsidRPr="00404750">
        <w:rPr>
          <w:rFonts w:ascii="Calibri" w:hAnsi="Calibri" w:cs="Calibri"/>
          <w:sz w:val="22"/>
          <w:szCs w:val="22"/>
        </w:rPr>
        <w:t>requirements by maintaining intelligent links between the electronic forms and the database.</w:t>
      </w:r>
    </w:p>
    <w:p w:rsidR="008A533F" w:rsidRDefault="008A533F" w:rsidP="00DD1393">
      <w:pPr>
        <w:spacing w:line="276" w:lineRule="auto"/>
        <w:ind w:firstLine="360"/>
        <w:rPr>
          <w:rFonts w:ascii="Calibri" w:hAnsi="Calibri" w:cs="Calibri"/>
          <w:sz w:val="22"/>
          <w:szCs w:val="22"/>
        </w:rPr>
      </w:pPr>
    </w:p>
    <w:p w:rsidR="008A533F" w:rsidRPr="00404750" w:rsidRDefault="008A533F" w:rsidP="00DD1393">
      <w:pPr>
        <w:spacing w:line="276" w:lineRule="auto"/>
        <w:ind w:firstLine="360"/>
        <w:rPr>
          <w:rFonts w:ascii="Calibri" w:hAnsi="Calibri" w:cs="Calibri"/>
          <w:sz w:val="22"/>
          <w:szCs w:val="22"/>
        </w:rPr>
      </w:pPr>
      <w:r>
        <w:rPr>
          <w:rFonts w:ascii="Calibri" w:hAnsi="Calibri" w:cs="Calibri"/>
          <w:sz w:val="22"/>
          <w:szCs w:val="22"/>
        </w:rPr>
        <w:t>An AMIS algorithm determines which canvass qualifies respondents to receive a Mine, Development, and Mineral Exploration Supplement canvass (USGS Form 9-4000-A).  The batch process associated with this algorithm automatically registers respondents who currently respond via e-forms for the qualifying base canvass.  The same batch process issues an e-mailed reminder notice to these respondents.</w:t>
      </w:r>
    </w:p>
    <w:p w:rsidR="000B14E1" w:rsidRPr="00404750" w:rsidRDefault="000B14E1" w:rsidP="001F2189">
      <w:pPr>
        <w:spacing w:line="276" w:lineRule="auto"/>
        <w:rPr>
          <w:rFonts w:ascii="Calibri" w:hAnsi="Calibri" w:cs="Calibri"/>
          <w:sz w:val="22"/>
          <w:szCs w:val="22"/>
        </w:rPr>
      </w:pPr>
    </w:p>
    <w:p w:rsidR="00497498" w:rsidRPr="00404750" w:rsidRDefault="00497498" w:rsidP="004974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4.</w:t>
      </w:r>
      <w:r w:rsidRPr="00404750">
        <w:rPr>
          <w:rFonts w:ascii="Calibri" w:hAnsi="Calibri" w:cs="Calibri"/>
          <w:b/>
          <w:sz w:val="22"/>
          <w:szCs w:val="22"/>
        </w:rPr>
        <w:tab/>
        <w:t>Describe efforts to identify duplication.  Show specifically why any similar information already available cannot be used or modified for use for the purposes described in Item 2 above.</w:t>
      </w:r>
    </w:p>
    <w:p w:rsidR="001F2189" w:rsidRPr="00404750" w:rsidRDefault="001F2189" w:rsidP="001F2189">
      <w:pPr>
        <w:spacing w:line="276" w:lineRule="auto"/>
        <w:ind w:firstLine="720"/>
        <w:rPr>
          <w:rFonts w:ascii="Calibri" w:hAnsi="Calibri" w:cs="Calibri"/>
          <w:sz w:val="22"/>
          <w:szCs w:val="22"/>
        </w:rPr>
      </w:pPr>
    </w:p>
    <w:p w:rsidR="000D04B7" w:rsidRDefault="000D04B7" w:rsidP="00DD1393">
      <w:pPr>
        <w:spacing w:line="276" w:lineRule="auto"/>
        <w:ind w:firstLine="360"/>
        <w:rPr>
          <w:rFonts w:ascii="Calibri" w:hAnsi="Calibri" w:cs="Calibri"/>
          <w:sz w:val="22"/>
          <w:szCs w:val="22"/>
        </w:rPr>
      </w:pPr>
      <w:r>
        <w:rPr>
          <w:rFonts w:ascii="Calibri" w:hAnsi="Calibri" w:cs="Calibri"/>
          <w:sz w:val="22"/>
          <w:szCs w:val="22"/>
        </w:rPr>
        <w:t xml:space="preserve">These data are not collected by any other Federal or State agency, trade association, or other public sources.  The USGS continuously reviews data collection practices with other agencies, including </w:t>
      </w:r>
      <w:r w:rsidR="00F97913">
        <w:rPr>
          <w:rFonts w:ascii="Calibri" w:hAnsi="Calibri" w:cs="Calibri"/>
          <w:sz w:val="22"/>
          <w:szCs w:val="22"/>
        </w:rPr>
        <w:t>the U.S. Department of Labor</w:t>
      </w:r>
      <w:r w:rsidR="00E07B09">
        <w:rPr>
          <w:rFonts w:ascii="Calibri" w:hAnsi="Calibri" w:cs="Calibri"/>
          <w:sz w:val="22"/>
          <w:szCs w:val="22"/>
        </w:rPr>
        <w:t>, U.S. Department of Commerce, and U.S. International Trade Commission</w:t>
      </w:r>
      <w:r w:rsidR="00A45EAA">
        <w:rPr>
          <w:rFonts w:ascii="Calibri" w:hAnsi="Calibri" w:cs="Calibri"/>
          <w:sz w:val="22"/>
          <w:szCs w:val="22"/>
        </w:rPr>
        <w:t xml:space="preserve">, as well as </w:t>
      </w:r>
      <w:r w:rsidR="00927A9B">
        <w:rPr>
          <w:rFonts w:ascii="Calibri" w:hAnsi="Calibri" w:cs="Calibri"/>
          <w:sz w:val="22"/>
          <w:szCs w:val="22"/>
        </w:rPr>
        <w:t>with industry associations such as the American Iron and Steel Institute, the Institute</w:t>
      </w:r>
      <w:r w:rsidR="00B346E2">
        <w:rPr>
          <w:rFonts w:ascii="Calibri" w:hAnsi="Calibri" w:cs="Calibri"/>
          <w:sz w:val="22"/>
          <w:szCs w:val="22"/>
        </w:rPr>
        <w:t xml:space="preserve"> of Scrap Recycling Industries, the International Tungsten Industry Association, the Cobalt Development Institute, </w:t>
      </w:r>
      <w:r w:rsidR="00B346E2">
        <w:rPr>
          <w:rFonts w:ascii="Calibri" w:hAnsi="Calibri" w:cs="Calibri"/>
          <w:sz w:val="22"/>
          <w:szCs w:val="22"/>
        </w:rPr>
        <w:lastRenderedPageBreak/>
        <w:t>the Gypsum Association, the Aluminum Association, the International Chromium Development Institute, the Bismuth Institute, the International Copper Study Group, and the International Lead and Zinc Study Group.</w:t>
      </w:r>
    </w:p>
    <w:p w:rsidR="000D04B7" w:rsidRDefault="000D04B7" w:rsidP="00DD1393">
      <w:pPr>
        <w:spacing w:line="276" w:lineRule="auto"/>
        <w:ind w:firstLine="360"/>
        <w:rPr>
          <w:rFonts w:ascii="Calibri" w:hAnsi="Calibri" w:cs="Calibri"/>
          <w:sz w:val="22"/>
          <w:szCs w:val="22"/>
        </w:rPr>
      </w:pPr>
    </w:p>
    <w:p w:rsidR="004368F3" w:rsidRPr="00404750" w:rsidRDefault="004A523C" w:rsidP="00AE3946">
      <w:pPr>
        <w:spacing w:line="276" w:lineRule="auto"/>
        <w:ind w:firstLine="360"/>
        <w:rPr>
          <w:rFonts w:ascii="Calibri" w:hAnsi="Calibri" w:cs="Calibri"/>
          <w:sz w:val="22"/>
          <w:szCs w:val="22"/>
        </w:rPr>
      </w:pPr>
      <w:r w:rsidRPr="00404750">
        <w:rPr>
          <w:rFonts w:ascii="Calibri" w:hAnsi="Calibri" w:cs="Calibri"/>
          <w:sz w:val="22"/>
          <w:szCs w:val="22"/>
        </w:rPr>
        <w:t>For over 120 years, the Federal Government has consistently collected mineral information while trade associations have been created and abolished.  Where data are available from other sources, these data are used.  Alternate data sources are not available for the mineral commodities that are canvassed.</w:t>
      </w:r>
    </w:p>
    <w:p w:rsidR="00B21331" w:rsidRPr="00404750" w:rsidRDefault="00B21331" w:rsidP="001F2189">
      <w:pPr>
        <w:spacing w:line="276" w:lineRule="auto"/>
        <w:ind w:firstLine="720"/>
        <w:rPr>
          <w:rFonts w:ascii="Calibri" w:hAnsi="Calibri" w:cs="Calibri"/>
          <w:sz w:val="22"/>
          <w:szCs w:val="22"/>
        </w:rPr>
      </w:pPr>
    </w:p>
    <w:p w:rsidR="00497498" w:rsidRPr="00B37CC7" w:rsidRDefault="00497498" w:rsidP="004974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b/>
          <w:sz w:val="22"/>
          <w:szCs w:val="22"/>
        </w:rPr>
      </w:pPr>
      <w:r w:rsidRPr="00B37CC7">
        <w:rPr>
          <w:rFonts w:ascii="Calibri" w:hAnsi="Calibri"/>
          <w:b/>
          <w:sz w:val="22"/>
          <w:szCs w:val="22"/>
        </w:rPr>
        <w:t>5.</w:t>
      </w:r>
      <w:r w:rsidRPr="00B37CC7">
        <w:rPr>
          <w:rFonts w:ascii="Calibri" w:hAnsi="Calibri"/>
          <w:b/>
          <w:sz w:val="22"/>
          <w:szCs w:val="22"/>
        </w:rPr>
        <w:tab/>
        <w:t>If the collection of information impacts small businesses or other small entities, describe any methods used to minimize burden.</w:t>
      </w:r>
    </w:p>
    <w:p w:rsidR="001F2189" w:rsidRPr="00404750" w:rsidRDefault="001F2189" w:rsidP="00497498">
      <w:pPr>
        <w:spacing w:line="276" w:lineRule="auto"/>
        <w:rPr>
          <w:rFonts w:ascii="Calibri" w:hAnsi="Calibri" w:cs="Calibri"/>
          <w:sz w:val="22"/>
          <w:szCs w:val="22"/>
        </w:rPr>
      </w:pPr>
    </w:p>
    <w:p w:rsidR="00055ED5" w:rsidRPr="00463594" w:rsidRDefault="000B14E1" w:rsidP="00463594">
      <w:pPr>
        <w:spacing w:line="276" w:lineRule="auto"/>
        <w:ind w:firstLine="360"/>
        <w:rPr>
          <w:rFonts w:ascii="Calibri" w:hAnsi="Calibri" w:cs="Calibri"/>
          <w:sz w:val="22"/>
          <w:szCs w:val="22"/>
        </w:rPr>
      </w:pPr>
      <w:r w:rsidRPr="00404750">
        <w:rPr>
          <w:rFonts w:ascii="Calibri" w:hAnsi="Calibri" w:cs="Calibri"/>
          <w:sz w:val="22"/>
          <w:szCs w:val="22"/>
        </w:rPr>
        <w:t>The canvass form is</w:t>
      </w:r>
      <w:r w:rsidR="005E6595" w:rsidRPr="00404750">
        <w:rPr>
          <w:rFonts w:ascii="Calibri" w:hAnsi="Calibri" w:cs="Calibri"/>
          <w:sz w:val="22"/>
          <w:szCs w:val="22"/>
        </w:rPr>
        <w:t xml:space="preserve"> designed to minimize the burden to all respondents</w:t>
      </w:r>
      <w:r w:rsidRPr="00404750">
        <w:rPr>
          <w:rFonts w:ascii="Calibri" w:hAnsi="Calibri" w:cs="Calibri"/>
          <w:sz w:val="22"/>
          <w:szCs w:val="22"/>
        </w:rPr>
        <w:t xml:space="preserve"> </w:t>
      </w:r>
      <w:r w:rsidR="00055ED5" w:rsidRPr="00404750">
        <w:rPr>
          <w:rFonts w:ascii="Calibri" w:hAnsi="Calibri" w:cs="Calibri"/>
          <w:sz w:val="22"/>
          <w:szCs w:val="22"/>
        </w:rPr>
        <w:t xml:space="preserve">by only requesting essential data. The </w:t>
      </w:r>
      <w:r w:rsidR="0004587A" w:rsidRPr="00404750">
        <w:rPr>
          <w:rFonts w:ascii="Calibri" w:hAnsi="Calibri" w:cs="Calibri"/>
          <w:sz w:val="22"/>
          <w:szCs w:val="22"/>
        </w:rPr>
        <w:t xml:space="preserve">format </w:t>
      </w:r>
      <w:r w:rsidR="00055ED5" w:rsidRPr="00404750">
        <w:rPr>
          <w:rFonts w:ascii="Calibri" w:hAnsi="Calibri" w:cs="Calibri"/>
          <w:sz w:val="22"/>
          <w:szCs w:val="22"/>
        </w:rPr>
        <w:t xml:space="preserve">is </w:t>
      </w:r>
      <w:r w:rsidR="0004587A" w:rsidRPr="00404750">
        <w:rPr>
          <w:rFonts w:ascii="Calibri" w:hAnsi="Calibri" w:cs="Calibri"/>
          <w:sz w:val="22"/>
          <w:szCs w:val="22"/>
        </w:rPr>
        <w:t>common to the reporting industry</w:t>
      </w:r>
      <w:r w:rsidR="0040210B" w:rsidRPr="00404750">
        <w:rPr>
          <w:rFonts w:ascii="Calibri" w:hAnsi="Calibri" w:cs="Calibri"/>
          <w:sz w:val="22"/>
          <w:szCs w:val="22"/>
        </w:rPr>
        <w:t xml:space="preserve">. </w:t>
      </w:r>
    </w:p>
    <w:p w:rsidR="00055ED5" w:rsidRPr="00404750" w:rsidRDefault="00055ED5" w:rsidP="001F2189">
      <w:pPr>
        <w:spacing w:line="276" w:lineRule="auto"/>
        <w:rPr>
          <w:rFonts w:ascii="Calibri" w:hAnsi="Calibri" w:cs="Calibri"/>
          <w:b/>
          <w:sz w:val="22"/>
          <w:szCs w:val="22"/>
        </w:rPr>
      </w:pP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6.</w:t>
      </w:r>
      <w:r w:rsidRPr="00404750">
        <w:rPr>
          <w:rFonts w:ascii="Calibri" w:hAnsi="Calibri" w:cs="Calibri"/>
          <w:b/>
          <w:sz w:val="22"/>
          <w:szCs w:val="22"/>
        </w:rPr>
        <w:tab/>
        <w:t>Describe the consequence to Federal program or policy activities if the collection is not conducted or is conducted less frequently, as well as any technical or legal obstacles to reducing burden.</w:t>
      </w:r>
    </w:p>
    <w:p w:rsidR="004938A1" w:rsidRPr="00404750" w:rsidRDefault="004938A1" w:rsidP="004938A1">
      <w:pPr>
        <w:spacing w:line="276" w:lineRule="auto"/>
        <w:rPr>
          <w:rFonts w:ascii="Calibri" w:hAnsi="Calibri" w:cs="Calibri"/>
          <w:sz w:val="22"/>
          <w:szCs w:val="22"/>
        </w:rPr>
      </w:pPr>
    </w:p>
    <w:p w:rsidR="004938A1" w:rsidRDefault="004938A1" w:rsidP="00DD1393">
      <w:pPr>
        <w:spacing w:line="276" w:lineRule="auto"/>
        <w:ind w:firstLine="360"/>
        <w:rPr>
          <w:rFonts w:ascii="Calibri" w:hAnsi="Calibri" w:cs="Calibri"/>
          <w:sz w:val="22"/>
          <w:szCs w:val="22"/>
        </w:rPr>
      </w:pPr>
      <w:r>
        <w:rPr>
          <w:rFonts w:ascii="Calibri" w:hAnsi="Calibri" w:cs="Calibri"/>
          <w:sz w:val="22"/>
          <w:szCs w:val="22"/>
        </w:rPr>
        <w:t>The USGS provides information necessary for sound Federal, State, and industry decision-making.</w:t>
      </w:r>
      <w:r w:rsidR="00897FDE">
        <w:rPr>
          <w:rFonts w:ascii="Calibri" w:hAnsi="Calibri" w:cs="Calibri"/>
          <w:sz w:val="22"/>
          <w:szCs w:val="22"/>
        </w:rPr>
        <w:t xml:space="preserve">  Tabulations of volumetric data concerning domestic mining operations’ use of land can be used to compare the total volume of earth disturbed with the actual crude ore mined and the resulting marketable product.  These data, in conjunction with exploration and development </w:t>
      </w:r>
      <w:r w:rsidR="004F1569">
        <w:rPr>
          <w:rFonts w:ascii="Calibri" w:hAnsi="Calibri" w:cs="Calibri"/>
          <w:sz w:val="22"/>
          <w:szCs w:val="22"/>
        </w:rPr>
        <w:t>data,</w:t>
      </w:r>
      <w:r w:rsidR="00897FDE">
        <w:rPr>
          <w:rFonts w:ascii="Calibri" w:hAnsi="Calibri" w:cs="Calibri"/>
          <w:sz w:val="22"/>
          <w:szCs w:val="22"/>
        </w:rPr>
        <w:t xml:space="preserve"> are an indicator of the future mining outlook.  If data were available less frequently than annually,</w:t>
      </w:r>
      <w:r w:rsidR="00947A59">
        <w:rPr>
          <w:rFonts w:ascii="Calibri" w:hAnsi="Calibri" w:cs="Calibri"/>
          <w:sz w:val="22"/>
          <w:szCs w:val="22"/>
        </w:rPr>
        <w:t xml:space="preserve"> that data simply would not be timely enough to be reliable for decisions that </w:t>
      </w:r>
      <w:r w:rsidR="00EE003B">
        <w:rPr>
          <w:rFonts w:ascii="Calibri" w:hAnsi="Calibri" w:cs="Calibri"/>
          <w:sz w:val="22"/>
          <w:szCs w:val="22"/>
        </w:rPr>
        <w:t>affect minerals vulnerability, potential environmental impacts, current trends, and future needs.  These decisions, in turn, have an effect on such aspects of our economy as taxes, royalty payments, tariffs, land use, environmental regulations, water use, and transportation.</w:t>
      </w:r>
    </w:p>
    <w:p w:rsidR="0061362B" w:rsidRDefault="0061362B" w:rsidP="00DD1393">
      <w:pPr>
        <w:spacing w:line="276" w:lineRule="auto"/>
        <w:ind w:firstLine="360"/>
        <w:rPr>
          <w:rFonts w:ascii="Calibri" w:hAnsi="Calibri" w:cs="Calibri"/>
          <w:sz w:val="22"/>
          <w:szCs w:val="22"/>
        </w:rPr>
      </w:pPr>
    </w:p>
    <w:p w:rsidR="004938A1" w:rsidRDefault="0061362B" w:rsidP="00103927">
      <w:pPr>
        <w:spacing w:line="276" w:lineRule="auto"/>
        <w:ind w:firstLine="360"/>
        <w:rPr>
          <w:rFonts w:ascii="Calibri" w:hAnsi="Calibri" w:cs="Calibri"/>
          <w:sz w:val="22"/>
          <w:szCs w:val="22"/>
        </w:rPr>
      </w:pPr>
      <w:r>
        <w:rPr>
          <w:rFonts w:ascii="Calibri" w:hAnsi="Calibri" w:cs="Calibri"/>
          <w:sz w:val="22"/>
          <w:szCs w:val="22"/>
        </w:rPr>
        <w:t>Collection of annual data allows economic analysis that can capture variations</w:t>
      </w:r>
      <w:r w:rsidR="0053260B">
        <w:rPr>
          <w:rFonts w:ascii="Calibri" w:hAnsi="Calibri" w:cs="Calibri"/>
          <w:sz w:val="22"/>
          <w:szCs w:val="22"/>
        </w:rPr>
        <w:t xml:space="preserve"> that a longer time interval could not.</w:t>
      </w:r>
      <w:r w:rsidR="0015709B">
        <w:rPr>
          <w:rFonts w:ascii="Calibri" w:hAnsi="Calibri" w:cs="Calibri"/>
          <w:sz w:val="22"/>
          <w:szCs w:val="22"/>
        </w:rPr>
        <w:t xml:space="preserve">  Collection of these data on a biennial basis would not be practical because the industry respondents do not normally have the data in a convenient format except on an annual basis.</w:t>
      </w:r>
      <w:r w:rsidR="00CB7D30">
        <w:rPr>
          <w:rFonts w:ascii="Calibri" w:hAnsi="Calibri" w:cs="Calibri"/>
          <w:sz w:val="22"/>
          <w:szCs w:val="22"/>
        </w:rPr>
        <w:t xml:space="preserve">  A 2-year canvass, for example, would require the respondents to alter their accounting procedures or manually add 2 years of data.  This would increase their reporting burden.  Also, multiyear data are less meaningful and less convenient for analysis by industry and Government agencies.</w:t>
      </w:r>
    </w:p>
    <w:p w:rsidR="004A7F5C" w:rsidRPr="00404750" w:rsidRDefault="004A7F5C" w:rsidP="001F2189">
      <w:pPr>
        <w:spacing w:line="276" w:lineRule="auto"/>
        <w:rPr>
          <w:rFonts w:ascii="Calibri" w:hAnsi="Calibri" w:cs="Calibri"/>
          <w:sz w:val="22"/>
          <w:szCs w:val="22"/>
        </w:rPr>
      </w:pP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7.</w:t>
      </w:r>
      <w:r w:rsidRPr="00404750">
        <w:rPr>
          <w:rFonts w:ascii="Calibri" w:hAnsi="Calibri" w:cs="Calibri"/>
          <w:b/>
          <w:sz w:val="22"/>
          <w:szCs w:val="22"/>
        </w:rPr>
        <w:tab/>
        <w:t>Explain any special circumstances that would cause an information collection to be conducted in a manner:</w:t>
      </w: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requiring respondents to report information to the agency more often than quarterly;</w:t>
      </w: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requiring respondents to prepare a written response to a collection of information in fewer than 30 days after receipt of it;</w:t>
      </w: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requiring respondents to submit more than an original and two copies of any document;</w:t>
      </w: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requiring respondents to retain records, other than health, medical, government contract, grant-in-aid, or tax records, for more than three years;</w:t>
      </w: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lastRenderedPageBreak/>
        <w:tab/>
        <w:t>*</w:t>
      </w:r>
      <w:r w:rsidRPr="00404750">
        <w:rPr>
          <w:rFonts w:ascii="Calibri" w:hAnsi="Calibri" w:cs="Calibri"/>
          <w:b/>
          <w:sz w:val="22"/>
          <w:szCs w:val="22"/>
        </w:rPr>
        <w:tab/>
        <w:t>in connection with a statistical survey that is not designed to produce valid and reliable results that can be generalized to the universe of study;</w:t>
      </w: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requiring the use of a statistical data classification that has not been reviewed and approved by OMB;</w:t>
      </w:r>
    </w:p>
    <w:p w:rsidR="00055ED5" w:rsidRPr="00404750" w:rsidRDefault="00055ED5" w:rsidP="00055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C4DB9" w:rsidRPr="005C4DB9" w:rsidRDefault="00055ED5" w:rsidP="005C4D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5C4DB9" w:rsidRDefault="005C4DB9" w:rsidP="00DD1393">
      <w:pPr>
        <w:spacing w:line="276" w:lineRule="auto"/>
        <w:ind w:firstLine="360"/>
        <w:rPr>
          <w:rFonts w:ascii="Calibri" w:hAnsi="Calibri" w:cs="Calibri"/>
          <w:sz w:val="22"/>
          <w:szCs w:val="22"/>
        </w:rPr>
      </w:pPr>
    </w:p>
    <w:p w:rsidR="005C4DB9" w:rsidRDefault="005C4DB9" w:rsidP="00DD1393">
      <w:pPr>
        <w:spacing w:line="276" w:lineRule="auto"/>
        <w:ind w:firstLine="360"/>
        <w:rPr>
          <w:rFonts w:ascii="Calibri" w:hAnsi="Calibri" w:cs="Calibri"/>
          <w:sz w:val="22"/>
          <w:szCs w:val="22"/>
        </w:rPr>
      </w:pPr>
      <w:r>
        <w:rPr>
          <w:rFonts w:ascii="Calibri" w:hAnsi="Calibri" w:cs="Calibri"/>
          <w:sz w:val="22"/>
          <w:szCs w:val="22"/>
        </w:rPr>
        <w:t>This collection is consistent with the above provisions; however, under the terms of the USGS standard for handling proprietary canvass data included in the supplementary documents,</w:t>
      </w:r>
      <w:r w:rsidR="00466C9A">
        <w:rPr>
          <w:rFonts w:ascii="Calibri" w:hAnsi="Calibri" w:cs="Calibri"/>
          <w:sz w:val="22"/>
          <w:szCs w:val="22"/>
        </w:rPr>
        <w:t xml:space="preserve"> companies can and usually do specify that the data they supply be shared only in aggregated form.  These terms ensure that the USGS will continue to receive proprietary data in confidence.</w:t>
      </w:r>
    </w:p>
    <w:p w:rsidR="00D1263A" w:rsidRDefault="00D1263A" w:rsidP="00DD1393">
      <w:pPr>
        <w:spacing w:line="276" w:lineRule="auto"/>
        <w:ind w:firstLine="360"/>
        <w:rPr>
          <w:rFonts w:ascii="Calibri" w:hAnsi="Calibri" w:cs="Calibri"/>
          <w:sz w:val="22"/>
          <w:szCs w:val="22"/>
        </w:rPr>
      </w:pPr>
    </w:p>
    <w:p w:rsidR="005C4DB9" w:rsidRDefault="00D1263A" w:rsidP="00AE3D83">
      <w:pPr>
        <w:spacing w:line="276" w:lineRule="auto"/>
        <w:ind w:firstLine="360"/>
        <w:rPr>
          <w:rFonts w:ascii="Calibri" w:hAnsi="Calibri" w:cs="Calibri"/>
          <w:sz w:val="22"/>
          <w:szCs w:val="22"/>
        </w:rPr>
      </w:pPr>
      <w:r>
        <w:rPr>
          <w:rFonts w:ascii="Calibri" w:hAnsi="Calibri" w:cs="Calibri"/>
          <w:sz w:val="22"/>
          <w:szCs w:val="22"/>
        </w:rPr>
        <w:t>The canvass form is designed to ensure that respondents are not required to maintain or provide data in a format other than that in which the data are customarily maintained.  The respondents are routinely asked to comment on the design of the forms and to make recommendations that help maintain consistency with industry’s methods of accounting.</w:t>
      </w:r>
    </w:p>
    <w:p w:rsidR="00B94AD0" w:rsidRPr="00404750" w:rsidRDefault="00B94AD0" w:rsidP="001F2189">
      <w:pPr>
        <w:spacing w:line="276" w:lineRule="auto"/>
        <w:rPr>
          <w:rFonts w:ascii="Calibri" w:hAnsi="Calibri" w:cs="Calibri"/>
          <w:sz w:val="22"/>
          <w:szCs w:val="22"/>
        </w:rPr>
      </w:pP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8.</w:t>
      </w:r>
      <w:r w:rsidRPr="00404750">
        <w:rPr>
          <w:rFonts w:ascii="Calibri" w:hAnsi="Calibri" w:cs="Calibr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b/>
          <w:sz w:val="22"/>
          <w:szCs w:val="22"/>
        </w:rPr>
      </w:pPr>
      <w:r w:rsidRPr="00404750">
        <w:rPr>
          <w:rFonts w:ascii="Calibri" w:hAnsi="Calibri" w:cs="Calibr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b/>
          <w:sz w:val="22"/>
          <w:szCs w:val="22"/>
        </w:rPr>
      </w:pPr>
      <w:r w:rsidRPr="00404750">
        <w:rPr>
          <w:rFonts w:ascii="Calibri" w:hAnsi="Calibri" w:cs="Calibri"/>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31471" w:rsidRPr="00404750" w:rsidRDefault="00231471" w:rsidP="001F2189">
      <w:pPr>
        <w:spacing w:line="276" w:lineRule="auto"/>
        <w:rPr>
          <w:rFonts w:ascii="Calibri" w:hAnsi="Calibri" w:cs="Calibri"/>
          <w:sz w:val="22"/>
          <w:szCs w:val="22"/>
        </w:rPr>
      </w:pPr>
    </w:p>
    <w:p w:rsidR="00E32ECD" w:rsidRPr="0064512A" w:rsidRDefault="0051145C" w:rsidP="00DD1393">
      <w:pPr>
        <w:tabs>
          <w:tab w:val="left" w:pos="360"/>
        </w:tabs>
        <w:spacing w:line="276" w:lineRule="auto"/>
        <w:ind w:firstLine="360"/>
        <w:rPr>
          <w:rFonts w:ascii="Calibri" w:hAnsi="Calibri" w:cs="Calibri"/>
          <w:color w:val="000000"/>
          <w:sz w:val="22"/>
          <w:szCs w:val="22"/>
        </w:rPr>
      </w:pPr>
      <w:r>
        <w:rPr>
          <w:rFonts w:ascii="Calibri" w:hAnsi="Calibri" w:cs="Calibri"/>
          <w:sz w:val="22"/>
          <w:szCs w:val="22"/>
        </w:rPr>
        <w:t>On September 17</w:t>
      </w:r>
      <w:r w:rsidR="00737EE3" w:rsidRPr="00CF7168">
        <w:rPr>
          <w:rFonts w:ascii="Calibri" w:hAnsi="Calibri" w:cs="Calibri"/>
          <w:sz w:val="22"/>
          <w:szCs w:val="22"/>
        </w:rPr>
        <w:t>, 2012</w:t>
      </w:r>
      <w:r w:rsidR="00E32ECD" w:rsidRPr="00CF7168">
        <w:rPr>
          <w:rFonts w:ascii="Calibri" w:hAnsi="Calibri" w:cs="Calibri"/>
          <w:sz w:val="22"/>
          <w:szCs w:val="22"/>
        </w:rPr>
        <w:t>, a 60</w:t>
      </w:r>
      <w:r w:rsidR="001A67A8" w:rsidRPr="00CF7168">
        <w:rPr>
          <w:rFonts w:ascii="Calibri" w:hAnsi="Calibri" w:cs="Calibri"/>
          <w:sz w:val="22"/>
          <w:szCs w:val="22"/>
        </w:rPr>
        <w:t>-day Fed</w:t>
      </w:r>
      <w:r>
        <w:rPr>
          <w:rFonts w:ascii="Calibri" w:hAnsi="Calibri" w:cs="Calibri"/>
          <w:sz w:val="22"/>
          <w:szCs w:val="22"/>
        </w:rPr>
        <w:t>eral Register notice (77 FR 57111</w:t>
      </w:r>
      <w:r w:rsidR="00E32ECD" w:rsidRPr="00CF7168">
        <w:rPr>
          <w:rFonts w:ascii="Calibri" w:hAnsi="Calibri" w:cs="Calibri"/>
          <w:sz w:val="22"/>
          <w:szCs w:val="22"/>
        </w:rPr>
        <w:t>) was</w:t>
      </w:r>
      <w:r w:rsidR="00E32ECD" w:rsidRPr="00404750">
        <w:rPr>
          <w:rFonts w:ascii="Calibri" w:hAnsi="Calibri" w:cs="Calibri"/>
          <w:sz w:val="22"/>
          <w:szCs w:val="22"/>
        </w:rPr>
        <w:t xml:space="preserve"> published announcing this information collection.  Public comments were solic</w:t>
      </w:r>
      <w:r w:rsidR="0048365A">
        <w:rPr>
          <w:rFonts w:ascii="Calibri" w:hAnsi="Calibri" w:cs="Calibri"/>
          <w:sz w:val="22"/>
          <w:szCs w:val="22"/>
        </w:rPr>
        <w:t>ited for 60 days</w:t>
      </w:r>
      <w:r w:rsidR="00AC15B2">
        <w:rPr>
          <w:rFonts w:ascii="Calibri" w:hAnsi="Calibri" w:cs="Calibri"/>
          <w:sz w:val="22"/>
          <w:szCs w:val="22"/>
        </w:rPr>
        <w:t xml:space="preserve"> ending November 16</w:t>
      </w:r>
      <w:r w:rsidR="001212EC">
        <w:rPr>
          <w:rFonts w:ascii="Calibri" w:hAnsi="Calibri" w:cs="Calibri"/>
          <w:sz w:val="22"/>
          <w:szCs w:val="22"/>
        </w:rPr>
        <w:t>, 2012</w:t>
      </w:r>
      <w:r w:rsidR="00E32ECD" w:rsidRPr="00404750">
        <w:rPr>
          <w:rFonts w:ascii="Calibri" w:hAnsi="Calibri" w:cs="Calibri"/>
          <w:sz w:val="22"/>
          <w:szCs w:val="22"/>
        </w:rPr>
        <w:t xml:space="preserve">. </w:t>
      </w:r>
      <w:r w:rsidR="00F44DA4" w:rsidRPr="0064512A">
        <w:rPr>
          <w:rFonts w:ascii="Calibri" w:hAnsi="Calibri" w:cs="Calibri"/>
          <w:color w:val="000000"/>
          <w:sz w:val="22"/>
          <w:szCs w:val="22"/>
        </w:rPr>
        <w:t xml:space="preserve"> </w:t>
      </w:r>
      <w:r w:rsidR="001212EC" w:rsidRPr="0064512A">
        <w:rPr>
          <w:rFonts w:ascii="Calibri" w:hAnsi="Calibri" w:cs="Calibri"/>
          <w:color w:val="000000"/>
          <w:sz w:val="22"/>
          <w:szCs w:val="22"/>
        </w:rPr>
        <w:t>We did not receive any public comments in response to that notice.</w:t>
      </w:r>
    </w:p>
    <w:p w:rsidR="00BC5B0B" w:rsidRPr="00404750" w:rsidRDefault="00BC5B0B" w:rsidP="001F2189">
      <w:pPr>
        <w:spacing w:line="276" w:lineRule="auto"/>
        <w:ind w:firstLine="720"/>
        <w:rPr>
          <w:rFonts w:ascii="Calibri" w:hAnsi="Calibri" w:cs="Calibri"/>
          <w:sz w:val="22"/>
          <w:szCs w:val="22"/>
        </w:rPr>
      </w:pPr>
    </w:p>
    <w:p w:rsidR="00F02DD9" w:rsidRPr="00404750" w:rsidRDefault="00213321" w:rsidP="00DD1393">
      <w:pPr>
        <w:spacing w:line="276" w:lineRule="auto"/>
        <w:ind w:firstLine="360"/>
        <w:rPr>
          <w:rFonts w:ascii="Calibri" w:hAnsi="Calibri" w:cs="Calibri"/>
          <w:sz w:val="22"/>
          <w:szCs w:val="22"/>
        </w:rPr>
      </w:pPr>
      <w:r w:rsidRPr="00404750">
        <w:rPr>
          <w:rFonts w:ascii="Calibri" w:hAnsi="Calibri" w:cs="Calibri"/>
          <w:sz w:val="22"/>
          <w:szCs w:val="22"/>
        </w:rPr>
        <w:t>The canvass form</w:t>
      </w:r>
      <w:r w:rsidR="009F1A17">
        <w:rPr>
          <w:rFonts w:ascii="Calibri" w:hAnsi="Calibri" w:cs="Calibri"/>
          <w:sz w:val="22"/>
          <w:szCs w:val="22"/>
        </w:rPr>
        <w:t xml:space="preserve"> is</w:t>
      </w:r>
      <w:r w:rsidR="00BC5B0B" w:rsidRPr="00404750">
        <w:rPr>
          <w:rFonts w:ascii="Calibri" w:hAnsi="Calibri" w:cs="Calibri"/>
          <w:sz w:val="22"/>
          <w:szCs w:val="22"/>
        </w:rPr>
        <w:t xml:space="preserve"> designed to collect only the required data, thus minimizi</w:t>
      </w:r>
      <w:r w:rsidR="0025739B" w:rsidRPr="00404750">
        <w:rPr>
          <w:rFonts w:ascii="Calibri" w:hAnsi="Calibri" w:cs="Calibri"/>
          <w:sz w:val="22"/>
          <w:szCs w:val="22"/>
        </w:rPr>
        <w:t xml:space="preserve">ng the individual response time, and to </w:t>
      </w:r>
      <w:r w:rsidR="00AC06B0" w:rsidRPr="00404750">
        <w:rPr>
          <w:rFonts w:ascii="Calibri" w:hAnsi="Calibri" w:cs="Calibri"/>
          <w:sz w:val="22"/>
          <w:szCs w:val="22"/>
        </w:rPr>
        <w:t xml:space="preserve">ensure that respondents are not required to maintain or provide data in a format </w:t>
      </w:r>
      <w:r w:rsidR="00AC06B0" w:rsidRPr="00404750">
        <w:rPr>
          <w:rFonts w:ascii="Calibri" w:hAnsi="Calibri" w:cs="Calibri"/>
          <w:sz w:val="22"/>
          <w:szCs w:val="22"/>
        </w:rPr>
        <w:lastRenderedPageBreak/>
        <w:t>other than that in which the data are customarily maintain</w:t>
      </w:r>
      <w:r w:rsidR="00C94010" w:rsidRPr="00404750">
        <w:rPr>
          <w:rFonts w:ascii="Calibri" w:hAnsi="Calibri" w:cs="Calibri"/>
          <w:sz w:val="22"/>
          <w:szCs w:val="22"/>
        </w:rPr>
        <w:t>ed.  The respondents are regularly</w:t>
      </w:r>
      <w:r w:rsidR="00AC06B0" w:rsidRPr="00404750">
        <w:rPr>
          <w:rFonts w:ascii="Calibri" w:hAnsi="Calibri" w:cs="Calibri"/>
          <w:sz w:val="22"/>
          <w:szCs w:val="22"/>
        </w:rPr>
        <w:t xml:space="preserve"> asked to comment on the design of the form and to make recommendations that help maintain consistency with industry’s methods of accounting.</w:t>
      </w:r>
    </w:p>
    <w:p w:rsidR="005E2BB1" w:rsidRPr="00404750" w:rsidRDefault="005E2BB1" w:rsidP="00EC5BCD">
      <w:pPr>
        <w:spacing w:line="276" w:lineRule="auto"/>
        <w:rPr>
          <w:rFonts w:ascii="Calibri" w:hAnsi="Calibri" w:cs="Calibri"/>
          <w:sz w:val="22"/>
          <w:szCs w:val="22"/>
        </w:rPr>
      </w:pPr>
    </w:p>
    <w:p w:rsidR="00384AF6" w:rsidRPr="00404750" w:rsidRDefault="0052181E" w:rsidP="00DD1393">
      <w:pPr>
        <w:spacing w:line="276" w:lineRule="auto"/>
        <w:ind w:firstLine="360"/>
        <w:rPr>
          <w:rFonts w:ascii="Calibri" w:hAnsi="Calibri" w:cs="Calibri"/>
          <w:sz w:val="22"/>
          <w:szCs w:val="22"/>
        </w:rPr>
      </w:pPr>
      <w:r w:rsidRPr="00404750">
        <w:rPr>
          <w:rFonts w:ascii="Calibri" w:hAnsi="Calibri" w:cs="Calibri"/>
          <w:sz w:val="22"/>
          <w:szCs w:val="22"/>
        </w:rPr>
        <w:t>USGS m</w:t>
      </w:r>
      <w:r w:rsidR="00FE2575" w:rsidRPr="00404750">
        <w:rPr>
          <w:rFonts w:ascii="Calibri" w:hAnsi="Calibri" w:cs="Calibri"/>
          <w:sz w:val="22"/>
          <w:szCs w:val="22"/>
        </w:rPr>
        <w:t xml:space="preserve">ineral commodity specialists are routinely contacted by Federal and State agencies, </w:t>
      </w:r>
      <w:r w:rsidR="001F6FFF" w:rsidRPr="00404750">
        <w:rPr>
          <w:rFonts w:ascii="Calibri" w:hAnsi="Calibri" w:cs="Calibri"/>
          <w:sz w:val="22"/>
          <w:szCs w:val="22"/>
        </w:rPr>
        <w:t>M</w:t>
      </w:r>
      <w:r w:rsidR="00FE2575" w:rsidRPr="00404750">
        <w:rPr>
          <w:rFonts w:ascii="Calibri" w:hAnsi="Calibri" w:cs="Calibri"/>
          <w:sz w:val="22"/>
          <w:szCs w:val="22"/>
        </w:rPr>
        <w:t>embers of Congress, trade associations, the financial community, private companies, universities, and private citizens that request general and specific data and information.</w:t>
      </w:r>
    </w:p>
    <w:p w:rsidR="005E2BB1" w:rsidRPr="00404750" w:rsidRDefault="005E2BB1" w:rsidP="001F2189">
      <w:pPr>
        <w:spacing w:line="276" w:lineRule="auto"/>
        <w:ind w:firstLine="720"/>
        <w:rPr>
          <w:rFonts w:ascii="Calibri" w:hAnsi="Calibri" w:cs="Calibri"/>
          <w:sz w:val="22"/>
          <w:szCs w:val="22"/>
        </w:rPr>
      </w:pPr>
    </w:p>
    <w:p w:rsidR="00874129" w:rsidRPr="00404750" w:rsidRDefault="00FE2575" w:rsidP="00DD1393">
      <w:pPr>
        <w:spacing w:line="276" w:lineRule="auto"/>
        <w:ind w:firstLine="360"/>
        <w:rPr>
          <w:rFonts w:ascii="Calibri" w:hAnsi="Calibri" w:cs="Calibri"/>
          <w:sz w:val="22"/>
          <w:szCs w:val="22"/>
        </w:rPr>
      </w:pPr>
      <w:r w:rsidRPr="00404750">
        <w:rPr>
          <w:rFonts w:ascii="Calibri" w:hAnsi="Calibri" w:cs="Calibri"/>
          <w:sz w:val="22"/>
          <w:szCs w:val="22"/>
        </w:rPr>
        <w:t xml:space="preserve">When persons outside the USGS submit requests for information, the USGS mineral commodity specialists and statistical assistants respond in a timely manner. </w:t>
      </w:r>
      <w:r w:rsidR="002232EE" w:rsidRPr="00404750">
        <w:rPr>
          <w:rFonts w:ascii="Calibri" w:hAnsi="Calibri" w:cs="Calibri"/>
          <w:sz w:val="22"/>
          <w:szCs w:val="22"/>
        </w:rPr>
        <w:t xml:space="preserve"> </w:t>
      </w:r>
      <w:r w:rsidRPr="00404750">
        <w:rPr>
          <w:rFonts w:ascii="Calibri" w:hAnsi="Calibri" w:cs="Calibri"/>
          <w:sz w:val="22"/>
          <w:szCs w:val="22"/>
        </w:rPr>
        <w:t>The USGS receives and responds to several thousand e-mail and telephone inquiries each month</w:t>
      </w:r>
      <w:r w:rsidR="005C106C" w:rsidRPr="00404750">
        <w:rPr>
          <w:rFonts w:ascii="Calibri" w:hAnsi="Calibri" w:cs="Calibri"/>
          <w:sz w:val="22"/>
          <w:szCs w:val="22"/>
        </w:rPr>
        <w:t>.</w:t>
      </w:r>
      <w:r w:rsidRPr="00404750">
        <w:rPr>
          <w:rFonts w:ascii="Calibri" w:hAnsi="Calibri" w:cs="Calibri"/>
          <w:sz w:val="22"/>
          <w:szCs w:val="22"/>
        </w:rPr>
        <w:t xml:space="preserve">  During these discussions and interactions, views are exchanged on the availability of data, frequency of collection, the clarity of instructions and recordkeeping, disclosure, reporting format, data elements to be recorded, disclosed, or reported, burden estim</w:t>
      </w:r>
      <w:r w:rsidR="00D1383B">
        <w:rPr>
          <w:rFonts w:ascii="Calibri" w:hAnsi="Calibri" w:cs="Calibri"/>
          <w:sz w:val="22"/>
          <w:szCs w:val="22"/>
        </w:rPr>
        <w:t>ates and other aspects of this information c</w:t>
      </w:r>
      <w:r w:rsidRPr="00404750">
        <w:rPr>
          <w:rFonts w:ascii="Calibri" w:hAnsi="Calibri" w:cs="Calibri"/>
          <w:sz w:val="22"/>
          <w:szCs w:val="22"/>
        </w:rPr>
        <w:t xml:space="preserve">ollection.  </w:t>
      </w:r>
      <w:r w:rsidR="00514A23" w:rsidRPr="00404750">
        <w:rPr>
          <w:rFonts w:ascii="Calibri" w:hAnsi="Calibri" w:cs="Calibri"/>
          <w:sz w:val="22"/>
          <w:szCs w:val="22"/>
        </w:rPr>
        <w:t>T</w:t>
      </w:r>
      <w:r w:rsidRPr="00404750">
        <w:rPr>
          <w:rFonts w:ascii="Calibri" w:hAnsi="Calibri" w:cs="Calibri"/>
          <w:sz w:val="22"/>
          <w:szCs w:val="22"/>
        </w:rPr>
        <w:t>hese views help the USGS to improve its data and publications.</w:t>
      </w:r>
    </w:p>
    <w:p w:rsidR="00874129" w:rsidRPr="00404750" w:rsidRDefault="00874129" w:rsidP="00992F75">
      <w:pPr>
        <w:spacing w:line="276" w:lineRule="auto"/>
        <w:ind w:firstLine="720"/>
        <w:rPr>
          <w:rFonts w:ascii="Calibri" w:hAnsi="Calibri" w:cs="Calibri"/>
          <w:sz w:val="22"/>
          <w:szCs w:val="22"/>
        </w:rPr>
      </w:pPr>
    </w:p>
    <w:p w:rsidR="00255A4F" w:rsidRPr="00F94328" w:rsidRDefault="00927E02" w:rsidP="00F94328">
      <w:pPr>
        <w:spacing w:line="276" w:lineRule="auto"/>
        <w:ind w:firstLine="360"/>
        <w:rPr>
          <w:rFonts w:ascii="Calibri" w:hAnsi="Calibri" w:cs="Calibri"/>
          <w:sz w:val="22"/>
          <w:szCs w:val="22"/>
        </w:rPr>
      </w:pPr>
      <w:r w:rsidRPr="00404750">
        <w:rPr>
          <w:rFonts w:ascii="Calibri" w:hAnsi="Calibri" w:cs="Calibri"/>
          <w:sz w:val="22"/>
          <w:szCs w:val="22"/>
        </w:rPr>
        <w:t xml:space="preserve">On the basis of such feedback, information-use patterns are established commodity by commodity.  Once patterns are determined, canvass forms are revised to collect data and to meet the information needs.  As information request patterns change, the data collected and reported are modified.  </w:t>
      </w:r>
      <w:r w:rsidR="00BB2AB5">
        <w:rPr>
          <w:rFonts w:ascii="Calibri" w:hAnsi="Calibri" w:cs="Calibri"/>
          <w:sz w:val="22"/>
          <w:szCs w:val="22"/>
        </w:rPr>
        <w:t xml:space="preserve">Based on industry contacts, the revisions (density and units of measure) to USGS Form 9-4004-A clarify the data being reported.  </w:t>
      </w:r>
      <w:r w:rsidR="00E01F9D">
        <w:rPr>
          <w:rFonts w:ascii="Calibri" w:hAnsi="Calibri" w:cs="Calibri"/>
          <w:sz w:val="22"/>
          <w:szCs w:val="22"/>
        </w:rPr>
        <w:t>Although no direct changes to the collection instrument were made,</w:t>
      </w:r>
      <w:r w:rsidR="00BB2AB5">
        <w:rPr>
          <w:rFonts w:ascii="Calibri" w:hAnsi="Calibri" w:cs="Calibri"/>
          <w:sz w:val="22"/>
          <w:szCs w:val="22"/>
        </w:rPr>
        <w:t xml:space="preserve"> </w:t>
      </w:r>
      <w:r w:rsidR="00E01F9D">
        <w:rPr>
          <w:rFonts w:ascii="Calibri" w:hAnsi="Calibri" w:cs="Calibri"/>
          <w:sz w:val="22"/>
          <w:szCs w:val="22"/>
        </w:rPr>
        <w:t>t</w:t>
      </w:r>
      <w:r w:rsidR="006B0D9E" w:rsidRPr="00404750">
        <w:rPr>
          <w:rFonts w:ascii="Calibri" w:hAnsi="Calibri" w:cs="Calibri"/>
          <w:sz w:val="22"/>
          <w:szCs w:val="22"/>
        </w:rPr>
        <w:t>he list below identifies industry contacts consulted on the burden estim</w:t>
      </w:r>
      <w:r w:rsidR="00D1383B">
        <w:rPr>
          <w:rFonts w:ascii="Calibri" w:hAnsi="Calibri" w:cs="Calibri"/>
          <w:sz w:val="22"/>
          <w:szCs w:val="22"/>
        </w:rPr>
        <w:t xml:space="preserve">ates and other aspects of this information </w:t>
      </w:r>
      <w:r w:rsidR="00D1383B" w:rsidRPr="002B3083">
        <w:rPr>
          <w:rFonts w:ascii="Calibri" w:hAnsi="Calibri" w:cs="Calibri"/>
          <w:sz w:val="22"/>
          <w:szCs w:val="22"/>
        </w:rPr>
        <w:t>c</w:t>
      </w:r>
      <w:r w:rsidR="006B0D9E" w:rsidRPr="002B3083">
        <w:rPr>
          <w:rFonts w:ascii="Calibri" w:hAnsi="Calibri" w:cs="Calibri"/>
          <w:sz w:val="22"/>
          <w:szCs w:val="22"/>
        </w:rPr>
        <w:t>ollection</w:t>
      </w:r>
      <w:r w:rsidR="00CF192F" w:rsidRPr="002B3083">
        <w:rPr>
          <w:rFonts w:ascii="Calibri" w:hAnsi="Calibri" w:cs="Calibri"/>
          <w:sz w:val="22"/>
          <w:szCs w:val="22"/>
        </w:rPr>
        <w:t xml:space="preserve"> </w:t>
      </w:r>
      <w:r w:rsidR="002B3083" w:rsidRPr="002B3083">
        <w:rPr>
          <w:rFonts w:ascii="Calibri" w:hAnsi="Calibri" w:cs="Calibri"/>
          <w:sz w:val="22"/>
          <w:szCs w:val="22"/>
        </w:rPr>
        <w:t>in October 2012</w:t>
      </w:r>
      <w:r w:rsidR="008A45BE" w:rsidRPr="002B3083">
        <w:rPr>
          <w:rFonts w:ascii="Calibri" w:hAnsi="Calibri" w:cs="Calibri"/>
          <w:sz w:val="22"/>
          <w:szCs w:val="22"/>
        </w:rPr>
        <w:t>.</w:t>
      </w:r>
    </w:p>
    <w:tbl>
      <w:tblPr>
        <w:tblW w:w="9000" w:type="dxa"/>
        <w:tblInd w:w="108" w:type="dxa"/>
        <w:tblLook w:val="01E0" w:firstRow="1" w:lastRow="1" w:firstColumn="1" w:lastColumn="1" w:noHBand="0" w:noVBand="0"/>
      </w:tblPr>
      <w:tblGrid>
        <w:gridCol w:w="4680"/>
        <w:gridCol w:w="4320"/>
      </w:tblGrid>
      <w:tr w:rsidR="00914EFF" w:rsidRPr="00404750" w:rsidTr="00AF4062">
        <w:trPr>
          <w:trHeight w:val="1413"/>
        </w:trPr>
        <w:tc>
          <w:tcPr>
            <w:tcW w:w="4680" w:type="dxa"/>
            <w:vAlign w:val="center"/>
          </w:tcPr>
          <w:p w:rsidR="006616CE" w:rsidRPr="00EE1EE6" w:rsidRDefault="00EE1EE6" w:rsidP="001F2189">
            <w:pPr>
              <w:spacing w:line="276" w:lineRule="auto"/>
              <w:rPr>
                <w:rFonts w:ascii="Calibri" w:hAnsi="Calibri" w:cs="Calibri"/>
              </w:rPr>
            </w:pPr>
            <w:r>
              <w:rPr>
                <w:rFonts w:ascii="Calibri" w:hAnsi="Calibri" w:cs="Calibri"/>
              </w:rPr>
              <w:t>Doe Run Company</w:t>
            </w:r>
          </w:p>
          <w:p w:rsidR="006616CE" w:rsidRPr="00EE1EE6" w:rsidRDefault="00EE1EE6" w:rsidP="001F2189">
            <w:pPr>
              <w:spacing w:line="276" w:lineRule="auto"/>
              <w:rPr>
                <w:rFonts w:ascii="Calibri" w:hAnsi="Calibri" w:cs="Calibri"/>
              </w:rPr>
            </w:pPr>
            <w:r>
              <w:rPr>
                <w:rFonts w:ascii="Calibri" w:hAnsi="Calibri" w:cs="Calibri"/>
              </w:rPr>
              <w:t>George Moellering, SEMO - Exploration Manager</w:t>
            </w:r>
          </w:p>
          <w:p w:rsidR="00C301A5" w:rsidRDefault="00EE1EE6" w:rsidP="001F2189">
            <w:pPr>
              <w:spacing w:line="276" w:lineRule="auto"/>
              <w:rPr>
                <w:rFonts w:ascii="Calibri" w:hAnsi="Calibri" w:cs="Calibri"/>
              </w:rPr>
            </w:pPr>
            <w:r>
              <w:rPr>
                <w:rFonts w:ascii="Calibri" w:hAnsi="Calibri" w:cs="Calibri"/>
              </w:rPr>
              <w:t>Viburnum, MO</w:t>
            </w:r>
          </w:p>
          <w:p w:rsidR="00EE1EE6" w:rsidRPr="00EE1EE6" w:rsidRDefault="00EE1EE6" w:rsidP="001F2189">
            <w:pPr>
              <w:spacing w:line="276" w:lineRule="auto"/>
              <w:rPr>
                <w:rFonts w:ascii="Calibri" w:hAnsi="Calibri" w:cs="Calibri"/>
              </w:rPr>
            </w:pPr>
            <w:r>
              <w:rPr>
                <w:rFonts w:ascii="Calibri" w:hAnsi="Calibri" w:cs="Calibri"/>
              </w:rPr>
              <w:t>Date of contact: October 22, 2012</w:t>
            </w:r>
          </w:p>
        </w:tc>
        <w:tc>
          <w:tcPr>
            <w:tcW w:w="4320" w:type="dxa"/>
            <w:vAlign w:val="center"/>
          </w:tcPr>
          <w:p w:rsidR="0099401E" w:rsidRPr="00EE1EE6" w:rsidRDefault="00EE1EE6" w:rsidP="0099401E">
            <w:pPr>
              <w:spacing w:line="276" w:lineRule="auto"/>
              <w:rPr>
                <w:rFonts w:ascii="Calibri" w:hAnsi="Calibri" w:cs="Calibri"/>
              </w:rPr>
            </w:pPr>
            <w:r>
              <w:rPr>
                <w:rFonts w:ascii="Calibri" w:hAnsi="Calibri" w:cs="Calibri"/>
              </w:rPr>
              <w:t>Cotter Corporation</w:t>
            </w:r>
          </w:p>
          <w:p w:rsidR="0099401E" w:rsidRPr="00EE1EE6" w:rsidRDefault="00EE1EE6" w:rsidP="0099401E">
            <w:pPr>
              <w:spacing w:line="276" w:lineRule="auto"/>
              <w:rPr>
                <w:rFonts w:ascii="Calibri" w:hAnsi="Calibri" w:cs="Calibri"/>
              </w:rPr>
            </w:pPr>
            <w:r>
              <w:rPr>
                <w:rFonts w:ascii="Calibri" w:hAnsi="Calibri" w:cs="Calibri"/>
              </w:rPr>
              <w:t>Glen Williams, Vice President of Mining</w:t>
            </w:r>
          </w:p>
          <w:p w:rsidR="006616CE" w:rsidRDefault="00EE1EE6" w:rsidP="0099401E">
            <w:pPr>
              <w:spacing w:line="276" w:lineRule="auto"/>
              <w:rPr>
                <w:rFonts w:ascii="Calibri" w:hAnsi="Calibri" w:cs="Calibri"/>
              </w:rPr>
            </w:pPr>
            <w:r>
              <w:rPr>
                <w:rFonts w:ascii="Calibri" w:hAnsi="Calibri" w:cs="Calibri"/>
              </w:rPr>
              <w:t>Nucia, CO</w:t>
            </w:r>
          </w:p>
          <w:p w:rsidR="007D52C1" w:rsidRPr="00EE1EE6" w:rsidRDefault="007D52C1" w:rsidP="0099401E">
            <w:pPr>
              <w:spacing w:line="276" w:lineRule="auto"/>
              <w:rPr>
                <w:rFonts w:ascii="Calibri" w:hAnsi="Calibri" w:cs="Calibri"/>
              </w:rPr>
            </w:pPr>
            <w:r>
              <w:rPr>
                <w:rFonts w:ascii="Calibri" w:hAnsi="Calibri" w:cs="Calibri"/>
              </w:rPr>
              <w:t>Date of contact: October 15, 2012</w:t>
            </w:r>
          </w:p>
        </w:tc>
      </w:tr>
      <w:tr w:rsidR="001E0580" w:rsidRPr="00404750" w:rsidTr="00AF4062">
        <w:trPr>
          <w:trHeight w:val="1413"/>
        </w:trPr>
        <w:tc>
          <w:tcPr>
            <w:tcW w:w="4680" w:type="dxa"/>
            <w:vAlign w:val="center"/>
          </w:tcPr>
          <w:p w:rsidR="0099401E" w:rsidRPr="00EE1EE6" w:rsidRDefault="002976A5" w:rsidP="0099401E">
            <w:pPr>
              <w:spacing w:line="276" w:lineRule="auto"/>
              <w:rPr>
                <w:rFonts w:ascii="Calibri" w:hAnsi="Calibri" w:cs="Calibri"/>
              </w:rPr>
            </w:pPr>
            <w:r>
              <w:rPr>
                <w:rFonts w:ascii="Calibri" w:hAnsi="Calibri" w:cs="Calibri"/>
              </w:rPr>
              <w:t>Ivy Minerals, Inc., American Independence Mines &amp; Minerals Company</w:t>
            </w:r>
          </w:p>
          <w:p w:rsidR="0099401E" w:rsidRPr="00EE1EE6" w:rsidRDefault="002976A5" w:rsidP="0099401E">
            <w:pPr>
              <w:spacing w:line="276" w:lineRule="auto"/>
              <w:rPr>
                <w:rFonts w:ascii="Calibri" w:hAnsi="Calibri" w:cs="Calibri"/>
              </w:rPr>
            </w:pPr>
            <w:r>
              <w:rPr>
                <w:rFonts w:ascii="Calibri" w:hAnsi="Calibri" w:cs="Calibri"/>
              </w:rPr>
              <w:t>Conway G. Ivy, President</w:t>
            </w:r>
          </w:p>
          <w:p w:rsidR="000B040D" w:rsidRDefault="002976A5" w:rsidP="0099401E">
            <w:pPr>
              <w:spacing w:line="276" w:lineRule="auto"/>
              <w:rPr>
                <w:rFonts w:ascii="Calibri" w:hAnsi="Calibri" w:cs="Calibri"/>
              </w:rPr>
            </w:pPr>
            <w:r>
              <w:rPr>
                <w:rFonts w:ascii="Calibri" w:hAnsi="Calibri" w:cs="Calibri"/>
              </w:rPr>
              <w:t>Boise, ID</w:t>
            </w:r>
          </w:p>
          <w:p w:rsidR="00423107" w:rsidRPr="00EE1EE6" w:rsidRDefault="007D52C1" w:rsidP="0099401E">
            <w:pPr>
              <w:spacing w:line="276" w:lineRule="auto"/>
              <w:rPr>
                <w:rFonts w:ascii="Calibri" w:hAnsi="Calibri" w:cs="Calibri"/>
              </w:rPr>
            </w:pPr>
            <w:r>
              <w:rPr>
                <w:rFonts w:ascii="Calibri" w:hAnsi="Calibri" w:cs="Calibri"/>
              </w:rPr>
              <w:t>Date of contact: October 15, 2012</w:t>
            </w:r>
          </w:p>
        </w:tc>
        <w:tc>
          <w:tcPr>
            <w:tcW w:w="4320" w:type="dxa"/>
            <w:vAlign w:val="center"/>
          </w:tcPr>
          <w:p w:rsidR="000B040D" w:rsidRPr="00EE1EE6" w:rsidRDefault="000B040D" w:rsidP="0099401E">
            <w:pPr>
              <w:spacing w:line="276" w:lineRule="auto"/>
              <w:rPr>
                <w:rFonts w:ascii="Calibri" w:hAnsi="Calibri" w:cs="Calibri"/>
              </w:rPr>
            </w:pPr>
          </w:p>
        </w:tc>
      </w:tr>
    </w:tbl>
    <w:p w:rsidR="00D40719" w:rsidRDefault="00D40719" w:rsidP="00D407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9.</w:t>
      </w:r>
      <w:r w:rsidRPr="00404750">
        <w:rPr>
          <w:rFonts w:ascii="Calibri" w:hAnsi="Calibri" w:cs="Calibri"/>
          <w:b/>
          <w:sz w:val="22"/>
          <w:szCs w:val="22"/>
        </w:rPr>
        <w:tab/>
        <w:t>Explain any decision to provide any payment or gift to respondents, other than remuneration of contractors or grantees.</w:t>
      </w:r>
    </w:p>
    <w:p w:rsidR="00231471" w:rsidRPr="00404750" w:rsidRDefault="00231471" w:rsidP="001F2189">
      <w:pPr>
        <w:spacing w:line="276" w:lineRule="auto"/>
        <w:rPr>
          <w:rFonts w:ascii="Calibri" w:hAnsi="Calibri" w:cs="Calibri"/>
          <w:b/>
          <w:sz w:val="22"/>
          <w:szCs w:val="22"/>
        </w:rPr>
      </w:pPr>
    </w:p>
    <w:p w:rsidR="00B07B54" w:rsidRPr="00404750" w:rsidRDefault="00B07B54" w:rsidP="00DD1393">
      <w:pPr>
        <w:tabs>
          <w:tab w:val="left" w:pos="360"/>
        </w:tabs>
        <w:spacing w:line="276" w:lineRule="auto"/>
        <w:ind w:firstLine="720"/>
        <w:rPr>
          <w:rFonts w:ascii="Calibri" w:hAnsi="Calibri" w:cs="Calibri"/>
          <w:sz w:val="22"/>
          <w:szCs w:val="22"/>
        </w:rPr>
      </w:pPr>
      <w:r w:rsidRPr="00404750">
        <w:rPr>
          <w:rFonts w:ascii="Calibri" w:hAnsi="Calibri" w:cs="Calibri"/>
          <w:sz w:val="22"/>
          <w:szCs w:val="22"/>
        </w:rPr>
        <w:t>No payments or gifts are made to respondents.</w:t>
      </w:r>
    </w:p>
    <w:p w:rsidR="007611F7" w:rsidRPr="00404750" w:rsidRDefault="007611F7" w:rsidP="001F2189">
      <w:pPr>
        <w:spacing w:line="276" w:lineRule="auto"/>
        <w:rPr>
          <w:rFonts w:ascii="Calibri" w:hAnsi="Calibri" w:cs="Calibri"/>
          <w:sz w:val="22"/>
          <w:szCs w:val="22"/>
        </w:rPr>
      </w:pP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10.</w:t>
      </w:r>
      <w:r w:rsidRPr="00404750">
        <w:rPr>
          <w:rFonts w:ascii="Calibri" w:hAnsi="Calibri" w:cs="Calibri"/>
          <w:b/>
          <w:sz w:val="22"/>
          <w:szCs w:val="22"/>
        </w:rPr>
        <w:tab/>
        <w:t>Describe any assurance of confidentiality provided to respondents and the basis for the assurance in statute, regulation, or agency policy.</w:t>
      </w:r>
    </w:p>
    <w:p w:rsidR="001F2189" w:rsidRPr="00404750" w:rsidRDefault="001F2189" w:rsidP="001F2189">
      <w:pPr>
        <w:spacing w:line="276" w:lineRule="auto"/>
        <w:ind w:firstLine="720"/>
        <w:rPr>
          <w:rFonts w:ascii="Calibri" w:hAnsi="Calibri" w:cs="Calibri"/>
          <w:sz w:val="22"/>
          <w:szCs w:val="22"/>
        </w:rPr>
      </w:pPr>
    </w:p>
    <w:p w:rsidR="00B07B54" w:rsidRPr="00404750" w:rsidRDefault="00737073" w:rsidP="00DD1393">
      <w:pPr>
        <w:spacing w:line="276" w:lineRule="auto"/>
        <w:ind w:firstLine="360"/>
        <w:rPr>
          <w:rFonts w:ascii="Calibri" w:hAnsi="Calibri" w:cs="Calibri"/>
          <w:sz w:val="22"/>
          <w:szCs w:val="22"/>
        </w:rPr>
      </w:pPr>
      <w:r w:rsidRPr="00404750">
        <w:rPr>
          <w:rFonts w:ascii="Calibri" w:hAnsi="Calibri" w:cs="Calibri"/>
          <w:sz w:val="22"/>
          <w:szCs w:val="22"/>
        </w:rPr>
        <w:t xml:space="preserve">Public Law 96-479, Section 5(3) (f), ensures the confidentiality of all data reported by persons or </w:t>
      </w:r>
      <w:r w:rsidRPr="00404750">
        <w:rPr>
          <w:rFonts w:ascii="Calibri" w:hAnsi="Calibri" w:cs="Calibri"/>
          <w:sz w:val="22"/>
          <w:szCs w:val="22"/>
        </w:rPr>
        <w:lastRenderedPageBreak/>
        <w:t>firms engaged in any phase of mineral or mineral-material production or large-scale consumption.</w:t>
      </w:r>
    </w:p>
    <w:p w:rsidR="0035073C" w:rsidRPr="00404750" w:rsidRDefault="0035073C" w:rsidP="001F2189">
      <w:pPr>
        <w:spacing w:line="276" w:lineRule="auto"/>
        <w:ind w:firstLine="720"/>
        <w:rPr>
          <w:rFonts w:ascii="Calibri" w:hAnsi="Calibri" w:cs="Calibri"/>
          <w:sz w:val="22"/>
          <w:szCs w:val="22"/>
        </w:rPr>
      </w:pPr>
    </w:p>
    <w:p w:rsidR="00737073" w:rsidRPr="00404750" w:rsidRDefault="0035073C" w:rsidP="00DD1393">
      <w:pPr>
        <w:tabs>
          <w:tab w:val="left" w:pos="360"/>
        </w:tabs>
        <w:spacing w:line="276" w:lineRule="auto"/>
        <w:ind w:firstLine="360"/>
        <w:rPr>
          <w:rFonts w:ascii="Calibri" w:hAnsi="Calibri" w:cs="Calibri"/>
          <w:sz w:val="22"/>
          <w:szCs w:val="22"/>
        </w:rPr>
      </w:pPr>
      <w:r w:rsidRPr="00404750">
        <w:rPr>
          <w:rFonts w:ascii="Calibri" w:hAnsi="Calibri" w:cs="Calibri"/>
          <w:sz w:val="22"/>
          <w:szCs w:val="22"/>
        </w:rPr>
        <w:t>To implement Section 5(3) (f), the USGS withholds all data reported as “Company Proprietary Data,” and such data will be disclosed only in the aggregate so as not to reveal data from a single respondent.</w:t>
      </w:r>
      <w:r w:rsidR="00555C5F" w:rsidRPr="00404750">
        <w:rPr>
          <w:rFonts w:ascii="Calibri" w:hAnsi="Calibri" w:cs="Calibri"/>
          <w:sz w:val="22"/>
          <w:szCs w:val="22"/>
        </w:rPr>
        <w:t xml:space="preserve">  USGS policy states that absent specific company permission, aggregated data can be reported only if it represents three or more companies and if no one company accounts for more than 75% of the total or if no two companies account for more than 90% of the total.  Proprietary data may only be disclosed to Congress or to Federal defense agencies upon official request for appropriat</w:t>
      </w:r>
      <w:r w:rsidR="007C7303" w:rsidRPr="00404750">
        <w:rPr>
          <w:rFonts w:ascii="Calibri" w:hAnsi="Calibri" w:cs="Calibri"/>
          <w:sz w:val="22"/>
          <w:szCs w:val="22"/>
        </w:rPr>
        <w:t>e purposes</w:t>
      </w:r>
      <w:r w:rsidR="009B75BC">
        <w:rPr>
          <w:rFonts w:ascii="Calibri" w:hAnsi="Calibri" w:cs="Calibri"/>
          <w:sz w:val="22"/>
          <w:szCs w:val="22"/>
        </w:rPr>
        <w:t xml:space="preserve"> and in some instances to a State government under a cooperative agreement (Memorandum of Understanding)</w:t>
      </w:r>
      <w:r w:rsidR="007C7303" w:rsidRPr="00404750">
        <w:rPr>
          <w:rFonts w:ascii="Calibri" w:hAnsi="Calibri" w:cs="Calibri"/>
          <w:sz w:val="22"/>
          <w:szCs w:val="22"/>
        </w:rPr>
        <w:t>.</w:t>
      </w:r>
      <w:r w:rsidR="000660B3" w:rsidRPr="00404750">
        <w:rPr>
          <w:rFonts w:ascii="Calibri" w:hAnsi="Calibri" w:cs="Calibri"/>
          <w:sz w:val="22"/>
          <w:szCs w:val="22"/>
        </w:rPr>
        <w:t xml:space="preserve">  </w:t>
      </w:r>
      <w:r w:rsidR="00A5570F" w:rsidRPr="00404750">
        <w:rPr>
          <w:rFonts w:ascii="Calibri" w:hAnsi="Calibri" w:cs="Calibri"/>
          <w:sz w:val="22"/>
          <w:szCs w:val="22"/>
        </w:rPr>
        <w:t>Except in response to requests by Congress or by Federal defense agencies, proprietary data will never be disclosed without the specific permission of the company as represented in the disclosure query.  The disclosure statement and query are printed on each canvass form.</w:t>
      </w:r>
    </w:p>
    <w:p w:rsidR="00A5570F" w:rsidRPr="00404750" w:rsidRDefault="00A5570F" w:rsidP="001F2189">
      <w:pPr>
        <w:spacing w:line="276" w:lineRule="auto"/>
        <w:ind w:firstLine="720"/>
        <w:rPr>
          <w:rFonts w:ascii="Calibri" w:hAnsi="Calibri" w:cs="Calibri"/>
          <w:sz w:val="22"/>
          <w:szCs w:val="22"/>
        </w:rPr>
      </w:pPr>
    </w:p>
    <w:p w:rsidR="00B07B54" w:rsidRPr="00404750" w:rsidRDefault="00A5570F" w:rsidP="00DD1393">
      <w:pPr>
        <w:spacing w:line="276" w:lineRule="auto"/>
        <w:ind w:firstLine="360"/>
        <w:rPr>
          <w:rFonts w:ascii="Calibri" w:hAnsi="Calibri" w:cs="Calibri"/>
          <w:sz w:val="22"/>
          <w:szCs w:val="22"/>
        </w:rPr>
      </w:pPr>
      <w:r w:rsidRPr="00404750">
        <w:rPr>
          <w:rFonts w:ascii="Calibri" w:hAnsi="Calibri" w:cs="Calibri"/>
          <w:sz w:val="22"/>
          <w:szCs w:val="22"/>
        </w:rPr>
        <w:t>The USGS standard for handling proprietary canvass data further discusses protections for USGS proprietary data including penalties associated with violations.</w:t>
      </w:r>
    </w:p>
    <w:p w:rsidR="002944DF" w:rsidRPr="00404750" w:rsidRDefault="002944DF" w:rsidP="00310137">
      <w:pPr>
        <w:spacing w:line="276" w:lineRule="auto"/>
        <w:ind w:firstLine="720"/>
        <w:rPr>
          <w:rFonts w:ascii="Calibri" w:hAnsi="Calibri" w:cs="Calibri"/>
          <w:sz w:val="22"/>
          <w:szCs w:val="22"/>
        </w:rPr>
      </w:pPr>
    </w:p>
    <w:p w:rsidR="00B127FD" w:rsidRPr="00404750" w:rsidRDefault="001E41ED" w:rsidP="001E41ED">
      <w:pPr>
        <w:tabs>
          <w:tab w:val="left" w:pos="360"/>
        </w:tabs>
        <w:spacing w:line="276" w:lineRule="auto"/>
        <w:rPr>
          <w:rFonts w:ascii="Calibri" w:hAnsi="Calibri" w:cs="Calibri"/>
          <w:sz w:val="22"/>
          <w:szCs w:val="22"/>
        </w:rPr>
      </w:pPr>
      <w:r w:rsidRPr="00404750">
        <w:rPr>
          <w:rFonts w:ascii="Calibri" w:hAnsi="Calibri" w:cs="Calibri"/>
          <w:sz w:val="22"/>
          <w:szCs w:val="22"/>
        </w:rPr>
        <w:tab/>
      </w:r>
      <w:r w:rsidR="00B127FD" w:rsidRPr="00404750">
        <w:rPr>
          <w:rFonts w:ascii="Calibri" w:hAnsi="Calibri" w:cs="Calibri"/>
          <w:sz w:val="22"/>
          <w:szCs w:val="22"/>
        </w:rPr>
        <w:t xml:space="preserve">The records for this collection will be maintained in the appropriate Privacy Act System of Records identified as Computer Registration System. (INTERIOR/USGS-20) published at 74 FR 23430 (May 19, 2009).  </w:t>
      </w:r>
    </w:p>
    <w:p w:rsidR="00B127FD" w:rsidRPr="00404750" w:rsidRDefault="00B127FD" w:rsidP="00B1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11.</w:t>
      </w:r>
      <w:r w:rsidRPr="00404750">
        <w:rPr>
          <w:rFonts w:ascii="Calibri" w:hAnsi="Calibri" w:cs="Calibr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F2189" w:rsidRPr="00404750" w:rsidRDefault="001F2189" w:rsidP="001F2189">
      <w:pPr>
        <w:spacing w:line="276" w:lineRule="auto"/>
        <w:rPr>
          <w:rFonts w:ascii="Calibri" w:hAnsi="Calibri" w:cs="Calibri"/>
          <w:sz w:val="22"/>
          <w:szCs w:val="22"/>
        </w:rPr>
      </w:pPr>
    </w:p>
    <w:p w:rsidR="00231471" w:rsidRPr="00404750" w:rsidRDefault="00DD1393"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r>
      <w:r w:rsidR="005F0880" w:rsidRPr="00404750">
        <w:rPr>
          <w:rFonts w:ascii="Calibri" w:hAnsi="Calibri" w:cs="Calibri"/>
          <w:sz w:val="22"/>
          <w:szCs w:val="22"/>
        </w:rPr>
        <w:t>This collection does not ask for information of a sensitive nature</w:t>
      </w:r>
      <w:r w:rsidR="00B07B54" w:rsidRPr="00404750">
        <w:rPr>
          <w:rFonts w:ascii="Calibri" w:hAnsi="Calibri" w:cs="Calibri"/>
          <w:sz w:val="22"/>
          <w:szCs w:val="22"/>
        </w:rPr>
        <w:t>.</w:t>
      </w:r>
    </w:p>
    <w:p w:rsidR="00906D9C" w:rsidRPr="00404750" w:rsidRDefault="00906D9C" w:rsidP="001F2189">
      <w:pPr>
        <w:spacing w:line="276" w:lineRule="auto"/>
        <w:rPr>
          <w:rFonts w:ascii="Calibri" w:hAnsi="Calibri" w:cs="Calibri"/>
          <w:sz w:val="22"/>
          <w:szCs w:val="22"/>
        </w:rPr>
      </w:pP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404750">
        <w:rPr>
          <w:rFonts w:ascii="Calibri" w:hAnsi="Calibri" w:cs="Calibri"/>
          <w:b/>
          <w:sz w:val="22"/>
          <w:szCs w:val="22"/>
        </w:rPr>
        <w:t>12.</w:t>
      </w:r>
      <w:r w:rsidRPr="00404750">
        <w:rPr>
          <w:rFonts w:ascii="Calibri" w:hAnsi="Calibri" w:cs="Calibri"/>
          <w:b/>
          <w:sz w:val="22"/>
          <w:szCs w:val="22"/>
        </w:rPr>
        <w:tab/>
        <w:t>Provide estimates of the hour burden of the collection of information.  The statement should:</w:t>
      </w: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If this request for approval covers more than one form, provide separate hour burden estimates for each form and aggregate the hour burdens.</w:t>
      </w:r>
    </w:p>
    <w:p w:rsidR="001E41ED" w:rsidRPr="00404750" w:rsidRDefault="001E41ED" w:rsidP="001E41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404750">
        <w:rPr>
          <w:rFonts w:ascii="Calibri" w:hAnsi="Calibri" w:cs="Calibri"/>
          <w:b/>
          <w:sz w:val="22"/>
          <w:szCs w:val="22"/>
        </w:rPr>
        <w:tab/>
        <w:t>*</w:t>
      </w:r>
      <w:r w:rsidRPr="00404750">
        <w:rPr>
          <w:rFonts w:ascii="Calibri" w:hAnsi="Calibri" w:cs="Calibr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231471" w:rsidRPr="00404750" w:rsidRDefault="00231471" w:rsidP="001F2189">
      <w:pPr>
        <w:spacing w:line="276" w:lineRule="auto"/>
        <w:ind w:left="360"/>
        <w:rPr>
          <w:rFonts w:ascii="Calibri" w:hAnsi="Calibri" w:cs="Calibri"/>
          <w:b/>
          <w:sz w:val="22"/>
          <w:szCs w:val="22"/>
        </w:rPr>
      </w:pPr>
    </w:p>
    <w:p w:rsidR="00CF1A36" w:rsidRDefault="00CF1A36" w:rsidP="00DD1393">
      <w:pPr>
        <w:spacing w:line="276" w:lineRule="auto"/>
        <w:ind w:firstLine="360"/>
        <w:rPr>
          <w:rFonts w:ascii="Calibri" w:hAnsi="Calibri" w:cs="Calibri"/>
          <w:sz w:val="22"/>
          <w:szCs w:val="22"/>
        </w:rPr>
      </w:pPr>
      <w:r w:rsidRPr="00404750">
        <w:rPr>
          <w:rFonts w:ascii="Calibri" w:hAnsi="Calibri" w:cs="Calibri"/>
          <w:sz w:val="22"/>
          <w:szCs w:val="22"/>
        </w:rPr>
        <w:lastRenderedPageBreak/>
        <w:t>Variations can be expected in the reportin</w:t>
      </w:r>
      <w:r w:rsidR="00112887">
        <w:rPr>
          <w:rFonts w:ascii="Calibri" w:hAnsi="Calibri" w:cs="Calibri"/>
          <w:sz w:val="22"/>
          <w:szCs w:val="22"/>
        </w:rPr>
        <w:t>g burden for completion of this form</w:t>
      </w:r>
      <w:r w:rsidRPr="00404750">
        <w:rPr>
          <w:rFonts w:ascii="Calibri" w:hAnsi="Calibri" w:cs="Calibri"/>
          <w:sz w:val="22"/>
          <w:szCs w:val="22"/>
        </w:rPr>
        <w:t xml:space="preserve"> because of the differences in operation size and accounting systems.  The data sought are those routinely maintained in the course of business.  For some companies with more than one plant, the submission takes the form of a consolidated report covering all company operations.  This greatly reduces the reporting burden.</w:t>
      </w:r>
    </w:p>
    <w:p w:rsidR="00110BE5" w:rsidRPr="00404750" w:rsidRDefault="00110BE5" w:rsidP="00921A45">
      <w:pPr>
        <w:spacing w:line="276" w:lineRule="auto"/>
        <w:rPr>
          <w:rFonts w:ascii="Calibri" w:hAnsi="Calibri" w:cs="Calibri"/>
          <w:sz w:val="22"/>
          <w:szCs w:val="22"/>
        </w:rPr>
      </w:pPr>
    </w:p>
    <w:p w:rsidR="00B07B54" w:rsidRPr="00404750" w:rsidRDefault="00B07B54" w:rsidP="00DD1393">
      <w:pPr>
        <w:spacing w:line="276" w:lineRule="auto"/>
        <w:ind w:firstLine="360"/>
        <w:rPr>
          <w:rFonts w:ascii="Calibri" w:hAnsi="Calibri" w:cs="Calibri"/>
          <w:sz w:val="22"/>
          <w:szCs w:val="22"/>
        </w:rPr>
      </w:pPr>
      <w:r w:rsidRPr="00404750">
        <w:rPr>
          <w:rFonts w:ascii="Calibri" w:hAnsi="Calibri" w:cs="Calibri"/>
          <w:sz w:val="22"/>
          <w:szCs w:val="22"/>
        </w:rPr>
        <w:t xml:space="preserve">We estimate </w:t>
      </w:r>
      <w:r w:rsidR="000C47D6" w:rsidRPr="00404750">
        <w:rPr>
          <w:rFonts w:ascii="Calibri" w:hAnsi="Calibri" w:cs="Calibri"/>
          <w:sz w:val="22"/>
          <w:szCs w:val="22"/>
        </w:rPr>
        <w:t>the total</w:t>
      </w:r>
      <w:r w:rsidRPr="00404750">
        <w:rPr>
          <w:rFonts w:ascii="Calibri" w:hAnsi="Calibri" w:cs="Calibri"/>
          <w:sz w:val="22"/>
          <w:szCs w:val="22"/>
        </w:rPr>
        <w:t xml:space="preserve"> </w:t>
      </w:r>
      <w:r w:rsidR="000C47D6" w:rsidRPr="00404750">
        <w:rPr>
          <w:rFonts w:ascii="Calibri" w:hAnsi="Calibri" w:cs="Calibri"/>
          <w:sz w:val="22"/>
          <w:szCs w:val="22"/>
        </w:rPr>
        <w:t>annual</w:t>
      </w:r>
      <w:r w:rsidRPr="00404750">
        <w:rPr>
          <w:rFonts w:ascii="Calibri" w:hAnsi="Calibri" w:cs="Calibri"/>
          <w:sz w:val="22"/>
          <w:szCs w:val="22"/>
        </w:rPr>
        <w:t xml:space="preserve"> burden for this collection of information (includes the time for reviewing instructions, searching data sources, gathering and maintaining the data needed, and completing and reviewing the collection of information) </w:t>
      </w:r>
      <w:r w:rsidR="000C47D6" w:rsidRPr="00404750">
        <w:rPr>
          <w:rFonts w:ascii="Calibri" w:hAnsi="Calibri" w:cs="Calibri"/>
          <w:sz w:val="22"/>
          <w:szCs w:val="22"/>
        </w:rPr>
        <w:t xml:space="preserve">to be approximately </w:t>
      </w:r>
      <w:r w:rsidR="00727B0B">
        <w:rPr>
          <w:rFonts w:ascii="Calibri" w:hAnsi="Calibri" w:cs="Calibri"/>
          <w:sz w:val="22"/>
          <w:szCs w:val="22"/>
        </w:rPr>
        <w:t>66</w:t>
      </w:r>
      <w:r w:rsidR="002D7A18">
        <w:rPr>
          <w:rFonts w:ascii="Calibri" w:hAnsi="Calibri" w:cs="Calibri"/>
          <w:sz w:val="22"/>
          <w:szCs w:val="22"/>
        </w:rPr>
        <w:t>6</w:t>
      </w:r>
      <w:r w:rsidR="009B6D4D">
        <w:rPr>
          <w:rFonts w:ascii="Calibri" w:hAnsi="Calibri" w:cs="Calibri"/>
          <w:sz w:val="22"/>
          <w:szCs w:val="22"/>
        </w:rPr>
        <w:t xml:space="preserve"> </w:t>
      </w:r>
      <w:r w:rsidR="00A0290D" w:rsidRPr="00062DE1">
        <w:rPr>
          <w:rFonts w:ascii="Calibri" w:hAnsi="Calibri" w:cs="Calibri"/>
          <w:sz w:val="22"/>
          <w:szCs w:val="22"/>
        </w:rPr>
        <w:t>hours</w:t>
      </w:r>
      <w:r w:rsidR="00CB6321">
        <w:rPr>
          <w:rFonts w:ascii="Calibri" w:hAnsi="Calibri" w:cs="Calibri"/>
          <w:sz w:val="22"/>
          <w:szCs w:val="22"/>
        </w:rPr>
        <w:t xml:space="preserve"> (Table 1)</w:t>
      </w:r>
      <w:r w:rsidR="00A0290D" w:rsidRPr="00404750">
        <w:rPr>
          <w:rFonts w:ascii="Calibri" w:hAnsi="Calibri" w:cs="Calibri"/>
          <w:sz w:val="22"/>
          <w:szCs w:val="22"/>
        </w:rPr>
        <w:t>.</w:t>
      </w:r>
      <w:r w:rsidR="00CB6321">
        <w:rPr>
          <w:rFonts w:ascii="Calibri" w:hAnsi="Calibri" w:cs="Calibri"/>
          <w:sz w:val="22"/>
          <w:szCs w:val="22"/>
        </w:rPr>
        <w:t xml:space="preserve">  </w:t>
      </w:r>
      <w:r w:rsidR="0005557A">
        <w:rPr>
          <w:rFonts w:ascii="Calibri" w:hAnsi="Calibri" w:cs="Calibri"/>
          <w:sz w:val="22"/>
          <w:szCs w:val="22"/>
        </w:rPr>
        <w:t>Approximately 887 r</w:t>
      </w:r>
      <w:r w:rsidR="00CB6321">
        <w:rPr>
          <w:rFonts w:ascii="Calibri" w:hAnsi="Calibri" w:cs="Calibri"/>
          <w:sz w:val="22"/>
          <w:szCs w:val="22"/>
        </w:rPr>
        <w:t xml:space="preserve">espondents </w:t>
      </w:r>
      <w:r w:rsidR="0005557A">
        <w:rPr>
          <w:rFonts w:ascii="Calibri" w:hAnsi="Calibri" w:cs="Calibri"/>
          <w:sz w:val="22"/>
          <w:szCs w:val="22"/>
        </w:rPr>
        <w:t xml:space="preserve">will </w:t>
      </w:r>
      <w:r w:rsidR="00CB6321">
        <w:rPr>
          <w:rFonts w:ascii="Calibri" w:hAnsi="Calibri" w:cs="Calibri"/>
          <w:sz w:val="22"/>
          <w:szCs w:val="22"/>
        </w:rPr>
        <w:t>report details of their mining and exploration operations annually.</w:t>
      </w:r>
      <w:r w:rsidR="00A0290D" w:rsidRPr="00404750">
        <w:rPr>
          <w:rFonts w:ascii="Calibri" w:hAnsi="Calibri" w:cs="Calibri"/>
          <w:sz w:val="22"/>
          <w:szCs w:val="22"/>
        </w:rPr>
        <w:t xml:space="preserve"> </w:t>
      </w:r>
      <w:r w:rsidR="00CB6321">
        <w:rPr>
          <w:rFonts w:ascii="Calibri" w:hAnsi="Calibri" w:cs="Calibri"/>
          <w:sz w:val="22"/>
          <w:szCs w:val="22"/>
        </w:rPr>
        <w:t xml:space="preserve"> </w:t>
      </w:r>
      <w:r w:rsidRPr="00404750">
        <w:rPr>
          <w:rFonts w:ascii="Calibri" w:hAnsi="Calibri" w:cs="Calibri"/>
          <w:sz w:val="22"/>
          <w:szCs w:val="22"/>
        </w:rPr>
        <w:t xml:space="preserve">For the </w:t>
      </w:r>
      <w:r w:rsidR="00B937B5">
        <w:rPr>
          <w:rFonts w:ascii="Calibri" w:hAnsi="Calibri" w:cs="Calibri"/>
          <w:sz w:val="22"/>
          <w:szCs w:val="22"/>
        </w:rPr>
        <w:t>887</w:t>
      </w:r>
      <w:r w:rsidR="00BD1B6E" w:rsidRPr="00404750">
        <w:rPr>
          <w:rFonts w:ascii="Calibri" w:hAnsi="Calibri" w:cs="Calibri"/>
          <w:sz w:val="22"/>
          <w:szCs w:val="22"/>
        </w:rPr>
        <w:t xml:space="preserve"> </w:t>
      </w:r>
      <w:r w:rsidRPr="00404750">
        <w:rPr>
          <w:rFonts w:ascii="Calibri" w:hAnsi="Calibri" w:cs="Calibri"/>
          <w:sz w:val="22"/>
          <w:szCs w:val="22"/>
        </w:rPr>
        <w:t>associated responses</w:t>
      </w:r>
      <w:r w:rsidR="00BF4A59" w:rsidRPr="00404750">
        <w:rPr>
          <w:rFonts w:ascii="Calibri" w:hAnsi="Calibri" w:cs="Calibri"/>
          <w:sz w:val="22"/>
          <w:szCs w:val="22"/>
        </w:rPr>
        <w:t xml:space="preserve">, </w:t>
      </w:r>
      <w:r w:rsidRPr="00404750">
        <w:rPr>
          <w:rFonts w:ascii="Calibri" w:hAnsi="Calibri" w:cs="Calibri"/>
          <w:sz w:val="22"/>
          <w:szCs w:val="22"/>
        </w:rPr>
        <w:t>averag</w:t>
      </w:r>
      <w:r w:rsidR="00B06D0F" w:rsidRPr="00404750">
        <w:rPr>
          <w:rFonts w:ascii="Calibri" w:hAnsi="Calibri" w:cs="Calibri"/>
          <w:sz w:val="22"/>
          <w:szCs w:val="22"/>
        </w:rPr>
        <w:t xml:space="preserve">e completion time </w:t>
      </w:r>
      <w:r w:rsidR="00472CE7">
        <w:rPr>
          <w:rFonts w:ascii="Calibri" w:hAnsi="Calibri" w:cs="Calibri"/>
          <w:sz w:val="22"/>
          <w:szCs w:val="22"/>
        </w:rPr>
        <w:t>is 45 minutes</w:t>
      </w:r>
      <w:r w:rsidR="00451B8B" w:rsidRPr="00404750">
        <w:rPr>
          <w:rFonts w:ascii="Calibri" w:hAnsi="Calibri" w:cs="Calibri"/>
          <w:sz w:val="22"/>
          <w:szCs w:val="22"/>
        </w:rPr>
        <w:t xml:space="preserve"> per form.</w:t>
      </w:r>
      <w:r w:rsidR="00357F1C">
        <w:rPr>
          <w:rFonts w:ascii="Calibri" w:hAnsi="Calibri" w:cs="Calibri"/>
          <w:sz w:val="22"/>
          <w:szCs w:val="22"/>
        </w:rPr>
        <w:t xml:space="preserve"> </w:t>
      </w:r>
    </w:p>
    <w:p w:rsidR="001F2189" w:rsidRPr="00404750" w:rsidRDefault="001F2189" w:rsidP="001F2189">
      <w:pPr>
        <w:spacing w:line="276" w:lineRule="auto"/>
        <w:rPr>
          <w:rFonts w:ascii="Calibri" w:hAnsi="Calibri" w:cs="Calibri"/>
          <w:b/>
          <w:sz w:val="22"/>
          <w:szCs w:val="22"/>
        </w:rPr>
      </w:pPr>
    </w:p>
    <w:p w:rsidR="00AF5BCB" w:rsidRDefault="009427F9" w:rsidP="001F2189">
      <w:pPr>
        <w:spacing w:line="276" w:lineRule="auto"/>
        <w:rPr>
          <w:rFonts w:ascii="Calibri" w:hAnsi="Calibri" w:cs="Calibri"/>
          <w:color w:val="000000"/>
          <w:sz w:val="22"/>
          <w:szCs w:val="22"/>
        </w:rPr>
      </w:pPr>
      <w:r w:rsidRPr="00AC789C">
        <w:rPr>
          <w:rFonts w:ascii="Calibri" w:hAnsi="Calibri" w:cs="Calibri"/>
          <w:color w:val="000000"/>
          <w:sz w:val="22"/>
          <w:szCs w:val="22"/>
        </w:rPr>
        <w:t>Table</w:t>
      </w:r>
      <w:r w:rsidR="00F43FC3" w:rsidRPr="00AC789C">
        <w:rPr>
          <w:rFonts w:ascii="Calibri" w:hAnsi="Calibri" w:cs="Calibri"/>
          <w:color w:val="000000"/>
          <w:sz w:val="22"/>
          <w:szCs w:val="22"/>
        </w:rPr>
        <w:t xml:space="preserve"> </w:t>
      </w:r>
      <w:r w:rsidR="0081456F" w:rsidRPr="00AC789C">
        <w:rPr>
          <w:rFonts w:ascii="Calibri" w:hAnsi="Calibri" w:cs="Calibri"/>
          <w:color w:val="000000"/>
          <w:sz w:val="22"/>
          <w:szCs w:val="22"/>
        </w:rPr>
        <w:t>1</w:t>
      </w:r>
      <w:r w:rsidRPr="00AC789C">
        <w:rPr>
          <w:rFonts w:ascii="Calibri" w:hAnsi="Calibri" w:cs="Calibri"/>
          <w:color w:val="000000"/>
          <w:sz w:val="22"/>
          <w:szCs w:val="22"/>
        </w:rPr>
        <w:t>.</w:t>
      </w:r>
      <w:r w:rsidR="00EE4D3A" w:rsidRPr="00AC789C">
        <w:rPr>
          <w:rFonts w:ascii="Calibri" w:hAnsi="Calibri" w:cs="Calibri"/>
          <w:color w:val="000000"/>
          <w:sz w:val="22"/>
          <w:szCs w:val="22"/>
        </w:rPr>
        <w:t xml:space="preserve"> </w:t>
      </w:r>
      <w:r w:rsidR="00C83366" w:rsidRPr="00AC789C">
        <w:rPr>
          <w:rFonts w:ascii="Calibri" w:hAnsi="Calibri" w:cs="Calibri"/>
          <w:color w:val="000000"/>
          <w:sz w:val="22"/>
          <w:szCs w:val="22"/>
        </w:rPr>
        <w:t>Consolidated</w:t>
      </w:r>
      <w:r w:rsidR="00EE4D3A" w:rsidRPr="00AC789C">
        <w:rPr>
          <w:rFonts w:ascii="Calibri" w:hAnsi="Calibri" w:cs="Calibri"/>
          <w:color w:val="000000"/>
          <w:sz w:val="22"/>
          <w:szCs w:val="22"/>
        </w:rPr>
        <w:t xml:space="preserve"> e</w:t>
      </w:r>
      <w:r w:rsidR="00F43FC3" w:rsidRPr="00AC789C">
        <w:rPr>
          <w:rFonts w:ascii="Calibri" w:hAnsi="Calibri" w:cs="Calibri"/>
          <w:color w:val="000000"/>
          <w:sz w:val="22"/>
          <w:szCs w:val="22"/>
        </w:rPr>
        <w:t xml:space="preserve">stimates </w:t>
      </w:r>
      <w:r w:rsidR="00EE4D3A" w:rsidRPr="00AC789C">
        <w:rPr>
          <w:rFonts w:ascii="Calibri" w:hAnsi="Calibri" w:cs="Calibri"/>
          <w:color w:val="000000"/>
          <w:sz w:val="22"/>
          <w:szCs w:val="22"/>
        </w:rPr>
        <w:t xml:space="preserve">of </w:t>
      </w:r>
      <w:r w:rsidR="008D0210" w:rsidRPr="00AC789C">
        <w:rPr>
          <w:rFonts w:ascii="Calibri" w:hAnsi="Calibri" w:cs="Calibri"/>
          <w:color w:val="000000"/>
          <w:sz w:val="22"/>
          <w:szCs w:val="22"/>
        </w:rPr>
        <w:t xml:space="preserve">annual </w:t>
      </w:r>
      <w:r w:rsidR="00AC789C" w:rsidRPr="00AC789C">
        <w:rPr>
          <w:rFonts w:ascii="Calibri" w:hAnsi="Calibri" w:cs="Calibri"/>
          <w:color w:val="000000"/>
          <w:sz w:val="22"/>
          <w:szCs w:val="22"/>
        </w:rPr>
        <w:t>burden</w:t>
      </w:r>
      <w:r w:rsidR="00AE7EAC">
        <w:rPr>
          <w:rFonts w:ascii="Calibri" w:hAnsi="Calibri" w:cs="Calibri"/>
          <w:color w:val="000000"/>
          <w:sz w:val="22"/>
          <w:szCs w:val="22"/>
        </w:rPr>
        <w:t xml:space="preserve"> (private sector)</w:t>
      </w:r>
    </w:p>
    <w:p w:rsidR="00005182" w:rsidRPr="00404750" w:rsidRDefault="00005182" w:rsidP="001F2189">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956F77" w:rsidRPr="00404750" w:rsidTr="0015045A">
        <w:trPr>
          <w:trHeight w:val="368"/>
        </w:trPr>
        <w:tc>
          <w:tcPr>
            <w:tcW w:w="3060" w:type="dxa"/>
            <w:gridSpan w:val="3"/>
          </w:tcPr>
          <w:p w:rsidR="00956F77" w:rsidRPr="00404750" w:rsidRDefault="00956F77" w:rsidP="0015045A">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956F77" w:rsidRPr="00404750" w:rsidRDefault="00956F77" w:rsidP="0015045A">
            <w:pPr>
              <w:spacing w:line="276" w:lineRule="auto"/>
              <w:jc w:val="center"/>
              <w:rPr>
                <w:rFonts w:ascii="Calibri" w:hAnsi="Calibri" w:cs="Calibri"/>
                <w:b/>
              </w:rPr>
            </w:pPr>
            <w:r w:rsidRPr="00404750">
              <w:rPr>
                <w:rFonts w:ascii="Calibri" w:hAnsi="Calibri" w:cs="Calibri"/>
                <w:b/>
              </w:rPr>
              <w:t>PRIVATE SECTOR</w:t>
            </w:r>
          </w:p>
        </w:tc>
      </w:tr>
      <w:tr w:rsidR="00956F77" w:rsidRPr="00404750" w:rsidTr="0015045A">
        <w:tc>
          <w:tcPr>
            <w:tcW w:w="450" w:type="dxa"/>
          </w:tcPr>
          <w:p w:rsidR="00956F77" w:rsidRPr="00404750" w:rsidRDefault="00956F77" w:rsidP="0015045A">
            <w:pPr>
              <w:spacing w:line="276" w:lineRule="auto"/>
              <w:jc w:val="center"/>
              <w:rPr>
                <w:rFonts w:ascii="Calibri" w:hAnsi="Calibri" w:cs="Calibri"/>
                <w:b/>
              </w:rPr>
            </w:pPr>
          </w:p>
        </w:tc>
        <w:tc>
          <w:tcPr>
            <w:tcW w:w="1260" w:type="dxa"/>
            <w:shd w:val="clear" w:color="auto" w:fill="auto"/>
            <w:vAlign w:val="center"/>
          </w:tcPr>
          <w:p w:rsidR="00956F77" w:rsidRPr="00404750" w:rsidRDefault="00956F77" w:rsidP="0015045A">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956F77" w:rsidRPr="00404750" w:rsidRDefault="00956F77" w:rsidP="0015045A">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956F77" w:rsidRPr="00404750" w:rsidRDefault="00956F77" w:rsidP="0015045A">
            <w:pPr>
              <w:spacing w:line="276" w:lineRule="auto"/>
              <w:jc w:val="center"/>
              <w:rPr>
                <w:rFonts w:ascii="Calibri" w:hAnsi="Calibri" w:cs="Calibri"/>
                <w:b/>
              </w:rPr>
            </w:pPr>
            <w:r w:rsidRPr="00404750">
              <w:rPr>
                <w:rFonts w:ascii="Calibri" w:hAnsi="Calibri" w:cs="Calibri"/>
                <w:b/>
              </w:rPr>
              <w:t>Number of</w:t>
            </w:r>
          </w:p>
          <w:p w:rsidR="00956F77" w:rsidRPr="00404750" w:rsidRDefault="00956F77" w:rsidP="0015045A">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956F77" w:rsidRPr="00404750" w:rsidRDefault="00956F77" w:rsidP="0015045A">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956F77" w:rsidRPr="00404750" w:rsidRDefault="00956F77" w:rsidP="0015045A">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956F77" w:rsidRPr="00404750" w:rsidRDefault="00956F77" w:rsidP="0015045A">
            <w:pPr>
              <w:spacing w:line="276" w:lineRule="auto"/>
              <w:jc w:val="center"/>
              <w:rPr>
                <w:rFonts w:ascii="Calibri" w:hAnsi="Calibri" w:cs="Calibri"/>
                <w:b/>
              </w:rPr>
            </w:pPr>
            <w:r w:rsidRPr="00404750">
              <w:rPr>
                <w:rFonts w:ascii="Calibri" w:hAnsi="Calibri" w:cs="Calibri"/>
                <w:b/>
              </w:rPr>
              <w:t>Burden Hours</w:t>
            </w:r>
          </w:p>
        </w:tc>
      </w:tr>
      <w:tr w:rsidR="00956F77" w:rsidRPr="00404750" w:rsidTr="0015045A">
        <w:tc>
          <w:tcPr>
            <w:tcW w:w="450" w:type="dxa"/>
          </w:tcPr>
          <w:p w:rsidR="00956F77" w:rsidRPr="00404750" w:rsidRDefault="00956F77" w:rsidP="0015045A">
            <w:pPr>
              <w:spacing w:line="276" w:lineRule="auto"/>
              <w:rPr>
                <w:rFonts w:ascii="Calibri" w:hAnsi="Calibri" w:cs="Calibri"/>
              </w:rPr>
            </w:pPr>
          </w:p>
        </w:tc>
        <w:tc>
          <w:tcPr>
            <w:tcW w:w="1260" w:type="dxa"/>
            <w:shd w:val="clear" w:color="auto" w:fill="auto"/>
            <w:vAlign w:val="center"/>
          </w:tcPr>
          <w:p w:rsidR="00956F77" w:rsidRPr="00404750" w:rsidRDefault="00956F77" w:rsidP="0015045A">
            <w:pPr>
              <w:spacing w:line="276" w:lineRule="auto"/>
              <w:rPr>
                <w:rFonts w:ascii="Calibri" w:hAnsi="Calibri" w:cs="Calibri"/>
              </w:rPr>
            </w:pPr>
          </w:p>
        </w:tc>
        <w:tc>
          <w:tcPr>
            <w:tcW w:w="1350" w:type="dxa"/>
            <w:shd w:val="clear" w:color="auto" w:fill="auto"/>
            <w:vAlign w:val="center"/>
          </w:tcPr>
          <w:p w:rsidR="00956F77" w:rsidRPr="00404750" w:rsidRDefault="00956F77" w:rsidP="0015045A">
            <w:pPr>
              <w:spacing w:line="276" w:lineRule="auto"/>
              <w:rPr>
                <w:rFonts w:ascii="Calibri" w:hAnsi="Calibri" w:cs="Calibri"/>
              </w:rPr>
            </w:pPr>
          </w:p>
        </w:tc>
        <w:tc>
          <w:tcPr>
            <w:tcW w:w="1350" w:type="dxa"/>
            <w:tcBorders>
              <w:left w:val="single" w:sz="18" w:space="0" w:color="auto"/>
            </w:tcBorders>
            <w:shd w:val="clear" w:color="auto" w:fill="auto"/>
            <w:vAlign w:val="center"/>
          </w:tcPr>
          <w:p w:rsidR="00956F77" w:rsidRPr="00404750" w:rsidRDefault="00956F77" w:rsidP="0015045A">
            <w:pPr>
              <w:spacing w:line="276" w:lineRule="auto"/>
              <w:rPr>
                <w:rFonts w:ascii="Calibri" w:hAnsi="Calibri" w:cs="Calibri"/>
              </w:rPr>
            </w:pPr>
          </w:p>
        </w:tc>
        <w:tc>
          <w:tcPr>
            <w:tcW w:w="1170" w:type="dxa"/>
            <w:tcBorders>
              <w:right w:val="single" w:sz="8" w:space="0" w:color="auto"/>
            </w:tcBorders>
            <w:shd w:val="clear" w:color="auto" w:fill="auto"/>
            <w:vAlign w:val="center"/>
          </w:tcPr>
          <w:p w:rsidR="00956F77" w:rsidRPr="00404750" w:rsidRDefault="00956F77" w:rsidP="0015045A">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956F77" w:rsidRPr="00404750" w:rsidRDefault="00956F77" w:rsidP="0015045A">
            <w:pPr>
              <w:spacing w:line="276" w:lineRule="auto"/>
              <w:rPr>
                <w:rFonts w:ascii="Calibri" w:hAnsi="Calibri" w:cs="Calibri"/>
              </w:rPr>
            </w:pPr>
          </w:p>
        </w:tc>
      </w:tr>
      <w:tr w:rsidR="00956F77" w:rsidRPr="00404750" w:rsidTr="0015045A">
        <w:tc>
          <w:tcPr>
            <w:tcW w:w="450" w:type="dxa"/>
          </w:tcPr>
          <w:p w:rsidR="00956F77" w:rsidRPr="00404750" w:rsidRDefault="00956F77" w:rsidP="0015045A">
            <w:pPr>
              <w:spacing w:line="276" w:lineRule="auto"/>
              <w:rPr>
                <w:rFonts w:ascii="Calibri" w:hAnsi="Calibri" w:cs="Calibri"/>
              </w:rPr>
            </w:pPr>
            <w:r w:rsidRPr="00404750">
              <w:rPr>
                <w:rFonts w:ascii="Calibri" w:hAnsi="Calibri" w:cs="Calibri"/>
              </w:rPr>
              <w:t>1</w:t>
            </w:r>
          </w:p>
        </w:tc>
        <w:tc>
          <w:tcPr>
            <w:tcW w:w="1260" w:type="dxa"/>
            <w:shd w:val="clear" w:color="auto" w:fill="auto"/>
            <w:vAlign w:val="center"/>
          </w:tcPr>
          <w:p w:rsidR="00956F77" w:rsidRPr="00404750" w:rsidRDefault="00853BD0" w:rsidP="0015045A">
            <w:pPr>
              <w:spacing w:line="276" w:lineRule="auto"/>
              <w:rPr>
                <w:rFonts w:ascii="Calibri" w:hAnsi="Calibri" w:cs="Calibri"/>
              </w:rPr>
            </w:pPr>
            <w:r>
              <w:rPr>
                <w:rFonts w:ascii="Calibri" w:hAnsi="Calibri" w:cs="Calibri"/>
              </w:rPr>
              <w:t>9-4000</w:t>
            </w:r>
            <w:r w:rsidR="00956F77" w:rsidRPr="00404750">
              <w:rPr>
                <w:rFonts w:ascii="Calibri" w:hAnsi="Calibri" w:cs="Calibri"/>
              </w:rPr>
              <w:t>-A</w:t>
            </w:r>
          </w:p>
        </w:tc>
        <w:tc>
          <w:tcPr>
            <w:tcW w:w="1350" w:type="dxa"/>
            <w:shd w:val="clear" w:color="auto" w:fill="auto"/>
            <w:vAlign w:val="center"/>
          </w:tcPr>
          <w:p w:rsidR="00956F77" w:rsidRPr="00404750" w:rsidRDefault="00956F77" w:rsidP="0015045A">
            <w:pPr>
              <w:spacing w:line="276" w:lineRule="auto"/>
              <w:rPr>
                <w:rFonts w:ascii="Calibri" w:hAnsi="Calibri" w:cs="Calibri"/>
              </w:rPr>
            </w:pPr>
            <w:r w:rsidRPr="00404750">
              <w:rPr>
                <w:rFonts w:ascii="Calibri" w:hAnsi="Calibri" w:cs="Calibri"/>
              </w:rPr>
              <w:t>Annually</w:t>
            </w:r>
          </w:p>
        </w:tc>
        <w:tc>
          <w:tcPr>
            <w:tcW w:w="1350" w:type="dxa"/>
            <w:tcBorders>
              <w:left w:val="single" w:sz="1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8</w:t>
            </w:r>
            <w:r w:rsidR="00103CF5">
              <w:rPr>
                <w:rFonts w:ascii="Calibri" w:hAnsi="Calibri" w:cs="Calibri"/>
              </w:rPr>
              <w:t>78</w:t>
            </w:r>
          </w:p>
        </w:tc>
        <w:tc>
          <w:tcPr>
            <w:tcW w:w="1170" w:type="dxa"/>
            <w:tcBorders>
              <w:right w:val="single" w:sz="8" w:space="0" w:color="auto"/>
            </w:tcBorders>
            <w:shd w:val="clear" w:color="auto" w:fill="auto"/>
            <w:vAlign w:val="center"/>
          </w:tcPr>
          <w:p w:rsidR="00956F77" w:rsidRPr="00404750" w:rsidRDefault="00956F77" w:rsidP="006E45E8">
            <w:pPr>
              <w:spacing w:line="276" w:lineRule="auto"/>
              <w:jc w:val="right"/>
              <w:rPr>
                <w:rFonts w:ascii="Calibri" w:hAnsi="Calibri" w:cs="Calibri"/>
              </w:rPr>
            </w:pPr>
            <w:r>
              <w:rPr>
                <w:rFonts w:ascii="Calibri" w:hAnsi="Calibri" w:cs="Calibri"/>
              </w:rPr>
              <w:t>8</w:t>
            </w:r>
            <w:r w:rsidR="00103CF5">
              <w:rPr>
                <w:rFonts w:ascii="Calibri" w:hAnsi="Calibri" w:cs="Calibri"/>
              </w:rPr>
              <w:t>78</w:t>
            </w:r>
          </w:p>
        </w:tc>
        <w:tc>
          <w:tcPr>
            <w:tcW w:w="1260" w:type="dxa"/>
            <w:tcBorders>
              <w:left w:val="single" w:sz="8" w:space="0" w:color="auto"/>
              <w:right w:val="single" w:sz="12" w:space="0" w:color="auto"/>
            </w:tcBorders>
            <w:shd w:val="clear" w:color="auto" w:fill="auto"/>
            <w:vAlign w:val="center"/>
          </w:tcPr>
          <w:p w:rsidR="00956F77" w:rsidRPr="00404750" w:rsidRDefault="00E50316" w:rsidP="0015045A">
            <w:pPr>
              <w:spacing w:line="276" w:lineRule="auto"/>
              <w:jc w:val="center"/>
              <w:rPr>
                <w:rFonts w:ascii="Calibri" w:hAnsi="Calibri" w:cs="Calibri"/>
              </w:rPr>
            </w:pPr>
            <w:r>
              <w:rPr>
                <w:rFonts w:ascii="Calibri" w:hAnsi="Calibri" w:cs="Calibri"/>
              </w:rPr>
              <w:t>45</w:t>
            </w:r>
            <w:r w:rsidR="00956F77" w:rsidRPr="0040475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956F77" w:rsidRPr="00404750" w:rsidRDefault="00103CF5" w:rsidP="0015045A">
            <w:pPr>
              <w:spacing w:line="276" w:lineRule="auto"/>
              <w:jc w:val="right"/>
              <w:rPr>
                <w:rFonts w:ascii="Calibri" w:hAnsi="Calibri" w:cs="Calibri"/>
              </w:rPr>
            </w:pPr>
            <w:r>
              <w:rPr>
                <w:rFonts w:ascii="Calibri" w:hAnsi="Calibri" w:cs="Calibri"/>
              </w:rPr>
              <w:t>659</w:t>
            </w:r>
          </w:p>
        </w:tc>
      </w:tr>
    </w:tbl>
    <w:p w:rsidR="0043469C" w:rsidRDefault="0043469C" w:rsidP="006B2041">
      <w:pPr>
        <w:spacing w:line="276" w:lineRule="auto"/>
        <w:rPr>
          <w:rFonts w:ascii="Calibri" w:hAnsi="Calibri" w:cs="Calibri"/>
          <w:color w:val="000000"/>
          <w:sz w:val="22"/>
          <w:szCs w:val="22"/>
        </w:rPr>
      </w:pPr>
    </w:p>
    <w:p w:rsidR="006B2041" w:rsidRDefault="006B2041" w:rsidP="006B2041">
      <w:pPr>
        <w:spacing w:line="276" w:lineRule="auto"/>
        <w:rPr>
          <w:rFonts w:ascii="Calibri" w:hAnsi="Calibri" w:cs="Calibri"/>
          <w:color w:val="000000"/>
          <w:sz w:val="22"/>
          <w:szCs w:val="22"/>
        </w:rPr>
      </w:pPr>
      <w:r w:rsidRPr="00AC789C">
        <w:rPr>
          <w:rFonts w:ascii="Calibri" w:hAnsi="Calibri" w:cs="Calibri"/>
          <w:color w:val="000000"/>
          <w:sz w:val="22"/>
          <w:szCs w:val="22"/>
        </w:rPr>
        <w:t xml:space="preserve">Table </w:t>
      </w:r>
      <w:r>
        <w:rPr>
          <w:rFonts w:ascii="Calibri" w:hAnsi="Calibri" w:cs="Calibri"/>
          <w:color w:val="000000"/>
          <w:sz w:val="22"/>
          <w:szCs w:val="22"/>
        </w:rPr>
        <w:t>2</w:t>
      </w:r>
      <w:r w:rsidRPr="00AC789C">
        <w:rPr>
          <w:rFonts w:ascii="Calibri" w:hAnsi="Calibri" w:cs="Calibri"/>
          <w:color w:val="000000"/>
          <w:sz w:val="22"/>
          <w:szCs w:val="22"/>
        </w:rPr>
        <w:t>. Consolidated estimates of annual burden</w:t>
      </w:r>
      <w:r>
        <w:rPr>
          <w:rFonts w:ascii="Calibri" w:hAnsi="Calibri" w:cs="Calibri"/>
          <w:color w:val="000000"/>
          <w:sz w:val="22"/>
          <w:szCs w:val="22"/>
        </w:rPr>
        <w:t xml:space="preserve"> (State, local or tribal government sector)</w:t>
      </w:r>
    </w:p>
    <w:p w:rsidR="006B2041" w:rsidRDefault="006B2041" w:rsidP="00DD1393">
      <w:pPr>
        <w:spacing w:line="276" w:lineRule="auto"/>
        <w:ind w:firstLine="360"/>
        <w:rPr>
          <w:rFonts w:ascii="Calibri" w:hAnsi="Calibri" w:cs="Calibri"/>
          <w:color w:val="000000"/>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6B2041" w:rsidRPr="00404750" w:rsidTr="00846FAF">
        <w:trPr>
          <w:trHeight w:val="368"/>
        </w:trPr>
        <w:tc>
          <w:tcPr>
            <w:tcW w:w="3060" w:type="dxa"/>
            <w:gridSpan w:val="3"/>
          </w:tcPr>
          <w:p w:rsidR="006B2041" w:rsidRPr="00404750" w:rsidRDefault="006B2041" w:rsidP="00846FAF">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6B2041" w:rsidRPr="00404750" w:rsidRDefault="006B2041" w:rsidP="00846FAF">
            <w:pPr>
              <w:spacing w:line="276" w:lineRule="auto"/>
              <w:jc w:val="center"/>
              <w:rPr>
                <w:rFonts w:ascii="Calibri" w:hAnsi="Calibri" w:cs="Calibri"/>
                <w:b/>
              </w:rPr>
            </w:pPr>
            <w:r>
              <w:rPr>
                <w:rFonts w:ascii="Calibri" w:hAnsi="Calibri" w:cs="Calibri"/>
                <w:b/>
              </w:rPr>
              <w:t>STATE, LOCAL OR TRIBAL GOVERNMENT</w:t>
            </w:r>
            <w:r w:rsidRPr="00404750">
              <w:rPr>
                <w:rFonts w:ascii="Calibri" w:hAnsi="Calibri" w:cs="Calibri"/>
                <w:b/>
              </w:rPr>
              <w:t xml:space="preserve"> SECTOR</w:t>
            </w:r>
          </w:p>
        </w:tc>
      </w:tr>
      <w:tr w:rsidR="006B2041" w:rsidRPr="00404750" w:rsidTr="00846FAF">
        <w:tc>
          <w:tcPr>
            <w:tcW w:w="450" w:type="dxa"/>
          </w:tcPr>
          <w:p w:rsidR="006B2041" w:rsidRPr="00404750" w:rsidRDefault="006B2041" w:rsidP="00846FAF">
            <w:pPr>
              <w:spacing w:line="276" w:lineRule="auto"/>
              <w:jc w:val="center"/>
              <w:rPr>
                <w:rFonts w:ascii="Calibri" w:hAnsi="Calibri" w:cs="Calibri"/>
                <w:b/>
              </w:rPr>
            </w:pPr>
          </w:p>
        </w:tc>
        <w:tc>
          <w:tcPr>
            <w:tcW w:w="1260" w:type="dxa"/>
            <w:shd w:val="clear" w:color="auto" w:fill="auto"/>
            <w:vAlign w:val="center"/>
          </w:tcPr>
          <w:p w:rsidR="006B2041" w:rsidRPr="00404750" w:rsidRDefault="006B2041" w:rsidP="00846FAF">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6B2041" w:rsidRPr="00404750" w:rsidRDefault="006B2041" w:rsidP="00846FAF">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6B2041" w:rsidRPr="00404750" w:rsidRDefault="006B2041" w:rsidP="00846FAF">
            <w:pPr>
              <w:spacing w:line="276" w:lineRule="auto"/>
              <w:jc w:val="center"/>
              <w:rPr>
                <w:rFonts w:ascii="Calibri" w:hAnsi="Calibri" w:cs="Calibri"/>
                <w:b/>
              </w:rPr>
            </w:pPr>
            <w:r w:rsidRPr="00404750">
              <w:rPr>
                <w:rFonts w:ascii="Calibri" w:hAnsi="Calibri" w:cs="Calibri"/>
                <w:b/>
              </w:rPr>
              <w:t>Number of</w:t>
            </w:r>
          </w:p>
          <w:p w:rsidR="006B2041" w:rsidRPr="00404750" w:rsidRDefault="006B2041" w:rsidP="00846FAF">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6B2041" w:rsidRPr="00404750" w:rsidRDefault="006B2041" w:rsidP="00846FAF">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6B2041" w:rsidRPr="00404750" w:rsidRDefault="006B2041" w:rsidP="00846FAF">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6B2041" w:rsidRPr="00404750" w:rsidRDefault="006B2041" w:rsidP="00846FAF">
            <w:pPr>
              <w:spacing w:line="276" w:lineRule="auto"/>
              <w:jc w:val="center"/>
              <w:rPr>
                <w:rFonts w:ascii="Calibri" w:hAnsi="Calibri" w:cs="Calibri"/>
                <w:b/>
              </w:rPr>
            </w:pPr>
            <w:r w:rsidRPr="00404750">
              <w:rPr>
                <w:rFonts w:ascii="Calibri" w:hAnsi="Calibri" w:cs="Calibri"/>
                <w:b/>
              </w:rPr>
              <w:t>Burden Hours</w:t>
            </w:r>
          </w:p>
        </w:tc>
      </w:tr>
      <w:tr w:rsidR="006B2041" w:rsidRPr="00404750" w:rsidTr="00846FAF">
        <w:tc>
          <w:tcPr>
            <w:tcW w:w="450" w:type="dxa"/>
          </w:tcPr>
          <w:p w:rsidR="006B2041" w:rsidRPr="00404750" w:rsidRDefault="006B2041" w:rsidP="00846FAF">
            <w:pPr>
              <w:spacing w:line="276" w:lineRule="auto"/>
              <w:rPr>
                <w:rFonts w:ascii="Calibri" w:hAnsi="Calibri" w:cs="Calibri"/>
              </w:rPr>
            </w:pPr>
          </w:p>
        </w:tc>
        <w:tc>
          <w:tcPr>
            <w:tcW w:w="1260" w:type="dxa"/>
            <w:shd w:val="clear" w:color="auto" w:fill="auto"/>
            <w:vAlign w:val="center"/>
          </w:tcPr>
          <w:p w:rsidR="006B2041" w:rsidRPr="00404750" w:rsidRDefault="006B2041" w:rsidP="00846FAF">
            <w:pPr>
              <w:spacing w:line="276" w:lineRule="auto"/>
              <w:rPr>
                <w:rFonts w:ascii="Calibri" w:hAnsi="Calibri" w:cs="Calibri"/>
              </w:rPr>
            </w:pPr>
          </w:p>
        </w:tc>
        <w:tc>
          <w:tcPr>
            <w:tcW w:w="1350" w:type="dxa"/>
            <w:shd w:val="clear" w:color="auto" w:fill="auto"/>
            <w:vAlign w:val="center"/>
          </w:tcPr>
          <w:p w:rsidR="006B2041" w:rsidRPr="00404750" w:rsidRDefault="006B2041" w:rsidP="00846FAF">
            <w:pPr>
              <w:spacing w:line="276" w:lineRule="auto"/>
              <w:rPr>
                <w:rFonts w:ascii="Calibri" w:hAnsi="Calibri" w:cs="Calibri"/>
              </w:rPr>
            </w:pPr>
          </w:p>
        </w:tc>
        <w:tc>
          <w:tcPr>
            <w:tcW w:w="1350" w:type="dxa"/>
            <w:tcBorders>
              <w:left w:val="single" w:sz="18" w:space="0" w:color="auto"/>
            </w:tcBorders>
            <w:shd w:val="clear" w:color="auto" w:fill="auto"/>
            <w:vAlign w:val="center"/>
          </w:tcPr>
          <w:p w:rsidR="006B2041" w:rsidRPr="00404750" w:rsidRDefault="006B2041" w:rsidP="00846FAF">
            <w:pPr>
              <w:spacing w:line="276" w:lineRule="auto"/>
              <w:rPr>
                <w:rFonts w:ascii="Calibri" w:hAnsi="Calibri" w:cs="Calibri"/>
              </w:rPr>
            </w:pPr>
          </w:p>
        </w:tc>
        <w:tc>
          <w:tcPr>
            <w:tcW w:w="1170" w:type="dxa"/>
            <w:tcBorders>
              <w:right w:val="single" w:sz="8" w:space="0" w:color="auto"/>
            </w:tcBorders>
            <w:shd w:val="clear" w:color="auto" w:fill="auto"/>
            <w:vAlign w:val="center"/>
          </w:tcPr>
          <w:p w:rsidR="006B2041" w:rsidRPr="00404750" w:rsidRDefault="006B2041" w:rsidP="00846FAF">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6B2041" w:rsidRPr="00404750" w:rsidRDefault="006B2041" w:rsidP="00846FAF">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6B2041" w:rsidRPr="00404750" w:rsidRDefault="006B2041" w:rsidP="00846FAF">
            <w:pPr>
              <w:spacing w:line="276" w:lineRule="auto"/>
              <w:rPr>
                <w:rFonts w:ascii="Calibri" w:hAnsi="Calibri" w:cs="Calibri"/>
              </w:rPr>
            </w:pPr>
          </w:p>
        </w:tc>
      </w:tr>
      <w:tr w:rsidR="006B2041" w:rsidRPr="00404750" w:rsidTr="00846FAF">
        <w:trPr>
          <w:trHeight w:val="260"/>
        </w:trPr>
        <w:tc>
          <w:tcPr>
            <w:tcW w:w="450" w:type="dxa"/>
            <w:vAlign w:val="center"/>
          </w:tcPr>
          <w:p w:rsidR="006B2041" w:rsidRPr="00404750" w:rsidRDefault="000E4B2C" w:rsidP="00846FAF">
            <w:pPr>
              <w:spacing w:line="276" w:lineRule="auto"/>
              <w:rPr>
                <w:rFonts w:ascii="Calibri" w:hAnsi="Calibri" w:cs="Calibri"/>
              </w:rPr>
            </w:pPr>
            <w:r>
              <w:rPr>
                <w:rFonts w:ascii="Calibri" w:hAnsi="Calibri" w:cs="Calibri"/>
              </w:rPr>
              <w:t>1</w:t>
            </w:r>
          </w:p>
        </w:tc>
        <w:tc>
          <w:tcPr>
            <w:tcW w:w="1260" w:type="dxa"/>
            <w:shd w:val="clear" w:color="auto" w:fill="auto"/>
            <w:vAlign w:val="center"/>
          </w:tcPr>
          <w:p w:rsidR="006B2041" w:rsidRPr="00404750" w:rsidRDefault="000E4B2C" w:rsidP="00846FAF">
            <w:pPr>
              <w:spacing w:line="276" w:lineRule="auto"/>
              <w:rPr>
                <w:rFonts w:ascii="Calibri" w:hAnsi="Calibri" w:cs="Calibri"/>
              </w:rPr>
            </w:pPr>
            <w:r>
              <w:rPr>
                <w:rFonts w:ascii="Calibri" w:hAnsi="Calibri" w:cs="Calibri"/>
              </w:rPr>
              <w:t>9-4000</w:t>
            </w:r>
            <w:r w:rsidR="006B2041">
              <w:rPr>
                <w:rFonts w:ascii="Calibri" w:hAnsi="Calibri" w:cs="Calibri"/>
              </w:rPr>
              <w:t>-A</w:t>
            </w:r>
          </w:p>
        </w:tc>
        <w:tc>
          <w:tcPr>
            <w:tcW w:w="1350" w:type="dxa"/>
            <w:shd w:val="clear" w:color="auto" w:fill="auto"/>
            <w:vAlign w:val="center"/>
          </w:tcPr>
          <w:p w:rsidR="006B2041" w:rsidRPr="00404750" w:rsidRDefault="006B2041" w:rsidP="00846FA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6B2041" w:rsidRPr="00404750" w:rsidRDefault="000E4B2C" w:rsidP="006E45E8">
            <w:pPr>
              <w:spacing w:line="276" w:lineRule="auto"/>
              <w:jc w:val="right"/>
              <w:rPr>
                <w:rFonts w:ascii="Calibri" w:hAnsi="Calibri" w:cs="Calibri"/>
              </w:rPr>
            </w:pPr>
            <w:r>
              <w:rPr>
                <w:rFonts w:ascii="Calibri" w:hAnsi="Calibri" w:cs="Calibri"/>
              </w:rPr>
              <w:t>9</w:t>
            </w:r>
          </w:p>
        </w:tc>
        <w:tc>
          <w:tcPr>
            <w:tcW w:w="1170" w:type="dxa"/>
            <w:tcBorders>
              <w:right w:val="single" w:sz="8" w:space="0" w:color="auto"/>
            </w:tcBorders>
            <w:shd w:val="clear" w:color="auto" w:fill="auto"/>
            <w:vAlign w:val="center"/>
          </w:tcPr>
          <w:p w:rsidR="006B2041" w:rsidRPr="00404750" w:rsidRDefault="000E4B2C" w:rsidP="006E45E8">
            <w:pPr>
              <w:spacing w:line="276" w:lineRule="auto"/>
              <w:jc w:val="right"/>
              <w:rPr>
                <w:rFonts w:ascii="Calibri" w:hAnsi="Calibri" w:cs="Calibri"/>
              </w:rPr>
            </w:pPr>
            <w:r>
              <w:rPr>
                <w:rFonts w:ascii="Calibri" w:hAnsi="Calibri" w:cs="Calibri"/>
              </w:rPr>
              <w:t>9</w:t>
            </w:r>
          </w:p>
        </w:tc>
        <w:tc>
          <w:tcPr>
            <w:tcW w:w="1260" w:type="dxa"/>
            <w:tcBorders>
              <w:left w:val="single" w:sz="8" w:space="0" w:color="auto"/>
              <w:right w:val="single" w:sz="12" w:space="0" w:color="auto"/>
            </w:tcBorders>
            <w:shd w:val="clear" w:color="auto" w:fill="auto"/>
            <w:vAlign w:val="center"/>
          </w:tcPr>
          <w:p w:rsidR="006B2041" w:rsidRPr="00404750" w:rsidRDefault="000E4B2C" w:rsidP="00846FAF">
            <w:pPr>
              <w:spacing w:line="276" w:lineRule="auto"/>
              <w:jc w:val="center"/>
              <w:rPr>
                <w:rFonts w:ascii="Calibri" w:hAnsi="Calibri" w:cs="Calibri"/>
              </w:rPr>
            </w:pPr>
            <w:r>
              <w:rPr>
                <w:rFonts w:ascii="Calibri" w:hAnsi="Calibri" w:cs="Calibri"/>
              </w:rPr>
              <w:t>45</w:t>
            </w:r>
            <w:r w:rsidR="006B2041">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6B2041" w:rsidRPr="00404750" w:rsidRDefault="002D7A18" w:rsidP="00846FAF">
            <w:pPr>
              <w:spacing w:line="276" w:lineRule="auto"/>
              <w:jc w:val="right"/>
              <w:rPr>
                <w:rFonts w:ascii="Calibri" w:hAnsi="Calibri" w:cs="Calibri"/>
              </w:rPr>
            </w:pPr>
            <w:r>
              <w:rPr>
                <w:rFonts w:ascii="Calibri" w:hAnsi="Calibri" w:cs="Calibri"/>
              </w:rPr>
              <w:t>7</w:t>
            </w:r>
          </w:p>
        </w:tc>
      </w:tr>
    </w:tbl>
    <w:p w:rsidR="006B2041" w:rsidRDefault="006B2041" w:rsidP="006B2041">
      <w:pPr>
        <w:spacing w:line="276" w:lineRule="auto"/>
        <w:rPr>
          <w:rFonts w:ascii="Calibri" w:hAnsi="Calibri" w:cs="Calibri"/>
          <w:color w:val="000000"/>
          <w:sz w:val="22"/>
          <w:szCs w:val="22"/>
        </w:rPr>
      </w:pPr>
    </w:p>
    <w:p w:rsidR="00B74CAB" w:rsidRPr="00404750" w:rsidRDefault="009C4E0C" w:rsidP="00DD1393">
      <w:pPr>
        <w:spacing w:line="276" w:lineRule="auto"/>
        <w:ind w:firstLine="360"/>
        <w:rPr>
          <w:rFonts w:ascii="Calibri" w:hAnsi="Calibri" w:cs="Calibri"/>
          <w:sz w:val="22"/>
          <w:szCs w:val="22"/>
        </w:rPr>
      </w:pPr>
      <w:r w:rsidRPr="001B3859">
        <w:rPr>
          <w:rFonts w:ascii="Calibri" w:hAnsi="Calibri" w:cs="Calibri"/>
          <w:color w:val="000000"/>
          <w:sz w:val="22"/>
          <w:szCs w:val="22"/>
        </w:rPr>
        <w:t xml:space="preserve">We estimate </w:t>
      </w:r>
      <w:r w:rsidR="00B72915" w:rsidRPr="001B3859">
        <w:rPr>
          <w:rFonts w:ascii="Calibri" w:hAnsi="Calibri" w:cs="Calibri"/>
          <w:color w:val="000000"/>
          <w:sz w:val="22"/>
          <w:szCs w:val="22"/>
        </w:rPr>
        <w:t xml:space="preserve">the </w:t>
      </w:r>
      <w:r w:rsidR="008D23AA" w:rsidRPr="001B3859">
        <w:rPr>
          <w:rFonts w:ascii="Calibri" w:hAnsi="Calibri" w:cs="Calibri"/>
          <w:color w:val="000000"/>
          <w:sz w:val="22"/>
          <w:szCs w:val="22"/>
        </w:rPr>
        <w:t xml:space="preserve">total </w:t>
      </w:r>
      <w:r w:rsidR="00B72915" w:rsidRPr="001B3859">
        <w:rPr>
          <w:rFonts w:ascii="Calibri" w:hAnsi="Calibri" w:cs="Calibri"/>
          <w:color w:val="000000"/>
          <w:sz w:val="22"/>
          <w:szCs w:val="22"/>
        </w:rPr>
        <w:t xml:space="preserve">dollar </w:t>
      </w:r>
      <w:r w:rsidR="002B296E" w:rsidRPr="001B3859">
        <w:rPr>
          <w:rFonts w:ascii="Calibri" w:hAnsi="Calibri" w:cs="Calibri"/>
          <w:color w:val="000000"/>
          <w:sz w:val="22"/>
          <w:szCs w:val="22"/>
        </w:rPr>
        <w:t>value</w:t>
      </w:r>
      <w:r w:rsidR="009332B8" w:rsidRPr="001B3859">
        <w:rPr>
          <w:rFonts w:ascii="Calibri" w:hAnsi="Calibri" w:cs="Calibri"/>
          <w:color w:val="000000"/>
          <w:sz w:val="22"/>
          <w:szCs w:val="22"/>
        </w:rPr>
        <w:t xml:space="preserve"> of this collection to be </w:t>
      </w:r>
      <w:r w:rsidR="009B6D4D" w:rsidRPr="009B6D4D">
        <w:rPr>
          <w:rFonts w:ascii="Calibri" w:hAnsi="Calibri" w:cs="Calibri"/>
          <w:color w:val="000000"/>
          <w:sz w:val="22"/>
          <w:szCs w:val="22"/>
        </w:rPr>
        <w:t>$</w:t>
      </w:r>
      <w:r w:rsidR="002D7A18">
        <w:rPr>
          <w:rFonts w:ascii="Calibri" w:hAnsi="Calibri" w:cs="Calibri"/>
          <w:color w:val="000000"/>
          <w:sz w:val="22"/>
          <w:szCs w:val="22"/>
        </w:rPr>
        <w:t>19,267</w:t>
      </w:r>
      <w:r w:rsidR="009B6D4D" w:rsidRPr="009B6D4D">
        <w:rPr>
          <w:rFonts w:ascii="Calibri" w:hAnsi="Calibri" w:cs="Calibri"/>
          <w:color w:val="000000"/>
          <w:sz w:val="22"/>
          <w:szCs w:val="22"/>
        </w:rPr>
        <w:t xml:space="preserve"> </w:t>
      </w:r>
      <w:r w:rsidR="004F0E96" w:rsidRPr="001B3859">
        <w:rPr>
          <w:rFonts w:ascii="Calibri" w:hAnsi="Calibri" w:cs="Calibri"/>
          <w:color w:val="000000"/>
          <w:sz w:val="22"/>
          <w:szCs w:val="22"/>
        </w:rPr>
        <w:t xml:space="preserve">(Table </w:t>
      </w:r>
      <w:r w:rsidR="00A2447C">
        <w:rPr>
          <w:rFonts w:ascii="Calibri" w:hAnsi="Calibri" w:cs="Calibri"/>
          <w:color w:val="000000"/>
          <w:sz w:val="22"/>
          <w:szCs w:val="22"/>
        </w:rPr>
        <w:t>3</w:t>
      </w:r>
      <w:r w:rsidR="009D6845" w:rsidRPr="001B3859">
        <w:rPr>
          <w:rFonts w:ascii="Calibri" w:hAnsi="Calibri" w:cs="Calibri"/>
          <w:color w:val="000000"/>
          <w:sz w:val="22"/>
          <w:szCs w:val="22"/>
        </w:rPr>
        <w:t xml:space="preserve"> below</w:t>
      </w:r>
      <w:r w:rsidR="004F0E96" w:rsidRPr="001B3859">
        <w:rPr>
          <w:rFonts w:ascii="Calibri" w:hAnsi="Calibri" w:cs="Calibri"/>
          <w:color w:val="000000"/>
          <w:sz w:val="22"/>
          <w:szCs w:val="22"/>
        </w:rPr>
        <w:t>)</w:t>
      </w:r>
      <w:r w:rsidR="008D23AA" w:rsidRPr="001B3859">
        <w:rPr>
          <w:rFonts w:ascii="Calibri" w:hAnsi="Calibri" w:cs="Calibri"/>
          <w:color w:val="000000"/>
          <w:sz w:val="22"/>
          <w:szCs w:val="22"/>
        </w:rPr>
        <w:t xml:space="preserve">. </w:t>
      </w:r>
      <w:r w:rsidR="00B52FF3" w:rsidRPr="001B3859">
        <w:rPr>
          <w:rFonts w:ascii="Calibri" w:hAnsi="Calibri" w:cs="Calibri"/>
          <w:color w:val="000000"/>
          <w:sz w:val="22"/>
          <w:szCs w:val="22"/>
        </w:rPr>
        <w:t xml:space="preserve"> </w:t>
      </w:r>
      <w:r w:rsidR="008D23AA" w:rsidRPr="001B3859">
        <w:rPr>
          <w:rFonts w:ascii="Calibri" w:hAnsi="Calibri" w:cs="Calibri"/>
          <w:color w:val="000000"/>
          <w:sz w:val="22"/>
          <w:szCs w:val="22"/>
        </w:rPr>
        <w:t>We arrived at this figure by multiplying the estim</w:t>
      </w:r>
      <w:r w:rsidR="009B74C1" w:rsidRPr="001B3859">
        <w:rPr>
          <w:rFonts w:ascii="Calibri" w:hAnsi="Calibri" w:cs="Calibri"/>
          <w:color w:val="000000"/>
          <w:sz w:val="22"/>
          <w:szCs w:val="22"/>
        </w:rPr>
        <w:t xml:space="preserve">ated burden hours </w:t>
      </w:r>
      <w:r w:rsidR="00164928">
        <w:rPr>
          <w:rFonts w:ascii="Calibri" w:hAnsi="Calibri" w:cs="Calibri"/>
          <w:color w:val="000000"/>
          <w:sz w:val="22"/>
          <w:szCs w:val="22"/>
        </w:rPr>
        <w:t xml:space="preserve">for each sector </w:t>
      </w:r>
      <w:r w:rsidR="0018704F" w:rsidRPr="001B3859">
        <w:rPr>
          <w:rFonts w:ascii="Calibri" w:hAnsi="Calibri" w:cs="Calibri"/>
          <w:color w:val="000000"/>
          <w:sz w:val="22"/>
          <w:szCs w:val="22"/>
        </w:rPr>
        <w:t>by the current dollar value (inclu</w:t>
      </w:r>
      <w:r w:rsidR="00A2447C">
        <w:rPr>
          <w:rFonts w:ascii="Calibri" w:hAnsi="Calibri" w:cs="Calibri"/>
          <w:color w:val="000000"/>
          <w:sz w:val="22"/>
          <w:szCs w:val="22"/>
        </w:rPr>
        <w:t>ding benefits) of burden hours for each sector</w:t>
      </w:r>
      <w:r w:rsidR="0018704F" w:rsidRPr="001B3859">
        <w:rPr>
          <w:rFonts w:ascii="Calibri" w:hAnsi="Calibri" w:cs="Calibri"/>
          <w:color w:val="000000"/>
          <w:sz w:val="22"/>
          <w:szCs w:val="22"/>
        </w:rPr>
        <w:t xml:space="preserve">. </w:t>
      </w:r>
      <w:r w:rsidR="000A0D1E" w:rsidRPr="001B3859">
        <w:rPr>
          <w:rFonts w:ascii="Calibri" w:hAnsi="Calibri" w:cs="Calibri"/>
          <w:color w:val="000000"/>
          <w:sz w:val="22"/>
          <w:szCs w:val="22"/>
        </w:rPr>
        <w:t>Th</w:t>
      </w:r>
      <w:r w:rsidR="005B3166" w:rsidRPr="001B3859">
        <w:rPr>
          <w:rFonts w:ascii="Calibri" w:hAnsi="Calibri" w:cs="Calibri"/>
          <w:color w:val="000000"/>
          <w:sz w:val="22"/>
          <w:szCs w:val="22"/>
        </w:rPr>
        <w:t>is</w:t>
      </w:r>
      <w:r w:rsidR="005B3166" w:rsidRPr="00404750">
        <w:rPr>
          <w:rFonts w:ascii="Calibri" w:hAnsi="Calibri" w:cs="Calibri"/>
          <w:sz w:val="22"/>
          <w:szCs w:val="22"/>
        </w:rPr>
        <w:t xml:space="preserve"> wage </w:t>
      </w:r>
      <w:r w:rsidR="000A0D1E" w:rsidRPr="00404750">
        <w:rPr>
          <w:rFonts w:ascii="Calibri" w:hAnsi="Calibri" w:cs="Calibri"/>
          <w:sz w:val="22"/>
          <w:szCs w:val="22"/>
        </w:rPr>
        <w:t>figure</w:t>
      </w:r>
      <w:r w:rsidR="005B3166" w:rsidRPr="00404750">
        <w:rPr>
          <w:rFonts w:ascii="Calibri" w:hAnsi="Calibri" w:cs="Calibri"/>
          <w:sz w:val="22"/>
          <w:szCs w:val="22"/>
        </w:rPr>
        <w:t xml:space="preserve"> is</w:t>
      </w:r>
      <w:r w:rsidR="000A0D1E" w:rsidRPr="00404750">
        <w:rPr>
          <w:rFonts w:ascii="Calibri" w:hAnsi="Calibri" w:cs="Calibri"/>
          <w:sz w:val="22"/>
          <w:szCs w:val="22"/>
        </w:rPr>
        <w:t xml:space="preserve"> based on </w:t>
      </w:r>
      <w:r w:rsidR="000A7430" w:rsidRPr="00404750">
        <w:rPr>
          <w:rFonts w:ascii="Calibri" w:hAnsi="Calibri" w:cs="Calibri"/>
          <w:sz w:val="22"/>
          <w:szCs w:val="22"/>
        </w:rPr>
        <w:t>the Bureau of Labor Stati</w:t>
      </w:r>
      <w:r w:rsidR="003E4C76">
        <w:rPr>
          <w:rFonts w:ascii="Calibri" w:hAnsi="Calibri" w:cs="Calibri"/>
          <w:sz w:val="22"/>
          <w:szCs w:val="22"/>
        </w:rPr>
        <w:t>stics (BLS) news release USDL-12</w:t>
      </w:r>
      <w:r w:rsidR="000A7430" w:rsidRPr="00404750">
        <w:rPr>
          <w:rFonts w:ascii="Calibri" w:hAnsi="Calibri" w:cs="Calibri"/>
          <w:sz w:val="22"/>
          <w:szCs w:val="22"/>
        </w:rPr>
        <w:t>-</w:t>
      </w:r>
      <w:r w:rsidR="003E4C76">
        <w:rPr>
          <w:rFonts w:ascii="Calibri" w:hAnsi="Calibri" w:cs="Calibri"/>
          <w:sz w:val="22"/>
          <w:szCs w:val="22"/>
        </w:rPr>
        <w:t>1830</w:t>
      </w:r>
      <w:r w:rsidR="008D0210" w:rsidRPr="00404750">
        <w:rPr>
          <w:rFonts w:ascii="Calibri" w:hAnsi="Calibri" w:cs="Calibri"/>
          <w:sz w:val="22"/>
          <w:szCs w:val="22"/>
        </w:rPr>
        <w:t xml:space="preserve"> </w:t>
      </w:r>
      <w:r w:rsidR="000A7430" w:rsidRPr="00404750">
        <w:rPr>
          <w:rFonts w:ascii="Calibri" w:hAnsi="Calibri" w:cs="Calibri"/>
          <w:sz w:val="22"/>
          <w:szCs w:val="22"/>
        </w:rPr>
        <w:t>for Employer Costs for Employee Compensation</w:t>
      </w:r>
      <w:r w:rsidR="000A7430" w:rsidRPr="00404750">
        <w:rPr>
          <w:rFonts w:ascii="Calibri" w:hAnsi="Calibri" w:cs="Calibri"/>
          <w:bCs/>
          <w:sz w:val="22"/>
          <w:szCs w:val="22"/>
        </w:rPr>
        <w:t>—</w:t>
      </w:r>
      <w:r w:rsidR="003E4C76">
        <w:rPr>
          <w:rFonts w:ascii="Calibri" w:hAnsi="Calibri" w:cs="Calibri"/>
          <w:bCs/>
          <w:sz w:val="22"/>
          <w:szCs w:val="22"/>
        </w:rPr>
        <w:t>June</w:t>
      </w:r>
      <w:r w:rsidR="008D0210" w:rsidRPr="00404750">
        <w:rPr>
          <w:rFonts w:ascii="Calibri" w:hAnsi="Calibri" w:cs="Calibri"/>
          <w:bCs/>
          <w:sz w:val="22"/>
          <w:szCs w:val="22"/>
        </w:rPr>
        <w:t xml:space="preserve"> </w:t>
      </w:r>
      <w:r w:rsidR="003E4C76">
        <w:rPr>
          <w:rFonts w:ascii="Calibri" w:hAnsi="Calibri" w:cs="Calibri"/>
          <w:bCs/>
          <w:sz w:val="22"/>
          <w:szCs w:val="22"/>
        </w:rPr>
        <w:t>2012</w:t>
      </w:r>
      <w:r w:rsidR="000A7430" w:rsidRPr="00404750">
        <w:rPr>
          <w:rFonts w:ascii="Calibri" w:hAnsi="Calibri" w:cs="Calibri"/>
          <w:bCs/>
          <w:sz w:val="22"/>
          <w:szCs w:val="22"/>
        </w:rPr>
        <w:t xml:space="preserve"> at</w:t>
      </w:r>
      <w:r w:rsidR="004173E1" w:rsidRPr="00404750">
        <w:rPr>
          <w:rFonts w:ascii="Calibri" w:hAnsi="Calibri" w:cs="Calibri"/>
          <w:bCs/>
          <w:sz w:val="22"/>
          <w:szCs w:val="22"/>
        </w:rPr>
        <w:t xml:space="preserve"> </w:t>
      </w:r>
      <w:r w:rsidR="0056151D" w:rsidRPr="0056151D">
        <w:rPr>
          <w:rFonts w:ascii="Calibri" w:hAnsi="Calibri" w:cs="Calibri"/>
          <w:bCs/>
          <w:sz w:val="22"/>
          <w:szCs w:val="22"/>
        </w:rPr>
        <w:t>http://www.bls.gov/news.release/archives/ecec_09112012.pdf</w:t>
      </w:r>
      <w:r w:rsidR="000A0D1E" w:rsidRPr="00404750">
        <w:rPr>
          <w:rFonts w:ascii="Calibri" w:hAnsi="Calibri" w:cs="Calibri"/>
          <w:bCs/>
          <w:sz w:val="22"/>
          <w:szCs w:val="22"/>
        </w:rPr>
        <w:t xml:space="preserve">, dated </w:t>
      </w:r>
      <w:r w:rsidR="003E4C76">
        <w:rPr>
          <w:rFonts w:ascii="Calibri" w:hAnsi="Calibri" w:cs="Calibri"/>
          <w:bCs/>
          <w:sz w:val="22"/>
          <w:szCs w:val="22"/>
        </w:rPr>
        <w:t>September</w:t>
      </w:r>
      <w:r w:rsidR="008D0210" w:rsidRPr="00404750">
        <w:rPr>
          <w:rFonts w:ascii="Calibri" w:hAnsi="Calibri" w:cs="Calibri"/>
          <w:bCs/>
          <w:sz w:val="22"/>
          <w:szCs w:val="22"/>
        </w:rPr>
        <w:t xml:space="preserve"> </w:t>
      </w:r>
      <w:r w:rsidR="003E4C76">
        <w:rPr>
          <w:rFonts w:ascii="Calibri" w:hAnsi="Calibri" w:cs="Calibri"/>
          <w:bCs/>
          <w:sz w:val="22"/>
          <w:szCs w:val="22"/>
        </w:rPr>
        <w:t>11, 2012</w:t>
      </w:r>
      <w:r w:rsidR="000A0D1E" w:rsidRPr="00404750">
        <w:rPr>
          <w:rFonts w:ascii="Calibri" w:hAnsi="Calibri" w:cs="Calibri"/>
          <w:sz w:val="22"/>
          <w:szCs w:val="22"/>
        </w:rPr>
        <w:t>.</w:t>
      </w:r>
    </w:p>
    <w:p w:rsidR="00744468" w:rsidRPr="00404750" w:rsidRDefault="00744468" w:rsidP="001F2189">
      <w:pPr>
        <w:spacing w:line="276" w:lineRule="auto"/>
        <w:rPr>
          <w:rFonts w:ascii="Calibri" w:hAnsi="Calibri" w:cs="Calibri"/>
          <w:sz w:val="22"/>
          <w:szCs w:val="22"/>
        </w:rPr>
      </w:pPr>
    </w:p>
    <w:p w:rsidR="009427F9" w:rsidRPr="0064512A" w:rsidRDefault="00137247" w:rsidP="001F2189">
      <w:pPr>
        <w:spacing w:line="276" w:lineRule="auto"/>
        <w:rPr>
          <w:rFonts w:ascii="Calibri" w:hAnsi="Calibri" w:cs="Calibri"/>
          <w:color w:val="000000"/>
          <w:sz w:val="22"/>
          <w:szCs w:val="22"/>
        </w:rPr>
      </w:pPr>
      <w:r w:rsidRPr="0064512A">
        <w:rPr>
          <w:rFonts w:ascii="Calibri" w:hAnsi="Calibri" w:cs="Calibri"/>
          <w:color w:val="000000"/>
          <w:sz w:val="22"/>
          <w:szCs w:val="22"/>
        </w:rPr>
        <w:t>T</w:t>
      </w:r>
      <w:r w:rsidR="009427F9" w:rsidRPr="0064512A">
        <w:rPr>
          <w:rFonts w:ascii="Calibri" w:hAnsi="Calibri" w:cs="Calibri"/>
          <w:color w:val="000000"/>
          <w:sz w:val="22"/>
          <w:szCs w:val="22"/>
        </w:rPr>
        <w:t xml:space="preserve">able </w:t>
      </w:r>
      <w:r w:rsidR="00AF5BCB" w:rsidRPr="0064512A">
        <w:rPr>
          <w:rFonts w:ascii="Calibri" w:hAnsi="Calibri" w:cs="Calibri"/>
          <w:color w:val="000000"/>
          <w:sz w:val="22"/>
          <w:szCs w:val="22"/>
        </w:rPr>
        <w:t>3</w:t>
      </w:r>
      <w:r w:rsidR="009427F9" w:rsidRPr="0064512A">
        <w:rPr>
          <w:rFonts w:ascii="Calibri" w:hAnsi="Calibri" w:cs="Calibri"/>
          <w:color w:val="000000"/>
          <w:sz w:val="22"/>
          <w:szCs w:val="22"/>
        </w:rPr>
        <w:t xml:space="preserve">:  </w:t>
      </w:r>
      <w:r w:rsidR="00744468" w:rsidRPr="0064512A">
        <w:rPr>
          <w:rFonts w:ascii="Calibri" w:hAnsi="Calibri" w:cs="Calibri"/>
          <w:color w:val="000000"/>
          <w:sz w:val="22"/>
          <w:szCs w:val="22"/>
        </w:rPr>
        <w:t xml:space="preserve">Estimated </w:t>
      </w:r>
      <w:r w:rsidR="005212B9" w:rsidRPr="0064512A">
        <w:rPr>
          <w:rFonts w:ascii="Calibri" w:hAnsi="Calibri" w:cs="Calibri"/>
          <w:color w:val="000000"/>
          <w:sz w:val="22"/>
          <w:szCs w:val="22"/>
        </w:rPr>
        <w:t xml:space="preserve">Dollar Value of Respondent </w:t>
      </w:r>
      <w:r w:rsidR="00744468" w:rsidRPr="0064512A">
        <w:rPr>
          <w:rFonts w:ascii="Calibri" w:hAnsi="Calibri" w:cs="Calibri"/>
          <w:color w:val="000000"/>
          <w:sz w:val="22"/>
          <w:szCs w:val="22"/>
        </w:rPr>
        <w:t xml:space="preserve">Annual </w:t>
      </w:r>
      <w:r w:rsidR="005212B9" w:rsidRPr="0064512A">
        <w:rPr>
          <w:rFonts w:ascii="Calibri" w:hAnsi="Calibri" w:cs="Calibri"/>
          <w:color w:val="000000"/>
          <w:sz w:val="22"/>
          <w:szCs w:val="22"/>
        </w:rPr>
        <w:t>Burden Hours</w:t>
      </w:r>
    </w:p>
    <w:p w:rsidR="00744468" w:rsidRPr="00404750" w:rsidRDefault="00744468" w:rsidP="001F2189">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00504B94" w:rsidRPr="00404750" w:rsidTr="00DD1393">
        <w:trPr>
          <w:trHeight w:val="988"/>
        </w:trPr>
        <w:tc>
          <w:tcPr>
            <w:tcW w:w="1394" w:type="dxa"/>
            <w:tcBorders>
              <w:bottom w:val="single" w:sz="4" w:space="0" w:color="auto"/>
              <w:right w:val="single" w:sz="4" w:space="0" w:color="auto"/>
            </w:tcBorders>
            <w:shd w:val="clear" w:color="auto" w:fill="E0E0E0"/>
            <w:vAlign w:val="center"/>
          </w:tcPr>
          <w:p w:rsidR="007769F6" w:rsidRPr="00404750" w:rsidRDefault="007769F6" w:rsidP="001F2189">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rsidR="007769F6" w:rsidRPr="00404750" w:rsidRDefault="00231471" w:rsidP="001F2189">
            <w:pPr>
              <w:spacing w:line="276" w:lineRule="auto"/>
              <w:jc w:val="center"/>
              <w:rPr>
                <w:rFonts w:ascii="Calibri" w:hAnsi="Calibri" w:cs="Calibri"/>
                <w:b/>
              </w:rPr>
            </w:pPr>
            <w:r w:rsidRPr="00404750">
              <w:rPr>
                <w:rFonts w:ascii="Calibri" w:hAnsi="Calibri" w:cs="Calibri"/>
                <w:b/>
              </w:rPr>
              <w:t>S</w:t>
            </w:r>
            <w:r w:rsidR="007769F6" w:rsidRPr="00404750">
              <w:rPr>
                <w:rFonts w:ascii="Calibri" w:hAnsi="Calibri" w:cs="Calibri"/>
                <w:b/>
              </w:rPr>
              <w:t>ector</w:t>
            </w:r>
          </w:p>
        </w:tc>
        <w:tc>
          <w:tcPr>
            <w:tcW w:w="1620" w:type="dxa"/>
            <w:tcBorders>
              <w:left w:val="single" w:sz="4" w:space="0" w:color="auto"/>
              <w:bottom w:val="single" w:sz="6" w:space="0" w:color="auto"/>
              <w:right w:val="single" w:sz="4" w:space="0" w:color="auto"/>
            </w:tcBorders>
            <w:shd w:val="clear" w:color="auto" w:fill="E0E0E0"/>
            <w:vAlign w:val="center"/>
          </w:tcPr>
          <w:p w:rsidR="007769F6" w:rsidRPr="00404750" w:rsidRDefault="007769F6" w:rsidP="001F2189">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sz="4" w:space="0" w:color="auto"/>
              <w:bottom w:val="single" w:sz="6" w:space="0" w:color="auto"/>
              <w:right w:val="single" w:sz="4" w:space="0" w:color="auto"/>
            </w:tcBorders>
            <w:shd w:val="clear" w:color="auto" w:fill="E0E0E0"/>
            <w:vAlign w:val="center"/>
          </w:tcPr>
          <w:p w:rsidR="007769F6" w:rsidRPr="00404750" w:rsidRDefault="007769F6" w:rsidP="001F2189">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rsidR="007769F6" w:rsidRPr="00404750" w:rsidRDefault="007769F6" w:rsidP="001F2189">
            <w:pPr>
              <w:spacing w:line="276" w:lineRule="auto"/>
              <w:jc w:val="center"/>
              <w:rPr>
                <w:rFonts w:ascii="Calibri" w:hAnsi="Calibri" w:cs="Calibri"/>
                <w:b/>
              </w:rPr>
            </w:pPr>
            <w:r w:rsidRPr="00404750">
              <w:rPr>
                <w:rFonts w:ascii="Calibri" w:hAnsi="Calibri" w:cs="Calibri"/>
                <w:b/>
              </w:rPr>
              <w:t xml:space="preserve">Dollar Value of Burden Hours  </w:t>
            </w:r>
            <w:r w:rsidR="00744468" w:rsidRPr="00404750">
              <w:rPr>
                <w:rFonts w:ascii="Calibri" w:hAnsi="Calibri" w:cs="Calibri"/>
                <w:b/>
              </w:rPr>
              <w:t>(</w:t>
            </w:r>
            <w:r w:rsidRPr="00404750">
              <w:rPr>
                <w:rFonts w:ascii="Calibri" w:hAnsi="Calibri" w:cs="Calibri"/>
                <w:b/>
              </w:rPr>
              <w:t>Including Benefits</w:t>
            </w:r>
            <w:r w:rsidR="00744468" w:rsidRPr="00404750">
              <w:rPr>
                <w:rFonts w:ascii="Calibri" w:hAnsi="Calibri" w:cs="Calibri"/>
                <w:b/>
              </w:rPr>
              <w:t>)</w:t>
            </w:r>
          </w:p>
        </w:tc>
        <w:tc>
          <w:tcPr>
            <w:tcW w:w="1800" w:type="dxa"/>
            <w:tcBorders>
              <w:left w:val="single" w:sz="4" w:space="0" w:color="auto"/>
              <w:bottom w:val="single" w:sz="6" w:space="0" w:color="auto"/>
            </w:tcBorders>
            <w:shd w:val="clear" w:color="auto" w:fill="E0E0E0"/>
            <w:vAlign w:val="center"/>
          </w:tcPr>
          <w:p w:rsidR="007769F6" w:rsidRPr="00404750" w:rsidRDefault="007769F6" w:rsidP="001F2189">
            <w:pPr>
              <w:spacing w:line="276" w:lineRule="auto"/>
              <w:jc w:val="center"/>
              <w:rPr>
                <w:rFonts w:ascii="Calibri" w:hAnsi="Calibri" w:cs="Calibri"/>
                <w:b/>
              </w:rPr>
            </w:pPr>
            <w:r w:rsidRPr="00404750">
              <w:rPr>
                <w:rFonts w:ascii="Calibri" w:hAnsi="Calibri" w:cs="Calibri"/>
                <w:b/>
              </w:rPr>
              <w:t>Total Dollar Value of Annual Burden Hours</w:t>
            </w:r>
          </w:p>
        </w:tc>
      </w:tr>
      <w:tr w:rsidR="005655F5" w:rsidRPr="00404750" w:rsidTr="00846FAF">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rsidR="005655F5" w:rsidRPr="00404750" w:rsidRDefault="00D47884" w:rsidP="001F2189">
            <w:pPr>
              <w:spacing w:line="276" w:lineRule="auto"/>
              <w:rPr>
                <w:rFonts w:ascii="Calibri" w:hAnsi="Calibri" w:cs="Calibri"/>
              </w:rPr>
            </w:pPr>
            <w:r>
              <w:rPr>
                <w:rFonts w:ascii="Calibri" w:hAnsi="Calibri" w:cs="Calibri"/>
              </w:rPr>
              <w:t>Completing canvass form</w:t>
            </w:r>
            <w:r w:rsidR="005655F5" w:rsidRPr="00404750">
              <w:rPr>
                <w:rFonts w:ascii="Calibri" w:hAnsi="Calibri" w:cs="Calibri"/>
              </w:rPr>
              <w:t xml:space="preserve">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rsidR="005655F5" w:rsidRPr="00404750" w:rsidRDefault="005655F5" w:rsidP="00A873AE">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rsidR="005655F5" w:rsidRPr="00DD0BA7" w:rsidRDefault="00E2761C" w:rsidP="00E441B8">
            <w:pPr>
              <w:spacing w:line="276" w:lineRule="auto"/>
              <w:jc w:val="center"/>
              <w:rPr>
                <w:rFonts w:ascii="Calibri" w:hAnsi="Calibri" w:cs="Calibri"/>
              </w:rPr>
            </w:pPr>
            <w:r w:rsidRPr="00DD0BA7">
              <w:rPr>
                <w:rFonts w:ascii="Calibri" w:hAnsi="Calibri" w:cs="Calibri"/>
              </w:rPr>
              <w:t>878</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rsidR="005655F5" w:rsidRPr="00DD0BA7" w:rsidRDefault="00E2761C" w:rsidP="004615A8">
            <w:pPr>
              <w:spacing w:line="276" w:lineRule="auto"/>
              <w:jc w:val="center"/>
              <w:rPr>
                <w:rFonts w:ascii="Calibri" w:hAnsi="Calibri" w:cs="Calibri"/>
              </w:rPr>
            </w:pPr>
            <w:r w:rsidRPr="00DD0BA7">
              <w:rPr>
                <w:rFonts w:ascii="Calibri" w:hAnsi="Calibri" w:cs="Calibri"/>
              </w:rPr>
              <w:t>659</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rsidR="005655F5" w:rsidRPr="00404750" w:rsidRDefault="00250EF6" w:rsidP="00E441B8">
            <w:pPr>
              <w:spacing w:line="276" w:lineRule="auto"/>
              <w:jc w:val="center"/>
              <w:rPr>
                <w:rFonts w:ascii="Calibri" w:hAnsi="Calibri" w:cs="Calibri"/>
              </w:rPr>
            </w:pPr>
            <w:r>
              <w:rPr>
                <w:rFonts w:ascii="Calibri" w:hAnsi="Calibri" w:cs="Calibri"/>
              </w:rPr>
              <w:t>$28</w:t>
            </w:r>
            <w:r w:rsidR="006A43B2">
              <w:rPr>
                <w:rFonts w:ascii="Calibri" w:hAnsi="Calibri" w:cs="Calibri"/>
              </w:rPr>
              <w:t>.</w:t>
            </w:r>
            <w:r w:rsidR="00723929">
              <w:rPr>
                <w:rFonts w:ascii="Calibri" w:hAnsi="Calibri" w:cs="Calibri"/>
              </w:rPr>
              <w:t>80</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rsidR="005655F5" w:rsidRPr="00404750" w:rsidRDefault="00796E85" w:rsidP="00B50C09">
            <w:pPr>
              <w:spacing w:line="276" w:lineRule="auto"/>
              <w:jc w:val="center"/>
              <w:rPr>
                <w:rFonts w:ascii="Calibri" w:hAnsi="Calibri" w:cs="Calibri"/>
              </w:rPr>
            </w:pPr>
            <w:r>
              <w:rPr>
                <w:rFonts w:ascii="Calibri" w:hAnsi="Calibri" w:cs="Calibri"/>
              </w:rPr>
              <w:t>$18</w:t>
            </w:r>
            <w:r w:rsidR="0034104C">
              <w:rPr>
                <w:rFonts w:ascii="Calibri" w:hAnsi="Calibri" w:cs="Calibri"/>
              </w:rPr>
              <w:t>,</w:t>
            </w:r>
            <w:r>
              <w:rPr>
                <w:rFonts w:ascii="Calibri" w:hAnsi="Calibri" w:cs="Calibri"/>
              </w:rPr>
              <w:t>979</w:t>
            </w:r>
          </w:p>
        </w:tc>
      </w:tr>
      <w:tr w:rsidR="005655F5" w:rsidRPr="00404750" w:rsidTr="005655F5">
        <w:trPr>
          <w:trHeight w:val="720"/>
        </w:trPr>
        <w:tc>
          <w:tcPr>
            <w:tcW w:w="1394" w:type="dxa"/>
            <w:vMerge/>
            <w:tcBorders>
              <w:left w:val="single" w:sz="8" w:space="0" w:color="auto"/>
              <w:right w:val="single" w:sz="4" w:space="0" w:color="auto"/>
            </w:tcBorders>
            <w:shd w:val="clear" w:color="000000" w:fill="auto"/>
            <w:vAlign w:val="center"/>
          </w:tcPr>
          <w:p w:rsidR="005655F5" w:rsidRPr="00404750" w:rsidRDefault="005655F5" w:rsidP="001F2189">
            <w:pPr>
              <w:spacing w:line="276" w:lineRule="auto"/>
              <w:rPr>
                <w:rFonts w:ascii="Calibri" w:hAnsi="Calibri" w:cs="Calibri"/>
              </w:rPr>
            </w:pP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rsidR="005655F5" w:rsidRPr="00404750" w:rsidRDefault="005655F5" w:rsidP="00A873AE">
            <w:pPr>
              <w:spacing w:line="276" w:lineRule="auto"/>
              <w:jc w:val="center"/>
              <w:rPr>
                <w:rFonts w:ascii="Calibri" w:hAnsi="Calibri" w:cs="Calibri"/>
              </w:rPr>
            </w:pPr>
            <w:r>
              <w:rPr>
                <w:rFonts w:ascii="Calibri" w:hAnsi="Calibri" w:cs="Calibri"/>
              </w:rPr>
              <w:t>State, Local or Tribal Govt</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rsidR="005655F5" w:rsidRDefault="00E2761C" w:rsidP="00E441B8">
            <w:pPr>
              <w:spacing w:line="276" w:lineRule="auto"/>
              <w:jc w:val="center"/>
              <w:rPr>
                <w:rFonts w:ascii="Calibri" w:hAnsi="Calibri" w:cs="Calibri"/>
              </w:rPr>
            </w:pPr>
            <w:r>
              <w:rPr>
                <w:rFonts w:ascii="Calibri" w:hAnsi="Calibri" w:cs="Calibri"/>
              </w:rPr>
              <w:t>9</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rsidR="005655F5" w:rsidRDefault="002D7A18" w:rsidP="00E441B8">
            <w:pPr>
              <w:spacing w:line="276" w:lineRule="auto"/>
              <w:jc w:val="center"/>
              <w:rPr>
                <w:rFonts w:ascii="Calibri" w:hAnsi="Calibri" w:cs="Calibri"/>
              </w:rPr>
            </w:pPr>
            <w:r>
              <w:rPr>
                <w:rFonts w:ascii="Calibri" w:hAnsi="Calibri" w:cs="Calibri"/>
              </w:rPr>
              <w:t>7</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rsidR="005655F5" w:rsidRPr="00404750" w:rsidRDefault="00723929" w:rsidP="00E441B8">
            <w:pPr>
              <w:spacing w:line="276" w:lineRule="auto"/>
              <w:jc w:val="center"/>
              <w:rPr>
                <w:rFonts w:ascii="Calibri" w:hAnsi="Calibri" w:cs="Calibri"/>
              </w:rPr>
            </w:pPr>
            <w:r>
              <w:rPr>
                <w:rFonts w:ascii="Calibri" w:hAnsi="Calibri" w:cs="Calibri"/>
              </w:rPr>
              <w:t>$41</w:t>
            </w:r>
            <w:r w:rsidR="006A43B2">
              <w:rPr>
                <w:rFonts w:ascii="Calibri" w:hAnsi="Calibri" w:cs="Calibri"/>
              </w:rPr>
              <w:t>.</w:t>
            </w:r>
            <w:r>
              <w:rPr>
                <w:rFonts w:ascii="Calibri" w:hAnsi="Calibri" w:cs="Calibri"/>
              </w:rPr>
              <w:t>1</w:t>
            </w:r>
            <w:r w:rsidR="00250EF6">
              <w:rPr>
                <w:rFonts w:ascii="Calibri" w:hAnsi="Calibri" w:cs="Calibri"/>
              </w:rPr>
              <w:t>0</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rsidR="005655F5" w:rsidRPr="00404750" w:rsidRDefault="00A24362" w:rsidP="002D7A18">
            <w:pPr>
              <w:spacing w:line="276" w:lineRule="auto"/>
              <w:jc w:val="center"/>
              <w:rPr>
                <w:rFonts w:ascii="Calibri" w:hAnsi="Calibri" w:cs="Calibri"/>
              </w:rPr>
            </w:pPr>
            <w:r>
              <w:rPr>
                <w:rFonts w:ascii="Calibri" w:hAnsi="Calibri" w:cs="Calibri"/>
              </w:rPr>
              <w:t>$</w:t>
            </w:r>
            <w:r w:rsidR="00C0788A">
              <w:rPr>
                <w:rFonts w:ascii="Calibri" w:hAnsi="Calibri" w:cs="Calibri"/>
              </w:rPr>
              <w:t>2</w:t>
            </w:r>
            <w:r w:rsidR="002D7A18">
              <w:rPr>
                <w:rFonts w:ascii="Calibri" w:hAnsi="Calibri" w:cs="Calibri"/>
              </w:rPr>
              <w:t>88</w:t>
            </w:r>
          </w:p>
        </w:tc>
      </w:tr>
      <w:tr w:rsidR="005655F5" w:rsidRPr="006A43B2" w:rsidTr="00846FAF">
        <w:trPr>
          <w:trHeight w:val="720"/>
        </w:trPr>
        <w:tc>
          <w:tcPr>
            <w:tcW w:w="1394" w:type="dxa"/>
            <w:vMerge/>
            <w:tcBorders>
              <w:left w:val="single" w:sz="8" w:space="0" w:color="auto"/>
              <w:right w:val="single" w:sz="4" w:space="0" w:color="auto"/>
            </w:tcBorders>
            <w:shd w:val="clear" w:color="000000" w:fill="auto"/>
            <w:vAlign w:val="center"/>
          </w:tcPr>
          <w:p w:rsidR="005655F5" w:rsidRPr="006A43B2" w:rsidRDefault="005655F5" w:rsidP="001F2189">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rsidR="005655F5" w:rsidRPr="006A43B2" w:rsidRDefault="005655F5" w:rsidP="00A873AE">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rsidR="005655F5" w:rsidRPr="006A43B2" w:rsidRDefault="00FD181C" w:rsidP="009B6D4D">
            <w:pPr>
              <w:spacing w:line="276" w:lineRule="auto"/>
              <w:jc w:val="center"/>
              <w:rPr>
                <w:rFonts w:ascii="Calibri" w:hAnsi="Calibri" w:cs="Calibri"/>
                <w:b/>
              </w:rPr>
            </w:pPr>
            <w:r>
              <w:rPr>
                <w:rFonts w:ascii="Calibri" w:hAnsi="Calibri" w:cs="Calibri"/>
                <w:b/>
              </w:rPr>
              <w:t>887</w:t>
            </w:r>
          </w:p>
        </w:tc>
        <w:tc>
          <w:tcPr>
            <w:tcW w:w="1440" w:type="dxa"/>
            <w:tcBorders>
              <w:top w:val="single" w:sz="6" w:space="0" w:color="auto"/>
              <w:left w:val="single" w:sz="4" w:space="0" w:color="auto"/>
              <w:right w:val="single" w:sz="4" w:space="0" w:color="auto"/>
            </w:tcBorders>
            <w:shd w:val="clear" w:color="000000" w:fill="auto"/>
            <w:vAlign w:val="center"/>
          </w:tcPr>
          <w:p w:rsidR="005655F5" w:rsidRPr="006A43B2" w:rsidRDefault="00FD181C" w:rsidP="002D7A18">
            <w:pPr>
              <w:spacing w:line="276" w:lineRule="auto"/>
              <w:jc w:val="center"/>
              <w:rPr>
                <w:rFonts w:ascii="Calibri" w:hAnsi="Calibri" w:cs="Calibri"/>
                <w:b/>
              </w:rPr>
            </w:pPr>
            <w:r>
              <w:rPr>
                <w:rFonts w:ascii="Calibri" w:hAnsi="Calibri" w:cs="Calibri"/>
                <w:b/>
              </w:rPr>
              <w:t>66</w:t>
            </w:r>
            <w:r w:rsidR="002D7A18">
              <w:rPr>
                <w:rFonts w:ascii="Calibri" w:hAnsi="Calibri" w:cs="Calibri"/>
                <w:b/>
              </w:rPr>
              <w:t>6</w:t>
            </w:r>
          </w:p>
        </w:tc>
        <w:tc>
          <w:tcPr>
            <w:tcW w:w="1980" w:type="dxa"/>
            <w:tcBorders>
              <w:top w:val="single" w:sz="6" w:space="0" w:color="auto"/>
              <w:left w:val="single" w:sz="4" w:space="0" w:color="auto"/>
              <w:right w:val="single" w:sz="4" w:space="0" w:color="auto"/>
            </w:tcBorders>
            <w:shd w:val="clear" w:color="000000" w:fill="auto"/>
            <w:vAlign w:val="center"/>
          </w:tcPr>
          <w:p w:rsidR="005655F5" w:rsidRPr="006A43B2" w:rsidRDefault="005655F5" w:rsidP="00E441B8">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rsidR="005655F5" w:rsidRPr="006A43B2" w:rsidRDefault="00A24362" w:rsidP="00B50C09">
            <w:pPr>
              <w:spacing w:line="276" w:lineRule="auto"/>
              <w:jc w:val="center"/>
              <w:rPr>
                <w:rFonts w:ascii="Calibri" w:hAnsi="Calibri" w:cs="Calibri"/>
                <w:b/>
              </w:rPr>
            </w:pPr>
            <w:r>
              <w:rPr>
                <w:rFonts w:ascii="Calibri" w:hAnsi="Calibri" w:cs="Calibri"/>
                <w:b/>
              </w:rPr>
              <w:t>$</w:t>
            </w:r>
            <w:r w:rsidR="00D170AF">
              <w:rPr>
                <w:rFonts w:ascii="Calibri" w:hAnsi="Calibri" w:cs="Calibri"/>
                <w:b/>
              </w:rPr>
              <w:t>19,2</w:t>
            </w:r>
            <w:r w:rsidR="002D7A18">
              <w:rPr>
                <w:rFonts w:ascii="Calibri" w:hAnsi="Calibri" w:cs="Calibri"/>
                <w:b/>
              </w:rPr>
              <w:t>67</w:t>
            </w:r>
          </w:p>
        </w:tc>
      </w:tr>
    </w:tbl>
    <w:p w:rsidR="0011430F" w:rsidRPr="00404750" w:rsidRDefault="0011430F" w:rsidP="001F2189">
      <w:pPr>
        <w:spacing w:line="276" w:lineRule="auto"/>
        <w:rPr>
          <w:rFonts w:ascii="Calibri" w:hAnsi="Calibri" w:cs="Calibri"/>
          <w:b/>
          <w:sz w:val="22"/>
          <w:szCs w:val="22"/>
        </w:rPr>
      </w:pPr>
    </w:p>
    <w:p w:rsidR="00E47110" w:rsidRPr="00E47110" w:rsidRDefault="00E47110" w:rsidP="00E47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E47110">
        <w:rPr>
          <w:rFonts w:ascii="Calibri" w:hAnsi="Calibri" w:cs="Calibri"/>
          <w:b/>
          <w:sz w:val="22"/>
          <w:szCs w:val="22"/>
        </w:rPr>
        <w:t>13.</w:t>
      </w:r>
      <w:r w:rsidRPr="00E47110">
        <w:rPr>
          <w:rFonts w:ascii="Calibri" w:hAnsi="Calibri" w:cs="Calibri"/>
          <w:b/>
          <w:sz w:val="22"/>
          <w:szCs w:val="22"/>
        </w:rPr>
        <w:tab/>
        <w:t>Provide an estimate of the total annual non-hour cost burden to respondents or recordkeepers resulting from the collection of information.  (Do not include the cost of any hour burden already reflected in item 12.)</w:t>
      </w:r>
    </w:p>
    <w:p w:rsidR="00E47110" w:rsidRPr="00E47110" w:rsidRDefault="00E47110" w:rsidP="00E47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b/>
          <w:sz w:val="22"/>
          <w:szCs w:val="22"/>
        </w:rPr>
      </w:pPr>
      <w:r w:rsidRPr="00E47110">
        <w:rPr>
          <w:rFonts w:ascii="Calibri" w:hAnsi="Calibri" w:cs="Calibri"/>
          <w:b/>
          <w:sz w:val="22"/>
          <w:szCs w:val="22"/>
        </w:rPr>
        <w:t>*</w:t>
      </w:r>
      <w:r w:rsidRPr="00E47110">
        <w:rPr>
          <w:rFonts w:ascii="Calibri" w:hAnsi="Calibri" w:cs="Calibr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47110" w:rsidRPr="00E47110" w:rsidRDefault="00E47110" w:rsidP="00E47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b/>
          <w:sz w:val="22"/>
          <w:szCs w:val="22"/>
        </w:rPr>
      </w:pPr>
      <w:r w:rsidRPr="00E47110">
        <w:rPr>
          <w:rFonts w:ascii="Calibri" w:hAnsi="Calibri" w:cs="Calibri"/>
          <w:b/>
          <w:sz w:val="22"/>
          <w:szCs w:val="22"/>
        </w:rPr>
        <w:t>*</w:t>
      </w:r>
      <w:r w:rsidRPr="00E47110">
        <w:rPr>
          <w:rFonts w:ascii="Calibri" w:hAnsi="Calibri" w:cs="Calibr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47110" w:rsidRPr="00E47110" w:rsidRDefault="00E47110" w:rsidP="00E47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E47110">
        <w:rPr>
          <w:rFonts w:ascii="Calibri" w:hAnsi="Calibri" w:cs="Calibri"/>
          <w:b/>
          <w:sz w:val="22"/>
          <w:szCs w:val="22"/>
        </w:rPr>
        <w:tab/>
        <w:t>*</w:t>
      </w:r>
      <w:r w:rsidRPr="00E47110">
        <w:rPr>
          <w:rFonts w:ascii="Calibri" w:hAnsi="Calibri" w:cs="Calibr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31471" w:rsidRPr="00404750" w:rsidRDefault="00231471" w:rsidP="001F2189">
      <w:pPr>
        <w:spacing w:line="276" w:lineRule="auto"/>
        <w:rPr>
          <w:rFonts w:ascii="Calibri" w:hAnsi="Calibri" w:cs="Calibri"/>
          <w:b/>
          <w:sz w:val="22"/>
          <w:szCs w:val="22"/>
        </w:rPr>
      </w:pPr>
    </w:p>
    <w:p w:rsidR="009427F9" w:rsidRPr="00404750" w:rsidRDefault="00AD242A"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r>
      <w:r w:rsidR="00137247" w:rsidRPr="00404750">
        <w:rPr>
          <w:rFonts w:ascii="Calibri" w:hAnsi="Calibri" w:cs="Calibri"/>
          <w:sz w:val="22"/>
          <w:szCs w:val="22"/>
        </w:rPr>
        <w:t>There is no non-hour cost burden</w:t>
      </w:r>
      <w:r w:rsidR="00B74CAB" w:rsidRPr="00404750">
        <w:rPr>
          <w:rFonts w:ascii="Calibri" w:hAnsi="Calibri" w:cs="Calibri"/>
          <w:sz w:val="22"/>
          <w:szCs w:val="22"/>
        </w:rPr>
        <w:t>,</w:t>
      </w:r>
      <w:r w:rsidR="00137247" w:rsidRPr="00404750">
        <w:rPr>
          <w:rFonts w:ascii="Calibri" w:hAnsi="Calibri" w:cs="Calibri"/>
          <w:sz w:val="22"/>
          <w:szCs w:val="22"/>
        </w:rPr>
        <w:t xml:space="preserve"> recordkeeping nor any fees associated with collection of this information.</w:t>
      </w:r>
    </w:p>
    <w:p w:rsidR="003476DA" w:rsidRPr="00404750" w:rsidRDefault="003476DA" w:rsidP="001F2189">
      <w:pPr>
        <w:spacing w:line="276" w:lineRule="auto"/>
        <w:rPr>
          <w:rFonts w:ascii="Calibri" w:hAnsi="Calibri" w:cs="Calibri"/>
          <w:b/>
          <w:sz w:val="22"/>
          <w:szCs w:val="22"/>
        </w:rPr>
      </w:pPr>
    </w:p>
    <w:p w:rsidR="00231471" w:rsidRDefault="00E47110" w:rsidP="001F2189">
      <w:pPr>
        <w:spacing w:line="276" w:lineRule="auto"/>
        <w:rPr>
          <w:rFonts w:ascii="Calibri" w:hAnsi="Calibri" w:cs="Calibri"/>
          <w:b/>
          <w:sz w:val="22"/>
          <w:szCs w:val="22"/>
        </w:rPr>
      </w:pPr>
      <w:r w:rsidRPr="00E47110">
        <w:rPr>
          <w:rFonts w:ascii="Calibri" w:hAnsi="Calibri" w:cs="Calibri"/>
          <w:b/>
          <w:sz w:val="22"/>
          <w:szCs w:val="22"/>
        </w:rPr>
        <w:t>14.</w:t>
      </w:r>
      <w:r w:rsidRPr="00E47110">
        <w:rPr>
          <w:rFonts w:ascii="Calibri" w:hAnsi="Calibri" w:cs="Calibri"/>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47110" w:rsidRPr="00404750" w:rsidRDefault="00E47110" w:rsidP="001F2189">
      <w:pPr>
        <w:spacing w:line="276" w:lineRule="auto"/>
        <w:rPr>
          <w:rFonts w:ascii="Calibri" w:hAnsi="Calibri" w:cs="Calibri"/>
          <w:b/>
          <w:sz w:val="22"/>
          <w:szCs w:val="22"/>
        </w:rPr>
      </w:pPr>
    </w:p>
    <w:p w:rsidR="003D497B" w:rsidRPr="00404750" w:rsidRDefault="00013A4E" w:rsidP="00DD1393">
      <w:pPr>
        <w:spacing w:line="276" w:lineRule="auto"/>
        <w:ind w:firstLine="360"/>
        <w:rPr>
          <w:rFonts w:ascii="Calibri" w:hAnsi="Calibri" w:cs="Calibri"/>
          <w:sz w:val="22"/>
          <w:szCs w:val="22"/>
        </w:rPr>
      </w:pPr>
      <w:r w:rsidRPr="000E4D3E">
        <w:rPr>
          <w:rFonts w:ascii="Calibri" w:hAnsi="Calibri" w:cs="Calibri"/>
          <w:color w:val="000000"/>
          <w:sz w:val="22"/>
          <w:szCs w:val="22"/>
        </w:rPr>
        <w:t>The total annual cost to the Federal Government is</w:t>
      </w:r>
      <w:r w:rsidR="00C61BD1" w:rsidRPr="000E4D3E">
        <w:rPr>
          <w:rFonts w:ascii="Calibri" w:hAnsi="Calibri" w:cs="Calibri"/>
          <w:color w:val="000000"/>
          <w:sz w:val="22"/>
          <w:szCs w:val="22"/>
        </w:rPr>
        <w:t xml:space="preserve"> $</w:t>
      </w:r>
      <w:r w:rsidR="00F0309B">
        <w:rPr>
          <w:rFonts w:ascii="Calibri" w:hAnsi="Calibri" w:cs="Calibri"/>
          <w:color w:val="000000"/>
          <w:sz w:val="22"/>
          <w:szCs w:val="22"/>
        </w:rPr>
        <w:t>1</w:t>
      </w:r>
      <w:r w:rsidR="00DF29E6">
        <w:rPr>
          <w:rFonts w:ascii="Calibri" w:hAnsi="Calibri" w:cs="Calibri"/>
          <w:color w:val="000000"/>
          <w:sz w:val="22"/>
          <w:szCs w:val="22"/>
        </w:rPr>
        <w:t>,</w:t>
      </w:r>
      <w:r w:rsidR="00F0309B">
        <w:rPr>
          <w:rFonts w:ascii="Calibri" w:hAnsi="Calibri" w:cs="Calibri"/>
          <w:color w:val="000000"/>
          <w:sz w:val="22"/>
          <w:szCs w:val="22"/>
        </w:rPr>
        <w:t>430</w:t>
      </w:r>
      <w:r w:rsidR="00DF29E6">
        <w:rPr>
          <w:rFonts w:ascii="Calibri" w:hAnsi="Calibri" w:cs="Calibri"/>
          <w:color w:val="000000"/>
          <w:sz w:val="22"/>
          <w:szCs w:val="22"/>
        </w:rPr>
        <w:t>,</w:t>
      </w:r>
      <w:r w:rsidR="00041145">
        <w:rPr>
          <w:rFonts w:ascii="Calibri" w:hAnsi="Calibri" w:cs="Calibri"/>
          <w:color w:val="000000"/>
          <w:sz w:val="22"/>
          <w:szCs w:val="22"/>
        </w:rPr>
        <w:t>183</w:t>
      </w:r>
      <w:r w:rsidR="005F234F" w:rsidRPr="000E4D3E">
        <w:rPr>
          <w:rFonts w:ascii="Calibri" w:hAnsi="Calibri" w:cs="Calibri"/>
          <w:color w:val="000000"/>
          <w:sz w:val="22"/>
          <w:szCs w:val="22"/>
        </w:rPr>
        <w:t>.</w:t>
      </w:r>
      <w:r w:rsidR="002520EB" w:rsidRPr="000E4D3E">
        <w:rPr>
          <w:rFonts w:ascii="Calibri" w:hAnsi="Calibri" w:cs="Calibri"/>
          <w:color w:val="000000"/>
          <w:sz w:val="22"/>
          <w:szCs w:val="22"/>
        </w:rPr>
        <w:t xml:space="preserve"> This includes the operational expenses</w:t>
      </w:r>
      <w:r w:rsidR="00EE4321" w:rsidRPr="000E4D3E">
        <w:rPr>
          <w:rFonts w:ascii="Calibri" w:hAnsi="Calibri" w:cs="Calibri"/>
          <w:color w:val="000000"/>
          <w:sz w:val="22"/>
          <w:szCs w:val="22"/>
        </w:rPr>
        <w:t xml:space="preserve"> </w:t>
      </w:r>
      <w:r w:rsidR="00E47110" w:rsidRPr="000E4D3E">
        <w:rPr>
          <w:rFonts w:ascii="Calibri" w:hAnsi="Calibri" w:cs="Calibri"/>
          <w:color w:val="000000"/>
          <w:sz w:val="22"/>
          <w:szCs w:val="22"/>
        </w:rPr>
        <w:t xml:space="preserve">of </w:t>
      </w:r>
      <w:r w:rsidR="00EE4321" w:rsidRPr="000E4D3E">
        <w:rPr>
          <w:rFonts w:ascii="Calibri" w:hAnsi="Calibri" w:cs="Calibri"/>
          <w:color w:val="000000"/>
          <w:sz w:val="22"/>
          <w:szCs w:val="22"/>
        </w:rPr>
        <w:t>$</w:t>
      </w:r>
      <w:r w:rsidR="008624E7">
        <w:rPr>
          <w:rFonts w:ascii="Calibri" w:hAnsi="Calibri" w:cs="Calibri"/>
          <w:color w:val="000000"/>
          <w:sz w:val="22"/>
          <w:szCs w:val="22"/>
        </w:rPr>
        <w:t>425,</w:t>
      </w:r>
      <w:r w:rsidR="00676468">
        <w:rPr>
          <w:rFonts w:ascii="Calibri" w:hAnsi="Calibri" w:cs="Calibri"/>
          <w:color w:val="000000"/>
          <w:sz w:val="22"/>
          <w:szCs w:val="22"/>
        </w:rPr>
        <w:t>083</w:t>
      </w:r>
      <w:r w:rsidR="004F5070">
        <w:rPr>
          <w:rFonts w:ascii="Calibri" w:hAnsi="Calibri" w:cs="Calibri"/>
          <w:color w:val="000000"/>
          <w:sz w:val="22"/>
          <w:szCs w:val="22"/>
        </w:rPr>
        <w:t xml:space="preserve"> (Table 4</w:t>
      </w:r>
      <w:r w:rsidR="009D6845" w:rsidRPr="000E4D3E">
        <w:rPr>
          <w:rFonts w:ascii="Calibri" w:hAnsi="Calibri" w:cs="Calibri"/>
          <w:color w:val="000000"/>
          <w:sz w:val="22"/>
          <w:szCs w:val="22"/>
        </w:rPr>
        <w:t xml:space="preserve"> below</w:t>
      </w:r>
      <w:r w:rsidR="00E47110" w:rsidRPr="000E4D3E">
        <w:rPr>
          <w:rFonts w:ascii="Calibri" w:hAnsi="Calibri" w:cs="Calibri"/>
          <w:color w:val="000000"/>
          <w:sz w:val="22"/>
          <w:szCs w:val="22"/>
        </w:rPr>
        <w:t xml:space="preserve">).  </w:t>
      </w:r>
      <w:r w:rsidR="002520EB" w:rsidRPr="000E4D3E">
        <w:rPr>
          <w:rFonts w:ascii="Calibri" w:hAnsi="Calibri" w:cs="Calibri"/>
          <w:color w:val="000000"/>
          <w:sz w:val="22"/>
          <w:szCs w:val="22"/>
        </w:rPr>
        <w:t>Operational</w:t>
      </w:r>
      <w:r w:rsidR="002520EB" w:rsidRPr="00404750">
        <w:rPr>
          <w:rFonts w:ascii="Calibri" w:hAnsi="Calibri" w:cs="Calibri"/>
          <w:sz w:val="22"/>
          <w:szCs w:val="22"/>
        </w:rPr>
        <w:t xml:space="preserve"> expenses include mailing, overhead, printing, processing</w:t>
      </w:r>
      <w:r w:rsidR="00CA5028" w:rsidRPr="00404750">
        <w:rPr>
          <w:rFonts w:ascii="Calibri" w:hAnsi="Calibri" w:cs="Calibri"/>
          <w:sz w:val="22"/>
          <w:szCs w:val="22"/>
        </w:rPr>
        <w:t>,</w:t>
      </w:r>
      <w:r w:rsidR="002520EB" w:rsidRPr="00404750">
        <w:rPr>
          <w:rFonts w:ascii="Calibri" w:hAnsi="Calibri" w:cs="Calibri"/>
          <w:sz w:val="22"/>
          <w:szCs w:val="22"/>
        </w:rPr>
        <w:t xml:space="preserve"> and non-Federal support</w:t>
      </w:r>
      <w:r w:rsidR="001A4224">
        <w:rPr>
          <w:rFonts w:ascii="Calibri" w:hAnsi="Calibri" w:cs="Calibri"/>
          <w:sz w:val="22"/>
          <w:szCs w:val="22"/>
        </w:rPr>
        <w:t>.</w:t>
      </w:r>
    </w:p>
    <w:p w:rsidR="001F2189" w:rsidRPr="00404750" w:rsidRDefault="001F2189" w:rsidP="001F2189">
      <w:pPr>
        <w:spacing w:line="276" w:lineRule="auto"/>
        <w:rPr>
          <w:rFonts w:ascii="Calibri" w:hAnsi="Calibri" w:cs="Calibri"/>
          <w:sz w:val="22"/>
          <w:szCs w:val="22"/>
        </w:rPr>
      </w:pPr>
    </w:p>
    <w:p w:rsidR="00112B96" w:rsidRPr="00490E2E" w:rsidRDefault="00112B96" w:rsidP="001F2189">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E05173">
        <w:rPr>
          <w:rFonts w:ascii="Calibri" w:hAnsi="Calibri" w:cs="Calibri"/>
          <w:color w:val="000000"/>
          <w:sz w:val="22"/>
          <w:szCs w:val="22"/>
        </w:rPr>
        <w:t>4</w:t>
      </w:r>
      <w:r w:rsidR="007C2169" w:rsidRPr="00490E2E">
        <w:rPr>
          <w:rFonts w:ascii="Calibri" w:hAnsi="Calibri" w:cs="Calibri"/>
          <w:color w:val="000000"/>
          <w:sz w:val="22"/>
          <w:szCs w:val="22"/>
        </w:rPr>
        <w:t xml:space="preserve">. </w:t>
      </w:r>
      <w:r w:rsidR="00B01FD6" w:rsidRPr="00490E2E">
        <w:rPr>
          <w:rFonts w:ascii="Calibri" w:hAnsi="Calibri" w:cs="Calibri"/>
          <w:color w:val="000000"/>
          <w:sz w:val="22"/>
          <w:szCs w:val="22"/>
        </w:rPr>
        <w:t xml:space="preserve">Annualized </w:t>
      </w:r>
      <w:r w:rsidR="00A0290D" w:rsidRPr="00490E2E">
        <w:rPr>
          <w:rFonts w:ascii="Calibri" w:hAnsi="Calibri" w:cs="Calibri"/>
          <w:color w:val="000000"/>
          <w:sz w:val="22"/>
          <w:szCs w:val="22"/>
        </w:rPr>
        <w:t xml:space="preserve">Operational </w:t>
      </w:r>
      <w:r w:rsidR="007C2169" w:rsidRPr="00490E2E">
        <w:rPr>
          <w:rFonts w:ascii="Calibri" w:hAnsi="Calibri" w:cs="Calibri"/>
          <w:color w:val="000000"/>
          <w:sz w:val="22"/>
          <w:szCs w:val="22"/>
        </w:rPr>
        <w:t>Expenses and estimated costs</w:t>
      </w:r>
    </w:p>
    <w:p w:rsidR="00231471" w:rsidRPr="00404750" w:rsidRDefault="00231471" w:rsidP="001F2189">
      <w:pPr>
        <w:spacing w:line="276" w:lineRule="auto"/>
        <w:rPr>
          <w:rFonts w:ascii="Calibri" w:hAnsi="Calibri" w:cs="Calibri"/>
          <w:b/>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53"/>
        <w:gridCol w:w="380"/>
        <w:gridCol w:w="2105"/>
      </w:tblGrid>
      <w:tr w:rsidR="00DD1393" w:rsidRPr="00404750" w:rsidTr="00E47110">
        <w:trPr>
          <w:trHeight w:val="422"/>
          <w:tblHeader/>
        </w:trPr>
        <w:tc>
          <w:tcPr>
            <w:tcW w:w="0" w:type="auto"/>
            <w:tcBorders>
              <w:top w:val="single" w:sz="4" w:space="0" w:color="auto"/>
              <w:bottom w:val="single" w:sz="4" w:space="0" w:color="auto"/>
            </w:tcBorders>
            <w:shd w:val="clear" w:color="auto" w:fill="D9D9D9"/>
            <w:vAlign w:val="center"/>
          </w:tcPr>
          <w:p w:rsidR="00DD1393" w:rsidRPr="00404750" w:rsidRDefault="00DD1393" w:rsidP="001F2189">
            <w:pPr>
              <w:spacing w:line="276" w:lineRule="auto"/>
              <w:rPr>
                <w:rFonts w:ascii="Calibri" w:hAnsi="Calibri" w:cs="Calibri"/>
                <w:sz w:val="22"/>
                <w:szCs w:val="22"/>
              </w:rPr>
            </w:pPr>
            <w:r w:rsidRPr="00404750">
              <w:rPr>
                <w:rFonts w:ascii="Calibri" w:hAnsi="Calibri" w:cs="Calibri"/>
                <w:sz w:val="22"/>
                <w:szCs w:val="22"/>
              </w:rPr>
              <w:t>Operational Expenses</w:t>
            </w:r>
          </w:p>
        </w:tc>
        <w:tc>
          <w:tcPr>
            <w:tcW w:w="380" w:type="dxa"/>
            <w:tcBorders>
              <w:top w:val="single" w:sz="4" w:space="0" w:color="auto"/>
              <w:bottom w:val="single" w:sz="4" w:space="0" w:color="auto"/>
              <w:right w:val="single" w:sz="4" w:space="0" w:color="auto"/>
            </w:tcBorders>
            <w:shd w:val="clear" w:color="auto" w:fill="D9D9D9"/>
            <w:vAlign w:val="center"/>
          </w:tcPr>
          <w:p w:rsidR="00DD1393" w:rsidRPr="00404750" w:rsidRDefault="00DD1393" w:rsidP="00DD1393">
            <w:pPr>
              <w:spacing w:line="276" w:lineRule="auto"/>
              <w:jc w:val="center"/>
              <w:rPr>
                <w:rFonts w:ascii="Calibri" w:hAnsi="Calibri" w:cs="Calibri"/>
                <w:sz w:val="22"/>
                <w:szCs w:val="22"/>
              </w:rPr>
            </w:pPr>
          </w:p>
        </w:tc>
        <w:tc>
          <w:tcPr>
            <w:tcW w:w="2105" w:type="dxa"/>
            <w:tcBorders>
              <w:top w:val="single" w:sz="4" w:space="0" w:color="auto"/>
              <w:left w:val="single" w:sz="4" w:space="0" w:color="auto"/>
              <w:bottom w:val="single" w:sz="4" w:space="0" w:color="auto"/>
            </w:tcBorders>
            <w:shd w:val="clear" w:color="auto" w:fill="D9D9D9"/>
            <w:vAlign w:val="center"/>
          </w:tcPr>
          <w:p w:rsidR="00DD1393" w:rsidRPr="00404750" w:rsidRDefault="00DD1393" w:rsidP="00DD1393">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00DD1393" w:rsidRPr="00404750" w:rsidTr="00E47110">
        <w:trPr>
          <w:trHeight w:val="339"/>
        </w:trPr>
        <w:tc>
          <w:tcPr>
            <w:tcW w:w="0" w:type="auto"/>
            <w:tcBorders>
              <w:top w:val="single" w:sz="4" w:space="0" w:color="auto"/>
            </w:tcBorders>
            <w:vAlign w:val="center"/>
          </w:tcPr>
          <w:p w:rsidR="00DD1393" w:rsidRPr="00404750" w:rsidRDefault="00DD1393" w:rsidP="001F2189">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380" w:type="dxa"/>
            <w:tcBorders>
              <w:top w:val="single" w:sz="4" w:space="0" w:color="auto"/>
              <w:right w:val="single" w:sz="4" w:space="0" w:color="auto"/>
            </w:tcBorders>
            <w:vAlign w:val="center"/>
          </w:tcPr>
          <w:p w:rsidR="00DD1393" w:rsidRPr="00404750" w:rsidRDefault="00DD1393" w:rsidP="00DD1393">
            <w:pPr>
              <w:spacing w:line="276" w:lineRule="auto"/>
              <w:jc w:val="center"/>
              <w:rPr>
                <w:rFonts w:ascii="Calibri" w:hAnsi="Calibri" w:cs="Calibri"/>
                <w:sz w:val="22"/>
                <w:szCs w:val="22"/>
              </w:rPr>
            </w:pPr>
          </w:p>
        </w:tc>
        <w:tc>
          <w:tcPr>
            <w:tcW w:w="2105" w:type="dxa"/>
            <w:tcBorders>
              <w:top w:val="single" w:sz="4" w:space="0" w:color="auto"/>
              <w:left w:val="single" w:sz="4" w:space="0" w:color="auto"/>
            </w:tcBorders>
            <w:vAlign w:val="center"/>
          </w:tcPr>
          <w:p w:rsidR="00DD1393" w:rsidRPr="00404750" w:rsidRDefault="007B16C4" w:rsidP="00543F6D">
            <w:pPr>
              <w:spacing w:line="276" w:lineRule="auto"/>
              <w:jc w:val="right"/>
              <w:rPr>
                <w:rFonts w:ascii="Calibri" w:hAnsi="Calibri" w:cs="Calibri"/>
                <w:sz w:val="22"/>
                <w:szCs w:val="22"/>
              </w:rPr>
            </w:pPr>
            <w:r>
              <w:rPr>
                <w:rFonts w:ascii="Calibri" w:hAnsi="Calibri" w:cs="Calibri"/>
                <w:sz w:val="22"/>
                <w:szCs w:val="22"/>
              </w:rPr>
              <w:t>$</w:t>
            </w:r>
            <w:r w:rsidR="00E41240">
              <w:rPr>
                <w:rFonts w:ascii="Calibri" w:hAnsi="Calibri" w:cs="Calibri"/>
                <w:sz w:val="22"/>
                <w:szCs w:val="22"/>
              </w:rPr>
              <w:t>42</w:t>
            </w:r>
          </w:p>
        </w:tc>
      </w:tr>
      <w:tr w:rsidR="00DD1393" w:rsidRPr="00404750" w:rsidTr="00DD1393">
        <w:trPr>
          <w:trHeight w:val="339"/>
        </w:trPr>
        <w:tc>
          <w:tcPr>
            <w:tcW w:w="0" w:type="auto"/>
            <w:vAlign w:val="center"/>
          </w:tcPr>
          <w:p w:rsidR="00DD1393" w:rsidRPr="00404750" w:rsidRDefault="00DD1393" w:rsidP="001F2189">
            <w:pPr>
              <w:spacing w:line="276" w:lineRule="auto"/>
              <w:rPr>
                <w:rFonts w:ascii="Calibri" w:hAnsi="Calibri" w:cs="Calibri"/>
                <w:sz w:val="22"/>
                <w:szCs w:val="22"/>
              </w:rPr>
            </w:pPr>
            <w:r w:rsidRPr="00404750">
              <w:rPr>
                <w:rFonts w:ascii="Calibri" w:hAnsi="Calibri" w:cs="Calibri"/>
                <w:sz w:val="22"/>
                <w:szCs w:val="22"/>
              </w:rPr>
              <w:t>Mailing lists compilation and maintenance</w:t>
            </w:r>
          </w:p>
        </w:tc>
        <w:tc>
          <w:tcPr>
            <w:tcW w:w="380" w:type="dxa"/>
            <w:tcBorders>
              <w:right w:val="single" w:sz="4" w:space="0" w:color="auto"/>
            </w:tcBorders>
            <w:vAlign w:val="center"/>
          </w:tcPr>
          <w:p w:rsidR="00DD1393" w:rsidRPr="00404750" w:rsidRDefault="00DD1393" w:rsidP="00DD1393">
            <w:pPr>
              <w:spacing w:line="276" w:lineRule="auto"/>
              <w:jc w:val="center"/>
              <w:rPr>
                <w:rFonts w:ascii="Calibri" w:hAnsi="Calibri" w:cs="Calibri"/>
                <w:sz w:val="22"/>
                <w:szCs w:val="22"/>
              </w:rPr>
            </w:pPr>
          </w:p>
        </w:tc>
        <w:tc>
          <w:tcPr>
            <w:tcW w:w="2105" w:type="dxa"/>
            <w:tcBorders>
              <w:left w:val="single" w:sz="4" w:space="0" w:color="auto"/>
            </w:tcBorders>
            <w:vAlign w:val="center"/>
          </w:tcPr>
          <w:p w:rsidR="00DD1393" w:rsidRPr="00404750" w:rsidRDefault="00FC6C99" w:rsidP="00543F6D">
            <w:pPr>
              <w:spacing w:line="276" w:lineRule="auto"/>
              <w:jc w:val="right"/>
              <w:rPr>
                <w:rFonts w:ascii="Calibri" w:hAnsi="Calibri" w:cs="Calibri"/>
                <w:sz w:val="22"/>
                <w:szCs w:val="22"/>
              </w:rPr>
            </w:pPr>
            <w:r>
              <w:rPr>
                <w:rFonts w:ascii="Calibri" w:hAnsi="Calibri" w:cs="Calibri"/>
                <w:sz w:val="22"/>
                <w:szCs w:val="22"/>
              </w:rPr>
              <w:t>$</w:t>
            </w:r>
            <w:r w:rsidR="00E41240">
              <w:rPr>
                <w:rFonts w:ascii="Calibri" w:hAnsi="Calibri" w:cs="Calibri"/>
                <w:sz w:val="22"/>
                <w:szCs w:val="22"/>
              </w:rPr>
              <w:t>395</w:t>
            </w:r>
          </w:p>
        </w:tc>
      </w:tr>
      <w:tr w:rsidR="00DD1393" w:rsidRPr="00404750" w:rsidTr="00DD1393">
        <w:trPr>
          <w:trHeight w:val="339"/>
        </w:trPr>
        <w:tc>
          <w:tcPr>
            <w:tcW w:w="0" w:type="auto"/>
            <w:vAlign w:val="center"/>
          </w:tcPr>
          <w:p w:rsidR="00DD1393" w:rsidRPr="00404750" w:rsidRDefault="00DD1393" w:rsidP="001F2189">
            <w:pPr>
              <w:spacing w:line="276" w:lineRule="auto"/>
              <w:rPr>
                <w:rFonts w:ascii="Calibri" w:hAnsi="Calibri" w:cs="Calibri"/>
                <w:sz w:val="22"/>
                <w:szCs w:val="22"/>
              </w:rPr>
            </w:pPr>
            <w:r w:rsidRPr="00404750">
              <w:rPr>
                <w:rFonts w:ascii="Calibri" w:hAnsi="Calibri" w:cs="Calibri"/>
                <w:sz w:val="22"/>
                <w:szCs w:val="22"/>
              </w:rPr>
              <w:t>Mailing operation</w:t>
            </w:r>
          </w:p>
        </w:tc>
        <w:tc>
          <w:tcPr>
            <w:tcW w:w="380" w:type="dxa"/>
            <w:tcBorders>
              <w:right w:val="single" w:sz="4" w:space="0" w:color="auto"/>
            </w:tcBorders>
            <w:vAlign w:val="center"/>
          </w:tcPr>
          <w:p w:rsidR="00DD1393" w:rsidRPr="00404750" w:rsidRDefault="00DD1393" w:rsidP="00DD1393">
            <w:pPr>
              <w:spacing w:line="276" w:lineRule="auto"/>
              <w:jc w:val="center"/>
              <w:rPr>
                <w:rFonts w:ascii="Calibri" w:hAnsi="Calibri" w:cs="Calibri"/>
                <w:sz w:val="22"/>
                <w:szCs w:val="22"/>
              </w:rPr>
            </w:pPr>
          </w:p>
        </w:tc>
        <w:tc>
          <w:tcPr>
            <w:tcW w:w="2105" w:type="dxa"/>
            <w:tcBorders>
              <w:left w:val="single" w:sz="4" w:space="0" w:color="auto"/>
            </w:tcBorders>
            <w:vAlign w:val="center"/>
          </w:tcPr>
          <w:p w:rsidR="00DD1393" w:rsidRPr="00404750" w:rsidRDefault="00FC6C99" w:rsidP="00543F6D">
            <w:pPr>
              <w:spacing w:line="276" w:lineRule="auto"/>
              <w:jc w:val="right"/>
              <w:rPr>
                <w:rFonts w:ascii="Calibri" w:hAnsi="Calibri" w:cs="Calibri"/>
                <w:sz w:val="22"/>
                <w:szCs w:val="22"/>
              </w:rPr>
            </w:pPr>
            <w:r>
              <w:rPr>
                <w:rFonts w:ascii="Calibri" w:hAnsi="Calibri" w:cs="Calibri"/>
                <w:sz w:val="22"/>
                <w:szCs w:val="22"/>
              </w:rPr>
              <w:t>$2</w:t>
            </w:r>
            <w:r w:rsidR="00E41240">
              <w:rPr>
                <w:rFonts w:ascii="Calibri" w:hAnsi="Calibri" w:cs="Calibri"/>
                <w:sz w:val="22"/>
                <w:szCs w:val="22"/>
              </w:rPr>
              <w:t>,381</w:t>
            </w:r>
          </w:p>
        </w:tc>
      </w:tr>
      <w:tr w:rsidR="00DD1393" w:rsidRPr="00404750" w:rsidTr="00DD1393">
        <w:trPr>
          <w:trHeight w:val="339"/>
        </w:trPr>
        <w:tc>
          <w:tcPr>
            <w:tcW w:w="0" w:type="auto"/>
            <w:vAlign w:val="center"/>
          </w:tcPr>
          <w:p w:rsidR="00DD1393" w:rsidRPr="00404750" w:rsidRDefault="00DD1393" w:rsidP="001F2189">
            <w:pPr>
              <w:spacing w:line="276" w:lineRule="auto"/>
              <w:rPr>
                <w:rFonts w:ascii="Calibri" w:hAnsi="Calibri" w:cs="Calibri"/>
                <w:sz w:val="22"/>
                <w:szCs w:val="22"/>
              </w:rPr>
            </w:pPr>
            <w:r w:rsidRPr="00404750">
              <w:rPr>
                <w:rFonts w:ascii="Calibri" w:hAnsi="Calibri" w:cs="Calibri"/>
                <w:sz w:val="22"/>
                <w:szCs w:val="22"/>
              </w:rPr>
              <w:t>Editing, coding, tabulation</w:t>
            </w:r>
          </w:p>
        </w:tc>
        <w:tc>
          <w:tcPr>
            <w:tcW w:w="380" w:type="dxa"/>
            <w:tcBorders>
              <w:right w:val="single" w:sz="4" w:space="0" w:color="auto"/>
            </w:tcBorders>
            <w:vAlign w:val="center"/>
          </w:tcPr>
          <w:p w:rsidR="00DD1393" w:rsidRPr="00404750" w:rsidRDefault="00DD1393" w:rsidP="00DD1393">
            <w:pPr>
              <w:spacing w:line="276" w:lineRule="auto"/>
              <w:jc w:val="center"/>
              <w:rPr>
                <w:rFonts w:ascii="Calibri" w:hAnsi="Calibri" w:cs="Calibri"/>
                <w:sz w:val="22"/>
                <w:szCs w:val="22"/>
              </w:rPr>
            </w:pPr>
          </w:p>
        </w:tc>
        <w:tc>
          <w:tcPr>
            <w:tcW w:w="2105" w:type="dxa"/>
            <w:tcBorders>
              <w:left w:val="single" w:sz="4" w:space="0" w:color="auto"/>
            </w:tcBorders>
            <w:vAlign w:val="center"/>
          </w:tcPr>
          <w:p w:rsidR="00DD1393" w:rsidRPr="00404750" w:rsidRDefault="00261097" w:rsidP="00543F6D">
            <w:pPr>
              <w:spacing w:line="276" w:lineRule="auto"/>
              <w:jc w:val="right"/>
              <w:rPr>
                <w:rFonts w:ascii="Calibri" w:hAnsi="Calibri" w:cs="Calibri"/>
                <w:sz w:val="22"/>
                <w:szCs w:val="22"/>
              </w:rPr>
            </w:pPr>
            <w:r>
              <w:rPr>
                <w:rFonts w:ascii="Calibri" w:hAnsi="Calibri" w:cs="Calibri"/>
                <w:sz w:val="22"/>
                <w:szCs w:val="22"/>
              </w:rPr>
              <w:t>$</w:t>
            </w:r>
            <w:r w:rsidR="00E41240">
              <w:rPr>
                <w:rFonts w:ascii="Calibri" w:hAnsi="Calibri" w:cs="Calibri"/>
                <w:sz w:val="22"/>
                <w:szCs w:val="22"/>
              </w:rPr>
              <w:t>183,791</w:t>
            </w:r>
          </w:p>
        </w:tc>
      </w:tr>
      <w:tr w:rsidR="00DD1393" w:rsidRPr="00404750" w:rsidTr="00DD1393">
        <w:trPr>
          <w:trHeight w:val="339"/>
        </w:trPr>
        <w:tc>
          <w:tcPr>
            <w:tcW w:w="0" w:type="auto"/>
            <w:vAlign w:val="center"/>
          </w:tcPr>
          <w:p w:rsidR="00DD1393" w:rsidRPr="00404750" w:rsidRDefault="00DD1393" w:rsidP="001F2189">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380" w:type="dxa"/>
            <w:tcBorders>
              <w:right w:val="single" w:sz="4" w:space="0" w:color="auto"/>
            </w:tcBorders>
            <w:vAlign w:val="center"/>
          </w:tcPr>
          <w:p w:rsidR="00DD1393" w:rsidRPr="00404750" w:rsidRDefault="00DD1393" w:rsidP="00DD1393">
            <w:pPr>
              <w:spacing w:line="276" w:lineRule="auto"/>
              <w:jc w:val="center"/>
              <w:rPr>
                <w:rFonts w:ascii="Calibri" w:hAnsi="Calibri" w:cs="Calibri"/>
                <w:sz w:val="22"/>
                <w:szCs w:val="22"/>
              </w:rPr>
            </w:pPr>
          </w:p>
        </w:tc>
        <w:tc>
          <w:tcPr>
            <w:tcW w:w="2105" w:type="dxa"/>
            <w:tcBorders>
              <w:left w:val="single" w:sz="4" w:space="0" w:color="auto"/>
            </w:tcBorders>
            <w:vAlign w:val="center"/>
          </w:tcPr>
          <w:p w:rsidR="00DD1393" w:rsidRPr="00404750" w:rsidRDefault="00261097" w:rsidP="00543F6D">
            <w:pPr>
              <w:spacing w:line="276" w:lineRule="auto"/>
              <w:jc w:val="right"/>
              <w:rPr>
                <w:rFonts w:ascii="Calibri" w:hAnsi="Calibri" w:cs="Calibri"/>
                <w:sz w:val="22"/>
                <w:szCs w:val="22"/>
              </w:rPr>
            </w:pPr>
            <w:r>
              <w:rPr>
                <w:rFonts w:ascii="Calibri" w:hAnsi="Calibri" w:cs="Calibri"/>
                <w:sz w:val="22"/>
                <w:szCs w:val="22"/>
              </w:rPr>
              <w:t>$</w:t>
            </w:r>
            <w:r w:rsidR="00E41240">
              <w:rPr>
                <w:rFonts w:ascii="Calibri" w:hAnsi="Calibri" w:cs="Calibri"/>
                <w:sz w:val="22"/>
                <w:szCs w:val="22"/>
              </w:rPr>
              <w:t>196,636</w:t>
            </w:r>
          </w:p>
        </w:tc>
      </w:tr>
      <w:tr w:rsidR="00DD1393" w:rsidRPr="00404750" w:rsidTr="00DD1393">
        <w:trPr>
          <w:trHeight w:val="339"/>
        </w:trPr>
        <w:tc>
          <w:tcPr>
            <w:tcW w:w="0" w:type="auto"/>
            <w:vAlign w:val="center"/>
          </w:tcPr>
          <w:p w:rsidR="00DD1393" w:rsidRPr="00404750" w:rsidRDefault="00DD1393" w:rsidP="001F2189">
            <w:pPr>
              <w:spacing w:line="276" w:lineRule="auto"/>
              <w:rPr>
                <w:rFonts w:ascii="Calibri" w:hAnsi="Calibri" w:cs="Calibri"/>
                <w:sz w:val="22"/>
                <w:szCs w:val="22"/>
              </w:rPr>
            </w:pPr>
            <w:r w:rsidRPr="00404750">
              <w:rPr>
                <w:rFonts w:ascii="Calibri" w:hAnsi="Calibri" w:cs="Calibri"/>
                <w:sz w:val="22"/>
                <w:szCs w:val="22"/>
              </w:rPr>
              <w:t>Electronic publication of results</w:t>
            </w:r>
          </w:p>
        </w:tc>
        <w:tc>
          <w:tcPr>
            <w:tcW w:w="380" w:type="dxa"/>
            <w:tcBorders>
              <w:right w:val="single" w:sz="4" w:space="0" w:color="auto"/>
            </w:tcBorders>
            <w:vAlign w:val="center"/>
          </w:tcPr>
          <w:p w:rsidR="00DD1393" w:rsidRPr="00404750" w:rsidRDefault="00DD1393" w:rsidP="00DD1393">
            <w:pPr>
              <w:spacing w:line="276" w:lineRule="auto"/>
              <w:jc w:val="center"/>
              <w:rPr>
                <w:rFonts w:ascii="Calibri" w:hAnsi="Calibri" w:cs="Calibri"/>
                <w:sz w:val="22"/>
                <w:szCs w:val="22"/>
              </w:rPr>
            </w:pPr>
          </w:p>
        </w:tc>
        <w:tc>
          <w:tcPr>
            <w:tcW w:w="2105" w:type="dxa"/>
            <w:tcBorders>
              <w:left w:val="single" w:sz="4" w:space="0" w:color="auto"/>
            </w:tcBorders>
            <w:vAlign w:val="center"/>
          </w:tcPr>
          <w:p w:rsidR="00DD1393" w:rsidRPr="00404750" w:rsidRDefault="00FC6C99" w:rsidP="00543F6D">
            <w:pPr>
              <w:spacing w:line="276" w:lineRule="auto"/>
              <w:jc w:val="right"/>
              <w:rPr>
                <w:rFonts w:ascii="Calibri" w:hAnsi="Calibri" w:cs="Calibri"/>
                <w:sz w:val="22"/>
                <w:szCs w:val="22"/>
              </w:rPr>
            </w:pPr>
            <w:r>
              <w:rPr>
                <w:rFonts w:ascii="Calibri" w:hAnsi="Calibri" w:cs="Calibri"/>
                <w:sz w:val="22"/>
                <w:szCs w:val="22"/>
              </w:rPr>
              <w:t>$</w:t>
            </w:r>
            <w:r w:rsidR="00E41240">
              <w:rPr>
                <w:rFonts w:ascii="Calibri" w:hAnsi="Calibri" w:cs="Calibri"/>
                <w:sz w:val="22"/>
                <w:szCs w:val="22"/>
              </w:rPr>
              <w:t>295</w:t>
            </w:r>
          </w:p>
        </w:tc>
      </w:tr>
      <w:tr w:rsidR="00DD1393" w:rsidRPr="00404750" w:rsidTr="00DD1393">
        <w:trPr>
          <w:trHeight w:val="339"/>
        </w:trPr>
        <w:tc>
          <w:tcPr>
            <w:tcW w:w="0" w:type="auto"/>
            <w:vAlign w:val="center"/>
          </w:tcPr>
          <w:p w:rsidR="00DD1393" w:rsidRPr="00404750" w:rsidRDefault="00DD1393" w:rsidP="001F2189">
            <w:pPr>
              <w:spacing w:line="276" w:lineRule="auto"/>
              <w:rPr>
                <w:rFonts w:ascii="Calibri" w:hAnsi="Calibri" w:cs="Calibri"/>
                <w:sz w:val="22"/>
                <w:szCs w:val="22"/>
              </w:rPr>
            </w:pPr>
            <w:r w:rsidRPr="00404750">
              <w:rPr>
                <w:rFonts w:ascii="Calibri" w:hAnsi="Calibri" w:cs="Calibri"/>
                <w:sz w:val="22"/>
                <w:szCs w:val="22"/>
              </w:rPr>
              <w:t>Government Printing Office print costs for 2 Federal Register Notices</w:t>
            </w:r>
          </w:p>
        </w:tc>
        <w:tc>
          <w:tcPr>
            <w:tcW w:w="380" w:type="dxa"/>
            <w:tcBorders>
              <w:right w:val="single" w:sz="4" w:space="0" w:color="auto"/>
            </w:tcBorders>
            <w:vAlign w:val="center"/>
          </w:tcPr>
          <w:p w:rsidR="00DD1393" w:rsidRPr="00404750" w:rsidRDefault="00DD1393" w:rsidP="00DD1393">
            <w:pPr>
              <w:spacing w:line="276" w:lineRule="auto"/>
              <w:jc w:val="center"/>
              <w:rPr>
                <w:rFonts w:ascii="Calibri" w:hAnsi="Calibri" w:cs="Calibri"/>
                <w:sz w:val="22"/>
                <w:szCs w:val="22"/>
              </w:rPr>
            </w:pPr>
          </w:p>
        </w:tc>
        <w:tc>
          <w:tcPr>
            <w:tcW w:w="2105" w:type="dxa"/>
            <w:tcBorders>
              <w:left w:val="single" w:sz="4" w:space="0" w:color="auto"/>
            </w:tcBorders>
            <w:vAlign w:val="center"/>
          </w:tcPr>
          <w:p w:rsidR="00DD1393" w:rsidRPr="00404750" w:rsidRDefault="00DD1393" w:rsidP="00543F6D">
            <w:pPr>
              <w:spacing w:line="276" w:lineRule="auto"/>
              <w:jc w:val="right"/>
              <w:rPr>
                <w:rFonts w:ascii="Calibri" w:hAnsi="Calibri" w:cs="Calibri"/>
                <w:sz w:val="22"/>
                <w:szCs w:val="22"/>
              </w:rPr>
            </w:pPr>
            <w:r w:rsidRPr="00404750">
              <w:rPr>
                <w:rFonts w:ascii="Calibri" w:hAnsi="Calibri" w:cs="Calibri"/>
                <w:sz w:val="22"/>
                <w:szCs w:val="22"/>
              </w:rPr>
              <w:t>$</w:t>
            </w:r>
            <w:r w:rsidR="00960931">
              <w:rPr>
                <w:rFonts w:ascii="Calibri" w:hAnsi="Calibri" w:cs="Calibri"/>
                <w:sz w:val="22"/>
                <w:szCs w:val="22"/>
              </w:rPr>
              <w:t>212</w:t>
            </w:r>
          </w:p>
        </w:tc>
      </w:tr>
      <w:tr w:rsidR="00DD1393" w:rsidRPr="00404750" w:rsidTr="00E47110">
        <w:trPr>
          <w:trHeight w:val="339"/>
        </w:trPr>
        <w:tc>
          <w:tcPr>
            <w:tcW w:w="0" w:type="auto"/>
            <w:tcBorders>
              <w:bottom w:val="single" w:sz="4" w:space="0" w:color="auto"/>
            </w:tcBorders>
            <w:vAlign w:val="center"/>
          </w:tcPr>
          <w:p w:rsidR="00DD1393" w:rsidRPr="00404750" w:rsidRDefault="00DD1393" w:rsidP="001F2189">
            <w:pPr>
              <w:spacing w:line="276" w:lineRule="auto"/>
              <w:rPr>
                <w:rFonts w:ascii="Calibri" w:hAnsi="Calibri" w:cs="Calibri"/>
                <w:sz w:val="22"/>
                <w:szCs w:val="22"/>
              </w:rPr>
            </w:pPr>
            <w:r w:rsidRPr="00404750">
              <w:rPr>
                <w:rFonts w:ascii="Calibri" w:hAnsi="Calibri" w:cs="Calibri"/>
                <w:sz w:val="22"/>
                <w:szCs w:val="22"/>
              </w:rPr>
              <w:t>Electronic forms development and maintenance</w:t>
            </w:r>
          </w:p>
        </w:tc>
        <w:tc>
          <w:tcPr>
            <w:tcW w:w="380" w:type="dxa"/>
            <w:tcBorders>
              <w:bottom w:val="single" w:sz="4" w:space="0" w:color="auto"/>
              <w:right w:val="single" w:sz="4" w:space="0" w:color="auto"/>
            </w:tcBorders>
            <w:vAlign w:val="center"/>
          </w:tcPr>
          <w:p w:rsidR="00DD1393" w:rsidRPr="00404750" w:rsidRDefault="00DD1393" w:rsidP="00DD1393">
            <w:pPr>
              <w:spacing w:line="276" w:lineRule="auto"/>
              <w:jc w:val="center"/>
              <w:rPr>
                <w:rFonts w:ascii="Calibri" w:hAnsi="Calibri" w:cs="Calibri"/>
                <w:sz w:val="22"/>
                <w:szCs w:val="22"/>
              </w:rPr>
            </w:pPr>
          </w:p>
        </w:tc>
        <w:tc>
          <w:tcPr>
            <w:tcW w:w="2105" w:type="dxa"/>
            <w:tcBorders>
              <w:left w:val="single" w:sz="4" w:space="0" w:color="auto"/>
              <w:bottom w:val="single" w:sz="4" w:space="0" w:color="auto"/>
            </w:tcBorders>
            <w:vAlign w:val="center"/>
          </w:tcPr>
          <w:p w:rsidR="00DD1393" w:rsidRPr="00404750" w:rsidRDefault="00261097" w:rsidP="00543F6D">
            <w:pPr>
              <w:spacing w:line="276" w:lineRule="auto"/>
              <w:jc w:val="right"/>
              <w:rPr>
                <w:rFonts w:ascii="Calibri" w:hAnsi="Calibri" w:cs="Calibri"/>
                <w:sz w:val="22"/>
                <w:szCs w:val="22"/>
              </w:rPr>
            </w:pPr>
            <w:r>
              <w:rPr>
                <w:rFonts w:ascii="Calibri" w:hAnsi="Calibri" w:cs="Calibri"/>
                <w:sz w:val="22"/>
                <w:szCs w:val="22"/>
              </w:rPr>
              <w:t>$</w:t>
            </w:r>
            <w:r w:rsidR="00E41240">
              <w:rPr>
                <w:rFonts w:ascii="Calibri" w:hAnsi="Calibri" w:cs="Calibri"/>
                <w:sz w:val="22"/>
                <w:szCs w:val="22"/>
              </w:rPr>
              <w:t>41,331</w:t>
            </w:r>
          </w:p>
        </w:tc>
      </w:tr>
      <w:tr w:rsidR="00DD1393" w:rsidRPr="00404750" w:rsidTr="00404750">
        <w:trPr>
          <w:trHeight w:val="339"/>
        </w:trPr>
        <w:tc>
          <w:tcPr>
            <w:tcW w:w="0" w:type="auto"/>
            <w:tcBorders>
              <w:top w:val="single" w:sz="4" w:space="0" w:color="auto"/>
              <w:bottom w:val="single" w:sz="4" w:space="0" w:color="auto"/>
            </w:tcBorders>
            <w:shd w:val="clear" w:color="auto" w:fill="D9D9D9"/>
            <w:vAlign w:val="center"/>
          </w:tcPr>
          <w:p w:rsidR="00DD1393" w:rsidRPr="00404750" w:rsidRDefault="00DD1393" w:rsidP="001F2189">
            <w:pPr>
              <w:spacing w:line="276" w:lineRule="auto"/>
              <w:rPr>
                <w:rFonts w:ascii="Calibri" w:hAnsi="Calibri" w:cs="Calibri"/>
                <w:b/>
                <w:sz w:val="22"/>
                <w:szCs w:val="22"/>
              </w:rPr>
            </w:pPr>
            <w:r w:rsidRPr="00404750">
              <w:rPr>
                <w:rFonts w:ascii="Calibri" w:hAnsi="Calibri" w:cs="Calibri"/>
                <w:b/>
                <w:sz w:val="22"/>
                <w:szCs w:val="22"/>
              </w:rPr>
              <w:t>Total</w:t>
            </w:r>
          </w:p>
        </w:tc>
        <w:tc>
          <w:tcPr>
            <w:tcW w:w="380" w:type="dxa"/>
            <w:tcBorders>
              <w:top w:val="single" w:sz="4" w:space="0" w:color="auto"/>
              <w:bottom w:val="single" w:sz="4" w:space="0" w:color="auto"/>
              <w:right w:val="single" w:sz="4" w:space="0" w:color="auto"/>
            </w:tcBorders>
            <w:shd w:val="clear" w:color="auto" w:fill="D9D9D9"/>
            <w:vAlign w:val="center"/>
          </w:tcPr>
          <w:p w:rsidR="00DD1393" w:rsidRPr="00404750" w:rsidRDefault="00DD1393" w:rsidP="00DD1393">
            <w:pPr>
              <w:spacing w:line="276" w:lineRule="auto"/>
              <w:jc w:val="center"/>
              <w:rPr>
                <w:rFonts w:ascii="Calibri" w:hAnsi="Calibri" w:cs="Calibri"/>
                <w:b/>
                <w:sz w:val="22"/>
                <w:szCs w:val="22"/>
              </w:rPr>
            </w:pPr>
          </w:p>
        </w:tc>
        <w:tc>
          <w:tcPr>
            <w:tcW w:w="2105" w:type="dxa"/>
            <w:tcBorders>
              <w:top w:val="single" w:sz="4" w:space="0" w:color="auto"/>
              <w:left w:val="single" w:sz="4" w:space="0" w:color="auto"/>
              <w:bottom w:val="single" w:sz="4" w:space="0" w:color="auto"/>
            </w:tcBorders>
            <w:shd w:val="clear" w:color="auto" w:fill="D9D9D9"/>
            <w:vAlign w:val="center"/>
          </w:tcPr>
          <w:p w:rsidR="00DD1393" w:rsidRPr="00404750" w:rsidRDefault="00B63AC2" w:rsidP="00543F6D">
            <w:pPr>
              <w:spacing w:line="276" w:lineRule="auto"/>
              <w:jc w:val="right"/>
              <w:rPr>
                <w:rFonts w:ascii="Calibri" w:hAnsi="Calibri" w:cs="Calibri"/>
                <w:b/>
                <w:sz w:val="22"/>
                <w:szCs w:val="22"/>
              </w:rPr>
            </w:pPr>
            <w:r>
              <w:rPr>
                <w:rFonts w:ascii="Calibri" w:hAnsi="Calibri" w:cs="Calibri"/>
                <w:b/>
                <w:sz w:val="22"/>
                <w:szCs w:val="22"/>
              </w:rPr>
              <w:t>$</w:t>
            </w:r>
            <w:r w:rsidR="00831EAB">
              <w:rPr>
                <w:rFonts w:ascii="Calibri" w:hAnsi="Calibri" w:cs="Calibri"/>
                <w:b/>
                <w:sz w:val="22"/>
                <w:szCs w:val="22"/>
              </w:rPr>
              <w:t>425</w:t>
            </w:r>
            <w:r w:rsidR="007B16C4">
              <w:rPr>
                <w:rFonts w:ascii="Calibri" w:hAnsi="Calibri" w:cs="Calibri"/>
                <w:b/>
                <w:sz w:val="22"/>
                <w:szCs w:val="22"/>
              </w:rPr>
              <w:t>,</w:t>
            </w:r>
            <w:r w:rsidR="00130B12">
              <w:rPr>
                <w:rFonts w:ascii="Calibri" w:hAnsi="Calibri" w:cs="Calibri"/>
                <w:b/>
                <w:sz w:val="22"/>
                <w:szCs w:val="22"/>
              </w:rPr>
              <w:t>083</w:t>
            </w:r>
          </w:p>
        </w:tc>
      </w:tr>
    </w:tbl>
    <w:p w:rsidR="00BB1467" w:rsidRPr="00404750" w:rsidRDefault="00BB1467" w:rsidP="001F2189">
      <w:pPr>
        <w:spacing w:line="276" w:lineRule="auto"/>
        <w:rPr>
          <w:rFonts w:ascii="Calibri" w:hAnsi="Calibri" w:cs="Calibri"/>
          <w:sz w:val="22"/>
          <w:szCs w:val="22"/>
        </w:rPr>
      </w:pPr>
    </w:p>
    <w:p w:rsidR="008A483E" w:rsidRPr="00404750" w:rsidRDefault="00DD1393"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r>
      <w:r w:rsidR="002520EB" w:rsidRPr="00A7251C">
        <w:rPr>
          <w:rFonts w:ascii="Calibri" w:hAnsi="Calibri" w:cs="Calibri"/>
          <w:color w:val="000000"/>
          <w:sz w:val="22"/>
          <w:szCs w:val="22"/>
        </w:rPr>
        <w:t xml:space="preserve">The total estimated cost to the Federal Government for processing and reviewing </w:t>
      </w:r>
      <w:r w:rsidR="00EE4321" w:rsidRPr="00A7251C">
        <w:rPr>
          <w:rFonts w:ascii="Calibri" w:hAnsi="Calibri" w:cs="Calibri"/>
          <w:color w:val="000000"/>
          <w:sz w:val="22"/>
          <w:szCs w:val="22"/>
        </w:rPr>
        <w:t>information received</w:t>
      </w:r>
      <w:r w:rsidR="002520EB" w:rsidRPr="00A7251C">
        <w:rPr>
          <w:rFonts w:ascii="Calibri" w:hAnsi="Calibri" w:cs="Calibri"/>
          <w:color w:val="000000"/>
          <w:sz w:val="22"/>
          <w:szCs w:val="22"/>
        </w:rPr>
        <w:t xml:space="preserve"> as a result of this collection is </w:t>
      </w:r>
      <w:r w:rsidR="007E7000" w:rsidRPr="00A7251C">
        <w:rPr>
          <w:rFonts w:ascii="Calibri" w:hAnsi="Calibri" w:cs="Calibri"/>
          <w:color w:val="000000"/>
          <w:sz w:val="22"/>
          <w:szCs w:val="22"/>
        </w:rPr>
        <w:t>$</w:t>
      </w:r>
      <w:r w:rsidR="003E7BCB">
        <w:rPr>
          <w:rFonts w:ascii="Calibri" w:hAnsi="Calibri" w:cs="Calibri"/>
          <w:color w:val="000000"/>
          <w:sz w:val="22"/>
          <w:szCs w:val="22"/>
        </w:rPr>
        <w:t>1,005</w:t>
      </w:r>
      <w:r w:rsidR="00B234B4" w:rsidRPr="00A7251C">
        <w:rPr>
          <w:rFonts w:ascii="Calibri" w:hAnsi="Calibri" w:cs="Calibri"/>
          <w:color w:val="000000"/>
          <w:sz w:val="22"/>
          <w:szCs w:val="22"/>
        </w:rPr>
        <w:t>,</w:t>
      </w:r>
      <w:r w:rsidR="003E7BCB">
        <w:rPr>
          <w:rFonts w:ascii="Calibri" w:hAnsi="Calibri" w:cs="Calibri"/>
          <w:color w:val="000000"/>
          <w:sz w:val="22"/>
          <w:szCs w:val="22"/>
        </w:rPr>
        <w:t>1</w:t>
      </w:r>
      <w:r w:rsidR="0068309A">
        <w:rPr>
          <w:rFonts w:ascii="Calibri" w:hAnsi="Calibri" w:cs="Calibri"/>
          <w:color w:val="000000"/>
          <w:sz w:val="22"/>
          <w:szCs w:val="22"/>
        </w:rPr>
        <w:t>00</w:t>
      </w:r>
      <w:r w:rsidR="00683E26" w:rsidRPr="00A7251C">
        <w:rPr>
          <w:rFonts w:ascii="Calibri" w:hAnsi="Calibri" w:cs="Calibri"/>
          <w:color w:val="000000"/>
          <w:sz w:val="22"/>
          <w:szCs w:val="22"/>
        </w:rPr>
        <w:t xml:space="preserve"> </w:t>
      </w:r>
      <w:r w:rsidR="0092549E">
        <w:rPr>
          <w:rFonts w:ascii="Calibri" w:hAnsi="Calibri" w:cs="Calibri"/>
          <w:color w:val="000000"/>
          <w:sz w:val="22"/>
          <w:szCs w:val="22"/>
        </w:rPr>
        <w:t>(Table 5</w:t>
      </w:r>
      <w:r w:rsidR="00E47110" w:rsidRPr="00A7251C">
        <w:rPr>
          <w:rFonts w:ascii="Calibri" w:hAnsi="Calibri" w:cs="Calibri"/>
          <w:color w:val="000000"/>
          <w:sz w:val="22"/>
          <w:szCs w:val="22"/>
        </w:rPr>
        <w:t xml:space="preserve"> below</w:t>
      </w:r>
      <w:r w:rsidR="00EE4321" w:rsidRPr="00A7251C">
        <w:rPr>
          <w:rFonts w:ascii="Calibri" w:hAnsi="Calibri" w:cs="Calibri"/>
          <w:color w:val="000000"/>
          <w:sz w:val="22"/>
          <w:szCs w:val="22"/>
        </w:rPr>
        <w:t>)</w:t>
      </w:r>
      <w:r w:rsidR="002520EB" w:rsidRPr="00A7251C">
        <w:rPr>
          <w:rFonts w:ascii="Calibri" w:hAnsi="Calibri" w:cs="Calibri"/>
          <w:color w:val="000000"/>
          <w:sz w:val="22"/>
          <w:szCs w:val="22"/>
        </w:rPr>
        <w:t>. This</w:t>
      </w:r>
      <w:r w:rsidR="002520EB" w:rsidRPr="00404750">
        <w:rPr>
          <w:rFonts w:ascii="Calibri" w:hAnsi="Calibri" w:cs="Calibri"/>
          <w:sz w:val="22"/>
          <w:szCs w:val="22"/>
        </w:rPr>
        <w:t xml:space="preserve"> includes </w:t>
      </w:r>
      <w:r w:rsidR="00593D43" w:rsidRPr="00404750">
        <w:rPr>
          <w:rFonts w:ascii="Calibri" w:hAnsi="Calibri" w:cs="Calibri"/>
          <w:sz w:val="22"/>
          <w:szCs w:val="22"/>
        </w:rPr>
        <w:t>F</w:t>
      </w:r>
      <w:r w:rsidR="002520EB" w:rsidRPr="00404750">
        <w:rPr>
          <w:rFonts w:ascii="Calibri" w:hAnsi="Calibri" w:cs="Calibri"/>
          <w:sz w:val="22"/>
          <w:szCs w:val="22"/>
        </w:rPr>
        <w:t xml:space="preserve">ederal employee </w:t>
      </w:r>
      <w:r w:rsidR="00593D43" w:rsidRPr="00404750">
        <w:rPr>
          <w:rFonts w:ascii="Calibri" w:hAnsi="Calibri" w:cs="Calibri"/>
          <w:sz w:val="22"/>
          <w:szCs w:val="22"/>
        </w:rPr>
        <w:t>salaries</w:t>
      </w:r>
      <w:r w:rsidR="002520EB" w:rsidRPr="00404750">
        <w:rPr>
          <w:rFonts w:ascii="Calibri" w:hAnsi="Calibri" w:cs="Calibri"/>
          <w:sz w:val="22"/>
          <w:szCs w:val="22"/>
        </w:rPr>
        <w:t xml:space="preserve"> and benefits.  </w:t>
      </w:r>
      <w:r w:rsidR="00EE4321" w:rsidRPr="00404750">
        <w:rPr>
          <w:rFonts w:ascii="Calibri" w:hAnsi="Calibri" w:cs="Calibri"/>
          <w:sz w:val="22"/>
          <w:szCs w:val="22"/>
        </w:rPr>
        <w:t>The t</w:t>
      </w:r>
      <w:r w:rsidR="002520EB" w:rsidRPr="00404750">
        <w:rPr>
          <w:rFonts w:ascii="Calibri" w:hAnsi="Calibri" w:cs="Calibri"/>
          <w:sz w:val="22"/>
          <w:szCs w:val="22"/>
        </w:rPr>
        <w:t>able below shows Federal staff and grade levels performing various tasks associated with this information collection. We used the Office of Person</w:t>
      </w:r>
      <w:r w:rsidR="00533B80" w:rsidRPr="00404750">
        <w:rPr>
          <w:rFonts w:ascii="Calibri" w:hAnsi="Calibri" w:cs="Calibri"/>
          <w:sz w:val="22"/>
          <w:szCs w:val="22"/>
        </w:rPr>
        <w:t xml:space="preserve">nel Management Salary Table </w:t>
      </w:r>
      <w:r w:rsidR="000166E8">
        <w:rPr>
          <w:rFonts w:ascii="Calibri" w:hAnsi="Calibri" w:cs="Calibri"/>
          <w:sz w:val="22"/>
          <w:szCs w:val="22"/>
        </w:rPr>
        <w:t>2012</w:t>
      </w:r>
      <w:r w:rsidR="002520EB" w:rsidRPr="00404750">
        <w:rPr>
          <w:rFonts w:ascii="Calibri" w:hAnsi="Calibri" w:cs="Calibri"/>
          <w:sz w:val="22"/>
          <w:szCs w:val="22"/>
        </w:rPr>
        <w:t>-DCB (</w:t>
      </w:r>
      <w:hyperlink r:id="rId10" w:history="1">
        <w:r w:rsidR="00FD7B0D" w:rsidRPr="0008627F">
          <w:rPr>
            <w:rStyle w:val="Hyperlink"/>
            <w:rFonts w:ascii="Calibri" w:hAnsi="Calibri" w:cs="Calibri"/>
            <w:bCs/>
            <w:sz w:val="22"/>
            <w:szCs w:val="22"/>
          </w:rPr>
          <w:t>http://www.opm.gov/oca/12tables/pdf/dcb_h.pdf</w:t>
        </w:r>
      </w:hyperlink>
      <w:r w:rsidR="00FD7B0D">
        <w:rPr>
          <w:rFonts w:ascii="Calibri" w:hAnsi="Calibri" w:cs="Calibri"/>
          <w:sz w:val="22"/>
          <w:szCs w:val="22"/>
        </w:rPr>
        <w:t xml:space="preserve">) </w:t>
      </w:r>
      <w:r w:rsidR="002520EB" w:rsidRPr="00404750">
        <w:rPr>
          <w:rFonts w:ascii="Calibri" w:hAnsi="Calibri" w:cs="Calibri"/>
          <w:sz w:val="22"/>
          <w:szCs w:val="22"/>
        </w:rPr>
        <w:t xml:space="preserve">to determine the hourly </w:t>
      </w:r>
      <w:r w:rsidR="00593D43" w:rsidRPr="00404750">
        <w:rPr>
          <w:rFonts w:ascii="Calibri" w:hAnsi="Calibri" w:cs="Calibri"/>
          <w:sz w:val="22"/>
          <w:szCs w:val="22"/>
        </w:rPr>
        <w:t>rate</w:t>
      </w:r>
      <w:r w:rsidR="002520EB" w:rsidRPr="00404750">
        <w:rPr>
          <w:rFonts w:ascii="Calibri" w:hAnsi="Calibri" w:cs="Calibri"/>
          <w:sz w:val="22"/>
          <w:szCs w:val="22"/>
        </w:rPr>
        <w:t xml:space="preserve">. We multiplied the hourly </w:t>
      </w:r>
      <w:r w:rsidR="00593D43" w:rsidRPr="00404750">
        <w:rPr>
          <w:rFonts w:ascii="Calibri" w:hAnsi="Calibri" w:cs="Calibri"/>
          <w:sz w:val="22"/>
          <w:szCs w:val="22"/>
        </w:rPr>
        <w:t>rate</w:t>
      </w:r>
      <w:r w:rsidR="002520EB" w:rsidRPr="00404750">
        <w:rPr>
          <w:rFonts w:ascii="Calibri" w:hAnsi="Calibri" w:cs="Calibri"/>
          <w:sz w:val="22"/>
          <w:szCs w:val="22"/>
        </w:rPr>
        <w:t xml:space="preserve"> by 1.5 to account for benefits (</w:t>
      </w:r>
      <w:r w:rsidR="00B74CAB" w:rsidRPr="00404750">
        <w:rPr>
          <w:rFonts w:ascii="Calibri" w:hAnsi="Calibri" w:cs="Calibri"/>
          <w:sz w:val="22"/>
          <w:szCs w:val="22"/>
        </w:rPr>
        <w:t xml:space="preserve">as implied by the BLS news release </w:t>
      </w:r>
      <w:r w:rsidR="00B74CAB" w:rsidRPr="00404750">
        <w:rPr>
          <w:rFonts w:ascii="Calibri" w:hAnsi="Calibri" w:cs="Calibri"/>
          <w:bCs/>
          <w:sz w:val="22"/>
          <w:szCs w:val="22"/>
        </w:rPr>
        <w:t>USDL-10-</w:t>
      </w:r>
      <w:r w:rsidR="005B3166" w:rsidRPr="00404750">
        <w:rPr>
          <w:rFonts w:ascii="Calibri" w:hAnsi="Calibri" w:cs="Calibri"/>
          <w:bCs/>
          <w:sz w:val="22"/>
          <w:szCs w:val="22"/>
        </w:rPr>
        <w:t>10-0774)</w:t>
      </w:r>
      <w:r w:rsidR="00786B73" w:rsidRPr="00404750">
        <w:rPr>
          <w:rFonts w:ascii="Calibri" w:hAnsi="Calibri" w:cs="Calibri"/>
          <w:sz w:val="22"/>
          <w:szCs w:val="22"/>
        </w:rPr>
        <w:t>.</w:t>
      </w:r>
    </w:p>
    <w:p w:rsidR="00DD1393" w:rsidRPr="00404750" w:rsidRDefault="00DD1393" w:rsidP="001F2189">
      <w:pPr>
        <w:spacing w:line="276" w:lineRule="auto"/>
        <w:rPr>
          <w:rFonts w:ascii="Calibri" w:hAnsi="Calibri" w:cs="Calibri"/>
          <w:b/>
          <w:sz w:val="22"/>
          <w:szCs w:val="22"/>
        </w:rPr>
      </w:pPr>
    </w:p>
    <w:p w:rsidR="0094646D" w:rsidRPr="00B10554" w:rsidRDefault="00E05173" w:rsidP="001F2189">
      <w:pPr>
        <w:spacing w:line="276" w:lineRule="auto"/>
        <w:rPr>
          <w:rFonts w:ascii="Calibri" w:hAnsi="Calibri" w:cs="Calibri"/>
          <w:sz w:val="22"/>
          <w:szCs w:val="22"/>
        </w:rPr>
      </w:pPr>
      <w:r>
        <w:rPr>
          <w:rFonts w:ascii="Calibri" w:hAnsi="Calibri" w:cs="Calibri"/>
          <w:sz w:val="22"/>
          <w:szCs w:val="22"/>
        </w:rPr>
        <w:t>Table 5</w:t>
      </w:r>
      <w:r w:rsidR="0094646D" w:rsidRPr="00B10554">
        <w:rPr>
          <w:rFonts w:ascii="Calibri" w:hAnsi="Calibri" w:cs="Calibri"/>
          <w:sz w:val="22"/>
          <w:szCs w:val="22"/>
        </w:rPr>
        <w:t>. Federal Employee Salaries and Benefits</w:t>
      </w:r>
    </w:p>
    <w:p w:rsidR="00DF0921" w:rsidRPr="00404750" w:rsidRDefault="00DF0921" w:rsidP="001F2189">
      <w:pPr>
        <w:spacing w:line="276" w:lineRule="auto"/>
        <w:rPr>
          <w:rFonts w:ascii="Calibri" w:hAnsi="Calibri" w:cs="Calibri"/>
          <w:b/>
          <w:sz w:val="22"/>
          <w:szCs w:val="22"/>
        </w:rPr>
      </w:pPr>
    </w:p>
    <w:tbl>
      <w:tblPr>
        <w:tblW w:w="10260" w:type="dxa"/>
        <w:tblInd w:w="-432" w:type="dxa"/>
        <w:tblLayout w:type="fixed"/>
        <w:tblLook w:val="00A0" w:firstRow="1" w:lastRow="0" w:firstColumn="1" w:lastColumn="0" w:noHBand="0" w:noVBand="0"/>
      </w:tblPr>
      <w:tblGrid>
        <w:gridCol w:w="1260"/>
        <w:gridCol w:w="1260"/>
        <w:gridCol w:w="1260"/>
        <w:gridCol w:w="1260"/>
        <w:gridCol w:w="1260"/>
        <w:gridCol w:w="1260"/>
        <w:gridCol w:w="1440"/>
        <w:gridCol w:w="1260"/>
      </w:tblGrid>
      <w:tr w:rsidR="0015045A" w:rsidRPr="0094646D" w:rsidTr="0064512A">
        <w:trPr>
          <w:trHeight w:val="417"/>
        </w:trPr>
        <w:tc>
          <w:tcPr>
            <w:tcW w:w="1260" w:type="dxa"/>
            <w:tcBorders>
              <w:top w:val="single" w:sz="6" w:space="0" w:color="000000"/>
              <w:left w:val="single" w:sz="6" w:space="0" w:color="000000"/>
              <w:bottom w:val="single" w:sz="4" w:space="0" w:color="auto"/>
              <w:right w:val="single" w:sz="6" w:space="0" w:color="000000"/>
            </w:tcBorders>
            <w:shd w:val="clear" w:color="auto" w:fill="D9D9D9"/>
            <w:vAlign w:val="bottom"/>
          </w:tcPr>
          <w:p w:rsidR="0015045A" w:rsidRPr="000A34D1" w:rsidRDefault="0015045A" w:rsidP="0015045A">
            <w:pPr>
              <w:spacing w:after="120"/>
              <w:jc w:val="center"/>
              <w:rPr>
                <w:iCs/>
                <w:color w:val="000000"/>
              </w:rPr>
            </w:pPr>
            <w:r w:rsidRPr="000A34D1">
              <w:t>1</w:t>
            </w:r>
            <w:r>
              <w:rPr>
                <w:iCs/>
                <w:color w:val="000000"/>
                <w:sz w:val="18"/>
                <w:szCs w:val="18"/>
                <w:vertAlign w:val="superscript"/>
              </w:rPr>
              <w:t>1</w:t>
            </w:r>
          </w:p>
        </w:tc>
        <w:tc>
          <w:tcPr>
            <w:tcW w:w="1260" w:type="dxa"/>
            <w:tcBorders>
              <w:top w:val="single" w:sz="6" w:space="0" w:color="000000"/>
              <w:left w:val="single" w:sz="6" w:space="0" w:color="000000"/>
              <w:bottom w:val="single" w:sz="4" w:space="0" w:color="auto"/>
              <w:right w:val="single" w:sz="6" w:space="0" w:color="000000"/>
            </w:tcBorders>
            <w:shd w:val="clear" w:color="auto" w:fill="D9D9D9"/>
            <w:vAlign w:val="bottom"/>
          </w:tcPr>
          <w:p w:rsidR="0015045A" w:rsidRPr="000A34D1" w:rsidRDefault="0015045A" w:rsidP="0015045A">
            <w:pPr>
              <w:spacing w:after="120"/>
              <w:jc w:val="center"/>
              <w:rPr>
                <w:iCs/>
                <w:color w:val="000000"/>
              </w:rPr>
            </w:pPr>
            <w:r w:rsidRPr="000A34D1">
              <w:rPr>
                <w:iCs/>
                <w:color w:val="000000"/>
              </w:rPr>
              <w:t>2</w:t>
            </w:r>
          </w:p>
        </w:tc>
        <w:tc>
          <w:tcPr>
            <w:tcW w:w="1260" w:type="dxa"/>
            <w:tcBorders>
              <w:top w:val="single" w:sz="6" w:space="0" w:color="000000"/>
              <w:left w:val="single" w:sz="6" w:space="0" w:color="000000"/>
              <w:bottom w:val="single" w:sz="4" w:space="0" w:color="auto"/>
              <w:right w:val="single" w:sz="6" w:space="0" w:color="000000"/>
            </w:tcBorders>
            <w:shd w:val="clear" w:color="auto" w:fill="D9D9D9"/>
            <w:vAlign w:val="bottom"/>
          </w:tcPr>
          <w:p w:rsidR="0015045A" w:rsidRPr="000A34D1" w:rsidRDefault="0015045A" w:rsidP="0015045A">
            <w:pPr>
              <w:spacing w:after="120"/>
              <w:jc w:val="center"/>
              <w:rPr>
                <w:iCs/>
                <w:color w:val="000000"/>
              </w:rPr>
            </w:pPr>
            <w:r w:rsidRPr="000A34D1">
              <w:rPr>
                <w:iCs/>
                <w:color w:val="000000"/>
              </w:rPr>
              <w:t>3</w:t>
            </w:r>
            <w:r>
              <w:rPr>
                <w:iCs/>
                <w:color w:val="000000"/>
                <w:sz w:val="18"/>
                <w:szCs w:val="18"/>
                <w:vertAlign w:val="superscript"/>
              </w:rPr>
              <w:t>2</w:t>
            </w:r>
          </w:p>
        </w:tc>
        <w:tc>
          <w:tcPr>
            <w:tcW w:w="1260" w:type="dxa"/>
            <w:tcBorders>
              <w:top w:val="single" w:sz="6" w:space="0" w:color="000000"/>
              <w:left w:val="single" w:sz="6" w:space="0" w:color="000000"/>
              <w:bottom w:val="single" w:sz="4" w:space="0" w:color="auto"/>
              <w:right w:val="single" w:sz="6" w:space="0" w:color="000000"/>
            </w:tcBorders>
            <w:shd w:val="clear" w:color="auto" w:fill="D9D9D9"/>
            <w:vAlign w:val="bottom"/>
          </w:tcPr>
          <w:p w:rsidR="0015045A" w:rsidRPr="000A34D1" w:rsidRDefault="0015045A" w:rsidP="0015045A">
            <w:pPr>
              <w:spacing w:after="120"/>
              <w:jc w:val="center"/>
              <w:rPr>
                <w:iCs/>
                <w:color w:val="000000"/>
              </w:rPr>
            </w:pPr>
            <w:r w:rsidRPr="000A34D1">
              <w:rPr>
                <w:iCs/>
                <w:color w:val="000000"/>
              </w:rPr>
              <w:t>4</w:t>
            </w:r>
          </w:p>
        </w:tc>
        <w:tc>
          <w:tcPr>
            <w:tcW w:w="1260" w:type="dxa"/>
            <w:tcBorders>
              <w:top w:val="single" w:sz="6" w:space="0" w:color="000000"/>
              <w:left w:val="single" w:sz="6" w:space="0" w:color="000000"/>
              <w:bottom w:val="single" w:sz="4" w:space="0" w:color="auto"/>
              <w:right w:val="single" w:sz="6" w:space="0" w:color="000000"/>
            </w:tcBorders>
            <w:shd w:val="clear" w:color="auto" w:fill="D9D9D9"/>
            <w:vAlign w:val="bottom"/>
          </w:tcPr>
          <w:p w:rsidR="0015045A" w:rsidRPr="000A34D1" w:rsidRDefault="0015045A" w:rsidP="0015045A">
            <w:pPr>
              <w:spacing w:after="120"/>
              <w:jc w:val="center"/>
              <w:rPr>
                <w:iCs/>
                <w:color w:val="000000"/>
                <w:vertAlign w:val="superscript"/>
              </w:rPr>
            </w:pPr>
            <w:r w:rsidRPr="000A34D1">
              <w:rPr>
                <w:iCs/>
                <w:color w:val="000000"/>
              </w:rPr>
              <w:t>5</w:t>
            </w:r>
            <w:r w:rsidRPr="000A34D1">
              <w:rPr>
                <w:iCs/>
                <w:color w:val="000000"/>
                <w:vertAlign w:val="superscript"/>
              </w:rPr>
              <w:t>3</w:t>
            </w:r>
          </w:p>
        </w:tc>
        <w:tc>
          <w:tcPr>
            <w:tcW w:w="1260" w:type="dxa"/>
            <w:tcBorders>
              <w:top w:val="single" w:sz="6" w:space="0" w:color="000000"/>
              <w:left w:val="single" w:sz="6" w:space="0" w:color="000000"/>
              <w:bottom w:val="single" w:sz="4" w:space="0" w:color="auto"/>
              <w:right w:val="single" w:sz="6" w:space="0" w:color="000000"/>
            </w:tcBorders>
            <w:shd w:val="clear" w:color="auto" w:fill="D9D9D9"/>
            <w:vAlign w:val="bottom"/>
          </w:tcPr>
          <w:p w:rsidR="0015045A" w:rsidRPr="000A34D1" w:rsidRDefault="0015045A" w:rsidP="0015045A">
            <w:pPr>
              <w:spacing w:after="120"/>
              <w:jc w:val="center"/>
              <w:rPr>
                <w:iCs/>
                <w:color w:val="000000"/>
                <w:vertAlign w:val="superscript"/>
              </w:rPr>
            </w:pPr>
            <w:r w:rsidRPr="000A34D1">
              <w:rPr>
                <w:iCs/>
                <w:color w:val="000000"/>
              </w:rPr>
              <w:t>6</w:t>
            </w:r>
            <w:r w:rsidRPr="000A34D1">
              <w:rPr>
                <w:iCs/>
                <w:color w:val="000000"/>
                <w:vertAlign w:val="superscript"/>
              </w:rPr>
              <w:t>4</w:t>
            </w:r>
          </w:p>
        </w:tc>
        <w:tc>
          <w:tcPr>
            <w:tcW w:w="1440" w:type="dxa"/>
            <w:tcBorders>
              <w:top w:val="single" w:sz="6" w:space="0" w:color="000000"/>
              <w:left w:val="single" w:sz="6" w:space="0" w:color="000000"/>
              <w:bottom w:val="single" w:sz="4" w:space="0" w:color="auto"/>
              <w:right w:val="single" w:sz="6" w:space="0" w:color="000000"/>
            </w:tcBorders>
            <w:shd w:val="clear" w:color="auto" w:fill="D9D9D9"/>
            <w:vAlign w:val="bottom"/>
          </w:tcPr>
          <w:p w:rsidR="0015045A" w:rsidRPr="000A34D1" w:rsidRDefault="0015045A" w:rsidP="0015045A">
            <w:pPr>
              <w:spacing w:after="120"/>
              <w:jc w:val="center"/>
              <w:rPr>
                <w:iCs/>
                <w:color w:val="000000"/>
                <w:vertAlign w:val="superscript"/>
              </w:rPr>
            </w:pPr>
            <w:r w:rsidRPr="000A34D1">
              <w:rPr>
                <w:iCs/>
                <w:color w:val="000000"/>
              </w:rPr>
              <w:t>7</w:t>
            </w:r>
            <w:r w:rsidRPr="000A34D1">
              <w:rPr>
                <w:iCs/>
                <w:color w:val="000000"/>
                <w:vertAlign w:val="superscript"/>
              </w:rPr>
              <w:t>5</w:t>
            </w:r>
          </w:p>
        </w:tc>
        <w:tc>
          <w:tcPr>
            <w:tcW w:w="1260" w:type="dxa"/>
            <w:tcBorders>
              <w:top w:val="single" w:sz="6" w:space="0" w:color="000000"/>
              <w:left w:val="single" w:sz="6" w:space="0" w:color="000000"/>
              <w:bottom w:val="single" w:sz="4" w:space="0" w:color="auto"/>
              <w:right w:val="single" w:sz="6" w:space="0" w:color="000000"/>
            </w:tcBorders>
            <w:shd w:val="clear" w:color="auto" w:fill="D9D9D9"/>
            <w:vAlign w:val="center"/>
          </w:tcPr>
          <w:p w:rsidR="0015045A" w:rsidRPr="000A34D1" w:rsidRDefault="0015045A" w:rsidP="0015045A">
            <w:pPr>
              <w:jc w:val="center"/>
            </w:pPr>
            <w:r w:rsidRPr="000A34D1">
              <w:t>8</w:t>
            </w:r>
            <w:r w:rsidRPr="000A34D1">
              <w:rPr>
                <w:vertAlign w:val="superscript"/>
              </w:rPr>
              <w:t>6</w:t>
            </w:r>
          </w:p>
        </w:tc>
      </w:tr>
      <w:tr w:rsidR="0015045A" w:rsidRPr="0094646D" w:rsidTr="0064512A">
        <w:trPr>
          <w:trHeight w:val="1250"/>
        </w:trPr>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rsidR="0015045A" w:rsidRPr="000A34D1" w:rsidRDefault="0015045A" w:rsidP="0015045A">
            <w:pPr>
              <w:spacing w:after="120"/>
              <w:jc w:val="center"/>
              <w:rPr>
                <w:iCs/>
                <w:color w:val="000000"/>
                <w:sz w:val="18"/>
                <w:szCs w:val="18"/>
                <w:vertAlign w:val="superscript"/>
              </w:rPr>
            </w:pPr>
            <w:r w:rsidRPr="0094646D">
              <w:rPr>
                <w:iCs/>
                <w:color w:val="000000"/>
                <w:sz w:val="18"/>
                <w:szCs w:val="18"/>
              </w:rPr>
              <w:t>Positions</w:t>
            </w:r>
          </w:p>
        </w:tc>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rsidR="0015045A" w:rsidRPr="0094646D" w:rsidRDefault="0015045A" w:rsidP="0015045A">
            <w:pPr>
              <w:spacing w:after="120"/>
              <w:jc w:val="center"/>
              <w:rPr>
                <w:b/>
                <w:iCs/>
                <w:color w:val="000000"/>
                <w:sz w:val="18"/>
                <w:szCs w:val="18"/>
              </w:rPr>
            </w:pPr>
            <w:r w:rsidRPr="0094646D">
              <w:rPr>
                <w:iCs/>
                <w:color w:val="000000"/>
                <w:sz w:val="18"/>
                <w:szCs w:val="18"/>
              </w:rPr>
              <w:t xml:space="preserve">Average </w:t>
            </w:r>
            <w:r>
              <w:rPr>
                <w:iCs/>
                <w:color w:val="000000"/>
                <w:sz w:val="18"/>
                <w:szCs w:val="18"/>
              </w:rPr>
              <w:t>g</w:t>
            </w:r>
            <w:r w:rsidRPr="0094646D">
              <w:rPr>
                <w:iCs/>
                <w:color w:val="000000"/>
                <w:sz w:val="18"/>
                <w:szCs w:val="18"/>
              </w:rPr>
              <w:t>rade</w:t>
            </w:r>
          </w:p>
        </w:tc>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rsidR="0015045A" w:rsidRPr="000A34D1" w:rsidRDefault="0015045A" w:rsidP="0015045A">
            <w:pPr>
              <w:spacing w:after="120"/>
              <w:jc w:val="center"/>
              <w:rPr>
                <w:iCs/>
                <w:color w:val="000000"/>
                <w:sz w:val="18"/>
                <w:szCs w:val="18"/>
                <w:vertAlign w:val="superscript"/>
              </w:rPr>
            </w:pPr>
            <w:r w:rsidRPr="0094646D">
              <w:rPr>
                <w:iCs/>
                <w:color w:val="000000"/>
                <w:sz w:val="18"/>
                <w:szCs w:val="18"/>
              </w:rPr>
              <w:t xml:space="preserve">Estimated </w:t>
            </w:r>
            <w:r>
              <w:rPr>
                <w:iCs/>
                <w:color w:val="000000"/>
                <w:sz w:val="18"/>
                <w:szCs w:val="18"/>
              </w:rPr>
              <w:t>p</w:t>
            </w:r>
            <w:r w:rsidRPr="0094646D">
              <w:rPr>
                <w:iCs/>
                <w:color w:val="000000"/>
                <w:sz w:val="18"/>
                <w:szCs w:val="18"/>
              </w:rPr>
              <w:t>ercent</w:t>
            </w:r>
            <w:r>
              <w:rPr>
                <w:iCs/>
                <w:color w:val="000000"/>
                <w:sz w:val="18"/>
                <w:szCs w:val="18"/>
              </w:rPr>
              <w:t xml:space="preserve"> of</w:t>
            </w:r>
            <w:r w:rsidRPr="0094646D">
              <w:rPr>
                <w:iCs/>
                <w:color w:val="000000"/>
                <w:sz w:val="18"/>
                <w:szCs w:val="18"/>
              </w:rPr>
              <w:t xml:space="preserve"> time spent on collection</w:t>
            </w:r>
          </w:p>
        </w:tc>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rsidR="0015045A" w:rsidRPr="0094646D" w:rsidRDefault="0015045A" w:rsidP="0015045A">
            <w:pPr>
              <w:spacing w:after="120"/>
              <w:jc w:val="center"/>
              <w:rPr>
                <w:iCs/>
                <w:color w:val="000000"/>
                <w:sz w:val="18"/>
                <w:szCs w:val="18"/>
              </w:rPr>
            </w:pPr>
            <w:r w:rsidRPr="0094646D">
              <w:rPr>
                <w:iCs/>
                <w:color w:val="000000"/>
                <w:sz w:val="18"/>
                <w:szCs w:val="18"/>
              </w:rPr>
              <w:t xml:space="preserve">Estimated </w:t>
            </w:r>
            <w:r>
              <w:rPr>
                <w:iCs/>
                <w:color w:val="000000"/>
                <w:sz w:val="18"/>
                <w:szCs w:val="18"/>
              </w:rPr>
              <w:t>a</w:t>
            </w:r>
            <w:r w:rsidRPr="0094646D">
              <w:rPr>
                <w:iCs/>
                <w:color w:val="000000"/>
                <w:sz w:val="18"/>
                <w:szCs w:val="18"/>
              </w:rPr>
              <w:t>verage hourly rate including benefits (1.5 x average hourly rate)</w:t>
            </w:r>
          </w:p>
        </w:tc>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rsidR="0015045A" w:rsidRPr="0094646D" w:rsidRDefault="0015045A" w:rsidP="0015045A">
            <w:pPr>
              <w:spacing w:after="120"/>
              <w:jc w:val="center"/>
              <w:rPr>
                <w:iCs/>
                <w:color w:val="000000"/>
                <w:sz w:val="18"/>
                <w:szCs w:val="18"/>
              </w:rPr>
            </w:pPr>
            <w:r w:rsidRPr="0094646D">
              <w:rPr>
                <w:iCs/>
                <w:color w:val="000000"/>
                <w:sz w:val="18"/>
                <w:szCs w:val="18"/>
              </w:rPr>
              <w:t>Estimated weighted average hourly rate including benefits (1.5 x average hourly rate)</w:t>
            </w:r>
          </w:p>
        </w:tc>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rsidR="0015045A" w:rsidRPr="0094646D" w:rsidRDefault="0015045A" w:rsidP="0015045A">
            <w:pPr>
              <w:spacing w:after="120"/>
              <w:jc w:val="center"/>
              <w:rPr>
                <w:iCs/>
                <w:color w:val="000000"/>
                <w:sz w:val="18"/>
                <w:szCs w:val="18"/>
              </w:rPr>
            </w:pPr>
            <w:r w:rsidRPr="0094646D">
              <w:rPr>
                <w:iCs/>
                <w:color w:val="000000"/>
                <w:sz w:val="18"/>
                <w:szCs w:val="18"/>
              </w:rPr>
              <w:t xml:space="preserve">Percent distribution of Federal </w:t>
            </w:r>
            <w:r>
              <w:rPr>
                <w:iCs/>
                <w:color w:val="000000"/>
                <w:sz w:val="18"/>
                <w:szCs w:val="18"/>
              </w:rPr>
              <w:t>e</w:t>
            </w:r>
            <w:r w:rsidRPr="0094646D">
              <w:rPr>
                <w:iCs/>
                <w:color w:val="000000"/>
                <w:sz w:val="18"/>
                <w:szCs w:val="18"/>
              </w:rPr>
              <w:t>mployee salary/benefit cost</w:t>
            </w:r>
          </w:p>
        </w:tc>
        <w:tc>
          <w:tcPr>
            <w:tcW w:w="1440" w:type="dxa"/>
            <w:tcBorders>
              <w:top w:val="single" w:sz="4" w:space="0" w:color="auto"/>
              <w:left w:val="single" w:sz="6" w:space="0" w:color="000000"/>
              <w:bottom w:val="single" w:sz="6" w:space="0" w:color="000000"/>
              <w:right w:val="single" w:sz="6" w:space="0" w:color="000000"/>
            </w:tcBorders>
            <w:shd w:val="clear" w:color="auto" w:fill="D9D9D9"/>
            <w:vAlign w:val="center"/>
          </w:tcPr>
          <w:p w:rsidR="0015045A" w:rsidRPr="0094646D" w:rsidRDefault="0015045A" w:rsidP="0015045A">
            <w:pPr>
              <w:spacing w:after="120"/>
              <w:jc w:val="center"/>
              <w:rPr>
                <w:iCs/>
                <w:color w:val="000000"/>
                <w:sz w:val="18"/>
                <w:szCs w:val="18"/>
              </w:rPr>
            </w:pPr>
            <w:r w:rsidRPr="0094646D">
              <w:rPr>
                <w:iCs/>
                <w:color w:val="000000"/>
                <w:sz w:val="18"/>
                <w:szCs w:val="18"/>
              </w:rPr>
              <w:t xml:space="preserve">Estimated Federal </w:t>
            </w:r>
            <w:r>
              <w:rPr>
                <w:iCs/>
                <w:color w:val="000000"/>
                <w:sz w:val="18"/>
                <w:szCs w:val="18"/>
              </w:rPr>
              <w:t>e</w:t>
            </w:r>
            <w:r w:rsidRPr="0094646D">
              <w:rPr>
                <w:iCs/>
                <w:color w:val="000000"/>
                <w:sz w:val="18"/>
                <w:szCs w:val="18"/>
              </w:rPr>
              <w:t>mployee salary/benefit annualized costs</w:t>
            </w:r>
          </w:p>
        </w:tc>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rsidR="0015045A" w:rsidRPr="000A34D1" w:rsidRDefault="0015045A" w:rsidP="0015045A">
            <w:pPr>
              <w:jc w:val="center"/>
            </w:pPr>
            <w:r w:rsidRPr="000A34D1">
              <w:t>Estimated Federal employee Hours (annualized)</w:t>
            </w:r>
          </w:p>
        </w:tc>
      </w:tr>
      <w:tr w:rsidR="0015045A" w:rsidRPr="0094646D" w:rsidTr="0015045A">
        <w:tc>
          <w:tcPr>
            <w:tcW w:w="1260" w:type="dxa"/>
            <w:tcBorders>
              <w:top w:val="single" w:sz="6" w:space="0" w:color="000000"/>
              <w:left w:val="single" w:sz="6" w:space="0" w:color="000000"/>
              <w:bottom w:val="single" w:sz="6" w:space="0" w:color="000000"/>
              <w:right w:val="single" w:sz="6" w:space="0" w:color="000000"/>
            </w:tcBorders>
          </w:tcPr>
          <w:p w:rsidR="0015045A" w:rsidRPr="0094646D" w:rsidRDefault="0015045A" w:rsidP="0015045A">
            <w:pPr>
              <w:spacing w:after="120"/>
              <w:rPr>
                <w:color w:val="000000"/>
                <w:sz w:val="18"/>
                <w:szCs w:val="18"/>
              </w:rPr>
            </w:pPr>
            <w:r w:rsidRPr="0094646D">
              <w:rPr>
                <w:color w:val="000000"/>
                <w:sz w:val="18"/>
                <w:szCs w:val="18"/>
              </w:rPr>
              <w:t>Commodity Specialists</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15045A" w:rsidP="0015045A">
            <w:pPr>
              <w:spacing w:after="120"/>
              <w:jc w:val="center"/>
              <w:rPr>
                <w:color w:val="000000"/>
                <w:sz w:val="18"/>
                <w:szCs w:val="18"/>
              </w:rPr>
            </w:pPr>
            <w:r w:rsidRPr="0094646D">
              <w:rPr>
                <w:color w:val="000000"/>
                <w:sz w:val="18"/>
                <w:szCs w:val="18"/>
              </w:rPr>
              <w:t>GS-13/8</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8D54AF" w:rsidRDefault="00DA390A" w:rsidP="0015045A">
            <w:pPr>
              <w:spacing w:after="120"/>
              <w:jc w:val="center"/>
              <w:rPr>
                <w:sz w:val="18"/>
                <w:szCs w:val="18"/>
              </w:rPr>
            </w:pPr>
            <w:r w:rsidRPr="008D54AF">
              <w:rPr>
                <w:sz w:val="18"/>
                <w:szCs w:val="18"/>
              </w:rPr>
              <w:t>15</w:t>
            </w:r>
            <w:r w:rsidR="0015045A" w:rsidRPr="008D54AF">
              <w:rPr>
                <w:sz w:val="18"/>
                <w:szCs w:val="18"/>
              </w:rPr>
              <w:t>%</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B80634" w:rsidP="0015045A">
            <w:pPr>
              <w:spacing w:after="120"/>
              <w:jc w:val="center"/>
              <w:rPr>
                <w:color w:val="000000"/>
                <w:sz w:val="18"/>
                <w:szCs w:val="18"/>
              </w:rPr>
            </w:pPr>
            <w:r>
              <w:rPr>
                <w:color w:val="000000"/>
                <w:sz w:val="18"/>
                <w:szCs w:val="18"/>
              </w:rPr>
              <w:t>$78.92</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CC79FF" w:rsidP="0015045A">
            <w:pPr>
              <w:spacing w:after="120"/>
              <w:jc w:val="center"/>
              <w:rPr>
                <w:color w:val="000000"/>
                <w:sz w:val="18"/>
                <w:szCs w:val="18"/>
              </w:rPr>
            </w:pPr>
            <w:r>
              <w:rPr>
                <w:color w:val="000000"/>
                <w:sz w:val="18"/>
                <w:szCs w:val="18"/>
              </w:rPr>
              <w:t>$26</w:t>
            </w:r>
            <w:r w:rsidR="00297B88">
              <w:rPr>
                <w:color w:val="000000"/>
                <w:sz w:val="18"/>
                <w:szCs w:val="18"/>
              </w:rPr>
              <w:t>.</w:t>
            </w:r>
            <w:r>
              <w:rPr>
                <w:color w:val="000000"/>
                <w:sz w:val="18"/>
                <w:szCs w:val="18"/>
              </w:rPr>
              <w:t>52</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6E612B" w:rsidP="0015045A">
            <w:pPr>
              <w:spacing w:after="120"/>
              <w:jc w:val="center"/>
              <w:rPr>
                <w:color w:val="000000"/>
                <w:sz w:val="18"/>
                <w:szCs w:val="18"/>
              </w:rPr>
            </w:pPr>
            <w:r>
              <w:rPr>
                <w:color w:val="000000"/>
                <w:sz w:val="18"/>
                <w:szCs w:val="18"/>
              </w:rPr>
              <w:t>49.2</w:t>
            </w:r>
            <w:r w:rsidR="0015045A" w:rsidRPr="0094646D">
              <w:rPr>
                <w:color w:val="000000"/>
                <w:sz w:val="18"/>
                <w:szCs w:val="18"/>
              </w:rPr>
              <w:t xml:space="preserve">% </w:t>
            </w:r>
          </w:p>
        </w:tc>
        <w:tc>
          <w:tcPr>
            <w:tcW w:w="144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DA1EDF" w:rsidP="0015045A">
            <w:pPr>
              <w:widowControl/>
              <w:autoSpaceDE/>
              <w:autoSpaceDN/>
              <w:adjustRightInd/>
              <w:jc w:val="center"/>
              <w:rPr>
                <w:sz w:val="18"/>
                <w:szCs w:val="18"/>
              </w:rPr>
            </w:pPr>
            <w:r>
              <w:rPr>
                <w:sz w:val="18"/>
                <w:szCs w:val="18"/>
              </w:rPr>
              <w:t>$494,2</w:t>
            </w:r>
            <w:r w:rsidR="009B17AC">
              <w:rPr>
                <w:sz w:val="18"/>
                <w:szCs w:val="18"/>
              </w:rPr>
              <w:t>00</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8F12B1" w:rsidP="0015045A">
            <w:pPr>
              <w:widowControl/>
              <w:autoSpaceDE/>
              <w:autoSpaceDN/>
              <w:adjustRightInd/>
              <w:jc w:val="center"/>
              <w:rPr>
                <w:sz w:val="18"/>
                <w:szCs w:val="18"/>
              </w:rPr>
            </w:pPr>
            <w:r>
              <w:rPr>
                <w:sz w:val="18"/>
                <w:szCs w:val="18"/>
              </w:rPr>
              <w:t>6,260</w:t>
            </w:r>
          </w:p>
        </w:tc>
      </w:tr>
      <w:tr w:rsidR="0015045A" w:rsidRPr="0094646D" w:rsidTr="0015045A">
        <w:trPr>
          <w:trHeight w:val="300"/>
        </w:trPr>
        <w:tc>
          <w:tcPr>
            <w:tcW w:w="1260" w:type="dxa"/>
            <w:tcBorders>
              <w:top w:val="single" w:sz="6" w:space="0" w:color="000000"/>
              <w:left w:val="single" w:sz="6" w:space="0" w:color="000000"/>
              <w:bottom w:val="single" w:sz="6" w:space="0" w:color="000000"/>
              <w:right w:val="single" w:sz="6" w:space="0" w:color="000000"/>
            </w:tcBorders>
          </w:tcPr>
          <w:p w:rsidR="0015045A" w:rsidRPr="0094646D" w:rsidRDefault="0015045A" w:rsidP="0015045A">
            <w:pPr>
              <w:spacing w:after="120"/>
              <w:rPr>
                <w:color w:val="000000"/>
                <w:sz w:val="18"/>
                <w:szCs w:val="18"/>
              </w:rPr>
            </w:pPr>
            <w:r w:rsidRPr="0094646D">
              <w:rPr>
                <w:color w:val="000000"/>
                <w:sz w:val="18"/>
                <w:szCs w:val="18"/>
              </w:rPr>
              <w:t>Statistical Assistants</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15045A" w:rsidP="0015045A">
            <w:pPr>
              <w:spacing w:after="120"/>
              <w:jc w:val="center"/>
              <w:rPr>
                <w:color w:val="000000"/>
                <w:sz w:val="18"/>
                <w:szCs w:val="18"/>
              </w:rPr>
            </w:pPr>
            <w:r w:rsidRPr="0094646D">
              <w:rPr>
                <w:color w:val="000000"/>
                <w:sz w:val="18"/>
                <w:szCs w:val="18"/>
              </w:rPr>
              <w:t>GS-6/3</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8D54AF" w:rsidRDefault="00DA390A" w:rsidP="0015045A">
            <w:pPr>
              <w:spacing w:after="120"/>
              <w:jc w:val="center"/>
              <w:rPr>
                <w:sz w:val="18"/>
                <w:szCs w:val="18"/>
              </w:rPr>
            </w:pPr>
            <w:r w:rsidRPr="008D54AF">
              <w:rPr>
                <w:sz w:val="18"/>
                <w:szCs w:val="18"/>
              </w:rPr>
              <w:t>7</w:t>
            </w:r>
            <w:r w:rsidR="00654A4D" w:rsidRPr="008D54AF">
              <w:rPr>
                <w:sz w:val="18"/>
                <w:szCs w:val="18"/>
              </w:rPr>
              <w:t>0</w:t>
            </w:r>
            <w:r w:rsidR="002D7A18" w:rsidRPr="008D54AF">
              <w:rPr>
                <w:sz w:val="18"/>
                <w:szCs w:val="18"/>
              </w:rPr>
              <w:t>%</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D7A18" w:rsidP="0015045A">
            <w:pPr>
              <w:spacing w:after="120"/>
              <w:jc w:val="center"/>
              <w:rPr>
                <w:color w:val="000000"/>
                <w:sz w:val="18"/>
                <w:szCs w:val="18"/>
              </w:rPr>
            </w:pPr>
            <w:r>
              <w:rPr>
                <w:color w:val="000000"/>
                <w:sz w:val="18"/>
                <w:szCs w:val="18"/>
              </w:rPr>
              <w:t>$</w:t>
            </w:r>
            <w:r w:rsidR="00B80634">
              <w:rPr>
                <w:color w:val="000000"/>
                <w:sz w:val="18"/>
                <w:szCs w:val="18"/>
              </w:rPr>
              <w:t>29.12</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D7A18" w:rsidP="0015045A">
            <w:pPr>
              <w:spacing w:after="120"/>
              <w:jc w:val="center"/>
              <w:rPr>
                <w:color w:val="000000"/>
                <w:sz w:val="18"/>
                <w:szCs w:val="18"/>
              </w:rPr>
            </w:pPr>
            <w:r>
              <w:rPr>
                <w:color w:val="000000"/>
                <w:sz w:val="18"/>
                <w:szCs w:val="18"/>
              </w:rPr>
              <w:t>$</w:t>
            </w:r>
            <w:r w:rsidR="00CC79FF">
              <w:rPr>
                <w:color w:val="000000"/>
                <w:sz w:val="18"/>
                <w:szCs w:val="18"/>
              </w:rPr>
              <w:t>14</w:t>
            </w:r>
            <w:r w:rsidR="00297B88">
              <w:rPr>
                <w:color w:val="000000"/>
                <w:sz w:val="18"/>
                <w:szCs w:val="18"/>
              </w:rPr>
              <w:t>.</w:t>
            </w:r>
            <w:r w:rsidR="00CC79FF">
              <w:rPr>
                <w:color w:val="000000"/>
                <w:sz w:val="18"/>
                <w:szCs w:val="18"/>
              </w:rPr>
              <w:t>56</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6E612B" w:rsidP="0015045A">
            <w:pPr>
              <w:spacing w:after="120"/>
              <w:jc w:val="center"/>
              <w:rPr>
                <w:color w:val="000000"/>
                <w:sz w:val="18"/>
                <w:szCs w:val="18"/>
              </w:rPr>
            </w:pPr>
            <w:r>
              <w:rPr>
                <w:color w:val="000000"/>
                <w:sz w:val="18"/>
                <w:szCs w:val="18"/>
              </w:rPr>
              <w:t>27</w:t>
            </w:r>
            <w:r w:rsidR="003D370D">
              <w:rPr>
                <w:color w:val="000000"/>
                <w:sz w:val="18"/>
                <w:szCs w:val="18"/>
              </w:rPr>
              <w:t>.</w:t>
            </w:r>
            <w:r>
              <w:rPr>
                <w:color w:val="000000"/>
                <w:sz w:val="18"/>
                <w:szCs w:val="18"/>
              </w:rPr>
              <w:t>0</w:t>
            </w:r>
            <w:r w:rsidR="002D7A18" w:rsidRPr="008D54AF">
              <w:rPr>
                <w:sz w:val="18"/>
                <w:szCs w:val="18"/>
              </w:rPr>
              <w:t>%</w:t>
            </w:r>
          </w:p>
        </w:tc>
        <w:tc>
          <w:tcPr>
            <w:tcW w:w="144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D7A18" w:rsidP="0015045A">
            <w:pPr>
              <w:widowControl/>
              <w:autoSpaceDE/>
              <w:autoSpaceDN/>
              <w:adjustRightInd/>
              <w:jc w:val="center"/>
              <w:rPr>
                <w:sz w:val="18"/>
                <w:szCs w:val="18"/>
              </w:rPr>
            </w:pPr>
            <w:r>
              <w:rPr>
                <w:color w:val="000000"/>
                <w:sz w:val="18"/>
                <w:szCs w:val="18"/>
              </w:rPr>
              <w:t>$</w:t>
            </w:r>
            <w:r w:rsidR="00DA1EDF">
              <w:rPr>
                <w:sz w:val="18"/>
                <w:szCs w:val="18"/>
              </w:rPr>
              <w:t>271,3</w:t>
            </w:r>
            <w:r w:rsidR="0015045A" w:rsidRPr="0094646D">
              <w:rPr>
                <w:sz w:val="18"/>
                <w:szCs w:val="18"/>
              </w:rPr>
              <w:t>00</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8F12B1" w:rsidP="0015045A">
            <w:pPr>
              <w:widowControl/>
              <w:autoSpaceDE/>
              <w:autoSpaceDN/>
              <w:adjustRightInd/>
              <w:jc w:val="center"/>
              <w:rPr>
                <w:sz w:val="18"/>
                <w:szCs w:val="18"/>
              </w:rPr>
            </w:pPr>
            <w:r>
              <w:rPr>
                <w:sz w:val="18"/>
                <w:szCs w:val="18"/>
              </w:rPr>
              <w:t>9,320</w:t>
            </w:r>
          </w:p>
        </w:tc>
      </w:tr>
      <w:tr w:rsidR="0015045A" w:rsidRPr="0094646D" w:rsidTr="0015045A">
        <w:tc>
          <w:tcPr>
            <w:tcW w:w="1260" w:type="dxa"/>
            <w:tcBorders>
              <w:top w:val="single" w:sz="6" w:space="0" w:color="000000"/>
              <w:left w:val="single" w:sz="6" w:space="0" w:color="000000"/>
              <w:bottom w:val="single" w:sz="6" w:space="0" w:color="000000"/>
              <w:right w:val="single" w:sz="6" w:space="0" w:color="000000"/>
            </w:tcBorders>
          </w:tcPr>
          <w:p w:rsidR="0015045A" w:rsidRPr="0094646D" w:rsidRDefault="0015045A" w:rsidP="0015045A">
            <w:pPr>
              <w:spacing w:after="120"/>
              <w:rPr>
                <w:color w:val="000000"/>
                <w:sz w:val="18"/>
                <w:szCs w:val="18"/>
              </w:rPr>
            </w:pPr>
            <w:r w:rsidRPr="0094646D">
              <w:rPr>
                <w:color w:val="000000"/>
                <w:sz w:val="18"/>
                <w:szCs w:val="18"/>
              </w:rPr>
              <w:t>Computer Specialists</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15045A" w:rsidP="0015045A">
            <w:pPr>
              <w:spacing w:after="120"/>
              <w:jc w:val="center"/>
              <w:rPr>
                <w:color w:val="000000"/>
                <w:sz w:val="18"/>
                <w:szCs w:val="18"/>
              </w:rPr>
            </w:pPr>
            <w:r w:rsidRPr="0094646D">
              <w:rPr>
                <w:color w:val="000000"/>
                <w:sz w:val="18"/>
                <w:szCs w:val="18"/>
              </w:rPr>
              <w:t>GS-13/8</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8D54AF" w:rsidRDefault="00DA390A" w:rsidP="0015045A">
            <w:pPr>
              <w:spacing w:after="120"/>
              <w:jc w:val="center"/>
              <w:rPr>
                <w:sz w:val="18"/>
                <w:szCs w:val="18"/>
              </w:rPr>
            </w:pPr>
            <w:r w:rsidRPr="008D54AF">
              <w:rPr>
                <w:sz w:val="18"/>
                <w:szCs w:val="18"/>
              </w:rPr>
              <w:t>5</w:t>
            </w:r>
            <w:r w:rsidR="002D7A18" w:rsidRPr="008D54AF">
              <w:rPr>
                <w:sz w:val="18"/>
                <w:szCs w:val="18"/>
              </w:rPr>
              <w:t>%</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D7A18" w:rsidP="0015045A">
            <w:pPr>
              <w:spacing w:after="120"/>
              <w:jc w:val="center"/>
              <w:rPr>
                <w:color w:val="000000"/>
                <w:sz w:val="18"/>
                <w:szCs w:val="18"/>
              </w:rPr>
            </w:pPr>
            <w:r>
              <w:rPr>
                <w:color w:val="000000"/>
                <w:sz w:val="18"/>
                <w:szCs w:val="18"/>
              </w:rPr>
              <w:t>$</w:t>
            </w:r>
            <w:r w:rsidR="00B80634">
              <w:rPr>
                <w:color w:val="000000"/>
                <w:sz w:val="18"/>
                <w:szCs w:val="18"/>
              </w:rPr>
              <w:t>78.92</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D7A18" w:rsidP="0015045A">
            <w:pPr>
              <w:spacing w:after="120"/>
              <w:jc w:val="center"/>
              <w:rPr>
                <w:color w:val="000000"/>
                <w:sz w:val="18"/>
                <w:szCs w:val="18"/>
              </w:rPr>
            </w:pPr>
            <w:r>
              <w:rPr>
                <w:color w:val="000000"/>
                <w:sz w:val="18"/>
                <w:szCs w:val="18"/>
              </w:rPr>
              <w:t>$</w:t>
            </w:r>
            <w:r w:rsidR="0015045A" w:rsidRPr="0094646D">
              <w:rPr>
                <w:color w:val="000000"/>
                <w:sz w:val="18"/>
                <w:szCs w:val="18"/>
              </w:rPr>
              <w:t>3.</w:t>
            </w:r>
            <w:r w:rsidR="00297B88">
              <w:rPr>
                <w:color w:val="000000"/>
                <w:sz w:val="18"/>
                <w:szCs w:val="18"/>
              </w:rPr>
              <w:t>95</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6E612B" w:rsidP="0015045A">
            <w:pPr>
              <w:spacing w:after="120"/>
              <w:jc w:val="center"/>
              <w:rPr>
                <w:color w:val="000000"/>
                <w:sz w:val="18"/>
                <w:szCs w:val="18"/>
              </w:rPr>
            </w:pPr>
            <w:r>
              <w:rPr>
                <w:color w:val="000000"/>
                <w:sz w:val="18"/>
                <w:szCs w:val="18"/>
              </w:rPr>
              <w:t>7.3</w:t>
            </w:r>
            <w:r w:rsidR="002D7A18" w:rsidRPr="008D54AF">
              <w:rPr>
                <w:sz w:val="18"/>
                <w:szCs w:val="18"/>
              </w:rPr>
              <w:t>%</w:t>
            </w:r>
          </w:p>
        </w:tc>
        <w:tc>
          <w:tcPr>
            <w:tcW w:w="144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D7A18" w:rsidP="00DA1EDF">
            <w:pPr>
              <w:widowControl/>
              <w:autoSpaceDE/>
              <w:autoSpaceDN/>
              <w:adjustRightInd/>
              <w:jc w:val="center"/>
              <w:rPr>
                <w:sz w:val="18"/>
                <w:szCs w:val="18"/>
              </w:rPr>
            </w:pPr>
            <w:r>
              <w:rPr>
                <w:color w:val="000000"/>
                <w:sz w:val="18"/>
                <w:szCs w:val="18"/>
              </w:rPr>
              <w:t>$</w:t>
            </w:r>
            <w:r w:rsidR="00DA1EDF">
              <w:rPr>
                <w:sz w:val="18"/>
                <w:szCs w:val="18"/>
              </w:rPr>
              <w:t>73,500</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8F12B1" w:rsidP="0015045A">
            <w:pPr>
              <w:widowControl/>
              <w:autoSpaceDE/>
              <w:autoSpaceDN/>
              <w:adjustRightInd/>
              <w:jc w:val="center"/>
              <w:rPr>
                <w:sz w:val="18"/>
                <w:szCs w:val="18"/>
              </w:rPr>
            </w:pPr>
            <w:r>
              <w:rPr>
                <w:sz w:val="18"/>
                <w:szCs w:val="18"/>
              </w:rPr>
              <w:t>930</w:t>
            </w:r>
          </w:p>
        </w:tc>
      </w:tr>
      <w:tr w:rsidR="0015045A" w:rsidRPr="0094646D" w:rsidTr="0015045A">
        <w:tc>
          <w:tcPr>
            <w:tcW w:w="1260" w:type="dxa"/>
            <w:tcBorders>
              <w:top w:val="single" w:sz="6" w:space="0" w:color="000000"/>
              <w:left w:val="single" w:sz="6" w:space="0" w:color="000000"/>
              <w:bottom w:val="single" w:sz="6" w:space="0" w:color="000000"/>
              <w:right w:val="single" w:sz="6" w:space="0" w:color="000000"/>
            </w:tcBorders>
          </w:tcPr>
          <w:p w:rsidR="0015045A" w:rsidRPr="0094646D" w:rsidRDefault="0015045A" w:rsidP="0015045A">
            <w:pPr>
              <w:spacing w:after="120"/>
              <w:rPr>
                <w:color w:val="000000"/>
                <w:sz w:val="18"/>
                <w:szCs w:val="18"/>
              </w:rPr>
            </w:pPr>
            <w:r w:rsidRPr="0094646D">
              <w:rPr>
                <w:color w:val="000000"/>
                <w:sz w:val="18"/>
                <w:szCs w:val="18"/>
              </w:rPr>
              <w:t>Editors</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15045A" w:rsidP="0015045A">
            <w:pPr>
              <w:spacing w:after="120"/>
              <w:jc w:val="center"/>
              <w:rPr>
                <w:color w:val="000000"/>
                <w:sz w:val="18"/>
                <w:szCs w:val="18"/>
              </w:rPr>
            </w:pPr>
            <w:r w:rsidRPr="0094646D">
              <w:rPr>
                <w:color w:val="000000"/>
                <w:sz w:val="18"/>
                <w:szCs w:val="18"/>
              </w:rPr>
              <w:t>GS-12/ 8</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8D54AF" w:rsidRDefault="00DA390A" w:rsidP="0015045A">
            <w:pPr>
              <w:spacing w:after="120"/>
              <w:jc w:val="center"/>
              <w:rPr>
                <w:sz w:val="18"/>
                <w:szCs w:val="18"/>
              </w:rPr>
            </w:pPr>
            <w:r w:rsidRPr="008D54AF">
              <w:rPr>
                <w:sz w:val="18"/>
                <w:szCs w:val="18"/>
              </w:rPr>
              <w:t>4.5</w:t>
            </w:r>
            <w:r w:rsidR="002D7A18" w:rsidRPr="008D54AF">
              <w:rPr>
                <w:sz w:val="18"/>
                <w:szCs w:val="18"/>
              </w:rPr>
              <w:t>%</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D7A18" w:rsidP="0015045A">
            <w:pPr>
              <w:spacing w:after="120"/>
              <w:jc w:val="center"/>
              <w:rPr>
                <w:color w:val="000000"/>
                <w:sz w:val="18"/>
                <w:szCs w:val="18"/>
              </w:rPr>
            </w:pPr>
            <w:r>
              <w:rPr>
                <w:color w:val="000000"/>
                <w:sz w:val="18"/>
                <w:szCs w:val="18"/>
              </w:rPr>
              <w:t>$</w:t>
            </w:r>
            <w:r w:rsidR="00B80634">
              <w:rPr>
                <w:color w:val="000000"/>
                <w:sz w:val="18"/>
                <w:szCs w:val="18"/>
              </w:rPr>
              <w:t>66.38</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D7A18" w:rsidP="0015045A">
            <w:pPr>
              <w:spacing w:after="120"/>
              <w:jc w:val="center"/>
              <w:rPr>
                <w:color w:val="000000"/>
                <w:sz w:val="18"/>
                <w:szCs w:val="18"/>
              </w:rPr>
            </w:pPr>
            <w:r>
              <w:rPr>
                <w:color w:val="000000"/>
                <w:sz w:val="18"/>
                <w:szCs w:val="18"/>
              </w:rPr>
              <w:t>$</w:t>
            </w:r>
            <w:r w:rsidR="00CC79FF">
              <w:rPr>
                <w:color w:val="000000"/>
                <w:sz w:val="18"/>
                <w:szCs w:val="18"/>
              </w:rPr>
              <w:t>3</w:t>
            </w:r>
            <w:r w:rsidR="00297B88">
              <w:rPr>
                <w:color w:val="000000"/>
                <w:sz w:val="18"/>
                <w:szCs w:val="18"/>
              </w:rPr>
              <w:t>.</w:t>
            </w:r>
            <w:r w:rsidR="00CC79FF">
              <w:rPr>
                <w:color w:val="000000"/>
                <w:sz w:val="18"/>
                <w:szCs w:val="18"/>
              </w:rPr>
              <w:t>32</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3D370D" w:rsidP="0015045A">
            <w:pPr>
              <w:spacing w:after="120"/>
              <w:jc w:val="center"/>
              <w:rPr>
                <w:color w:val="000000"/>
                <w:sz w:val="18"/>
                <w:szCs w:val="18"/>
              </w:rPr>
            </w:pPr>
            <w:r>
              <w:rPr>
                <w:color w:val="000000"/>
                <w:sz w:val="18"/>
                <w:szCs w:val="18"/>
              </w:rPr>
              <w:t>6.</w:t>
            </w:r>
            <w:r w:rsidR="006E612B">
              <w:rPr>
                <w:color w:val="000000"/>
                <w:sz w:val="18"/>
                <w:szCs w:val="18"/>
              </w:rPr>
              <w:t>2</w:t>
            </w:r>
            <w:r w:rsidR="002D7A18" w:rsidRPr="008D54AF">
              <w:rPr>
                <w:sz w:val="18"/>
                <w:szCs w:val="18"/>
              </w:rPr>
              <w:t>%</w:t>
            </w:r>
          </w:p>
        </w:tc>
        <w:tc>
          <w:tcPr>
            <w:tcW w:w="144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D7A18" w:rsidP="0015045A">
            <w:pPr>
              <w:widowControl/>
              <w:autoSpaceDE/>
              <w:autoSpaceDN/>
              <w:adjustRightInd/>
              <w:jc w:val="center"/>
              <w:rPr>
                <w:sz w:val="18"/>
                <w:szCs w:val="18"/>
              </w:rPr>
            </w:pPr>
            <w:r>
              <w:rPr>
                <w:color w:val="000000"/>
                <w:sz w:val="18"/>
                <w:szCs w:val="18"/>
              </w:rPr>
              <w:t>$</w:t>
            </w:r>
            <w:r w:rsidR="00DA1EDF">
              <w:rPr>
                <w:sz w:val="18"/>
                <w:szCs w:val="18"/>
              </w:rPr>
              <w:t>61,900</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8F12B1" w:rsidP="0015045A">
            <w:pPr>
              <w:widowControl/>
              <w:autoSpaceDE/>
              <w:autoSpaceDN/>
              <w:adjustRightInd/>
              <w:jc w:val="center"/>
              <w:rPr>
                <w:sz w:val="18"/>
                <w:szCs w:val="18"/>
              </w:rPr>
            </w:pPr>
            <w:r>
              <w:rPr>
                <w:sz w:val="18"/>
                <w:szCs w:val="18"/>
              </w:rPr>
              <w:t>930</w:t>
            </w:r>
          </w:p>
        </w:tc>
      </w:tr>
      <w:tr w:rsidR="0015045A" w:rsidRPr="0094646D" w:rsidTr="0015045A">
        <w:tc>
          <w:tcPr>
            <w:tcW w:w="1260" w:type="dxa"/>
            <w:tcBorders>
              <w:top w:val="single" w:sz="6" w:space="0" w:color="000000"/>
              <w:left w:val="single" w:sz="6" w:space="0" w:color="000000"/>
              <w:bottom w:val="single" w:sz="6" w:space="0" w:color="000000"/>
              <w:right w:val="single" w:sz="6" w:space="0" w:color="000000"/>
            </w:tcBorders>
          </w:tcPr>
          <w:p w:rsidR="0015045A" w:rsidRPr="0094646D" w:rsidRDefault="0015045A" w:rsidP="0015045A">
            <w:pPr>
              <w:spacing w:after="120"/>
              <w:rPr>
                <w:color w:val="000000"/>
                <w:sz w:val="18"/>
                <w:szCs w:val="18"/>
              </w:rPr>
            </w:pPr>
            <w:r w:rsidRPr="0094646D">
              <w:rPr>
                <w:color w:val="000000"/>
                <w:sz w:val="18"/>
                <w:szCs w:val="18"/>
              </w:rPr>
              <w:t>Mineral Records Administrator</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15045A" w:rsidP="0015045A">
            <w:pPr>
              <w:spacing w:after="120"/>
              <w:jc w:val="center"/>
              <w:rPr>
                <w:color w:val="000000"/>
                <w:sz w:val="18"/>
                <w:szCs w:val="18"/>
              </w:rPr>
            </w:pPr>
            <w:r w:rsidRPr="0094646D">
              <w:rPr>
                <w:color w:val="000000"/>
                <w:sz w:val="18"/>
                <w:szCs w:val="18"/>
              </w:rPr>
              <w:t>GS-12/8</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8D54AF" w:rsidRDefault="00E5492A" w:rsidP="0015045A">
            <w:pPr>
              <w:spacing w:after="120"/>
              <w:jc w:val="center"/>
              <w:rPr>
                <w:sz w:val="18"/>
                <w:szCs w:val="18"/>
              </w:rPr>
            </w:pPr>
            <w:r w:rsidRPr="008D54AF">
              <w:rPr>
                <w:sz w:val="18"/>
                <w:szCs w:val="18"/>
              </w:rPr>
              <w:t>1.</w:t>
            </w:r>
            <w:r w:rsidR="00DA390A" w:rsidRPr="008D54AF">
              <w:rPr>
                <w:sz w:val="18"/>
                <w:szCs w:val="18"/>
              </w:rPr>
              <w:t>5</w:t>
            </w:r>
            <w:r w:rsidR="002D7A18" w:rsidRPr="008D54AF">
              <w:rPr>
                <w:sz w:val="18"/>
                <w:szCs w:val="18"/>
              </w:rPr>
              <w:t>%</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D7A18" w:rsidP="0015045A">
            <w:pPr>
              <w:spacing w:after="120"/>
              <w:jc w:val="center"/>
              <w:rPr>
                <w:color w:val="000000"/>
                <w:sz w:val="18"/>
                <w:szCs w:val="18"/>
              </w:rPr>
            </w:pPr>
            <w:r>
              <w:rPr>
                <w:color w:val="000000"/>
                <w:sz w:val="18"/>
                <w:szCs w:val="18"/>
              </w:rPr>
              <w:t>$</w:t>
            </w:r>
            <w:r w:rsidR="00B80634">
              <w:rPr>
                <w:color w:val="000000"/>
                <w:sz w:val="18"/>
                <w:szCs w:val="18"/>
              </w:rPr>
              <w:t>66.38</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D7A18" w:rsidP="0015045A">
            <w:pPr>
              <w:spacing w:after="120"/>
              <w:jc w:val="center"/>
              <w:rPr>
                <w:color w:val="000000"/>
                <w:sz w:val="18"/>
                <w:szCs w:val="18"/>
              </w:rPr>
            </w:pPr>
            <w:r>
              <w:rPr>
                <w:color w:val="000000"/>
                <w:sz w:val="18"/>
                <w:szCs w:val="18"/>
              </w:rPr>
              <w:t>$</w:t>
            </w:r>
            <w:r w:rsidR="00CC79FF">
              <w:rPr>
                <w:color w:val="000000"/>
                <w:sz w:val="18"/>
                <w:szCs w:val="18"/>
              </w:rPr>
              <w:t>0</w:t>
            </w:r>
            <w:r w:rsidR="00297B88">
              <w:rPr>
                <w:color w:val="000000"/>
                <w:sz w:val="18"/>
                <w:szCs w:val="18"/>
              </w:rPr>
              <w:t>.</w:t>
            </w:r>
            <w:r w:rsidR="00CC79FF">
              <w:rPr>
                <w:color w:val="000000"/>
                <w:sz w:val="18"/>
                <w:szCs w:val="18"/>
              </w:rPr>
              <w:t>93</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6E612B" w:rsidP="0015045A">
            <w:pPr>
              <w:spacing w:after="120"/>
              <w:jc w:val="center"/>
              <w:rPr>
                <w:color w:val="000000"/>
                <w:sz w:val="18"/>
                <w:szCs w:val="18"/>
              </w:rPr>
            </w:pPr>
            <w:r>
              <w:rPr>
                <w:color w:val="000000"/>
                <w:sz w:val="18"/>
                <w:szCs w:val="18"/>
              </w:rPr>
              <w:t>1</w:t>
            </w:r>
            <w:r w:rsidR="003D370D">
              <w:rPr>
                <w:color w:val="000000"/>
                <w:sz w:val="18"/>
                <w:szCs w:val="18"/>
              </w:rPr>
              <w:t>.</w:t>
            </w:r>
            <w:r>
              <w:rPr>
                <w:color w:val="000000"/>
                <w:sz w:val="18"/>
                <w:szCs w:val="18"/>
              </w:rPr>
              <w:t>7</w:t>
            </w:r>
            <w:r w:rsidR="002D7A18" w:rsidRPr="008D54AF">
              <w:rPr>
                <w:sz w:val="18"/>
                <w:szCs w:val="18"/>
              </w:rPr>
              <w:t>%</w:t>
            </w:r>
          </w:p>
        </w:tc>
        <w:tc>
          <w:tcPr>
            <w:tcW w:w="144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2D7A18" w:rsidP="0015045A">
            <w:pPr>
              <w:widowControl/>
              <w:autoSpaceDE/>
              <w:autoSpaceDN/>
              <w:adjustRightInd/>
              <w:jc w:val="center"/>
              <w:rPr>
                <w:sz w:val="18"/>
                <w:szCs w:val="18"/>
              </w:rPr>
            </w:pPr>
            <w:r>
              <w:rPr>
                <w:color w:val="000000"/>
                <w:sz w:val="18"/>
                <w:szCs w:val="18"/>
              </w:rPr>
              <w:t>$</w:t>
            </w:r>
            <w:r w:rsidR="00DA1EDF">
              <w:rPr>
                <w:sz w:val="18"/>
                <w:szCs w:val="18"/>
              </w:rPr>
              <w:t>17,300</w:t>
            </w:r>
          </w:p>
        </w:tc>
        <w:tc>
          <w:tcPr>
            <w:tcW w:w="1260" w:type="dxa"/>
            <w:tcBorders>
              <w:top w:val="single" w:sz="6" w:space="0" w:color="000000"/>
              <w:left w:val="single" w:sz="6" w:space="0" w:color="000000"/>
              <w:bottom w:val="single" w:sz="6" w:space="0" w:color="000000"/>
              <w:right w:val="single" w:sz="6" w:space="0" w:color="000000"/>
            </w:tcBorders>
            <w:vAlign w:val="center"/>
          </w:tcPr>
          <w:p w:rsidR="0015045A" w:rsidRPr="0094646D" w:rsidRDefault="008F12B1" w:rsidP="0015045A">
            <w:pPr>
              <w:widowControl/>
              <w:autoSpaceDE/>
              <w:autoSpaceDN/>
              <w:adjustRightInd/>
              <w:jc w:val="center"/>
              <w:rPr>
                <w:sz w:val="18"/>
                <w:szCs w:val="18"/>
              </w:rPr>
            </w:pPr>
            <w:r>
              <w:rPr>
                <w:sz w:val="18"/>
                <w:szCs w:val="18"/>
              </w:rPr>
              <w:t>260</w:t>
            </w:r>
          </w:p>
        </w:tc>
      </w:tr>
      <w:tr w:rsidR="0015045A" w:rsidRPr="0094646D" w:rsidTr="0015045A">
        <w:trPr>
          <w:trHeight w:val="282"/>
        </w:trPr>
        <w:tc>
          <w:tcPr>
            <w:tcW w:w="1260" w:type="dxa"/>
            <w:tcBorders>
              <w:top w:val="single" w:sz="6" w:space="0" w:color="000000"/>
              <w:left w:val="single" w:sz="6" w:space="0" w:color="000000"/>
              <w:bottom w:val="single" w:sz="4" w:space="0" w:color="auto"/>
              <w:right w:val="single" w:sz="6" w:space="0" w:color="000000"/>
            </w:tcBorders>
          </w:tcPr>
          <w:p w:rsidR="0015045A" w:rsidRPr="0094646D" w:rsidRDefault="0015045A" w:rsidP="0015045A">
            <w:pPr>
              <w:spacing w:after="120"/>
              <w:rPr>
                <w:color w:val="000000"/>
                <w:sz w:val="18"/>
                <w:szCs w:val="18"/>
              </w:rPr>
            </w:pPr>
            <w:r w:rsidRPr="0094646D">
              <w:rPr>
                <w:color w:val="000000"/>
                <w:sz w:val="18"/>
                <w:szCs w:val="18"/>
              </w:rPr>
              <w:t>Management</w:t>
            </w:r>
          </w:p>
        </w:tc>
        <w:tc>
          <w:tcPr>
            <w:tcW w:w="1260" w:type="dxa"/>
            <w:tcBorders>
              <w:top w:val="single" w:sz="6" w:space="0" w:color="000000"/>
              <w:left w:val="single" w:sz="6" w:space="0" w:color="000000"/>
              <w:bottom w:val="single" w:sz="4" w:space="0" w:color="auto"/>
              <w:right w:val="single" w:sz="6" w:space="0" w:color="000000"/>
            </w:tcBorders>
            <w:vAlign w:val="center"/>
          </w:tcPr>
          <w:p w:rsidR="0015045A" w:rsidRPr="0094646D" w:rsidRDefault="0015045A" w:rsidP="0015045A">
            <w:pPr>
              <w:spacing w:after="120"/>
              <w:jc w:val="center"/>
              <w:rPr>
                <w:color w:val="000000"/>
                <w:sz w:val="18"/>
                <w:szCs w:val="18"/>
              </w:rPr>
            </w:pPr>
            <w:r w:rsidRPr="0094646D">
              <w:rPr>
                <w:color w:val="000000"/>
                <w:sz w:val="18"/>
                <w:szCs w:val="18"/>
              </w:rPr>
              <w:t>GS-14 /8</w:t>
            </w:r>
          </w:p>
        </w:tc>
        <w:tc>
          <w:tcPr>
            <w:tcW w:w="1260" w:type="dxa"/>
            <w:tcBorders>
              <w:top w:val="single" w:sz="6" w:space="0" w:color="000000"/>
              <w:left w:val="single" w:sz="6" w:space="0" w:color="000000"/>
              <w:bottom w:val="single" w:sz="4" w:space="0" w:color="auto"/>
              <w:right w:val="single" w:sz="6" w:space="0" w:color="000000"/>
            </w:tcBorders>
            <w:vAlign w:val="center"/>
          </w:tcPr>
          <w:p w:rsidR="0015045A" w:rsidRPr="008D54AF" w:rsidRDefault="00DA390A" w:rsidP="0015045A">
            <w:pPr>
              <w:spacing w:after="120"/>
              <w:jc w:val="center"/>
              <w:rPr>
                <w:sz w:val="18"/>
                <w:szCs w:val="18"/>
              </w:rPr>
            </w:pPr>
            <w:r w:rsidRPr="008D54AF">
              <w:rPr>
                <w:sz w:val="18"/>
                <w:szCs w:val="18"/>
              </w:rPr>
              <w:t>4</w:t>
            </w:r>
            <w:r w:rsidR="002D7A18" w:rsidRPr="008D54AF">
              <w:rPr>
                <w:sz w:val="18"/>
                <w:szCs w:val="18"/>
              </w:rPr>
              <w:t>%</w:t>
            </w:r>
          </w:p>
        </w:tc>
        <w:tc>
          <w:tcPr>
            <w:tcW w:w="1260" w:type="dxa"/>
            <w:tcBorders>
              <w:top w:val="single" w:sz="6" w:space="0" w:color="000000"/>
              <w:left w:val="single" w:sz="6" w:space="0" w:color="000000"/>
              <w:bottom w:val="single" w:sz="4" w:space="0" w:color="auto"/>
              <w:right w:val="single" w:sz="6" w:space="0" w:color="000000"/>
            </w:tcBorders>
            <w:vAlign w:val="center"/>
          </w:tcPr>
          <w:p w:rsidR="0015045A" w:rsidRPr="0094646D" w:rsidRDefault="002D7A18" w:rsidP="0015045A">
            <w:pPr>
              <w:spacing w:after="120"/>
              <w:jc w:val="center"/>
              <w:rPr>
                <w:color w:val="000000"/>
                <w:sz w:val="18"/>
                <w:szCs w:val="18"/>
              </w:rPr>
            </w:pPr>
            <w:r>
              <w:rPr>
                <w:color w:val="000000"/>
                <w:sz w:val="18"/>
                <w:szCs w:val="18"/>
              </w:rPr>
              <w:t>$</w:t>
            </w:r>
            <w:r w:rsidR="00B80634">
              <w:rPr>
                <w:color w:val="000000"/>
                <w:sz w:val="18"/>
                <w:szCs w:val="18"/>
              </w:rPr>
              <w:t>93.26</w:t>
            </w:r>
          </w:p>
        </w:tc>
        <w:tc>
          <w:tcPr>
            <w:tcW w:w="1260" w:type="dxa"/>
            <w:tcBorders>
              <w:top w:val="single" w:sz="6" w:space="0" w:color="000000"/>
              <w:left w:val="single" w:sz="6" w:space="0" w:color="000000"/>
              <w:bottom w:val="single" w:sz="4" w:space="0" w:color="auto"/>
              <w:right w:val="single" w:sz="6" w:space="0" w:color="000000"/>
            </w:tcBorders>
            <w:vAlign w:val="center"/>
          </w:tcPr>
          <w:p w:rsidR="0015045A" w:rsidRPr="0094646D" w:rsidRDefault="002D7A18" w:rsidP="0015045A">
            <w:pPr>
              <w:spacing w:after="120"/>
              <w:jc w:val="center"/>
              <w:rPr>
                <w:color w:val="000000"/>
                <w:sz w:val="18"/>
                <w:szCs w:val="18"/>
              </w:rPr>
            </w:pPr>
            <w:r>
              <w:rPr>
                <w:color w:val="000000"/>
                <w:sz w:val="18"/>
                <w:szCs w:val="18"/>
              </w:rPr>
              <w:t>$</w:t>
            </w:r>
            <w:r w:rsidR="00CC79FF">
              <w:rPr>
                <w:color w:val="000000"/>
                <w:sz w:val="18"/>
                <w:szCs w:val="18"/>
              </w:rPr>
              <w:t>4</w:t>
            </w:r>
            <w:r w:rsidR="009B0757">
              <w:rPr>
                <w:color w:val="000000"/>
                <w:sz w:val="18"/>
                <w:szCs w:val="18"/>
              </w:rPr>
              <w:t>.</w:t>
            </w:r>
            <w:r w:rsidR="00CC79FF">
              <w:rPr>
                <w:color w:val="000000"/>
                <w:sz w:val="18"/>
                <w:szCs w:val="18"/>
              </w:rPr>
              <w:t>66</w:t>
            </w:r>
          </w:p>
        </w:tc>
        <w:tc>
          <w:tcPr>
            <w:tcW w:w="1260" w:type="dxa"/>
            <w:tcBorders>
              <w:top w:val="single" w:sz="6" w:space="0" w:color="000000"/>
              <w:left w:val="single" w:sz="6" w:space="0" w:color="000000"/>
              <w:bottom w:val="single" w:sz="4" w:space="0" w:color="auto"/>
              <w:right w:val="single" w:sz="6" w:space="0" w:color="000000"/>
            </w:tcBorders>
            <w:vAlign w:val="center"/>
          </w:tcPr>
          <w:p w:rsidR="0015045A" w:rsidRPr="0094646D" w:rsidRDefault="003D370D" w:rsidP="0015045A">
            <w:pPr>
              <w:spacing w:after="120"/>
              <w:jc w:val="center"/>
              <w:rPr>
                <w:color w:val="000000"/>
                <w:sz w:val="18"/>
                <w:szCs w:val="18"/>
              </w:rPr>
            </w:pPr>
            <w:r>
              <w:rPr>
                <w:color w:val="000000"/>
                <w:sz w:val="18"/>
                <w:szCs w:val="18"/>
              </w:rPr>
              <w:t>8.</w:t>
            </w:r>
            <w:r w:rsidR="006E612B">
              <w:rPr>
                <w:color w:val="000000"/>
                <w:sz w:val="18"/>
                <w:szCs w:val="18"/>
              </w:rPr>
              <w:t>6</w:t>
            </w:r>
            <w:r w:rsidR="002D7A18" w:rsidRPr="008D54AF">
              <w:rPr>
                <w:sz w:val="18"/>
                <w:szCs w:val="18"/>
              </w:rPr>
              <w:t>%</w:t>
            </w:r>
          </w:p>
        </w:tc>
        <w:tc>
          <w:tcPr>
            <w:tcW w:w="1440" w:type="dxa"/>
            <w:tcBorders>
              <w:top w:val="single" w:sz="6" w:space="0" w:color="000000"/>
              <w:left w:val="single" w:sz="6" w:space="0" w:color="000000"/>
              <w:bottom w:val="single" w:sz="4" w:space="0" w:color="auto"/>
              <w:right w:val="single" w:sz="6" w:space="0" w:color="000000"/>
            </w:tcBorders>
            <w:vAlign w:val="center"/>
          </w:tcPr>
          <w:p w:rsidR="0015045A" w:rsidRPr="0094646D" w:rsidRDefault="002D7A18" w:rsidP="0015045A">
            <w:pPr>
              <w:widowControl/>
              <w:autoSpaceDE/>
              <w:autoSpaceDN/>
              <w:adjustRightInd/>
              <w:jc w:val="center"/>
              <w:rPr>
                <w:sz w:val="18"/>
                <w:szCs w:val="18"/>
              </w:rPr>
            </w:pPr>
            <w:r>
              <w:rPr>
                <w:color w:val="000000"/>
                <w:sz w:val="18"/>
                <w:szCs w:val="18"/>
              </w:rPr>
              <w:t>$</w:t>
            </w:r>
            <w:r w:rsidR="00DA1EDF">
              <w:rPr>
                <w:sz w:val="18"/>
                <w:szCs w:val="18"/>
              </w:rPr>
              <w:t>86,900</w:t>
            </w:r>
          </w:p>
        </w:tc>
        <w:tc>
          <w:tcPr>
            <w:tcW w:w="1260" w:type="dxa"/>
            <w:tcBorders>
              <w:top w:val="single" w:sz="6" w:space="0" w:color="000000"/>
              <w:left w:val="single" w:sz="6" w:space="0" w:color="000000"/>
              <w:bottom w:val="single" w:sz="4" w:space="0" w:color="auto"/>
              <w:right w:val="single" w:sz="6" w:space="0" w:color="000000"/>
            </w:tcBorders>
            <w:vAlign w:val="center"/>
          </w:tcPr>
          <w:p w:rsidR="0015045A" w:rsidRPr="0094646D" w:rsidRDefault="008F12B1" w:rsidP="0015045A">
            <w:pPr>
              <w:widowControl/>
              <w:autoSpaceDE/>
              <w:autoSpaceDN/>
              <w:adjustRightInd/>
              <w:jc w:val="center"/>
              <w:rPr>
                <w:sz w:val="18"/>
                <w:szCs w:val="18"/>
              </w:rPr>
            </w:pPr>
            <w:r>
              <w:rPr>
                <w:sz w:val="18"/>
                <w:szCs w:val="18"/>
              </w:rPr>
              <w:t>930</w:t>
            </w:r>
          </w:p>
        </w:tc>
      </w:tr>
      <w:tr w:rsidR="0015045A" w:rsidRPr="0094646D" w:rsidTr="0015045A">
        <w:tc>
          <w:tcPr>
            <w:tcW w:w="10260" w:type="dxa"/>
            <w:gridSpan w:val="8"/>
            <w:tcBorders>
              <w:top w:val="single" w:sz="4" w:space="0" w:color="auto"/>
            </w:tcBorders>
            <w:vAlign w:val="center"/>
          </w:tcPr>
          <w:p w:rsidR="0015045A" w:rsidRPr="0094646D" w:rsidRDefault="0015045A" w:rsidP="0015045A">
            <w:pPr>
              <w:spacing w:after="120"/>
              <w:jc w:val="center"/>
              <w:rPr>
                <w:b/>
                <w:bCs/>
                <w:color w:val="000000"/>
                <w:sz w:val="18"/>
                <w:szCs w:val="18"/>
              </w:rPr>
            </w:pPr>
          </w:p>
        </w:tc>
      </w:tr>
      <w:tr w:rsidR="0015045A" w:rsidRPr="0094646D" w:rsidTr="0015045A">
        <w:tc>
          <w:tcPr>
            <w:tcW w:w="2520" w:type="dxa"/>
            <w:gridSpan w:val="2"/>
            <w:vAlign w:val="center"/>
          </w:tcPr>
          <w:p w:rsidR="0015045A" w:rsidRPr="0094646D" w:rsidRDefault="0015045A" w:rsidP="0015045A">
            <w:pPr>
              <w:spacing w:after="120"/>
              <w:rPr>
                <w:b/>
                <w:bCs/>
                <w:color w:val="000000"/>
                <w:sz w:val="18"/>
                <w:szCs w:val="18"/>
              </w:rPr>
            </w:pPr>
            <w:r w:rsidRPr="0094646D">
              <w:rPr>
                <w:b/>
                <w:iCs/>
                <w:color w:val="000000"/>
                <w:sz w:val="18"/>
                <w:szCs w:val="18"/>
              </w:rPr>
              <w:lastRenderedPageBreak/>
              <w:t>Total Estimated of Percent time spent on collection*</w:t>
            </w:r>
          </w:p>
        </w:tc>
        <w:tc>
          <w:tcPr>
            <w:tcW w:w="1260" w:type="dxa"/>
            <w:vAlign w:val="center"/>
          </w:tcPr>
          <w:p w:rsidR="0015045A" w:rsidRPr="0094646D" w:rsidRDefault="00462F61" w:rsidP="0015045A">
            <w:pPr>
              <w:spacing w:after="120"/>
              <w:jc w:val="center"/>
              <w:rPr>
                <w:b/>
                <w:bCs/>
                <w:color w:val="000000"/>
                <w:sz w:val="18"/>
                <w:szCs w:val="18"/>
              </w:rPr>
            </w:pPr>
            <w:r w:rsidRPr="0094646D">
              <w:rPr>
                <w:b/>
                <w:bCs/>
                <w:color w:val="000000"/>
                <w:sz w:val="18"/>
                <w:szCs w:val="18"/>
              </w:rPr>
              <w:fldChar w:fldCharType="begin"/>
            </w:r>
            <w:r w:rsidR="0015045A" w:rsidRPr="0094646D">
              <w:rPr>
                <w:b/>
                <w:bCs/>
                <w:color w:val="000000"/>
                <w:sz w:val="18"/>
                <w:szCs w:val="18"/>
              </w:rPr>
              <w:instrText xml:space="preserve"> =SUM(ABOVE)*100 \# "0.00%" </w:instrText>
            </w:r>
            <w:r w:rsidRPr="0094646D">
              <w:rPr>
                <w:b/>
                <w:bCs/>
                <w:color w:val="000000"/>
                <w:sz w:val="18"/>
                <w:szCs w:val="18"/>
              </w:rPr>
              <w:fldChar w:fldCharType="separate"/>
            </w:r>
            <w:r w:rsidR="0015045A" w:rsidRPr="0094646D">
              <w:rPr>
                <w:b/>
                <w:bCs/>
                <w:noProof/>
                <w:color w:val="000000"/>
                <w:sz w:val="18"/>
                <w:szCs w:val="18"/>
              </w:rPr>
              <w:t>100%</w:t>
            </w:r>
            <w:r w:rsidRPr="0094646D">
              <w:rPr>
                <w:b/>
                <w:bCs/>
                <w:color w:val="000000"/>
                <w:sz w:val="18"/>
                <w:szCs w:val="18"/>
              </w:rPr>
              <w:fldChar w:fldCharType="end"/>
            </w: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c>
          <w:tcPr>
            <w:tcW w:w="144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r>
      <w:tr w:rsidR="0015045A" w:rsidRPr="0094646D" w:rsidTr="0015045A">
        <w:tc>
          <w:tcPr>
            <w:tcW w:w="2520" w:type="dxa"/>
            <w:gridSpan w:val="2"/>
            <w:vAlign w:val="center"/>
          </w:tcPr>
          <w:p w:rsidR="0015045A" w:rsidRPr="0094646D" w:rsidRDefault="0015045A" w:rsidP="0015045A">
            <w:pPr>
              <w:spacing w:after="120"/>
              <w:rPr>
                <w:b/>
                <w:bCs/>
                <w:color w:val="000000"/>
                <w:sz w:val="18"/>
                <w:szCs w:val="18"/>
              </w:rPr>
            </w:pPr>
            <w:r w:rsidRPr="0094646D">
              <w:rPr>
                <w:b/>
                <w:bCs/>
                <w:color w:val="000000"/>
                <w:sz w:val="18"/>
                <w:szCs w:val="18"/>
              </w:rPr>
              <w:t>Estimated Total Weighted Hourly Average ($/hr)</w:t>
            </w: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896F95" w:rsidP="0015045A">
            <w:pPr>
              <w:spacing w:after="120"/>
              <w:jc w:val="center"/>
              <w:rPr>
                <w:b/>
                <w:bCs/>
                <w:color w:val="000000"/>
                <w:sz w:val="18"/>
                <w:szCs w:val="18"/>
              </w:rPr>
            </w:pPr>
            <w:r>
              <w:rPr>
                <w:b/>
                <w:bCs/>
                <w:color w:val="000000"/>
                <w:sz w:val="18"/>
                <w:szCs w:val="18"/>
              </w:rPr>
              <w:t>$53</w:t>
            </w:r>
            <w:r w:rsidR="000B0E06">
              <w:rPr>
                <w:b/>
                <w:bCs/>
                <w:color w:val="000000"/>
                <w:sz w:val="18"/>
                <w:szCs w:val="18"/>
              </w:rPr>
              <w:t>.</w:t>
            </w:r>
            <w:r>
              <w:rPr>
                <w:b/>
                <w:bCs/>
                <w:color w:val="000000"/>
                <w:sz w:val="18"/>
                <w:szCs w:val="18"/>
              </w:rPr>
              <w:t>9</w:t>
            </w:r>
            <w:r w:rsidR="006E612B">
              <w:rPr>
                <w:b/>
                <w:bCs/>
                <w:color w:val="000000"/>
                <w:sz w:val="18"/>
                <w:szCs w:val="18"/>
              </w:rPr>
              <w:t>3</w:t>
            </w:r>
          </w:p>
        </w:tc>
        <w:tc>
          <w:tcPr>
            <w:tcW w:w="1260" w:type="dxa"/>
            <w:vAlign w:val="center"/>
          </w:tcPr>
          <w:p w:rsidR="0015045A" w:rsidRPr="0094646D" w:rsidRDefault="0015045A" w:rsidP="0015045A">
            <w:pPr>
              <w:spacing w:after="120"/>
              <w:jc w:val="center"/>
              <w:rPr>
                <w:b/>
                <w:bCs/>
                <w:color w:val="000000"/>
                <w:sz w:val="18"/>
                <w:szCs w:val="18"/>
              </w:rPr>
            </w:pPr>
          </w:p>
        </w:tc>
        <w:tc>
          <w:tcPr>
            <w:tcW w:w="144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r>
      <w:tr w:rsidR="0015045A" w:rsidRPr="0094646D" w:rsidTr="0015045A">
        <w:tc>
          <w:tcPr>
            <w:tcW w:w="2520" w:type="dxa"/>
            <w:gridSpan w:val="2"/>
            <w:vAlign w:val="center"/>
          </w:tcPr>
          <w:p w:rsidR="0015045A" w:rsidRPr="0094646D" w:rsidRDefault="0015045A" w:rsidP="0015045A">
            <w:pPr>
              <w:spacing w:after="120"/>
              <w:rPr>
                <w:b/>
                <w:bCs/>
                <w:color w:val="000000"/>
                <w:sz w:val="18"/>
                <w:szCs w:val="18"/>
              </w:rPr>
            </w:pPr>
            <w:r w:rsidRPr="0094646D">
              <w:rPr>
                <w:b/>
                <w:bCs/>
                <w:color w:val="000000"/>
                <w:sz w:val="18"/>
                <w:szCs w:val="18"/>
              </w:rPr>
              <w:t>Estimated Total annual Federal  employee salary/ benefit cost</w:t>
            </w: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c>
          <w:tcPr>
            <w:tcW w:w="1440" w:type="dxa"/>
            <w:vAlign w:val="center"/>
          </w:tcPr>
          <w:p w:rsidR="0015045A" w:rsidRPr="0094646D" w:rsidRDefault="003F0EC4" w:rsidP="000B0E06">
            <w:pPr>
              <w:spacing w:after="120"/>
              <w:jc w:val="center"/>
              <w:rPr>
                <w:b/>
                <w:bCs/>
                <w:color w:val="000000"/>
                <w:sz w:val="18"/>
                <w:szCs w:val="18"/>
              </w:rPr>
            </w:pPr>
            <w:r>
              <w:rPr>
                <w:b/>
                <w:bCs/>
                <w:color w:val="000000"/>
                <w:sz w:val="18"/>
                <w:szCs w:val="18"/>
              </w:rPr>
              <w:t>$1,005,1</w:t>
            </w:r>
            <w:r w:rsidR="000B0E06">
              <w:rPr>
                <w:b/>
                <w:bCs/>
                <w:color w:val="000000"/>
                <w:sz w:val="18"/>
                <w:szCs w:val="18"/>
              </w:rPr>
              <w:t>00</w:t>
            </w:r>
          </w:p>
        </w:tc>
        <w:tc>
          <w:tcPr>
            <w:tcW w:w="1260" w:type="dxa"/>
            <w:vAlign w:val="center"/>
          </w:tcPr>
          <w:p w:rsidR="0015045A" w:rsidRPr="0094646D" w:rsidRDefault="0015045A" w:rsidP="0015045A">
            <w:pPr>
              <w:spacing w:after="120"/>
              <w:jc w:val="center"/>
              <w:rPr>
                <w:b/>
                <w:bCs/>
                <w:color w:val="000000"/>
                <w:sz w:val="18"/>
                <w:szCs w:val="18"/>
              </w:rPr>
            </w:pPr>
          </w:p>
        </w:tc>
      </w:tr>
      <w:tr w:rsidR="0015045A" w:rsidRPr="0094646D" w:rsidTr="0015045A">
        <w:tc>
          <w:tcPr>
            <w:tcW w:w="2520" w:type="dxa"/>
            <w:gridSpan w:val="2"/>
            <w:vAlign w:val="center"/>
          </w:tcPr>
          <w:p w:rsidR="0015045A" w:rsidRPr="0094646D" w:rsidRDefault="0015045A" w:rsidP="0015045A">
            <w:pPr>
              <w:spacing w:after="120"/>
              <w:rPr>
                <w:b/>
                <w:bCs/>
                <w:color w:val="000000"/>
                <w:sz w:val="18"/>
                <w:szCs w:val="18"/>
              </w:rPr>
            </w:pPr>
            <w:r w:rsidRPr="0094646D">
              <w:rPr>
                <w:b/>
                <w:bCs/>
                <w:color w:val="000000"/>
                <w:sz w:val="18"/>
                <w:szCs w:val="18"/>
              </w:rPr>
              <w:t>Total estimated hours (annualize</w:t>
            </w:r>
            <w:r>
              <w:rPr>
                <w:b/>
                <w:bCs/>
                <w:color w:val="000000"/>
                <w:sz w:val="18"/>
                <w:szCs w:val="18"/>
              </w:rPr>
              <w:t>d</w:t>
            </w:r>
            <w:r w:rsidRPr="0094646D">
              <w:rPr>
                <w:b/>
                <w:bCs/>
                <w:color w:val="000000"/>
                <w:sz w:val="18"/>
                <w:szCs w:val="18"/>
              </w:rPr>
              <w:t>)</w:t>
            </w: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15045A" w:rsidP="0015045A">
            <w:pPr>
              <w:spacing w:after="120"/>
              <w:jc w:val="center"/>
              <w:rPr>
                <w:b/>
                <w:bCs/>
                <w:color w:val="000000"/>
                <w:sz w:val="18"/>
                <w:szCs w:val="18"/>
              </w:rPr>
            </w:pPr>
          </w:p>
        </w:tc>
        <w:tc>
          <w:tcPr>
            <w:tcW w:w="1440" w:type="dxa"/>
            <w:vAlign w:val="center"/>
          </w:tcPr>
          <w:p w:rsidR="0015045A" w:rsidRPr="0094646D" w:rsidRDefault="0015045A" w:rsidP="0015045A">
            <w:pPr>
              <w:spacing w:after="120"/>
              <w:jc w:val="center"/>
              <w:rPr>
                <w:b/>
                <w:bCs/>
                <w:color w:val="000000"/>
                <w:sz w:val="18"/>
                <w:szCs w:val="18"/>
              </w:rPr>
            </w:pPr>
          </w:p>
        </w:tc>
        <w:tc>
          <w:tcPr>
            <w:tcW w:w="1260" w:type="dxa"/>
            <w:vAlign w:val="center"/>
          </w:tcPr>
          <w:p w:rsidR="0015045A" w:rsidRPr="0094646D" w:rsidRDefault="007159F8" w:rsidP="0015045A">
            <w:pPr>
              <w:spacing w:after="120"/>
              <w:jc w:val="center"/>
              <w:rPr>
                <w:b/>
                <w:bCs/>
                <w:color w:val="000000"/>
                <w:sz w:val="18"/>
                <w:szCs w:val="18"/>
              </w:rPr>
            </w:pPr>
            <w:r>
              <w:rPr>
                <w:b/>
                <w:sz w:val="18"/>
                <w:szCs w:val="18"/>
              </w:rPr>
              <w:t>18</w:t>
            </w:r>
            <w:r w:rsidR="0015045A" w:rsidRPr="0094646D">
              <w:rPr>
                <w:b/>
                <w:sz w:val="18"/>
                <w:szCs w:val="18"/>
              </w:rPr>
              <w:t>,</w:t>
            </w:r>
            <w:r>
              <w:rPr>
                <w:b/>
                <w:sz w:val="18"/>
                <w:szCs w:val="18"/>
              </w:rPr>
              <w:t>6</w:t>
            </w:r>
            <w:r w:rsidR="000F61A4">
              <w:rPr>
                <w:b/>
                <w:sz w:val="18"/>
                <w:szCs w:val="18"/>
              </w:rPr>
              <w:t>30</w:t>
            </w:r>
          </w:p>
        </w:tc>
      </w:tr>
    </w:tbl>
    <w:p w:rsidR="00123F68" w:rsidRDefault="00123F68" w:rsidP="001F2189">
      <w:pPr>
        <w:spacing w:line="276" w:lineRule="auto"/>
        <w:rPr>
          <w:rFonts w:ascii="Calibri" w:hAnsi="Calibri" w:cs="Calibri"/>
          <w:b/>
          <w:sz w:val="22"/>
          <w:szCs w:val="22"/>
        </w:rPr>
      </w:pPr>
    </w:p>
    <w:p w:rsidR="007C21CA" w:rsidRPr="000A34D1" w:rsidRDefault="007C21CA" w:rsidP="007C21CA">
      <w:r>
        <w:rPr>
          <w:vertAlign w:val="superscript"/>
        </w:rPr>
        <w:t>1</w:t>
      </w:r>
      <w:r w:rsidRPr="000A34D1">
        <w:t>The grades/steps in the table represent an average of several employees at several grades/steps – some of the employees may work full-time on the collection, while other employees may work part-time</w:t>
      </w:r>
      <w:r>
        <w:t>.</w:t>
      </w:r>
    </w:p>
    <w:p w:rsidR="007C21CA" w:rsidRPr="000A34D1" w:rsidRDefault="007C21CA" w:rsidP="007C21CA">
      <w:r>
        <w:rPr>
          <w:vertAlign w:val="superscript"/>
        </w:rPr>
        <w:t>2</w:t>
      </w:r>
      <w:r w:rsidRPr="000A34D1">
        <w:t>Data collection, processing, and publication</w:t>
      </w:r>
    </w:p>
    <w:p w:rsidR="007C21CA" w:rsidRPr="000A34D1" w:rsidRDefault="007C21CA" w:rsidP="007C21CA">
      <w:r>
        <w:rPr>
          <w:vertAlign w:val="superscript"/>
        </w:rPr>
        <w:t>3</w:t>
      </w:r>
      <w:r w:rsidRPr="000A34D1">
        <w:t>Column 3 x Column 4</w:t>
      </w:r>
    </w:p>
    <w:p w:rsidR="007C21CA" w:rsidRPr="000A34D1" w:rsidRDefault="007C21CA" w:rsidP="007C21CA">
      <w:r w:rsidRPr="008F6A61">
        <w:rPr>
          <w:vertAlign w:val="superscript"/>
        </w:rPr>
        <w:t xml:space="preserve">4 </w:t>
      </w:r>
      <w:r w:rsidRPr="000A34D1">
        <w:t>Column 5/Estimated total weighted hourly average</w:t>
      </w:r>
    </w:p>
    <w:p w:rsidR="007C21CA" w:rsidRPr="000A34D1" w:rsidRDefault="007C21CA" w:rsidP="007C21CA">
      <w:r w:rsidRPr="008F6A61">
        <w:rPr>
          <w:vertAlign w:val="superscript"/>
        </w:rPr>
        <w:t>5</w:t>
      </w:r>
      <w:r w:rsidRPr="000A34D1">
        <w:t xml:space="preserve"> Column 6 x Estimated Total annual Federal employee salary/benefit cost (totals rounded to nearest thousand) </w:t>
      </w:r>
    </w:p>
    <w:p w:rsidR="007C21CA" w:rsidRPr="00497D47" w:rsidRDefault="007C21CA" w:rsidP="00497D47">
      <w:r w:rsidRPr="008F6A61">
        <w:rPr>
          <w:vertAlign w:val="superscript"/>
        </w:rPr>
        <w:t xml:space="preserve">6 </w:t>
      </w:r>
      <w:r w:rsidRPr="000A34D1">
        <w:t>Column 7/ Column 4 (differences due to rounding)</w:t>
      </w:r>
    </w:p>
    <w:p w:rsidR="007C21CA" w:rsidRPr="00404750" w:rsidRDefault="007C21CA" w:rsidP="001F2189">
      <w:pPr>
        <w:spacing w:line="276" w:lineRule="auto"/>
        <w:rPr>
          <w:rFonts w:ascii="Calibri" w:hAnsi="Calibri" w:cs="Calibri"/>
          <w:b/>
          <w:sz w:val="22"/>
          <w:szCs w:val="22"/>
        </w:rPr>
      </w:pPr>
    </w:p>
    <w:p w:rsidR="00123F68" w:rsidRPr="00123F68" w:rsidRDefault="00123F68" w:rsidP="00123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123F68">
        <w:rPr>
          <w:rFonts w:ascii="Calibri" w:hAnsi="Calibri" w:cs="Calibri"/>
          <w:b/>
          <w:sz w:val="22"/>
          <w:szCs w:val="22"/>
        </w:rPr>
        <w:t>15.</w:t>
      </w:r>
      <w:r w:rsidRPr="00123F68">
        <w:rPr>
          <w:rFonts w:ascii="Calibri" w:hAnsi="Calibri" w:cs="Calibri"/>
          <w:b/>
          <w:sz w:val="22"/>
          <w:szCs w:val="22"/>
        </w:rPr>
        <w:tab/>
        <w:t>Explain the reasons for any program changes or adjustments in hour or cost burden.</w:t>
      </w:r>
    </w:p>
    <w:p w:rsidR="00582E73" w:rsidRPr="00404750" w:rsidRDefault="00582E73" w:rsidP="001F2189">
      <w:pPr>
        <w:spacing w:line="276" w:lineRule="auto"/>
        <w:rPr>
          <w:rFonts w:ascii="Calibri" w:hAnsi="Calibri" w:cs="Calibri"/>
          <w:sz w:val="22"/>
          <w:szCs w:val="22"/>
        </w:rPr>
      </w:pPr>
    </w:p>
    <w:p w:rsidR="00AA1CAD" w:rsidRPr="00404750" w:rsidRDefault="005A3D48" w:rsidP="006408FE">
      <w:pPr>
        <w:spacing w:line="276" w:lineRule="auto"/>
        <w:ind w:firstLine="360"/>
        <w:rPr>
          <w:rFonts w:ascii="Calibri" w:hAnsi="Calibri" w:cs="Calibri"/>
          <w:sz w:val="22"/>
          <w:szCs w:val="22"/>
        </w:rPr>
      </w:pPr>
      <w:r w:rsidRPr="00404750">
        <w:rPr>
          <w:rFonts w:ascii="Calibri" w:hAnsi="Calibri" w:cs="Calibri"/>
          <w:sz w:val="22"/>
          <w:szCs w:val="22"/>
        </w:rPr>
        <w:t>W</w:t>
      </w:r>
      <w:r w:rsidR="003D40D9" w:rsidRPr="00404750">
        <w:rPr>
          <w:rFonts w:ascii="Calibri" w:hAnsi="Calibri" w:cs="Calibri"/>
          <w:sz w:val="22"/>
          <w:szCs w:val="22"/>
        </w:rPr>
        <w:t>e</w:t>
      </w:r>
      <w:r w:rsidR="00462C79" w:rsidRPr="00404750">
        <w:rPr>
          <w:rFonts w:ascii="Calibri" w:hAnsi="Calibri" w:cs="Calibri"/>
          <w:sz w:val="22"/>
          <w:szCs w:val="22"/>
        </w:rPr>
        <w:t xml:space="preserve"> e</w:t>
      </w:r>
      <w:r w:rsidR="0054389D" w:rsidRPr="00404750">
        <w:rPr>
          <w:rFonts w:ascii="Calibri" w:hAnsi="Calibri" w:cs="Calibri"/>
          <w:sz w:val="22"/>
          <w:szCs w:val="22"/>
        </w:rPr>
        <w:t>stimate that there</w:t>
      </w:r>
      <w:r w:rsidR="009D1CF0">
        <w:rPr>
          <w:rFonts w:ascii="Calibri" w:hAnsi="Calibri" w:cs="Calibri"/>
          <w:sz w:val="22"/>
          <w:szCs w:val="22"/>
        </w:rPr>
        <w:t xml:space="preserve"> will be 887</w:t>
      </w:r>
      <w:r w:rsidR="008B442C" w:rsidRPr="00404750">
        <w:rPr>
          <w:rFonts w:ascii="Calibri" w:hAnsi="Calibri" w:cs="Calibri"/>
          <w:sz w:val="22"/>
          <w:szCs w:val="22"/>
        </w:rPr>
        <w:t xml:space="preserve"> </w:t>
      </w:r>
      <w:r w:rsidRPr="00404750">
        <w:rPr>
          <w:rFonts w:ascii="Calibri" w:hAnsi="Calibri" w:cs="Calibri"/>
          <w:sz w:val="22"/>
          <w:szCs w:val="22"/>
        </w:rPr>
        <w:t xml:space="preserve">responses totaling </w:t>
      </w:r>
      <w:r w:rsidR="009D1CF0">
        <w:rPr>
          <w:rFonts w:ascii="Calibri" w:hAnsi="Calibri" w:cs="Calibri"/>
          <w:sz w:val="22"/>
          <w:szCs w:val="22"/>
        </w:rPr>
        <w:t>66</w:t>
      </w:r>
      <w:r w:rsidR="002D7A18">
        <w:rPr>
          <w:rFonts w:ascii="Calibri" w:hAnsi="Calibri" w:cs="Calibri"/>
          <w:sz w:val="22"/>
          <w:szCs w:val="22"/>
        </w:rPr>
        <w:t>6</w:t>
      </w:r>
      <w:r w:rsidR="00B845AB" w:rsidRPr="00404750">
        <w:rPr>
          <w:rFonts w:ascii="Calibri" w:hAnsi="Calibri" w:cs="Calibri"/>
          <w:sz w:val="22"/>
          <w:szCs w:val="22"/>
        </w:rPr>
        <w:t xml:space="preserve"> </w:t>
      </w:r>
      <w:r w:rsidRPr="00404750">
        <w:rPr>
          <w:rFonts w:ascii="Calibri" w:hAnsi="Calibri" w:cs="Calibri"/>
          <w:sz w:val="22"/>
          <w:szCs w:val="22"/>
        </w:rPr>
        <w:t xml:space="preserve">burden hours.  This is </w:t>
      </w:r>
      <w:r w:rsidR="00326F22" w:rsidRPr="00404750">
        <w:rPr>
          <w:rFonts w:ascii="Calibri" w:hAnsi="Calibri" w:cs="Calibri"/>
          <w:sz w:val="22"/>
          <w:szCs w:val="22"/>
        </w:rPr>
        <w:t xml:space="preserve">a net </w:t>
      </w:r>
      <w:r w:rsidR="00EA2668">
        <w:rPr>
          <w:rFonts w:ascii="Calibri" w:hAnsi="Calibri" w:cs="Calibri"/>
          <w:sz w:val="22"/>
          <w:szCs w:val="22"/>
        </w:rPr>
        <w:t>in</w:t>
      </w:r>
      <w:r w:rsidRPr="00404750">
        <w:rPr>
          <w:rFonts w:ascii="Calibri" w:hAnsi="Calibri" w:cs="Calibri"/>
          <w:sz w:val="22"/>
          <w:szCs w:val="22"/>
        </w:rPr>
        <w:t xml:space="preserve">crease of </w:t>
      </w:r>
      <w:r w:rsidR="00A73BE0">
        <w:rPr>
          <w:rFonts w:ascii="Calibri" w:hAnsi="Calibri" w:cs="Calibri"/>
          <w:sz w:val="22"/>
          <w:szCs w:val="22"/>
        </w:rPr>
        <w:t>168</w:t>
      </w:r>
      <w:r w:rsidR="008B442C" w:rsidRPr="00404750">
        <w:rPr>
          <w:rFonts w:ascii="Calibri" w:hAnsi="Calibri" w:cs="Calibri"/>
          <w:sz w:val="22"/>
          <w:szCs w:val="22"/>
        </w:rPr>
        <w:t xml:space="preserve"> </w:t>
      </w:r>
      <w:r w:rsidRPr="00404750">
        <w:rPr>
          <w:rFonts w:ascii="Calibri" w:hAnsi="Calibri" w:cs="Calibri"/>
          <w:sz w:val="22"/>
          <w:szCs w:val="22"/>
        </w:rPr>
        <w:t xml:space="preserve">responses and </w:t>
      </w:r>
      <w:r w:rsidR="00A73BE0">
        <w:rPr>
          <w:rFonts w:ascii="Calibri" w:hAnsi="Calibri" w:cs="Calibri"/>
          <w:sz w:val="22"/>
          <w:szCs w:val="22"/>
        </w:rPr>
        <w:t>12</w:t>
      </w:r>
      <w:r w:rsidR="002D7A18">
        <w:rPr>
          <w:rFonts w:ascii="Calibri" w:hAnsi="Calibri" w:cs="Calibri"/>
          <w:sz w:val="22"/>
          <w:szCs w:val="22"/>
        </w:rPr>
        <w:t>7</w:t>
      </w:r>
      <w:bookmarkStart w:id="0" w:name="_GoBack"/>
      <w:bookmarkEnd w:id="0"/>
      <w:r w:rsidR="003A3A0E" w:rsidRPr="00404750">
        <w:rPr>
          <w:rFonts w:ascii="Calibri" w:hAnsi="Calibri" w:cs="Calibri"/>
          <w:sz w:val="22"/>
          <w:szCs w:val="22"/>
        </w:rPr>
        <w:t xml:space="preserve"> </w:t>
      </w:r>
      <w:r w:rsidRPr="00404750">
        <w:rPr>
          <w:rFonts w:ascii="Calibri" w:hAnsi="Calibri" w:cs="Calibri"/>
          <w:sz w:val="22"/>
          <w:szCs w:val="22"/>
        </w:rPr>
        <w:t>burden hours from our previous request</w:t>
      </w:r>
      <w:r w:rsidR="007F791C">
        <w:rPr>
          <w:rFonts w:ascii="Calibri" w:hAnsi="Calibri" w:cs="Calibri"/>
          <w:sz w:val="22"/>
          <w:szCs w:val="22"/>
        </w:rPr>
        <w:t xml:space="preserve"> of 719 responses and 539</w:t>
      </w:r>
      <w:r w:rsidR="00E1323E" w:rsidRPr="00404750">
        <w:rPr>
          <w:rFonts w:ascii="Calibri" w:hAnsi="Calibri" w:cs="Calibri"/>
          <w:sz w:val="22"/>
          <w:szCs w:val="22"/>
        </w:rPr>
        <w:t xml:space="preserve"> burden hours.</w:t>
      </w:r>
      <w:r w:rsidR="006408FE">
        <w:rPr>
          <w:rFonts w:ascii="Calibri" w:hAnsi="Calibri" w:cs="Calibri"/>
          <w:sz w:val="22"/>
          <w:szCs w:val="22"/>
        </w:rPr>
        <w:t xml:space="preserve">  </w:t>
      </w:r>
      <w:r w:rsidR="00412A0F">
        <w:rPr>
          <w:rFonts w:ascii="Calibri" w:hAnsi="Calibri" w:cs="Calibri"/>
          <w:sz w:val="22"/>
          <w:szCs w:val="22"/>
        </w:rPr>
        <w:t xml:space="preserve">The difference represents an </w:t>
      </w:r>
      <w:r w:rsidR="00AA1CAD">
        <w:rPr>
          <w:rFonts w:ascii="Calibri" w:hAnsi="Calibri" w:cs="Calibri"/>
          <w:sz w:val="22"/>
          <w:szCs w:val="22"/>
        </w:rPr>
        <w:t>adjustment b</w:t>
      </w:r>
      <w:r w:rsidR="00AA1CAD" w:rsidRPr="00404750">
        <w:rPr>
          <w:rFonts w:ascii="Calibri" w:hAnsi="Calibri" w:cs="Calibri"/>
          <w:sz w:val="22"/>
          <w:szCs w:val="22"/>
        </w:rPr>
        <w:t>ased on our experience in administering this collection along with the types of respondent feedback, discussions, and interactions as described in</w:t>
      </w:r>
      <w:r w:rsidR="00AA1CAD">
        <w:rPr>
          <w:rFonts w:ascii="Calibri" w:hAnsi="Calibri" w:cs="Calibri"/>
          <w:sz w:val="22"/>
          <w:szCs w:val="22"/>
        </w:rPr>
        <w:t xml:space="preserve"> our answer to item 8 above.</w:t>
      </w:r>
    </w:p>
    <w:p w:rsidR="003476DA" w:rsidRPr="00404750" w:rsidRDefault="003476DA" w:rsidP="001F2189">
      <w:pPr>
        <w:spacing w:line="276" w:lineRule="auto"/>
        <w:rPr>
          <w:rFonts w:ascii="Calibri" w:hAnsi="Calibri" w:cs="Calibri"/>
          <w:b/>
          <w:sz w:val="22"/>
          <w:szCs w:val="22"/>
        </w:rPr>
      </w:pPr>
    </w:p>
    <w:p w:rsidR="00123F68" w:rsidRPr="00123F68" w:rsidRDefault="00123F68" w:rsidP="00123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123F68">
        <w:rPr>
          <w:rFonts w:ascii="Calibri" w:hAnsi="Calibri" w:cs="Calibri"/>
          <w:b/>
          <w:sz w:val="22"/>
          <w:szCs w:val="22"/>
        </w:rPr>
        <w:t>16.</w:t>
      </w:r>
      <w:r w:rsidRPr="00123F68">
        <w:rPr>
          <w:rFonts w:ascii="Calibri" w:hAnsi="Calibri" w:cs="Calibr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2E73" w:rsidRPr="00404750" w:rsidRDefault="00582E73" w:rsidP="001F2189">
      <w:pPr>
        <w:spacing w:line="276" w:lineRule="auto"/>
        <w:rPr>
          <w:rFonts w:ascii="Calibri" w:hAnsi="Calibri" w:cs="Calibri"/>
          <w:sz w:val="22"/>
          <w:szCs w:val="22"/>
        </w:rPr>
      </w:pPr>
    </w:p>
    <w:p w:rsidR="00582E73" w:rsidRPr="00404750" w:rsidRDefault="00DD1393"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r>
      <w:r w:rsidR="003215C3" w:rsidRPr="00404750">
        <w:rPr>
          <w:rFonts w:ascii="Calibri" w:hAnsi="Calibri" w:cs="Calibri"/>
          <w:sz w:val="22"/>
          <w:szCs w:val="22"/>
        </w:rPr>
        <w:t xml:space="preserve">The </w:t>
      </w:r>
      <w:r w:rsidR="003365E9" w:rsidRPr="00404750">
        <w:rPr>
          <w:rFonts w:ascii="Calibri" w:hAnsi="Calibri" w:cs="Calibri"/>
          <w:sz w:val="22"/>
          <w:szCs w:val="22"/>
        </w:rPr>
        <w:t>AMIS mainframe system and off-the-shelf software packages</w:t>
      </w:r>
      <w:r w:rsidR="005C42B0">
        <w:rPr>
          <w:rFonts w:ascii="Calibri" w:hAnsi="Calibri" w:cs="Calibri"/>
          <w:sz w:val="22"/>
          <w:szCs w:val="22"/>
        </w:rPr>
        <w:t xml:space="preserve"> such as spreadsheets</w:t>
      </w:r>
      <w:r w:rsidR="003365E9" w:rsidRPr="00404750">
        <w:rPr>
          <w:rFonts w:ascii="Calibri" w:hAnsi="Calibri" w:cs="Calibri"/>
          <w:sz w:val="22"/>
          <w:szCs w:val="22"/>
        </w:rPr>
        <w:t xml:space="preserve"> are used to compile and tabulate the data and to prepare tables for publication.</w:t>
      </w:r>
      <w:r w:rsidR="006A31DD" w:rsidRPr="00404750">
        <w:rPr>
          <w:rFonts w:ascii="Calibri" w:hAnsi="Calibri" w:cs="Calibri"/>
          <w:sz w:val="22"/>
          <w:szCs w:val="22"/>
        </w:rPr>
        <w:t xml:space="preserve">  National, State, and regional tabulations are prepared and published annually at </w:t>
      </w:r>
      <w:hyperlink r:id="rId11" w:history="1">
        <w:r w:rsidR="006A31DD" w:rsidRPr="00404750">
          <w:rPr>
            <w:rStyle w:val="Hyperlink"/>
            <w:rFonts w:ascii="Calibri" w:hAnsi="Calibri" w:cs="Calibri"/>
            <w:sz w:val="22"/>
            <w:szCs w:val="22"/>
          </w:rPr>
          <w:t>http://minerals.er.usgs.gov/minerals/</w:t>
        </w:r>
      </w:hyperlink>
      <w:r w:rsidR="006A31DD" w:rsidRPr="00404750">
        <w:rPr>
          <w:rFonts w:ascii="Calibri" w:hAnsi="Calibri" w:cs="Calibri"/>
          <w:sz w:val="22"/>
          <w:szCs w:val="22"/>
        </w:rPr>
        <w:t xml:space="preserve"> in table fo</w:t>
      </w:r>
      <w:r w:rsidR="008D1FBE" w:rsidRPr="00404750">
        <w:rPr>
          <w:rFonts w:ascii="Calibri" w:hAnsi="Calibri" w:cs="Calibri"/>
          <w:sz w:val="22"/>
          <w:szCs w:val="22"/>
        </w:rPr>
        <w:t>r</w:t>
      </w:r>
      <w:r w:rsidR="00963432">
        <w:rPr>
          <w:rFonts w:ascii="Calibri" w:hAnsi="Calibri" w:cs="Calibri"/>
          <w:sz w:val="22"/>
          <w:szCs w:val="22"/>
        </w:rPr>
        <w:t>mat from data collected by this</w:t>
      </w:r>
      <w:r w:rsidR="006A31DD" w:rsidRPr="00404750">
        <w:rPr>
          <w:rFonts w:ascii="Calibri" w:hAnsi="Calibri" w:cs="Calibri"/>
          <w:sz w:val="22"/>
          <w:szCs w:val="22"/>
        </w:rPr>
        <w:t xml:space="preserve"> canvass.</w:t>
      </w:r>
    </w:p>
    <w:p w:rsidR="00185586" w:rsidRPr="00404750" w:rsidRDefault="00185586" w:rsidP="0011430F">
      <w:pPr>
        <w:spacing w:line="276" w:lineRule="auto"/>
        <w:ind w:firstLine="720"/>
        <w:rPr>
          <w:rFonts w:ascii="Calibri" w:hAnsi="Calibri" w:cs="Calibri"/>
          <w:sz w:val="22"/>
          <w:szCs w:val="22"/>
        </w:rPr>
      </w:pPr>
    </w:p>
    <w:p w:rsidR="00185586" w:rsidRPr="00404750" w:rsidRDefault="00DD1393"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r>
      <w:r w:rsidR="00185586" w:rsidRPr="00404750">
        <w:rPr>
          <w:rFonts w:ascii="Calibri" w:hAnsi="Calibri" w:cs="Calibri"/>
          <w:sz w:val="22"/>
          <w:szCs w:val="22"/>
        </w:rPr>
        <w:t xml:space="preserve">Tables present various aspects of </w:t>
      </w:r>
      <w:r w:rsidR="005407BA">
        <w:rPr>
          <w:rFonts w:ascii="Calibri" w:hAnsi="Calibri" w:cs="Calibri"/>
          <w:sz w:val="22"/>
          <w:szCs w:val="22"/>
        </w:rPr>
        <w:t>crude ore production, mining methods, and development and exploration activities in the mineral industries.</w:t>
      </w:r>
      <w:r w:rsidR="00185586" w:rsidRPr="00404750">
        <w:rPr>
          <w:rFonts w:ascii="Calibri" w:hAnsi="Calibri" w:cs="Calibri"/>
          <w:sz w:val="22"/>
          <w:szCs w:val="22"/>
        </w:rPr>
        <w:t xml:space="preserve">  Statistical data are processed and analyzed by the Data Collection and Coordination Section, which also establishes timing for all key steps in the work.</w:t>
      </w:r>
    </w:p>
    <w:p w:rsidR="0052080A" w:rsidRPr="00404750" w:rsidRDefault="0052080A" w:rsidP="0011430F">
      <w:pPr>
        <w:spacing w:line="276" w:lineRule="auto"/>
        <w:ind w:firstLine="720"/>
        <w:rPr>
          <w:rFonts w:ascii="Calibri" w:hAnsi="Calibri" w:cs="Calibri"/>
          <w:sz w:val="22"/>
          <w:szCs w:val="22"/>
        </w:rPr>
      </w:pPr>
    </w:p>
    <w:p w:rsidR="0052080A" w:rsidRPr="00404750" w:rsidRDefault="00DD1393" w:rsidP="00DD1393">
      <w:pPr>
        <w:tabs>
          <w:tab w:val="left" w:pos="360"/>
        </w:tabs>
        <w:spacing w:line="276" w:lineRule="auto"/>
        <w:rPr>
          <w:rFonts w:ascii="Calibri" w:hAnsi="Calibri" w:cs="Calibri"/>
          <w:sz w:val="22"/>
          <w:szCs w:val="22"/>
        </w:rPr>
      </w:pPr>
      <w:r w:rsidRPr="00404750">
        <w:rPr>
          <w:rFonts w:ascii="Calibri" w:hAnsi="Calibri" w:cs="Calibri"/>
          <w:sz w:val="22"/>
          <w:szCs w:val="22"/>
        </w:rPr>
        <w:tab/>
      </w:r>
      <w:r w:rsidR="0052080A" w:rsidRPr="00404750">
        <w:rPr>
          <w:rFonts w:ascii="Calibri" w:hAnsi="Calibri" w:cs="Calibri"/>
          <w:sz w:val="22"/>
          <w:szCs w:val="22"/>
        </w:rPr>
        <w:t>Tabulation and publication of data are governed by the USGS standard for handling proprietary canvass data.  Data are available via the Internet and in print for select publications in the USGS minerals information series.</w:t>
      </w:r>
    </w:p>
    <w:p w:rsidR="0052080A" w:rsidRPr="00404750" w:rsidRDefault="0052080A" w:rsidP="0011430F">
      <w:pPr>
        <w:spacing w:line="276" w:lineRule="auto"/>
        <w:ind w:firstLine="720"/>
        <w:rPr>
          <w:rFonts w:ascii="Calibri" w:hAnsi="Calibri" w:cs="Calibri"/>
          <w:sz w:val="22"/>
          <w:szCs w:val="22"/>
        </w:rPr>
      </w:pPr>
    </w:p>
    <w:p w:rsidR="0052080A" w:rsidRPr="00404750" w:rsidRDefault="00640C21" w:rsidP="00DD1393">
      <w:pPr>
        <w:spacing w:line="276" w:lineRule="auto"/>
        <w:ind w:firstLine="360"/>
        <w:rPr>
          <w:rFonts w:ascii="Calibri" w:hAnsi="Calibri" w:cs="Calibri"/>
          <w:sz w:val="22"/>
          <w:szCs w:val="22"/>
        </w:rPr>
      </w:pPr>
      <w:r>
        <w:rPr>
          <w:rFonts w:ascii="Calibri" w:hAnsi="Calibri" w:cs="Calibri"/>
          <w:sz w:val="22"/>
          <w:szCs w:val="22"/>
        </w:rPr>
        <w:t xml:space="preserve">The entire process, from canvass mail-out to final publication as an Annual Report in the “Minerals </w:t>
      </w:r>
      <w:r>
        <w:rPr>
          <w:rFonts w:ascii="Calibri" w:hAnsi="Calibri" w:cs="Calibri"/>
          <w:sz w:val="22"/>
          <w:szCs w:val="22"/>
        </w:rPr>
        <w:lastRenderedPageBreak/>
        <w:t xml:space="preserve">Yearbook,” takes about 13 months.  This publication schedule </w:t>
      </w:r>
      <w:r w:rsidR="009E09E6">
        <w:rPr>
          <w:rFonts w:ascii="Calibri" w:hAnsi="Calibri" w:cs="Calibri"/>
          <w:sz w:val="22"/>
          <w:szCs w:val="22"/>
        </w:rPr>
        <w:t>allows for</w:t>
      </w:r>
      <w:r>
        <w:rPr>
          <w:rFonts w:ascii="Calibri" w:hAnsi="Calibri" w:cs="Calibri"/>
          <w:sz w:val="22"/>
          <w:szCs w:val="22"/>
        </w:rPr>
        <w:t xml:space="preserve"> a very high percentage of responses.</w:t>
      </w:r>
    </w:p>
    <w:p w:rsidR="003476DA" w:rsidRPr="00404750" w:rsidRDefault="003476DA" w:rsidP="001F2189">
      <w:pPr>
        <w:spacing w:line="276" w:lineRule="auto"/>
        <w:rPr>
          <w:rFonts w:ascii="Calibri" w:hAnsi="Calibri" w:cs="Calibri"/>
          <w:b/>
          <w:sz w:val="22"/>
          <w:szCs w:val="22"/>
        </w:rPr>
      </w:pPr>
    </w:p>
    <w:p w:rsidR="00123F68" w:rsidRPr="00123F68" w:rsidRDefault="00123F68" w:rsidP="00123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123F68">
        <w:rPr>
          <w:rFonts w:ascii="Calibri" w:hAnsi="Calibri" w:cs="Calibri"/>
          <w:b/>
          <w:sz w:val="22"/>
          <w:szCs w:val="22"/>
        </w:rPr>
        <w:t>17.</w:t>
      </w:r>
      <w:r w:rsidRPr="00123F68">
        <w:rPr>
          <w:rFonts w:ascii="Calibri" w:hAnsi="Calibri" w:cs="Calibri"/>
          <w:b/>
          <w:sz w:val="22"/>
          <w:szCs w:val="22"/>
        </w:rPr>
        <w:tab/>
        <w:t>If seeking approval to not display the expiration date for OMB approval of the information collection, explain the reasons that display would be inappropriate.</w:t>
      </w:r>
    </w:p>
    <w:p w:rsidR="00582E73" w:rsidRPr="00404750" w:rsidRDefault="00582E73" w:rsidP="001F2189">
      <w:pPr>
        <w:spacing w:line="276" w:lineRule="auto"/>
        <w:rPr>
          <w:rFonts w:ascii="Calibri" w:hAnsi="Calibri" w:cs="Calibri"/>
          <w:sz w:val="22"/>
          <w:szCs w:val="22"/>
        </w:rPr>
      </w:pPr>
    </w:p>
    <w:p w:rsidR="00582E73" w:rsidRPr="00404750" w:rsidRDefault="00582E73" w:rsidP="00DD1393">
      <w:pPr>
        <w:spacing w:line="276" w:lineRule="auto"/>
        <w:ind w:firstLine="360"/>
        <w:rPr>
          <w:rFonts w:ascii="Calibri" w:hAnsi="Calibri" w:cs="Calibri"/>
          <w:sz w:val="22"/>
          <w:szCs w:val="22"/>
        </w:rPr>
      </w:pPr>
      <w:r w:rsidRPr="00404750">
        <w:rPr>
          <w:rFonts w:ascii="Calibri" w:hAnsi="Calibri" w:cs="Calibri"/>
          <w:sz w:val="22"/>
          <w:szCs w:val="22"/>
        </w:rPr>
        <w:t>We will display the OMB control number and expiration date</w:t>
      </w:r>
      <w:r w:rsidR="005F308B" w:rsidRPr="00404750">
        <w:rPr>
          <w:rFonts w:ascii="Calibri" w:hAnsi="Calibri" w:cs="Calibri"/>
          <w:sz w:val="22"/>
          <w:szCs w:val="22"/>
        </w:rPr>
        <w:t xml:space="preserve"> </w:t>
      </w:r>
      <w:r w:rsidR="00A040E1" w:rsidRPr="00404750">
        <w:rPr>
          <w:rFonts w:ascii="Calibri" w:hAnsi="Calibri" w:cs="Calibri"/>
          <w:sz w:val="22"/>
          <w:szCs w:val="22"/>
        </w:rPr>
        <w:t xml:space="preserve">on </w:t>
      </w:r>
      <w:r w:rsidR="006921B5">
        <w:rPr>
          <w:rFonts w:ascii="Calibri" w:hAnsi="Calibri" w:cs="Calibri"/>
          <w:sz w:val="22"/>
          <w:szCs w:val="22"/>
        </w:rPr>
        <w:t>the single</w:t>
      </w:r>
      <w:r w:rsidR="00662841" w:rsidRPr="00404750">
        <w:rPr>
          <w:rFonts w:ascii="Calibri" w:hAnsi="Calibri" w:cs="Calibri"/>
          <w:sz w:val="22"/>
          <w:szCs w:val="22"/>
        </w:rPr>
        <w:t xml:space="preserve"> form</w:t>
      </w:r>
      <w:r w:rsidR="004F0854" w:rsidRPr="00404750">
        <w:rPr>
          <w:rFonts w:ascii="Calibri" w:hAnsi="Calibri" w:cs="Calibri"/>
          <w:sz w:val="22"/>
          <w:szCs w:val="22"/>
        </w:rPr>
        <w:t xml:space="preserve"> in this collection</w:t>
      </w:r>
      <w:r w:rsidRPr="00404750">
        <w:rPr>
          <w:rFonts w:ascii="Calibri" w:hAnsi="Calibri" w:cs="Calibri"/>
          <w:sz w:val="22"/>
          <w:szCs w:val="22"/>
        </w:rPr>
        <w:t>.</w:t>
      </w:r>
    </w:p>
    <w:p w:rsidR="003476DA" w:rsidRPr="00404750" w:rsidRDefault="003476DA" w:rsidP="001F2189">
      <w:pPr>
        <w:spacing w:line="276" w:lineRule="auto"/>
        <w:rPr>
          <w:rFonts w:ascii="Calibri" w:hAnsi="Calibri" w:cs="Calibri"/>
          <w:b/>
          <w:sz w:val="22"/>
          <w:szCs w:val="22"/>
        </w:rPr>
      </w:pPr>
    </w:p>
    <w:p w:rsidR="00123F68" w:rsidRPr="00123F68" w:rsidRDefault="00123F68" w:rsidP="00123F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123F68">
        <w:rPr>
          <w:rFonts w:ascii="Calibri" w:hAnsi="Calibri" w:cs="Calibri"/>
          <w:b/>
          <w:sz w:val="22"/>
          <w:szCs w:val="22"/>
        </w:rPr>
        <w:t>18.</w:t>
      </w:r>
      <w:r w:rsidRPr="00123F68">
        <w:rPr>
          <w:rFonts w:ascii="Calibri" w:hAnsi="Calibri" w:cs="Calibri"/>
          <w:b/>
          <w:sz w:val="22"/>
          <w:szCs w:val="22"/>
        </w:rPr>
        <w:tab/>
        <w:t>Explain each exception to the topics of the certification statement identified in "Certification for Paperwork Reduction Act Submissions."</w:t>
      </w:r>
    </w:p>
    <w:p w:rsidR="00AF4062" w:rsidRPr="00404750" w:rsidRDefault="00AF4062" w:rsidP="001F2189">
      <w:pPr>
        <w:spacing w:line="276" w:lineRule="auto"/>
        <w:rPr>
          <w:rFonts w:ascii="Calibri" w:hAnsi="Calibri" w:cs="Calibri"/>
          <w:sz w:val="22"/>
          <w:szCs w:val="22"/>
        </w:rPr>
      </w:pPr>
    </w:p>
    <w:p w:rsidR="00E628B3" w:rsidRPr="00404750" w:rsidRDefault="005A3D48" w:rsidP="00DD1393">
      <w:pPr>
        <w:spacing w:line="276" w:lineRule="auto"/>
        <w:ind w:firstLine="360"/>
        <w:rPr>
          <w:rFonts w:ascii="Calibri" w:hAnsi="Calibri" w:cs="Calibri"/>
          <w:sz w:val="22"/>
          <w:szCs w:val="22"/>
        </w:rPr>
      </w:pPr>
      <w:r w:rsidRPr="00404750">
        <w:rPr>
          <w:rFonts w:ascii="Calibri" w:hAnsi="Calibri" w:cs="Calibri"/>
          <w:sz w:val="22"/>
          <w:szCs w:val="22"/>
        </w:rPr>
        <w:t>There are no exceptions to the certification statement.</w:t>
      </w:r>
    </w:p>
    <w:sectPr w:rsidR="00E628B3" w:rsidRPr="00404750" w:rsidSect="00AC67B8">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21F" w:rsidRDefault="0015221F" w:rsidP="001E4C54">
      <w:r>
        <w:separator/>
      </w:r>
    </w:p>
  </w:endnote>
  <w:endnote w:type="continuationSeparator" w:id="0">
    <w:p w:rsidR="0015221F" w:rsidRDefault="0015221F" w:rsidP="001E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A59" w:rsidRDefault="00462F61" w:rsidP="00AC67B8">
    <w:pPr>
      <w:pStyle w:val="Footer"/>
      <w:framePr w:wrap="around" w:vAnchor="text" w:hAnchor="margin" w:xAlign="right" w:y="1"/>
      <w:rPr>
        <w:rStyle w:val="PageNumber"/>
      </w:rPr>
    </w:pPr>
    <w:r>
      <w:rPr>
        <w:rStyle w:val="PageNumber"/>
      </w:rPr>
      <w:fldChar w:fldCharType="begin"/>
    </w:r>
    <w:r w:rsidR="00947A59">
      <w:rPr>
        <w:rStyle w:val="PageNumber"/>
      </w:rPr>
      <w:instrText xml:space="preserve">PAGE  </w:instrText>
    </w:r>
    <w:r>
      <w:rPr>
        <w:rStyle w:val="PageNumber"/>
      </w:rPr>
      <w:fldChar w:fldCharType="end"/>
    </w:r>
  </w:p>
  <w:p w:rsidR="00947A59" w:rsidRDefault="00947A59" w:rsidP="007C21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A59" w:rsidRDefault="00462F61" w:rsidP="001B51D6">
    <w:pPr>
      <w:pStyle w:val="Footer"/>
      <w:framePr w:wrap="around" w:vAnchor="text" w:hAnchor="margin" w:xAlign="right" w:y="1"/>
      <w:rPr>
        <w:rStyle w:val="PageNumber"/>
      </w:rPr>
    </w:pPr>
    <w:r>
      <w:rPr>
        <w:rStyle w:val="PageNumber"/>
      </w:rPr>
      <w:fldChar w:fldCharType="begin"/>
    </w:r>
    <w:r w:rsidR="00947A59">
      <w:rPr>
        <w:rStyle w:val="PageNumber"/>
      </w:rPr>
      <w:instrText xml:space="preserve">PAGE  </w:instrText>
    </w:r>
    <w:r>
      <w:rPr>
        <w:rStyle w:val="PageNumber"/>
      </w:rPr>
      <w:fldChar w:fldCharType="separate"/>
    </w:r>
    <w:r w:rsidR="002D7A18">
      <w:rPr>
        <w:rStyle w:val="PageNumber"/>
        <w:noProof/>
      </w:rPr>
      <w:t>12</w:t>
    </w:r>
    <w:r>
      <w:rPr>
        <w:rStyle w:val="PageNumber"/>
      </w:rPr>
      <w:fldChar w:fldCharType="end"/>
    </w:r>
  </w:p>
  <w:p w:rsidR="00947A59" w:rsidRDefault="00947A59" w:rsidP="00AC67B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21F" w:rsidRDefault="0015221F" w:rsidP="001E4C54">
      <w:r>
        <w:separator/>
      </w:r>
    </w:p>
  </w:footnote>
  <w:footnote w:type="continuationSeparator" w:id="0">
    <w:p w:rsidR="0015221F" w:rsidRDefault="0015221F" w:rsidP="001E4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63E"/>
    <w:multiLevelType w:val="hybridMultilevel"/>
    <w:tmpl w:val="134EFB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C281D2F"/>
    <w:multiLevelType w:val="hybridMultilevel"/>
    <w:tmpl w:val="7F2C3C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C90315C"/>
    <w:multiLevelType w:val="hybridMultilevel"/>
    <w:tmpl w:val="95B2310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nsid w:val="0D534DD9"/>
    <w:multiLevelType w:val="hybridMultilevel"/>
    <w:tmpl w:val="D87C9E4C"/>
    <w:lvl w:ilvl="0" w:tplc="16E8088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D6B88"/>
    <w:multiLevelType w:val="hybridMultilevel"/>
    <w:tmpl w:val="4140A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5815DA"/>
    <w:multiLevelType w:val="hybridMultilevel"/>
    <w:tmpl w:val="F508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008CD"/>
    <w:multiLevelType w:val="hybridMultilevel"/>
    <w:tmpl w:val="7BEA1D0C"/>
    <w:lvl w:ilvl="0" w:tplc="16E8088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681F92"/>
    <w:multiLevelType w:val="hybridMultilevel"/>
    <w:tmpl w:val="BA80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A20A4"/>
    <w:multiLevelType w:val="hybridMultilevel"/>
    <w:tmpl w:val="90C2E428"/>
    <w:lvl w:ilvl="0" w:tplc="5AA6209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FD275E"/>
    <w:multiLevelType w:val="hybridMultilevel"/>
    <w:tmpl w:val="D55A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6A00FC"/>
    <w:multiLevelType w:val="hybridMultilevel"/>
    <w:tmpl w:val="D34A5A10"/>
    <w:lvl w:ilvl="0" w:tplc="16E8088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F4192C"/>
    <w:multiLevelType w:val="multilevel"/>
    <w:tmpl w:val="7C16E1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35334FE"/>
    <w:multiLevelType w:val="hybridMultilevel"/>
    <w:tmpl w:val="8522F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CE7BB2"/>
    <w:multiLevelType w:val="hybridMultilevel"/>
    <w:tmpl w:val="7576CCEE"/>
    <w:lvl w:ilvl="0" w:tplc="16E80884">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457A2BEC"/>
    <w:multiLevelType w:val="hybridMultilevel"/>
    <w:tmpl w:val="555C37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A905D7"/>
    <w:multiLevelType w:val="hybridMultilevel"/>
    <w:tmpl w:val="023040BA"/>
    <w:lvl w:ilvl="0" w:tplc="16E8088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771268"/>
    <w:multiLevelType w:val="hybridMultilevel"/>
    <w:tmpl w:val="88301F82"/>
    <w:lvl w:ilvl="0" w:tplc="16E8088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423343"/>
    <w:multiLevelType w:val="hybridMultilevel"/>
    <w:tmpl w:val="81C04AAA"/>
    <w:lvl w:ilvl="0" w:tplc="16E8088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9073AE"/>
    <w:multiLevelType w:val="hybridMultilevel"/>
    <w:tmpl w:val="7C16E12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110C87"/>
    <w:multiLevelType w:val="hybridMultilevel"/>
    <w:tmpl w:val="92BA86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6320696"/>
    <w:multiLevelType w:val="hybridMultilevel"/>
    <w:tmpl w:val="EECCA10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D938A6"/>
    <w:multiLevelType w:val="hybridMultilevel"/>
    <w:tmpl w:val="EA1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B91489"/>
    <w:multiLevelType w:val="hybridMultilevel"/>
    <w:tmpl w:val="1832A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EEA5E08"/>
    <w:multiLevelType w:val="hybridMultilevel"/>
    <w:tmpl w:val="5BD2FABA"/>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E62598"/>
    <w:multiLevelType w:val="hybridMultilevel"/>
    <w:tmpl w:val="F92234A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F52CAB"/>
    <w:multiLevelType w:val="hybridMultilevel"/>
    <w:tmpl w:val="B4D25864"/>
    <w:lvl w:ilvl="0" w:tplc="16E80884">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7801183A"/>
    <w:multiLevelType w:val="hybridMultilevel"/>
    <w:tmpl w:val="5DD2BE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3"/>
  </w:num>
  <w:num w:numId="3">
    <w:abstractNumId w:val="16"/>
  </w:num>
  <w:num w:numId="4">
    <w:abstractNumId w:val="3"/>
  </w:num>
  <w:num w:numId="5">
    <w:abstractNumId w:val="27"/>
  </w:num>
  <w:num w:numId="6">
    <w:abstractNumId w:val="20"/>
  </w:num>
  <w:num w:numId="7">
    <w:abstractNumId w:val="21"/>
  </w:num>
  <w:num w:numId="8">
    <w:abstractNumId w:val="0"/>
  </w:num>
  <w:num w:numId="9">
    <w:abstractNumId w:val="13"/>
  </w:num>
  <w:num w:numId="10">
    <w:abstractNumId w:val="26"/>
  </w:num>
  <w:num w:numId="11">
    <w:abstractNumId w:val="10"/>
  </w:num>
  <w:num w:numId="12">
    <w:abstractNumId w:val="18"/>
  </w:num>
  <w:num w:numId="13">
    <w:abstractNumId w:val="17"/>
  </w:num>
  <w:num w:numId="14">
    <w:abstractNumId w:val="6"/>
  </w:num>
  <w:num w:numId="15">
    <w:abstractNumId w:val="12"/>
  </w:num>
  <w:num w:numId="16">
    <w:abstractNumId w:val="14"/>
  </w:num>
  <w:num w:numId="17">
    <w:abstractNumId w:val="19"/>
  </w:num>
  <w:num w:numId="18">
    <w:abstractNumId w:val="11"/>
  </w:num>
  <w:num w:numId="19">
    <w:abstractNumId w:val="25"/>
  </w:num>
  <w:num w:numId="20">
    <w:abstractNumId w:val="24"/>
  </w:num>
  <w:num w:numId="21">
    <w:abstractNumId w:val="2"/>
  </w:num>
  <w:num w:numId="22">
    <w:abstractNumId w:val="15"/>
  </w:num>
  <w:num w:numId="23">
    <w:abstractNumId w:val="9"/>
  </w:num>
  <w:num w:numId="24">
    <w:abstractNumId w:val="4"/>
  </w:num>
  <w:num w:numId="25">
    <w:abstractNumId w:val="22"/>
  </w:num>
  <w:num w:numId="26">
    <w:abstractNumId w:val="8"/>
  </w:num>
  <w:num w:numId="27">
    <w:abstractNumId w:val="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595"/>
    <w:rsid w:val="00000B89"/>
    <w:rsid w:val="000015DC"/>
    <w:rsid w:val="0000354C"/>
    <w:rsid w:val="000036AC"/>
    <w:rsid w:val="000037CF"/>
    <w:rsid w:val="00004301"/>
    <w:rsid w:val="000049AC"/>
    <w:rsid w:val="00004CDA"/>
    <w:rsid w:val="00004EE9"/>
    <w:rsid w:val="00005182"/>
    <w:rsid w:val="00005533"/>
    <w:rsid w:val="00010A8A"/>
    <w:rsid w:val="00011633"/>
    <w:rsid w:val="00012247"/>
    <w:rsid w:val="00012E26"/>
    <w:rsid w:val="0001308D"/>
    <w:rsid w:val="000138F0"/>
    <w:rsid w:val="00013A4E"/>
    <w:rsid w:val="00013FB2"/>
    <w:rsid w:val="0001460D"/>
    <w:rsid w:val="0001480E"/>
    <w:rsid w:val="000166E8"/>
    <w:rsid w:val="00016A57"/>
    <w:rsid w:val="00016DCE"/>
    <w:rsid w:val="00017571"/>
    <w:rsid w:val="00017DAF"/>
    <w:rsid w:val="0002013D"/>
    <w:rsid w:val="000201B9"/>
    <w:rsid w:val="0002117E"/>
    <w:rsid w:val="000214A3"/>
    <w:rsid w:val="00022EFE"/>
    <w:rsid w:val="00025AFA"/>
    <w:rsid w:val="00025CBE"/>
    <w:rsid w:val="00026B29"/>
    <w:rsid w:val="00027CC7"/>
    <w:rsid w:val="0003157E"/>
    <w:rsid w:val="00034429"/>
    <w:rsid w:val="00034D1A"/>
    <w:rsid w:val="00034EE2"/>
    <w:rsid w:val="00036D6A"/>
    <w:rsid w:val="00037439"/>
    <w:rsid w:val="00040CB8"/>
    <w:rsid w:val="00041145"/>
    <w:rsid w:val="00041F0A"/>
    <w:rsid w:val="000446C8"/>
    <w:rsid w:val="0004587A"/>
    <w:rsid w:val="000459AD"/>
    <w:rsid w:val="000475F8"/>
    <w:rsid w:val="00047760"/>
    <w:rsid w:val="00051FB4"/>
    <w:rsid w:val="00052408"/>
    <w:rsid w:val="0005557A"/>
    <w:rsid w:val="00055ED5"/>
    <w:rsid w:val="00056575"/>
    <w:rsid w:val="00057031"/>
    <w:rsid w:val="0006027A"/>
    <w:rsid w:val="000602AA"/>
    <w:rsid w:val="00060ADC"/>
    <w:rsid w:val="00060ED4"/>
    <w:rsid w:val="00062C1D"/>
    <w:rsid w:val="00062DE1"/>
    <w:rsid w:val="000630F5"/>
    <w:rsid w:val="000631A0"/>
    <w:rsid w:val="00065420"/>
    <w:rsid w:val="00065683"/>
    <w:rsid w:val="000660B3"/>
    <w:rsid w:val="000660DC"/>
    <w:rsid w:val="000665A9"/>
    <w:rsid w:val="000679A0"/>
    <w:rsid w:val="0007101E"/>
    <w:rsid w:val="0007128F"/>
    <w:rsid w:val="000715B1"/>
    <w:rsid w:val="00071660"/>
    <w:rsid w:val="00071F25"/>
    <w:rsid w:val="000720C9"/>
    <w:rsid w:val="000726BA"/>
    <w:rsid w:val="000729D7"/>
    <w:rsid w:val="00072B53"/>
    <w:rsid w:val="0007405A"/>
    <w:rsid w:val="00076CD3"/>
    <w:rsid w:val="000775DD"/>
    <w:rsid w:val="00077B1D"/>
    <w:rsid w:val="00077C53"/>
    <w:rsid w:val="00080CF3"/>
    <w:rsid w:val="00082B7A"/>
    <w:rsid w:val="00082D37"/>
    <w:rsid w:val="00083732"/>
    <w:rsid w:val="00087303"/>
    <w:rsid w:val="0009064F"/>
    <w:rsid w:val="000917C0"/>
    <w:rsid w:val="00092374"/>
    <w:rsid w:val="000951DE"/>
    <w:rsid w:val="0009665D"/>
    <w:rsid w:val="000976D8"/>
    <w:rsid w:val="000978D8"/>
    <w:rsid w:val="000A0B79"/>
    <w:rsid w:val="000A0D1E"/>
    <w:rsid w:val="000A1C8E"/>
    <w:rsid w:val="000A31AC"/>
    <w:rsid w:val="000A34D1"/>
    <w:rsid w:val="000A5935"/>
    <w:rsid w:val="000A7430"/>
    <w:rsid w:val="000B040D"/>
    <w:rsid w:val="000B07FC"/>
    <w:rsid w:val="000B0E06"/>
    <w:rsid w:val="000B12E6"/>
    <w:rsid w:val="000B14E1"/>
    <w:rsid w:val="000B178F"/>
    <w:rsid w:val="000B2504"/>
    <w:rsid w:val="000B3701"/>
    <w:rsid w:val="000B50EC"/>
    <w:rsid w:val="000B5B8A"/>
    <w:rsid w:val="000B5FF9"/>
    <w:rsid w:val="000B6045"/>
    <w:rsid w:val="000B63BB"/>
    <w:rsid w:val="000B7093"/>
    <w:rsid w:val="000B7927"/>
    <w:rsid w:val="000C0592"/>
    <w:rsid w:val="000C0A24"/>
    <w:rsid w:val="000C0D2E"/>
    <w:rsid w:val="000C0D37"/>
    <w:rsid w:val="000C15F6"/>
    <w:rsid w:val="000C2B4A"/>
    <w:rsid w:val="000C31A4"/>
    <w:rsid w:val="000C47D6"/>
    <w:rsid w:val="000D00EE"/>
    <w:rsid w:val="000D04B7"/>
    <w:rsid w:val="000D06D6"/>
    <w:rsid w:val="000D0BDA"/>
    <w:rsid w:val="000D12CD"/>
    <w:rsid w:val="000D1EAD"/>
    <w:rsid w:val="000D39BB"/>
    <w:rsid w:val="000D3C21"/>
    <w:rsid w:val="000D42B8"/>
    <w:rsid w:val="000D4753"/>
    <w:rsid w:val="000D5F29"/>
    <w:rsid w:val="000D6BC3"/>
    <w:rsid w:val="000D7852"/>
    <w:rsid w:val="000D7C12"/>
    <w:rsid w:val="000D7ECB"/>
    <w:rsid w:val="000E15B1"/>
    <w:rsid w:val="000E1A33"/>
    <w:rsid w:val="000E1B41"/>
    <w:rsid w:val="000E1DC9"/>
    <w:rsid w:val="000E208A"/>
    <w:rsid w:val="000E2350"/>
    <w:rsid w:val="000E4770"/>
    <w:rsid w:val="000E4B2C"/>
    <w:rsid w:val="000E4D3E"/>
    <w:rsid w:val="000E5BE5"/>
    <w:rsid w:val="000E6664"/>
    <w:rsid w:val="000F062C"/>
    <w:rsid w:val="000F1883"/>
    <w:rsid w:val="000F1DBB"/>
    <w:rsid w:val="000F232E"/>
    <w:rsid w:val="000F26E6"/>
    <w:rsid w:val="000F29D9"/>
    <w:rsid w:val="000F2E1B"/>
    <w:rsid w:val="000F312B"/>
    <w:rsid w:val="000F36AA"/>
    <w:rsid w:val="000F5D49"/>
    <w:rsid w:val="000F61A4"/>
    <w:rsid w:val="000F7186"/>
    <w:rsid w:val="000F773F"/>
    <w:rsid w:val="001005FB"/>
    <w:rsid w:val="001021AB"/>
    <w:rsid w:val="00102E16"/>
    <w:rsid w:val="0010350C"/>
    <w:rsid w:val="00103927"/>
    <w:rsid w:val="00103C47"/>
    <w:rsid w:val="00103CF5"/>
    <w:rsid w:val="00104810"/>
    <w:rsid w:val="00105D0E"/>
    <w:rsid w:val="00105D92"/>
    <w:rsid w:val="00106BDB"/>
    <w:rsid w:val="00110BE5"/>
    <w:rsid w:val="00110F19"/>
    <w:rsid w:val="00112887"/>
    <w:rsid w:val="00112B96"/>
    <w:rsid w:val="001142B0"/>
    <w:rsid w:val="0011430F"/>
    <w:rsid w:val="00114465"/>
    <w:rsid w:val="0011455D"/>
    <w:rsid w:val="001161F0"/>
    <w:rsid w:val="00116672"/>
    <w:rsid w:val="001173DA"/>
    <w:rsid w:val="00117825"/>
    <w:rsid w:val="00117BE8"/>
    <w:rsid w:val="00120017"/>
    <w:rsid w:val="00120C73"/>
    <w:rsid w:val="00120D01"/>
    <w:rsid w:val="001212EC"/>
    <w:rsid w:val="00121F50"/>
    <w:rsid w:val="001237AE"/>
    <w:rsid w:val="001238F2"/>
    <w:rsid w:val="00123CF1"/>
    <w:rsid w:val="00123F68"/>
    <w:rsid w:val="00124B0A"/>
    <w:rsid w:val="001251E2"/>
    <w:rsid w:val="00130B12"/>
    <w:rsid w:val="001310BD"/>
    <w:rsid w:val="00132AB6"/>
    <w:rsid w:val="001354D0"/>
    <w:rsid w:val="001363DC"/>
    <w:rsid w:val="00136FE5"/>
    <w:rsid w:val="00137247"/>
    <w:rsid w:val="001415D0"/>
    <w:rsid w:val="001418F2"/>
    <w:rsid w:val="0014193E"/>
    <w:rsid w:val="00141BE9"/>
    <w:rsid w:val="00144663"/>
    <w:rsid w:val="00145704"/>
    <w:rsid w:val="0015045A"/>
    <w:rsid w:val="00150578"/>
    <w:rsid w:val="00150F95"/>
    <w:rsid w:val="00151E3B"/>
    <w:rsid w:val="0015221F"/>
    <w:rsid w:val="00156138"/>
    <w:rsid w:val="00156353"/>
    <w:rsid w:val="00156410"/>
    <w:rsid w:val="0015646F"/>
    <w:rsid w:val="0015709B"/>
    <w:rsid w:val="0016006C"/>
    <w:rsid w:val="00163129"/>
    <w:rsid w:val="001638A3"/>
    <w:rsid w:val="00163AB4"/>
    <w:rsid w:val="00164928"/>
    <w:rsid w:val="00165FD9"/>
    <w:rsid w:val="001665FC"/>
    <w:rsid w:val="001670EF"/>
    <w:rsid w:val="00167555"/>
    <w:rsid w:val="001701A5"/>
    <w:rsid w:val="0017074B"/>
    <w:rsid w:val="00171C8B"/>
    <w:rsid w:val="00172057"/>
    <w:rsid w:val="00173048"/>
    <w:rsid w:val="00173071"/>
    <w:rsid w:val="00173185"/>
    <w:rsid w:val="00173E6C"/>
    <w:rsid w:val="0017420E"/>
    <w:rsid w:val="00174805"/>
    <w:rsid w:val="00174886"/>
    <w:rsid w:val="001770B7"/>
    <w:rsid w:val="001777E9"/>
    <w:rsid w:val="001800FB"/>
    <w:rsid w:val="001813B1"/>
    <w:rsid w:val="00181504"/>
    <w:rsid w:val="00181A43"/>
    <w:rsid w:val="00182BE7"/>
    <w:rsid w:val="00183682"/>
    <w:rsid w:val="00183C76"/>
    <w:rsid w:val="001848E7"/>
    <w:rsid w:val="00185586"/>
    <w:rsid w:val="00185B18"/>
    <w:rsid w:val="00186146"/>
    <w:rsid w:val="0018704F"/>
    <w:rsid w:val="001875DE"/>
    <w:rsid w:val="001904BA"/>
    <w:rsid w:val="00190893"/>
    <w:rsid w:val="001920BF"/>
    <w:rsid w:val="0019226C"/>
    <w:rsid w:val="001922C9"/>
    <w:rsid w:val="0019231C"/>
    <w:rsid w:val="00192597"/>
    <w:rsid w:val="00193364"/>
    <w:rsid w:val="00193EFE"/>
    <w:rsid w:val="00194897"/>
    <w:rsid w:val="00196D31"/>
    <w:rsid w:val="00197365"/>
    <w:rsid w:val="00197B82"/>
    <w:rsid w:val="001A0B09"/>
    <w:rsid w:val="001A1791"/>
    <w:rsid w:val="001A1B88"/>
    <w:rsid w:val="001A33EF"/>
    <w:rsid w:val="001A3521"/>
    <w:rsid w:val="001A4224"/>
    <w:rsid w:val="001A540D"/>
    <w:rsid w:val="001A5F19"/>
    <w:rsid w:val="001A67A8"/>
    <w:rsid w:val="001A6B2A"/>
    <w:rsid w:val="001B17EA"/>
    <w:rsid w:val="001B2F5F"/>
    <w:rsid w:val="001B3474"/>
    <w:rsid w:val="001B3859"/>
    <w:rsid w:val="001B4177"/>
    <w:rsid w:val="001B51D6"/>
    <w:rsid w:val="001B5803"/>
    <w:rsid w:val="001B649C"/>
    <w:rsid w:val="001B658E"/>
    <w:rsid w:val="001C0492"/>
    <w:rsid w:val="001C0C04"/>
    <w:rsid w:val="001C2958"/>
    <w:rsid w:val="001C3C6A"/>
    <w:rsid w:val="001C7751"/>
    <w:rsid w:val="001D0039"/>
    <w:rsid w:val="001D0E38"/>
    <w:rsid w:val="001D16F4"/>
    <w:rsid w:val="001D1A32"/>
    <w:rsid w:val="001D3208"/>
    <w:rsid w:val="001D578A"/>
    <w:rsid w:val="001D5B09"/>
    <w:rsid w:val="001D5D94"/>
    <w:rsid w:val="001D60DE"/>
    <w:rsid w:val="001D76FB"/>
    <w:rsid w:val="001D7C63"/>
    <w:rsid w:val="001E0580"/>
    <w:rsid w:val="001E0976"/>
    <w:rsid w:val="001E2AF4"/>
    <w:rsid w:val="001E2C6F"/>
    <w:rsid w:val="001E2FEC"/>
    <w:rsid w:val="001E3186"/>
    <w:rsid w:val="001E31D2"/>
    <w:rsid w:val="001E41ED"/>
    <w:rsid w:val="001E4349"/>
    <w:rsid w:val="001E4C54"/>
    <w:rsid w:val="001E4D86"/>
    <w:rsid w:val="001E61A8"/>
    <w:rsid w:val="001E6A39"/>
    <w:rsid w:val="001F058A"/>
    <w:rsid w:val="001F1829"/>
    <w:rsid w:val="001F2189"/>
    <w:rsid w:val="001F26DD"/>
    <w:rsid w:val="001F4168"/>
    <w:rsid w:val="001F603B"/>
    <w:rsid w:val="001F6FFF"/>
    <w:rsid w:val="00200454"/>
    <w:rsid w:val="00203649"/>
    <w:rsid w:val="0020454A"/>
    <w:rsid w:val="002049FB"/>
    <w:rsid w:val="00204ECF"/>
    <w:rsid w:val="002050BC"/>
    <w:rsid w:val="002059B0"/>
    <w:rsid w:val="00205A23"/>
    <w:rsid w:val="002061EA"/>
    <w:rsid w:val="00206350"/>
    <w:rsid w:val="002071FB"/>
    <w:rsid w:val="00207B2F"/>
    <w:rsid w:val="00210485"/>
    <w:rsid w:val="00212B00"/>
    <w:rsid w:val="00212C3A"/>
    <w:rsid w:val="00213321"/>
    <w:rsid w:val="002133AC"/>
    <w:rsid w:val="002139A2"/>
    <w:rsid w:val="002140F2"/>
    <w:rsid w:val="002156FB"/>
    <w:rsid w:val="00216419"/>
    <w:rsid w:val="00217BED"/>
    <w:rsid w:val="0022259F"/>
    <w:rsid w:val="002232EE"/>
    <w:rsid w:val="002253D4"/>
    <w:rsid w:val="00225DDF"/>
    <w:rsid w:val="00226297"/>
    <w:rsid w:val="002277E3"/>
    <w:rsid w:val="002300ED"/>
    <w:rsid w:val="002312E0"/>
    <w:rsid w:val="00231471"/>
    <w:rsid w:val="00231FEC"/>
    <w:rsid w:val="00232F06"/>
    <w:rsid w:val="00233520"/>
    <w:rsid w:val="0023419E"/>
    <w:rsid w:val="00236F32"/>
    <w:rsid w:val="0023786D"/>
    <w:rsid w:val="00237EE5"/>
    <w:rsid w:val="002406C3"/>
    <w:rsid w:val="00241954"/>
    <w:rsid w:val="0024262B"/>
    <w:rsid w:val="0024393F"/>
    <w:rsid w:val="00244F9C"/>
    <w:rsid w:val="00245D3F"/>
    <w:rsid w:val="00245F60"/>
    <w:rsid w:val="00246FD6"/>
    <w:rsid w:val="002502D5"/>
    <w:rsid w:val="00250EF6"/>
    <w:rsid w:val="00251372"/>
    <w:rsid w:val="002520EB"/>
    <w:rsid w:val="00252E2F"/>
    <w:rsid w:val="002546A9"/>
    <w:rsid w:val="00255A4F"/>
    <w:rsid w:val="0025739B"/>
    <w:rsid w:val="00257B73"/>
    <w:rsid w:val="00260521"/>
    <w:rsid w:val="0026096D"/>
    <w:rsid w:val="00261097"/>
    <w:rsid w:val="00262594"/>
    <w:rsid w:val="00262E6A"/>
    <w:rsid w:val="00262EAC"/>
    <w:rsid w:val="002662A3"/>
    <w:rsid w:val="00266350"/>
    <w:rsid w:val="002664CB"/>
    <w:rsid w:val="00266D60"/>
    <w:rsid w:val="002679B7"/>
    <w:rsid w:val="0027025F"/>
    <w:rsid w:val="0027349D"/>
    <w:rsid w:val="00275D62"/>
    <w:rsid w:val="00276679"/>
    <w:rsid w:val="00276C2E"/>
    <w:rsid w:val="00277E54"/>
    <w:rsid w:val="00280C3F"/>
    <w:rsid w:val="00281C63"/>
    <w:rsid w:val="0028246F"/>
    <w:rsid w:val="00286EF7"/>
    <w:rsid w:val="00286F30"/>
    <w:rsid w:val="00286F4F"/>
    <w:rsid w:val="00291644"/>
    <w:rsid w:val="002938EA"/>
    <w:rsid w:val="0029428E"/>
    <w:rsid w:val="002944DF"/>
    <w:rsid w:val="00295655"/>
    <w:rsid w:val="002969ED"/>
    <w:rsid w:val="00296ACA"/>
    <w:rsid w:val="002976A5"/>
    <w:rsid w:val="00297B12"/>
    <w:rsid w:val="00297B88"/>
    <w:rsid w:val="00297D23"/>
    <w:rsid w:val="002A198A"/>
    <w:rsid w:val="002A2063"/>
    <w:rsid w:val="002A224E"/>
    <w:rsid w:val="002A77B6"/>
    <w:rsid w:val="002B296E"/>
    <w:rsid w:val="002B3083"/>
    <w:rsid w:val="002B3CEE"/>
    <w:rsid w:val="002B3D24"/>
    <w:rsid w:val="002B47D5"/>
    <w:rsid w:val="002B5745"/>
    <w:rsid w:val="002B615D"/>
    <w:rsid w:val="002B6F5F"/>
    <w:rsid w:val="002B757B"/>
    <w:rsid w:val="002C147F"/>
    <w:rsid w:val="002C2324"/>
    <w:rsid w:val="002C383A"/>
    <w:rsid w:val="002C3B1F"/>
    <w:rsid w:val="002C428C"/>
    <w:rsid w:val="002C44C2"/>
    <w:rsid w:val="002C5E8C"/>
    <w:rsid w:val="002C676E"/>
    <w:rsid w:val="002D02DE"/>
    <w:rsid w:val="002D0316"/>
    <w:rsid w:val="002D07CA"/>
    <w:rsid w:val="002D2700"/>
    <w:rsid w:val="002D557C"/>
    <w:rsid w:val="002D71BB"/>
    <w:rsid w:val="002D7A18"/>
    <w:rsid w:val="002E048A"/>
    <w:rsid w:val="002E0CA8"/>
    <w:rsid w:val="002E12BD"/>
    <w:rsid w:val="002E23C9"/>
    <w:rsid w:val="002E46BE"/>
    <w:rsid w:val="002E4813"/>
    <w:rsid w:val="002E5538"/>
    <w:rsid w:val="002E5662"/>
    <w:rsid w:val="002E6767"/>
    <w:rsid w:val="002E77CD"/>
    <w:rsid w:val="002F1F0D"/>
    <w:rsid w:val="002F269F"/>
    <w:rsid w:val="002F2870"/>
    <w:rsid w:val="002F318E"/>
    <w:rsid w:val="002F569E"/>
    <w:rsid w:val="002F599C"/>
    <w:rsid w:val="002F5ED3"/>
    <w:rsid w:val="002F69B4"/>
    <w:rsid w:val="002F70FA"/>
    <w:rsid w:val="002F7158"/>
    <w:rsid w:val="00300810"/>
    <w:rsid w:val="00300F15"/>
    <w:rsid w:val="00300F8B"/>
    <w:rsid w:val="00302D0A"/>
    <w:rsid w:val="00306DCC"/>
    <w:rsid w:val="003077A3"/>
    <w:rsid w:val="00310137"/>
    <w:rsid w:val="003102DD"/>
    <w:rsid w:val="00310716"/>
    <w:rsid w:val="00311226"/>
    <w:rsid w:val="0031332B"/>
    <w:rsid w:val="003133AA"/>
    <w:rsid w:val="003133EB"/>
    <w:rsid w:val="00313C1C"/>
    <w:rsid w:val="00313D6E"/>
    <w:rsid w:val="00315D7B"/>
    <w:rsid w:val="0031658F"/>
    <w:rsid w:val="00317F0E"/>
    <w:rsid w:val="0032074C"/>
    <w:rsid w:val="003215C3"/>
    <w:rsid w:val="0032167B"/>
    <w:rsid w:val="00322C4F"/>
    <w:rsid w:val="0032609B"/>
    <w:rsid w:val="00326955"/>
    <w:rsid w:val="00326E5E"/>
    <w:rsid w:val="00326F22"/>
    <w:rsid w:val="00327DDA"/>
    <w:rsid w:val="00327F98"/>
    <w:rsid w:val="0033070D"/>
    <w:rsid w:val="003309AD"/>
    <w:rsid w:val="00331427"/>
    <w:rsid w:val="003344E7"/>
    <w:rsid w:val="00335AE1"/>
    <w:rsid w:val="003365E9"/>
    <w:rsid w:val="0034104C"/>
    <w:rsid w:val="003476DA"/>
    <w:rsid w:val="00347F49"/>
    <w:rsid w:val="00350260"/>
    <w:rsid w:val="0035071C"/>
    <w:rsid w:val="0035073C"/>
    <w:rsid w:val="00351364"/>
    <w:rsid w:val="00351D60"/>
    <w:rsid w:val="00351EA5"/>
    <w:rsid w:val="00352141"/>
    <w:rsid w:val="00352E3A"/>
    <w:rsid w:val="00354936"/>
    <w:rsid w:val="00355DBF"/>
    <w:rsid w:val="00356442"/>
    <w:rsid w:val="00356CF8"/>
    <w:rsid w:val="00357F1C"/>
    <w:rsid w:val="00360A0A"/>
    <w:rsid w:val="00360EED"/>
    <w:rsid w:val="003617F4"/>
    <w:rsid w:val="0036492A"/>
    <w:rsid w:val="0036502C"/>
    <w:rsid w:val="00365041"/>
    <w:rsid w:val="0036683C"/>
    <w:rsid w:val="00367280"/>
    <w:rsid w:val="00370413"/>
    <w:rsid w:val="0037139F"/>
    <w:rsid w:val="003720DE"/>
    <w:rsid w:val="0037276D"/>
    <w:rsid w:val="00374DB1"/>
    <w:rsid w:val="00376138"/>
    <w:rsid w:val="003762C9"/>
    <w:rsid w:val="0037738D"/>
    <w:rsid w:val="00377C79"/>
    <w:rsid w:val="00380221"/>
    <w:rsid w:val="00380739"/>
    <w:rsid w:val="00380CC1"/>
    <w:rsid w:val="00381449"/>
    <w:rsid w:val="00382297"/>
    <w:rsid w:val="003822D9"/>
    <w:rsid w:val="00382F8B"/>
    <w:rsid w:val="00384AF6"/>
    <w:rsid w:val="00384C1D"/>
    <w:rsid w:val="00385086"/>
    <w:rsid w:val="00385336"/>
    <w:rsid w:val="003862BC"/>
    <w:rsid w:val="003963DF"/>
    <w:rsid w:val="00396BC8"/>
    <w:rsid w:val="00396E9B"/>
    <w:rsid w:val="003A02D0"/>
    <w:rsid w:val="003A0BCE"/>
    <w:rsid w:val="003A0F1A"/>
    <w:rsid w:val="003A1071"/>
    <w:rsid w:val="003A232A"/>
    <w:rsid w:val="003A3A0E"/>
    <w:rsid w:val="003A3A47"/>
    <w:rsid w:val="003A473F"/>
    <w:rsid w:val="003A59B4"/>
    <w:rsid w:val="003A6890"/>
    <w:rsid w:val="003B0204"/>
    <w:rsid w:val="003B1603"/>
    <w:rsid w:val="003B165E"/>
    <w:rsid w:val="003B2731"/>
    <w:rsid w:val="003B5213"/>
    <w:rsid w:val="003B7379"/>
    <w:rsid w:val="003C0DE6"/>
    <w:rsid w:val="003C163B"/>
    <w:rsid w:val="003C1A45"/>
    <w:rsid w:val="003C1DF6"/>
    <w:rsid w:val="003C2170"/>
    <w:rsid w:val="003C2453"/>
    <w:rsid w:val="003C297C"/>
    <w:rsid w:val="003C3848"/>
    <w:rsid w:val="003C4D9B"/>
    <w:rsid w:val="003C562B"/>
    <w:rsid w:val="003C6F4F"/>
    <w:rsid w:val="003C6FF0"/>
    <w:rsid w:val="003C7430"/>
    <w:rsid w:val="003C7B48"/>
    <w:rsid w:val="003D0090"/>
    <w:rsid w:val="003D0C27"/>
    <w:rsid w:val="003D0F9C"/>
    <w:rsid w:val="003D32C0"/>
    <w:rsid w:val="003D36DB"/>
    <w:rsid w:val="003D370D"/>
    <w:rsid w:val="003D40D9"/>
    <w:rsid w:val="003D44BF"/>
    <w:rsid w:val="003D497B"/>
    <w:rsid w:val="003D4CD2"/>
    <w:rsid w:val="003D5186"/>
    <w:rsid w:val="003D6247"/>
    <w:rsid w:val="003D6C69"/>
    <w:rsid w:val="003D7D01"/>
    <w:rsid w:val="003E0DFA"/>
    <w:rsid w:val="003E370A"/>
    <w:rsid w:val="003E4625"/>
    <w:rsid w:val="003E4C02"/>
    <w:rsid w:val="003E4C76"/>
    <w:rsid w:val="003E4F0E"/>
    <w:rsid w:val="003E7BCB"/>
    <w:rsid w:val="003F0551"/>
    <w:rsid w:val="003F0EC4"/>
    <w:rsid w:val="003F5896"/>
    <w:rsid w:val="003F5E5F"/>
    <w:rsid w:val="003F7726"/>
    <w:rsid w:val="00400DE2"/>
    <w:rsid w:val="004019A9"/>
    <w:rsid w:val="0040210B"/>
    <w:rsid w:val="004026EF"/>
    <w:rsid w:val="0040422F"/>
    <w:rsid w:val="00404750"/>
    <w:rsid w:val="00405C80"/>
    <w:rsid w:val="00410A79"/>
    <w:rsid w:val="00412A0F"/>
    <w:rsid w:val="004153D2"/>
    <w:rsid w:val="004172C2"/>
    <w:rsid w:val="004173E1"/>
    <w:rsid w:val="00421CAF"/>
    <w:rsid w:val="00422BC4"/>
    <w:rsid w:val="00423107"/>
    <w:rsid w:val="0042359C"/>
    <w:rsid w:val="00424091"/>
    <w:rsid w:val="0042453D"/>
    <w:rsid w:val="00424D1B"/>
    <w:rsid w:val="00424D41"/>
    <w:rsid w:val="004250A7"/>
    <w:rsid w:val="00425FD0"/>
    <w:rsid w:val="0042640C"/>
    <w:rsid w:val="0042681C"/>
    <w:rsid w:val="0042787B"/>
    <w:rsid w:val="00430327"/>
    <w:rsid w:val="00431A3C"/>
    <w:rsid w:val="00433D6A"/>
    <w:rsid w:val="0043469C"/>
    <w:rsid w:val="00434A93"/>
    <w:rsid w:val="00435B08"/>
    <w:rsid w:val="00436064"/>
    <w:rsid w:val="004368F3"/>
    <w:rsid w:val="00437587"/>
    <w:rsid w:val="00440D73"/>
    <w:rsid w:val="00441129"/>
    <w:rsid w:val="004417EA"/>
    <w:rsid w:val="00444B52"/>
    <w:rsid w:val="004453D2"/>
    <w:rsid w:val="00447ADE"/>
    <w:rsid w:val="0045080F"/>
    <w:rsid w:val="004510B6"/>
    <w:rsid w:val="00451396"/>
    <w:rsid w:val="00451B8B"/>
    <w:rsid w:val="004524E4"/>
    <w:rsid w:val="00452652"/>
    <w:rsid w:val="0045361E"/>
    <w:rsid w:val="00454AE2"/>
    <w:rsid w:val="00456559"/>
    <w:rsid w:val="00456665"/>
    <w:rsid w:val="00457038"/>
    <w:rsid w:val="0045754F"/>
    <w:rsid w:val="00460F1A"/>
    <w:rsid w:val="00461095"/>
    <w:rsid w:val="004615A8"/>
    <w:rsid w:val="004627E3"/>
    <w:rsid w:val="00462C79"/>
    <w:rsid w:val="00462F61"/>
    <w:rsid w:val="004632CD"/>
    <w:rsid w:val="00463594"/>
    <w:rsid w:val="00464440"/>
    <w:rsid w:val="00464C0E"/>
    <w:rsid w:val="00465475"/>
    <w:rsid w:val="00466C88"/>
    <w:rsid w:val="00466C9A"/>
    <w:rsid w:val="004671F7"/>
    <w:rsid w:val="00470DC1"/>
    <w:rsid w:val="0047137B"/>
    <w:rsid w:val="00471630"/>
    <w:rsid w:val="00472CE7"/>
    <w:rsid w:val="00475954"/>
    <w:rsid w:val="00475DD1"/>
    <w:rsid w:val="00476C0B"/>
    <w:rsid w:val="00476DA3"/>
    <w:rsid w:val="004810AD"/>
    <w:rsid w:val="00482107"/>
    <w:rsid w:val="004828AE"/>
    <w:rsid w:val="004830D9"/>
    <w:rsid w:val="0048336B"/>
    <w:rsid w:val="0048365A"/>
    <w:rsid w:val="004836DD"/>
    <w:rsid w:val="0048387E"/>
    <w:rsid w:val="00484218"/>
    <w:rsid w:val="00485176"/>
    <w:rsid w:val="004878F5"/>
    <w:rsid w:val="00487997"/>
    <w:rsid w:val="00490E2E"/>
    <w:rsid w:val="0049145C"/>
    <w:rsid w:val="00491984"/>
    <w:rsid w:val="004925CE"/>
    <w:rsid w:val="00492651"/>
    <w:rsid w:val="004938A1"/>
    <w:rsid w:val="004946F4"/>
    <w:rsid w:val="00494A7B"/>
    <w:rsid w:val="00496FAE"/>
    <w:rsid w:val="00497498"/>
    <w:rsid w:val="00497A92"/>
    <w:rsid w:val="00497D47"/>
    <w:rsid w:val="004A0744"/>
    <w:rsid w:val="004A07A3"/>
    <w:rsid w:val="004A1D60"/>
    <w:rsid w:val="004A22A9"/>
    <w:rsid w:val="004A449C"/>
    <w:rsid w:val="004A4501"/>
    <w:rsid w:val="004A5086"/>
    <w:rsid w:val="004A523C"/>
    <w:rsid w:val="004A78C4"/>
    <w:rsid w:val="004A7E64"/>
    <w:rsid w:val="004A7F5C"/>
    <w:rsid w:val="004B0009"/>
    <w:rsid w:val="004B747E"/>
    <w:rsid w:val="004B77A9"/>
    <w:rsid w:val="004B7DF9"/>
    <w:rsid w:val="004B7FD3"/>
    <w:rsid w:val="004C1992"/>
    <w:rsid w:val="004C3061"/>
    <w:rsid w:val="004C3F5D"/>
    <w:rsid w:val="004C482A"/>
    <w:rsid w:val="004D04D0"/>
    <w:rsid w:val="004D060C"/>
    <w:rsid w:val="004D4894"/>
    <w:rsid w:val="004D5786"/>
    <w:rsid w:val="004D5C5D"/>
    <w:rsid w:val="004D6DD3"/>
    <w:rsid w:val="004D73FA"/>
    <w:rsid w:val="004D7965"/>
    <w:rsid w:val="004E1ADE"/>
    <w:rsid w:val="004E2AF4"/>
    <w:rsid w:val="004E2C6A"/>
    <w:rsid w:val="004E4960"/>
    <w:rsid w:val="004E7F82"/>
    <w:rsid w:val="004F0854"/>
    <w:rsid w:val="004F0970"/>
    <w:rsid w:val="004F0E96"/>
    <w:rsid w:val="004F1431"/>
    <w:rsid w:val="004F1569"/>
    <w:rsid w:val="004F2A23"/>
    <w:rsid w:val="004F503A"/>
    <w:rsid w:val="004F5070"/>
    <w:rsid w:val="004F5D99"/>
    <w:rsid w:val="004F7595"/>
    <w:rsid w:val="004F7AB4"/>
    <w:rsid w:val="00501117"/>
    <w:rsid w:val="005021A7"/>
    <w:rsid w:val="0050225D"/>
    <w:rsid w:val="00502E3B"/>
    <w:rsid w:val="005044FF"/>
    <w:rsid w:val="00504B94"/>
    <w:rsid w:val="00507E03"/>
    <w:rsid w:val="005104E8"/>
    <w:rsid w:val="00510DDF"/>
    <w:rsid w:val="0051145C"/>
    <w:rsid w:val="00511C4E"/>
    <w:rsid w:val="00513455"/>
    <w:rsid w:val="00514157"/>
    <w:rsid w:val="00514A23"/>
    <w:rsid w:val="005153AB"/>
    <w:rsid w:val="00516FEA"/>
    <w:rsid w:val="00517B2E"/>
    <w:rsid w:val="00520589"/>
    <w:rsid w:val="00520644"/>
    <w:rsid w:val="0052080A"/>
    <w:rsid w:val="005212B9"/>
    <w:rsid w:val="0052181E"/>
    <w:rsid w:val="005242A5"/>
    <w:rsid w:val="005257A5"/>
    <w:rsid w:val="00525E52"/>
    <w:rsid w:val="00527922"/>
    <w:rsid w:val="00530CBF"/>
    <w:rsid w:val="00530CF2"/>
    <w:rsid w:val="00531F9A"/>
    <w:rsid w:val="0053260B"/>
    <w:rsid w:val="00533607"/>
    <w:rsid w:val="00533873"/>
    <w:rsid w:val="00533A53"/>
    <w:rsid w:val="00533B80"/>
    <w:rsid w:val="00534FF4"/>
    <w:rsid w:val="00535338"/>
    <w:rsid w:val="00535B3D"/>
    <w:rsid w:val="00536912"/>
    <w:rsid w:val="00536E0C"/>
    <w:rsid w:val="005407BA"/>
    <w:rsid w:val="00541800"/>
    <w:rsid w:val="00541EC4"/>
    <w:rsid w:val="005426FE"/>
    <w:rsid w:val="0054302D"/>
    <w:rsid w:val="005431DD"/>
    <w:rsid w:val="0054389D"/>
    <w:rsid w:val="00543F6D"/>
    <w:rsid w:val="005444E3"/>
    <w:rsid w:val="00545AF4"/>
    <w:rsid w:val="0054725F"/>
    <w:rsid w:val="005504ED"/>
    <w:rsid w:val="00550C9C"/>
    <w:rsid w:val="00551EAF"/>
    <w:rsid w:val="00553578"/>
    <w:rsid w:val="00555C5F"/>
    <w:rsid w:val="00555D89"/>
    <w:rsid w:val="00557195"/>
    <w:rsid w:val="0055783C"/>
    <w:rsid w:val="00557D48"/>
    <w:rsid w:val="0056151D"/>
    <w:rsid w:val="00563158"/>
    <w:rsid w:val="00564773"/>
    <w:rsid w:val="005655F5"/>
    <w:rsid w:val="005661B3"/>
    <w:rsid w:val="0056623C"/>
    <w:rsid w:val="00566253"/>
    <w:rsid w:val="005676A6"/>
    <w:rsid w:val="00567C6D"/>
    <w:rsid w:val="00572E64"/>
    <w:rsid w:val="00572F7E"/>
    <w:rsid w:val="0057374F"/>
    <w:rsid w:val="0057464A"/>
    <w:rsid w:val="005761CC"/>
    <w:rsid w:val="0058095B"/>
    <w:rsid w:val="005823D9"/>
    <w:rsid w:val="005825FC"/>
    <w:rsid w:val="00582E73"/>
    <w:rsid w:val="0058377C"/>
    <w:rsid w:val="00583DCD"/>
    <w:rsid w:val="00583E44"/>
    <w:rsid w:val="00583FA7"/>
    <w:rsid w:val="0058600D"/>
    <w:rsid w:val="00590BB6"/>
    <w:rsid w:val="00591A34"/>
    <w:rsid w:val="00591C77"/>
    <w:rsid w:val="00593D43"/>
    <w:rsid w:val="005943D7"/>
    <w:rsid w:val="00594908"/>
    <w:rsid w:val="005956A9"/>
    <w:rsid w:val="005957D8"/>
    <w:rsid w:val="0059598C"/>
    <w:rsid w:val="00596041"/>
    <w:rsid w:val="005A0E28"/>
    <w:rsid w:val="005A0F08"/>
    <w:rsid w:val="005A10FB"/>
    <w:rsid w:val="005A144D"/>
    <w:rsid w:val="005A1926"/>
    <w:rsid w:val="005A2F52"/>
    <w:rsid w:val="005A3D48"/>
    <w:rsid w:val="005A6526"/>
    <w:rsid w:val="005A70BC"/>
    <w:rsid w:val="005A7233"/>
    <w:rsid w:val="005B245E"/>
    <w:rsid w:val="005B3166"/>
    <w:rsid w:val="005B4350"/>
    <w:rsid w:val="005B7130"/>
    <w:rsid w:val="005C0B21"/>
    <w:rsid w:val="005C106C"/>
    <w:rsid w:val="005C2077"/>
    <w:rsid w:val="005C2B3D"/>
    <w:rsid w:val="005C3131"/>
    <w:rsid w:val="005C35AC"/>
    <w:rsid w:val="005C3DFF"/>
    <w:rsid w:val="005C42B0"/>
    <w:rsid w:val="005C4CB8"/>
    <w:rsid w:val="005C4DB9"/>
    <w:rsid w:val="005D0AFB"/>
    <w:rsid w:val="005D192E"/>
    <w:rsid w:val="005D249C"/>
    <w:rsid w:val="005D2F58"/>
    <w:rsid w:val="005D5A60"/>
    <w:rsid w:val="005D7B60"/>
    <w:rsid w:val="005E1021"/>
    <w:rsid w:val="005E1CBA"/>
    <w:rsid w:val="005E2BB1"/>
    <w:rsid w:val="005E3145"/>
    <w:rsid w:val="005E4694"/>
    <w:rsid w:val="005E480A"/>
    <w:rsid w:val="005E5996"/>
    <w:rsid w:val="005E63AA"/>
    <w:rsid w:val="005E6595"/>
    <w:rsid w:val="005E66A2"/>
    <w:rsid w:val="005E6892"/>
    <w:rsid w:val="005E7999"/>
    <w:rsid w:val="005F021B"/>
    <w:rsid w:val="005F0880"/>
    <w:rsid w:val="005F0AA9"/>
    <w:rsid w:val="005F234F"/>
    <w:rsid w:val="005F308B"/>
    <w:rsid w:val="005F4126"/>
    <w:rsid w:val="005F5C47"/>
    <w:rsid w:val="005F7102"/>
    <w:rsid w:val="00600575"/>
    <w:rsid w:val="00600EA7"/>
    <w:rsid w:val="00601734"/>
    <w:rsid w:val="00602762"/>
    <w:rsid w:val="00602E8F"/>
    <w:rsid w:val="00604059"/>
    <w:rsid w:val="0060531F"/>
    <w:rsid w:val="0060684D"/>
    <w:rsid w:val="006069A6"/>
    <w:rsid w:val="006076F3"/>
    <w:rsid w:val="00607787"/>
    <w:rsid w:val="00607CE6"/>
    <w:rsid w:val="00607DE1"/>
    <w:rsid w:val="006103DD"/>
    <w:rsid w:val="006107AE"/>
    <w:rsid w:val="0061164A"/>
    <w:rsid w:val="00611E4A"/>
    <w:rsid w:val="00612198"/>
    <w:rsid w:val="00612838"/>
    <w:rsid w:val="0061362B"/>
    <w:rsid w:val="00614A83"/>
    <w:rsid w:val="00614B88"/>
    <w:rsid w:val="00615957"/>
    <w:rsid w:val="00616106"/>
    <w:rsid w:val="006163D1"/>
    <w:rsid w:val="006172D6"/>
    <w:rsid w:val="0061731B"/>
    <w:rsid w:val="00621504"/>
    <w:rsid w:val="00621C3A"/>
    <w:rsid w:val="006228E1"/>
    <w:rsid w:val="00625FA3"/>
    <w:rsid w:val="0063140F"/>
    <w:rsid w:val="006328BC"/>
    <w:rsid w:val="006339AE"/>
    <w:rsid w:val="00635156"/>
    <w:rsid w:val="00636221"/>
    <w:rsid w:val="00636F4D"/>
    <w:rsid w:val="00637BE0"/>
    <w:rsid w:val="0064026C"/>
    <w:rsid w:val="006408FE"/>
    <w:rsid w:val="00640C21"/>
    <w:rsid w:val="00640C64"/>
    <w:rsid w:val="00641963"/>
    <w:rsid w:val="006440BA"/>
    <w:rsid w:val="00644C05"/>
    <w:rsid w:val="00644ED4"/>
    <w:rsid w:val="0064512A"/>
    <w:rsid w:val="00645318"/>
    <w:rsid w:val="00645321"/>
    <w:rsid w:val="00645426"/>
    <w:rsid w:val="0064570D"/>
    <w:rsid w:val="00645DAA"/>
    <w:rsid w:val="00645E60"/>
    <w:rsid w:val="006460E0"/>
    <w:rsid w:val="0064622A"/>
    <w:rsid w:val="006465CA"/>
    <w:rsid w:val="00647181"/>
    <w:rsid w:val="00650452"/>
    <w:rsid w:val="00650905"/>
    <w:rsid w:val="00651FCA"/>
    <w:rsid w:val="0065305A"/>
    <w:rsid w:val="00653B04"/>
    <w:rsid w:val="00654A4D"/>
    <w:rsid w:val="00656519"/>
    <w:rsid w:val="0065731B"/>
    <w:rsid w:val="00657A33"/>
    <w:rsid w:val="006614AE"/>
    <w:rsid w:val="006616CE"/>
    <w:rsid w:val="0066266B"/>
    <w:rsid w:val="00662841"/>
    <w:rsid w:val="006647A6"/>
    <w:rsid w:val="00664E64"/>
    <w:rsid w:val="00665ED0"/>
    <w:rsid w:val="00667557"/>
    <w:rsid w:val="006710C0"/>
    <w:rsid w:val="006733B8"/>
    <w:rsid w:val="00673B00"/>
    <w:rsid w:val="00676468"/>
    <w:rsid w:val="00677FA3"/>
    <w:rsid w:val="00680B88"/>
    <w:rsid w:val="00681B5A"/>
    <w:rsid w:val="00681CA2"/>
    <w:rsid w:val="00681D30"/>
    <w:rsid w:val="006820D7"/>
    <w:rsid w:val="00682389"/>
    <w:rsid w:val="00682FAA"/>
    <w:rsid w:val="0068309A"/>
    <w:rsid w:val="00683403"/>
    <w:rsid w:val="00683487"/>
    <w:rsid w:val="00683813"/>
    <w:rsid w:val="00683E26"/>
    <w:rsid w:val="00683E57"/>
    <w:rsid w:val="00683F88"/>
    <w:rsid w:val="006841CD"/>
    <w:rsid w:val="00684D0E"/>
    <w:rsid w:val="0068558E"/>
    <w:rsid w:val="00687413"/>
    <w:rsid w:val="006907FA"/>
    <w:rsid w:val="00691112"/>
    <w:rsid w:val="006921B5"/>
    <w:rsid w:val="0069419B"/>
    <w:rsid w:val="00694D65"/>
    <w:rsid w:val="00696290"/>
    <w:rsid w:val="0069697D"/>
    <w:rsid w:val="006974E9"/>
    <w:rsid w:val="00697E5B"/>
    <w:rsid w:val="006A0022"/>
    <w:rsid w:val="006A042E"/>
    <w:rsid w:val="006A17B6"/>
    <w:rsid w:val="006A1A37"/>
    <w:rsid w:val="006A1B13"/>
    <w:rsid w:val="006A22FD"/>
    <w:rsid w:val="006A31DD"/>
    <w:rsid w:val="006A43B2"/>
    <w:rsid w:val="006A4F74"/>
    <w:rsid w:val="006A6206"/>
    <w:rsid w:val="006B0D9E"/>
    <w:rsid w:val="006B12E8"/>
    <w:rsid w:val="006B197D"/>
    <w:rsid w:val="006B19B7"/>
    <w:rsid w:val="006B1BC1"/>
    <w:rsid w:val="006B2041"/>
    <w:rsid w:val="006B28B5"/>
    <w:rsid w:val="006B3201"/>
    <w:rsid w:val="006B4FB0"/>
    <w:rsid w:val="006B53BF"/>
    <w:rsid w:val="006B5764"/>
    <w:rsid w:val="006B69F1"/>
    <w:rsid w:val="006C03CC"/>
    <w:rsid w:val="006C091D"/>
    <w:rsid w:val="006C0EDB"/>
    <w:rsid w:val="006C1691"/>
    <w:rsid w:val="006C51C7"/>
    <w:rsid w:val="006C7052"/>
    <w:rsid w:val="006C75FF"/>
    <w:rsid w:val="006D0788"/>
    <w:rsid w:val="006D0DDA"/>
    <w:rsid w:val="006D0EB2"/>
    <w:rsid w:val="006D135B"/>
    <w:rsid w:val="006D34B4"/>
    <w:rsid w:val="006D603B"/>
    <w:rsid w:val="006D60D2"/>
    <w:rsid w:val="006D6414"/>
    <w:rsid w:val="006D7F29"/>
    <w:rsid w:val="006D7F59"/>
    <w:rsid w:val="006E0242"/>
    <w:rsid w:val="006E10BA"/>
    <w:rsid w:val="006E2679"/>
    <w:rsid w:val="006E2878"/>
    <w:rsid w:val="006E2E0F"/>
    <w:rsid w:val="006E2E1F"/>
    <w:rsid w:val="006E3AA1"/>
    <w:rsid w:val="006E448D"/>
    <w:rsid w:val="006E45C1"/>
    <w:rsid w:val="006E45E8"/>
    <w:rsid w:val="006E51D2"/>
    <w:rsid w:val="006E612B"/>
    <w:rsid w:val="006E7149"/>
    <w:rsid w:val="006E717F"/>
    <w:rsid w:val="006F00E3"/>
    <w:rsid w:val="006F0549"/>
    <w:rsid w:val="006F48DD"/>
    <w:rsid w:val="00700BC5"/>
    <w:rsid w:val="0070196F"/>
    <w:rsid w:val="00702EB7"/>
    <w:rsid w:val="007040A4"/>
    <w:rsid w:val="00704799"/>
    <w:rsid w:val="0070496F"/>
    <w:rsid w:val="00704A10"/>
    <w:rsid w:val="00705E8B"/>
    <w:rsid w:val="00707C1A"/>
    <w:rsid w:val="007110F8"/>
    <w:rsid w:val="00714267"/>
    <w:rsid w:val="007159F8"/>
    <w:rsid w:val="007162A5"/>
    <w:rsid w:val="00716A83"/>
    <w:rsid w:val="00716CFB"/>
    <w:rsid w:val="0071735C"/>
    <w:rsid w:val="00717653"/>
    <w:rsid w:val="0072170E"/>
    <w:rsid w:val="00721DB9"/>
    <w:rsid w:val="00723308"/>
    <w:rsid w:val="00723929"/>
    <w:rsid w:val="00726DCD"/>
    <w:rsid w:val="00726EA2"/>
    <w:rsid w:val="00727B0B"/>
    <w:rsid w:val="00730242"/>
    <w:rsid w:val="00730FFD"/>
    <w:rsid w:val="00732F3A"/>
    <w:rsid w:val="00732FB1"/>
    <w:rsid w:val="00734A04"/>
    <w:rsid w:val="00736061"/>
    <w:rsid w:val="007366BC"/>
    <w:rsid w:val="00736DF5"/>
    <w:rsid w:val="00736E01"/>
    <w:rsid w:val="00737073"/>
    <w:rsid w:val="00737EE3"/>
    <w:rsid w:val="0074030A"/>
    <w:rsid w:val="007418D4"/>
    <w:rsid w:val="00741E43"/>
    <w:rsid w:val="007421BF"/>
    <w:rsid w:val="00742680"/>
    <w:rsid w:val="0074436F"/>
    <w:rsid w:val="00744468"/>
    <w:rsid w:val="00747E59"/>
    <w:rsid w:val="0075087C"/>
    <w:rsid w:val="00751A75"/>
    <w:rsid w:val="00754674"/>
    <w:rsid w:val="00756DB0"/>
    <w:rsid w:val="00757737"/>
    <w:rsid w:val="00757A9B"/>
    <w:rsid w:val="007601F1"/>
    <w:rsid w:val="007611F7"/>
    <w:rsid w:val="007620AD"/>
    <w:rsid w:val="0076327B"/>
    <w:rsid w:val="00764BEC"/>
    <w:rsid w:val="00766145"/>
    <w:rsid w:val="00766908"/>
    <w:rsid w:val="007704A8"/>
    <w:rsid w:val="007714FE"/>
    <w:rsid w:val="00771BC5"/>
    <w:rsid w:val="00773658"/>
    <w:rsid w:val="00774318"/>
    <w:rsid w:val="00774876"/>
    <w:rsid w:val="00775FBF"/>
    <w:rsid w:val="00776124"/>
    <w:rsid w:val="007767A0"/>
    <w:rsid w:val="007769F6"/>
    <w:rsid w:val="00776CDC"/>
    <w:rsid w:val="00777B96"/>
    <w:rsid w:val="00777D9E"/>
    <w:rsid w:val="007807FF"/>
    <w:rsid w:val="00781688"/>
    <w:rsid w:val="00781CED"/>
    <w:rsid w:val="00782C3F"/>
    <w:rsid w:val="007833B9"/>
    <w:rsid w:val="00784032"/>
    <w:rsid w:val="007853D6"/>
    <w:rsid w:val="00785737"/>
    <w:rsid w:val="00786B73"/>
    <w:rsid w:val="00787218"/>
    <w:rsid w:val="007877C3"/>
    <w:rsid w:val="00787C8E"/>
    <w:rsid w:val="00787E26"/>
    <w:rsid w:val="00790E26"/>
    <w:rsid w:val="00792289"/>
    <w:rsid w:val="007939EB"/>
    <w:rsid w:val="00793E32"/>
    <w:rsid w:val="00795F73"/>
    <w:rsid w:val="00796C96"/>
    <w:rsid w:val="00796E85"/>
    <w:rsid w:val="0079719D"/>
    <w:rsid w:val="007A06B0"/>
    <w:rsid w:val="007A0F75"/>
    <w:rsid w:val="007A121F"/>
    <w:rsid w:val="007A1570"/>
    <w:rsid w:val="007A271F"/>
    <w:rsid w:val="007A36B8"/>
    <w:rsid w:val="007A4754"/>
    <w:rsid w:val="007B0F1C"/>
    <w:rsid w:val="007B16C4"/>
    <w:rsid w:val="007B2D8D"/>
    <w:rsid w:val="007B308B"/>
    <w:rsid w:val="007B3BE5"/>
    <w:rsid w:val="007B4126"/>
    <w:rsid w:val="007B52EA"/>
    <w:rsid w:val="007B6010"/>
    <w:rsid w:val="007B6E5A"/>
    <w:rsid w:val="007B6FED"/>
    <w:rsid w:val="007B7946"/>
    <w:rsid w:val="007C0280"/>
    <w:rsid w:val="007C18E2"/>
    <w:rsid w:val="007C2169"/>
    <w:rsid w:val="007C21CA"/>
    <w:rsid w:val="007C2A3D"/>
    <w:rsid w:val="007C30BE"/>
    <w:rsid w:val="007C32F2"/>
    <w:rsid w:val="007C58E1"/>
    <w:rsid w:val="007C7303"/>
    <w:rsid w:val="007C75B2"/>
    <w:rsid w:val="007D35A6"/>
    <w:rsid w:val="007D41E0"/>
    <w:rsid w:val="007D44A1"/>
    <w:rsid w:val="007D52C1"/>
    <w:rsid w:val="007D5498"/>
    <w:rsid w:val="007D5966"/>
    <w:rsid w:val="007D64C9"/>
    <w:rsid w:val="007D65AC"/>
    <w:rsid w:val="007D6BB3"/>
    <w:rsid w:val="007D6BD4"/>
    <w:rsid w:val="007D6E5F"/>
    <w:rsid w:val="007E148B"/>
    <w:rsid w:val="007E24C0"/>
    <w:rsid w:val="007E383D"/>
    <w:rsid w:val="007E4042"/>
    <w:rsid w:val="007E422C"/>
    <w:rsid w:val="007E5A64"/>
    <w:rsid w:val="007E6A06"/>
    <w:rsid w:val="007E7000"/>
    <w:rsid w:val="007E79C7"/>
    <w:rsid w:val="007F2329"/>
    <w:rsid w:val="007F2C8B"/>
    <w:rsid w:val="007F4F64"/>
    <w:rsid w:val="007F6FEC"/>
    <w:rsid w:val="007F747C"/>
    <w:rsid w:val="007F75D0"/>
    <w:rsid w:val="007F791C"/>
    <w:rsid w:val="007F7AA7"/>
    <w:rsid w:val="008003E8"/>
    <w:rsid w:val="00800CE1"/>
    <w:rsid w:val="00801463"/>
    <w:rsid w:val="008018E0"/>
    <w:rsid w:val="008023DA"/>
    <w:rsid w:val="00802479"/>
    <w:rsid w:val="008038AA"/>
    <w:rsid w:val="0080505E"/>
    <w:rsid w:val="00805984"/>
    <w:rsid w:val="00806059"/>
    <w:rsid w:val="00806FC9"/>
    <w:rsid w:val="00807414"/>
    <w:rsid w:val="00810514"/>
    <w:rsid w:val="00811A73"/>
    <w:rsid w:val="00811B68"/>
    <w:rsid w:val="00811CA0"/>
    <w:rsid w:val="00813B59"/>
    <w:rsid w:val="00813C53"/>
    <w:rsid w:val="00813EB7"/>
    <w:rsid w:val="0081456F"/>
    <w:rsid w:val="00814F04"/>
    <w:rsid w:val="00815762"/>
    <w:rsid w:val="0081607E"/>
    <w:rsid w:val="008160EA"/>
    <w:rsid w:val="008161BF"/>
    <w:rsid w:val="008169D7"/>
    <w:rsid w:val="00817805"/>
    <w:rsid w:val="00817DA4"/>
    <w:rsid w:val="00820C23"/>
    <w:rsid w:val="00822A21"/>
    <w:rsid w:val="00822C01"/>
    <w:rsid w:val="008230A1"/>
    <w:rsid w:val="00825612"/>
    <w:rsid w:val="00825B4D"/>
    <w:rsid w:val="00826AE5"/>
    <w:rsid w:val="00826FED"/>
    <w:rsid w:val="008304CA"/>
    <w:rsid w:val="008319EE"/>
    <w:rsid w:val="00831EAB"/>
    <w:rsid w:val="00833ECB"/>
    <w:rsid w:val="00834E03"/>
    <w:rsid w:val="0083564B"/>
    <w:rsid w:val="008364BB"/>
    <w:rsid w:val="00836780"/>
    <w:rsid w:val="00837228"/>
    <w:rsid w:val="008374C4"/>
    <w:rsid w:val="00837BF3"/>
    <w:rsid w:val="008403FE"/>
    <w:rsid w:val="0084294E"/>
    <w:rsid w:val="00844091"/>
    <w:rsid w:val="008446C1"/>
    <w:rsid w:val="008452E1"/>
    <w:rsid w:val="00846FAF"/>
    <w:rsid w:val="008509B8"/>
    <w:rsid w:val="00851032"/>
    <w:rsid w:val="008519F1"/>
    <w:rsid w:val="00852B88"/>
    <w:rsid w:val="0085318D"/>
    <w:rsid w:val="00853BD0"/>
    <w:rsid w:val="00853D82"/>
    <w:rsid w:val="00856BEE"/>
    <w:rsid w:val="00857441"/>
    <w:rsid w:val="0086178A"/>
    <w:rsid w:val="008624E7"/>
    <w:rsid w:val="00863014"/>
    <w:rsid w:val="0086391C"/>
    <w:rsid w:val="00864280"/>
    <w:rsid w:val="00864A9D"/>
    <w:rsid w:val="00865287"/>
    <w:rsid w:val="008658E8"/>
    <w:rsid w:val="008667A4"/>
    <w:rsid w:val="00866A1C"/>
    <w:rsid w:val="00867CFD"/>
    <w:rsid w:val="008718B5"/>
    <w:rsid w:val="00871D3D"/>
    <w:rsid w:val="00874129"/>
    <w:rsid w:val="00874458"/>
    <w:rsid w:val="008748B8"/>
    <w:rsid w:val="00874926"/>
    <w:rsid w:val="00874B06"/>
    <w:rsid w:val="00874CB5"/>
    <w:rsid w:val="008757A5"/>
    <w:rsid w:val="00876448"/>
    <w:rsid w:val="0087729C"/>
    <w:rsid w:val="008801F4"/>
    <w:rsid w:val="0088141C"/>
    <w:rsid w:val="00881658"/>
    <w:rsid w:val="00883601"/>
    <w:rsid w:val="0088445A"/>
    <w:rsid w:val="008848EB"/>
    <w:rsid w:val="008848F8"/>
    <w:rsid w:val="00890274"/>
    <w:rsid w:val="008904BF"/>
    <w:rsid w:val="00893154"/>
    <w:rsid w:val="0089328F"/>
    <w:rsid w:val="00893DA6"/>
    <w:rsid w:val="008947E0"/>
    <w:rsid w:val="008947F8"/>
    <w:rsid w:val="00894B9D"/>
    <w:rsid w:val="00896F95"/>
    <w:rsid w:val="008976F2"/>
    <w:rsid w:val="0089798F"/>
    <w:rsid w:val="00897A11"/>
    <w:rsid w:val="00897FDE"/>
    <w:rsid w:val="008A005A"/>
    <w:rsid w:val="008A0661"/>
    <w:rsid w:val="008A1A87"/>
    <w:rsid w:val="008A207A"/>
    <w:rsid w:val="008A2519"/>
    <w:rsid w:val="008A45BE"/>
    <w:rsid w:val="008A46E3"/>
    <w:rsid w:val="008A483E"/>
    <w:rsid w:val="008A508B"/>
    <w:rsid w:val="008A533F"/>
    <w:rsid w:val="008A5E10"/>
    <w:rsid w:val="008A5F60"/>
    <w:rsid w:val="008A781D"/>
    <w:rsid w:val="008B1371"/>
    <w:rsid w:val="008B1AF7"/>
    <w:rsid w:val="008B3F22"/>
    <w:rsid w:val="008B442C"/>
    <w:rsid w:val="008B728D"/>
    <w:rsid w:val="008B77B4"/>
    <w:rsid w:val="008C017A"/>
    <w:rsid w:val="008C0534"/>
    <w:rsid w:val="008C0DB6"/>
    <w:rsid w:val="008C1476"/>
    <w:rsid w:val="008C213E"/>
    <w:rsid w:val="008C21F2"/>
    <w:rsid w:val="008C35C4"/>
    <w:rsid w:val="008C3712"/>
    <w:rsid w:val="008C3CFC"/>
    <w:rsid w:val="008C5CA7"/>
    <w:rsid w:val="008C62E0"/>
    <w:rsid w:val="008C760C"/>
    <w:rsid w:val="008C7F3A"/>
    <w:rsid w:val="008D0210"/>
    <w:rsid w:val="008D11A1"/>
    <w:rsid w:val="008D1751"/>
    <w:rsid w:val="008D1E18"/>
    <w:rsid w:val="008D1FBE"/>
    <w:rsid w:val="008D21A2"/>
    <w:rsid w:val="008D23AA"/>
    <w:rsid w:val="008D24C2"/>
    <w:rsid w:val="008D54AF"/>
    <w:rsid w:val="008E3CE4"/>
    <w:rsid w:val="008E4704"/>
    <w:rsid w:val="008F05D5"/>
    <w:rsid w:val="008F12B1"/>
    <w:rsid w:val="008F16D9"/>
    <w:rsid w:val="008F1C73"/>
    <w:rsid w:val="008F2081"/>
    <w:rsid w:val="008F2880"/>
    <w:rsid w:val="008F292E"/>
    <w:rsid w:val="008F2E72"/>
    <w:rsid w:val="008F2EFE"/>
    <w:rsid w:val="008F4BD5"/>
    <w:rsid w:val="008F5213"/>
    <w:rsid w:val="008F5AEE"/>
    <w:rsid w:val="008F6A61"/>
    <w:rsid w:val="008F7A37"/>
    <w:rsid w:val="00900A3E"/>
    <w:rsid w:val="009019BC"/>
    <w:rsid w:val="00901B4C"/>
    <w:rsid w:val="00901F5D"/>
    <w:rsid w:val="009025CC"/>
    <w:rsid w:val="009026B3"/>
    <w:rsid w:val="00903AA4"/>
    <w:rsid w:val="00906D9C"/>
    <w:rsid w:val="00906E0C"/>
    <w:rsid w:val="0090710F"/>
    <w:rsid w:val="0090736D"/>
    <w:rsid w:val="00914EFF"/>
    <w:rsid w:val="00915657"/>
    <w:rsid w:val="00916F3C"/>
    <w:rsid w:val="00916FD0"/>
    <w:rsid w:val="00917708"/>
    <w:rsid w:val="0092008F"/>
    <w:rsid w:val="009208B0"/>
    <w:rsid w:val="009211AF"/>
    <w:rsid w:val="00921A45"/>
    <w:rsid w:val="00924216"/>
    <w:rsid w:val="0092549E"/>
    <w:rsid w:val="0092583D"/>
    <w:rsid w:val="00926A20"/>
    <w:rsid w:val="00927A1E"/>
    <w:rsid w:val="00927A9B"/>
    <w:rsid w:val="00927E02"/>
    <w:rsid w:val="00930EA5"/>
    <w:rsid w:val="009321C5"/>
    <w:rsid w:val="009332B8"/>
    <w:rsid w:val="00933AD2"/>
    <w:rsid w:val="00934432"/>
    <w:rsid w:val="0093477A"/>
    <w:rsid w:val="009360C7"/>
    <w:rsid w:val="00936877"/>
    <w:rsid w:val="009369B8"/>
    <w:rsid w:val="00937713"/>
    <w:rsid w:val="00937952"/>
    <w:rsid w:val="00937B8D"/>
    <w:rsid w:val="00940849"/>
    <w:rsid w:val="00941CF2"/>
    <w:rsid w:val="009427F9"/>
    <w:rsid w:val="0094325E"/>
    <w:rsid w:val="0094646D"/>
    <w:rsid w:val="00946D28"/>
    <w:rsid w:val="00946E4A"/>
    <w:rsid w:val="00947A59"/>
    <w:rsid w:val="00947E3B"/>
    <w:rsid w:val="00947FA6"/>
    <w:rsid w:val="009500D4"/>
    <w:rsid w:val="00951D49"/>
    <w:rsid w:val="00952878"/>
    <w:rsid w:val="00952A5C"/>
    <w:rsid w:val="00955792"/>
    <w:rsid w:val="00955C8A"/>
    <w:rsid w:val="00956708"/>
    <w:rsid w:val="00956F77"/>
    <w:rsid w:val="00960931"/>
    <w:rsid w:val="00960B8C"/>
    <w:rsid w:val="00963432"/>
    <w:rsid w:val="00967A0B"/>
    <w:rsid w:val="00970E76"/>
    <w:rsid w:val="009718B8"/>
    <w:rsid w:val="009719A0"/>
    <w:rsid w:val="00971B40"/>
    <w:rsid w:val="00973B3D"/>
    <w:rsid w:val="0097420B"/>
    <w:rsid w:val="00976721"/>
    <w:rsid w:val="00981445"/>
    <w:rsid w:val="00981CF3"/>
    <w:rsid w:val="00982D20"/>
    <w:rsid w:val="009839BD"/>
    <w:rsid w:val="009845A0"/>
    <w:rsid w:val="00986476"/>
    <w:rsid w:val="00987896"/>
    <w:rsid w:val="00987F73"/>
    <w:rsid w:val="009908F2"/>
    <w:rsid w:val="00990A9F"/>
    <w:rsid w:val="00991168"/>
    <w:rsid w:val="00992F75"/>
    <w:rsid w:val="0099388F"/>
    <w:rsid w:val="0099401E"/>
    <w:rsid w:val="00994C9F"/>
    <w:rsid w:val="009A171A"/>
    <w:rsid w:val="009A3322"/>
    <w:rsid w:val="009A33B3"/>
    <w:rsid w:val="009A3A88"/>
    <w:rsid w:val="009A50B9"/>
    <w:rsid w:val="009A6148"/>
    <w:rsid w:val="009A65F5"/>
    <w:rsid w:val="009A6CF6"/>
    <w:rsid w:val="009B0364"/>
    <w:rsid w:val="009B0757"/>
    <w:rsid w:val="009B08E6"/>
    <w:rsid w:val="009B116D"/>
    <w:rsid w:val="009B17AC"/>
    <w:rsid w:val="009B1E11"/>
    <w:rsid w:val="009B225B"/>
    <w:rsid w:val="009B2669"/>
    <w:rsid w:val="009B28CE"/>
    <w:rsid w:val="009B292F"/>
    <w:rsid w:val="009B3014"/>
    <w:rsid w:val="009B3645"/>
    <w:rsid w:val="009B3C5F"/>
    <w:rsid w:val="009B413B"/>
    <w:rsid w:val="009B5FB6"/>
    <w:rsid w:val="009B63F3"/>
    <w:rsid w:val="009B68CD"/>
    <w:rsid w:val="009B6D4D"/>
    <w:rsid w:val="009B72FD"/>
    <w:rsid w:val="009B731F"/>
    <w:rsid w:val="009B74C1"/>
    <w:rsid w:val="009B75BC"/>
    <w:rsid w:val="009C19A3"/>
    <w:rsid w:val="009C252B"/>
    <w:rsid w:val="009C3E76"/>
    <w:rsid w:val="009C4E0C"/>
    <w:rsid w:val="009C527E"/>
    <w:rsid w:val="009C67E9"/>
    <w:rsid w:val="009D0D9C"/>
    <w:rsid w:val="009D143C"/>
    <w:rsid w:val="009D1CF0"/>
    <w:rsid w:val="009D1E47"/>
    <w:rsid w:val="009D2676"/>
    <w:rsid w:val="009D37DD"/>
    <w:rsid w:val="009D559C"/>
    <w:rsid w:val="009D5F7E"/>
    <w:rsid w:val="009D6145"/>
    <w:rsid w:val="009D6845"/>
    <w:rsid w:val="009E003C"/>
    <w:rsid w:val="009E09E6"/>
    <w:rsid w:val="009E2AD6"/>
    <w:rsid w:val="009E5C95"/>
    <w:rsid w:val="009E683B"/>
    <w:rsid w:val="009E7ABD"/>
    <w:rsid w:val="009F1A17"/>
    <w:rsid w:val="009F2AA0"/>
    <w:rsid w:val="009F2DD3"/>
    <w:rsid w:val="009F3906"/>
    <w:rsid w:val="009F4119"/>
    <w:rsid w:val="009F6B42"/>
    <w:rsid w:val="009F795E"/>
    <w:rsid w:val="009F79A0"/>
    <w:rsid w:val="00A01818"/>
    <w:rsid w:val="00A01EE7"/>
    <w:rsid w:val="00A026F8"/>
    <w:rsid w:val="00A0290D"/>
    <w:rsid w:val="00A0398C"/>
    <w:rsid w:val="00A040E1"/>
    <w:rsid w:val="00A04186"/>
    <w:rsid w:val="00A0478D"/>
    <w:rsid w:val="00A06D32"/>
    <w:rsid w:val="00A06F49"/>
    <w:rsid w:val="00A10741"/>
    <w:rsid w:val="00A10D1E"/>
    <w:rsid w:val="00A11516"/>
    <w:rsid w:val="00A1283C"/>
    <w:rsid w:val="00A14F90"/>
    <w:rsid w:val="00A15CA7"/>
    <w:rsid w:val="00A175E4"/>
    <w:rsid w:val="00A22A35"/>
    <w:rsid w:val="00A22DDA"/>
    <w:rsid w:val="00A22EC1"/>
    <w:rsid w:val="00A24362"/>
    <w:rsid w:val="00A2447C"/>
    <w:rsid w:val="00A24A8D"/>
    <w:rsid w:val="00A24AB0"/>
    <w:rsid w:val="00A24C16"/>
    <w:rsid w:val="00A25C41"/>
    <w:rsid w:val="00A25CDA"/>
    <w:rsid w:val="00A25D9F"/>
    <w:rsid w:val="00A26302"/>
    <w:rsid w:val="00A26698"/>
    <w:rsid w:val="00A26CE0"/>
    <w:rsid w:val="00A27860"/>
    <w:rsid w:val="00A3084D"/>
    <w:rsid w:val="00A31DF9"/>
    <w:rsid w:val="00A335B2"/>
    <w:rsid w:val="00A34192"/>
    <w:rsid w:val="00A34DF3"/>
    <w:rsid w:val="00A353A3"/>
    <w:rsid w:val="00A365D4"/>
    <w:rsid w:val="00A37DD9"/>
    <w:rsid w:val="00A4093B"/>
    <w:rsid w:val="00A410C1"/>
    <w:rsid w:val="00A41C82"/>
    <w:rsid w:val="00A42402"/>
    <w:rsid w:val="00A44150"/>
    <w:rsid w:val="00A44835"/>
    <w:rsid w:val="00A45DE3"/>
    <w:rsid w:val="00A45EAA"/>
    <w:rsid w:val="00A45FCB"/>
    <w:rsid w:val="00A479C0"/>
    <w:rsid w:val="00A505ED"/>
    <w:rsid w:val="00A50A31"/>
    <w:rsid w:val="00A51393"/>
    <w:rsid w:val="00A52223"/>
    <w:rsid w:val="00A5275E"/>
    <w:rsid w:val="00A52EAE"/>
    <w:rsid w:val="00A5386E"/>
    <w:rsid w:val="00A53E65"/>
    <w:rsid w:val="00A5570F"/>
    <w:rsid w:val="00A560C1"/>
    <w:rsid w:val="00A57BCA"/>
    <w:rsid w:val="00A57E06"/>
    <w:rsid w:val="00A605A3"/>
    <w:rsid w:val="00A61082"/>
    <w:rsid w:val="00A61548"/>
    <w:rsid w:val="00A6279B"/>
    <w:rsid w:val="00A64B23"/>
    <w:rsid w:val="00A64DC1"/>
    <w:rsid w:val="00A64E58"/>
    <w:rsid w:val="00A65846"/>
    <w:rsid w:val="00A66168"/>
    <w:rsid w:val="00A6740F"/>
    <w:rsid w:val="00A67F85"/>
    <w:rsid w:val="00A706D8"/>
    <w:rsid w:val="00A71512"/>
    <w:rsid w:val="00A71FA9"/>
    <w:rsid w:val="00A7251C"/>
    <w:rsid w:val="00A728BA"/>
    <w:rsid w:val="00A73BE0"/>
    <w:rsid w:val="00A73E91"/>
    <w:rsid w:val="00A74B99"/>
    <w:rsid w:val="00A7785C"/>
    <w:rsid w:val="00A81938"/>
    <w:rsid w:val="00A81AAD"/>
    <w:rsid w:val="00A83C8D"/>
    <w:rsid w:val="00A845DA"/>
    <w:rsid w:val="00A84999"/>
    <w:rsid w:val="00A857DE"/>
    <w:rsid w:val="00A8584E"/>
    <w:rsid w:val="00A85860"/>
    <w:rsid w:val="00A8638B"/>
    <w:rsid w:val="00A873AE"/>
    <w:rsid w:val="00A877C0"/>
    <w:rsid w:val="00A9214E"/>
    <w:rsid w:val="00A928D6"/>
    <w:rsid w:val="00A92F18"/>
    <w:rsid w:val="00A9429F"/>
    <w:rsid w:val="00AA1CAD"/>
    <w:rsid w:val="00AA25B5"/>
    <w:rsid w:val="00AA2749"/>
    <w:rsid w:val="00AA2FDA"/>
    <w:rsid w:val="00AA56CB"/>
    <w:rsid w:val="00AA5BB6"/>
    <w:rsid w:val="00AA5DD1"/>
    <w:rsid w:val="00AA6BC2"/>
    <w:rsid w:val="00AA6EE7"/>
    <w:rsid w:val="00AB05EA"/>
    <w:rsid w:val="00AB1226"/>
    <w:rsid w:val="00AB3D9E"/>
    <w:rsid w:val="00AB4F32"/>
    <w:rsid w:val="00AB5379"/>
    <w:rsid w:val="00AB78C9"/>
    <w:rsid w:val="00AC06B0"/>
    <w:rsid w:val="00AC0838"/>
    <w:rsid w:val="00AC0C96"/>
    <w:rsid w:val="00AC1331"/>
    <w:rsid w:val="00AC15B2"/>
    <w:rsid w:val="00AC1999"/>
    <w:rsid w:val="00AC6521"/>
    <w:rsid w:val="00AC67B8"/>
    <w:rsid w:val="00AC789C"/>
    <w:rsid w:val="00AC7C2F"/>
    <w:rsid w:val="00AD12EB"/>
    <w:rsid w:val="00AD1BFF"/>
    <w:rsid w:val="00AD2130"/>
    <w:rsid w:val="00AD242A"/>
    <w:rsid w:val="00AD5D99"/>
    <w:rsid w:val="00AD5FD6"/>
    <w:rsid w:val="00AD68CE"/>
    <w:rsid w:val="00AD6D99"/>
    <w:rsid w:val="00AD73C0"/>
    <w:rsid w:val="00AE055A"/>
    <w:rsid w:val="00AE0875"/>
    <w:rsid w:val="00AE1556"/>
    <w:rsid w:val="00AE348E"/>
    <w:rsid w:val="00AE3946"/>
    <w:rsid w:val="00AE3D83"/>
    <w:rsid w:val="00AE40BA"/>
    <w:rsid w:val="00AE4B42"/>
    <w:rsid w:val="00AE4D49"/>
    <w:rsid w:val="00AE513A"/>
    <w:rsid w:val="00AE5C8F"/>
    <w:rsid w:val="00AE5C9A"/>
    <w:rsid w:val="00AE6D73"/>
    <w:rsid w:val="00AE7A61"/>
    <w:rsid w:val="00AE7D34"/>
    <w:rsid w:val="00AE7EAC"/>
    <w:rsid w:val="00AF017D"/>
    <w:rsid w:val="00AF03C1"/>
    <w:rsid w:val="00AF06C6"/>
    <w:rsid w:val="00AF3582"/>
    <w:rsid w:val="00AF4062"/>
    <w:rsid w:val="00AF49CF"/>
    <w:rsid w:val="00AF5824"/>
    <w:rsid w:val="00AF5BCB"/>
    <w:rsid w:val="00B002A0"/>
    <w:rsid w:val="00B01244"/>
    <w:rsid w:val="00B01425"/>
    <w:rsid w:val="00B01AEB"/>
    <w:rsid w:val="00B01FD6"/>
    <w:rsid w:val="00B026A9"/>
    <w:rsid w:val="00B02890"/>
    <w:rsid w:val="00B0374E"/>
    <w:rsid w:val="00B046E4"/>
    <w:rsid w:val="00B04CE7"/>
    <w:rsid w:val="00B06761"/>
    <w:rsid w:val="00B06D0F"/>
    <w:rsid w:val="00B0751C"/>
    <w:rsid w:val="00B07B54"/>
    <w:rsid w:val="00B10554"/>
    <w:rsid w:val="00B10924"/>
    <w:rsid w:val="00B11E96"/>
    <w:rsid w:val="00B12593"/>
    <w:rsid w:val="00B127FD"/>
    <w:rsid w:val="00B131D0"/>
    <w:rsid w:val="00B143D2"/>
    <w:rsid w:val="00B14ED7"/>
    <w:rsid w:val="00B201A4"/>
    <w:rsid w:val="00B201E6"/>
    <w:rsid w:val="00B20539"/>
    <w:rsid w:val="00B207CA"/>
    <w:rsid w:val="00B21331"/>
    <w:rsid w:val="00B2200D"/>
    <w:rsid w:val="00B22151"/>
    <w:rsid w:val="00B234B4"/>
    <w:rsid w:val="00B23732"/>
    <w:rsid w:val="00B23BD0"/>
    <w:rsid w:val="00B23DF2"/>
    <w:rsid w:val="00B240E5"/>
    <w:rsid w:val="00B25F8C"/>
    <w:rsid w:val="00B25FB0"/>
    <w:rsid w:val="00B2606C"/>
    <w:rsid w:val="00B2622F"/>
    <w:rsid w:val="00B26B44"/>
    <w:rsid w:val="00B27D56"/>
    <w:rsid w:val="00B30042"/>
    <w:rsid w:val="00B30D61"/>
    <w:rsid w:val="00B31391"/>
    <w:rsid w:val="00B33E80"/>
    <w:rsid w:val="00B346E2"/>
    <w:rsid w:val="00B35056"/>
    <w:rsid w:val="00B35A4E"/>
    <w:rsid w:val="00B36BAB"/>
    <w:rsid w:val="00B3712D"/>
    <w:rsid w:val="00B374AD"/>
    <w:rsid w:val="00B378D9"/>
    <w:rsid w:val="00B37CC7"/>
    <w:rsid w:val="00B4078F"/>
    <w:rsid w:val="00B41BE0"/>
    <w:rsid w:val="00B47537"/>
    <w:rsid w:val="00B47B92"/>
    <w:rsid w:val="00B47C59"/>
    <w:rsid w:val="00B50C09"/>
    <w:rsid w:val="00B52957"/>
    <w:rsid w:val="00B52AD2"/>
    <w:rsid w:val="00B52FF3"/>
    <w:rsid w:val="00B55FB5"/>
    <w:rsid w:val="00B56DF4"/>
    <w:rsid w:val="00B576E8"/>
    <w:rsid w:val="00B579BF"/>
    <w:rsid w:val="00B57E63"/>
    <w:rsid w:val="00B60A65"/>
    <w:rsid w:val="00B60B2A"/>
    <w:rsid w:val="00B60D8D"/>
    <w:rsid w:val="00B63AC2"/>
    <w:rsid w:val="00B648AC"/>
    <w:rsid w:val="00B6498B"/>
    <w:rsid w:val="00B65AF6"/>
    <w:rsid w:val="00B65B35"/>
    <w:rsid w:val="00B716C4"/>
    <w:rsid w:val="00B72915"/>
    <w:rsid w:val="00B738C4"/>
    <w:rsid w:val="00B73E68"/>
    <w:rsid w:val="00B74CAB"/>
    <w:rsid w:val="00B7557D"/>
    <w:rsid w:val="00B75889"/>
    <w:rsid w:val="00B759A4"/>
    <w:rsid w:val="00B80634"/>
    <w:rsid w:val="00B82919"/>
    <w:rsid w:val="00B82B27"/>
    <w:rsid w:val="00B845AB"/>
    <w:rsid w:val="00B85996"/>
    <w:rsid w:val="00B85ED9"/>
    <w:rsid w:val="00B8735A"/>
    <w:rsid w:val="00B87788"/>
    <w:rsid w:val="00B90399"/>
    <w:rsid w:val="00B9045A"/>
    <w:rsid w:val="00B906D7"/>
    <w:rsid w:val="00B90A69"/>
    <w:rsid w:val="00B918FA"/>
    <w:rsid w:val="00B937B5"/>
    <w:rsid w:val="00B93E46"/>
    <w:rsid w:val="00B94AD0"/>
    <w:rsid w:val="00B956B1"/>
    <w:rsid w:val="00B95C97"/>
    <w:rsid w:val="00B95FF7"/>
    <w:rsid w:val="00B966BC"/>
    <w:rsid w:val="00B968B1"/>
    <w:rsid w:val="00B973CD"/>
    <w:rsid w:val="00BA019B"/>
    <w:rsid w:val="00BA0272"/>
    <w:rsid w:val="00BA09C9"/>
    <w:rsid w:val="00BA0E3C"/>
    <w:rsid w:val="00BA0E82"/>
    <w:rsid w:val="00BA19E1"/>
    <w:rsid w:val="00BA44D2"/>
    <w:rsid w:val="00BA563F"/>
    <w:rsid w:val="00BA750D"/>
    <w:rsid w:val="00BA7B74"/>
    <w:rsid w:val="00BB1467"/>
    <w:rsid w:val="00BB2AB5"/>
    <w:rsid w:val="00BB3F9A"/>
    <w:rsid w:val="00BB437C"/>
    <w:rsid w:val="00BB4541"/>
    <w:rsid w:val="00BB4966"/>
    <w:rsid w:val="00BB4D97"/>
    <w:rsid w:val="00BB4F63"/>
    <w:rsid w:val="00BB5D8F"/>
    <w:rsid w:val="00BB6B19"/>
    <w:rsid w:val="00BB775D"/>
    <w:rsid w:val="00BB78FA"/>
    <w:rsid w:val="00BC22CD"/>
    <w:rsid w:val="00BC2C92"/>
    <w:rsid w:val="00BC42F8"/>
    <w:rsid w:val="00BC5469"/>
    <w:rsid w:val="00BC55AE"/>
    <w:rsid w:val="00BC5B0B"/>
    <w:rsid w:val="00BC633C"/>
    <w:rsid w:val="00BC6D2C"/>
    <w:rsid w:val="00BD1AA0"/>
    <w:rsid w:val="00BD1B6E"/>
    <w:rsid w:val="00BD30FA"/>
    <w:rsid w:val="00BD45CF"/>
    <w:rsid w:val="00BD6043"/>
    <w:rsid w:val="00BD689E"/>
    <w:rsid w:val="00BD6BD0"/>
    <w:rsid w:val="00BD6E75"/>
    <w:rsid w:val="00BD782C"/>
    <w:rsid w:val="00BE085E"/>
    <w:rsid w:val="00BE14E6"/>
    <w:rsid w:val="00BE168E"/>
    <w:rsid w:val="00BE2707"/>
    <w:rsid w:val="00BE2E92"/>
    <w:rsid w:val="00BE38E7"/>
    <w:rsid w:val="00BF0BA6"/>
    <w:rsid w:val="00BF0FB6"/>
    <w:rsid w:val="00BF1549"/>
    <w:rsid w:val="00BF23AC"/>
    <w:rsid w:val="00BF2F94"/>
    <w:rsid w:val="00BF4A59"/>
    <w:rsid w:val="00BF5127"/>
    <w:rsid w:val="00BF5A3B"/>
    <w:rsid w:val="00BF7C9C"/>
    <w:rsid w:val="00C00AA1"/>
    <w:rsid w:val="00C0338D"/>
    <w:rsid w:val="00C05D6C"/>
    <w:rsid w:val="00C05FB3"/>
    <w:rsid w:val="00C06848"/>
    <w:rsid w:val="00C0788A"/>
    <w:rsid w:val="00C101D7"/>
    <w:rsid w:val="00C1190D"/>
    <w:rsid w:val="00C1485B"/>
    <w:rsid w:val="00C156A2"/>
    <w:rsid w:val="00C2039C"/>
    <w:rsid w:val="00C20939"/>
    <w:rsid w:val="00C20CC2"/>
    <w:rsid w:val="00C2157E"/>
    <w:rsid w:val="00C2245D"/>
    <w:rsid w:val="00C23E54"/>
    <w:rsid w:val="00C251CF"/>
    <w:rsid w:val="00C252E5"/>
    <w:rsid w:val="00C25603"/>
    <w:rsid w:val="00C26C0A"/>
    <w:rsid w:val="00C301A5"/>
    <w:rsid w:val="00C31177"/>
    <w:rsid w:val="00C3122E"/>
    <w:rsid w:val="00C32527"/>
    <w:rsid w:val="00C32A43"/>
    <w:rsid w:val="00C35A18"/>
    <w:rsid w:val="00C35E7D"/>
    <w:rsid w:val="00C373D7"/>
    <w:rsid w:val="00C42DBC"/>
    <w:rsid w:val="00C44254"/>
    <w:rsid w:val="00C44C21"/>
    <w:rsid w:val="00C462F6"/>
    <w:rsid w:val="00C5115D"/>
    <w:rsid w:val="00C51749"/>
    <w:rsid w:val="00C51E66"/>
    <w:rsid w:val="00C544AE"/>
    <w:rsid w:val="00C54A37"/>
    <w:rsid w:val="00C54AEE"/>
    <w:rsid w:val="00C551F1"/>
    <w:rsid w:val="00C559B1"/>
    <w:rsid w:val="00C57472"/>
    <w:rsid w:val="00C57687"/>
    <w:rsid w:val="00C60A08"/>
    <w:rsid w:val="00C60D02"/>
    <w:rsid w:val="00C60D24"/>
    <w:rsid w:val="00C61BD1"/>
    <w:rsid w:val="00C656B5"/>
    <w:rsid w:val="00C65974"/>
    <w:rsid w:val="00C66730"/>
    <w:rsid w:val="00C7109E"/>
    <w:rsid w:val="00C725AE"/>
    <w:rsid w:val="00C73B41"/>
    <w:rsid w:val="00C746CC"/>
    <w:rsid w:val="00C75403"/>
    <w:rsid w:val="00C7555B"/>
    <w:rsid w:val="00C75735"/>
    <w:rsid w:val="00C75879"/>
    <w:rsid w:val="00C76655"/>
    <w:rsid w:val="00C77DA3"/>
    <w:rsid w:val="00C80287"/>
    <w:rsid w:val="00C8133A"/>
    <w:rsid w:val="00C83366"/>
    <w:rsid w:val="00C83D7F"/>
    <w:rsid w:val="00C84128"/>
    <w:rsid w:val="00C84FC1"/>
    <w:rsid w:val="00C86DAF"/>
    <w:rsid w:val="00C9055C"/>
    <w:rsid w:val="00C91CE0"/>
    <w:rsid w:val="00C92324"/>
    <w:rsid w:val="00C92511"/>
    <w:rsid w:val="00C9310E"/>
    <w:rsid w:val="00C94010"/>
    <w:rsid w:val="00C94C62"/>
    <w:rsid w:val="00C96411"/>
    <w:rsid w:val="00C96494"/>
    <w:rsid w:val="00C973BD"/>
    <w:rsid w:val="00C979A5"/>
    <w:rsid w:val="00CA0543"/>
    <w:rsid w:val="00CA0C7A"/>
    <w:rsid w:val="00CA2604"/>
    <w:rsid w:val="00CA4B20"/>
    <w:rsid w:val="00CA5028"/>
    <w:rsid w:val="00CA524B"/>
    <w:rsid w:val="00CA6404"/>
    <w:rsid w:val="00CA7118"/>
    <w:rsid w:val="00CB07B8"/>
    <w:rsid w:val="00CB1C10"/>
    <w:rsid w:val="00CB350B"/>
    <w:rsid w:val="00CB3807"/>
    <w:rsid w:val="00CB43C8"/>
    <w:rsid w:val="00CB4EE5"/>
    <w:rsid w:val="00CB6321"/>
    <w:rsid w:val="00CB7295"/>
    <w:rsid w:val="00CB73B3"/>
    <w:rsid w:val="00CB7D30"/>
    <w:rsid w:val="00CC0AC4"/>
    <w:rsid w:val="00CC183B"/>
    <w:rsid w:val="00CC1B85"/>
    <w:rsid w:val="00CC1F00"/>
    <w:rsid w:val="00CC37A5"/>
    <w:rsid w:val="00CC3CB8"/>
    <w:rsid w:val="00CC518C"/>
    <w:rsid w:val="00CC589C"/>
    <w:rsid w:val="00CC5FB3"/>
    <w:rsid w:val="00CC6029"/>
    <w:rsid w:val="00CC62A0"/>
    <w:rsid w:val="00CC7558"/>
    <w:rsid w:val="00CC764B"/>
    <w:rsid w:val="00CC7914"/>
    <w:rsid w:val="00CC79FF"/>
    <w:rsid w:val="00CD10A8"/>
    <w:rsid w:val="00CD3246"/>
    <w:rsid w:val="00CD3874"/>
    <w:rsid w:val="00CD537F"/>
    <w:rsid w:val="00CD5A4C"/>
    <w:rsid w:val="00CE0632"/>
    <w:rsid w:val="00CE0B09"/>
    <w:rsid w:val="00CE1DC6"/>
    <w:rsid w:val="00CF00D1"/>
    <w:rsid w:val="00CF192F"/>
    <w:rsid w:val="00CF1A36"/>
    <w:rsid w:val="00CF1ADE"/>
    <w:rsid w:val="00CF20E0"/>
    <w:rsid w:val="00CF2FB9"/>
    <w:rsid w:val="00CF384D"/>
    <w:rsid w:val="00CF4394"/>
    <w:rsid w:val="00CF5BBE"/>
    <w:rsid w:val="00CF6A29"/>
    <w:rsid w:val="00CF7168"/>
    <w:rsid w:val="00D00D5D"/>
    <w:rsid w:val="00D01D09"/>
    <w:rsid w:val="00D0406D"/>
    <w:rsid w:val="00D06A3D"/>
    <w:rsid w:val="00D07E1D"/>
    <w:rsid w:val="00D07ECF"/>
    <w:rsid w:val="00D10816"/>
    <w:rsid w:val="00D10828"/>
    <w:rsid w:val="00D110FA"/>
    <w:rsid w:val="00D11CCA"/>
    <w:rsid w:val="00D1263A"/>
    <w:rsid w:val="00D12DCB"/>
    <w:rsid w:val="00D1383B"/>
    <w:rsid w:val="00D1477C"/>
    <w:rsid w:val="00D15334"/>
    <w:rsid w:val="00D155BE"/>
    <w:rsid w:val="00D16D06"/>
    <w:rsid w:val="00D16E98"/>
    <w:rsid w:val="00D16EC0"/>
    <w:rsid w:val="00D170AF"/>
    <w:rsid w:val="00D20098"/>
    <w:rsid w:val="00D20846"/>
    <w:rsid w:val="00D20D6C"/>
    <w:rsid w:val="00D20E85"/>
    <w:rsid w:val="00D21E9B"/>
    <w:rsid w:val="00D22A34"/>
    <w:rsid w:val="00D242BB"/>
    <w:rsid w:val="00D242D1"/>
    <w:rsid w:val="00D24A5A"/>
    <w:rsid w:val="00D2536B"/>
    <w:rsid w:val="00D26E2F"/>
    <w:rsid w:val="00D26E7C"/>
    <w:rsid w:val="00D31597"/>
    <w:rsid w:val="00D316B7"/>
    <w:rsid w:val="00D31DC9"/>
    <w:rsid w:val="00D34FE2"/>
    <w:rsid w:val="00D35DB7"/>
    <w:rsid w:val="00D36FE2"/>
    <w:rsid w:val="00D40719"/>
    <w:rsid w:val="00D416C0"/>
    <w:rsid w:val="00D44E36"/>
    <w:rsid w:val="00D45372"/>
    <w:rsid w:val="00D4542E"/>
    <w:rsid w:val="00D47572"/>
    <w:rsid w:val="00D47884"/>
    <w:rsid w:val="00D50390"/>
    <w:rsid w:val="00D54D5C"/>
    <w:rsid w:val="00D54FC1"/>
    <w:rsid w:val="00D55073"/>
    <w:rsid w:val="00D5574F"/>
    <w:rsid w:val="00D55D74"/>
    <w:rsid w:val="00D56450"/>
    <w:rsid w:val="00D5719E"/>
    <w:rsid w:val="00D572C1"/>
    <w:rsid w:val="00D6026B"/>
    <w:rsid w:val="00D6187F"/>
    <w:rsid w:val="00D6215C"/>
    <w:rsid w:val="00D62500"/>
    <w:rsid w:val="00D63B1B"/>
    <w:rsid w:val="00D65E69"/>
    <w:rsid w:val="00D6680E"/>
    <w:rsid w:val="00D66BEC"/>
    <w:rsid w:val="00D66E80"/>
    <w:rsid w:val="00D6710C"/>
    <w:rsid w:val="00D6799B"/>
    <w:rsid w:val="00D73F99"/>
    <w:rsid w:val="00D82212"/>
    <w:rsid w:val="00D828E3"/>
    <w:rsid w:val="00D829DE"/>
    <w:rsid w:val="00D869F0"/>
    <w:rsid w:val="00D8721C"/>
    <w:rsid w:val="00D87313"/>
    <w:rsid w:val="00D87F2D"/>
    <w:rsid w:val="00D909A4"/>
    <w:rsid w:val="00D91F3E"/>
    <w:rsid w:val="00D91F84"/>
    <w:rsid w:val="00D92A09"/>
    <w:rsid w:val="00D92CB9"/>
    <w:rsid w:val="00D93109"/>
    <w:rsid w:val="00D93497"/>
    <w:rsid w:val="00D9507A"/>
    <w:rsid w:val="00D95B3D"/>
    <w:rsid w:val="00D95B58"/>
    <w:rsid w:val="00DA0A88"/>
    <w:rsid w:val="00DA0AAA"/>
    <w:rsid w:val="00DA0AF3"/>
    <w:rsid w:val="00DA1BF6"/>
    <w:rsid w:val="00DA1EDF"/>
    <w:rsid w:val="00DA343E"/>
    <w:rsid w:val="00DA35DD"/>
    <w:rsid w:val="00DA390A"/>
    <w:rsid w:val="00DA58E2"/>
    <w:rsid w:val="00DA5AE7"/>
    <w:rsid w:val="00DA6004"/>
    <w:rsid w:val="00DA75CD"/>
    <w:rsid w:val="00DB28AF"/>
    <w:rsid w:val="00DB39E1"/>
    <w:rsid w:val="00DB4546"/>
    <w:rsid w:val="00DB5111"/>
    <w:rsid w:val="00DB5303"/>
    <w:rsid w:val="00DB53CD"/>
    <w:rsid w:val="00DB795D"/>
    <w:rsid w:val="00DB7977"/>
    <w:rsid w:val="00DB7B86"/>
    <w:rsid w:val="00DC0C61"/>
    <w:rsid w:val="00DC1CEB"/>
    <w:rsid w:val="00DC2F54"/>
    <w:rsid w:val="00DC3CA1"/>
    <w:rsid w:val="00DC58C5"/>
    <w:rsid w:val="00DD045C"/>
    <w:rsid w:val="00DD0BA7"/>
    <w:rsid w:val="00DD1393"/>
    <w:rsid w:val="00DD2A2A"/>
    <w:rsid w:val="00DD453A"/>
    <w:rsid w:val="00DD46E5"/>
    <w:rsid w:val="00DD550B"/>
    <w:rsid w:val="00DD5A60"/>
    <w:rsid w:val="00DD5F77"/>
    <w:rsid w:val="00DD71AF"/>
    <w:rsid w:val="00DD77E7"/>
    <w:rsid w:val="00DD7AAE"/>
    <w:rsid w:val="00DE079B"/>
    <w:rsid w:val="00DE0F41"/>
    <w:rsid w:val="00DE14C2"/>
    <w:rsid w:val="00DE1C6B"/>
    <w:rsid w:val="00DE616E"/>
    <w:rsid w:val="00DE787C"/>
    <w:rsid w:val="00DE7D7E"/>
    <w:rsid w:val="00DF01EB"/>
    <w:rsid w:val="00DF0921"/>
    <w:rsid w:val="00DF09E0"/>
    <w:rsid w:val="00DF0A71"/>
    <w:rsid w:val="00DF0B0A"/>
    <w:rsid w:val="00DF25BC"/>
    <w:rsid w:val="00DF29E6"/>
    <w:rsid w:val="00DF2A4C"/>
    <w:rsid w:val="00DF3024"/>
    <w:rsid w:val="00DF39B3"/>
    <w:rsid w:val="00DF4A2D"/>
    <w:rsid w:val="00DF61FB"/>
    <w:rsid w:val="00E0033E"/>
    <w:rsid w:val="00E00C64"/>
    <w:rsid w:val="00E01E92"/>
    <w:rsid w:val="00E01F9D"/>
    <w:rsid w:val="00E0408F"/>
    <w:rsid w:val="00E041CD"/>
    <w:rsid w:val="00E05173"/>
    <w:rsid w:val="00E05873"/>
    <w:rsid w:val="00E060D8"/>
    <w:rsid w:val="00E07334"/>
    <w:rsid w:val="00E07B09"/>
    <w:rsid w:val="00E07E1D"/>
    <w:rsid w:val="00E1084B"/>
    <w:rsid w:val="00E10A92"/>
    <w:rsid w:val="00E10DAF"/>
    <w:rsid w:val="00E11E2B"/>
    <w:rsid w:val="00E1249E"/>
    <w:rsid w:val="00E127CF"/>
    <w:rsid w:val="00E1323E"/>
    <w:rsid w:val="00E1344C"/>
    <w:rsid w:val="00E13574"/>
    <w:rsid w:val="00E13B55"/>
    <w:rsid w:val="00E15591"/>
    <w:rsid w:val="00E169D0"/>
    <w:rsid w:val="00E16A6C"/>
    <w:rsid w:val="00E16B97"/>
    <w:rsid w:val="00E17BD7"/>
    <w:rsid w:val="00E17EB9"/>
    <w:rsid w:val="00E20BAB"/>
    <w:rsid w:val="00E20FD3"/>
    <w:rsid w:val="00E21580"/>
    <w:rsid w:val="00E24D49"/>
    <w:rsid w:val="00E2761C"/>
    <w:rsid w:val="00E27DD7"/>
    <w:rsid w:val="00E313CC"/>
    <w:rsid w:val="00E3228E"/>
    <w:rsid w:val="00E32792"/>
    <w:rsid w:val="00E32ECD"/>
    <w:rsid w:val="00E336D1"/>
    <w:rsid w:val="00E3399E"/>
    <w:rsid w:val="00E34703"/>
    <w:rsid w:val="00E35A07"/>
    <w:rsid w:val="00E35B15"/>
    <w:rsid w:val="00E362DE"/>
    <w:rsid w:val="00E37428"/>
    <w:rsid w:val="00E3787C"/>
    <w:rsid w:val="00E40C12"/>
    <w:rsid w:val="00E41240"/>
    <w:rsid w:val="00E426B5"/>
    <w:rsid w:val="00E42D43"/>
    <w:rsid w:val="00E438C3"/>
    <w:rsid w:val="00E43A3A"/>
    <w:rsid w:val="00E441B8"/>
    <w:rsid w:val="00E44CAC"/>
    <w:rsid w:val="00E45D7D"/>
    <w:rsid w:val="00E46690"/>
    <w:rsid w:val="00E467A4"/>
    <w:rsid w:val="00E47110"/>
    <w:rsid w:val="00E50316"/>
    <w:rsid w:val="00E50C53"/>
    <w:rsid w:val="00E50F87"/>
    <w:rsid w:val="00E5136C"/>
    <w:rsid w:val="00E52F68"/>
    <w:rsid w:val="00E53B5B"/>
    <w:rsid w:val="00E53C65"/>
    <w:rsid w:val="00E544E4"/>
    <w:rsid w:val="00E547EB"/>
    <w:rsid w:val="00E5492A"/>
    <w:rsid w:val="00E54A08"/>
    <w:rsid w:val="00E54F5D"/>
    <w:rsid w:val="00E55323"/>
    <w:rsid w:val="00E55E85"/>
    <w:rsid w:val="00E56184"/>
    <w:rsid w:val="00E57191"/>
    <w:rsid w:val="00E573A6"/>
    <w:rsid w:val="00E57750"/>
    <w:rsid w:val="00E601D1"/>
    <w:rsid w:val="00E60BCF"/>
    <w:rsid w:val="00E615CB"/>
    <w:rsid w:val="00E62135"/>
    <w:rsid w:val="00E628B3"/>
    <w:rsid w:val="00E63143"/>
    <w:rsid w:val="00E652AE"/>
    <w:rsid w:val="00E65EA6"/>
    <w:rsid w:val="00E662E6"/>
    <w:rsid w:val="00E663D5"/>
    <w:rsid w:val="00E666F0"/>
    <w:rsid w:val="00E672BF"/>
    <w:rsid w:val="00E7053E"/>
    <w:rsid w:val="00E70ADA"/>
    <w:rsid w:val="00E75DE7"/>
    <w:rsid w:val="00E76F42"/>
    <w:rsid w:val="00E81235"/>
    <w:rsid w:val="00E81317"/>
    <w:rsid w:val="00E82E75"/>
    <w:rsid w:val="00E8312B"/>
    <w:rsid w:val="00E83273"/>
    <w:rsid w:val="00E83A3B"/>
    <w:rsid w:val="00E8549B"/>
    <w:rsid w:val="00E87B82"/>
    <w:rsid w:val="00E902B8"/>
    <w:rsid w:val="00E91159"/>
    <w:rsid w:val="00E932C7"/>
    <w:rsid w:val="00E94075"/>
    <w:rsid w:val="00E94C90"/>
    <w:rsid w:val="00E958E8"/>
    <w:rsid w:val="00E96377"/>
    <w:rsid w:val="00E96DD3"/>
    <w:rsid w:val="00EA0962"/>
    <w:rsid w:val="00EA1722"/>
    <w:rsid w:val="00EA2668"/>
    <w:rsid w:val="00EA3D7B"/>
    <w:rsid w:val="00EA46C7"/>
    <w:rsid w:val="00EA4B88"/>
    <w:rsid w:val="00EB1F6A"/>
    <w:rsid w:val="00EB5450"/>
    <w:rsid w:val="00EB6425"/>
    <w:rsid w:val="00EB7DF7"/>
    <w:rsid w:val="00EC0C6C"/>
    <w:rsid w:val="00EC0CA5"/>
    <w:rsid w:val="00EC1810"/>
    <w:rsid w:val="00EC196C"/>
    <w:rsid w:val="00EC2144"/>
    <w:rsid w:val="00EC2771"/>
    <w:rsid w:val="00EC2E26"/>
    <w:rsid w:val="00EC3A27"/>
    <w:rsid w:val="00EC5BCD"/>
    <w:rsid w:val="00ED475D"/>
    <w:rsid w:val="00ED49FA"/>
    <w:rsid w:val="00ED4DBF"/>
    <w:rsid w:val="00ED587A"/>
    <w:rsid w:val="00ED6083"/>
    <w:rsid w:val="00EE003B"/>
    <w:rsid w:val="00EE0182"/>
    <w:rsid w:val="00EE0244"/>
    <w:rsid w:val="00EE1EE6"/>
    <w:rsid w:val="00EE4321"/>
    <w:rsid w:val="00EE453E"/>
    <w:rsid w:val="00EE4D3A"/>
    <w:rsid w:val="00EE71F4"/>
    <w:rsid w:val="00EF0261"/>
    <w:rsid w:val="00EF07ED"/>
    <w:rsid w:val="00EF187D"/>
    <w:rsid w:val="00EF1A12"/>
    <w:rsid w:val="00EF1B58"/>
    <w:rsid w:val="00EF1BBA"/>
    <w:rsid w:val="00EF3F26"/>
    <w:rsid w:val="00EF43C3"/>
    <w:rsid w:val="00EF5778"/>
    <w:rsid w:val="00EF5DFD"/>
    <w:rsid w:val="00EF61C8"/>
    <w:rsid w:val="00EF63A5"/>
    <w:rsid w:val="00EF776E"/>
    <w:rsid w:val="00F0119C"/>
    <w:rsid w:val="00F01701"/>
    <w:rsid w:val="00F02DD9"/>
    <w:rsid w:val="00F0309B"/>
    <w:rsid w:val="00F038F8"/>
    <w:rsid w:val="00F03D0F"/>
    <w:rsid w:val="00F04270"/>
    <w:rsid w:val="00F05E1E"/>
    <w:rsid w:val="00F064AF"/>
    <w:rsid w:val="00F073F9"/>
    <w:rsid w:val="00F0759F"/>
    <w:rsid w:val="00F10EDD"/>
    <w:rsid w:val="00F11890"/>
    <w:rsid w:val="00F11CB3"/>
    <w:rsid w:val="00F133A0"/>
    <w:rsid w:val="00F14525"/>
    <w:rsid w:val="00F15F26"/>
    <w:rsid w:val="00F168C3"/>
    <w:rsid w:val="00F1761E"/>
    <w:rsid w:val="00F176C4"/>
    <w:rsid w:val="00F1789F"/>
    <w:rsid w:val="00F202D7"/>
    <w:rsid w:val="00F2090A"/>
    <w:rsid w:val="00F21D97"/>
    <w:rsid w:val="00F22A07"/>
    <w:rsid w:val="00F24E8A"/>
    <w:rsid w:val="00F250BD"/>
    <w:rsid w:val="00F25F83"/>
    <w:rsid w:val="00F27030"/>
    <w:rsid w:val="00F2715A"/>
    <w:rsid w:val="00F27504"/>
    <w:rsid w:val="00F275C6"/>
    <w:rsid w:val="00F30E3D"/>
    <w:rsid w:val="00F31124"/>
    <w:rsid w:val="00F33B83"/>
    <w:rsid w:val="00F33E23"/>
    <w:rsid w:val="00F3640B"/>
    <w:rsid w:val="00F37164"/>
    <w:rsid w:val="00F4059E"/>
    <w:rsid w:val="00F40887"/>
    <w:rsid w:val="00F40FAA"/>
    <w:rsid w:val="00F40FB9"/>
    <w:rsid w:val="00F43547"/>
    <w:rsid w:val="00F43823"/>
    <w:rsid w:val="00F43B27"/>
    <w:rsid w:val="00F43FC3"/>
    <w:rsid w:val="00F441B8"/>
    <w:rsid w:val="00F44DA4"/>
    <w:rsid w:val="00F4692B"/>
    <w:rsid w:val="00F47B2F"/>
    <w:rsid w:val="00F50416"/>
    <w:rsid w:val="00F51650"/>
    <w:rsid w:val="00F52BC6"/>
    <w:rsid w:val="00F53A73"/>
    <w:rsid w:val="00F5460A"/>
    <w:rsid w:val="00F54CE4"/>
    <w:rsid w:val="00F55216"/>
    <w:rsid w:val="00F55F51"/>
    <w:rsid w:val="00F56103"/>
    <w:rsid w:val="00F56BA3"/>
    <w:rsid w:val="00F57850"/>
    <w:rsid w:val="00F6071E"/>
    <w:rsid w:val="00F60BE3"/>
    <w:rsid w:val="00F6148B"/>
    <w:rsid w:val="00F62013"/>
    <w:rsid w:val="00F6416A"/>
    <w:rsid w:val="00F65A27"/>
    <w:rsid w:val="00F65B33"/>
    <w:rsid w:val="00F65D3D"/>
    <w:rsid w:val="00F67E62"/>
    <w:rsid w:val="00F70E47"/>
    <w:rsid w:val="00F71ADC"/>
    <w:rsid w:val="00F7262E"/>
    <w:rsid w:val="00F72804"/>
    <w:rsid w:val="00F75C16"/>
    <w:rsid w:val="00F75F43"/>
    <w:rsid w:val="00F7614E"/>
    <w:rsid w:val="00F7625F"/>
    <w:rsid w:val="00F765B6"/>
    <w:rsid w:val="00F76909"/>
    <w:rsid w:val="00F77272"/>
    <w:rsid w:val="00F810A9"/>
    <w:rsid w:val="00F811A7"/>
    <w:rsid w:val="00F8207F"/>
    <w:rsid w:val="00F82571"/>
    <w:rsid w:val="00F852FD"/>
    <w:rsid w:val="00F86780"/>
    <w:rsid w:val="00F91C21"/>
    <w:rsid w:val="00F92674"/>
    <w:rsid w:val="00F92E82"/>
    <w:rsid w:val="00F94328"/>
    <w:rsid w:val="00F94890"/>
    <w:rsid w:val="00F9533F"/>
    <w:rsid w:val="00F9664D"/>
    <w:rsid w:val="00F968DB"/>
    <w:rsid w:val="00F97913"/>
    <w:rsid w:val="00FA15D9"/>
    <w:rsid w:val="00FA2FE5"/>
    <w:rsid w:val="00FA37E6"/>
    <w:rsid w:val="00FA3FF0"/>
    <w:rsid w:val="00FA5DD3"/>
    <w:rsid w:val="00FA636C"/>
    <w:rsid w:val="00FA7A91"/>
    <w:rsid w:val="00FB0004"/>
    <w:rsid w:val="00FB05CE"/>
    <w:rsid w:val="00FB1D14"/>
    <w:rsid w:val="00FB1FFB"/>
    <w:rsid w:val="00FB204D"/>
    <w:rsid w:val="00FB2B11"/>
    <w:rsid w:val="00FB37ED"/>
    <w:rsid w:val="00FB3C06"/>
    <w:rsid w:val="00FB48C0"/>
    <w:rsid w:val="00FB6F5A"/>
    <w:rsid w:val="00FC0ACE"/>
    <w:rsid w:val="00FC2142"/>
    <w:rsid w:val="00FC28DF"/>
    <w:rsid w:val="00FC40E6"/>
    <w:rsid w:val="00FC46B9"/>
    <w:rsid w:val="00FC5555"/>
    <w:rsid w:val="00FC6C72"/>
    <w:rsid w:val="00FC6C99"/>
    <w:rsid w:val="00FD108F"/>
    <w:rsid w:val="00FD12FA"/>
    <w:rsid w:val="00FD13EE"/>
    <w:rsid w:val="00FD181C"/>
    <w:rsid w:val="00FD42D6"/>
    <w:rsid w:val="00FD50CA"/>
    <w:rsid w:val="00FD5BE3"/>
    <w:rsid w:val="00FD7B0D"/>
    <w:rsid w:val="00FE0326"/>
    <w:rsid w:val="00FE0723"/>
    <w:rsid w:val="00FE1603"/>
    <w:rsid w:val="00FE1744"/>
    <w:rsid w:val="00FE2575"/>
    <w:rsid w:val="00FE52B5"/>
    <w:rsid w:val="00FE69D7"/>
    <w:rsid w:val="00FF098C"/>
    <w:rsid w:val="00FF1D81"/>
    <w:rsid w:val="00FF31D2"/>
    <w:rsid w:val="00FF3E8B"/>
    <w:rsid w:val="00FF51CA"/>
    <w:rsid w:val="00FF5A54"/>
    <w:rsid w:val="00FF5DB1"/>
    <w:rsid w:val="00FF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59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659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5E6595"/>
    <w:rPr>
      <w:sz w:val="16"/>
      <w:szCs w:val="16"/>
    </w:rPr>
  </w:style>
  <w:style w:type="paragraph" w:styleId="CommentText">
    <w:name w:val="annotation text"/>
    <w:basedOn w:val="Normal"/>
    <w:semiHidden/>
    <w:rsid w:val="005E6595"/>
  </w:style>
  <w:style w:type="paragraph" w:styleId="BalloonText">
    <w:name w:val="Balloon Text"/>
    <w:basedOn w:val="Normal"/>
    <w:semiHidden/>
    <w:rsid w:val="005E6595"/>
    <w:rPr>
      <w:rFonts w:ascii="Tahoma" w:hAnsi="Tahoma" w:cs="Tahoma"/>
      <w:sz w:val="16"/>
      <w:szCs w:val="16"/>
    </w:rPr>
  </w:style>
  <w:style w:type="paragraph" w:styleId="BodyTextIndent">
    <w:name w:val="Body Text Indent"/>
    <w:basedOn w:val="Normal"/>
    <w:rsid w:val="005E6595"/>
    <w:pPr>
      <w:spacing w:after="120"/>
      <w:ind w:left="360"/>
    </w:pPr>
  </w:style>
  <w:style w:type="paragraph" w:customStyle="1" w:styleId="Normal12pt">
    <w:name w:val="Normal + 12 pt"/>
    <w:basedOn w:val="BodyTextIndent"/>
    <w:rsid w:val="005E6595"/>
    <w:pPr>
      <w:ind w:left="0"/>
    </w:pPr>
    <w:rPr>
      <w:sz w:val="24"/>
      <w:szCs w:val="24"/>
    </w:rPr>
  </w:style>
  <w:style w:type="character" w:styleId="PageNumber">
    <w:name w:val="page number"/>
    <w:basedOn w:val="DefaultParagraphFont"/>
    <w:rsid w:val="005E6595"/>
  </w:style>
  <w:style w:type="paragraph" w:styleId="BodyText">
    <w:name w:val="Body Text"/>
    <w:basedOn w:val="Normal"/>
    <w:rsid w:val="00B07B54"/>
    <w:pPr>
      <w:widowControl/>
      <w:autoSpaceDE/>
      <w:autoSpaceDN/>
      <w:adjustRightInd/>
      <w:jc w:val="both"/>
    </w:pPr>
    <w:rPr>
      <w:rFonts w:ascii="Arial" w:hAnsi="Arial"/>
      <w:sz w:val="22"/>
      <w:szCs w:val="24"/>
    </w:rPr>
  </w:style>
  <w:style w:type="character" w:styleId="Hyperlink">
    <w:name w:val="Hyperlink"/>
    <w:rsid w:val="00582E73"/>
    <w:rPr>
      <w:color w:val="0000FF"/>
      <w:u w:val="single"/>
    </w:rPr>
  </w:style>
  <w:style w:type="paragraph" w:styleId="CommentSubject">
    <w:name w:val="annotation subject"/>
    <w:basedOn w:val="CommentText"/>
    <w:next w:val="CommentText"/>
    <w:semiHidden/>
    <w:rsid w:val="001A540D"/>
    <w:rPr>
      <w:b/>
      <w:bCs/>
    </w:rPr>
  </w:style>
  <w:style w:type="paragraph" w:styleId="Footer">
    <w:name w:val="footer"/>
    <w:basedOn w:val="Normal"/>
    <w:rsid w:val="007C2169"/>
    <w:pPr>
      <w:tabs>
        <w:tab w:val="center" w:pos="4320"/>
        <w:tab w:val="right" w:pos="8640"/>
      </w:tabs>
    </w:pPr>
  </w:style>
  <w:style w:type="paragraph" w:styleId="Header">
    <w:name w:val="header"/>
    <w:basedOn w:val="Normal"/>
    <w:rsid w:val="0040210B"/>
    <w:pPr>
      <w:tabs>
        <w:tab w:val="center" w:pos="4320"/>
        <w:tab w:val="right" w:pos="8640"/>
      </w:tabs>
    </w:pPr>
  </w:style>
  <w:style w:type="paragraph" w:styleId="FootnoteText">
    <w:name w:val="footnote text"/>
    <w:basedOn w:val="Normal"/>
    <w:semiHidden/>
    <w:rsid w:val="0081456F"/>
  </w:style>
  <w:style w:type="character" w:styleId="FootnoteReference">
    <w:name w:val="footnote reference"/>
    <w:semiHidden/>
    <w:rsid w:val="0081456F"/>
    <w:rPr>
      <w:vertAlign w:val="superscript"/>
    </w:rPr>
  </w:style>
  <w:style w:type="paragraph" w:styleId="Revision">
    <w:name w:val="Revision"/>
    <w:hidden/>
    <w:uiPriority w:val="99"/>
    <w:semiHidden/>
    <w:rsid w:val="00DF0921"/>
  </w:style>
  <w:style w:type="character" w:styleId="FollowedHyperlink">
    <w:name w:val="FollowedHyperlink"/>
    <w:rsid w:val="00380CC1"/>
    <w:rPr>
      <w:color w:val="800080"/>
      <w:u w:val="single"/>
    </w:rPr>
  </w:style>
  <w:style w:type="paragraph" w:styleId="ListParagraph">
    <w:name w:val="List Paragraph"/>
    <w:basedOn w:val="Normal"/>
    <w:uiPriority w:val="34"/>
    <w:qFormat/>
    <w:rsid w:val="00124B0A"/>
    <w:pPr>
      <w:ind w:left="720"/>
    </w:pPr>
  </w:style>
  <w:style w:type="paragraph" w:styleId="NoSpacing">
    <w:name w:val="No Spacing"/>
    <w:uiPriority w:val="1"/>
    <w:qFormat/>
    <w:rsid w:val="00497A92"/>
    <w:pPr>
      <w:widowControl w:val="0"/>
      <w:autoSpaceDE w:val="0"/>
      <w:autoSpaceDN w:val="0"/>
      <w:adjustRightInd w:val="0"/>
    </w:pPr>
  </w:style>
  <w:style w:type="character" w:styleId="Emphasis">
    <w:name w:val="Emphasis"/>
    <w:qFormat/>
    <w:rsid w:val="007A06B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59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659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5E6595"/>
    <w:rPr>
      <w:sz w:val="16"/>
      <w:szCs w:val="16"/>
    </w:rPr>
  </w:style>
  <w:style w:type="paragraph" w:styleId="CommentText">
    <w:name w:val="annotation text"/>
    <w:basedOn w:val="Normal"/>
    <w:semiHidden/>
    <w:rsid w:val="005E6595"/>
  </w:style>
  <w:style w:type="paragraph" w:styleId="BalloonText">
    <w:name w:val="Balloon Text"/>
    <w:basedOn w:val="Normal"/>
    <w:semiHidden/>
    <w:rsid w:val="005E6595"/>
    <w:rPr>
      <w:rFonts w:ascii="Tahoma" w:hAnsi="Tahoma" w:cs="Tahoma"/>
      <w:sz w:val="16"/>
      <w:szCs w:val="16"/>
    </w:rPr>
  </w:style>
  <w:style w:type="paragraph" w:styleId="BodyTextIndent">
    <w:name w:val="Body Text Indent"/>
    <w:basedOn w:val="Normal"/>
    <w:rsid w:val="005E6595"/>
    <w:pPr>
      <w:spacing w:after="120"/>
      <w:ind w:left="360"/>
    </w:pPr>
  </w:style>
  <w:style w:type="paragraph" w:customStyle="1" w:styleId="Normal12pt">
    <w:name w:val="Normal + 12 pt"/>
    <w:basedOn w:val="BodyTextIndent"/>
    <w:rsid w:val="005E6595"/>
    <w:pPr>
      <w:ind w:left="0"/>
    </w:pPr>
    <w:rPr>
      <w:sz w:val="24"/>
      <w:szCs w:val="24"/>
    </w:rPr>
  </w:style>
  <w:style w:type="character" w:styleId="PageNumber">
    <w:name w:val="page number"/>
    <w:basedOn w:val="DefaultParagraphFont"/>
    <w:rsid w:val="005E6595"/>
  </w:style>
  <w:style w:type="paragraph" w:styleId="BodyText">
    <w:name w:val="Body Text"/>
    <w:basedOn w:val="Normal"/>
    <w:rsid w:val="00B07B54"/>
    <w:pPr>
      <w:widowControl/>
      <w:autoSpaceDE/>
      <w:autoSpaceDN/>
      <w:adjustRightInd/>
      <w:jc w:val="both"/>
    </w:pPr>
    <w:rPr>
      <w:rFonts w:ascii="Arial" w:hAnsi="Arial"/>
      <w:sz w:val="22"/>
      <w:szCs w:val="24"/>
    </w:rPr>
  </w:style>
  <w:style w:type="character" w:styleId="Hyperlink">
    <w:name w:val="Hyperlink"/>
    <w:rsid w:val="00582E73"/>
    <w:rPr>
      <w:color w:val="0000FF"/>
      <w:u w:val="single"/>
    </w:rPr>
  </w:style>
  <w:style w:type="paragraph" w:styleId="CommentSubject">
    <w:name w:val="annotation subject"/>
    <w:basedOn w:val="CommentText"/>
    <w:next w:val="CommentText"/>
    <w:semiHidden/>
    <w:rsid w:val="001A540D"/>
    <w:rPr>
      <w:b/>
      <w:bCs/>
    </w:rPr>
  </w:style>
  <w:style w:type="paragraph" w:styleId="Footer">
    <w:name w:val="footer"/>
    <w:basedOn w:val="Normal"/>
    <w:rsid w:val="007C2169"/>
    <w:pPr>
      <w:tabs>
        <w:tab w:val="center" w:pos="4320"/>
        <w:tab w:val="right" w:pos="8640"/>
      </w:tabs>
    </w:pPr>
  </w:style>
  <w:style w:type="paragraph" w:styleId="Header">
    <w:name w:val="header"/>
    <w:basedOn w:val="Normal"/>
    <w:rsid w:val="0040210B"/>
    <w:pPr>
      <w:tabs>
        <w:tab w:val="center" w:pos="4320"/>
        <w:tab w:val="right" w:pos="8640"/>
      </w:tabs>
    </w:pPr>
  </w:style>
  <w:style w:type="paragraph" w:styleId="FootnoteText">
    <w:name w:val="footnote text"/>
    <w:basedOn w:val="Normal"/>
    <w:semiHidden/>
    <w:rsid w:val="0081456F"/>
  </w:style>
  <w:style w:type="character" w:styleId="FootnoteReference">
    <w:name w:val="footnote reference"/>
    <w:semiHidden/>
    <w:rsid w:val="0081456F"/>
    <w:rPr>
      <w:vertAlign w:val="superscript"/>
    </w:rPr>
  </w:style>
  <w:style w:type="paragraph" w:styleId="Revision">
    <w:name w:val="Revision"/>
    <w:hidden/>
    <w:uiPriority w:val="99"/>
    <w:semiHidden/>
    <w:rsid w:val="00DF0921"/>
  </w:style>
  <w:style w:type="character" w:styleId="FollowedHyperlink">
    <w:name w:val="FollowedHyperlink"/>
    <w:rsid w:val="00380CC1"/>
    <w:rPr>
      <w:color w:val="800080"/>
      <w:u w:val="single"/>
    </w:rPr>
  </w:style>
  <w:style w:type="paragraph" w:styleId="ListParagraph">
    <w:name w:val="List Paragraph"/>
    <w:basedOn w:val="Normal"/>
    <w:uiPriority w:val="34"/>
    <w:qFormat/>
    <w:rsid w:val="00124B0A"/>
    <w:pPr>
      <w:ind w:left="720"/>
    </w:pPr>
  </w:style>
  <w:style w:type="paragraph" w:styleId="NoSpacing">
    <w:name w:val="No Spacing"/>
    <w:uiPriority w:val="1"/>
    <w:qFormat/>
    <w:rsid w:val="00497A92"/>
    <w:pPr>
      <w:widowControl w:val="0"/>
      <w:autoSpaceDE w:val="0"/>
      <w:autoSpaceDN w:val="0"/>
      <w:adjustRightInd w:val="0"/>
    </w:pPr>
  </w:style>
  <w:style w:type="character" w:styleId="Emphasis">
    <w:name w:val="Emphasis"/>
    <w:qFormat/>
    <w:rsid w:val="007A06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nerals.er.usgs.gov/mineral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pm.gov/oca/12tables/pdf/dcb_h.pdf" TargetMode="External"/><Relationship Id="rId4" Type="http://schemas.microsoft.com/office/2007/relationships/stylesWithEffects" Target="stylesWithEffects.xml"/><Relationship Id="rId9" Type="http://schemas.openxmlformats.org/officeDocument/2006/relationships/hyperlink" Target="https://miforms.er.usg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9A16D-CFC8-4E07-89DF-086904766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4585</Words>
  <Characters>26137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USGS</Company>
  <LinksUpToDate>false</LinksUpToDate>
  <CharactersWithSpaces>30661</CharactersWithSpaces>
  <SharedDoc>false</SharedDoc>
  <HLinks>
    <vt:vector size="12" baseType="variant">
      <vt:variant>
        <vt:i4>524368</vt:i4>
      </vt:variant>
      <vt:variant>
        <vt:i4>6</vt:i4>
      </vt:variant>
      <vt:variant>
        <vt:i4>0</vt:i4>
      </vt:variant>
      <vt:variant>
        <vt:i4>5</vt:i4>
      </vt:variant>
      <vt:variant>
        <vt:lpwstr>http://minerals.er.usgs.gov/minerals/</vt:lpwstr>
      </vt:variant>
      <vt:variant>
        <vt:lpwstr/>
      </vt:variant>
      <vt:variant>
        <vt:i4>5898256</vt:i4>
      </vt:variant>
      <vt:variant>
        <vt:i4>0</vt:i4>
      </vt:variant>
      <vt:variant>
        <vt:i4>0</vt:i4>
      </vt:variant>
      <vt:variant>
        <vt:i4>5</vt:i4>
      </vt:variant>
      <vt:variant>
        <vt:lpwstr>https://miforms.er.usgs.gov/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pondsp</dc:creator>
  <cp:lastModifiedBy>Baloch, Shari M.</cp:lastModifiedBy>
  <cp:revision>2</cp:revision>
  <cp:lastPrinted>2013-01-16T18:58:00Z</cp:lastPrinted>
  <dcterms:created xsi:type="dcterms:W3CDTF">2013-01-29T19:08:00Z</dcterms:created>
  <dcterms:modified xsi:type="dcterms:W3CDTF">2013-01-29T19:08:00Z</dcterms:modified>
</cp:coreProperties>
</file>