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071F4" w14:textId="77777777" w:rsidR="0048677A" w:rsidRPr="00157EF2" w:rsidRDefault="0048677A" w:rsidP="0048677A">
      <w:pPr>
        <w:autoSpaceDE w:val="0"/>
        <w:autoSpaceDN w:val="0"/>
        <w:adjustRightInd w:val="0"/>
        <w:jc w:val="center"/>
        <w:rPr>
          <w:bCs/>
        </w:rPr>
      </w:pPr>
    </w:p>
    <w:p w14:paraId="68006B1D" w14:textId="77777777" w:rsidR="0048677A" w:rsidRPr="00C55413" w:rsidRDefault="0048677A" w:rsidP="0048677A">
      <w:pPr>
        <w:jc w:val="center"/>
        <w:rPr>
          <w:b/>
          <w:bCs/>
        </w:rPr>
      </w:pPr>
      <w:r w:rsidRPr="00C55413">
        <w:rPr>
          <w:b/>
          <w:bCs/>
        </w:rPr>
        <w:t>Local Effectiveness Assessment Project (LEAP): A Case Study of a Local Jurisdiction Providing HIV Services to MSM</w:t>
      </w:r>
    </w:p>
    <w:p w14:paraId="731A30B1" w14:textId="77777777" w:rsidR="0048677A" w:rsidRPr="00157EF2" w:rsidRDefault="0048677A" w:rsidP="0048677A">
      <w:pPr>
        <w:jc w:val="center"/>
      </w:pPr>
    </w:p>
    <w:p w14:paraId="4ECAEB7D" w14:textId="77777777" w:rsidR="0048677A" w:rsidRPr="00157EF2" w:rsidRDefault="0048677A" w:rsidP="0048677A">
      <w:pPr>
        <w:jc w:val="center"/>
      </w:pPr>
      <w:r w:rsidRPr="00157EF2" w:rsidDel="00A51DAA">
        <w:t xml:space="preserve"> </w:t>
      </w:r>
    </w:p>
    <w:p w14:paraId="59B8F78B" w14:textId="77777777" w:rsidR="0048677A" w:rsidRPr="00157EF2" w:rsidRDefault="0048677A" w:rsidP="0048677A">
      <w:pPr>
        <w:jc w:val="center"/>
      </w:pPr>
    </w:p>
    <w:p w14:paraId="7BA11B89" w14:textId="71E9218C" w:rsidR="008C5316" w:rsidRPr="00157EF2" w:rsidRDefault="00596029" w:rsidP="008C5316">
      <w:pPr>
        <w:jc w:val="center"/>
      </w:pPr>
      <w:r w:rsidRPr="00596029">
        <w:t>Sub-Collection request under Generic 0920-0840</w:t>
      </w:r>
    </w:p>
    <w:p w14:paraId="6EAA4DFA" w14:textId="17B8DF30" w:rsidR="008C5316" w:rsidRPr="00157EF2" w:rsidRDefault="008C5316" w:rsidP="008C5316">
      <w:pPr>
        <w:jc w:val="center"/>
      </w:pPr>
    </w:p>
    <w:p w14:paraId="167E6FBA" w14:textId="2A56FA7F" w:rsidR="008C5316" w:rsidRPr="00157EF2" w:rsidRDefault="008C5316" w:rsidP="008C5316">
      <w:pPr>
        <w:jc w:val="center"/>
      </w:pPr>
    </w:p>
    <w:p w14:paraId="0B90E873" w14:textId="77777777" w:rsidR="008C5316" w:rsidRPr="00157EF2" w:rsidRDefault="008C5316" w:rsidP="008C5316">
      <w:pPr>
        <w:jc w:val="center"/>
      </w:pPr>
      <w:r w:rsidRPr="00157EF2">
        <w:t xml:space="preserve">Section B: Supporting Statement </w:t>
      </w:r>
    </w:p>
    <w:p w14:paraId="513227E4" w14:textId="77777777" w:rsidR="008C5316" w:rsidRPr="00157EF2" w:rsidRDefault="008C5316" w:rsidP="008C5316">
      <w:pPr>
        <w:jc w:val="center"/>
      </w:pPr>
    </w:p>
    <w:p w14:paraId="0C3144CD" w14:textId="77777777" w:rsidR="008C5316" w:rsidRPr="00157EF2" w:rsidRDefault="008C5316" w:rsidP="008C5316">
      <w:pPr>
        <w:jc w:val="center"/>
      </w:pPr>
    </w:p>
    <w:p w14:paraId="59292052" w14:textId="77777777" w:rsidR="008C5316" w:rsidRPr="00157EF2" w:rsidRDefault="008C5316" w:rsidP="008C5316">
      <w:pPr>
        <w:jc w:val="center"/>
      </w:pPr>
    </w:p>
    <w:p w14:paraId="70621B1E" w14:textId="268C03AA" w:rsidR="008C5316" w:rsidRPr="00157EF2" w:rsidRDefault="0048677A" w:rsidP="008C5316">
      <w:pPr>
        <w:jc w:val="center"/>
      </w:pPr>
      <w:r w:rsidRPr="00157EF2">
        <w:fldChar w:fldCharType="begin"/>
      </w:r>
      <w:r w:rsidRPr="00157EF2">
        <w:instrText xml:space="preserve"> DATE \@ "MMMM d, yyyy" </w:instrText>
      </w:r>
      <w:r w:rsidRPr="00157EF2">
        <w:fldChar w:fldCharType="separate"/>
      </w:r>
      <w:r w:rsidR="00FE223E">
        <w:rPr>
          <w:noProof/>
        </w:rPr>
        <w:t>June 25, 2015</w:t>
      </w:r>
      <w:r w:rsidRPr="00157EF2">
        <w:fldChar w:fldCharType="end"/>
      </w:r>
    </w:p>
    <w:p w14:paraId="57C65E01" w14:textId="77777777" w:rsidR="008C5316" w:rsidRPr="00303E21" w:rsidRDefault="008C5316" w:rsidP="008C5316">
      <w:pPr>
        <w:jc w:val="center"/>
        <w:rPr>
          <w:b/>
        </w:rPr>
      </w:pPr>
    </w:p>
    <w:p w14:paraId="70112B72" w14:textId="77777777" w:rsidR="008C5316" w:rsidRPr="00303E21" w:rsidRDefault="008C5316" w:rsidP="008C5316">
      <w:pPr>
        <w:jc w:val="center"/>
        <w:rPr>
          <w:b/>
        </w:rPr>
      </w:pPr>
    </w:p>
    <w:p w14:paraId="5DBCA182" w14:textId="77777777" w:rsidR="008C5316" w:rsidRPr="00303E21" w:rsidRDefault="008C5316" w:rsidP="008C5316">
      <w:pPr>
        <w:jc w:val="center"/>
        <w:rPr>
          <w:b/>
        </w:rPr>
      </w:pPr>
    </w:p>
    <w:p w14:paraId="288CE40D" w14:textId="77777777" w:rsidR="008C5316" w:rsidRPr="00303E21" w:rsidRDefault="008C5316" w:rsidP="008C5316">
      <w:pPr>
        <w:jc w:val="center"/>
        <w:rPr>
          <w:b/>
        </w:rPr>
      </w:pPr>
      <w:r w:rsidRPr="00303E21">
        <w:rPr>
          <w:b/>
        </w:rPr>
        <w:t>CONTACT</w:t>
      </w:r>
    </w:p>
    <w:p w14:paraId="401588CF" w14:textId="77777777" w:rsidR="008C5316" w:rsidRPr="00303E21" w:rsidRDefault="008C5316" w:rsidP="008C5316">
      <w:pPr>
        <w:jc w:val="center"/>
        <w:rPr>
          <w:shd w:val="clear" w:color="auto" w:fill="FFFFFF"/>
        </w:rPr>
      </w:pPr>
      <w:r w:rsidRPr="00303E21">
        <w:rPr>
          <w:bCs/>
          <w:shd w:val="clear" w:color="auto" w:fill="FFFFFF"/>
        </w:rPr>
        <w:t>James Carey, PhD, MPH</w:t>
      </w:r>
      <w:r w:rsidRPr="00303E21">
        <w:br/>
        <w:t>Contracting Officer’s Representative</w:t>
      </w:r>
    </w:p>
    <w:p w14:paraId="2524491C" w14:textId="182A0EFD" w:rsidR="006845BF" w:rsidRDefault="008C5316" w:rsidP="008C5316">
      <w:pPr>
        <w:jc w:val="center"/>
        <w:rPr>
          <w:shd w:val="clear" w:color="auto" w:fill="FFFFFF"/>
        </w:rPr>
      </w:pPr>
      <w:r w:rsidRPr="00303E21">
        <w:rPr>
          <w:shd w:val="clear" w:color="auto" w:fill="FFFFFF"/>
        </w:rPr>
        <w:t>Centers for Disease Control and Prevention</w:t>
      </w:r>
      <w:r w:rsidRPr="00303E21">
        <w:br/>
      </w:r>
      <w:r w:rsidRPr="00303E21">
        <w:rPr>
          <w:shd w:val="clear" w:color="auto" w:fill="FFFFFF"/>
        </w:rPr>
        <w:t xml:space="preserve">Division of HIV/AIDS Prevention, </w:t>
      </w:r>
      <w:r w:rsidR="006845BF">
        <w:rPr>
          <w:shd w:val="clear" w:color="auto" w:fill="FFFFFF"/>
        </w:rPr>
        <w:t>PRB</w:t>
      </w:r>
      <w:r w:rsidRPr="00303E21">
        <w:br/>
      </w:r>
      <w:r w:rsidRPr="00303E21">
        <w:rPr>
          <w:shd w:val="clear" w:color="auto" w:fill="FFFFFF"/>
        </w:rPr>
        <w:t>1600 Clifton Road, NE, Mailstop E-37</w:t>
      </w:r>
      <w:r w:rsidRPr="00303E21">
        <w:br/>
      </w:r>
      <w:r w:rsidRPr="00303E21">
        <w:rPr>
          <w:shd w:val="clear" w:color="auto" w:fill="FFFFFF"/>
        </w:rPr>
        <w:t xml:space="preserve">Atlanta, GA </w:t>
      </w:r>
      <w:r w:rsidR="006845BF">
        <w:rPr>
          <w:shd w:val="clear" w:color="auto" w:fill="FFFFFF"/>
        </w:rPr>
        <w:t>30329-4027</w:t>
      </w:r>
    </w:p>
    <w:p w14:paraId="152E4EFC" w14:textId="7C158671" w:rsidR="008C5316" w:rsidRPr="00303E21" w:rsidRDefault="008C5316" w:rsidP="008C5316">
      <w:pPr>
        <w:jc w:val="center"/>
      </w:pPr>
      <w:r w:rsidRPr="00303E21">
        <w:rPr>
          <w:shd w:val="clear" w:color="auto" w:fill="FFFFFF"/>
        </w:rPr>
        <w:t>Phone: 404-639-1903</w:t>
      </w:r>
      <w:r w:rsidRPr="00303E21">
        <w:br/>
      </w:r>
      <w:r w:rsidRPr="00303E21">
        <w:rPr>
          <w:shd w:val="clear" w:color="auto" w:fill="FFFFFF"/>
        </w:rPr>
        <w:t>Fax: 404-639-1950</w:t>
      </w:r>
      <w:r w:rsidRPr="00303E21">
        <w:br/>
      </w:r>
      <w:r w:rsidRPr="00303E21">
        <w:rPr>
          <w:shd w:val="clear" w:color="auto" w:fill="FFFFFF"/>
        </w:rPr>
        <w:t>E-mail:</w:t>
      </w:r>
      <w:r w:rsidRPr="00303E21">
        <w:t> </w:t>
      </w:r>
      <w:hyperlink r:id="rId8" w:history="1">
        <w:r w:rsidRPr="00303E21">
          <w:rPr>
            <w:u w:val="single"/>
          </w:rPr>
          <w:t>jcarey@cdc.gov</w:t>
        </w:r>
      </w:hyperlink>
    </w:p>
    <w:p w14:paraId="2C98CE99" w14:textId="77777777" w:rsidR="006F5358" w:rsidRPr="00303E21" w:rsidRDefault="006F5358" w:rsidP="006F5358">
      <w:pPr>
        <w:tabs>
          <w:tab w:val="left" w:pos="4680"/>
        </w:tabs>
        <w:jc w:val="center"/>
        <w:rPr>
          <w:b/>
          <w:bCs/>
        </w:rPr>
      </w:pPr>
    </w:p>
    <w:p w14:paraId="7D3A8E22" w14:textId="77777777" w:rsidR="006F5358" w:rsidRPr="00303E21" w:rsidRDefault="006F5358" w:rsidP="006F5358">
      <w:pPr>
        <w:tabs>
          <w:tab w:val="left" w:pos="4680"/>
        </w:tabs>
        <w:jc w:val="center"/>
        <w:rPr>
          <w:b/>
          <w:bCs/>
        </w:rPr>
        <w:sectPr w:rsidR="006F5358" w:rsidRPr="00303E21" w:rsidSect="004348EE">
          <w:headerReference w:type="default" r:id="rId9"/>
          <w:pgSz w:w="12240" w:h="15840"/>
          <w:pgMar w:top="1440" w:right="1440" w:bottom="1440" w:left="1440" w:header="720" w:footer="720" w:gutter="0"/>
          <w:pgNumType w:fmt="lowerRoman" w:start="1"/>
          <w:cols w:space="720"/>
          <w:docGrid w:linePitch="360"/>
        </w:sectPr>
      </w:pPr>
    </w:p>
    <w:p w14:paraId="4A6BA44A" w14:textId="77777777" w:rsidR="006F5358" w:rsidRPr="00303E21" w:rsidRDefault="00D50466" w:rsidP="006F5358">
      <w:pPr>
        <w:pBdr>
          <w:bottom w:val="single" w:sz="4" w:space="1" w:color="660000"/>
        </w:pBdr>
        <w:autoSpaceDE w:val="0"/>
        <w:autoSpaceDN w:val="0"/>
        <w:adjustRightInd w:val="0"/>
        <w:jc w:val="center"/>
        <w:rPr>
          <w:b/>
          <w:bCs/>
          <w:sz w:val="28"/>
          <w:szCs w:val="28"/>
        </w:rPr>
      </w:pPr>
      <w:r w:rsidRPr="00303E21">
        <w:rPr>
          <w:b/>
          <w:bCs/>
          <w:sz w:val="32"/>
          <w:szCs w:val="28"/>
        </w:rPr>
        <w:lastRenderedPageBreak/>
        <w:t>TABLE OF CONTENTS</w:t>
      </w:r>
    </w:p>
    <w:p w14:paraId="1E8A8121" w14:textId="77777777" w:rsidR="006F5358" w:rsidRPr="00303E21" w:rsidRDefault="006F5358" w:rsidP="00D71624">
      <w:pPr>
        <w:autoSpaceDE w:val="0"/>
        <w:autoSpaceDN w:val="0"/>
        <w:adjustRightInd w:val="0"/>
        <w:jc w:val="center"/>
        <w:rPr>
          <w:b/>
          <w:bCs/>
          <w:sz w:val="32"/>
          <w:szCs w:val="28"/>
        </w:rPr>
      </w:pPr>
    </w:p>
    <w:p w14:paraId="4F0E8BC3" w14:textId="77304E3F" w:rsidR="00157EF2" w:rsidRDefault="003F298E">
      <w:pPr>
        <w:pStyle w:val="TOC1"/>
        <w:rPr>
          <w:rFonts w:asciiTheme="minorHAnsi" w:eastAsiaTheme="minorEastAsia" w:hAnsiTheme="minorHAnsi" w:cstheme="minorBidi"/>
          <w:noProof/>
          <w:sz w:val="22"/>
          <w:szCs w:val="22"/>
        </w:rPr>
      </w:pPr>
      <w:r w:rsidRPr="00303E21">
        <w:rPr>
          <w:bCs/>
        </w:rPr>
        <w:fldChar w:fldCharType="begin"/>
      </w:r>
      <w:r w:rsidR="00B86A95" w:rsidRPr="00303E21">
        <w:rPr>
          <w:bCs/>
        </w:rPr>
        <w:instrText xml:space="preserve"> TOC \o "1-3" \h \z \u </w:instrText>
      </w:r>
      <w:r w:rsidRPr="00303E21">
        <w:rPr>
          <w:bCs/>
        </w:rPr>
        <w:fldChar w:fldCharType="separate"/>
      </w:r>
      <w:hyperlink w:anchor="_Toc410297103" w:history="1">
        <w:r w:rsidR="00C718A4" w:rsidRPr="003064BC">
          <w:rPr>
            <w:rStyle w:val="Hyperlink"/>
            <w:iCs/>
            <w:noProof/>
          </w:rPr>
          <w:t>1.  Respondent Universe and Sampling Methods</w:t>
        </w:r>
        <w:r w:rsidR="00C718A4">
          <w:rPr>
            <w:noProof/>
            <w:webHidden/>
          </w:rPr>
          <w:tab/>
          <w:t>1</w:t>
        </w:r>
      </w:hyperlink>
    </w:p>
    <w:p w14:paraId="7C149892" w14:textId="1336BA48" w:rsidR="00157EF2" w:rsidRDefault="00FE223E">
      <w:pPr>
        <w:pStyle w:val="TOC1"/>
        <w:rPr>
          <w:rFonts w:asciiTheme="minorHAnsi" w:eastAsiaTheme="minorEastAsia" w:hAnsiTheme="minorHAnsi" w:cstheme="minorBidi"/>
          <w:noProof/>
          <w:sz w:val="22"/>
          <w:szCs w:val="22"/>
        </w:rPr>
      </w:pPr>
      <w:hyperlink w:anchor="_Toc410297104" w:history="1">
        <w:r w:rsidR="00C718A4" w:rsidRPr="003064BC">
          <w:rPr>
            <w:rStyle w:val="Hyperlink"/>
            <w:iCs/>
            <w:noProof/>
          </w:rPr>
          <w:t>2.</w:t>
        </w:r>
        <w:r w:rsidR="00C718A4">
          <w:rPr>
            <w:rFonts w:asciiTheme="minorHAnsi" w:eastAsiaTheme="minorEastAsia" w:hAnsiTheme="minorHAnsi" w:cstheme="minorBidi"/>
            <w:noProof/>
            <w:sz w:val="22"/>
            <w:szCs w:val="22"/>
          </w:rPr>
          <w:tab/>
        </w:r>
        <w:r w:rsidR="00C718A4" w:rsidRPr="003064BC">
          <w:rPr>
            <w:rStyle w:val="Hyperlink"/>
            <w:iCs/>
            <w:noProof/>
          </w:rPr>
          <w:t>Procedures for the Collection of Information</w:t>
        </w:r>
        <w:r w:rsidR="00C718A4">
          <w:rPr>
            <w:noProof/>
            <w:webHidden/>
          </w:rPr>
          <w:tab/>
          <w:t>3</w:t>
        </w:r>
      </w:hyperlink>
    </w:p>
    <w:p w14:paraId="3E409665" w14:textId="79C48460" w:rsidR="00157EF2" w:rsidRDefault="00FE223E">
      <w:pPr>
        <w:pStyle w:val="TOC1"/>
        <w:rPr>
          <w:rFonts w:asciiTheme="minorHAnsi" w:eastAsiaTheme="minorEastAsia" w:hAnsiTheme="minorHAnsi" w:cstheme="minorBidi"/>
          <w:noProof/>
          <w:sz w:val="22"/>
          <w:szCs w:val="22"/>
        </w:rPr>
      </w:pPr>
      <w:hyperlink w:anchor="_Toc410297107" w:history="1">
        <w:r w:rsidR="00C718A4" w:rsidRPr="003064BC">
          <w:rPr>
            <w:rStyle w:val="Hyperlink"/>
            <w:iCs/>
            <w:noProof/>
          </w:rPr>
          <w:t xml:space="preserve">3. </w:t>
        </w:r>
        <w:r w:rsidR="00C718A4">
          <w:rPr>
            <w:rFonts w:asciiTheme="minorHAnsi" w:eastAsiaTheme="minorEastAsia" w:hAnsiTheme="minorHAnsi" w:cstheme="minorBidi"/>
            <w:noProof/>
            <w:sz w:val="22"/>
            <w:szCs w:val="22"/>
          </w:rPr>
          <w:tab/>
        </w:r>
        <w:r w:rsidR="00C718A4" w:rsidRPr="003064BC">
          <w:rPr>
            <w:rStyle w:val="Hyperlink"/>
            <w:iCs/>
            <w:noProof/>
          </w:rPr>
          <w:t>Methods to Maximize Response Rates and Deal with No Response</w:t>
        </w:r>
        <w:r w:rsidR="00C718A4">
          <w:rPr>
            <w:noProof/>
            <w:webHidden/>
          </w:rPr>
          <w:tab/>
          <w:t>5</w:t>
        </w:r>
      </w:hyperlink>
    </w:p>
    <w:p w14:paraId="4ED6797B" w14:textId="03173D62" w:rsidR="00157EF2" w:rsidRDefault="00FE223E">
      <w:pPr>
        <w:pStyle w:val="TOC1"/>
        <w:rPr>
          <w:rFonts w:asciiTheme="minorHAnsi" w:eastAsiaTheme="minorEastAsia" w:hAnsiTheme="minorHAnsi" w:cstheme="minorBidi"/>
          <w:noProof/>
          <w:sz w:val="22"/>
          <w:szCs w:val="22"/>
        </w:rPr>
      </w:pPr>
      <w:hyperlink w:anchor="_Toc410297108" w:history="1">
        <w:r w:rsidR="00C718A4" w:rsidRPr="003064BC">
          <w:rPr>
            <w:rStyle w:val="Hyperlink"/>
            <w:iCs/>
            <w:noProof/>
          </w:rPr>
          <w:t>4.</w:t>
        </w:r>
        <w:r w:rsidR="00C718A4">
          <w:rPr>
            <w:rFonts w:asciiTheme="minorHAnsi" w:eastAsiaTheme="minorEastAsia" w:hAnsiTheme="minorHAnsi" w:cstheme="minorBidi"/>
            <w:noProof/>
            <w:sz w:val="22"/>
            <w:szCs w:val="22"/>
          </w:rPr>
          <w:tab/>
        </w:r>
        <w:r w:rsidR="00C718A4" w:rsidRPr="003064BC">
          <w:rPr>
            <w:rStyle w:val="Hyperlink"/>
            <w:iCs/>
            <w:noProof/>
          </w:rPr>
          <w:t>Tests of Procedures or Methods to Be Undertaken</w:t>
        </w:r>
        <w:r w:rsidR="00C718A4">
          <w:rPr>
            <w:noProof/>
            <w:webHidden/>
          </w:rPr>
          <w:tab/>
          <w:t>5</w:t>
        </w:r>
      </w:hyperlink>
    </w:p>
    <w:p w14:paraId="14FF46E4" w14:textId="2D9A784C" w:rsidR="00157EF2" w:rsidRDefault="00FE223E">
      <w:pPr>
        <w:pStyle w:val="TOC1"/>
        <w:rPr>
          <w:rFonts w:asciiTheme="minorHAnsi" w:eastAsiaTheme="minorEastAsia" w:hAnsiTheme="minorHAnsi" w:cstheme="minorBidi"/>
          <w:noProof/>
          <w:sz w:val="22"/>
          <w:szCs w:val="22"/>
        </w:rPr>
      </w:pPr>
      <w:hyperlink w:anchor="_Toc410297109" w:history="1">
        <w:r w:rsidR="00C718A4" w:rsidRPr="003064BC">
          <w:rPr>
            <w:rStyle w:val="Hyperlink"/>
            <w:iCs/>
            <w:noProof/>
          </w:rPr>
          <w:t>5.</w:t>
        </w:r>
        <w:r w:rsidR="00C718A4">
          <w:rPr>
            <w:rFonts w:asciiTheme="minorHAnsi" w:eastAsiaTheme="minorEastAsia" w:hAnsiTheme="minorHAnsi" w:cstheme="minorBidi"/>
            <w:noProof/>
            <w:sz w:val="22"/>
            <w:szCs w:val="22"/>
          </w:rPr>
          <w:tab/>
        </w:r>
        <w:r w:rsidR="00C718A4" w:rsidRPr="003064BC">
          <w:rPr>
            <w:rStyle w:val="Hyperlink"/>
            <w:iCs/>
            <w:noProof/>
          </w:rPr>
          <w:t>Individuals Consulted on Statistical Aspects and Individuals Collecting and/or Analyzing Data</w:t>
        </w:r>
        <w:r w:rsidR="00C718A4">
          <w:rPr>
            <w:noProof/>
            <w:webHidden/>
          </w:rPr>
          <w:tab/>
          <w:t>5</w:t>
        </w:r>
      </w:hyperlink>
    </w:p>
    <w:p w14:paraId="7D0D1E6B" w14:textId="77777777" w:rsidR="00DF7F31" w:rsidRPr="00303E21" w:rsidRDefault="003F298E" w:rsidP="00D71624">
      <w:pPr>
        <w:autoSpaceDE w:val="0"/>
        <w:autoSpaceDN w:val="0"/>
        <w:adjustRightInd w:val="0"/>
        <w:jc w:val="center"/>
        <w:rPr>
          <w:b/>
          <w:bCs/>
        </w:rPr>
      </w:pPr>
      <w:r w:rsidRPr="00303E21">
        <w:rPr>
          <w:b/>
          <w:bCs/>
        </w:rPr>
        <w:fldChar w:fldCharType="end"/>
      </w:r>
    </w:p>
    <w:p w14:paraId="7B54EDF2" w14:textId="77777777" w:rsidR="0059419A" w:rsidRPr="00303E21" w:rsidRDefault="0059419A" w:rsidP="00D71624">
      <w:pPr>
        <w:autoSpaceDE w:val="0"/>
        <w:autoSpaceDN w:val="0"/>
        <w:adjustRightInd w:val="0"/>
        <w:jc w:val="center"/>
        <w:rPr>
          <w:b/>
          <w:bCs/>
          <w:sz w:val="32"/>
          <w:szCs w:val="28"/>
        </w:rPr>
      </w:pPr>
    </w:p>
    <w:p w14:paraId="04395F85" w14:textId="77777777" w:rsidR="0059419A" w:rsidRPr="00303E21" w:rsidRDefault="0059419A" w:rsidP="0059419A">
      <w:pPr>
        <w:autoSpaceDE w:val="0"/>
        <w:autoSpaceDN w:val="0"/>
        <w:adjustRightInd w:val="0"/>
        <w:jc w:val="center"/>
        <w:rPr>
          <w:b/>
          <w:bCs/>
          <w:sz w:val="32"/>
          <w:szCs w:val="32"/>
        </w:rPr>
      </w:pPr>
      <w:r w:rsidRPr="00303E21">
        <w:rPr>
          <w:b/>
          <w:bCs/>
          <w:sz w:val="32"/>
          <w:szCs w:val="32"/>
        </w:rPr>
        <w:t>EXHIBITS</w:t>
      </w:r>
    </w:p>
    <w:p w14:paraId="3B95ED91" w14:textId="74977098" w:rsidR="00F92ABD" w:rsidRPr="00303E21" w:rsidRDefault="00585792" w:rsidP="00F92ABD">
      <w:r w:rsidRPr="00303E21">
        <w:t>Exhibit B1.</w:t>
      </w:r>
      <w:r w:rsidR="00AB0F3C" w:rsidRPr="00303E21">
        <w:t>1</w:t>
      </w:r>
      <w:r w:rsidR="00F92ABD" w:rsidRPr="00303E21">
        <w:t xml:space="preserve">. </w:t>
      </w:r>
      <w:r w:rsidR="000118C0" w:rsidRPr="00157EF2">
        <w:rPr>
          <w:bCs/>
        </w:rPr>
        <w:t>Key Participant Interviewee Categories</w:t>
      </w:r>
    </w:p>
    <w:p w14:paraId="01C7A234" w14:textId="70C7618A" w:rsidR="00F92ABD" w:rsidRPr="00C915F9" w:rsidRDefault="00F92ABD" w:rsidP="00F92ABD">
      <w:r w:rsidRPr="00303E21">
        <w:t>Exhibit B1.</w:t>
      </w:r>
      <w:r w:rsidR="00AB0F3C" w:rsidRPr="00303E21">
        <w:t>2</w:t>
      </w:r>
      <w:r w:rsidRPr="00303E21">
        <w:t xml:space="preserve">. </w:t>
      </w:r>
      <w:r w:rsidR="000118C0" w:rsidRPr="00157EF2">
        <w:rPr>
          <w:bCs/>
        </w:rPr>
        <w:t>Philadelphia Proposed Sample</w:t>
      </w:r>
    </w:p>
    <w:p w14:paraId="30806C21" w14:textId="1D513F4F" w:rsidR="00425678" w:rsidRPr="00303E21" w:rsidRDefault="0059419A" w:rsidP="0059419A">
      <w:pPr>
        <w:autoSpaceDE w:val="0"/>
        <w:autoSpaceDN w:val="0"/>
        <w:adjustRightInd w:val="0"/>
        <w:rPr>
          <w:bCs/>
        </w:rPr>
      </w:pPr>
      <w:r w:rsidRPr="00303E21">
        <w:rPr>
          <w:bCs/>
        </w:rPr>
        <w:t xml:space="preserve">Exhibit </w:t>
      </w:r>
      <w:r w:rsidR="00B53FFD" w:rsidRPr="00303E21">
        <w:rPr>
          <w:bCs/>
        </w:rPr>
        <w:t>B</w:t>
      </w:r>
      <w:r w:rsidRPr="00303E21">
        <w:rPr>
          <w:bCs/>
        </w:rPr>
        <w:t>5.1. Statistical Consultants</w:t>
      </w:r>
    </w:p>
    <w:p w14:paraId="49C0F53F" w14:textId="77777777" w:rsidR="00425678" w:rsidRPr="00303E21" w:rsidRDefault="00425678" w:rsidP="0059419A">
      <w:pPr>
        <w:autoSpaceDE w:val="0"/>
        <w:autoSpaceDN w:val="0"/>
        <w:adjustRightInd w:val="0"/>
        <w:rPr>
          <w:bCs/>
        </w:rPr>
      </w:pPr>
    </w:p>
    <w:p w14:paraId="4A44E3AA" w14:textId="77777777" w:rsidR="00C718A4" w:rsidRDefault="00C718A4" w:rsidP="00D71624">
      <w:pPr>
        <w:autoSpaceDE w:val="0"/>
        <w:autoSpaceDN w:val="0"/>
        <w:adjustRightInd w:val="0"/>
        <w:jc w:val="center"/>
        <w:rPr>
          <w:b/>
          <w:bCs/>
          <w:sz w:val="32"/>
          <w:szCs w:val="28"/>
        </w:rPr>
        <w:sectPr w:rsidR="00C718A4" w:rsidSect="000F622F">
          <w:footerReference w:type="default" r:id="rId10"/>
          <w:pgSz w:w="12240" w:h="15840"/>
          <w:pgMar w:top="1440" w:right="1440" w:bottom="1440" w:left="1440" w:header="720" w:footer="720" w:gutter="0"/>
          <w:pgNumType w:start="1"/>
          <w:cols w:space="720"/>
          <w:docGrid w:linePitch="360"/>
        </w:sectPr>
      </w:pPr>
    </w:p>
    <w:p w14:paraId="0A8D41C4" w14:textId="519E8AEF" w:rsidR="0059419A" w:rsidRPr="00303E21" w:rsidRDefault="0059419A" w:rsidP="00D71624">
      <w:pPr>
        <w:autoSpaceDE w:val="0"/>
        <w:autoSpaceDN w:val="0"/>
        <w:adjustRightInd w:val="0"/>
        <w:jc w:val="center"/>
        <w:rPr>
          <w:b/>
          <w:bCs/>
          <w:sz w:val="32"/>
          <w:szCs w:val="28"/>
        </w:rPr>
        <w:sectPr w:rsidR="0059419A" w:rsidRPr="00303E21" w:rsidSect="00C718A4">
          <w:type w:val="continuous"/>
          <w:pgSz w:w="12240" w:h="15840"/>
          <w:pgMar w:top="1440" w:right="1440" w:bottom="1440" w:left="1440" w:header="720" w:footer="720" w:gutter="0"/>
          <w:pgNumType w:start="1"/>
          <w:cols w:space="720"/>
          <w:docGrid w:linePitch="360"/>
        </w:sectPr>
      </w:pPr>
    </w:p>
    <w:p w14:paraId="7B12E5A4" w14:textId="4C377B15" w:rsidR="006F5358" w:rsidRDefault="00303E21" w:rsidP="009D1AAE">
      <w:pPr>
        <w:pStyle w:val="Heading1"/>
        <w:spacing w:before="0" w:after="0"/>
        <w:rPr>
          <w:rFonts w:ascii="Times New Roman" w:hAnsi="Times New Roman" w:cs="Times New Roman"/>
          <w:iCs/>
          <w:sz w:val="28"/>
          <w:szCs w:val="28"/>
        </w:rPr>
      </w:pPr>
      <w:bookmarkStart w:id="0" w:name="_Toc295894620"/>
      <w:bookmarkStart w:id="1" w:name="_Toc306891589"/>
      <w:bookmarkStart w:id="2" w:name="_Toc410297103"/>
      <w:r w:rsidRPr="00303E21">
        <w:rPr>
          <w:rFonts w:ascii="Times New Roman" w:hAnsi="Times New Roman" w:cs="Times New Roman"/>
          <w:iCs/>
          <w:sz w:val="28"/>
          <w:szCs w:val="28"/>
        </w:rPr>
        <w:lastRenderedPageBreak/>
        <w:t xml:space="preserve">1.  </w:t>
      </w:r>
      <w:r w:rsidR="006F5358" w:rsidRPr="00303E21">
        <w:rPr>
          <w:rFonts w:ascii="Times New Roman" w:hAnsi="Times New Roman" w:cs="Times New Roman"/>
          <w:iCs/>
          <w:sz w:val="28"/>
          <w:szCs w:val="28"/>
        </w:rPr>
        <w:t>Respondent Universe and Sampling Methods</w:t>
      </w:r>
      <w:bookmarkEnd w:id="0"/>
      <w:bookmarkEnd w:id="1"/>
      <w:bookmarkEnd w:id="2"/>
    </w:p>
    <w:p w14:paraId="677E67AD" w14:textId="77777777" w:rsidR="0048677A" w:rsidRPr="00157EF2" w:rsidRDefault="0048677A" w:rsidP="00157EF2"/>
    <w:p w14:paraId="4327D985" w14:textId="77777777" w:rsidR="0048677A" w:rsidRDefault="0048677A" w:rsidP="0048677A">
      <w:pPr>
        <w:rPr>
          <w:rFonts w:eastAsia="MS Mincho"/>
          <w:b/>
          <w:i/>
          <w:color w:val="1F497D" w:themeColor="text2"/>
          <w:lang w:bidi="en-US"/>
        </w:rPr>
      </w:pPr>
      <w:bookmarkStart w:id="3" w:name="_Toc374364888"/>
      <w:bookmarkStart w:id="4" w:name="_Toc374364889"/>
      <w:bookmarkStart w:id="5" w:name="_Toc374364932"/>
      <w:bookmarkEnd w:id="3"/>
      <w:bookmarkEnd w:id="4"/>
      <w:bookmarkEnd w:id="5"/>
      <w:r w:rsidRPr="00157EF2">
        <w:rPr>
          <w:rFonts w:eastAsia="MS Mincho"/>
          <w:b/>
          <w:i/>
          <w:color w:val="1F497D" w:themeColor="text2"/>
          <w:lang w:bidi="en-US"/>
        </w:rPr>
        <w:t>Modified Social Ecological Model (MSEM)</w:t>
      </w:r>
    </w:p>
    <w:p w14:paraId="3C7D0328" w14:textId="77777777" w:rsidR="0068068C" w:rsidRPr="00157EF2" w:rsidRDefault="0068068C" w:rsidP="0048677A">
      <w:pPr>
        <w:rPr>
          <w:rFonts w:eastAsia="MS Mincho"/>
          <w:b/>
          <w:i/>
          <w:color w:val="1F497D" w:themeColor="text2"/>
          <w:lang w:bidi="en-US"/>
        </w:rPr>
      </w:pPr>
    </w:p>
    <w:p w14:paraId="6AD09463" w14:textId="640A4C5A" w:rsidR="0048677A" w:rsidRPr="00157EF2" w:rsidRDefault="0048677A" w:rsidP="0048677A">
      <w:pPr>
        <w:rPr>
          <w:rFonts w:eastAsia="MS Mincho"/>
          <w:lang w:bidi="en-US"/>
        </w:rPr>
      </w:pPr>
      <w:r w:rsidRPr="00157EF2">
        <w:rPr>
          <w:rFonts w:eastAsia="MS Mincho"/>
          <w:lang w:bidi="en-US"/>
        </w:rPr>
        <w:t xml:space="preserve">In order to best describe the local HIV prevention and care efforts, activities and context within the selected jurisdiction, we will utilize Modified Social Ecological Model (MSEM) to guide the case study design. According to the MSEM, several levels of risk contribute to the disease across HIV epidemic, public policy, community, social and sexual networks, and individual factors (Baral, Logie, Grosso, Wirtz, &amp; Beyrer, 2013).  This model is based on the premise that individual factors alone do not comprise the full risk of HIV but rather it suggests that there are higher order social and structural levels that represent risk factors outside the control of a given individual and can be used collectively to contextualize HIV transmission risk among MSM in a single jurisdiction.  As part of our approach, </w:t>
      </w:r>
      <w:r w:rsidR="0068068C">
        <w:rPr>
          <w:rFonts w:eastAsia="MS Mincho"/>
          <w:lang w:bidi="en-US"/>
        </w:rPr>
        <w:t>the contracting team will</w:t>
      </w:r>
      <w:r w:rsidRPr="00157EF2">
        <w:rPr>
          <w:rFonts w:eastAsia="MS Mincho"/>
          <w:lang w:bidi="en-US"/>
        </w:rPr>
        <w:t xml:space="preserve"> implement two sampling plans to conduct key participant interviews (KPIs).  </w:t>
      </w:r>
    </w:p>
    <w:p w14:paraId="5ED98855" w14:textId="77777777" w:rsidR="0048677A" w:rsidRPr="00157EF2" w:rsidRDefault="0048677A" w:rsidP="0048677A">
      <w:pPr>
        <w:rPr>
          <w:rFonts w:eastAsia="MS Mincho"/>
          <w:lang w:bidi="en-US"/>
        </w:rPr>
      </w:pPr>
    </w:p>
    <w:p w14:paraId="5A501425" w14:textId="77777777" w:rsidR="0048677A" w:rsidRDefault="0048677A" w:rsidP="0048677A">
      <w:pPr>
        <w:pStyle w:val="Heading4"/>
        <w:spacing w:before="0"/>
        <w:rPr>
          <w:rFonts w:ascii="Times New Roman" w:eastAsia="MS Mincho" w:hAnsi="Times New Roman" w:cs="Times New Roman"/>
          <w:b w:val="0"/>
          <w:i w:val="0"/>
          <w:color w:val="1F497D"/>
          <w:lang w:bidi="en-US"/>
        </w:rPr>
      </w:pPr>
      <w:bookmarkStart w:id="6" w:name="_Toc276928447"/>
      <w:bookmarkStart w:id="7" w:name="_Toc276929314"/>
      <w:r w:rsidRPr="00157EF2">
        <w:rPr>
          <w:rFonts w:ascii="Times New Roman" w:eastAsia="MS Mincho" w:hAnsi="Times New Roman" w:cs="Times New Roman"/>
          <w:color w:val="1F497D"/>
          <w:lang w:bidi="en-US"/>
        </w:rPr>
        <w:t>Key Participant Interview Sampling</w:t>
      </w:r>
      <w:r w:rsidRPr="00157EF2">
        <w:rPr>
          <w:rFonts w:ascii="Times New Roman" w:eastAsia="MS Mincho" w:hAnsi="Times New Roman" w:cs="Times New Roman"/>
          <w:b w:val="0"/>
          <w:i w:val="0"/>
          <w:color w:val="1F497D"/>
          <w:lang w:bidi="en-US"/>
        </w:rPr>
        <w:t xml:space="preserve"> </w:t>
      </w:r>
      <w:bookmarkEnd w:id="6"/>
      <w:bookmarkEnd w:id="7"/>
    </w:p>
    <w:p w14:paraId="7A200902" w14:textId="77777777" w:rsidR="0068068C" w:rsidRPr="0068068C" w:rsidRDefault="0068068C" w:rsidP="00157EF2">
      <w:pPr>
        <w:rPr>
          <w:lang w:bidi="en-US"/>
        </w:rPr>
      </w:pPr>
    </w:p>
    <w:p w14:paraId="4D21C587" w14:textId="32400660" w:rsidR="0048677A" w:rsidRPr="0040309E" w:rsidRDefault="0048677A" w:rsidP="0048677A">
      <w:pPr>
        <w:rPr>
          <w:rFonts w:eastAsia="MS Mincho"/>
          <w:sz w:val="32"/>
          <w:lang w:bidi="en-US"/>
        </w:rPr>
      </w:pPr>
      <w:r w:rsidRPr="00157EF2">
        <w:rPr>
          <w:rFonts w:eastAsia="MS Mincho"/>
          <w:lang w:bidi="en-US"/>
        </w:rPr>
        <w:t xml:space="preserve">To select individuals for the KPI, </w:t>
      </w:r>
      <w:r w:rsidR="0068068C">
        <w:rPr>
          <w:rFonts w:eastAsia="MS Mincho"/>
          <w:lang w:bidi="en-US"/>
        </w:rPr>
        <w:t>the contracting team</w:t>
      </w:r>
      <w:r w:rsidRPr="00157EF2">
        <w:rPr>
          <w:rFonts w:eastAsia="MS Mincho"/>
          <w:lang w:bidi="en-US"/>
        </w:rPr>
        <w:t xml:space="preserve"> will implement a two-phase sampling approach in the Philadelphia, PA: (1) in collaboration with CDC, identify and recruit 15 individuals across all categories and MSEM levels; and (2) based on preliminary analysis of the interviews in </w:t>
      </w:r>
      <w:r w:rsidRPr="00157EF2">
        <w:rPr>
          <w:rFonts w:eastAsia="MS Mincho"/>
          <w:i/>
          <w:lang w:bidi="en-US"/>
        </w:rPr>
        <w:t>phase 1</w:t>
      </w:r>
      <w:r w:rsidRPr="00157EF2">
        <w:rPr>
          <w:rFonts w:eastAsia="MS Mincho"/>
          <w:lang w:bidi="en-US"/>
        </w:rPr>
        <w:t xml:space="preserve">, refine the selection of the second group of individuals.  When selecting individuals for participation, </w:t>
      </w:r>
      <w:r w:rsidR="00D2725C">
        <w:rPr>
          <w:rFonts w:eastAsia="MS Mincho"/>
          <w:lang w:bidi="en-US"/>
        </w:rPr>
        <w:t>the contracting team will</w:t>
      </w:r>
      <w:r w:rsidRPr="00157EF2">
        <w:rPr>
          <w:rFonts w:eastAsia="MS Mincho"/>
          <w:lang w:bidi="en-US"/>
        </w:rPr>
        <w:t xml:space="preserve"> consider MSEM level and category, as well as their level of involvement in activities or programs for MSM. </w:t>
      </w:r>
      <w:r w:rsidRPr="00157EF2">
        <w:rPr>
          <w:rFonts w:eastAsia="MS Mincho"/>
          <w:color w:val="000000"/>
          <w:lang w:bidi="en-US"/>
        </w:rPr>
        <w:t xml:space="preserve">Although not entirely mutually exclusive, we have identified the following categories mapped to the MSEM levels </w:t>
      </w:r>
      <w:r w:rsidR="000118C0" w:rsidRPr="000118C0">
        <w:rPr>
          <w:rFonts w:eastAsia="MS Mincho"/>
          <w:color w:val="000000"/>
          <w:lang w:bidi="en-US"/>
        </w:rPr>
        <w:t>Exhibit B1.</w:t>
      </w:r>
      <w:r w:rsidR="000118C0">
        <w:rPr>
          <w:rFonts w:eastAsia="MS Mincho"/>
          <w:color w:val="000000"/>
          <w:lang w:bidi="en-US"/>
        </w:rPr>
        <w:t>1</w:t>
      </w:r>
      <w:r w:rsidR="000118C0" w:rsidRPr="000118C0">
        <w:rPr>
          <w:rFonts w:eastAsia="MS Mincho"/>
          <w:color w:val="000000"/>
          <w:lang w:bidi="en-US"/>
        </w:rPr>
        <w:t>.</w:t>
      </w:r>
      <w:r w:rsidR="00D2725C">
        <w:rPr>
          <w:rFonts w:eastAsia="MS Mincho"/>
          <w:color w:val="000000"/>
          <w:lang w:bidi="en-US"/>
        </w:rPr>
        <w:t xml:space="preserve">  </w:t>
      </w:r>
      <w:r w:rsidR="00D2725C" w:rsidRPr="0040309E">
        <w:rPr>
          <w:rFonts w:eastAsia="MS Mincho"/>
          <w:color w:val="000000"/>
          <w:szCs w:val="20"/>
          <w:lang w:bidi="en-US"/>
        </w:rPr>
        <w:t>Age will be confirmed by asking participants “Are you over 18 years old?” as part of the recruitment and consent process.</w:t>
      </w:r>
    </w:p>
    <w:p w14:paraId="23A3B013" w14:textId="77777777" w:rsidR="0048677A" w:rsidRPr="0040309E" w:rsidRDefault="0048677A" w:rsidP="0048677A">
      <w:pPr>
        <w:rPr>
          <w:rFonts w:eastAsia="MS Mincho"/>
          <w:b/>
          <w:szCs w:val="20"/>
          <w:lang w:bidi="en-US"/>
        </w:rPr>
      </w:pPr>
    </w:p>
    <w:p w14:paraId="59A68F2F" w14:textId="5E0EFD86" w:rsidR="0048677A" w:rsidRPr="00157EF2" w:rsidRDefault="000118C0" w:rsidP="0048677A">
      <w:pPr>
        <w:rPr>
          <w:rFonts w:eastAsia="MS Mincho"/>
          <w:b/>
          <w:lang w:bidi="en-US"/>
        </w:rPr>
      </w:pPr>
      <w:r w:rsidRPr="00157EF2">
        <w:rPr>
          <w:b/>
        </w:rPr>
        <w:t>Exhibit B1.1</w:t>
      </w:r>
      <w:r>
        <w:rPr>
          <w:b/>
        </w:rPr>
        <w:t xml:space="preserve"> </w:t>
      </w:r>
      <w:r w:rsidR="0048677A" w:rsidRPr="00157EF2">
        <w:rPr>
          <w:rFonts w:eastAsia="Arial Narrow"/>
          <w:b/>
          <w:bCs/>
          <w:spacing w:val="2"/>
          <w:position w:val="-1"/>
        </w:rPr>
        <w:t>Key Participant Interviewee Categories</w:t>
      </w:r>
    </w:p>
    <w:tbl>
      <w:tblPr>
        <w:tblStyle w:val="TableGrid2"/>
        <w:tblW w:w="0" w:type="auto"/>
        <w:tblLook w:val="04A0" w:firstRow="1" w:lastRow="0" w:firstColumn="1" w:lastColumn="0" w:noHBand="0" w:noVBand="1"/>
      </w:tblPr>
      <w:tblGrid>
        <w:gridCol w:w="1887"/>
        <w:gridCol w:w="7463"/>
      </w:tblGrid>
      <w:tr w:rsidR="0048677A" w:rsidRPr="00157EF2" w14:paraId="735F1463" w14:textId="77777777" w:rsidTr="00FD32CE">
        <w:trPr>
          <w:trHeight w:val="341"/>
        </w:trPr>
        <w:tc>
          <w:tcPr>
            <w:tcW w:w="1728" w:type="dxa"/>
            <w:shd w:val="clear" w:color="auto" w:fill="1F497D" w:themeFill="text2"/>
            <w:vAlign w:val="center"/>
          </w:tcPr>
          <w:p w14:paraId="65CFE673" w14:textId="77777777" w:rsidR="0048677A" w:rsidRPr="00157EF2" w:rsidRDefault="0048677A" w:rsidP="00FD32CE">
            <w:pPr>
              <w:rPr>
                <w:rFonts w:eastAsia="MS Mincho"/>
                <w:b/>
                <w:color w:val="FFFFFF" w:themeColor="background1"/>
                <w:lang w:bidi="en-US"/>
              </w:rPr>
            </w:pPr>
            <w:r w:rsidRPr="00157EF2">
              <w:rPr>
                <w:rFonts w:eastAsia="MS Mincho"/>
                <w:b/>
                <w:color w:val="FFFFFF" w:themeColor="background1"/>
                <w:lang w:bidi="en-US"/>
              </w:rPr>
              <w:t>Socio-ecological Level</w:t>
            </w:r>
          </w:p>
        </w:tc>
        <w:tc>
          <w:tcPr>
            <w:tcW w:w="7848" w:type="dxa"/>
            <w:shd w:val="clear" w:color="auto" w:fill="1F497D" w:themeFill="text2"/>
            <w:vAlign w:val="center"/>
          </w:tcPr>
          <w:p w14:paraId="73C8A496" w14:textId="77777777" w:rsidR="0048677A" w:rsidRPr="00157EF2" w:rsidRDefault="0048677A" w:rsidP="00FD32CE">
            <w:pPr>
              <w:rPr>
                <w:rFonts w:eastAsia="MS Mincho"/>
                <w:b/>
                <w:color w:val="FFFFFF" w:themeColor="background1"/>
                <w:lang w:bidi="en-US"/>
              </w:rPr>
            </w:pPr>
            <w:r w:rsidRPr="00157EF2">
              <w:rPr>
                <w:rFonts w:eastAsia="MS Mincho"/>
                <w:b/>
                <w:color w:val="FFFFFF" w:themeColor="background1"/>
                <w:lang w:bidi="en-US"/>
              </w:rPr>
              <w:t>Key Participant Interviewee Categories</w:t>
            </w:r>
          </w:p>
        </w:tc>
      </w:tr>
      <w:tr w:rsidR="0048677A" w:rsidRPr="00157EF2" w14:paraId="586B9627" w14:textId="77777777" w:rsidTr="00FD32CE">
        <w:trPr>
          <w:trHeight w:val="727"/>
        </w:trPr>
        <w:tc>
          <w:tcPr>
            <w:tcW w:w="1728" w:type="dxa"/>
          </w:tcPr>
          <w:p w14:paraId="219E0A96" w14:textId="77777777" w:rsidR="0048677A" w:rsidRPr="00157EF2" w:rsidRDefault="0048677A" w:rsidP="00FD32CE">
            <w:pPr>
              <w:tabs>
                <w:tab w:val="left" w:pos="1440"/>
              </w:tabs>
              <w:rPr>
                <w:rFonts w:eastAsia="MS Mincho"/>
                <w:b/>
                <w:lang w:bidi="en-US"/>
              </w:rPr>
            </w:pPr>
            <w:r w:rsidRPr="00157EF2">
              <w:rPr>
                <w:b/>
              </w:rPr>
              <w:t>Public Policy Level</w:t>
            </w:r>
          </w:p>
        </w:tc>
        <w:tc>
          <w:tcPr>
            <w:tcW w:w="7848" w:type="dxa"/>
          </w:tcPr>
          <w:p w14:paraId="4708D044" w14:textId="77777777" w:rsidR="0048677A" w:rsidRPr="00157EF2" w:rsidRDefault="0048677A" w:rsidP="0048677A">
            <w:pPr>
              <w:numPr>
                <w:ilvl w:val="0"/>
                <w:numId w:val="20"/>
              </w:numPr>
              <w:tabs>
                <w:tab w:val="left" w:pos="1440"/>
              </w:tabs>
              <w:ind w:left="270" w:hanging="270"/>
              <w:rPr>
                <w:rFonts w:eastAsia="MS Mincho"/>
                <w:lang w:bidi="en-US"/>
              </w:rPr>
            </w:pPr>
            <w:r w:rsidRPr="00157EF2">
              <w:rPr>
                <w:rFonts w:eastAsia="MS Mincho"/>
                <w:lang w:bidi="en-US"/>
              </w:rPr>
              <w:t>HIV and STD control program staff from the local and state health departments</w:t>
            </w:r>
          </w:p>
          <w:p w14:paraId="382AAE40" w14:textId="77777777" w:rsidR="0048677A" w:rsidRPr="00157EF2" w:rsidRDefault="0048677A" w:rsidP="0048677A">
            <w:pPr>
              <w:numPr>
                <w:ilvl w:val="0"/>
                <w:numId w:val="20"/>
              </w:numPr>
              <w:tabs>
                <w:tab w:val="left" w:pos="1440"/>
              </w:tabs>
              <w:ind w:left="270" w:hanging="270"/>
              <w:rPr>
                <w:rFonts w:eastAsia="MS Mincho"/>
                <w:lang w:bidi="en-US"/>
              </w:rPr>
            </w:pPr>
            <w:r w:rsidRPr="00157EF2">
              <w:rPr>
                <w:rFonts w:eastAsia="MS Mincho"/>
                <w:lang w:bidi="en-US"/>
              </w:rPr>
              <w:t>Staff from other governmental agencies that provide other HIV support services to MSM (e.g., non-HIV healthcare facilities, social services)</w:t>
            </w:r>
          </w:p>
        </w:tc>
      </w:tr>
      <w:tr w:rsidR="0048677A" w:rsidRPr="00157EF2" w14:paraId="49F81251" w14:textId="77777777" w:rsidTr="00FD32CE">
        <w:trPr>
          <w:trHeight w:val="170"/>
        </w:trPr>
        <w:tc>
          <w:tcPr>
            <w:tcW w:w="1728" w:type="dxa"/>
          </w:tcPr>
          <w:p w14:paraId="326C4C42" w14:textId="77777777" w:rsidR="0048677A" w:rsidRPr="00157EF2" w:rsidRDefault="0048677A" w:rsidP="00FD32CE">
            <w:pPr>
              <w:tabs>
                <w:tab w:val="left" w:pos="1440"/>
              </w:tabs>
              <w:rPr>
                <w:rFonts w:eastAsia="MS Mincho"/>
                <w:b/>
                <w:lang w:bidi="en-US"/>
              </w:rPr>
            </w:pPr>
            <w:r w:rsidRPr="00157EF2">
              <w:rPr>
                <w:rFonts w:eastAsia="MS Mincho"/>
                <w:b/>
                <w:lang w:bidi="en-US"/>
              </w:rPr>
              <w:t>Community Level</w:t>
            </w:r>
          </w:p>
        </w:tc>
        <w:tc>
          <w:tcPr>
            <w:tcW w:w="7848" w:type="dxa"/>
          </w:tcPr>
          <w:p w14:paraId="7FB63DA4" w14:textId="77777777" w:rsidR="0048677A" w:rsidRPr="00157EF2" w:rsidRDefault="0048677A" w:rsidP="0048677A">
            <w:pPr>
              <w:numPr>
                <w:ilvl w:val="0"/>
                <w:numId w:val="20"/>
              </w:numPr>
              <w:tabs>
                <w:tab w:val="left" w:pos="1440"/>
              </w:tabs>
              <w:ind w:left="270" w:hanging="270"/>
              <w:rPr>
                <w:rFonts w:eastAsia="MS Mincho"/>
                <w:lang w:bidi="en-US"/>
              </w:rPr>
            </w:pPr>
            <w:r w:rsidRPr="00157EF2">
              <w:rPr>
                <w:rFonts w:eastAsia="MS Mincho"/>
                <w:lang w:bidi="en-US"/>
              </w:rPr>
              <w:t>Provider staff involved with HIV clinical care</w:t>
            </w:r>
          </w:p>
          <w:p w14:paraId="0D67A93A" w14:textId="77777777" w:rsidR="0048677A" w:rsidRPr="00157EF2" w:rsidRDefault="0048677A" w:rsidP="0048677A">
            <w:pPr>
              <w:numPr>
                <w:ilvl w:val="0"/>
                <w:numId w:val="20"/>
              </w:numPr>
              <w:tabs>
                <w:tab w:val="left" w:pos="1440"/>
              </w:tabs>
              <w:ind w:left="270" w:hanging="270"/>
              <w:rPr>
                <w:rFonts w:eastAsia="MS Mincho"/>
                <w:lang w:bidi="en-US"/>
              </w:rPr>
            </w:pPr>
            <w:r w:rsidRPr="00157EF2">
              <w:rPr>
                <w:rFonts w:eastAsia="MS Mincho"/>
                <w:lang w:bidi="en-US"/>
              </w:rPr>
              <w:t>Non-governmental healthcare providers (including mental health and drug treatment providers)</w:t>
            </w:r>
          </w:p>
          <w:p w14:paraId="5CD3D83B" w14:textId="77777777" w:rsidR="0048677A" w:rsidRPr="00157EF2" w:rsidRDefault="0048677A" w:rsidP="0048677A">
            <w:pPr>
              <w:numPr>
                <w:ilvl w:val="0"/>
                <w:numId w:val="20"/>
              </w:numPr>
              <w:tabs>
                <w:tab w:val="left" w:pos="1440"/>
              </w:tabs>
              <w:ind w:left="270" w:hanging="270"/>
              <w:rPr>
                <w:rFonts w:eastAsia="MS Mincho"/>
                <w:lang w:bidi="en-US"/>
              </w:rPr>
            </w:pPr>
            <w:r w:rsidRPr="00157EF2">
              <w:rPr>
                <w:rFonts w:eastAsia="MS Mincho"/>
                <w:lang w:bidi="en-US"/>
              </w:rPr>
              <w:t>Staff from community-based organizations and Advocacy groups who work with MSM</w:t>
            </w:r>
          </w:p>
          <w:p w14:paraId="461B382F" w14:textId="77777777" w:rsidR="0048677A" w:rsidRPr="00157EF2" w:rsidRDefault="0048677A" w:rsidP="0048677A">
            <w:pPr>
              <w:numPr>
                <w:ilvl w:val="0"/>
                <w:numId w:val="20"/>
              </w:numPr>
              <w:tabs>
                <w:tab w:val="left" w:pos="1440"/>
              </w:tabs>
              <w:ind w:left="270" w:hanging="270"/>
              <w:rPr>
                <w:rFonts w:eastAsia="MS Mincho"/>
                <w:lang w:bidi="en-US"/>
              </w:rPr>
            </w:pPr>
            <w:r w:rsidRPr="00157EF2">
              <w:rPr>
                <w:rFonts w:eastAsia="MS Mincho"/>
                <w:lang w:bidi="en-US"/>
              </w:rPr>
              <w:t>MSM advocacy groups; and diverse representatives of leaders in the gay community population residing in the jurisdiction, including persons with different racial and ethnic, age, socioeconomic, etc.</w:t>
            </w:r>
          </w:p>
          <w:p w14:paraId="1D473A5E" w14:textId="77777777" w:rsidR="0048677A" w:rsidRPr="00157EF2" w:rsidRDefault="0048677A" w:rsidP="0048677A">
            <w:pPr>
              <w:numPr>
                <w:ilvl w:val="0"/>
                <w:numId w:val="20"/>
              </w:numPr>
              <w:tabs>
                <w:tab w:val="left" w:pos="1440"/>
              </w:tabs>
              <w:ind w:left="270" w:hanging="270"/>
              <w:rPr>
                <w:rFonts w:eastAsia="MS Mincho"/>
                <w:lang w:bidi="en-US"/>
              </w:rPr>
            </w:pPr>
            <w:r w:rsidRPr="00157EF2">
              <w:rPr>
                <w:rFonts w:eastAsia="MS Mincho"/>
                <w:lang w:bidi="en-US"/>
              </w:rPr>
              <w:t xml:space="preserve">Local researchers who study MSM and HIV-related prevention and care issues in the community; </w:t>
            </w:r>
          </w:p>
          <w:p w14:paraId="5096F313" w14:textId="77777777" w:rsidR="0048677A" w:rsidRPr="00157EF2" w:rsidRDefault="0048677A" w:rsidP="0048677A">
            <w:pPr>
              <w:numPr>
                <w:ilvl w:val="0"/>
                <w:numId w:val="20"/>
              </w:numPr>
              <w:tabs>
                <w:tab w:val="left" w:pos="1440"/>
              </w:tabs>
              <w:ind w:left="270" w:hanging="270"/>
              <w:rPr>
                <w:rFonts w:eastAsia="MS Mincho"/>
                <w:lang w:bidi="en-US"/>
              </w:rPr>
            </w:pPr>
            <w:r w:rsidRPr="00157EF2">
              <w:rPr>
                <w:rFonts w:eastAsia="MS Mincho"/>
                <w:lang w:bidi="en-US"/>
              </w:rPr>
              <w:lastRenderedPageBreak/>
              <w:t>Members of community planning groups with an interest in public health issues</w:t>
            </w:r>
          </w:p>
        </w:tc>
      </w:tr>
      <w:tr w:rsidR="0048677A" w:rsidRPr="00157EF2" w14:paraId="2E1695D9" w14:textId="77777777" w:rsidTr="00FD32CE">
        <w:trPr>
          <w:trHeight w:val="74"/>
        </w:trPr>
        <w:tc>
          <w:tcPr>
            <w:tcW w:w="1728" w:type="dxa"/>
          </w:tcPr>
          <w:p w14:paraId="4CE39547" w14:textId="77777777" w:rsidR="0048677A" w:rsidRPr="00157EF2" w:rsidRDefault="0048677A" w:rsidP="00FD32CE">
            <w:pPr>
              <w:rPr>
                <w:rFonts w:eastAsia="MS Mincho"/>
                <w:lang w:bidi="en-US"/>
              </w:rPr>
            </w:pPr>
            <w:r w:rsidRPr="00157EF2">
              <w:rPr>
                <w:rFonts w:eastAsia="MS Mincho"/>
                <w:b/>
                <w:lang w:bidi="en-US"/>
              </w:rPr>
              <w:lastRenderedPageBreak/>
              <w:t>Individual/Social and Sexual Networks</w:t>
            </w:r>
          </w:p>
        </w:tc>
        <w:tc>
          <w:tcPr>
            <w:tcW w:w="7848" w:type="dxa"/>
          </w:tcPr>
          <w:p w14:paraId="51E29531" w14:textId="77777777" w:rsidR="0048677A" w:rsidRPr="00157EF2" w:rsidRDefault="0048677A" w:rsidP="0048677A">
            <w:pPr>
              <w:numPr>
                <w:ilvl w:val="0"/>
                <w:numId w:val="21"/>
              </w:numPr>
              <w:ind w:left="270" w:hanging="270"/>
              <w:rPr>
                <w:rFonts w:eastAsia="MS Mincho"/>
                <w:lang w:bidi="en-US"/>
              </w:rPr>
            </w:pPr>
            <w:r w:rsidRPr="00157EF2">
              <w:rPr>
                <w:rFonts w:eastAsia="MS Mincho"/>
                <w:lang w:bidi="en-US"/>
              </w:rPr>
              <w:t>Community Leaders vocal about HIV –related prevention, care and treatment issues</w:t>
            </w:r>
          </w:p>
          <w:p w14:paraId="7C824ED1" w14:textId="77777777" w:rsidR="0048677A" w:rsidRPr="00157EF2" w:rsidRDefault="0048677A" w:rsidP="0048677A">
            <w:pPr>
              <w:numPr>
                <w:ilvl w:val="0"/>
                <w:numId w:val="21"/>
              </w:numPr>
              <w:ind w:left="270" w:hanging="270"/>
              <w:rPr>
                <w:rFonts w:eastAsia="MS Mincho"/>
                <w:lang w:bidi="en-US"/>
              </w:rPr>
            </w:pPr>
            <w:r w:rsidRPr="00157EF2">
              <w:rPr>
                <w:rFonts w:eastAsia="MS Mincho"/>
                <w:lang w:bidi="en-US"/>
              </w:rPr>
              <w:t>MSM (including HIV+, HIV- and individuals whose HIV status is unknown)</w:t>
            </w:r>
          </w:p>
        </w:tc>
      </w:tr>
    </w:tbl>
    <w:p w14:paraId="337F6B4B" w14:textId="77777777" w:rsidR="0048677A" w:rsidRPr="00157EF2" w:rsidRDefault="0048677A" w:rsidP="0048677A">
      <w:pPr>
        <w:rPr>
          <w:rFonts w:eastAsia="MS Mincho"/>
          <w:lang w:bidi="en-US"/>
        </w:rPr>
      </w:pPr>
    </w:p>
    <w:p w14:paraId="3A43DE55" w14:textId="4BF7C854" w:rsidR="0048677A" w:rsidRPr="00157EF2" w:rsidRDefault="0068068C" w:rsidP="0048677A">
      <w:pPr>
        <w:rPr>
          <w:rFonts w:eastAsia="MS Mincho"/>
          <w:lang w:bidi="en-US"/>
        </w:rPr>
      </w:pPr>
      <w:r w:rsidRPr="0068068C">
        <w:rPr>
          <w:rFonts w:eastAsia="MS Mincho"/>
          <w:lang w:bidi="en-US"/>
        </w:rPr>
        <w:t>The contracting team</w:t>
      </w:r>
      <w:r w:rsidR="0048677A" w:rsidRPr="00157EF2">
        <w:rPr>
          <w:rFonts w:eastAsia="MS Mincho"/>
          <w:lang w:bidi="en-US"/>
        </w:rPr>
        <w:t xml:space="preserve"> will seek to maintain excellent relationships with participants by being respectful of their time and work.  For each interview scheduled, </w:t>
      </w:r>
      <w:r w:rsidR="00D2725C">
        <w:rPr>
          <w:rFonts w:eastAsia="MS Mincho"/>
          <w:lang w:bidi="en-US"/>
        </w:rPr>
        <w:t>they</w:t>
      </w:r>
      <w:r w:rsidR="00D2725C" w:rsidRPr="00157EF2">
        <w:rPr>
          <w:rFonts w:eastAsia="MS Mincho"/>
          <w:lang w:bidi="en-US"/>
        </w:rPr>
        <w:t xml:space="preserve"> </w:t>
      </w:r>
      <w:r w:rsidR="0048677A" w:rsidRPr="00157EF2">
        <w:rPr>
          <w:rFonts w:eastAsia="MS Mincho"/>
          <w:lang w:bidi="en-US"/>
        </w:rPr>
        <w:t xml:space="preserve">will make every effort to be on time and manage the time allotted for the interview.  If an individual is unavailable during the previously scheduled time, </w:t>
      </w:r>
      <w:r w:rsidR="00D2725C">
        <w:rPr>
          <w:rFonts w:eastAsia="MS Mincho"/>
          <w:lang w:bidi="en-US"/>
        </w:rPr>
        <w:t>they</w:t>
      </w:r>
      <w:r w:rsidR="00D2725C" w:rsidRPr="00157EF2">
        <w:rPr>
          <w:rFonts w:eastAsia="MS Mincho"/>
          <w:lang w:bidi="en-US"/>
        </w:rPr>
        <w:t xml:space="preserve"> </w:t>
      </w:r>
      <w:r w:rsidR="0048677A" w:rsidRPr="00157EF2">
        <w:rPr>
          <w:rFonts w:eastAsia="MS Mincho"/>
          <w:lang w:bidi="en-US"/>
        </w:rPr>
        <w:t xml:space="preserve">will make an effort to reschedule with the individual but after two cancellations, </w:t>
      </w:r>
      <w:r w:rsidR="00D2725C">
        <w:rPr>
          <w:rFonts w:eastAsia="MS Mincho"/>
          <w:lang w:bidi="en-US"/>
        </w:rPr>
        <w:t>they</w:t>
      </w:r>
      <w:r w:rsidR="00D2725C" w:rsidRPr="00157EF2">
        <w:rPr>
          <w:rFonts w:eastAsia="MS Mincho"/>
          <w:lang w:bidi="en-US"/>
        </w:rPr>
        <w:t xml:space="preserve"> </w:t>
      </w:r>
      <w:r w:rsidR="0048677A" w:rsidRPr="00157EF2">
        <w:rPr>
          <w:rFonts w:eastAsia="MS Mincho"/>
          <w:lang w:bidi="en-US"/>
        </w:rPr>
        <w:t xml:space="preserve">will seek to identify and interview a replacement individual with similar expertise or background.  This process will ensure that individuals </w:t>
      </w:r>
      <w:r w:rsidR="00D2725C">
        <w:rPr>
          <w:rFonts w:eastAsia="MS Mincho"/>
          <w:lang w:bidi="en-US"/>
        </w:rPr>
        <w:t xml:space="preserve">get </w:t>
      </w:r>
      <w:r w:rsidR="0048677A" w:rsidRPr="00157EF2">
        <w:rPr>
          <w:rFonts w:eastAsia="MS Mincho"/>
          <w:lang w:bidi="en-US"/>
        </w:rPr>
        <w:t xml:space="preserve">a fair opportunity to participate </w:t>
      </w:r>
      <w:r w:rsidR="00D2725C">
        <w:rPr>
          <w:rFonts w:eastAsia="MS Mincho"/>
          <w:lang w:bidi="en-US"/>
        </w:rPr>
        <w:t>and</w:t>
      </w:r>
      <w:r w:rsidR="00D2725C" w:rsidRPr="00157EF2">
        <w:rPr>
          <w:rFonts w:eastAsia="MS Mincho"/>
          <w:lang w:bidi="en-US"/>
        </w:rPr>
        <w:t xml:space="preserve"> </w:t>
      </w:r>
      <w:r w:rsidR="0048677A" w:rsidRPr="00157EF2">
        <w:rPr>
          <w:rFonts w:eastAsia="MS Mincho"/>
          <w:lang w:bidi="en-US"/>
        </w:rPr>
        <w:t xml:space="preserve">also </w:t>
      </w:r>
      <w:r w:rsidR="00D2725C">
        <w:rPr>
          <w:rFonts w:eastAsia="MS Mincho"/>
          <w:lang w:bidi="en-US"/>
        </w:rPr>
        <w:t xml:space="preserve">ensure </w:t>
      </w:r>
      <w:r w:rsidR="00D2725C" w:rsidRPr="00157EF2">
        <w:rPr>
          <w:rFonts w:eastAsia="MS Mincho"/>
          <w:lang w:bidi="en-US"/>
        </w:rPr>
        <w:t>the study</w:t>
      </w:r>
      <w:r w:rsidR="00D2725C">
        <w:rPr>
          <w:rFonts w:eastAsia="MS Mincho"/>
          <w:lang w:bidi="en-US"/>
        </w:rPr>
        <w:t xml:space="preserve"> </w:t>
      </w:r>
      <w:r w:rsidR="0048677A" w:rsidRPr="00157EF2">
        <w:rPr>
          <w:rFonts w:eastAsia="MS Mincho"/>
          <w:lang w:bidi="en-US"/>
        </w:rPr>
        <w:t>stay</w:t>
      </w:r>
      <w:r w:rsidR="00D2725C">
        <w:rPr>
          <w:rFonts w:eastAsia="MS Mincho"/>
          <w:lang w:bidi="en-US"/>
        </w:rPr>
        <w:t>s</w:t>
      </w:r>
      <w:r w:rsidR="0048677A" w:rsidRPr="00157EF2">
        <w:rPr>
          <w:rFonts w:eastAsia="MS Mincho"/>
          <w:lang w:bidi="en-US"/>
        </w:rPr>
        <w:t xml:space="preserve"> on schedule.</w:t>
      </w:r>
    </w:p>
    <w:p w14:paraId="58B544A9" w14:textId="77777777" w:rsidR="0048677A" w:rsidRPr="00157EF2" w:rsidRDefault="0048677A" w:rsidP="0048677A">
      <w:pPr>
        <w:rPr>
          <w:rFonts w:eastAsia="MS Mincho"/>
          <w:lang w:bidi="en-US"/>
        </w:rPr>
      </w:pPr>
    </w:p>
    <w:p w14:paraId="3D17E2CF" w14:textId="1AF8435A" w:rsidR="0048677A" w:rsidRPr="00157EF2" w:rsidRDefault="000118C0" w:rsidP="0048677A">
      <w:pPr>
        <w:rPr>
          <w:rFonts w:eastAsia="MS Mincho"/>
          <w:lang w:bidi="en-US"/>
        </w:rPr>
      </w:pPr>
      <w:r>
        <w:rPr>
          <w:rFonts w:eastAsia="MS Mincho"/>
          <w:lang w:bidi="en-US"/>
        </w:rPr>
        <w:t>The contracting team</w:t>
      </w:r>
      <w:r w:rsidR="0048677A" w:rsidRPr="00157EF2">
        <w:rPr>
          <w:rFonts w:eastAsia="MS Mincho"/>
          <w:lang w:bidi="en-US"/>
        </w:rPr>
        <w:t xml:space="preserve"> will select a diverse pool of participants within the selected jurisdiction and aim to maintain this diversity across MSEM levels and categories.  </w:t>
      </w:r>
      <w:r w:rsidRPr="00157EF2">
        <w:rPr>
          <w:rFonts w:eastAsia="MS Mincho"/>
          <w:lang w:bidi="en-US"/>
        </w:rPr>
        <w:t xml:space="preserve">Exhibit B1.2. </w:t>
      </w:r>
      <w:r w:rsidR="0048677A" w:rsidRPr="00157EF2">
        <w:rPr>
          <w:rFonts w:eastAsia="MS Mincho"/>
          <w:lang w:bidi="en-US"/>
        </w:rPr>
        <w:t xml:space="preserve">shows a detailed sample distribution for each level, with a total of nine KPIs for the Public Policy level (five KPIs in phase 1 and four KPIs in phase 2); 15 KPIs for the Community level (eight KPIs in phase 1 and seven KPIs in phase 2); and six KPIs for the Individual/Network levels (two KPIs in phase 1 and four KPIs in phase 2). This sample is proposed with an understanding that (a) participants can belong to more than one level; and (b) </w:t>
      </w:r>
      <w:r>
        <w:rPr>
          <w:rFonts w:eastAsia="MS Mincho"/>
          <w:lang w:bidi="en-US"/>
        </w:rPr>
        <w:t>the contracting team</w:t>
      </w:r>
      <w:r w:rsidR="0048677A" w:rsidRPr="00157EF2">
        <w:rPr>
          <w:rFonts w:eastAsia="MS Mincho"/>
          <w:lang w:bidi="en-US"/>
        </w:rPr>
        <w:t xml:space="preserve"> will continuously assess the need for changes in the sample based on information gathered during the interviews and CDC feedback.  </w:t>
      </w:r>
      <w:r>
        <w:rPr>
          <w:rFonts w:eastAsia="MS Mincho"/>
          <w:lang w:bidi="en-US"/>
        </w:rPr>
        <w:t>The contracting team</w:t>
      </w:r>
      <w:r w:rsidR="0048677A" w:rsidRPr="00157EF2">
        <w:rPr>
          <w:rFonts w:eastAsia="MS Mincho"/>
          <w:lang w:bidi="en-US"/>
        </w:rPr>
        <w:t xml:space="preserve"> will identify potential participants by collaborating with CDC and the Philadelphia AIDS Activities Coordinating Office, and through internet searches.</w:t>
      </w:r>
    </w:p>
    <w:p w14:paraId="5864E9C0" w14:textId="77777777" w:rsidR="0048677A" w:rsidRPr="00157EF2" w:rsidRDefault="0048677A" w:rsidP="0048677A">
      <w:pPr>
        <w:rPr>
          <w:rFonts w:eastAsia="MS Mincho"/>
          <w:lang w:bidi="en-US"/>
        </w:rPr>
      </w:pPr>
    </w:p>
    <w:p w14:paraId="326860B0" w14:textId="77777777" w:rsidR="0048677A" w:rsidRDefault="0048677A" w:rsidP="0048677A">
      <w:pPr>
        <w:rPr>
          <w:rFonts w:ascii="Arial" w:eastAsia="MS Mincho" w:hAnsi="Arial" w:cs="Arial"/>
          <w:sz w:val="20"/>
          <w:szCs w:val="20"/>
          <w:lang w:bidi="en-US"/>
        </w:rPr>
        <w:sectPr w:rsidR="0048677A" w:rsidSect="00C718A4">
          <w:footerReference w:type="default" r:id="rId11"/>
          <w:endnotePr>
            <w:numFmt w:val="decimal"/>
          </w:endnotePr>
          <w:pgSz w:w="12240" w:h="15840"/>
          <w:pgMar w:top="1440" w:right="1440" w:bottom="1440" w:left="1440" w:header="720" w:footer="720" w:gutter="0"/>
          <w:pgNumType w:start="1"/>
          <w:cols w:space="720"/>
          <w:docGrid w:linePitch="360"/>
        </w:sectPr>
      </w:pPr>
    </w:p>
    <w:p w14:paraId="69521607" w14:textId="32B529A1" w:rsidR="0048677A" w:rsidRDefault="000118C0" w:rsidP="00157EF2">
      <w:pPr>
        <w:rPr>
          <w:rFonts w:eastAsia="Arial Narrow"/>
          <w:b/>
          <w:bCs/>
          <w:spacing w:val="2"/>
          <w:position w:val="-1"/>
        </w:rPr>
      </w:pPr>
      <w:r w:rsidRPr="00157EF2">
        <w:rPr>
          <w:rFonts w:eastAsia="MS Mincho"/>
          <w:b/>
          <w:lang w:bidi="en-US"/>
        </w:rPr>
        <w:lastRenderedPageBreak/>
        <w:t xml:space="preserve">Exhibit B1.2. </w:t>
      </w:r>
      <w:r w:rsidR="0048677A" w:rsidRPr="00157EF2">
        <w:rPr>
          <w:rFonts w:eastAsia="Arial Narrow"/>
          <w:b/>
          <w:bCs/>
          <w:spacing w:val="2"/>
          <w:position w:val="-1"/>
        </w:rPr>
        <w:t>Philadelphia Proposed Sample</w:t>
      </w:r>
    </w:p>
    <w:p w14:paraId="74F32522" w14:textId="77777777" w:rsidR="000118C0" w:rsidRPr="00157EF2" w:rsidRDefault="000118C0" w:rsidP="00157EF2">
      <w:pPr>
        <w:rPr>
          <w:rFonts w:eastAsia="MS Mincho"/>
          <w:b/>
          <w:lang w:bidi="en-US"/>
        </w:rPr>
      </w:pPr>
    </w:p>
    <w:tbl>
      <w:tblPr>
        <w:tblW w:w="8068" w:type="dxa"/>
        <w:jc w:val="center"/>
        <w:tblLook w:val="04A0" w:firstRow="1" w:lastRow="0" w:firstColumn="1" w:lastColumn="0" w:noHBand="0" w:noVBand="1"/>
      </w:tblPr>
      <w:tblGrid>
        <w:gridCol w:w="4706"/>
        <w:gridCol w:w="960"/>
        <w:gridCol w:w="960"/>
        <w:gridCol w:w="1442"/>
      </w:tblGrid>
      <w:tr w:rsidR="0048677A" w:rsidRPr="00157EF2" w14:paraId="1194E4FE" w14:textId="77777777" w:rsidTr="0040309E">
        <w:trPr>
          <w:trHeight w:val="300"/>
          <w:jc w:val="center"/>
        </w:trPr>
        <w:tc>
          <w:tcPr>
            <w:tcW w:w="4706" w:type="dxa"/>
            <w:vMerge w:val="restart"/>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0D23FF6F" w14:textId="77777777" w:rsidR="0048677A" w:rsidRPr="00157EF2" w:rsidRDefault="0048677A" w:rsidP="00FD32CE">
            <w:pPr>
              <w:rPr>
                <w:b/>
                <w:color w:val="FFFFFF" w:themeColor="background1"/>
              </w:rPr>
            </w:pPr>
            <w:r w:rsidRPr="00157EF2">
              <w:rPr>
                <w:b/>
                <w:color w:val="FFFFFF" w:themeColor="background1"/>
              </w:rPr>
              <w:t>Category</w:t>
            </w:r>
          </w:p>
        </w:tc>
        <w:tc>
          <w:tcPr>
            <w:tcW w:w="960" w:type="dxa"/>
            <w:tcBorders>
              <w:top w:val="single" w:sz="4" w:space="0" w:color="auto"/>
              <w:left w:val="nil"/>
              <w:bottom w:val="single" w:sz="4" w:space="0" w:color="auto"/>
              <w:right w:val="single" w:sz="4" w:space="0" w:color="auto"/>
            </w:tcBorders>
            <w:shd w:val="clear" w:color="auto" w:fill="1F497D" w:themeFill="text2"/>
            <w:vAlign w:val="center"/>
            <w:hideMark/>
          </w:tcPr>
          <w:p w14:paraId="390B0696" w14:textId="77777777" w:rsidR="0048677A" w:rsidRPr="00157EF2" w:rsidRDefault="0048677A" w:rsidP="00FD32CE">
            <w:pPr>
              <w:jc w:val="center"/>
              <w:rPr>
                <w:b/>
                <w:color w:val="FFFFFF" w:themeColor="background1"/>
              </w:rPr>
            </w:pPr>
            <w:r w:rsidRPr="00157EF2">
              <w:rPr>
                <w:b/>
                <w:color w:val="FFFFFF" w:themeColor="background1"/>
              </w:rPr>
              <w:t>Phase 1</w:t>
            </w:r>
          </w:p>
        </w:tc>
        <w:tc>
          <w:tcPr>
            <w:tcW w:w="960" w:type="dxa"/>
            <w:tcBorders>
              <w:top w:val="single" w:sz="4" w:space="0" w:color="auto"/>
              <w:left w:val="nil"/>
              <w:bottom w:val="single" w:sz="4" w:space="0" w:color="auto"/>
              <w:right w:val="single" w:sz="4" w:space="0" w:color="auto"/>
            </w:tcBorders>
            <w:shd w:val="clear" w:color="auto" w:fill="1F497D" w:themeFill="text2"/>
            <w:vAlign w:val="center"/>
            <w:hideMark/>
          </w:tcPr>
          <w:p w14:paraId="77088A58" w14:textId="77777777" w:rsidR="0048677A" w:rsidRPr="00157EF2" w:rsidRDefault="0048677A" w:rsidP="00FD32CE">
            <w:pPr>
              <w:jc w:val="center"/>
              <w:rPr>
                <w:b/>
                <w:color w:val="FFFFFF" w:themeColor="background1"/>
              </w:rPr>
            </w:pPr>
            <w:r w:rsidRPr="00157EF2">
              <w:rPr>
                <w:b/>
                <w:color w:val="FFFFFF" w:themeColor="background1"/>
              </w:rPr>
              <w:t>Phase 2</w:t>
            </w:r>
          </w:p>
        </w:tc>
        <w:tc>
          <w:tcPr>
            <w:tcW w:w="1442" w:type="dxa"/>
            <w:vMerge w:val="restart"/>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1DB05AB7" w14:textId="77777777" w:rsidR="0048677A" w:rsidRPr="00157EF2" w:rsidRDefault="0048677A" w:rsidP="00FD32CE">
            <w:pPr>
              <w:jc w:val="center"/>
              <w:rPr>
                <w:b/>
                <w:color w:val="FFFFFF" w:themeColor="background1"/>
              </w:rPr>
            </w:pPr>
            <w:r w:rsidRPr="00157EF2">
              <w:rPr>
                <w:b/>
                <w:color w:val="FFFFFF" w:themeColor="background1"/>
              </w:rPr>
              <w:t>Sub-Total Across  Phases</w:t>
            </w:r>
          </w:p>
        </w:tc>
      </w:tr>
      <w:tr w:rsidR="0048677A" w:rsidRPr="00157EF2" w14:paraId="2D4EA30F" w14:textId="77777777" w:rsidTr="0040309E">
        <w:trPr>
          <w:trHeight w:val="510"/>
          <w:jc w:val="center"/>
        </w:trPr>
        <w:tc>
          <w:tcPr>
            <w:tcW w:w="4706" w:type="dxa"/>
            <w:vMerge/>
            <w:tcBorders>
              <w:top w:val="nil"/>
              <w:left w:val="single" w:sz="4" w:space="0" w:color="auto"/>
              <w:bottom w:val="single" w:sz="4" w:space="0" w:color="auto"/>
              <w:right w:val="single" w:sz="4" w:space="0" w:color="auto"/>
            </w:tcBorders>
            <w:shd w:val="clear" w:color="auto" w:fill="C6D9F1"/>
            <w:vAlign w:val="center"/>
            <w:hideMark/>
          </w:tcPr>
          <w:p w14:paraId="182194D4" w14:textId="77777777" w:rsidR="0048677A" w:rsidRPr="00157EF2" w:rsidRDefault="0048677A" w:rsidP="00FD32CE"/>
        </w:tc>
        <w:tc>
          <w:tcPr>
            <w:tcW w:w="960" w:type="dxa"/>
            <w:tcBorders>
              <w:top w:val="nil"/>
              <w:left w:val="nil"/>
              <w:bottom w:val="single" w:sz="4" w:space="0" w:color="auto"/>
              <w:right w:val="single" w:sz="4" w:space="0" w:color="auto"/>
            </w:tcBorders>
            <w:shd w:val="clear" w:color="auto" w:fill="1F497D" w:themeFill="text2"/>
            <w:vAlign w:val="center"/>
            <w:hideMark/>
          </w:tcPr>
          <w:p w14:paraId="5B575777" w14:textId="77777777" w:rsidR="0048677A" w:rsidRPr="00157EF2" w:rsidRDefault="0048677A" w:rsidP="00FD32CE">
            <w:pPr>
              <w:jc w:val="center"/>
              <w:rPr>
                <w:b/>
                <w:color w:val="FFFFFF" w:themeColor="background1"/>
              </w:rPr>
            </w:pPr>
            <w:r w:rsidRPr="00157EF2">
              <w:rPr>
                <w:b/>
                <w:color w:val="FFFFFF" w:themeColor="background1"/>
              </w:rPr>
              <w:t>No. of KPIs</w:t>
            </w:r>
          </w:p>
        </w:tc>
        <w:tc>
          <w:tcPr>
            <w:tcW w:w="960" w:type="dxa"/>
            <w:tcBorders>
              <w:top w:val="nil"/>
              <w:left w:val="nil"/>
              <w:bottom w:val="single" w:sz="4" w:space="0" w:color="auto"/>
              <w:right w:val="single" w:sz="4" w:space="0" w:color="auto"/>
            </w:tcBorders>
            <w:shd w:val="clear" w:color="auto" w:fill="1F497D" w:themeFill="text2"/>
            <w:vAlign w:val="center"/>
            <w:hideMark/>
          </w:tcPr>
          <w:p w14:paraId="40C350E3" w14:textId="77777777" w:rsidR="0048677A" w:rsidRPr="00157EF2" w:rsidRDefault="0048677A" w:rsidP="00FD32CE">
            <w:pPr>
              <w:jc w:val="center"/>
              <w:rPr>
                <w:b/>
                <w:color w:val="FFFFFF" w:themeColor="background1"/>
              </w:rPr>
            </w:pPr>
            <w:r w:rsidRPr="00157EF2">
              <w:rPr>
                <w:b/>
                <w:color w:val="FFFFFF" w:themeColor="background1"/>
              </w:rPr>
              <w:t>No. of KPIs</w:t>
            </w:r>
          </w:p>
        </w:tc>
        <w:tc>
          <w:tcPr>
            <w:tcW w:w="1442" w:type="dxa"/>
            <w:vMerge/>
            <w:tcBorders>
              <w:top w:val="nil"/>
              <w:left w:val="single" w:sz="4" w:space="0" w:color="auto"/>
              <w:bottom w:val="single" w:sz="4" w:space="0" w:color="auto"/>
              <w:right w:val="single" w:sz="4" w:space="0" w:color="auto"/>
            </w:tcBorders>
            <w:shd w:val="clear" w:color="auto" w:fill="C6D9F1"/>
            <w:vAlign w:val="center"/>
            <w:hideMark/>
          </w:tcPr>
          <w:p w14:paraId="2002FA72" w14:textId="77777777" w:rsidR="0048677A" w:rsidRPr="00157EF2" w:rsidRDefault="0048677A" w:rsidP="00FD32CE">
            <w:pPr>
              <w:jc w:val="center"/>
            </w:pPr>
          </w:p>
        </w:tc>
      </w:tr>
      <w:tr w:rsidR="0048677A" w:rsidRPr="00157EF2" w14:paraId="68FD93F8" w14:textId="77777777" w:rsidTr="0040309E">
        <w:trPr>
          <w:trHeight w:val="300"/>
          <w:jc w:val="center"/>
        </w:trPr>
        <w:tc>
          <w:tcPr>
            <w:tcW w:w="8068" w:type="dxa"/>
            <w:gridSpan w:val="4"/>
            <w:tcBorders>
              <w:top w:val="single" w:sz="4" w:space="0" w:color="auto"/>
              <w:left w:val="single" w:sz="4" w:space="0" w:color="auto"/>
              <w:bottom w:val="single" w:sz="4" w:space="0" w:color="auto"/>
              <w:right w:val="single" w:sz="4" w:space="0" w:color="auto"/>
            </w:tcBorders>
            <w:shd w:val="clear" w:color="000000" w:fill="DBE5F1"/>
            <w:vAlign w:val="center"/>
            <w:hideMark/>
          </w:tcPr>
          <w:p w14:paraId="3CD24067" w14:textId="77777777" w:rsidR="0048677A" w:rsidRPr="00157EF2" w:rsidRDefault="0048677A" w:rsidP="00FD32CE">
            <w:pPr>
              <w:jc w:val="center"/>
            </w:pPr>
            <w:r w:rsidRPr="00157EF2">
              <w:t>Public Policy (n= 9)</w:t>
            </w:r>
          </w:p>
        </w:tc>
      </w:tr>
      <w:tr w:rsidR="0048677A" w:rsidRPr="00157EF2" w14:paraId="3EDBDEBA" w14:textId="77777777" w:rsidTr="0040309E">
        <w:trPr>
          <w:trHeight w:val="332"/>
          <w:jc w:val="center"/>
        </w:trPr>
        <w:tc>
          <w:tcPr>
            <w:tcW w:w="4706" w:type="dxa"/>
            <w:tcBorders>
              <w:top w:val="nil"/>
              <w:left w:val="single" w:sz="4" w:space="0" w:color="auto"/>
              <w:bottom w:val="single" w:sz="4" w:space="0" w:color="auto"/>
              <w:right w:val="single" w:sz="4" w:space="0" w:color="auto"/>
            </w:tcBorders>
            <w:shd w:val="clear" w:color="auto" w:fill="auto"/>
            <w:vAlign w:val="center"/>
            <w:hideMark/>
          </w:tcPr>
          <w:p w14:paraId="63228827" w14:textId="77777777" w:rsidR="0048677A" w:rsidRPr="00157EF2" w:rsidRDefault="0048677A" w:rsidP="00FD32CE">
            <w:r w:rsidRPr="00157EF2">
              <w:t>City of Philadelphia Health Department / AACO</w:t>
            </w:r>
          </w:p>
        </w:tc>
        <w:tc>
          <w:tcPr>
            <w:tcW w:w="960" w:type="dxa"/>
            <w:tcBorders>
              <w:top w:val="nil"/>
              <w:left w:val="nil"/>
              <w:bottom w:val="single" w:sz="4" w:space="0" w:color="auto"/>
              <w:right w:val="single" w:sz="4" w:space="0" w:color="auto"/>
            </w:tcBorders>
            <w:shd w:val="clear" w:color="auto" w:fill="auto"/>
            <w:vAlign w:val="center"/>
            <w:hideMark/>
          </w:tcPr>
          <w:p w14:paraId="3ECE320F" w14:textId="77777777" w:rsidR="0048677A" w:rsidRPr="00157EF2" w:rsidRDefault="0048677A" w:rsidP="00FD32CE">
            <w:pPr>
              <w:jc w:val="center"/>
            </w:pPr>
            <w:r w:rsidRPr="00157EF2">
              <w:t>3</w:t>
            </w:r>
          </w:p>
        </w:tc>
        <w:tc>
          <w:tcPr>
            <w:tcW w:w="960" w:type="dxa"/>
            <w:tcBorders>
              <w:top w:val="nil"/>
              <w:left w:val="nil"/>
              <w:bottom w:val="single" w:sz="4" w:space="0" w:color="auto"/>
              <w:right w:val="single" w:sz="4" w:space="0" w:color="auto"/>
            </w:tcBorders>
            <w:shd w:val="clear" w:color="auto" w:fill="auto"/>
            <w:vAlign w:val="center"/>
            <w:hideMark/>
          </w:tcPr>
          <w:p w14:paraId="076346E3" w14:textId="77777777" w:rsidR="0048677A" w:rsidRPr="00157EF2" w:rsidRDefault="0048677A" w:rsidP="00FD32CE">
            <w:pPr>
              <w:jc w:val="center"/>
            </w:pPr>
            <w:r w:rsidRPr="00157EF2">
              <w:t>2</w:t>
            </w:r>
          </w:p>
        </w:tc>
        <w:tc>
          <w:tcPr>
            <w:tcW w:w="1442" w:type="dxa"/>
            <w:tcBorders>
              <w:top w:val="nil"/>
              <w:left w:val="nil"/>
              <w:bottom w:val="single" w:sz="4" w:space="0" w:color="auto"/>
              <w:right w:val="single" w:sz="4" w:space="0" w:color="auto"/>
            </w:tcBorders>
            <w:shd w:val="clear" w:color="auto" w:fill="auto"/>
            <w:vAlign w:val="center"/>
            <w:hideMark/>
          </w:tcPr>
          <w:p w14:paraId="06A3395A" w14:textId="77777777" w:rsidR="0048677A" w:rsidRPr="00157EF2" w:rsidRDefault="0048677A" w:rsidP="00FD32CE">
            <w:pPr>
              <w:jc w:val="center"/>
            </w:pPr>
            <w:r w:rsidRPr="00157EF2">
              <w:t>5</w:t>
            </w:r>
          </w:p>
        </w:tc>
      </w:tr>
      <w:tr w:rsidR="0048677A" w:rsidRPr="00157EF2" w14:paraId="28C8F4C9" w14:textId="77777777" w:rsidTr="0040309E">
        <w:trPr>
          <w:trHeight w:val="260"/>
          <w:jc w:val="center"/>
        </w:trPr>
        <w:tc>
          <w:tcPr>
            <w:tcW w:w="4706" w:type="dxa"/>
            <w:tcBorders>
              <w:top w:val="nil"/>
              <w:left w:val="single" w:sz="4" w:space="0" w:color="auto"/>
              <w:bottom w:val="single" w:sz="4" w:space="0" w:color="auto"/>
              <w:right w:val="single" w:sz="4" w:space="0" w:color="auto"/>
            </w:tcBorders>
            <w:shd w:val="clear" w:color="auto" w:fill="auto"/>
            <w:vAlign w:val="center"/>
            <w:hideMark/>
          </w:tcPr>
          <w:p w14:paraId="13FC65C8" w14:textId="77777777" w:rsidR="0048677A" w:rsidRPr="00157EF2" w:rsidRDefault="0048677A" w:rsidP="00FD32CE">
            <w:r w:rsidRPr="00157EF2">
              <w:t>Social Service Agencies</w:t>
            </w:r>
          </w:p>
        </w:tc>
        <w:tc>
          <w:tcPr>
            <w:tcW w:w="960" w:type="dxa"/>
            <w:tcBorders>
              <w:top w:val="nil"/>
              <w:left w:val="nil"/>
              <w:bottom w:val="single" w:sz="4" w:space="0" w:color="auto"/>
              <w:right w:val="single" w:sz="4" w:space="0" w:color="auto"/>
            </w:tcBorders>
            <w:shd w:val="clear" w:color="auto" w:fill="auto"/>
            <w:vAlign w:val="center"/>
            <w:hideMark/>
          </w:tcPr>
          <w:p w14:paraId="54D965D3" w14:textId="77777777" w:rsidR="0048677A" w:rsidRPr="00157EF2" w:rsidRDefault="0048677A" w:rsidP="00FD32CE">
            <w:pPr>
              <w:jc w:val="center"/>
            </w:pPr>
            <w:r w:rsidRPr="00157EF2">
              <w:t>1</w:t>
            </w:r>
          </w:p>
        </w:tc>
        <w:tc>
          <w:tcPr>
            <w:tcW w:w="960" w:type="dxa"/>
            <w:tcBorders>
              <w:top w:val="nil"/>
              <w:left w:val="nil"/>
              <w:bottom w:val="single" w:sz="4" w:space="0" w:color="auto"/>
              <w:right w:val="single" w:sz="4" w:space="0" w:color="auto"/>
            </w:tcBorders>
            <w:shd w:val="clear" w:color="auto" w:fill="auto"/>
            <w:vAlign w:val="center"/>
            <w:hideMark/>
          </w:tcPr>
          <w:p w14:paraId="33242406" w14:textId="77777777" w:rsidR="0048677A" w:rsidRPr="00157EF2" w:rsidRDefault="0048677A" w:rsidP="00FD32CE">
            <w:pPr>
              <w:jc w:val="center"/>
            </w:pPr>
            <w:r w:rsidRPr="00157EF2">
              <w:t>2</w:t>
            </w:r>
          </w:p>
        </w:tc>
        <w:tc>
          <w:tcPr>
            <w:tcW w:w="1442" w:type="dxa"/>
            <w:tcBorders>
              <w:top w:val="nil"/>
              <w:left w:val="nil"/>
              <w:bottom w:val="single" w:sz="4" w:space="0" w:color="auto"/>
              <w:right w:val="single" w:sz="4" w:space="0" w:color="auto"/>
            </w:tcBorders>
            <w:shd w:val="clear" w:color="auto" w:fill="auto"/>
            <w:vAlign w:val="center"/>
            <w:hideMark/>
          </w:tcPr>
          <w:p w14:paraId="0C86C1E4" w14:textId="77777777" w:rsidR="0048677A" w:rsidRPr="00157EF2" w:rsidRDefault="0048677A" w:rsidP="00FD32CE">
            <w:pPr>
              <w:jc w:val="center"/>
            </w:pPr>
            <w:r w:rsidRPr="00157EF2">
              <w:t>3</w:t>
            </w:r>
          </w:p>
        </w:tc>
      </w:tr>
      <w:tr w:rsidR="0048677A" w:rsidRPr="00157EF2" w14:paraId="3A3D275B" w14:textId="77777777" w:rsidTr="0040309E">
        <w:trPr>
          <w:trHeight w:val="341"/>
          <w:jc w:val="center"/>
        </w:trPr>
        <w:tc>
          <w:tcPr>
            <w:tcW w:w="4706" w:type="dxa"/>
            <w:tcBorders>
              <w:top w:val="nil"/>
              <w:left w:val="single" w:sz="4" w:space="0" w:color="auto"/>
              <w:bottom w:val="single" w:sz="4" w:space="0" w:color="auto"/>
              <w:right w:val="single" w:sz="4" w:space="0" w:color="auto"/>
            </w:tcBorders>
            <w:shd w:val="clear" w:color="auto" w:fill="auto"/>
            <w:vAlign w:val="center"/>
            <w:hideMark/>
          </w:tcPr>
          <w:p w14:paraId="40639C42" w14:textId="77777777" w:rsidR="0048677A" w:rsidRPr="00157EF2" w:rsidRDefault="0048677A" w:rsidP="00FD32CE">
            <w:r w:rsidRPr="00157EF2">
              <w:t>Department of Corrections</w:t>
            </w:r>
          </w:p>
        </w:tc>
        <w:tc>
          <w:tcPr>
            <w:tcW w:w="960" w:type="dxa"/>
            <w:tcBorders>
              <w:top w:val="nil"/>
              <w:left w:val="nil"/>
              <w:bottom w:val="single" w:sz="4" w:space="0" w:color="auto"/>
              <w:right w:val="single" w:sz="4" w:space="0" w:color="auto"/>
            </w:tcBorders>
            <w:shd w:val="clear" w:color="auto" w:fill="auto"/>
            <w:vAlign w:val="center"/>
            <w:hideMark/>
          </w:tcPr>
          <w:p w14:paraId="486E76A1" w14:textId="77777777" w:rsidR="0048677A" w:rsidRPr="00157EF2" w:rsidRDefault="0048677A" w:rsidP="00FD32CE">
            <w:pPr>
              <w:jc w:val="center"/>
            </w:pPr>
            <w:r w:rsidRPr="00157EF2">
              <w:t>1</w:t>
            </w:r>
          </w:p>
        </w:tc>
        <w:tc>
          <w:tcPr>
            <w:tcW w:w="960" w:type="dxa"/>
            <w:tcBorders>
              <w:top w:val="nil"/>
              <w:left w:val="nil"/>
              <w:bottom w:val="single" w:sz="4" w:space="0" w:color="auto"/>
              <w:right w:val="single" w:sz="4" w:space="0" w:color="auto"/>
            </w:tcBorders>
            <w:shd w:val="clear" w:color="auto" w:fill="auto"/>
            <w:vAlign w:val="center"/>
            <w:hideMark/>
          </w:tcPr>
          <w:p w14:paraId="50C9D27B" w14:textId="77777777" w:rsidR="0048677A" w:rsidRPr="00157EF2" w:rsidRDefault="0048677A" w:rsidP="00FD32CE">
            <w:pPr>
              <w:jc w:val="center"/>
            </w:pPr>
            <w:r w:rsidRPr="00157EF2">
              <w:t>0</w:t>
            </w:r>
          </w:p>
        </w:tc>
        <w:tc>
          <w:tcPr>
            <w:tcW w:w="1442" w:type="dxa"/>
            <w:tcBorders>
              <w:top w:val="nil"/>
              <w:left w:val="nil"/>
              <w:bottom w:val="single" w:sz="4" w:space="0" w:color="auto"/>
              <w:right w:val="single" w:sz="4" w:space="0" w:color="auto"/>
            </w:tcBorders>
            <w:shd w:val="clear" w:color="auto" w:fill="auto"/>
            <w:vAlign w:val="center"/>
            <w:hideMark/>
          </w:tcPr>
          <w:p w14:paraId="699CAA46" w14:textId="77777777" w:rsidR="0048677A" w:rsidRPr="00157EF2" w:rsidRDefault="0048677A" w:rsidP="00FD32CE">
            <w:pPr>
              <w:jc w:val="center"/>
            </w:pPr>
            <w:r w:rsidRPr="00157EF2">
              <w:t>1</w:t>
            </w:r>
          </w:p>
        </w:tc>
      </w:tr>
      <w:tr w:rsidR="0048677A" w:rsidRPr="00157EF2" w14:paraId="037A284C" w14:textId="77777777" w:rsidTr="0040309E">
        <w:trPr>
          <w:trHeight w:val="278"/>
          <w:jc w:val="center"/>
        </w:trPr>
        <w:tc>
          <w:tcPr>
            <w:tcW w:w="4706" w:type="dxa"/>
            <w:tcBorders>
              <w:top w:val="nil"/>
              <w:left w:val="single" w:sz="4" w:space="0" w:color="auto"/>
              <w:bottom w:val="single" w:sz="4" w:space="0" w:color="auto"/>
              <w:right w:val="single" w:sz="4" w:space="0" w:color="auto"/>
            </w:tcBorders>
            <w:shd w:val="clear" w:color="auto" w:fill="auto"/>
            <w:vAlign w:val="center"/>
            <w:hideMark/>
          </w:tcPr>
          <w:p w14:paraId="571BA56D" w14:textId="77777777" w:rsidR="0048677A" w:rsidRPr="00157EF2" w:rsidRDefault="0048677A" w:rsidP="00FD32CE">
            <w:r w:rsidRPr="00157EF2">
              <w:t>Sub-total</w:t>
            </w:r>
          </w:p>
        </w:tc>
        <w:tc>
          <w:tcPr>
            <w:tcW w:w="960" w:type="dxa"/>
            <w:tcBorders>
              <w:top w:val="nil"/>
              <w:left w:val="nil"/>
              <w:bottom w:val="single" w:sz="4" w:space="0" w:color="auto"/>
              <w:right w:val="single" w:sz="4" w:space="0" w:color="auto"/>
            </w:tcBorders>
            <w:shd w:val="clear" w:color="auto" w:fill="auto"/>
            <w:vAlign w:val="center"/>
            <w:hideMark/>
          </w:tcPr>
          <w:p w14:paraId="5AA6187E" w14:textId="77777777" w:rsidR="0048677A" w:rsidRPr="00157EF2" w:rsidRDefault="0048677A" w:rsidP="00FD32CE">
            <w:pPr>
              <w:jc w:val="center"/>
            </w:pPr>
            <w:r w:rsidRPr="00157EF2">
              <w:t>5</w:t>
            </w:r>
          </w:p>
        </w:tc>
        <w:tc>
          <w:tcPr>
            <w:tcW w:w="960" w:type="dxa"/>
            <w:tcBorders>
              <w:top w:val="nil"/>
              <w:left w:val="nil"/>
              <w:bottom w:val="single" w:sz="4" w:space="0" w:color="auto"/>
              <w:right w:val="single" w:sz="4" w:space="0" w:color="auto"/>
            </w:tcBorders>
            <w:shd w:val="clear" w:color="auto" w:fill="auto"/>
            <w:vAlign w:val="center"/>
            <w:hideMark/>
          </w:tcPr>
          <w:p w14:paraId="31068812" w14:textId="77777777" w:rsidR="0048677A" w:rsidRPr="00157EF2" w:rsidRDefault="0048677A" w:rsidP="00FD32CE">
            <w:pPr>
              <w:jc w:val="center"/>
            </w:pPr>
            <w:r w:rsidRPr="00157EF2">
              <w:t>4</w:t>
            </w:r>
          </w:p>
        </w:tc>
        <w:tc>
          <w:tcPr>
            <w:tcW w:w="1442" w:type="dxa"/>
            <w:tcBorders>
              <w:top w:val="nil"/>
              <w:left w:val="nil"/>
              <w:bottom w:val="single" w:sz="4" w:space="0" w:color="auto"/>
              <w:right w:val="single" w:sz="4" w:space="0" w:color="auto"/>
            </w:tcBorders>
            <w:shd w:val="clear" w:color="auto" w:fill="auto"/>
            <w:vAlign w:val="center"/>
            <w:hideMark/>
          </w:tcPr>
          <w:p w14:paraId="629EDC66" w14:textId="77777777" w:rsidR="0048677A" w:rsidRPr="00157EF2" w:rsidRDefault="0048677A" w:rsidP="00FD32CE">
            <w:pPr>
              <w:jc w:val="center"/>
            </w:pPr>
            <w:r w:rsidRPr="00157EF2">
              <w:t>9</w:t>
            </w:r>
          </w:p>
        </w:tc>
      </w:tr>
      <w:tr w:rsidR="0048677A" w:rsidRPr="00157EF2" w14:paraId="4AC2889C" w14:textId="77777777" w:rsidTr="0040309E">
        <w:trPr>
          <w:trHeight w:val="300"/>
          <w:jc w:val="center"/>
        </w:trPr>
        <w:tc>
          <w:tcPr>
            <w:tcW w:w="8068" w:type="dxa"/>
            <w:gridSpan w:val="4"/>
            <w:tcBorders>
              <w:top w:val="single" w:sz="4" w:space="0" w:color="auto"/>
              <w:left w:val="single" w:sz="4" w:space="0" w:color="auto"/>
              <w:bottom w:val="single" w:sz="4" w:space="0" w:color="auto"/>
              <w:right w:val="single" w:sz="4" w:space="0" w:color="auto"/>
            </w:tcBorders>
            <w:shd w:val="clear" w:color="000000" w:fill="DBE5F1"/>
            <w:vAlign w:val="center"/>
            <w:hideMark/>
          </w:tcPr>
          <w:p w14:paraId="0068AD07" w14:textId="77777777" w:rsidR="0048677A" w:rsidRPr="00157EF2" w:rsidRDefault="0048677A" w:rsidP="00FD32CE">
            <w:pPr>
              <w:jc w:val="center"/>
            </w:pPr>
            <w:r w:rsidRPr="00157EF2">
              <w:t>Community (n=15)</w:t>
            </w:r>
          </w:p>
        </w:tc>
      </w:tr>
      <w:tr w:rsidR="0048677A" w:rsidRPr="00157EF2" w14:paraId="4C0A350E" w14:textId="77777777" w:rsidTr="0040309E">
        <w:trPr>
          <w:trHeight w:val="314"/>
          <w:jc w:val="center"/>
        </w:trPr>
        <w:tc>
          <w:tcPr>
            <w:tcW w:w="4706" w:type="dxa"/>
            <w:tcBorders>
              <w:top w:val="nil"/>
              <w:left w:val="single" w:sz="4" w:space="0" w:color="auto"/>
              <w:bottom w:val="single" w:sz="4" w:space="0" w:color="auto"/>
              <w:right w:val="single" w:sz="4" w:space="0" w:color="auto"/>
            </w:tcBorders>
            <w:shd w:val="clear" w:color="auto" w:fill="auto"/>
            <w:vAlign w:val="center"/>
            <w:hideMark/>
          </w:tcPr>
          <w:p w14:paraId="23FFA2D0" w14:textId="77777777" w:rsidR="0048677A" w:rsidRPr="00157EF2" w:rsidRDefault="0048677A" w:rsidP="00FD32CE">
            <w:r w:rsidRPr="00157EF2">
              <w:t>HIV Clinical Care Providers</w:t>
            </w:r>
          </w:p>
        </w:tc>
        <w:tc>
          <w:tcPr>
            <w:tcW w:w="960" w:type="dxa"/>
            <w:tcBorders>
              <w:top w:val="nil"/>
              <w:left w:val="nil"/>
              <w:bottom w:val="single" w:sz="4" w:space="0" w:color="auto"/>
              <w:right w:val="single" w:sz="4" w:space="0" w:color="auto"/>
            </w:tcBorders>
            <w:shd w:val="clear" w:color="auto" w:fill="auto"/>
            <w:vAlign w:val="center"/>
            <w:hideMark/>
          </w:tcPr>
          <w:p w14:paraId="2115DB22" w14:textId="77777777" w:rsidR="0048677A" w:rsidRPr="00157EF2" w:rsidRDefault="0048677A" w:rsidP="00FD32CE">
            <w:pPr>
              <w:jc w:val="center"/>
            </w:pPr>
            <w:r w:rsidRPr="00157EF2">
              <w:t>1</w:t>
            </w:r>
          </w:p>
        </w:tc>
        <w:tc>
          <w:tcPr>
            <w:tcW w:w="960" w:type="dxa"/>
            <w:tcBorders>
              <w:top w:val="nil"/>
              <w:left w:val="nil"/>
              <w:bottom w:val="single" w:sz="4" w:space="0" w:color="auto"/>
              <w:right w:val="single" w:sz="4" w:space="0" w:color="auto"/>
            </w:tcBorders>
            <w:shd w:val="clear" w:color="auto" w:fill="auto"/>
            <w:vAlign w:val="center"/>
            <w:hideMark/>
          </w:tcPr>
          <w:p w14:paraId="5E846B76" w14:textId="77777777" w:rsidR="0048677A" w:rsidRPr="00157EF2" w:rsidRDefault="0048677A" w:rsidP="00FD32CE">
            <w:pPr>
              <w:jc w:val="center"/>
            </w:pPr>
            <w:r w:rsidRPr="00157EF2">
              <w:t>1</w:t>
            </w:r>
          </w:p>
        </w:tc>
        <w:tc>
          <w:tcPr>
            <w:tcW w:w="1442" w:type="dxa"/>
            <w:tcBorders>
              <w:top w:val="nil"/>
              <w:left w:val="nil"/>
              <w:bottom w:val="single" w:sz="4" w:space="0" w:color="auto"/>
              <w:right w:val="single" w:sz="4" w:space="0" w:color="auto"/>
            </w:tcBorders>
            <w:shd w:val="clear" w:color="auto" w:fill="auto"/>
            <w:vAlign w:val="center"/>
            <w:hideMark/>
          </w:tcPr>
          <w:p w14:paraId="191B6BFB" w14:textId="77777777" w:rsidR="0048677A" w:rsidRPr="00157EF2" w:rsidRDefault="0048677A" w:rsidP="00FD32CE">
            <w:pPr>
              <w:jc w:val="center"/>
            </w:pPr>
            <w:r w:rsidRPr="00157EF2">
              <w:t>2</w:t>
            </w:r>
          </w:p>
        </w:tc>
      </w:tr>
      <w:tr w:rsidR="0048677A" w:rsidRPr="00157EF2" w14:paraId="686B01B9" w14:textId="77777777" w:rsidTr="0040309E">
        <w:trPr>
          <w:trHeight w:val="332"/>
          <w:jc w:val="center"/>
        </w:trPr>
        <w:tc>
          <w:tcPr>
            <w:tcW w:w="4706" w:type="dxa"/>
            <w:tcBorders>
              <w:top w:val="nil"/>
              <w:left w:val="single" w:sz="4" w:space="0" w:color="auto"/>
              <w:bottom w:val="single" w:sz="4" w:space="0" w:color="auto"/>
              <w:right w:val="single" w:sz="4" w:space="0" w:color="auto"/>
            </w:tcBorders>
            <w:shd w:val="clear" w:color="auto" w:fill="auto"/>
            <w:vAlign w:val="center"/>
            <w:hideMark/>
          </w:tcPr>
          <w:p w14:paraId="3EA22EC1" w14:textId="38082689" w:rsidR="0048677A" w:rsidRPr="00157EF2" w:rsidRDefault="000241A4" w:rsidP="00FD32CE">
            <w:r>
              <w:t xml:space="preserve">Non-Governmental </w:t>
            </w:r>
            <w:r w:rsidR="0048677A" w:rsidRPr="00157EF2">
              <w:t>Social Service Organizations</w:t>
            </w:r>
          </w:p>
        </w:tc>
        <w:tc>
          <w:tcPr>
            <w:tcW w:w="960" w:type="dxa"/>
            <w:tcBorders>
              <w:top w:val="nil"/>
              <w:left w:val="nil"/>
              <w:bottom w:val="single" w:sz="4" w:space="0" w:color="auto"/>
              <w:right w:val="single" w:sz="4" w:space="0" w:color="auto"/>
            </w:tcBorders>
            <w:shd w:val="clear" w:color="auto" w:fill="auto"/>
            <w:vAlign w:val="center"/>
            <w:hideMark/>
          </w:tcPr>
          <w:p w14:paraId="6EE885B1" w14:textId="77777777" w:rsidR="0048677A" w:rsidRPr="00157EF2" w:rsidRDefault="0048677A" w:rsidP="00FD32CE">
            <w:pPr>
              <w:jc w:val="center"/>
            </w:pPr>
            <w:r w:rsidRPr="00157EF2">
              <w:t>1</w:t>
            </w:r>
          </w:p>
        </w:tc>
        <w:tc>
          <w:tcPr>
            <w:tcW w:w="960" w:type="dxa"/>
            <w:tcBorders>
              <w:top w:val="nil"/>
              <w:left w:val="nil"/>
              <w:bottom w:val="single" w:sz="4" w:space="0" w:color="auto"/>
              <w:right w:val="single" w:sz="4" w:space="0" w:color="auto"/>
            </w:tcBorders>
            <w:shd w:val="clear" w:color="auto" w:fill="auto"/>
            <w:vAlign w:val="center"/>
            <w:hideMark/>
          </w:tcPr>
          <w:p w14:paraId="695DC07F" w14:textId="77777777" w:rsidR="0048677A" w:rsidRPr="00157EF2" w:rsidRDefault="0048677A" w:rsidP="00FD32CE">
            <w:pPr>
              <w:jc w:val="center"/>
            </w:pPr>
            <w:r w:rsidRPr="00157EF2">
              <w:t>2</w:t>
            </w:r>
          </w:p>
        </w:tc>
        <w:tc>
          <w:tcPr>
            <w:tcW w:w="1442" w:type="dxa"/>
            <w:tcBorders>
              <w:top w:val="nil"/>
              <w:left w:val="nil"/>
              <w:bottom w:val="single" w:sz="4" w:space="0" w:color="auto"/>
              <w:right w:val="single" w:sz="4" w:space="0" w:color="auto"/>
            </w:tcBorders>
            <w:shd w:val="clear" w:color="auto" w:fill="auto"/>
            <w:vAlign w:val="center"/>
            <w:hideMark/>
          </w:tcPr>
          <w:p w14:paraId="4CAEC93D" w14:textId="77777777" w:rsidR="0048677A" w:rsidRPr="00157EF2" w:rsidRDefault="0048677A" w:rsidP="00FD32CE">
            <w:pPr>
              <w:jc w:val="center"/>
            </w:pPr>
            <w:r w:rsidRPr="00157EF2">
              <w:t>3</w:t>
            </w:r>
          </w:p>
        </w:tc>
      </w:tr>
      <w:tr w:rsidR="0048677A" w:rsidRPr="00157EF2" w14:paraId="59D74A98" w14:textId="77777777" w:rsidTr="0040309E">
        <w:trPr>
          <w:trHeight w:val="300"/>
          <w:jc w:val="center"/>
        </w:trPr>
        <w:tc>
          <w:tcPr>
            <w:tcW w:w="4706" w:type="dxa"/>
            <w:tcBorders>
              <w:top w:val="nil"/>
              <w:left w:val="single" w:sz="4" w:space="0" w:color="auto"/>
              <w:bottom w:val="single" w:sz="4" w:space="0" w:color="auto"/>
              <w:right w:val="single" w:sz="4" w:space="0" w:color="auto"/>
            </w:tcBorders>
            <w:shd w:val="clear" w:color="auto" w:fill="auto"/>
            <w:vAlign w:val="center"/>
            <w:hideMark/>
          </w:tcPr>
          <w:p w14:paraId="6C2E0ADE" w14:textId="77777777" w:rsidR="0048677A" w:rsidRPr="00157EF2" w:rsidRDefault="0048677A" w:rsidP="00FD32CE">
            <w:r w:rsidRPr="00157EF2">
              <w:t>CBOs – MSM focused</w:t>
            </w:r>
          </w:p>
        </w:tc>
        <w:tc>
          <w:tcPr>
            <w:tcW w:w="960" w:type="dxa"/>
            <w:tcBorders>
              <w:top w:val="nil"/>
              <w:left w:val="nil"/>
              <w:bottom w:val="single" w:sz="4" w:space="0" w:color="auto"/>
              <w:right w:val="single" w:sz="4" w:space="0" w:color="auto"/>
            </w:tcBorders>
            <w:shd w:val="clear" w:color="auto" w:fill="auto"/>
            <w:vAlign w:val="center"/>
            <w:hideMark/>
          </w:tcPr>
          <w:p w14:paraId="3D63DFBC" w14:textId="77777777" w:rsidR="0048677A" w:rsidRPr="00157EF2" w:rsidRDefault="0048677A" w:rsidP="00FD32CE">
            <w:pPr>
              <w:jc w:val="center"/>
            </w:pPr>
            <w:r w:rsidRPr="00157EF2">
              <w:t>2</w:t>
            </w:r>
          </w:p>
        </w:tc>
        <w:tc>
          <w:tcPr>
            <w:tcW w:w="960" w:type="dxa"/>
            <w:tcBorders>
              <w:top w:val="nil"/>
              <w:left w:val="nil"/>
              <w:bottom w:val="single" w:sz="4" w:space="0" w:color="auto"/>
              <w:right w:val="single" w:sz="4" w:space="0" w:color="auto"/>
            </w:tcBorders>
            <w:shd w:val="clear" w:color="auto" w:fill="auto"/>
            <w:vAlign w:val="center"/>
            <w:hideMark/>
          </w:tcPr>
          <w:p w14:paraId="3B8AF727" w14:textId="77777777" w:rsidR="0048677A" w:rsidRPr="00157EF2" w:rsidRDefault="0048677A" w:rsidP="00FD32CE">
            <w:pPr>
              <w:jc w:val="center"/>
            </w:pPr>
            <w:r w:rsidRPr="00157EF2">
              <w:t>2</w:t>
            </w:r>
          </w:p>
        </w:tc>
        <w:tc>
          <w:tcPr>
            <w:tcW w:w="1442" w:type="dxa"/>
            <w:tcBorders>
              <w:top w:val="nil"/>
              <w:left w:val="nil"/>
              <w:bottom w:val="single" w:sz="4" w:space="0" w:color="auto"/>
              <w:right w:val="single" w:sz="4" w:space="0" w:color="auto"/>
            </w:tcBorders>
            <w:shd w:val="clear" w:color="auto" w:fill="auto"/>
            <w:vAlign w:val="center"/>
            <w:hideMark/>
          </w:tcPr>
          <w:p w14:paraId="5D38746C" w14:textId="77777777" w:rsidR="0048677A" w:rsidRPr="00157EF2" w:rsidRDefault="0048677A" w:rsidP="00FD32CE">
            <w:pPr>
              <w:jc w:val="center"/>
            </w:pPr>
            <w:r w:rsidRPr="00157EF2">
              <w:t>4</w:t>
            </w:r>
          </w:p>
        </w:tc>
      </w:tr>
      <w:tr w:rsidR="0048677A" w:rsidRPr="00157EF2" w14:paraId="71FD5C79" w14:textId="77777777" w:rsidTr="0040309E">
        <w:trPr>
          <w:trHeight w:val="300"/>
          <w:jc w:val="center"/>
        </w:trPr>
        <w:tc>
          <w:tcPr>
            <w:tcW w:w="4706" w:type="dxa"/>
            <w:tcBorders>
              <w:top w:val="nil"/>
              <w:left w:val="single" w:sz="4" w:space="0" w:color="auto"/>
              <w:bottom w:val="single" w:sz="4" w:space="0" w:color="auto"/>
              <w:right w:val="single" w:sz="4" w:space="0" w:color="auto"/>
            </w:tcBorders>
            <w:shd w:val="clear" w:color="auto" w:fill="auto"/>
            <w:vAlign w:val="center"/>
            <w:hideMark/>
          </w:tcPr>
          <w:p w14:paraId="3355909F" w14:textId="77777777" w:rsidR="0048677A" w:rsidRPr="00157EF2" w:rsidRDefault="0048677A" w:rsidP="00FD32CE">
            <w:r w:rsidRPr="00157EF2">
              <w:t>Community Planning Groups</w:t>
            </w:r>
          </w:p>
        </w:tc>
        <w:tc>
          <w:tcPr>
            <w:tcW w:w="960" w:type="dxa"/>
            <w:tcBorders>
              <w:top w:val="nil"/>
              <w:left w:val="nil"/>
              <w:bottom w:val="single" w:sz="4" w:space="0" w:color="auto"/>
              <w:right w:val="single" w:sz="4" w:space="0" w:color="auto"/>
            </w:tcBorders>
            <w:shd w:val="clear" w:color="auto" w:fill="auto"/>
            <w:vAlign w:val="center"/>
            <w:hideMark/>
          </w:tcPr>
          <w:p w14:paraId="7499F0B6" w14:textId="77777777" w:rsidR="0048677A" w:rsidRPr="00157EF2" w:rsidRDefault="0048677A" w:rsidP="00FD32CE">
            <w:pPr>
              <w:jc w:val="center"/>
            </w:pPr>
            <w:r w:rsidRPr="00157EF2">
              <w:t>1</w:t>
            </w:r>
          </w:p>
        </w:tc>
        <w:tc>
          <w:tcPr>
            <w:tcW w:w="960" w:type="dxa"/>
            <w:tcBorders>
              <w:top w:val="nil"/>
              <w:left w:val="nil"/>
              <w:bottom w:val="single" w:sz="4" w:space="0" w:color="auto"/>
              <w:right w:val="single" w:sz="4" w:space="0" w:color="auto"/>
            </w:tcBorders>
            <w:shd w:val="clear" w:color="auto" w:fill="auto"/>
            <w:vAlign w:val="center"/>
            <w:hideMark/>
          </w:tcPr>
          <w:p w14:paraId="50B464DC" w14:textId="77777777" w:rsidR="0048677A" w:rsidRPr="00157EF2" w:rsidRDefault="0048677A" w:rsidP="00FD32CE">
            <w:pPr>
              <w:jc w:val="center"/>
            </w:pPr>
            <w:r w:rsidRPr="00157EF2">
              <w:t>1</w:t>
            </w:r>
          </w:p>
        </w:tc>
        <w:tc>
          <w:tcPr>
            <w:tcW w:w="1442" w:type="dxa"/>
            <w:tcBorders>
              <w:top w:val="nil"/>
              <w:left w:val="nil"/>
              <w:bottom w:val="single" w:sz="4" w:space="0" w:color="auto"/>
              <w:right w:val="single" w:sz="4" w:space="0" w:color="auto"/>
            </w:tcBorders>
            <w:shd w:val="clear" w:color="auto" w:fill="auto"/>
            <w:vAlign w:val="center"/>
            <w:hideMark/>
          </w:tcPr>
          <w:p w14:paraId="338E37BF" w14:textId="77777777" w:rsidR="0048677A" w:rsidRPr="00157EF2" w:rsidRDefault="0048677A" w:rsidP="00FD32CE">
            <w:pPr>
              <w:jc w:val="center"/>
            </w:pPr>
            <w:r w:rsidRPr="00157EF2">
              <w:t>2</w:t>
            </w:r>
          </w:p>
        </w:tc>
      </w:tr>
      <w:tr w:rsidR="0048677A" w:rsidRPr="00157EF2" w14:paraId="1C729D91" w14:textId="77777777" w:rsidTr="0040309E">
        <w:trPr>
          <w:trHeight w:val="300"/>
          <w:jc w:val="center"/>
        </w:trPr>
        <w:tc>
          <w:tcPr>
            <w:tcW w:w="4706" w:type="dxa"/>
            <w:tcBorders>
              <w:top w:val="nil"/>
              <w:left w:val="single" w:sz="4" w:space="0" w:color="auto"/>
              <w:bottom w:val="single" w:sz="4" w:space="0" w:color="auto"/>
              <w:right w:val="single" w:sz="4" w:space="0" w:color="auto"/>
            </w:tcBorders>
            <w:shd w:val="clear" w:color="auto" w:fill="auto"/>
            <w:vAlign w:val="center"/>
            <w:hideMark/>
          </w:tcPr>
          <w:p w14:paraId="1FD16FBE" w14:textId="77777777" w:rsidR="0048677A" w:rsidRPr="00157EF2" w:rsidRDefault="0048677A" w:rsidP="00FD32CE">
            <w:r w:rsidRPr="00157EF2">
              <w:t>MSM Advocacy Groups</w:t>
            </w:r>
          </w:p>
        </w:tc>
        <w:tc>
          <w:tcPr>
            <w:tcW w:w="960" w:type="dxa"/>
            <w:tcBorders>
              <w:top w:val="nil"/>
              <w:left w:val="nil"/>
              <w:bottom w:val="single" w:sz="4" w:space="0" w:color="auto"/>
              <w:right w:val="single" w:sz="4" w:space="0" w:color="auto"/>
            </w:tcBorders>
            <w:shd w:val="clear" w:color="auto" w:fill="auto"/>
            <w:vAlign w:val="center"/>
            <w:hideMark/>
          </w:tcPr>
          <w:p w14:paraId="40B88126" w14:textId="77777777" w:rsidR="0048677A" w:rsidRPr="00157EF2" w:rsidRDefault="0048677A" w:rsidP="00FD32CE">
            <w:pPr>
              <w:jc w:val="center"/>
            </w:pPr>
            <w:r w:rsidRPr="00157EF2">
              <w:t>2</w:t>
            </w:r>
          </w:p>
        </w:tc>
        <w:tc>
          <w:tcPr>
            <w:tcW w:w="960" w:type="dxa"/>
            <w:tcBorders>
              <w:top w:val="nil"/>
              <w:left w:val="nil"/>
              <w:bottom w:val="single" w:sz="4" w:space="0" w:color="auto"/>
              <w:right w:val="single" w:sz="4" w:space="0" w:color="auto"/>
            </w:tcBorders>
            <w:shd w:val="clear" w:color="auto" w:fill="auto"/>
            <w:vAlign w:val="center"/>
            <w:hideMark/>
          </w:tcPr>
          <w:p w14:paraId="013F6055" w14:textId="77777777" w:rsidR="0048677A" w:rsidRPr="00157EF2" w:rsidRDefault="0048677A" w:rsidP="00FD32CE">
            <w:pPr>
              <w:jc w:val="center"/>
            </w:pPr>
            <w:r w:rsidRPr="00157EF2">
              <w:t>1</w:t>
            </w:r>
          </w:p>
        </w:tc>
        <w:tc>
          <w:tcPr>
            <w:tcW w:w="1442" w:type="dxa"/>
            <w:tcBorders>
              <w:top w:val="nil"/>
              <w:left w:val="nil"/>
              <w:bottom w:val="single" w:sz="4" w:space="0" w:color="auto"/>
              <w:right w:val="single" w:sz="4" w:space="0" w:color="auto"/>
            </w:tcBorders>
            <w:shd w:val="clear" w:color="auto" w:fill="auto"/>
            <w:vAlign w:val="center"/>
            <w:hideMark/>
          </w:tcPr>
          <w:p w14:paraId="775F41F7" w14:textId="77777777" w:rsidR="0048677A" w:rsidRPr="00157EF2" w:rsidRDefault="0048677A" w:rsidP="00FD32CE">
            <w:pPr>
              <w:jc w:val="center"/>
            </w:pPr>
            <w:r w:rsidRPr="00157EF2">
              <w:t>3</w:t>
            </w:r>
          </w:p>
        </w:tc>
      </w:tr>
      <w:tr w:rsidR="0048677A" w:rsidRPr="00157EF2" w14:paraId="12711616" w14:textId="77777777" w:rsidTr="0040309E">
        <w:trPr>
          <w:trHeight w:val="300"/>
          <w:jc w:val="center"/>
        </w:trPr>
        <w:tc>
          <w:tcPr>
            <w:tcW w:w="4706" w:type="dxa"/>
            <w:tcBorders>
              <w:top w:val="nil"/>
              <w:left w:val="single" w:sz="4" w:space="0" w:color="auto"/>
              <w:bottom w:val="single" w:sz="4" w:space="0" w:color="auto"/>
              <w:right w:val="single" w:sz="4" w:space="0" w:color="auto"/>
            </w:tcBorders>
            <w:shd w:val="clear" w:color="auto" w:fill="auto"/>
            <w:vAlign w:val="center"/>
            <w:hideMark/>
          </w:tcPr>
          <w:p w14:paraId="741373DA" w14:textId="77777777" w:rsidR="0048677A" w:rsidRPr="00157EF2" w:rsidRDefault="0048677A" w:rsidP="00FD32CE">
            <w:r w:rsidRPr="00157EF2">
              <w:t>Local Researchers</w:t>
            </w:r>
          </w:p>
        </w:tc>
        <w:tc>
          <w:tcPr>
            <w:tcW w:w="960" w:type="dxa"/>
            <w:tcBorders>
              <w:top w:val="nil"/>
              <w:left w:val="nil"/>
              <w:bottom w:val="single" w:sz="4" w:space="0" w:color="auto"/>
              <w:right w:val="single" w:sz="4" w:space="0" w:color="auto"/>
            </w:tcBorders>
            <w:shd w:val="clear" w:color="auto" w:fill="auto"/>
            <w:vAlign w:val="center"/>
            <w:hideMark/>
          </w:tcPr>
          <w:p w14:paraId="29506A88" w14:textId="77777777" w:rsidR="0048677A" w:rsidRPr="00157EF2" w:rsidRDefault="0048677A" w:rsidP="00FD32CE">
            <w:pPr>
              <w:jc w:val="center"/>
            </w:pPr>
            <w:r w:rsidRPr="00157EF2">
              <w:t>1</w:t>
            </w:r>
          </w:p>
        </w:tc>
        <w:tc>
          <w:tcPr>
            <w:tcW w:w="960" w:type="dxa"/>
            <w:tcBorders>
              <w:top w:val="nil"/>
              <w:left w:val="nil"/>
              <w:bottom w:val="single" w:sz="4" w:space="0" w:color="auto"/>
              <w:right w:val="single" w:sz="4" w:space="0" w:color="auto"/>
            </w:tcBorders>
            <w:shd w:val="clear" w:color="auto" w:fill="auto"/>
            <w:vAlign w:val="center"/>
            <w:hideMark/>
          </w:tcPr>
          <w:p w14:paraId="0D13B276" w14:textId="77777777" w:rsidR="0048677A" w:rsidRPr="00157EF2" w:rsidRDefault="0048677A" w:rsidP="00FD32CE">
            <w:pPr>
              <w:jc w:val="center"/>
            </w:pPr>
            <w:r w:rsidRPr="00157EF2">
              <w:t>0</w:t>
            </w:r>
          </w:p>
        </w:tc>
        <w:tc>
          <w:tcPr>
            <w:tcW w:w="1442" w:type="dxa"/>
            <w:tcBorders>
              <w:top w:val="nil"/>
              <w:left w:val="nil"/>
              <w:bottom w:val="single" w:sz="4" w:space="0" w:color="auto"/>
              <w:right w:val="single" w:sz="4" w:space="0" w:color="auto"/>
            </w:tcBorders>
            <w:shd w:val="clear" w:color="auto" w:fill="auto"/>
            <w:vAlign w:val="center"/>
            <w:hideMark/>
          </w:tcPr>
          <w:p w14:paraId="47B1FE2E" w14:textId="77777777" w:rsidR="0048677A" w:rsidRPr="00157EF2" w:rsidRDefault="0048677A" w:rsidP="00FD32CE">
            <w:pPr>
              <w:jc w:val="center"/>
            </w:pPr>
            <w:r w:rsidRPr="00157EF2">
              <w:t>1</w:t>
            </w:r>
          </w:p>
        </w:tc>
      </w:tr>
      <w:tr w:rsidR="0048677A" w:rsidRPr="00157EF2" w14:paraId="01A3DFA7" w14:textId="77777777" w:rsidTr="0040309E">
        <w:trPr>
          <w:trHeight w:val="300"/>
          <w:jc w:val="center"/>
        </w:trPr>
        <w:tc>
          <w:tcPr>
            <w:tcW w:w="4706" w:type="dxa"/>
            <w:tcBorders>
              <w:top w:val="nil"/>
              <w:left w:val="single" w:sz="4" w:space="0" w:color="auto"/>
              <w:bottom w:val="single" w:sz="4" w:space="0" w:color="auto"/>
              <w:right w:val="single" w:sz="4" w:space="0" w:color="auto"/>
            </w:tcBorders>
            <w:shd w:val="clear" w:color="auto" w:fill="auto"/>
            <w:vAlign w:val="center"/>
            <w:hideMark/>
          </w:tcPr>
          <w:p w14:paraId="176908A3" w14:textId="77777777" w:rsidR="0048677A" w:rsidRPr="00157EF2" w:rsidRDefault="0048677A" w:rsidP="00FD32CE">
            <w:r w:rsidRPr="00157EF2">
              <w:t>Sub-total</w:t>
            </w:r>
          </w:p>
        </w:tc>
        <w:tc>
          <w:tcPr>
            <w:tcW w:w="960" w:type="dxa"/>
            <w:tcBorders>
              <w:top w:val="nil"/>
              <w:left w:val="nil"/>
              <w:bottom w:val="single" w:sz="4" w:space="0" w:color="auto"/>
              <w:right w:val="single" w:sz="4" w:space="0" w:color="auto"/>
            </w:tcBorders>
            <w:shd w:val="clear" w:color="auto" w:fill="auto"/>
            <w:noWrap/>
            <w:vAlign w:val="bottom"/>
            <w:hideMark/>
          </w:tcPr>
          <w:p w14:paraId="337D02FF" w14:textId="77777777" w:rsidR="0048677A" w:rsidRPr="00157EF2" w:rsidRDefault="0048677A" w:rsidP="00FD32CE">
            <w:pPr>
              <w:jc w:val="center"/>
            </w:pPr>
            <w:r w:rsidRPr="00157EF2">
              <w:t>8</w:t>
            </w:r>
          </w:p>
        </w:tc>
        <w:tc>
          <w:tcPr>
            <w:tcW w:w="960" w:type="dxa"/>
            <w:tcBorders>
              <w:top w:val="nil"/>
              <w:left w:val="nil"/>
              <w:bottom w:val="single" w:sz="4" w:space="0" w:color="auto"/>
              <w:right w:val="single" w:sz="4" w:space="0" w:color="auto"/>
            </w:tcBorders>
            <w:shd w:val="clear" w:color="auto" w:fill="auto"/>
            <w:vAlign w:val="center"/>
            <w:hideMark/>
          </w:tcPr>
          <w:p w14:paraId="5DE8C9CD" w14:textId="77777777" w:rsidR="0048677A" w:rsidRPr="00157EF2" w:rsidRDefault="0048677A" w:rsidP="00FD32CE">
            <w:pPr>
              <w:jc w:val="center"/>
            </w:pPr>
            <w:r w:rsidRPr="00157EF2">
              <w:t>7</w:t>
            </w:r>
          </w:p>
        </w:tc>
        <w:tc>
          <w:tcPr>
            <w:tcW w:w="1442" w:type="dxa"/>
            <w:tcBorders>
              <w:top w:val="nil"/>
              <w:left w:val="nil"/>
              <w:bottom w:val="single" w:sz="4" w:space="0" w:color="auto"/>
              <w:right w:val="single" w:sz="4" w:space="0" w:color="auto"/>
            </w:tcBorders>
            <w:shd w:val="clear" w:color="auto" w:fill="auto"/>
            <w:vAlign w:val="center"/>
            <w:hideMark/>
          </w:tcPr>
          <w:p w14:paraId="46929D28" w14:textId="77777777" w:rsidR="0048677A" w:rsidRPr="00157EF2" w:rsidRDefault="0048677A" w:rsidP="00FD32CE">
            <w:pPr>
              <w:jc w:val="center"/>
            </w:pPr>
            <w:r w:rsidRPr="00157EF2">
              <w:t>15</w:t>
            </w:r>
          </w:p>
        </w:tc>
      </w:tr>
      <w:tr w:rsidR="0048677A" w:rsidRPr="00157EF2" w14:paraId="35711FFB" w14:textId="77777777" w:rsidTr="0040309E">
        <w:trPr>
          <w:trHeight w:val="300"/>
          <w:jc w:val="center"/>
        </w:trPr>
        <w:tc>
          <w:tcPr>
            <w:tcW w:w="8068" w:type="dxa"/>
            <w:gridSpan w:val="4"/>
            <w:tcBorders>
              <w:top w:val="single" w:sz="4" w:space="0" w:color="auto"/>
              <w:left w:val="single" w:sz="4" w:space="0" w:color="auto"/>
              <w:bottom w:val="single" w:sz="4" w:space="0" w:color="auto"/>
              <w:right w:val="single" w:sz="4" w:space="0" w:color="auto"/>
            </w:tcBorders>
            <w:shd w:val="clear" w:color="000000" w:fill="DBE5F1"/>
            <w:vAlign w:val="center"/>
            <w:hideMark/>
          </w:tcPr>
          <w:p w14:paraId="06C7AE29" w14:textId="77777777" w:rsidR="0048677A" w:rsidRPr="00157EF2" w:rsidRDefault="0048677A" w:rsidP="00FD32CE">
            <w:pPr>
              <w:jc w:val="center"/>
            </w:pPr>
            <w:r w:rsidRPr="00157EF2">
              <w:t>Individual/Network (n=6)</w:t>
            </w:r>
          </w:p>
        </w:tc>
      </w:tr>
      <w:tr w:rsidR="0048677A" w:rsidRPr="00157EF2" w14:paraId="721CBD35" w14:textId="77777777" w:rsidTr="0040309E">
        <w:trPr>
          <w:trHeight w:val="300"/>
          <w:jc w:val="center"/>
        </w:trPr>
        <w:tc>
          <w:tcPr>
            <w:tcW w:w="4706" w:type="dxa"/>
            <w:tcBorders>
              <w:top w:val="nil"/>
              <w:left w:val="single" w:sz="4" w:space="0" w:color="auto"/>
              <w:bottom w:val="single" w:sz="4" w:space="0" w:color="auto"/>
              <w:right w:val="single" w:sz="4" w:space="0" w:color="auto"/>
            </w:tcBorders>
            <w:shd w:val="clear" w:color="auto" w:fill="auto"/>
            <w:vAlign w:val="center"/>
            <w:hideMark/>
          </w:tcPr>
          <w:p w14:paraId="4FE4B14B" w14:textId="77777777" w:rsidR="0048677A" w:rsidRPr="00157EF2" w:rsidRDefault="0048677A" w:rsidP="00FD32CE">
            <w:r w:rsidRPr="00157EF2">
              <w:t xml:space="preserve">Leaders in the Gay Community </w:t>
            </w:r>
          </w:p>
        </w:tc>
        <w:tc>
          <w:tcPr>
            <w:tcW w:w="960" w:type="dxa"/>
            <w:tcBorders>
              <w:top w:val="nil"/>
              <w:left w:val="nil"/>
              <w:bottom w:val="single" w:sz="4" w:space="0" w:color="auto"/>
              <w:right w:val="single" w:sz="4" w:space="0" w:color="auto"/>
            </w:tcBorders>
            <w:shd w:val="clear" w:color="auto" w:fill="auto"/>
            <w:vAlign w:val="center"/>
            <w:hideMark/>
          </w:tcPr>
          <w:p w14:paraId="137268F5" w14:textId="77777777" w:rsidR="0048677A" w:rsidRPr="00157EF2" w:rsidRDefault="0048677A" w:rsidP="00FD32CE">
            <w:pPr>
              <w:jc w:val="center"/>
            </w:pPr>
            <w:r w:rsidRPr="00157EF2">
              <w:t>1</w:t>
            </w:r>
          </w:p>
        </w:tc>
        <w:tc>
          <w:tcPr>
            <w:tcW w:w="960" w:type="dxa"/>
            <w:tcBorders>
              <w:top w:val="nil"/>
              <w:left w:val="nil"/>
              <w:bottom w:val="single" w:sz="4" w:space="0" w:color="auto"/>
              <w:right w:val="single" w:sz="4" w:space="0" w:color="auto"/>
            </w:tcBorders>
            <w:shd w:val="clear" w:color="auto" w:fill="auto"/>
            <w:vAlign w:val="center"/>
            <w:hideMark/>
          </w:tcPr>
          <w:p w14:paraId="27314942" w14:textId="77777777" w:rsidR="0048677A" w:rsidRPr="00157EF2" w:rsidRDefault="0048677A" w:rsidP="00FD32CE">
            <w:pPr>
              <w:jc w:val="center"/>
            </w:pPr>
            <w:r w:rsidRPr="00157EF2">
              <w:t>2</w:t>
            </w:r>
          </w:p>
        </w:tc>
        <w:tc>
          <w:tcPr>
            <w:tcW w:w="1442" w:type="dxa"/>
            <w:tcBorders>
              <w:top w:val="nil"/>
              <w:left w:val="nil"/>
              <w:bottom w:val="single" w:sz="4" w:space="0" w:color="auto"/>
              <w:right w:val="single" w:sz="4" w:space="0" w:color="auto"/>
            </w:tcBorders>
            <w:shd w:val="clear" w:color="auto" w:fill="auto"/>
            <w:vAlign w:val="center"/>
            <w:hideMark/>
          </w:tcPr>
          <w:p w14:paraId="28D4430B" w14:textId="77777777" w:rsidR="0048677A" w:rsidRPr="00157EF2" w:rsidRDefault="0048677A" w:rsidP="00FD32CE">
            <w:pPr>
              <w:jc w:val="center"/>
            </w:pPr>
            <w:r w:rsidRPr="00157EF2">
              <w:t>3</w:t>
            </w:r>
          </w:p>
        </w:tc>
      </w:tr>
      <w:tr w:rsidR="0048677A" w:rsidRPr="00157EF2" w14:paraId="52AA9F1E" w14:textId="77777777" w:rsidTr="0040309E">
        <w:trPr>
          <w:trHeight w:val="300"/>
          <w:jc w:val="center"/>
        </w:trPr>
        <w:tc>
          <w:tcPr>
            <w:tcW w:w="4706" w:type="dxa"/>
            <w:tcBorders>
              <w:top w:val="nil"/>
              <w:left w:val="single" w:sz="4" w:space="0" w:color="auto"/>
              <w:bottom w:val="single" w:sz="4" w:space="0" w:color="auto"/>
              <w:right w:val="single" w:sz="4" w:space="0" w:color="auto"/>
            </w:tcBorders>
            <w:shd w:val="clear" w:color="auto" w:fill="auto"/>
            <w:vAlign w:val="center"/>
            <w:hideMark/>
          </w:tcPr>
          <w:p w14:paraId="53938DA5" w14:textId="77777777" w:rsidR="0048677A" w:rsidRPr="00157EF2" w:rsidRDefault="0048677A" w:rsidP="00FD32CE">
            <w:r w:rsidRPr="00157EF2">
              <w:t>MSM</w:t>
            </w:r>
          </w:p>
        </w:tc>
        <w:tc>
          <w:tcPr>
            <w:tcW w:w="960" w:type="dxa"/>
            <w:tcBorders>
              <w:top w:val="nil"/>
              <w:left w:val="nil"/>
              <w:bottom w:val="single" w:sz="4" w:space="0" w:color="auto"/>
              <w:right w:val="single" w:sz="4" w:space="0" w:color="auto"/>
            </w:tcBorders>
            <w:shd w:val="clear" w:color="auto" w:fill="auto"/>
            <w:vAlign w:val="center"/>
            <w:hideMark/>
          </w:tcPr>
          <w:p w14:paraId="5EADC24A" w14:textId="77777777" w:rsidR="0048677A" w:rsidRPr="00157EF2" w:rsidRDefault="0048677A" w:rsidP="00FD32CE">
            <w:pPr>
              <w:jc w:val="center"/>
            </w:pPr>
            <w:r w:rsidRPr="00157EF2">
              <w:t>1</w:t>
            </w:r>
          </w:p>
        </w:tc>
        <w:tc>
          <w:tcPr>
            <w:tcW w:w="960" w:type="dxa"/>
            <w:tcBorders>
              <w:top w:val="nil"/>
              <w:left w:val="nil"/>
              <w:bottom w:val="single" w:sz="4" w:space="0" w:color="auto"/>
              <w:right w:val="single" w:sz="4" w:space="0" w:color="auto"/>
            </w:tcBorders>
            <w:shd w:val="clear" w:color="auto" w:fill="auto"/>
            <w:vAlign w:val="center"/>
            <w:hideMark/>
          </w:tcPr>
          <w:p w14:paraId="4B03786F" w14:textId="77777777" w:rsidR="0048677A" w:rsidRPr="00157EF2" w:rsidRDefault="0048677A" w:rsidP="00FD32CE">
            <w:pPr>
              <w:jc w:val="center"/>
            </w:pPr>
            <w:r w:rsidRPr="00157EF2">
              <w:t>2</w:t>
            </w:r>
          </w:p>
        </w:tc>
        <w:tc>
          <w:tcPr>
            <w:tcW w:w="1442" w:type="dxa"/>
            <w:tcBorders>
              <w:top w:val="nil"/>
              <w:left w:val="nil"/>
              <w:bottom w:val="single" w:sz="4" w:space="0" w:color="auto"/>
              <w:right w:val="single" w:sz="4" w:space="0" w:color="auto"/>
            </w:tcBorders>
            <w:shd w:val="clear" w:color="auto" w:fill="auto"/>
            <w:vAlign w:val="center"/>
            <w:hideMark/>
          </w:tcPr>
          <w:p w14:paraId="5F301536" w14:textId="77777777" w:rsidR="0048677A" w:rsidRPr="00157EF2" w:rsidRDefault="0048677A" w:rsidP="00FD32CE">
            <w:pPr>
              <w:jc w:val="center"/>
            </w:pPr>
            <w:r w:rsidRPr="00157EF2">
              <w:t>3</w:t>
            </w:r>
          </w:p>
        </w:tc>
      </w:tr>
      <w:tr w:rsidR="0048677A" w:rsidRPr="00157EF2" w14:paraId="1168764B" w14:textId="77777777" w:rsidTr="0040309E">
        <w:trPr>
          <w:trHeight w:val="300"/>
          <w:jc w:val="center"/>
        </w:trPr>
        <w:tc>
          <w:tcPr>
            <w:tcW w:w="4706"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76A72E51" w14:textId="77777777" w:rsidR="0048677A" w:rsidRPr="00157EF2" w:rsidRDefault="0048677A" w:rsidP="00FD32CE">
            <w:r w:rsidRPr="00157EF2">
              <w:t>Sub-total</w:t>
            </w:r>
          </w:p>
        </w:tc>
        <w:tc>
          <w:tcPr>
            <w:tcW w:w="960" w:type="dxa"/>
            <w:tcBorders>
              <w:top w:val="single" w:sz="4" w:space="0" w:color="auto"/>
              <w:left w:val="nil"/>
              <w:bottom w:val="double" w:sz="4" w:space="0" w:color="auto"/>
              <w:right w:val="single" w:sz="4" w:space="0" w:color="auto"/>
            </w:tcBorders>
            <w:shd w:val="clear" w:color="auto" w:fill="auto"/>
            <w:vAlign w:val="center"/>
            <w:hideMark/>
          </w:tcPr>
          <w:p w14:paraId="06A8D343" w14:textId="77777777" w:rsidR="0048677A" w:rsidRPr="00157EF2" w:rsidRDefault="0048677A" w:rsidP="00FD32CE">
            <w:pPr>
              <w:jc w:val="center"/>
            </w:pPr>
            <w:r w:rsidRPr="00157EF2">
              <w:t>2</w:t>
            </w:r>
          </w:p>
        </w:tc>
        <w:tc>
          <w:tcPr>
            <w:tcW w:w="960" w:type="dxa"/>
            <w:tcBorders>
              <w:top w:val="single" w:sz="4" w:space="0" w:color="auto"/>
              <w:left w:val="nil"/>
              <w:bottom w:val="double" w:sz="4" w:space="0" w:color="auto"/>
              <w:right w:val="single" w:sz="4" w:space="0" w:color="auto"/>
            </w:tcBorders>
            <w:shd w:val="clear" w:color="auto" w:fill="auto"/>
            <w:vAlign w:val="center"/>
            <w:hideMark/>
          </w:tcPr>
          <w:p w14:paraId="15BD724E" w14:textId="77777777" w:rsidR="0048677A" w:rsidRPr="00157EF2" w:rsidRDefault="0048677A" w:rsidP="00FD32CE">
            <w:pPr>
              <w:jc w:val="center"/>
            </w:pPr>
            <w:r w:rsidRPr="00157EF2">
              <w:t>4</w:t>
            </w:r>
          </w:p>
        </w:tc>
        <w:tc>
          <w:tcPr>
            <w:tcW w:w="1442" w:type="dxa"/>
            <w:tcBorders>
              <w:top w:val="single" w:sz="4" w:space="0" w:color="auto"/>
              <w:left w:val="nil"/>
              <w:bottom w:val="double" w:sz="4" w:space="0" w:color="auto"/>
              <w:right w:val="single" w:sz="4" w:space="0" w:color="auto"/>
            </w:tcBorders>
            <w:shd w:val="clear" w:color="auto" w:fill="auto"/>
            <w:vAlign w:val="center"/>
            <w:hideMark/>
          </w:tcPr>
          <w:p w14:paraId="1FD6E052" w14:textId="77777777" w:rsidR="0048677A" w:rsidRPr="00157EF2" w:rsidRDefault="0048677A" w:rsidP="00FD32CE">
            <w:pPr>
              <w:jc w:val="center"/>
            </w:pPr>
            <w:r w:rsidRPr="00157EF2">
              <w:t>6</w:t>
            </w:r>
          </w:p>
        </w:tc>
      </w:tr>
      <w:tr w:rsidR="0048677A" w:rsidRPr="00157EF2" w14:paraId="2B61F19A" w14:textId="77777777" w:rsidTr="0040309E">
        <w:trPr>
          <w:trHeight w:val="300"/>
          <w:jc w:val="center"/>
        </w:trPr>
        <w:tc>
          <w:tcPr>
            <w:tcW w:w="4706"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6F8EE02D" w14:textId="77777777" w:rsidR="0048677A" w:rsidRPr="00157EF2" w:rsidRDefault="0048677A" w:rsidP="00FD32CE">
            <w:r w:rsidRPr="00157EF2">
              <w:t>Total</w:t>
            </w:r>
          </w:p>
        </w:tc>
        <w:tc>
          <w:tcPr>
            <w:tcW w:w="960" w:type="dxa"/>
            <w:tcBorders>
              <w:top w:val="double" w:sz="4" w:space="0" w:color="auto"/>
              <w:left w:val="nil"/>
              <w:bottom w:val="single" w:sz="4" w:space="0" w:color="auto"/>
              <w:right w:val="single" w:sz="4" w:space="0" w:color="auto"/>
            </w:tcBorders>
            <w:shd w:val="clear" w:color="auto" w:fill="auto"/>
            <w:vAlign w:val="center"/>
            <w:hideMark/>
          </w:tcPr>
          <w:p w14:paraId="573B22BF" w14:textId="77777777" w:rsidR="0048677A" w:rsidRPr="00157EF2" w:rsidRDefault="0048677A" w:rsidP="00FD32CE">
            <w:pPr>
              <w:jc w:val="center"/>
            </w:pPr>
            <w:r w:rsidRPr="00157EF2">
              <w:t>15</w:t>
            </w:r>
          </w:p>
        </w:tc>
        <w:tc>
          <w:tcPr>
            <w:tcW w:w="960" w:type="dxa"/>
            <w:tcBorders>
              <w:top w:val="double" w:sz="4" w:space="0" w:color="auto"/>
              <w:left w:val="nil"/>
              <w:bottom w:val="single" w:sz="4" w:space="0" w:color="auto"/>
              <w:right w:val="single" w:sz="4" w:space="0" w:color="auto"/>
            </w:tcBorders>
            <w:shd w:val="clear" w:color="auto" w:fill="auto"/>
            <w:vAlign w:val="center"/>
            <w:hideMark/>
          </w:tcPr>
          <w:p w14:paraId="12B0D1BB" w14:textId="77777777" w:rsidR="0048677A" w:rsidRPr="00157EF2" w:rsidRDefault="0048677A" w:rsidP="00FD32CE">
            <w:pPr>
              <w:jc w:val="center"/>
            </w:pPr>
            <w:r w:rsidRPr="00157EF2">
              <w:t>15</w:t>
            </w:r>
          </w:p>
        </w:tc>
        <w:tc>
          <w:tcPr>
            <w:tcW w:w="1442" w:type="dxa"/>
            <w:tcBorders>
              <w:top w:val="double" w:sz="4" w:space="0" w:color="auto"/>
              <w:left w:val="nil"/>
              <w:bottom w:val="single" w:sz="4" w:space="0" w:color="auto"/>
              <w:right w:val="single" w:sz="4" w:space="0" w:color="auto"/>
            </w:tcBorders>
            <w:shd w:val="clear" w:color="auto" w:fill="auto"/>
            <w:vAlign w:val="center"/>
            <w:hideMark/>
          </w:tcPr>
          <w:p w14:paraId="246AAC55" w14:textId="77777777" w:rsidR="0048677A" w:rsidRPr="00157EF2" w:rsidRDefault="0048677A" w:rsidP="00FD32CE">
            <w:pPr>
              <w:jc w:val="center"/>
            </w:pPr>
            <w:r w:rsidRPr="00157EF2">
              <w:t>30</w:t>
            </w:r>
          </w:p>
        </w:tc>
      </w:tr>
    </w:tbl>
    <w:p w14:paraId="0AB98AD5" w14:textId="77777777" w:rsidR="00D410B1" w:rsidRPr="00303E21" w:rsidRDefault="00D410B1" w:rsidP="006F5358">
      <w:pPr>
        <w:autoSpaceDE w:val="0"/>
        <w:autoSpaceDN w:val="0"/>
        <w:adjustRightInd w:val="0"/>
        <w:contextualSpacing/>
        <w:rPr>
          <w:bCs/>
        </w:rPr>
      </w:pPr>
    </w:p>
    <w:p w14:paraId="0B0FCDAC" w14:textId="1669DE8B" w:rsidR="006F5358" w:rsidRPr="00303E21" w:rsidRDefault="006F5358" w:rsidP="009D1AAE">
      <w:pPr>
        <w:pStyle w:val="Heading1"/>
        <w:spacing w:before="0" w:after="0"/>
        <w:rPr>
          <w:rFonts w:ascii="Times New Roman" w:hAnsi="Times New Roman" w:cs="Times New Roman"/>
          <w:iCs/>
          <w:sz w:val="28"/>
          <w:szCs w:val="28"/>
        </w:rPr>
      </w:pPr>
      <w:bookmarkStart w:id="8" w:name="_Toc410297104"/>
      <w:bookmarkStart w:id="9" w:name="_Toc295894621"/>
      <w:bookmarkStart w:id="10" w:name="_Toc306891590"/>
      <w:bookmarkStart w:id="11" w:name="_Toc235958557"/>
      <w:r w:rsidRPr="00303E21">
        <w:rPr>
          <w:rFonts w:ascii="Times New Roman" w:hAnsi="Times New Roman" w:cs="Times New Roman"/>
          <w:iCs/>
          <w:sz w:val="28"/>
          <w:szCs w:val="28"/>
        </w:rPr>
        <w:t>2.</w:t>
      </w:r>
      <w:r w:rsidRPr="00303E21">
        <w:rPr>
          <w:rFonts w:ascii="Times New Roman" w:hAnsi="Times New Roman" w:cs="Times New Roman"/>
          <w:iCs/>
          <w:sz w:val="28"/>
          <w:szCs w:val="28"/>
        </w:rPr>
        <w:tab/>
      </w:r>
      <w:r w:rsidR="00303E21" w:rsidRPr="00303E21">
        <w:rPr>
          <w:rFonts w:ascii="Times New Roman" w:hAnsi="Times New Roman" w:cs="Times New Roman"/>
          <w:iCs/>
          <w:sz w:val="28"/>
          <w:szCs w:val="28"/>
        </w:rPr>
        <w:t xml:space="preserve">Procedures </w:t>
      </w:r>
      <w:r w:rsidR="00303E21">
        <w:rPr>
          <w:rFonts w:ascii="Times New Roman" w:hAnsi="Times New Roman" w:cs="Times New Roman"/>
          <w:iCs/>
          <w:sz w:val="28"/>
          <w:szCs w:val="28"/>
        </w:rPr>
        <w:t xml:space="preserve">for the </w:t>
      </w:r>
      <w:r w:rsidR="00303E21" w:rsidRPr="00303E21">
        <w:rPr>
          <w:rFonts w:ascii="Times New Roman" w:hAnsi="Times New Roman" w:cs="Times New Roman"/>
          <w:iCs/>
          <w:sz w:val="28"/>
          <w:szCs w:val="28"/>
        </w:rPr>
        <w:t xml:space="preserve">Collection </w:t>
      </w:r>
      <w:r w:rsidR="00303E21">
        <w:rPr>
          <w:rFonts w:ascii="Times New Roman" w:hAnsi="Times New Roman" w:cs="Times New Roman"/>
          <w:iCs/>
          <w:sz w:val="28"/>
          <w:szCs w:val="28"/>
        </w:rPr>
        <w:t xml:space="preserve">of </w:t>
      </w:r>
      <w:r w:rsidRPr="00303E21">
        <w:rPr>
          <w:rFonts w:ascii="Times New Roman" w:hAnsi="Times New Roman" w:cs="Times New Roman"/>
          <w:iCs/>
          <w:sz w:val="28"/>
          <w:szCs w:val="28"/>
        </w:rPr>
        <w:t>Information</w:t>
      </w:r>
      <w:bookmarkEnd w:id="8"/>
      <w:r w:rsidRPr="00303E21">
        <w:rPr>
          <w:rFonts w:ascii="Times New Roman" w:hAnsi="Times New Roman" w:cs="Times New Roman"/>
          <w:iCs/>
          <w:sz w:val="28"/>
          <w:szCs w:val="28"/>
        </w:rPr>
        <w:t xml:space="preserve"> </w:t>
      </w:r>
      <w:bookmarkEnd w:id="9"/>
      <w:bookmarkEnd w:id="10"/>
    </w:p>
    <w:p w14:paraId="7851FB7D" w14:textId="77777777" w:rsidR="00A9575F" w:rsidRPr="00303E21" w:rsidRDefault="00A9575F" w:rsidP="00682AC1">
      <w:pPr>
        <w:widowControl w:val="0"/>
        <w:autoSpaceDE w:val="0"/>
        <w:autoSpaceDN w:val="0"/>
        <w:adjustRightInd w:val="0"/>
      </w:pPr>
      <w:bookmarkStart w:id="12" w:name="_Toc295894622"/>
      <w:bookmarkEnd w:id="11"/>
    </w:p>
    <w:p w14:paraId="34C842B3" w14:textId="60D3A3FF" w:rsidR="00C915F9" w:rsidRDefault="00C54D39" w:rsidP="00157EF2">
      <w:pPr>
        <w:rPr>
          <w:rFonts w:eastAsia="MS Mincho"/>
        </w:rPr>
      </w:pPr>
      <w:r w:rsidRPr="00C915F9">
        <w:rPr>
          <w:rFonts w:eastAsia="MS Mincho"/>
          <w:lang w:eastAsia="x-none"/>
        </w:rPr>
        <w:t xml:space="preserve">This project will </w:t>
      </w:r>
      <w:r w:rsidR="00163FCC" w:rsidRPr="00C915F9">
        <w:rPr>
          <w:rFonts w:eastAsia="MS Mincho"/>
          <w:lang w:eastAsia="x-none"/>
        </w:rPr>
        <w:t xml:space="preserve">use </w:t>
      </w:r>
      <w:r w:rsidRPr="00C915F9">
        <w:rPr>
          <w:rFonts w:eastAsia="MS Mincho"/>
          <w:lang w:eastAsia="x-none"/>
        </w:rPr>
        <w:t xml:space="preserve">qualitative data collection methods.  </w:t>
      </w:r>
      <w:r w:rsidR="00C915F9" w:rsidRPr="00157EF2">
        <w:rPr>
          <w:rFonts w:eastAsia="MS Mincho"/>
        </w:rPr>
        <w:t xml:space="preserve">For all data sources, Atlas will conduct the site visits in Philadelphia, PA.  Data will be collected using encrypted and password-protected laptops, </w:t>
      </w:r>
      <w:r w:rsidR="00C915F9" w:rsidRPr="00311699">
        <w:rPr>
          <w:rFonts w:eastAsia="MS Mincho"/>
        </w:rPr>
        <w:t xml:space="preserve">and </w:t>
      </w:r>
      <w:r w:rsidR="00C915F9" w:rsidRPr="00157EF2">
        <w:rPr>
          <w:rFonts w:eastAsia="MS Mincho"/>
        </w:rPr>
        <w:t xml:space="preserve">audio-recorders that will not be connected to a server or the Internet.  Atlas and Abt </w:t>
      </w:r>
      <w:r w:rsidR="006845BF">
        <w:rPr>
          <w:rFonts w:eastAsia="MS Mincho"/>
        </w:rPr>
        <w:t xml:space="preserve">Associates </w:t>
      </w:r>
      <w:r w:rsidR="00C915F9" w:rsidRPr="00157EF2">
        <w:rPr>
          <w:rFonts w:eastAsia="MS Mincho"/>
        </w:rPr>
        <w:t xml:space="preserve">staff will transport the data collection equipment back to their office location following the site visit.  Data will be transferred via encrypted flash drives. </w:t>
      </w:r>
    </w:p>
    <w:p w14:paraId="3013F29E" w14:textId="3F298A39" w:rsidR="00C915F9" w:rsidRPr="00157EF2" w:rsidRDefault="00C915F9" w:rsidP="00157EF2">
      <w:pPr>
        <w:rPr>
          <w:rFonts w:eastAsia="MS Mincho"/>
        </w:rPr>
      </w:pPr>
      <w:r w:rsidRPr="00157EF2">
        <w:rPr>
          <w:rFonts w:eastAsia="MS Mincho"/>
        </w:rPr>
        <w:t xml:space="preserve">Key Participant interview data will be collected by Atlas and Abt using the Key Participant Interview Guide in </w:t>
      </w:r>
      <w:r w:rsidR="00FF5944" w:rsidRPr="00C55413">
        <w:rPr>
          <w:rFonts w:eastAsia="MS Mincho"/>
          <w:b/>
        </w:rPr>
        <w:t xml:space="preserve">Attachment </w:t>
      </w:r>
      <w:r w:rsidR="00912D31">
        <w:rPr>
          <w:rFonts w:eastAsia="MS Mincho"/>
          <w:b/>
        </w:rPr>
        <w:t>2a-2c</w:t>
      </w:r>
      <w:r w:rsidRPr="00157EF2">
        <w:rPr>
          <w:rFonts w:eastAsia="MS Mincho"/>
        </w:rPr>
        <w:t>.  One hour interviews will be conducted with each Key Participant in a private setting (e.g. participant’s office</w:t>
      </w:r>
      <w:r w:rsidR="00912D31">
        <w:rPr>
          <w:rFonts w:eastAsia="MS Mincho"/>
        </w:rPr>
        <w:t xml:space="preserve"> in the Philadelphia Department of Public Health</w:t>
      </w:r>
      <w:r w:rsidRPr="00157EF2">
        <w:rPr>
          <w:rFonts w:eastAsia="MS Mincho"/>
        </w:rPr>
        <w:t>).  All interview data will be recorded by Atlas and Abt</w:t>
      </w:r>
      <w:r w:rsidRPr="00157EF2" w:rsidDel="00806C95">
        <w:rPr>
          <w:rFonts w:eastAsia="MS Mincho"/>
        </w:rPr>
        <w:t xml:space="preserve"> </w:t>
      </w:r>
      <w:r w:rsidRPr="00157EF2">
        <w:rPr>
          <w:rFonts w:eastAsia="MS Mincho"/>
        </w:rPr>
        <w:t xml:space="preserve">using an encrypted digital audio-recorder (not video-tape) with the consent of interview participants.  Upon completion of the site visit, a member from the Atlas team (both Atlas Research and Abt) will upload interview recordings on password protected/encrypted non-network laptops.  Notes will also be taken using encrypted laptops in MS Word.  Participants will be reminded by the interviewer not to use full names or identifying information during the discussion. Atlas will perform the transcription of all audio-recordings.  Any reference to full name or other identifying information that arises unintentionally during the discussion will be redacted from the transcripts by Atlas, and reviewed </w:t>
      </w:r>
      <w:r w:rsidRPr="00157EF2">
        <w:rPr>
          <w:rFonts w:eastAsia="MS Mincho"/>
        </w:rPr>
        <w:lastRenderedPageBreak/>
        <w:t xml:space="preserve">for quality assurance by Abt staff.  All qualitative analyses will be conducted by Atlas and Abt using the redacted interview data on NVivo 10 (stand-alone version).  All transcripts and NVivo datasets will be stored on encrypted and password-protected laptops that will not be connected to a server or the internet. At the end of the contract, redacted interview data and coded NVivo dataset will be delivered to CDC via an encrypted flash drive, and Atlas and Abt will destroy the interview recordings. </w:t>
      </w:r>
    </w:p>
    <w:p w14:paraId="2FFAD0CA" w14:textId="77777777" w:rsidR="00173E23" w:rsidRPr="00303E21" w:rsidRDefault="00173E23" w:rsidP="00B86A95">
      <w:pPr>
        <w:pStyle w:val="Heading2"/>
        <w:spacing w:before="0" w:after="0"/>
        <w:rPr>
          <w:rFonts w:ascii="Times New Roman" w:hAnsi="Times New Roman" w:cs="Times New Roman"/>
          <w:i w:val="0"/>
          <w:sz w:val="24"/>
          <w:szCs w:val="24"/>
        </w:rPr>
      </w:pPr>
    </w:p>
    <w:p w14:paraId="25EE936D" w14:textId="798DBDC9" w:rsidR="00682AC1" w:rsidRPr="00303E21" w:rsidRDefault="00682AC1" w:rsidP="00B86A95">
      <w:pPr>
        <w:pStyle w:val="Heading2"/>
        <w:spacing w:before="0" w:after="0"/>
        <w:rPr>
          <w:rFonts w:ascii="Times New Roman" w:hAnsi="Times New Roman" w:cs="Times New Roman"/>
          <w:i w:val="0"/>
          <w:sz w:val="24"/>
          <w:szCs w:val="24"/>
        </w:rPr>
      </w:pPr>
      <w:bookmarkStart w:id="13" w:name="_Toc410297105"/>
      <w:r w:rsidRPr="00303E21">
        <w:rPr>
          <w:rFonts w:ascii="Times New Roman" w:hAnsi="Times New Roman" w:cs="Times New Roman"/>
          <w:i w:val="0"/>
          <w:sz w:val="24"/>
          <w:szCs w:val="24"/>
        </w:rPr>
        <w:t>Eligibility</w:t>
      </w:r>
      <w:bookmarkEnd w:id="13"/>
    </w:p>
    <w:p w14:paraId="3D72404C" w14:textId="77777777" w:rsidR="002F429D" w:rsidRPr="00303E21" w:rsidRDefault="002F429D" w:rsidP="0078520E">
      <w:pPr>
        <w:widowControl w:val="0"/>
        <w:autoSpaceDE w:val="0"/>
        <w:autoSpaceDN w:val="0"/>
        <w:adjustRightInd w:val="0"/>
        <w:jc w:val="both"/>
        <w:rPr>
          <w:i/>
        </w:rPr>
      </w:pPr>
    </w:p>
    <w:p w14:paraId="5C1E3580" w14:textId="37A87CBB" w:rsidR="00C915F9" w:rsidRPr="00303E21" w:rsidRDefault="00C915F9" w:rsidP="00C915F9">
      <w:pPr>
        <w:widowControl w:val="0"/>
        <w:autoSpaceDE w:val="0"/>
        <w:autoSpaceDN w:val="0"/>
        <w:adjustRightInd w:val="0"/>
        <w:jc w:val="both"/>
      </w:pPr>
      <w:r>
        <w:t xml:space="preserve">Key participants will be selected </w:t>
      </w:r>
      <w:r w:rsidR="00B503AB">
        <w:t xml:space="preserve">as </w:t>
      </w:r>
      <w:r>
        <w:t>eligible for participation if they are identified as belonging in one of the three categories list</w:t>
      </w:r>
      <w:r w:rsidR="00B503AB">
        <w:t>ed</w:t>
      </w:r>
      <w:r>
        <w:t xml:space="preserve"> in Exhibit B1.1</w:t>
      </w:r>
      <w:r w:rsidR="004D31E8">
        <w:t>,</w:t>
      </w:r>
      <w:r>
        <w:t xml:space="preserve"> recommended for inclusion </w:t>
      </w:r>
      <w:r w:rsidR="004D31E8">
        <w:t xml:space="preserve">by the Philadelphia Health Department liaison, and currently residing within the Philadelphia jurisdiction.  In addition, the contracting team </w:t>
      </w:r>
      <w:r w:rsidR="00157EF2">
        <w:t xml:space="preserve">will </w:t>
      </w:r>
      <w:r w:rsidR="00157EF2" w:rsidRPr="00303E21">
        <w:t>include</w:t>
      </w:r>
      <w:r w:rsidRPr="00303E21">
        <w:t xml:space="preserve"> language proficiency as an eligibility criterion in order to conduct the face-to-face interview. Respondents must be able to understand English. </w:t>
      </w:r>
    </w:p>
    <w:p w14:paraId="0DF75DB9" w14:textId="77777777" w:rsidR="00C915F9" w:rsidRPr="00303E21" w:rsidRDefault="00C915F9" w:rsidP="00C915F9">
      <w:pPr>
        <w:widowControl w:val="0"/>
        <w:autoSpaceDE w:val="0"/>
        <w:autoSpaceDN w:val="0"/>
        <w:adjustRightInd w:val="0"/>
        <w:jc w:val="both"/>
      </w:pPr>
    </w:p>
    <w:p w14:paraId="01739AF5" w14:textId="0E306DB7" w:rsidR="00CB178B" w:rsidRPr="00303E21" w:rsidRDefault="00C915F9" w:rsidP="00CB178B">
      <w:pPr>
        <w:tabs>
          <w:tab w:val="left" w:pos="360"/>
        </w:tabs>
        <w:jc w:val="both"/>
        <w:rPr>
          <w:i/>
          <w:u w:val="single"/>
        </w:rPr>
      </w:pPr>
      <w:r w:rsidRPr="00303E21">
        <w:t>Respondents must be over 18 years of age to be eligible for the study; minors will be excluded. Inclusion of minors may lead to mandatory reporting (e.g., relationships between a minor and an adult over 18 years of age), which would in turn require releasing of private information. In order to minimize any scenario in which a respondent’s private information must legally and ethically be released, we have restricted our respondent pool to individuals 18 years of age or older</w:t>
      </w:r>
      <w:r w:rsidR="000241A4">
        <w:t xml:space="preserve">.  </w:t>
      </w:r>
      <w:r w:rsidR="000241A4" w:rsidRPr="000241A4">
        <w:t>Age will be confirmed by asking participants “Are you over 18 years old?” as part of the recruitment and consent process.</w:t>
      </w:r>
    </w:p>
    <w:p w14:paraId="5998FB94" w14:textId="77777777" w:rsidR="00682AC1" w:rsidRPr="00303E21" w:rsidRDefault="00682AC1" w:rsidP="00682AC1">
      <w:pPr>
        <w:widowControl w:val="0"/>
        <w:autoSpaceDE w:val="0"/>
        <w:autoSpaceDN w:val="0"/>
        <w:adjustRightInd w:val="0"/>
      </w:pPr>
    </w:p>
    <w:p w14:paraId="3998A6E1" w14:textId="77777777" w:rsidR="00682AC1" w:rsidRPr="00303E21" w:rsidRDefault="00682AC1" w:rsidP="00682AC1">
      <w:pPr>
        <w:widowControl w:val="0"/>
        <w:autoSpaceDE w:val="0"/>
        <w:autoSpaceDN w:val="0"/>
        <w:adjustRightInd w:val="0"/>
      </w:pPr>
    </w:p>
    <w:p w14:paraId="3046C8F3" w14:textId="774EAE7C" w:rsidR="00682AC1" w:rsidRPr="00303E21" w:rsidRDefault="00682AC1" w:rsidP="00CD6CC8">
      <w:pPr>
        <w:pStyle w:val="Heading2"/>
        <w:spacing w:before="0" w:after="0"/>
        <w:rPr>
          <w:rFonts w:ascii="Times New Roman" w:hAnsi="Times New Roman" w:cs="Times New Roman"/>
          <w:i w:val="0"/>
          <w:sz w:val="24"/>
          <w:szCs w:val="24"/>
        </w:rPr>
      </w:pPr>
      <w:bookmarkStart w:id="14" w:name="_Toc410297106"/>
      <w:r w:rsidRPr="00303E21">
        <w:rPr>
          <w:rFonts w:ascii="Times New Roman" w:hAnsi="Times New Roman" w:cs="Times New Roman"/>
          <w:i w:val="0"/>
          <w:sz w:val="24"/>
          <w:szCs w:val="24"/>
        </w:rPr>
        <w:t>Recruitment of Respondents</w:t>
      </w:r>
      <w:bookmarkEnd w:id="14"/>
    </w:p>
    <w:p w14:paraId="2697E97F" w14:textId="77777777" w:rsidR="00682AC1" w:rsidRPr="00303E21" w:rsidRDefault="00682AC1" w:rsidP="00682AC1">
      <w:pPr>
        <w:widowControl w:val="0"/>
        <w:autoSpaceDE w:val="0"/>
        <w:autoSpaceDN w:val="0"/>
        <w:adjustRightInd w:val="0"/>
        <w:rPr>
          <w:b/>
        </w:rPr>
      </w:pPr>
    </w:p>
    <w:p w14:paraId="124DA281" w14:textId="38BF6108" w:rsidR="004D31E8" w:rsidRPr="00157EF2" w:rsidRDefault="004D31E8" w:rsidP="004D31E8">
      <w:r>
        <w:t>The contracting team</w:t>
      </w:r>
      <w:r w:rsidRPr="00157EF2">
        <w:t xml:space="preserve"> will work with the Philadelphia Department of Public Health (PDPH) to identify the Key Participants. Recruitment will be contacted first by phone followed by email and invited to participate in the study (See </w:t>
      </w:r>
      <w:r w:rsidR="00883CC4" w:rsidRPr="00C55413">
        <w:rPr>
          <w:b/>
        </w:rPr>
        <w:t xml:space="preserve">attachment </w:t>
      </w:r>
      <w:r w:rsidRPr="00C55413">
        <w:rPr>
          <w:b/>
        </w:rPr>
        <w:t>5</w:t>
      </w:r>
      <w:r w:rsidRPr="00157EF2">
        <w:t xml:space="preserve"> for Key Participant recruitment script.).  </w:t>
      </w:r>
    </w:p>
    <w:p w14:paraId="475FE8B5" w14:textId="77777777" w:rsidR="004D31E8" w:rsidRPr="00157EF2" w:rsidRDefault="004D31E8" w:rsidP="004D31E8"/>
    <w:p w14:paraId="456F4A49" w14:textId="71697597" w:rsidR="004D31E8" w:rsidRDefault="004D31E8" w:rsidP="004D31E8">
      <w:r w:rsidRPr="00157EF2">
        <w:t xml:space="preserve">Study procedures will include a semi-structured interview regarding HIV prevention and treatment efforts for MSM and structured response questions.  Atlas and Abt Associates staff will work with each Key Participant to identify a mutually convenient time for the interview.  If a Key Participant is unavailable during the previously scheduled time, </w:t>
      </w:r>
      <w:r w:rsidR="0098110D">
        <w:t>the contracting team</w:t>
      </w:r>
      <w:r w:rsidR="0098110D" w:rsidRPr="00157EF2">
        <w:t xml:space="preserve"> </w:t>
      </w:r>
      <w:r w:rsidRPr="00157EF2">
        <w:t xml:space="preserve">will reschedule at the participant’s convenience.  </w:t>
      </w:r>
      <w:r w:rsidR="0098110D" w:rsidRPr="00157EF2">
        <w:t>Atlas and Abt Associates staff</w:t>
      </w:r>
      <w:r w:rsidRPr="00157EF2">
        <w:t xml:space="preserve"> will accept two cancellations from a Key Participant, before scheduling the interview with another Key Participant with similar background. This process will ensure that Key Participant</w:t>
      </w:r>
      <w:r w:rsidR="00783036">
        <w:t>s</w:t>
      </w:r>
      <w:r w:rsidRPr="00157EF2">
        <w:t xml:space="preserve"> </w:t>
      </w:r>
      <w:r w:rsidR="0098110D">
        <w:t xml:space="preserve">are given </w:t>
      </w:r>
      <w:r w:rsidRPr="00157EF2">
        <w:t xml:space="preserve">a fair opportunity to participate but also that </w:t>
      </w:r>
      <w:r w:rsidR="0098110D" w:rsidRPr="00157EF2">
        <w:t xml:space="preserve">the study </w:t>
      </w:r>
      <w:r w:rsidRPr="00157EF2">
        <w:t>stay</w:t>
      </w:r>
      <w:r w:rsidR="0098110D">
        <w:t>s</w:t>
      </w:r>
      <w:r w:rsidRPr="00157EF2">
        <w:t xml:space="preserve"> on schedule. Semi-structured interviews will be completed at the organization location in a quiet area where others cannot overhear the interview (to maintain privacy) or alternate location if preferred or requested by the Key Participant. </w:t>
      </w:r>
    </w:p>
    <w:p w14:paraId="66E3BB38" w14:textId="77777777" w:rsidR="0098110D" w:rsidRDefault="0098110D" w:rsidP="004D31E8"/>
    <w:p w14:paraId="49924A8E" w14:textId="77777777" w:rsidR="0098110D" w:rsidRPr="00157EF2" w:rsidRDefault="0098110D" w:rsidP="004D31E8"/>
    <w:p w14:paraId="5981A6E3" w14:textId="77777777" w:rsidR="004D31E8" w:rsidRDefault="004D31E8" w:rsidP="004D31E8">
      <w:pPr>
        <w:rPr>
          <w:rFonts w:ascii="Arial" w:hAnsi="Arial" w:cs="Arial"/>
          <w:sz w:val="20"/>
          <w:szCs w:val="20"/>
        </w:rPr>
      </w:pPr>
    </w:p>
    <w:p w14:paraId="32474CB9" w14:textId="77777777" w:rsidR="006845BF" w:rsidRDefault="006845BF" w:rsidP="004D31E8">
      <w:pPr>
        <w:rPr>
          <w:rFonts w:ascii="Arial" w:hAnsi="Arial" w:cs="Arial"/>
          <w:sz w:val="20"/>
          <w:szCs w:val="20"/>
        </w:rPr>
      </w:pPr>
    </w:p>
    <w:p w14:paraId="1B86BBDD" w14:textId="77777777" w:rsidR="00EE4866" w:rsidRDefault="00EE4866" w:rsidP="004D31E8">
      <w:pPr>
        <w:rPr>
          <w:rFonts w:ascii="Arial" w:hAnsi="Arial" w:cs="Arial"/>
          <w:sz w:val="20"/>
          <w:szCs w:val="20"/>
        </w:rPr>
      </w:pPr>
    </w:p>
    <w:p w14:paraId="06D1994D" w14:textId="77777777" w:rsidR="006F5358" w:rsidRPr="00303E21" w:rsidRDefault="006F5358" w:rsidP="006F5358">
      <w:pPr>
        <w:contextualSpacing/>
        <w:jc w:val="both"/>
      </w:pPr>
    </w:p>
    <w:p w14:paraId="31F2E196" w14:textId="257DD69C" w:rsidR="006F5358" w:rsidRPr="00303E21" w:rsidRDefault="006F5358" w:rsidP="00AA51B4">
      <w:pPr>
        <w:pStyle w:val="Heading1"/>
        <w:spacing w:before="0" w:after="0"/>
        <w:rPr>
          <w:rFonts w:ascii="Times New Roman" w:hAnsi="Times New Roman" w:cs="Times New Roman"/>
          <w:iCs/>
          <w:sz w:val="28"/>
          <w:szCs w:val="28"/>
        </w:rPr>
      </w:pPr>
      <w:bookmarkStart w:id="15" w:name="_Toc306891591"/>
      <w:bookmarkStart w:id="16" w:name="_Toc410297107"/>
      <w:r w:rsidRPr="00303E21">
        <w:rPr>
          <w:rFonts w:ascii="Times New Roman" w:hAnsi="Times New Roman" w:cs="Times New Roman"/>
          <w:iCs/>
          <w:sz w:val="28"/>
          <w:szCs w:val="28"/>
        </w:rPr>
        <w:lastRenderedPageBreak/>
        <w:t xml:space="preserve">3. </w:t>
      </w:r>
      <w:r w:rsidRPr="00303E21">
        <w:rPr>
          <w:rFonts w:ascii="Times New Roman" w:hAnsi="Times New Roman" w:cs="Times New Roman"/>
          <w:iCs/>
          <w:sz w:val="28"/>
          <w:szCs w:val="28"/>
        </w:rPr>
        <w:tab/>
        <w:t>Methods to Maximize Response Rates</w:t>
      </w:r>
      <w:bookmarkEnd w:id="12"/>
      <w:bookmarkEnd w:id="15"/>
      <w:r w:rsidR="00310291">
        <w:rPr>
          <w:rFonts w:ascii="Times New Roman" w:hAnsi="Times New Roman" w:cs="Times New Roman"/>
          <w:iCs/>
          <w:sz w:val="28"/>
          <w:szCs w:val="28"/>
        </w:rPr>
        <w:t xml:space="preserve"> and Deal with No Response</w:t>
      </w:r>
      <w:bookmarkEnd w:id="16"/>
    </w:p>
    <w:p w14:paraId="4DC4FD53" w14:textId="77777777" w:rsidR="006F5358" w:rsidRPr="00303E21" w:rsidRDefault="006F5358" w:rsidP="006F5358">
      <w:pPr>
        <w:autoSpaceDE w:val="0"/>
        <w:autoSpaceDN w:val="0"/>
        <w:adjustRightInd w:val="0"/>
        <w:contextualSpacing/>
        <w:rPr>
          <w:b/>
          <w:bCs/>
        </w:rPr>
      </w:pPr>
    </w:p>
    <w:p w14:paraId="19373E15" w14:textId="77777777" w:rsidR="005943C4" w:rsidRPr="00303E21" w:rsidRDefault="00E65382" w:rsidP="00997ADD">
      <w:pPr>
        <w:autoSpaceDE w:val="0"/>
        <w:autoSpaceDN w:val="0"/>
        <w:adjustRightInd w:val="0"/>
        <w:contextualSpacing/>
        <w:jc w:val="both"/>
        <w:rPr>
          <w:bCs/>
        </w:rPr>
      </w:pPr>
      <w:r w:rsidRPr="00303E21">
        <w:rPr>
          <w:bCs/>
        </w:rPr>
        <w:t>We will use t</w:t>
      </w:r>
      <w:r w:rsidR="005943C4" w:rsidRPr="00303E21">
        <w:rPr>
          <w:bCs/>
        </w:rPr>
        <w:t>he following procedures to maximize cooperation and to achieve the desired high response rate:</w:t>
      </w:r>
    </w:p>
    <w:p w14:paraId="775578CD" w14:textId="77777777" w:rsidR="005943C4" w:rsidRPr="00303E21" w:rsidRDefault="005943C4" w:rsidP="00997ADD">
      <w:pPr>
        <w:autoSpaceDE w:val="0"/>
        <w:autoSpaceDN w:val="0"/>
        <w:adjustRightInd w:val="0"/>
        <w:contextualSpacing/>
        <w:jc w:val="both"/>
        <w:rPr>
          <w:bCs/>
        </w:rPr>
      </w:pPr>
    </w:p>
    <w:p w14:paraId="322DAC71" w14:textId="10D2A9EC" w:rsidR="00DB7F1B" w:rsidRPr="00303E21" w:rsidRDefault="004D31E8" w:rsidP="00997ADD">
      <w:pPr>
        <w:numPr>
          <w:ilvl w:val="0"/>
          <w:numId w:val="11"/>
        </w:numPr>
        <w:autoSpaceDE w:val="0"/>
        <w:autoSpaceDN w:val="0"/>
        <w:adjustRightInd w:val="0"/>
        <w:contextualSpacing/>
        <w:jc w:val="both"/>
        <w:rPr>
          <w:bCs/>
        </w:rPr>
      </w:pPr>
      <w:r>
        <w:rPr>
          <w:bCs/>
        </w:rPr>
        <w:t>Key participants</w:t>
      </w:r>
      <w:r w:rsidR="00DB7F1B" w:rsidRPr="00303E21">
        <w:rPr>
          <w:bCs/>
        </w:rPr>
        <w:t xml:space="preserve"> will be identified through past and </w:t>
      </w:r>
      <w:r w:rsidR="003C16A6" w:rsidRPr="00303E21">
        <w:rPr>
          <w:bCs/>
        </w:rPr>
        <w:t>existing</w:t>
      </w:r>
      <w:r w:rsidR="00DB7F1B" w:rsidRPr="00303E21">
        <w:rPr>
          <w:bCs/>
        </w:rPr>
        <w:t xml:space="preserve"> partnerships with </w:t>
      </w:r>
      <w:r w:rsidRPr="004D31E8">
        <w:rPr>
          <w:bCs/>
        </w:rPr>
        <w:t>Philadelphia Department of Public Health (PDPH)</w:t>
      </w:r>
      <w:r w:rsidR="00DB7F1B" w:rsidRPr="00303E21">
        <w:rPr>
          <w:bCs/>
        </w:rPr>
        <w:t xml:space="preserve">. </w:t>
      </w:r>
    </w:p>
    <w:p w14:paraId="25085420" w14:textId="5E4B1406" w:rsidR="005943C4" w:rsidRPr="00303E21" w:rsidRDefault="005943C4" w:rsidP="00997ADD">
      <w:pPr>
        <w:numPr>
          <w:ilvl w:val="0"/>
          <w:numId w:val="11"/>
        </w:numPr>
        <w:autoSpaceDE w:val="0"/>
        <w:autoSpaceDN w:val="0"/>
        <w:adjustRightInd w:val="0"/>
        <w:contextualSpacing/>
        <w:jc w:val="both"/>
        <w:rPr>
          <w:bCs/>
        </w:rPr>
      </w:pPr>
      <w:r w:rsidRPr="00303E21">
        <w:rPr>
          <w:bCs/>
        </w:rPr>
        <w:t>A token of appreciation</w:t>
      </w:r>
      <w:r w:rsidR="00BE265D" w:rsidRPr="00303E21">
        <w:rPr>
          <w:bCs/>
        </w:rPr>
        <w:t xml:space="preserve"> of </w:t>
      </w:r>
      <w:r w:rsidR="00FE223E">
        <w:rPr>
          <w:bCs/>
        </w:rPr>
        <w:t xml:space="preserve">a </w:t>
      </w:r>
      <w:r w:rsidR="00BE265D" w:rsidRPr="00303E21">
        <w:rPr>
          <w:bCs/>
        </w:rPr>
        <w:t>$40</w:t>
      </w:r>
      <w:r w:rsidRPr="00303E21">
        <w:rPr>
          <w:bCs/>
        </w:rPr>
        <w:t xml:space="preserve"> gift card, will be provi</w:t>
      </w:r>
      <w:bookmarkStart w:id="17" w:name="_GoBack"/>
      <w:bookmarkEnd w:id="17"/>
      <w:r w:rsidRPr="00303E21">
        <w:rPr>
          <w:bCs/>
        </w:rPr>
        <w:t xml:space="preserve">ded to </w:t>
      </w:r>
      <w:r w:rsidR="004D31E8">
        <w:rPr>
          <w:bCs/>
        </w:rPr>
        <w:t xml:space="preserve">key participants </w:t>
      </w:r>
      <w:r w:rsidRPr="00303E21">
        <w:rPr>
          <w:bCs/>
        </w:rPr>
        <w:t>upon completion of the interview.</w:t>
      </w:r>
      <w:r w:rsidR="0078520E" w:rsidRPr="00303E21">
        <w:rPr>
          <w:bCs/>
        </w:rPr>
        <w:t xml:space="preserve"> </w:t>
      </w:r>
    </w:p>
    <w:p w14:paraId="2EF1CA33" w14:textId="1EE05DB2" w:rsidR="005943C4" w:rsidRPr="00303E21" w:rsidRDefault="005943C4" w:rsidP="006F5358">
      <w:pPr>
        <w:numPr>
          <w:ilvl w:val="0"/>
          <w:numId w:val="11"/>
        </w:numPr>
        <w:autoSpaceDE w:val="0"/>
        <w:autoSpaceDN w:val="0"/>
        <w:adjustRightInd w:val="0"/>
        <w:contextualSpacing/>
        <w:jc w:val="both"/>
        <w:rPr>
          <w:b/>
          <w:bCs/>
        </w:rPr>
      </w:pPr>
      <w:r w:rsidRPr="00303E21">
        <w:rPr>
          <w:bCs/>
        </w:rPr>
        <w:t xml:space="preserve">All recruitment materials indicate the voluntary nature of the study and high participation is due in part to interest in the study and participation from </w:t>
      </w:r>
      <w:r w:rsidR="004D31E8">
        <w:rPr>
          <w:bCs/>
        </w:rPr>
        <w:t>key participants.</w:t>
      </w:r>
      <w:r w:rsidR="0078520E" w:rsidRPr="00303E21">
        <w:rPr>
          <w:bCs/>
        </w:rPr>
        <w:t xml:space="preserve"> </w:t>
      </w:r>
    </w:p>
    <w:p w14:paraId="7A058AAC" w14:textId="77777777" w:rsidR="0099371D" w:rsidRPr="00303E21" w:rsidRDefault="0099371D" w:rsidP="0099371D">
      <w:pPr>
        <w:autoSpaceDE w:val="0"/>
        <w:autoSpaceDN w:val="0"/>
        <w:adjustRightInd w:val="0"/>
        <w:ind w:left="720"/>
        <w:contextualSpacing/>
        <w:jc w:val="both"/>
        <w:rPr>
          <w:b/>
          <w:bCs/>
        </w:rPr>
      </w:pPr>
    </w:p>
    <w:p w14:paraId="0CE6CA31" w14:textId="679EE568" w:rsidR="006F5358" w:rsidRPr="00303E21" w:rsidRDefault="006F5358" w:rsidP="00AA51B4">
      <w:pPr>
        <w:pStyle w:val="Heading1"/>
        <w:spacing w:before="0" w:after="0"/>
        <w:rPr>
          <w:rFonts w:ascii="Times New Roman" w:hAnsi="Times New Roman" w:cs="Times New Roman"/>
          <w:iCs/>
          <w:sz w:val="28"/>
          <w:szCs w:val="28"/>
        </w:rPr>
      </w:pPr>
      <w:bookmarkStart w:id="18" w:name="_Toc295894623"/>
      <w:bookmarkStart w:id="19" w:name="_Toc306891592"/>
      <w:bookmarkStart w:id="20" w:name="_Toc410297108"/>
      <w:bookmarkStart w:id="21" w:name="_Toc235958564"/>
      <w:r w:rsidRPr="00303E21">
        <w:rPr>
          <w:rFonts w:ascii="Times New Roman" w:hAnsi="Times New Roman" w:cs="Times New Roman"/>
          <w:iCs/>
          <w:sz w:val="28"/>
          <w:szCs w:val="28"/>
        </w:rPr>
        <w:t>4.</w:t>
      </w:r>
      <w:r w:rsidRPr="00303E21">
        <w:rPr>
          <w:rFonts w:ascii="Times New Roman" w:hAnsi="Times New Roman" w:cs="Times New Roman"/>
          <w:iCs/>
          <w:sz w:val="28"/>
          <w:szCs w:val="28"/>
        </w:rPr>
        <w:tab/>
        <w:t>Tests of Procedures</w:t>
      </w:r>
      <w:bookmarkEnd w:id="18"/>
      <w:bookmarkEnd w:id="19"/>
      <w:r w:rsidR="00310291">
        <w:rPr>
          <w:rFonts w:ascii="Times New Roman" w:hAnsi="Times New Roman" w:cs="Times New Roman"/>
          <w:iCs/>
          <w:sz w:val="28"/>
          <w:szCs w:val="28"/>
        </w:rPr>
        <w:t xml:space="preserve"> or Methods to Be Undertaken</w:t>
      </w:r>
      <w:bookmarkEnd w:id="20"/>
    </w:p>
    <w:p w14:paraId="0CE76E1B" w14:textId="77777777" w:rsidR="00DA35C4" w:rsidRPr="00303E21" w:rsidRDefault="00DA35C4" w:rsidP="005943C4">
      <w:pPr>
        <w:autoSpaceDE w:val="0"/>
        <w:autoSpaceDN w:val="0"/>
        <w:adjustRightInd w:val="0"/>
        <w:ind w:left="720"/>
      </w:pPr>
    </w:p>
    <w:p w14:paraId="2577AD0B" w14:textId="06718563" w:rsidR="00E65382" w:rsidRPr="00303E21" w:rsidRDefault="004D31E8" w:rsidP="00E65382">
      <w:pPr>
        <w:autoSpaceDE w:val="0"/>
        <w:autoSpaceDN w:val="0"/>
        <w:adjustRightInd w:val="0"/>
        <w:jc w:val="both"/>
      </w:pPr>
      <w:r>
        <w:t>The contracting team</w:t>
      </w:r>
      <w:r w:rsidR="00DA35C4" w:rsidRPr="00303E21">
        <w:t xml:space="preserve"> includes experts </w:t>
      </w:r>
      <w:r w:rsidR="00611453" w:rsidRPr="00303E21">
        <w:t xml:space="preserve">with the </w:t>
      </w:r>
      <w:r>
        <w:t xml:space="preserve">Health departments, CBOs, and </w:t>
      </w:r>
      <w:r w:rsidR="0098110D">
        <w:t xml:space="preserve">MSM </w:t>
      </w:r>
      <w:r w:rsidR="0098110D" w:rsidRPr="00303E21">
        <w:t>populations</w:t>
      </w:r>
      <w:r w:rsidR="00611453" w:rsidRPr="00303E21">
        <w:t xml:space="preserve"> and </w:t>
      </w:r>
      <w:r w:rsidR="00DA35C4" w:rsidRPr="00303E21">
        <w:t>qualitative research</w:t>
      </w:r>
      <w:r w:rsidR="00611453" w:rsidRPr="00303E21">
        <w:t>, including screening and interview development and testing.</w:t>
      </w:r>
      <w:r w:rsidR="0078520E" w:rsidRPr="00303E21">
        <w:t xml:space="preserve"> </w:t>
      </w:r>
      <w:r>
        <w:t xml:space="preserve">The contracting team </w:t>
      </w:r>
      <w:r w:rsidR="00E65382" w:rsidRPr="00303E21">
        <w:t>will conduct p</w:t>
      </w:r>
      <w:r w:rsidR="00611453" w:rsidRPr="00303E21">
        <w:t>retesting of the screening tool and interviews</w:t>
      </w:r>
      <w:r w:rsidR="00E65382" w:rsidRPr="00303E21">
        <w:t xml:space="preserve"> on three to five qualified respondents</w:t>
      </w:r>
      <w:r w:rsidR="00611453" w:rsidRPr="00303E21">
        <w:t xml:space="preserve"> to assess question wording, skip patterns, question sensitivity, and overall flow of the interview and screener</w:t>
      </w:r>
      <w:r w:rsidR="00E65382" w:rsidRPr="00303E21">
        <w:t>.</w:t>
      </w:r>
    </w:p>
    <w:p w14:paraId="7B36516A" w14:textId="77777777" w:rsidR="00DA35C4" w:rsidRPr="00303E21" w:rsidRDefault="00DA35C4" w:rsidP="00E65382">
      <w:pPr>
        <w:autoSpaceDE w:val="0"/>
        <w:autoSpaceDN w:val="0"/>
        <w:adjustRightInd w:val="0"/>
      </w:pPr>
    </w:p>
    <w:p w14:paraId="6DDE4837" w14:textId="2D4C71CD" w:rsidR="00215E06" w:rsidRPr="00303E21" w:rsidRDefault="006F5358" w:rsidP="00AA51B4">
      <w:pPr>
        <w:pStyle w:val="Heading1"/>
        <w:spacing w:before="0" w:after="0"/>
        <w:rPr>
          <w:rFonts w:ascii="Times New Roman" w:hAnsi="Times New Roman" w:cs="Times New Roman"/>
          <w:szCs w:val="22"/>
        </w:rPr>
      </w:pPr>
      <w:bookmarkStart w:id="22" w:name="_Toc295894624"/>
      <w:bookmarkStart w:id="23" w:name="_Toc306891593"/>
      <w:bookmarkStart w:id="24" w:name="_Toc410297109"/>
      <w:bookmarkStart w:id="25" w:name="_Toc235958565"/>
      <w:bookmarkEnd w:id="21"/>
      <w:r w:rsidRPr="00303E21">
        <w:rPr>
          <w:rFonts w:ascii="Times New Roman" w:hAnsi="Times New Roman" w:cs="Times New Roman"/>
          <w:iCs/>
          <w:sz w:val="28"/>
          <w:szCs w:val="28"/>
        </w:rPr>
        <w:t>5.</w:t>
      </w:r>
      <w:r w:rsidRPr="00303E21">
        <w:rPr>
          <w:rFonts w:ascii="Times New Roman" w:hAnsi="Times New Roman" w:cs="Times New Roman"/>
          <w:iCs/>
          <w:sz w:val="28"/>
          <w:szCs w:val="28"/>
        </w:rPr>
        <w:tab/>
      </w:r>
      <w:r w:rsidR="00310291">
        <w:rPr>
          <w:rFonts w:ascii="Times New Roman" w:hAnsi="Times New Roman" w:cs="Times New Roman"/>
          <w:iCs/>
          <w:sz w:val="28"/>
          <w:szCs w:val="28"/>
        </w:rPr>
        <w:t xml:space="preserve">Individuals Consulted on </w:t>
      </w:r>
      <w:r w:rsidRPr="00303E21">
        <w:rPr>
          <w:rFonts w:ascii="Times New Roman" w:hAnsi="Times New Roman" w:cs="Times New Roman"/>
          <w:iCs/>
          <w:sz w:val="28"/>
          <w:szCs w:val="28"/>
        </w:rPr>
        <w:t xml:space="preserve">Statistical </w:t>
      </w:r>
      <w:bookmarkEnd w:id="22"/>
      <w:bookmarkEnd w:id="23"/>
      <w:r w:rsidR="00310291">
        <w:rPr>
          <w:rFonts w:ascii="Times New Roman" w:hAnsi="Times New Roman" w:cs="Times New Roman"/>
          <w:iCs/>
          <w:sz w:val="28"/>
          <w:szCs w:val="28"/>
        </w:rPr>
        <w:t>Aspects and Individuals Collecting and/or Analyzing Data</w:t>
      </w:r>
      <w:bookmarkEnd w:id="24"/>
      <w:r w:rsidR="00215E06" w:rsidRPr="00303E21">
        <w:rPr>
          <w:rFonts w:ascii="Times New Roman" w:hAnsi="Times New Roman" w:cs="Times New Roman"/>
          <w:szCs w:val="22"/>
        </w:rPr>
        <w:t xml:space="preserve"> </w:t>
      </w:r>
    </w:p>
    <w:p w14:paraId="038557CD" w14:textId="77777777" w:rsidR="00CC50AB" w:rsidRPr="00303E21" w:rsidRDefault="00CC50AB" w:rsidP="00997ADD">
      <w:pPr>
        <w:rPr>
          <w:iCs/>
        </w:rPr>
      </w:pPr>
    </w:p>
    <w:p w14:paraId="2D8603A7" w14:textId="1193AA51" w:rsidR="00215E06" w:rsidRPr="00303E21" w:rsidRDefault="00215E06" w:rsidP="006F5358">
      <w:pPr>
        <w:jc w:val="both"/>
        <w:rPr>
          <w:szCs w:val="22"/>
        </w:rPr>
      </w:pPr>
      <w:r w:rsidRPr="00303E21">
        <w:rPr>
          <w:szCs w:val="22"/>
        </w:rPr>
        <w:t xml:space="preserve">Exhibit </w:t>
      </w:r>
      <w:r w:rsidR="004318B2" w:rsidRPr="00303E21">
        <w:rPr>
          <w:szCs w:val="22"/>
        </w:rPr>
        <w:t>B</w:t>
      </w:r>
      <w:r w:rsidRPr="00303E21">
        <w:rPr>
          <w:szCs w:val="22"/>
        </w:rPr>
        <w:t>5.</w:t>
      </w:r>
      <w:r w:rsidR="004D31E8">
        <w:rPr>
          <w:szCs w:val="22"/>
        </w:rPr>
        <w:t>1</w:t>
      </w:r>
      <w:r w:rsidRPr="00303E21">
        <w:rPr>
          <w:szCs w:val="22"/>
        </w:rPr>
        <w:t xml:space="preserve"> below lists the project team members who </w:t>
      </w:r>
      <w:r w:rsidR="000B5F2C" w:rsidRPr="00303E21">
        <w:rPr>
          <w:szCs w:val="22"/>
        </w:rPr>
        <w:t xml:space="preserve">were consulted </w:t>
      </w:r>
      <w:r w:rsidRPr="00303E21">
        <w:rPr>
          <w:szCs w:val="22"/>
        </w:rPr>
        <w:t xml:space="preserve">on the aspects of research design and </w:t>
      </w:r>
      <w:r w:rsidR="001E6CB5" w:rsidRPr="00303E21">
        <w:rPr>
          <w:szCs w:val="22"/>
        </w:rPr>
        <w:t xml:space="preserve">those who </w:t>
      </w:r>
      <w:r w:rsidRPr="00303E21">
        <w:rPr>
          <w:szCs w:val="22"/>
        </w:rPr>
        <w:t>will be collecting and analyzing the data. Please note: The CDC Project Officer/</w:t>
      </w:r>
      <w:r w:rsidR="006845BF" w:rsidRPr="00303E21">
        <w:t>Contracting Officer’s Representative</w:t>
      </w:r>
      <w:r w:rsidR="00C55413">
        <w:rPr>
          <w:szCs w:val="22"/>
        </w:rPr>
        <w:t xml:space="preserve"> </w:t>
      </w:r>
      <w:r w:rsidR="006845BF">
        <w:rPr>
          <w:szCs w:val="22"/>
        </w:rPr>
        <w:t>(</w:t>
      </w:r>
      <w:r w:rsidRPr="00303E21">
        <w:rPr>
          <w:szCs w:val="22"/>
        </w:rPr>
        <w:t>COR</w:t>
      </w:r>
      <w:r w:rsidR="006845BF">
        <w:rPr>
          <w:szCs w:val="22"/>
        </w:rPr>
        <w:t>)</w:t>
      </w:r>
      <w:r w:rsidRPr="00303E21">
        <w:rPr>
          <w:szCs w:val="22"/>
        </w:rPr>
        <w:t xml:space="preserve"> and Technical Monitors are primarily responsible for providing technical assistance in the design and implementation of the research; assisting in the development of the research protocol and data collection instruments for CDC Project Determination and local IRB review</w:t>
      </w:r>
      <w:r w:rsidR="00747C12" w:rsidRPr="00303E21">
        <w:rPr>
          <w:szCs w:val="22"/>
        </w:rPr>
        <w:t>s (A</w:t>
      </w:r>
      <w:r w:rsidR="006845BF">
        <w:rPr>
          <w:szCs w:val="22"/>
        </w:rPr>
        <w:t>bt Associates</w:t>
      </w:r>
      <w:r w:rsidR="00747C12" w:rsidRPr="00303E21">
        <w:rPr>
          <w:szCs w:val="22"/>
        </w:rPr>
        <w:t>)</w:t>
      </w:r>
      <w:r w:rsidRPr="00303E21">
        <w:rPr>
          <w:szCs w:val="22"/>
        </w:rPr>
        <w:t xml:space="preserve">; working with investigators to facilitate appropriate research activities; and analyzing data and presenting findings at meetings and in publications. The CDC Project Officer/COR and Technical Monitors will neither collect data from nor interact with research participants. Data will be collected by </w:t>
      </w:r>
      <w:r w:rsidR="004318B2" w:rsidRPr="00303E21">
        <w:rPr>
          <w:szCs w:val="22"/>
        </w:rPr>
        <w:t xml:space="preserve">members of </w:t>
      </w:r>
      <w:r w:rsidR="001E6CB5" w:rsidRPr="00303E21">
        <w:rPr>
          <w:szCs w:val="22"/>
        </w:rPr>
        <w:t>c</w:t>
      </w:r>
      <w:r w:rsidRPr="00303E21">
        <w:rPr>
          <w:szCs w:val="22"/>
        </w:rPr>
        <w:t xml:space="preserve">ontractor </w:t>
      </w:r>
      <w:r w:rsidR="004318B2" w:rsidRPr="00303E21">
        <w:rPr>
          <w:szCs w:val="22"/>
        </w:rPr>
        <w:t>project staff</w:t>
      </w:r>
      <w:r w:rsidRPr="00303E21">
        <w:rPr>
          <w:szCs w:val="22"/>
        </w:rPr>
        <w:t xml:space="preserve"> listed below in Exhibit </w:t>
      </w:r>
      <w:r w:rsidR="00D36A44" w:rsidRPr="00303E21">
        <w:rPr>
          <w:szCs w:val="22"/>
        </w:rPr>
        <w:t>B</w:t>
      </w:r>
      <w:r w:rsidRPr="00303E21">
        <w:rPr>
          <w:szCs w:val="22"/>
        </w:rPr>
        <w:t>5.1</w:t>
      </w:r>
      <w:r w:rsidR="001E6CB5" w:rsidRPr="00303E21">
        <w:rPr>
          <w:szCs w:val="22"/>
        </w:rPr>
        <w:t xml:space="preserve"> (</w:t>
      </w:r>
      <w:r w:rsidR="006845BF" w:rsidRPr="00303E21">
        <w:rPr>
          <w:szCs w:val="22"/>
        </w:rPr>
        <w:t>A</w:t>
      </w:r>
      <w:r w:rsidR="006845BF">
        <w:rPr>
          <w:szCs w:val="22"/>
        </w:rPr>
        <w:t>bt Associates</w:t>
      </w:r>
      <w:r w:rsidR="00883CC4">
        <w:rPr>
          <w:szCs w:val="22"/>
        </w:rPr>
        <w:t xml:space="preserve"> </w:t>
      </w:r>
      <w:r w:rsidR="004D31E8">
        <w:rPr>
          <w:szCs w:val="22"/>
        </w:rPr>
        <w:t xml:space="preserve">and </w:t>
      </w:r>
      <w:r w:rsidR="00EB3E19" w:rsidRPr="00303E21">
        <w:rPr>
          <w:szCs w:val="22"/>
        </w:rPr>
        <w:t>ATLAS</w:t>
      </w:r>
      <w:r w:rsidR="001E6CB5" w:rsidRPr="00303E21">
        <w:rPr>
          <w:szCs w:val="22"/>
        </w:rPr>
        <w:t>)</w:t>
      </w:r>
      <w:r w:rsidRPr="00303E21">
        <w:rPr>
          <w:szCs w:val="22"/>
        </w:rPr>
        <w:t xml:space="preserve">. No individual identifiers will be linkable to collected data, and no individually identifiable private information will be shared with or accessible by CDC staff.  </w:t>
      </w:r>
    </w:p>
    <w:p w14:paraId="0946EFA5" w14:textId="77777777" w:rsidR="00215E06" w:rsidRPr="00303E21" w:rsidRDefault="00215E06" w:rsidP="006F5358">
      <w:pPr>
        <w:jc w:val="both"/>
        <w:rPr>
          <w:szCs w:val="22"/>
        </w:rPr>
      </w:pPr>
    </w:p>
    <w:bookmarkEnd w:id="25"/>
    <w:p w14:paraId="0164357B" w14:textId="3DC5C791" w:rsidR="0059419A" w:rsidRPr="00157EF2" w:rsidRDefault="00BE265D" w:rsidP="00F452D7">
      <w:pPr>
        <w:pStyle w:val="Caption"/>
        <w:rPr>
          <w:sz w:val="24"/>
          <w:szCs w:val="24"/>
        </w:rPr>
      </w:pPr>
      <w:r w:rsidRPr="00157EF2">
        <w:rPr>
          <w:sz w:val="24"/>
          <w:szCs w:val="24"/>
        </w:rPr>
        <w:t xml:space="preserve">Exhibit </w:t>
      </w:r>
      <w:r w:rsidR="00D36A44" w:rsidRPr="00157EF2">
        <w:rPr>
          <w:sz w:val="24"/>
          <w:szCs w:val="24"/>
        </w:rPr>
        <w:t>B</w:t>
      </w:r>
      <w:r w:rsidR="0059419A" w:rsidRPr="00157EF2">
        <w:rPr>
          <w:sz w:val="24"/>
          <w:szCs w:val="24"/>
        </w:rPr>
        <w:t>5.</w:t>
      </w:r>
      <w:r w:rsidRPr="00157EF2">
        <w:rPr>
          <w:sz w:val="24"/>
          <w:szCs w:val="24"/>
        </w:rPr>
        <w:t>1.</w:t>
      </w:r>
      <w:r w:rsidR="0059419A" w:rsidRPr="00157EF2">
        <w:rPr>
          <w:sz w:val="24"/>
          <w:szCs w:val="24"/>
        </w:rPr>
        <w:t xml:space="preserve"> Statistical Consultants </w:t>
      </w:r>
    </w:p>
    <w:p w14:paraId="00DB9819" w14:textId="77777777" w:rsidR="004D31E8" w:rsidRPr="00157EF2" w:rsidRDefault="004D31E8" w:rsidP="00157EF2"/>
    <w:tbl>
      <w:tblPr>
        <w:tblStyle w:val="LightList-Accent11"/>
        <w:tblW w:w="503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7"/>
        <w:gridCol w:w="5805"/>
      </w:tblGrid>
      <w:tr w:rsidR="004D31E8" w:rsidRPr="00157EF2" w14:paraId="3712756F" w14:textId="77777777" w:rsidTr="00FD32CE">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916" w:type="pct"/>
            <w:shd w:val="clear" w:color="auto" w:fill="1F497D" w:themeFill="text2"/>
          </w:tcPr>
          <w:p w14:paraId="4FACEF7E" w14:textId="77777777" w:rsidR="004D31E8" w:rsidRPr="00157EF2" w:rsidRDefault="004D31E8" w:rsidP="00FD32CE">
            <w:pPr>
              <w:jc w:val="center"/>
              <w:rPr>
                <w:rFonts w:eastAsiaTheme="minorEastAsia"/>
                <w:bCs w:val="0"/>
                <w:color w:val="FFFFFF" w:themeColor="background1"/>
              </w:rPr>
            </w:pPr>
            <w:r w:rsidRPr="00157EF2">
              <w:rPr>
                <w:rFonts w:eastAsiaTheme="minorEastAsia"/>
                <w:color w:val="FFFFFF" w:themeColor="background1"/>
              </w:rPr>
              <w:t>Atlas Team Staff</w:t>
            </w:r>
          </w:p>
        </w:tc>
        <w:tc>
          <w:tcPr>
            <w:tcW w:w="3084" w:type="pct"/>
            <w:shd w:val="clear" w:color="auto" w:fill="1F497D" w:themeFill="text2"/>
          </w:tcPr>
          <w:p w14:paraId="386C8AB8" w14:textId="77777777" w:rsidR="004D31E8" w:rsidRPr="00157EF2" w:rsidRDefault="004D31E8" w:rsidP="00FD32CE">
            <w:pPr>
              <w:jc w:val="center"/>
              <w:cnfStyle w:val="100000000000" w:firstRow="1" w:lastRow="0" w:firstColumn="0" w:lastColumn="0" w:oddVBand="0" w:evenVBand="0" w:oddHBand="0" w:evenHBand="0" w:firstRowFirstColumn="0" w:firstRowLastColumn="0" w:lastRowFirstColumn="0" w:lastRowLastColumn="0"/>
              <w:rPr>
                <w:rFonts w:eastAsiaTheme="minorEastAsia"/>
                <w:b w:val="0"/>
                <w:color w:val="FFFFFF" w:themeColor="background1"/>
              </w:rPr>
            </w:pPr>
            <w:r w:rsidRPr="00157EF2">
              <w:rPr>
                <w:rFonts w:eastAsiaTheme="minorEastAsia"/>
                <w:color w:val="FFFFFF" w:themeColor="background1"/>
              </w:rPr>
              <w:t>Roles and Responsibilities</w:t>
            </w:r>
          </w:p>
        </w:tc>
      </w:tr>
      <w:tr w:rsidR="004D31E8" w:rsidRPr="00157EF2" w14:paraId="46B8FED1" w14:textId="77777777" w:rsidTr="00FD32CE">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916" w:type="pct"/>
          </w:tcPr>
          <w:p w14:paraId="5A2FECD4" w14:textId="77777777" w:rsidR="004D31E8" w:rsidRPr="00157EF2" w:rsidRDefault="004D31E8" w:rsidP="00FD32CE">
            <w:r w:rsidRPr="00157EF2">
              <w:t>Senior Project Investigator (Atlas)</w:t>
            </w:r>
          </w:p>
          <w:p w14:paraId="7B9D621F" w14:textId="77777777" w:rsidR="004D31E8" w:rsidRPr="00157EF2" w:rsidRDefault="004D31E8" w:rsidP="00FD32CE">
            <w:pPr>
              <w:rPr>
                <w:rFonts w:eastAsiaTheme="minorEastAsia"/>
                <w:b w:val="0"/>
                <w:bCs w:val="0"/>
              </w:rPr>
            </w:pPr>
            <w:r w:rsidRPr="00157EF2">
              <w:t xml:space="preserve">Jamie Hart, PhD, MPH </w:t>
            </w:r>
          </w:p>
        </w:tc>
        <w:tc>
          <w:tcPr>
            <w:tcW w:w="3084" w:type="pct"/>
          </w:tcPr>
          <w:p w14:paraId="5FCA28AF" w14:textId="77777777" w:rsidR="004D31E8" w:rsidRPr="00157EF2" w:rsidRDefault="004D31E8" w:rsidP="004D31E8">
            <w:pPr>
              <w:pStyle w:val="ListParagraph"/>
              <w:numPr>
                <w:ilvl w:val="0"/>
                <w:numId w:val="14"/>
              </w:numPr>
              <w:spacing w:after="0" w:line="240" w:lineRule="auto"/>
              <w:ind w:left="162" w:hanging="162"/>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7EF2">
              <w:rPr>
                <w:rFonts w:ascii="Times New Roman" w:eastAsiaTheme="minorEastAsia" w:hAnsi="Times New Roman"/>
                <w:sz w:val="24"/>
                <w:szCs w:val="24"/>
              </w:rPr>
              <w:t xml:space="preserve"> </w:t>
            </w:r>
            <w:r w:rsidRPr="00157EF2">
              <w:rPr>
                <w:rFonts w:ascii="Times New Roman" w:hAnsi="Times New Roman"/>
                <w:sz w:val="24"/>
                <w:szCs w:val="24"/>
              </w:rPr>
              <w:t>Provide overall contract management</w:t>
            </w:r>
          </w:p>
          <w:p w14:paraId="6987B14A" w14:textId="4C16CA08" w:rsidR="004D31E8" w:rsidRPr="00157EF2" w:rsidRDefault="004D31E8" w:rsidP="004D31E8">
            <w:pPr>
              <w:pStyle w:val="ListParagraph"/>
              <w:numPr>
                <w:ilvl w:val="0"/>
                <w:numId w:val="14"/>
              </w:numPr>
              <w:spacing w:after="0" w:line="240" w:lineRule="auto"/>
              <w:ind w:left="162" w:hanging="162"/>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7EF2">
              <w:rPr>
                <w:rFonts w:ascii="Times New Roman" w:hAnsi="Times New Roman"/>
                <w:sz w:val="24"/>
                <w:szCs w:val="24"/>
              </w:rPr>
              <w:t xml:space="preserve">Serve as a liaison between Atlas and </w:t>
            </w:r>
            <w:r w:rsidR="0098110D">
              <w:rPr>
                <w:rFonts w:ascii="Times New Roman" w:hAnsi="Times New Roman"/>
                <w:sz w:val="24"/>
                <w:szCs w:val="24"/>
              </w:rPr>
              <w:t>CDC</w:t>
            </w:r>
          </w:p>
          <w:p w14:paraId="15A95D6B" w14:textId="77777777" w:rsidR="004D31E8" w:rsidRPr="00157EF2" w:rsidRDefault="004D31E8" w:rsidP="004D31E8">
            <w:pPr>
              <w:pStyle w:val="ListParagraph"/>
              <w:numPr>
                <w:ilvl w:val="0"/>
                <w:numId w:val="14"/>
              </w:numPr>
              <w:spacing w:after="0" w:line="240" w:lineRule="auto"/>
              <w:ind w:left="162" w:hanging="162"/>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7EF2">
              <w:rPr>
                <w:rFonts w:ascii="Times New Roman" w:hAnsi="Times New Roman"/>
                <w:sz w:val="24"/>
                <w:szCs w:val="24"/>
              </w:rPr>
              <w:t>Assure adequate resources</w:t>
            </w:r>
          </w:p>
          <w:p w14:paraId="1D719D2D" w14:textId="77777777" w:rsidR="004D31E8" w:rsidRPr="00157EF2" w:rsidRDefault="004D31E8" w:rsidP="004D31E8">
            <w:pPr>
              <w:pStyle w:val="ListParagraph"/>
              <w:numPr>
                <w:ilvl w:val="0"/>
                <w:numId w:val="14"/>
              </w:numPr>
              <w:spacing w:after="0" w:line="240" w:lineRule="auto"/>
              <w:ind w:left="162" w:hanging="162"/>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7EF2">
              <w:rPr>
                <w:rFonts w:ascii="Times New Roman" w:hAnsi="Times New Roman"/>
                <w:sz w:val="24"/>
                <w:szCs w:val="24"/>
              </w:rPr>
              <w:t xml:space="preserve">Oversee subcontracting agreement </w:t>
            </w:r>
          </w:p>
          <w:p w14:paraId="2AA78FE1" w14:textId="77777777" w:rsidR="004D31E8" w:rsidRPr="00157EF2" w:rsidRDefault="004D31E8" w:rsidP="004D31E8">
            <w:pPr>
              <w:pStyle w:val="ListParagraph"/>
              <w:numPr>
                <w:ilvl w:val="0"/>
                <w:numId w:val="14"/>
              </w:numPr>
              <w:spacing w:after="0" w:line="240" w:lineRule="auto"/>
              <w:ind w:left="162" w:hanging="162"/>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7EF2">
              <w:rPr>
                <w:rFonts w:ascii="Times New Roman" w:hAnsi="Times New Roman"/>
                <w:sz w:val="24"/>
                <w:szCs w:val="24"/>
              </w:rPr>
              <w:t>Provide overall quality assurance and performance improvement tracking and guidance</w:t>
            </w:r>
          </w:p>
          <w:p w14:paraId="79477DFB" w14:textId="77777777" w:rsidR="004D31E8" w:rsidRPr="00157EF2" w:rsidRDefault="004D31E8" w:rsidP="004D31E8">
            <w:pPr>
              <w:pStyle w:val="ListParagraph"/>
              <w:numPr>
                <w:ilvl w:val="0"/>
                <w:numId w:val="14"/>
              </w:numPr>
              <w:spacing w:after="0" w:line="240" w:lineRule="auto"/>
              <w:ind w:left="162" w:hanging="162"/>
              <w:contextualSpacing w:val="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24"/>
                <w:szCs w:val="24"/>
              </w:rPr>
            </w:pPr>
            <w:r w:rsidRPr="00157EF2">
              <w:rPr>
                <w:rFonts w:ascii="Times New Roman" w:hAnsi="Times New Roman"/>
                <w:sz w:val="24"/>
                <w:szCs w:val="24"/>
              </w:rPr>
              <w:lastRenderedPageBreak/>
              <w:t>Complete task order assignments (e.g., facilitate interviews, lead development of data collection plan)</w:t>
            </w:r>
          </w:p>
        </w:tc>
      </w:tr>
      <w:tr w:rsidR="004D31E8" w:rsidRPr="00157EF2" w14:paraId="3C10AACC" w14:textId="77777777" w:rsidTr="00FD32CE">
        <w:trPr>
          <w:jc w:val="right"/>
        </w:trPr>
        <w:tc>
          <w:tcPr>
            <w:cnfStyle w:val="001000000000" w:firstRow="0" w:lastRow="0" w:firstColumn="1" w:lastColumn="0" w:oddVBand="0" w:evenVBand="0" w:oddHBand="0" w:evenHBand="0" w:firstRowFirstColumn="0" w:firstRowLastColumn="0" w:lastRowFirstColumn="0" w:lastRowLastColumn="0"/>
            <w:tcW w:w="1916" w:type="pct"/>
          </w:tcPr>
          <w:p w14:paraId="421482D9" w14:textId="77777777" w:rsidR="004D31E8" w:rsidRPr="00157EF2" w:rsidRDefault="004D31E8" w:rsidP="00FD32CE">
            <w:r w:rsidRPr="00157EF2">
              <w:lastRenderedPageBreak/>
              <w:t xml:space="preserve">Project Manager </w:t>
            </w:r>
          </w:p>
          <w:p w14:paraId="27ECA064" w14:textId="77777777" w:rsidR="004D31E8" w:rsidRPr="00157EF2" w:rsidRDefault="004D31E8" w:rsidP="00FD32CE">
            <w:pPr>
              <w:rPr>
                <w:rFonts w:eastAsiaTheme="minorEastAsia"/>
                <w:b w:val="0"/>
                <w:bCs w:val="0"/>
              </w:rPr>
            </w:pPr>
            <w:r w:rsidRPr="00157EF2">
              <w:t xml:space="preserve">Dianne Fragueiro, MPH </w:t>
            </w:r>
          </w:p>
        </w:tc>
        <w:tc>
          <w:tcPr>
            <w:tcW w:w="3084" w:type="pct"/>
          </w:tcPr>
          <w:p w14:paraId="3BD1E2D6" w14:textId="77777777" w:rsidR="004D31E8" w:rsidRPr="00157EF2" w:rsidRDefault="004D31E8" w:rsidP="004D31E8">
            <w:pPr>
              <w:pStyle w:val="ListParagraph"/>
              <w:numPr>
                <w:ilvl w:val="0"/>
                <w:numId w:val="25"/>
              </w:numPr>
              <w:spacing w:after="0" w:line="240" w:lineRule="auto"/>
              <w:ind w:left="161" w:hanging="18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7EF2">
              <w:rPr>
                <w:rFonts w:ascii="Times New Roman" w:hAnsi="Times New Roman"/>
                <w:sz w:val="24"/>
                <w:szCs w:val="24"/>
              </w:rPr>
              <w:t xml:space="preserve">Organize activities and manage Atlas and subcontractor staff </w:t>
            </w:r>
          </w:p>
          <w:p w14:paraId="7DF802A8" w14:textId="77777777" w:rsidR="004D31E8" w:rsidRPr="00157EF2" w:rsidRDefault="004D31E8" w:rsidP="004D31E8">
            <w:pPr>
              <w:pStyle w:val="ListParagraph"/>
              <w:numPr>
                <w:ilvl w:val="0"/>
                <w:numId w:val="25"/>
              </w:numPr>
              <w:spacing w:after="0" w:line="240" w:lineRule="auto"/>
              <w:ind w:left="161" w:hanging="18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7EF2">
              <w:rPr>
                <w:rFonts w:ascii="Times New Roman" w:hAnsi="Times New Roman"/>
                <w:sz w:val="24"/>
                <w:szCs w:val="24"/>
              </w:rPr>
              <w:t>Manage all project tasks</w:t>
            </w:r>
          </w:p>
          <w:p w14:paraId="2E8ADBD9" w14:textId="77777777" w:rsidR="004D31E8" w:rsidRPr="00157EF2" w:rsidRDefault="004D31E8" w:rsidP="004D31E8">
            <w:pPr>
              <w:pStyle w:val="ListParagraph"/>
              <w:numPr>
                <w:ilvl w:val="0"/>
                <w:numId w:val="25"/>
              </w:numPr>
              <w:spacing w:after="0" w:line="240" w:lineRule="auto"/>
              <w:ind w:left="161" w:hanging="18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7EF2">
              <w:rPr>
                <w:rFonts w:ascii="Times New Roman" w:hAnsi="Times New Roman"/>
                <w:sz w:val="24"/>
                <w:szCs w:val="24"/>
              </w:rPr>
              <w:t>Develop and maintain budget</w:t>
            </w:r>
          </w:p>
          <w:p w14:paraId="2020CE34" w14:textId="77777777" w:rsidR="004D31E8" w:rsidRPr="00157EF2" w:rsidRDefault="004D31E8" w:rsidP="004D31E8">
            <w:pPr>
              <w:pStyle w:val="ListParagraph"/>
              <w:numPr>
                <w:ilvl w:val="0"/>
                <w:numId w:val="25"/>
              </w:numPr>
              <w:spacing w:after="0" w:line="240" w:lineRule="auto"/>
              <w:ind w:left="161" w:hanging="18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7EF2">
              <w:rPr>
                <w:rFonts w:ascii="Times New Roman" w:hAnsi="Times New Roman"/>
                <w:sz w:val="24"/>
                <w:szCs w:val="24"/>
              </w:rPr>
              <w:t>Develop weekly meeting agendas and facilitate weekly calls</w:t>
            </w:r>
          </w:p>
          <w:p w14:paraId="2593677A" w14:textId="77777777" w:rsidR="004D31E8" w:rsidRPr="00157EF2" w:rsidRDefault="004D31E8" w:rsidP="004D31E8">
            <w:pPr>
              <w:pStyle w:val="ListParagraph"/>
              <w:numPr>
                <w:ilvl w:val="0"/>
                <w:numId w:val="25"/>
              </w:numPr>
              <w:spacing w:after="0" w:line="240" w:lineRule="auto"/>
              <w:ind w:left="161" w:hanging="18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57EF2">
              <w:rPr>
                <w:rFonts w:ascii="Times New Roman" w:hAnsi="Times New Roman"/>
                <w:sz w:val="24"/>
                <w:szCs w:val="24"/>
              </w:rPr>
              <w:t>Develop monthly reports</w:t>
            </w:r>
          </w:p>
          <w:p w14:paraId="22F56AD8" w14:textId="77777777" w:rsidR="004D31E8" w:rsidRPr="00157EF2" w:rsidRDefault="004D31E8" w:rsidP="004D31E8">
            <w:pPr>
              <w:pStyle w:val="ListParagraph"/>
              <w:numPr>
                <w:ilvl w:val="0"/>
                <w:numId w:val="23"/>
              </w:numPr>
              <w:spacing w:after="0" w:line="240" w:lineRule="auto"/>
              <w:ind w:left="163" w:hanging="163"/>
              <w:contextualSpacing w:val="0"/>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sz w:val="24"/>
                <w:szCs w:val="24"/>
              </w:rPr>
            </w:pPr>
            <w:r w:rsidRPr="00157EF2">
              <w:rPr>
                <w:rFonts w:ascii="Times New Roman" w:hAnsi="Times New Roman"/>
                <w:sz w:val="24"/>
                <w:szCs w:val="24"/>
              </w:rPr>
              <w:t>Complete task order assignments (e.g., co-facilitate interviews and lead development of interview protocols and report)</w:t>
            </w:r>
          </w:p>
        </w:tc>
      </w:tr>
      <w:tr w:rsidR="004D31E8" w:rsidRPr="00157EF2" w14:paraId="0DA103CF" w14:textId="77777777" w:rsidTr="00FD32CE">
        <w:trPr>
          <w:cnfStyle w:val="000000100000" w:firstRow="0" w:lastRow="0" w:firstColumn="0" w:lastColumn="0" w:oddVBand="0" w:evenVBand="0" w:oddHBand="1" w:evenHBand="0" w:firstRowFirstColumn="0" w:firstRowLastColumn="0" w:lastRowFirstColumn="0" w:lastRowLastColumn="0"/>
          <w:trHeight w:val="800"/>
          <w:jc w:val="right"/>
        </w:trPr>
        <w:tc>
          <w:tcPr>
            <w:cnfStyle w:val="001000000000" w:firstRow="0" w:lastRow="0" w:firstColumn="1" w:lastColumn="0" w:oddVBand="0" w:evenVBand="0" w:oddHBand="0" w:evenHBand="0" w:firstRowFirstColumn="0" w:firstRowLastColumn="0" w:lastRowFirstColumn="0" w:lastRowLastColumn="0"/>
            <w:tcW w:w="1916" w:type="pct"/>
          </w:tcPr>
          <w:p w14:paraId="66753524" w14:textId="5F63D3CB" w:rsidR="004D31E8" w:rsidRPr="00157EF2" w:rsidRDefault="004D31E8" w:rsidP="00FD32CE">
            <w:pPr>
              <w:pStyle w:val="TableText10ptArialNarrow"/>
              <w:rPr>
                <w:rFonts w:ascii="Times New Roman" w:hAnsi="Times New Roman"/>
                <w:b w:val="0"/>
                <w:bCs w:val="0"/>
                <w:sz w:val="24"/>
                <w:szCs w:val="24"/>
              </w:rPr>
            </w:pPr>
            <w:r w:rsidRPr="00157EF2">
              <w:rPr>
                <w:rFonts w:ascii="Times New Roman" w:hAnsi="Times New Roman"/>
                <w:sz w:val="24"/>
                <w:szCs w:val="24"/>
              </w:rPr>
              <w:t>Recruitment and Data Collection Analyst</w:t>
            </w:r>
            <w:r w:rsidR="0098110D">
              <w:rPr>
                <w:rFonts w:ascii="Times New Roman" w:hAnsi="Times New Roman"/>
                <w:sz w:val="24"/>
                <w:szCs w:val="24"/>
              </w:rPr>
              <w:t>s</w:t>
            </w:r>
            <w:r w:rsidRPr="00157EF2">
              <w:rPr>
                <w:rFonts w:ascii="Times New Roman" w:hAnsi="Times New Roman"/>
                <w:sz w:val="24"/>
                <w:szCs w:val="24"/>
              </w:rPr>
              <w:t xml:space="preserve"> (Atlas)</w:t>
            </w:r>
          </w:p>
          <w:p w14:paraId="6AA118B0" w14:textId="77777777" w:rsidR="0098110D" w:rsidRDefault="0098110D" w:rsidP="00FD32CE">
            <w:r>
              <w:t>Clarke Erickson, MHA</w:t>
            </w:r>
          </w:p>
          <w:p w14:paraId="39848889" w14:textId="2C3439FB" w:rsidR="004D31E8" w:rsidRPr="00157EF2" w:rsidRDefault="004D31E8" w:rsidP="00FD32CE">
            <w:pPr>
              <w:rPr>
                <w:rFonts w:eastAsiaTheme="minorEastAsia"/>
                <w:b w:val="0"/>
                <w:bCs w:val="0"/>
              </w:rPr>
            </w:pPr>
            <w:r w:rsidRPr="00157EF2">
              <w:t>Theresa Spitzer, PhD</w:t>
            </w:r>
            <w:r w:rsidR="0098110D">
              <w:t>c</w:t>
            </w:r>
          </w:p>
        </w:tc>
        <w:tc>
          <w:tcPr>
            <w:tcW w:w="3084" w:type="pct"/>
            <w:vMerge w:val="restart"/>
          </w:tcPr>
          <w:p w14:paraId="2C76BD2C" w14:textId="21516F0C" w:rsidR="004D31E8" w:rsidRPr="00157EF2" w:rsidRDefault="004D31E8" w:rsidP="004D31E8">
            <w:pPr>
              <w:pStyle w:val="ListParagraph"/>
              <w:numPr>
                <w:ilvl w:val="0"/>
                <w:numId w:val="24"/>
              </w:numPr>
              <w:spacing w:after="0" w:line="240" w:lineRule="auto"/>
              <w:ind w:left="161" w:hanging="180"/>
              <w:contextualSpacing w:val="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24"/>
                <w:szCs w:val="24"/>
              </w:rPr>
            </w:pPr>
            <w:r w:rsidRPr="00157EF2">
              <w:rPr>
                <w:rFonts w:ascii="Times New Roman" w:eastAsiaTheme="minorEastAsia" w:hAnsi="Times New Roman"/>
                <w:sz w:val="24"/>
                <w:szCs w:val="24"/>
              </w:rPr>
              <w:t xml:space="preserve"> </w:t>
            </w:r>
            <w:r w:rsidR="0098110D">
              <w:rPr>
                <w:rFonts w:ascii="Times New Roman" w:eastAsiaTheme="minorEastAsia" w:hAnsi="Times New Roman"/>
                <w:sz w:val="24"/>
                <w:szCs w:val="24"/>
              </w:rPr>
              <w:t>D</w:t>
            </w:r>
            <w:r w:rsidRPr="00157EF2">
              <w:rPr>
                <w:rFonts w:ascii="Times New Roman" w:eastAsiaTheme="minorEastAsia" w:hAnsi="Times New Roman"/>
                <w:sz w:val="24"/>
                <w:szCs w:val="24"/>
              </w:rPr>
              <w:t xml:space="preserve">evelopment of the document review data collection instrument and provide comments on additional data collection instruments. </w:t>
            </w:r>
          </w:p>
          <w:p w14:paraId="62440CCF" w14:textId="77777777" w:rsidR="004D31E8" w:rsidRPr="00157EF2" w:rsidRDefault="004D31E8" w:rsidP="004D31E8">
            <w:pPr>
              <w:pStyle w:val="ListParagraph"/>
              <w:numPr>
                <w:ilvl w:val="0"/>
                <w:numId w:val="24"/>
              </w:numPr>
              <w:spacing w:after="0" w:line="240" w:lineRule="auto"/>
              <w:ind w:left="161" w:hanging="180"/>
              <w:contextualSpacing w:val="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24"/>
                <w:szCs w:val="24"/>
              </w:rPr>
            </w:pPr>
            <w:r w:rsidRPr="00157EF2">
              <w:rPr>
                <w:rFonts w:ascii="Times New Roman" w:eastAsiaTheme="minorEastAsia" w:hAnsi="Times New Roman"/>
                <w:sz w:val="24"/>
                <w:szCs w:val="24"/>
              </w:rPr>
              <w:t>Participate in data collection activities (i.e. consent participants, conduct interviews, administer provider questionnaire, conduct observations and document review) in jurisdiction determined by CDC.</w:t>
            </w:r>
          </w:p>
          <w:p w14:paraId="67AC5A82" w14:textId="77777777" w:rsidR="004D31E8" w:rsidRPr="00157EF2" w:rsidRDefault="004D31E8" w:rsidP="004D31E8">
            <w:pPr>
              <w:pStyle w:val="ListParagraph"/>
              <w:numPr>
                <w:ilvl w:val="0"/>
                <w:numId w:val="24"/>
              </w:numPr>
              <w:spacing w:after="0" w:line="240" w:lineRule="auto"/>
              <w:ind w:left="161" w:hanging="180"/>
              <w:contextualSpacing w:val="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24"/>
                <w:szCs w:val="24"/>
              </w:rPr>
            </w:pPr>
            <w:r w:rsidRPr="00157EF2">
              <w:rPr>
                <w:rFonts w:ascii="Times New Roman" w:eastAsiaTheme="minorEastAsia" w:hAnsi="Times New Roman"/>
                <w:sz w:val="24"/>
                <w:szCs w:val="24"/>
              </w:rPr>
              <w:t xml:space="preserve">Participate in data analysis activities (i.e. develop codebook, qualitative data coding, quantitative statistical analysis). </w:t>
            </w:r>
          </w:p>
          <w:p w14:paraId="5A1909FD" w14:textId="77777777" w:rsidR="004D31E8" w:rsidRPr="00157EF2" w:rsidRDefault="004D31E8" w:rsidP="004D31E8">
            <w:pPr>
              <w:pStyle w:val="ListParagraph"/>
              <w:numPr>
                <w:ilvl w:val="0"/>
                <w:numId w:val="24"/>
              </w:numPr>
              <w:spacing w:after="0" w:line="240" w:lineRule="auto"/>
              <w:ind w:left="161" w:hanging="18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7EF2">
              <w:rPr>
                <w:rFonts w:ascii="Times New Roman" w:eastAsiaTheme="minorEastAsia" w:hAnsi="Times New Roman"/>
                <w:sz w:val="24"/>
                <w:szCs w:val="24"/>
              </w:rPr>
              <w:t xml:space="preserve">Contribute to final report.  </w:t>
            </w:r>
          </w:p>
        </w:tc>
      </w:tr>
      <w:tr w:rsidR="004D31E8" w:rsidRPr="00157EF2" w14:paraId="4DDD0CF7" w14:textId="77777777" w:rsidTr="00FD32CE">
        <w:trPr>
          <w:trHeight w:val="799"/>
          <w:jc w:val="right"/>
        </w:trPr>
        <w:tc>
          <w:tcPr>
            <w:cnfStyle w:val="001000000000" w:firstRow="0" w:lastRow="0" w:firstColumn="1" w:lastColumn="0" w:oddVBand="0" w:evenVBand="0" w:oddHBand="0" w:evenHBand="0" w:firstRowFirstColumn="0" w:firstRowLastColumn="0" w:lastRowFirstColumn="0" w:lastRowLastColumn="0"/>
            <w:tcW w:w="1916" w:type="pct"/>
          </w:tcPr>
          <w:p w14:paraId="751BC7F4" w14:textId="535DB5AE" w:rsidR="004D31E8" w:rsidRPr="00157EF2" w:rsidRDefault="004D31E8" w:rsidP="00FD32CE">
            <w:pPr>
              <w:pStyle w:val="NoSpacing"/>
              <w:rPr>
                <w:rFonts w:ascii="Times New Roman" w:hAnsi="Times New Roman" w:cs="Times New Roman"/>
              </w:rPr>
            </w:pPr>
            <w:r w:rsidRPr="00157EF2">
              <w:rPr>
                <w:rFonts w:ascii="Times New Roman" w:hAnsi="Times New Roman" w:cs="Times New Roman"/>
              </w:rPr>
              <w:t>Recruitment and Data Collection (Abt</w:t>
            </w:r>
            <w:r w:rsidR="006845BF">
              <w:rPr>
                <w:rFonts w:ascii="Times New Roman" w:hAnsi="Times New Roman" w:cs="Times New Roman"/>
              </w:rPr>
              <w:t xml:space="preserve"> Associates</w:t>
            </w:r>
            <w:r w:rsidRPr="00157EF2">
              <w:rPr>
                <w:rFonts w:ascii="Times New Roman" w:hAnsi="Times New Roman" w:cs="Times New Roman"/>
              </w:rPr>
              <w:t>)</w:t>
            </w:r>
          </w:p>
          <w:p w14:paraId="13C0F368" w14:textId="77777777" w:rsidR="0098110D" w:rsidRDefault="0098110D" w:rsidP="00FD32CE">
            <w:pPr>
              <w:pStyle w:val="NoSpacing"/>
              <w:rPr>
                <w:rFonts w:ascii="Times New Roman" w:hAnsi="Times New Roman" w:cs="Times New Roman"/>
              </w:rPr>
            </w:pPr>
            <w:r>
              <w:rPr>
                <w:rFonts w:ascii="Times New Roman" w:hAnsi="Times New Roman" w:cs="Times New Roman"/>
              </w:rPr>
              <w:t>Angela Cheung</w:t>
            </w:r>
          </w:p>
          <w:p w14:paraId="6BEAB0B2" w14:textId="77777777" w:rsidR="004D31E8" w:rsidRDefault="004D31E8" w:rsidP="00FD32CE">
            <w:pPr>
              <w:pStyle w:val="NoSpacing"/>
              <w:rPr>
                <w:rFonts w:ascii="Times New Roman" w:hAnsi="Times New Roman" w:cs="Times New Roman"/>
              </w:rPr>
            </w:pPr>
            <w:r w:rsidRPr="00157EF2">
              <w:rPr>
                <w:rFonts w:ascii="Times New Roman" w:hAnsi="Times New Roman" w:cs="Times New Roman"/>
              </w:rPr>
              <w:t>Alex Mijares, MPH</w:t>
            </w:r>
          </w:p>
          <w:p w14:paraId="45D2DED7" w14:textId="25898CFC" w:rsidR="0098110D" w:rsidRPr="00157EF2" w:rsidRDefault="0098110D" w:rsidP="00FD32CE">
            <w:pPr>
              <w:pStyle w:val="NoSpacing"/>
              <w:rPr>
                <w:rFonts w:ascii="Times New Roman" w:hAnsi="Times New Roman" w:cs="Times New Roman"/>
              </w:rPr>
            </w:pPr>
            <w:r>
              <w:rPr>
                <w:rFonts w:ascii="Times New Roman" w:hAnsi="Times New Roman" w:cs="Times New Roman"/>
              </w:rPr>
              <w:t>Alex Orr, MPH</w:t>
            </w:r>
          </w:p>
        </w:tc>
        <w:tc>
          <w:tcPr>
            <w:tcW w:w="3084" w:type="pct"/>
            <w:vMerge/>
          </w:tcPr>
          <w:p w14:paraId="45BBBA0B" w14:textId="77777777" w:rsidR="004D31E8" w:rsidRPr="00157EF2" w:rsidRDefault="004D31E8" w:rsidP="004D31E8">
            <w:pPr>
              <w:pStyle w:val="ListParagraph"/>
              <w:numPr>
                <w:ilvl w:val="0"/>
                <w:numId w:val="24"/>
              </w:numPr>
              <w:spacing w:after="0" w:line="240" w:lineRule="auto"/>
              <w:ind w:left="161" w:hanging="18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4D31E8" w:rsidRPr="00157EF2" w14:paraId="742599BD" w14:textId="77777777" w:rsidTr="00FD32CE">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916" w:type="pct"/>
          </w:tcPr>
          <w:p w14:paraId="344738D2" w14:textId="15B86945" w:rsidR="004D31E8" w:rsidRPr="00157EF2" w:rsidRDefault="004D31E8" w:rsidP="00FD32CE">
            <w:r w:rsidRPr="00157EF2">
              <w:t>Senior Qualitative Research Advisor (</w:t>
            </w:r>
            <w:r w:rsidR="006845BF" w:rsidRPr="00303E21">
              <w:rPr>
                <w:szCs w:val="22"/>
              </w:rPr>
              <w:t>A</w:t>
            </w:r>
            <w:r w:rsidR="006845BF">
              <w:rPr>
                <w:szCs w:val="22"/>
              </w:rPr>
              <w:t>bt Associates</w:t>
            </w:r>
            <w:r w:rsidRPr="00157EF2">
              <w:t>)</w:t>
            </w:r>
          </w:p>
          <w:p w14:paraId="2B5BA901" w14:textId="77777777" w:rsidR="004D31E8" w:rsidRPr="00157EF2" w:rsidRDefault="004D31E8" w:rsidP="00FD32CE">
            <w:pPr>
              <w:rPr>
                <w:rFonts w:eastAsiaTheme="minorEastAsia"/>
                <w:b w:val="0"/>
                <w:bCs w:val="0"/>
              </w:rPr>
            </w:pPr>
            <w:r w:rsidRPr="00157EF2">
              <w:t xml:space="preserve">Cynthia Klein, PhD </w:t>
            </w:r>
          </w:p>
        </w:tc>
        <w:tc>
          <w:tcPr>
            <w:tcW w:w="3084" w:type="pct"/>
          </w:tcPr>
          <w:p w14:paraId="766F6799" w14:textId="77777777" w:rsidR="004D31E8" w:rsidRPr="00157EF2" w:rsidRDefault="004D31E8" w:rsidP="004D31E8">
            <w:pPr>
              <w:pStyle w:val="ListParagraph"/>
              <w:numPr>
                <w:ilvl w:val="0"/>
                <w:numId w:val="14"/>
              </w:numPr>
              <w:spacing w:after="0" w:line="240" w:lineRule="auto"/>
              <w:ind w:left="162" w:hanging="162"/>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7EF2">
              <w:rPr>
                <w:rFonts w:ascii="Times New Roman" w:eastAsiaTheme="minorEastAsia" w:hAnsi="Times New Roman"/>
                <w:sz w:val="24"/>
                <w:szCs w:val="24"/>
              </w:rPr>
              <w:t xml:space="preserve"> </w:t>
            </w:r>
            <w:r w:rsidRPr="00157EF2">
              <w:rPr>
                <w:rFonts w:ascii="Times New Roman" w:hAnsi="Times New Roman"/>
                <w:sz w:val="24"/>
                <w:szCs w:val="24"/>
              </w:rPr>
              <w:t>Provide subcontract management</w:t>
            </w:r>
          </w:p>
          <w:p w14:paraId="2AE6496D" w14:textId="77777777" w:rsidR="004D31E8" w:rsidRPr="00157EF2" w:rsidRDefault="004D31E8" w:rsidP="004D31E8">
            <w:pPr>
              <w:pStyle w:val="ListParagraph"/>
              <w:numPr>
                <w:ilvl w:val="0"/>
                <w:numId w:val="14"/>
              </w:numPr>
              <w:spacing w:after="0" w:line="240" w:lineRule="auto"/>
              <w:ind w:left="162" w:hanging="162"/>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7EF2">
              <w:rPr>
                <w:rFonts w:ascii="Times New Roman" w:hAnsi="Times New Roman"/>
                <w:sz w:val="24"/>
                <w:szCs w:val="24"/>
              </w:rPr>
              <w:t xml:space="preserve">Serve as a liaison between Abt and Atlas </w:t>
            </w:r>
          </w:p>
          <w:p w14:paraId="5F9BA35A" w14:textId="77777777" w:rsidR="004D31E8" w:rsidRPr="00157EF2" w:rsidRDefault="004D31E8" w:rsidP="004D31E8">
            <w:pPr>
              <w:pStyle w:val="ListParagraph"/>
              <w:numPr>
                <w:ilvl w:val="0"/>
                <w:numId w:val="14"/>
              </w:numPr>
              <w:spacing w:after="0" w:line="240" w:lineRule="auto"/>
              <w:ind w:left="162" w:hanging="162"/>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57EF2">
              <w:rPr>
                <w:rFonts w:ascii="Times New Roman" w:hAnsi="Times New Roman"/>
                <w:sz w:val="24"/>
                <w:szCs w:val="24"/>
              </w:rPr>
              <w:t>Review subcontract deliverables for quality</w:t>
            </w:r>
          </w:p>
          <w:p w14:paraId="70D69BD8" w14:textId="77777777" w:rsidR="004D31E8" w:rsidRPr="00157EF2" w:rsidRDefault="004D31E8" w:rsidP="004D31E8">
            <w:pPr>
              <w:pStyle w:val="ListParagraph"/>
              <w:numPr>
                <w:ilvl w:val="0"/>
                <w:numId w:val="14"/>
              </w:numPr>
              <w:spacing w:after="0" w:line="240" w:lineRule="auto"/>
              <w:ind w:left="162" w:hanging="162"/>
              <w:contextualSpacing w:val="0"/>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sz w:val="24"/>
                <w:szCs w:val="24"/>
              </w:rPr>
            </w:pPr>
            <w:r w:rsidRPr="00157EF2">
              <w:rPr>
                <w:rFonts w:ascii="Times New Roman" w:hAnsi="Times New Roman"/>
                <w:sz w:val="24"/>
                <w:szCs w:val="24"/>
              </w:rPr>
              <w:t>Complete task order assignments (e.g., lead development of the sampling plan and research design</w:t>
            </w:r>
          </w:p>
        </w:tc>
      </w:tr>
      <w:tr w:rsidR="004D31E8" w:rsidRPr="00157EF2" w14:paraId="4059F3C9" w14:textId="77777777" w:rsidTr="00FD32CE">
        <w:trPr>
          <w:jc w:val="right"/>
        </w:trPr>
        <w:tc>
          <w:tcPr>
            <w:cnfStyle w:val="001000000000" w:firstRow="0" w:lastRow="0" w:firstColumn="1" w:lastColumn="0" w:oddVBand="0" w:evenVBand="0" w:oddHBand="0" w:evenHBand="0" w:firstRowFirstColumn="0" w:firstRowLastColumn="0" w:lastRowFirstColumn="0" w:lastRowLastColumn="0"/>
            <w:tcW w:w="1916" w:type="pct"/>
            <w:shd w:val="clear" w:color="auto" w:fill="1F497D" w:themeFill="text2"/>
          </w:tcPr>
          <w:p w14:paraId="6187D3A1" w14:textId="77777777" w:rsidR="004D31E8" w:rsidRPr="00157EF2" w:rsidRDefault="004D31E8" w:rsidP="00FD32CE">
            <w:pPr>
              <w:rPr>
                <w:color w:val="FFFFFF" w:themeColor="background1"/>
              </w:rPr>
            </w:pPr>
            <w:r w:rsidRPr="00157EF2">
              <w:rPr>
                <w:color w:val="FFFFFF" w:themeColor="background1"/>
              </w:rPr>
              <w:t>CDC, NCHSTP, DHAP, Prevention Research Branch</w:t>
            </w:r>
          </w:p>
        </w:tc>
        <w:tc>
          <w:tcPr>
            <w:tcW w:w="3084" w:type="pct"/>
            <w:shd w:val="clear" w:color="auto" w:fill="1F497D" w:themeFill="text2"/>
          </w:tcPr>
          <w:p w14:paraId="32CEBDF3" w14:textId="77777777" w:rsidR="004D31E8" w:rsidRPr="00157EF2" w:rsidRDefault="004D31E8" w:rsidP="00FD32CE">
            <w:pPr>
              <w:cnfStyle w:val="000000000000" w:firstRow="0" w:lastRow="0" w:firstColumn="0" w:lastColumn="0" w:oddVBand="0" w:evenVBand="0" w:oddHBand="0" w:evenHBand="0" w:firstRowFirstColumn="0" w:firstRowLastColumn="0" w:lastRowFirstColumn="0" w:lastRowLastColumn="0"/>
              <w:rPr>
                <w:color w:val="FFFFFF" w:themeColor="background1"/>
              </w:rPr>
            </w:pPr>
            <w:r w:rsidRPr="00157EF2">
              <w:rPr>
                <w:b/>
                <w:color w:val="FFFFFF" w:themeColor="background1"/>
              </w:rPr>
              <w:t>Roles and Responsibilities</w:t>
            </w:r>
          </w:p>
        </w:tc>
      </w:tr>
      <w:tr w:rsidR="004D31E8" w:rsidRPr="00157EF2" w14:paraId="0791D66C" w14:textId="77777777" w:rsidTr="00FD32CE">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916" w:type="pct"/>
          </w:tcPr>
          <w:p w14:paraId="55EA3E0F" w14:textId="77777777" w:rsidR="004D31E8" w:rsidRPr="00157EF2" w:rsidRDefault="004D31E8" w:rsidP="004D31E8">
            <w:pPr>
              <w:pStyle w:val="ListParagraph"/>
              <w:widowControl w:val="0"/>
              <w:numPr>
                <w:ilvl w:val="0"/>
                <w:numId w:val="26"/>
              </w:numPr>
              <w:tabs>
                <w:tab w:val="left" w:pos="145"/>
              </w:tabs>
              <w:autoSpaceDE w:val="0"/>
              <w:autoSpaceDN w:val="0"/>
              <w:adjustRightInd w:val="0"/>
              <w:spacing w:after="0" w:line="240" w:lineRule="auto"/>
              <w:ind w:left="243" w:hanging="180"/>
              <w:rPr>
                <w:rFonts w:ascii="Times New Roman" w:eastAsiaTheme="minorEastAsia" w:hAnsi="Times New Roman"/>
                <w:b w:val="0"/>
                <w:bCs w:val="0"/>
                <w:sz w:val="24"/>
                <w:szCs w:val="24"/>
              </w:rPr>
            </w:pPr>
            <w:r w:rsidRPr="00157EF2">
              <w:rPr>
                <w:rFonts w:ascii="Times New Roman" w:hAnsi="Times New Roman"/>
                <w:sz w:val="24"/>
                <w:szCs w:val="24"/>
              </w:rPr>
              <w:t>James W. Carey, MPH PhD, Project Officer/Contracting Officer Representative (COR)</w:t>
            </w:r>
          </w:p>
          <w:p w14:paraId="165BAFB3" w14:textId="77777777" w:rsidR="004D31E8" w:rsidRPr="00157EF2" w:rsidRDefault="004D31E8" w:rsidP="004D31E8">
            <w:pPr>
              <w:pStyle w:val="ListParagraph"/>
              <w:widowControl w:val="0"/>
              <w:numPr>
                <w:ilvl w:val="0"/>
                <w:numId w:val="26"/>
              </w:numPr>
              <w:tabs>
                <w:tab w:val="left" w:pos="145"/>
              </w:tabs>
              <w:autoSpaceDE w:val="0"/>
              <w:autoSpaceDN w:val="0"/>
              <w:adjustRightInd w:val="0"/>
              <w:spacing w:after="0" w:line="240" w:lineRule="auto"/>
              <w:ind w:left="243" w:hanging="180"/>
              <w:rPr>
                <w:rFonts w:ascii="Times New Roman" w:eastAsiaTheme="minorEastAsia" w:hAnsi="Times New Roman"/>
                <w:b w:val="0"/>
                <w:bCs w:val="0"/>
                <w:sz w:val="24"/>
                <w:szCs w:val="24"/>
              </w:rPr>
            </w:pPr>
            <w:r w:rsidRPr="00157EF2">
              <w:rPr>
                <w:rFonts w:ascii="Times New Roman" w:hAnsi="Times New Roman"/>
                <w:sz w:val="24"/>
                <w:szCs w:val="24"/>
              </w:rPr>
              <w:t>Deborah Gelaude, MA, Technical Monitor</w:t>
            </w:r>
          </w:p>
          <w:p w14:paraId="56702F3B" w14:textId="4C1DE68A" w:rsidR="004D31E8" w:rsidRPr="00157EF2" w:rsidRDefault="00675AA2" w:rsidP="004D31E8">
            <w:pPr>
              <w:pStyle w:val="ListParagraph"/>
              <w:widowControl w:val="0"/>
              <w:numPr>
                <w:ilvl w:val="0"/>
                <w:numId w:val="26"/>
              </w:numPr>
              <w:tabs>
                <w:tab w:val="left" w:pos="145"/>
              </w:tabs>
              <w:autoSpaceDE w:val="0"/>
              <w:autoSpaceDN w:val="0"/>
              <w:adjustRightInd w:val="0"/>
              <w:spacing w:after="0" w:line="240" w:lineRule="auto"/>
              <w:ind w:left="243" w:hanging="180"/>
              <w:rPr>
                <w:rFonts w:ascii="Times New Roman" w:eastAsiaTheme="minorEastAsia" w:hAnsi="Times New Roman"/>
                <w:b w:val="0"/>
                <w:bCs w:val="0"/>
                <w:sz w:val="24"/>
                <w:szCs w:val="24"/>
              </w:rPr>
            </w:pPr>
            <w:r>
              <w:rPr>
                <w:rFonts w:ascii="Times New Roman" w:hAnsi="Times New Roman"/>
                <w:sz w:val="24"/>
                <w:szCs w:val="24"/>
              </w:rPr>
              <w:t xml:space="preserve">Aisha Wilkes, MPH, </w:t>
            </w:r>
            <w:r w:rsidR="005F1708">
              <w:rPr>
                <w:rFonts w:ascii="Times New Roman" w:hAnsi="Times New Roman"/>
                <w:sz w:val="24"/>
                <w:szCs w:val="24"/>
              </w:rPr>
              <w:t xml:space="preserve">          </w:t>
            </w:r>
            <w:r>
              <w:rPr>
                <w:rFonts w:ascii="Times New Roman" w:hAnsi="Times New Roman"/>
                <w:sz w:val="24"/>
                <w:szCs w:val="24"/>
              </w:rPr>
              <w:t>CDC Consultant</w:t>
            </w:r>
          </w:p>
          <w:p w14:paraId="28D0D608" w14:textId="77777777" w:rsidR="004D31E8" w:rsidRPr="00157EF2" w:rsidRDefault="004D31E8" w:rsidP="004D31E8">
            <w:pPr>
              <w:pStyle w:val="ListParagraph"/>
              <w:widowControl w:val="0"/>
              <w:numPr>
                <w:ilvl w:val="0"/>
                <w:numId w:val="26"/>
              </w:numPr>
              <w:tabs>
                <w:tab w:val="left" w:pos="145"/>
              </w:tabs>
              <w:autoSpaceDE w:val="0"/>
              <w:autoSpaceDN w:val="0"/>
              <w:adjustRightInd w:val="0"/>
              <w:spacing w:after="0" w:line="240" w:lineRule="auto"/>
              <w:ind w:left="243" w:hanging="180"/>
              <w:rPr>
                <w:rFonts w:ascii="Times New Roman" w:eastAsiaTheme="minorEastAsia" w:hAnsi="Times New Roman"/>
                <w:b w:val="0"/>
                <w:bCs w:val="0"/>
                <w:sz w:val="24"/>
                <w:szCs w:val="24"/>
              </w:rPr>
            </w:pPr>
            <w:r w:rsidRPr="00157EF2">
              <w:rPr>
                <w:rFonts w:ascii="Times New Roman" w:hAnsi="Times New Roman"/>
                <w:sz w:val="24"/>
                <w:szCs w:val="24"/>
              </w:rPr>
              <w:t>Damian Denson, MPH, PhD, Technical Monitor</w:t>
            </w:r>
          </w:p>
          <w:p w14:paraId="56F0012C" w14:textId="3A840C03" w:rsidR="004D31E8" w:rsidRPr="00157EF2" w:rsidRDefault="004D31E8" w:rsidP="00157EF2">
            <w:pPr>
              <w:pStyle w:val="ListParagraph"/>
              <w:widowControl w:val="0"/>
              <w:tabs>
                <w:tab w:val="left" w:pos="145"/>
              </w:tabs>
              <w:autoSpaceDE w:val="0"/>
              <w:autoSpaceDN w:val="0"/>
              <w:adjustRightInd w:val="0"/>
              <w:spacing w:after="0" w:line="240" w:lineRule="auto"/>
              <w:ind w:left="243"/>
              <w:rPr>
                <w:rFonts w:ascii="Times New Roman" w:eastAsiaTheme="minorEastAsia" w:hAnsi="Times New Roman"/>
                <w:b w:val="0"/>
                <w:bCs w:val="0"/>
                <w:sz w:val="24"/>
                <w:szCs w:val="24"/>
              </w:rPr>
            </w:pPr>
          </w:p>
        </w:tc>
        <w:tc>
          <w:tcPr>
            <w:tcW w:w="3084" w:type="pct"/>
          </w:tcPr>
          <w:p w14:paraId="5069D80A" w14:textId="63E7DE24" w:rsidR="004D31E8" w:rsidRPr="00157EF2" w:rsidRDefault="004D31E8" w:rsidP="0098110D">
            <w:pPr>
              <w:cnfStyle w:val="000000100000" w:firstRow="0" w:lastRow="0" w:firstColumn="0" w:lastColumn="0" w:oddVBand="0" w:evenVBand="0" w:oddHBand="1" w:evenHBand="0" w:firstRowFirstColumn="0" w:firstRowLastColumn="0" w:lastRowFirstColumn="0" w:lastRowLastColumn="0"/>
            </w:pPr>
            <w:r w:rsidRPr="00157EF2">
              <w:t xml:space="preserve">The CDC Project Officer/COR and Technical Monitors are primarily responsible for providing </w:t>
            </w:r>
            <w:r w:rsidR="0098110D">
              <w:t xml:space="preserve">guidance </w:t>
            </w:r>
            <w:r w:rsidRPr="00157EF2">
              <w:t xml:space="preserve">in the design and implementation of the research; assisting in the development of the research protocol and data collection instruments for CDC Project Determination and local IRB review; working with investigators to facilitate appropriate research activities; and analyzing data and presenting findings at meetings and in publications.  The CDC Project Officer/COR and Technical Monitors will neither collect data from nor interact with research participants.  Data will be collected by Contractor staff.  No individual or organization identifiers will be linked to collected data, and no individually identifiable private information will be shared with or accessible by CDC staff. All datasets will be provided </w:t>
            </w:r>
            <w:r w:rsidRPr="00157EF2">
              <w:lastRenderedPageBreak/>
              <w:t>to CDC with individual participant study ID and Organization ID.</w:t>
            </w:r>
          </w:p>
        </w:tc>
      </w:tr>
    </w:tbl>
    <w:p w14:paraId="1103890A" w14:textId="77777777" w:rsidR="004D31E8" w:rsidRPr="00157EF2" w:rsidRDefault="004D31E8"/>
    <w:sectPr w:rsidR="004D31E8" w:rsidRPr="00157EF2" w:rsidSect="00C55413">
      <w:pgSz w:w="12240" w:h="15840"/>
      <w:pgMar w:top="1440" w:right="1440" w:bottom="1296"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97448" w14:textId="77777777" w:rsidR="00BC7F49" w:rsidRDefault="00BC7F49">
      <w:r>
        <w:separator/>
      </w:r>
    </w:p>
  </w:endnote>
  <w:endnote w:type="continuationSeparator" w:id="0">
    <w:p w14:paraId="0DB527BF" w14:textId="77777777" w:rsidR="00BC7F49" w:rsidRDefault="00BC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960E8" w14:textId="312D51A6" w:rsidR="005A5988" w:rsidRPr="00E52ED6" w:rsidRDefault="005A5988" w:rsidP="00E52ED6">
    <w:pPr>
      <w:pStyle w:val="Footer"/>
      <w:pBdr>
        <w:top w:val="single" w:sz="4" w:space="1" w:color="660000"/>
      </w:pBdr>
      <w:tabs>
        <w:tab w:val="clear" w:pos="8640"/>
        <w:tab w:val="right" w:pos="9360"/>
      </w:tabs>
      <w:rPr>
        <w:rFonts w:ascii="Calibri" w:hAnsi="Calibri" w:cs="Calibri"/>
        <w:sz w:val="20"/>
        <w:szCs w:val="20"/>
      </w:rPr>
    </w:pPr>
  </w:p>
  <w:p w14:paraId="58E76A0A" w14:textId="77777777" w:rsidR="005A5988" w:rsidRDefault="005A598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2F6F2" w14:textId="77777777" w:rsidR="00C718A4" w:rsidRPr="00E52ED6" w:rsidRDefault="00C718A4" w:rsidP="00E52ED6">
    <w:pPr>
      <w:pStyle w:val="Footer"/>
      <w:pBdr>
        <w:top w:val="single" w:sz="4" w:space="1" w:color="660000"/>
      </w:pBdr>
      <w:tabs>
        <w:tab w:val="clear" w:pos="8640"/>
        <w:tab w:val="right" w:pos="9360"/>
      </w:tabs>
      <w:rPr>
        <w:rFonts w:ascii="Calibri" w:hAnsi="Calibri" w:cs="Calibri"/>
        <w:sz w:val="20"/>
        <w:szCs w:val="20"/>
      </w:rPr>
    </w:pPr>
    <w:r w:rsidRPr="00E52ED6">
      <w:rPr>
        <w:rFonts w:ascii="Calibri" w:hAnsi="Calibri" w:cs="Calibri"/>
        <w:sz w:val="20"/>
        <w:szCs w:val="20"/>
      </w:rPr>
      <w:tab/>
      <w:t xml:space="preserve">Page </w:t>
    </w:r>
    <w:r w:rsidRPr="00E52ED6">
      <w:rPr>
        <w:rFonts w:ascii="Calibri" w:hAnsi="Calibri" w:cs="Calibri"/>
        <w:sz w:val="20"/>
        <w:szCs w:val="20"/>
      </w:rPr>
      <w:fldChar w:fldCharType="begin"/>
    </w:r>
    <w:r w:rsidRPr="00E52ED6">
      <w:rPr>
        <w:rFonts w:ascii="Calibri" w:hAnsi="Calibri" w:cs="Calibri"/>
        <w:sz w:val="20"/>
        <w:szCs w:val="20"/>
      </w:rPr>
      <w:instrText xml:space="preserve"> PAGE   \* MERGEFORMAT </w:instrText>
    </w:r>
    <w:r w:rsidRPr="00E52ED6">
      <w:rPr>
        <w:rFonts w:ascii="Calibri" w:hAnsi="Calibri" w:cs="Calibri"/>
        <w:sz w:val="20"/>
        <w:szCs w:val="20"/>
      </w:rPr>
      <w:fldChar w:fldCharType="separate"/>
    </w:r>
    <w:r w:rsidR="00FE223E">
      <w:rPr>
        <w:rFonts w:ascii="Calibri" w:hAnsi="Calibri" w:cs="Calibri"/>
        <w:noProof/>
        <w:sz w:val="20"/>
        <w:szCs w:val="20"/>
      </w:rPr>
      <w:t>2</w:t>
    </w:r>
    <w:r w:rsidRPr="00E52ED6">
      <w:rPr>
        <w:rFonts w:ascii="Calibri" w:hAnsi="Calibri" w:cs="Calibri"/>
        <w:noProof/>
        <w:sz w:val="20"/>
        <w:szCs w:val="20"/>
      </w:rPr>
      <w:fldChar w:fldCharType="end"/>
    </w:r>
    <w:r w:rsidRPr="00E52ED6">
      <w:rPr>
        <w:rFonts w:ascii="Calibri" w:hAnsi="Calibri" w:cs="Calibri"/>
        <w:sz w:val="20"/>
        <w:szCs w:val="20"/>
      </w:rPr>
      <w:tab/>
    </w:r>
  </w:p>
  <w:p w14:paraId="6B8884BE" w14:textId="77777777" w:rsidR="00C718A4" w:rsidRDefault="00C718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D034D" w14:textId="77777777" w:rsidR="00BC7F49" w:rsidRDefault="00BC7F49">
      <w:r>
        <w:separator/>
      </w:r>
    </w:p>
  </w:footnote>
  <w:footnote w:type="continuationSeparator" w:id="0">
    <w:p w14:paraId="192A97C6" w14:textId="77777777" w:rsidR="00BC7F49" w:rsidRDefault="00BC7F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E2697" w14:textId="77777777" w:rsidR="005A5988" w:rsidRPr="00162767" w:rsidRDefault="005A5988" w:rsidP="00D71624">
    <w:pPr>
      <w:pStyle w:val="Header"/>
      <w:tabs>
        <w:tab w:val="left" w:pos="57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737B9"/>
    <w:multiLevelType w:val="hybridMultilevel"/>
    <w:tmpl w:val="452295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A6311B"/>
    <w:multiLevelType w:val="hybridMultilevel"/>
    <w:tmpl w:val="36B4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24F39"/>
    <w:multiLevelType w:val="hybridMultilevel"/>
    <w:tmpl w:val="1862CF04"/>
    <w:lvl w:ilvl="0" w:tplc="99E8F8AA">
      <w:start w:val="1"/>
      <w:numFmt w:val="bullet"/>
      <w:lvlText w:val=""/>
      <w:lvlJc w:val="left"/>
      <w:pPr>
        <w:ind w:left="720" w:hanging="360"/>
      </w:pPr>
      <w:rPr>
        <w:rFonts w:ascii="Wingdings" w:hAnsi="Wingdings" w:hint="default"/>
        <w:sz w:val="16"/>
      </w:rPr>
    </w:lvl>
    <w:lvl w:ilvl="1" w:tplc="4D0C1E56">
      <w:start w:val="1"/>
      <w:numFmt w:val="bullet"/>
      <w:lvlText w:val="o"/>
      <w:lvlJc w:val="left"/>
      <w:pPr>
        <w:ind w:left="1440" w:hanging="360"/>
      </w:pPr>
      <w:rPr>
        <w:rFonts w:ascii="Courier New" w:hAnsi="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26BA7"/>
    <w:multiLevelType w:val="hybridMultilevel"/>
    <w:tmpl w:val="64E4ECC0"/>
    <w:lvl w:ilvl="0" w:tplc="5B3227DE">
      <w:start w:val="1"/>
      <w:numFmt w:val="bullet"/>
      <w:lvlText w:val=""/>
      <w:lvlJc w:val="left"/>
      <w:pPr>
        <w:ind w:left="720" w:hanging="360"/>
      </w:pPr>
      <w:rPr>
        <w:rFonts w:ascii="Symbol" w:hAnsi="Symbol" w:hint="default"/>
        <w:b w:val="0"/>
        <w:bCs w:val="0"/>
        <w:i w:val="0"/>
        <w:iCs w:val="0"/>
        <w:color w:val="auto"/>
        <w:sz w:val="19"/>
        <w:szCs w:val="1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D4AA6"/>
    <w:multiLevelType w:val="hybridMultilevel"/>
    <w:tmpl w:val="511E5010"/>
    <w:lvl w:ilvl="0" w:tplc="61F69FB8">
      <w:start w:val="1"/>
      <w:numFmt w:val="lowerLetter"/>
      <w:pStyle w:val="a-row"/>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9950377"/>
    <w:multiLevelType w:val="hybridMultilevel"/>
    <w:tmpl w:val="90523B10"/>
    <w:lvl w:ilvl="0" w:tplc="42E6C65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981FC9"/>
    <w:multiLevelType w:val="hybridMultilevel"/>
    <w:tmpl w:val="AE322D54"/>
    <w:lvl w:ilvl="0" w:tplc="69AAFC3A">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645A8"/>
    <w:multiLevelType w:val="hybridMultilevel"/>
    <w:tmpl w:val="728CD8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380563"/>
    <w:multiLevelType w:val="hybridMultilevel"/>
    <w:tmpl w:val="8CF04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DB1D8F"/>
    <w:multiLevelType w:val="hybridMultilevel"/>
    <w:tmpl w:val="FA9E20BA"/>
    <w:lvl w:ilvl="0" w:tplc="0AAA84E8">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A245ED"/>
    <w:multiLevelType w:val="hybridMultilevel"/>
    <w:tmpl w:val="DA22C1F2"/>
    <w:lvl w:ilvl="0" w:tplc="DF5C730E">
      <w:start w:val="1"/>
      <w:numFmt w:val="bullet"/>
      <w:pStyle w:val="Boxtextbullets"/>
      <w:lvlText w:val=""/>
      <w:lvlJc w:val="left"/>
      <w:pPr>
        <w:ind w:left="1368" w:hanging="360"/>
      </w:pPr>
      <w:rPr>
        <w:rFonts w:ascii="Symbol" w:hAnsi="Symbol" w:hint="default"/>
      </w:rPr>
    </w:lvl>
    <w:lvl w:ilvl="1" w:tplc="04090003">
      <w:start w:val="1"/>
      <w:numFmt w:val="bullet"/>
      <w:lvlText w:val="o"/>
      <w:lvlJc w:val="left"/>
      <w:pPr>
        <w:ind w:left="2088" w:hanging="360"/>
      </w:pPr>
      <w:rPr>
        <w:rFonts w:ascii="Courier New" w:hAnsi="Courier New" w:cs="Courier New" w:hint="default"/>
      </w:rPr>
    </w:lvl>
    <w:lvl w:ilvl="2" w:tplc="04090005">
      <w:start w:val="1"/>
      <w:numFmt w:val="bullet"/>
      <w:lvlText w:val=""/>
      <w:lvlJc w:val="left"/>
      <w:pPr>
        <w:ind w:left="2808" w:hanging="360"/>
      </w:pPr>
      <w:rPr>
        <w:rFonts w:ascii="Wingdings" w:hAnsi="Wingdings" w:hint="default"/>
      </w:rPr>
    </w:lvl>
    <w:lvl w:ilvl="3" w:tplc="04090001">
      <w:start w:val="1"/>
      <w:numFmt w:val="bullet"/>
      <w:lvlText w:val=""/>
      <w:lvlJc w:val="left"/>
      <w:pPr>
        <w:ind w:left="3528" w:hanging="360"/>
      </w:pPr>
      <w:rPr>
        <w:rFonts w:ascii="Symbol" w:hAnsi="Symbol" w:hint="default"/>
      </w:rPr>
    </w:lvl>
    <w:lvl w:ilvl="4" w:tplc="04090003">
      <w:start w:val="1"/>
      <w:numFmt w:val="bullet"/>
      <w:lvlText w:val="o"/>
      <w:lvlJc w:val="left"/>
      <w:pPr>
        <w:ind w:left="4248" w:hanging="360"/>
      </w:pPr>
      <w:rPr>
        <w:rFonts w:ascii="Courier New" w:hAnsi="Courier New" w:cs="Courier New" w:hint="default"/>
      </w:rPr>
    </w:lvl>
    <w:lvl w:ilvl="5" w:tplc="04090005">
      <w:start w:val="1"/>
      <w:numFmt w:val="bullet"/>
      <w:lvlText w:val=""/>
      <w:lvlJc w:val="left"/>
      <w:pPr>
        <w:ind w:left="4968" w:hanging="360"/>
      </w:pPr>
      <w:rPr>
        <w:rFonts w:ascii="Wingdings" w:hAnsi="Wingdings" w:hint="default"/>
      </w:rPr>
    </w:lvl>
    <w:lvl w:ilvl="6" w:tplc="04090001">
      <w:start w:val="1"/>
      <w:numFmt w:val="bullet"/>
      <w:lvlText w:val=""/>
      <w:lvlJc w:val="left"/>
      <w:pPr>
        <w:ind w:left="5688" w:hanging="360"/>
      </w:pPr>
      <w:rPr>
        <w:rFonts w:ascii="Symbol" w:hAnsi="Symbol" w:hint="default"/>
      </w:rPr>
    </w:lvl>
    <w:lvl w:ilvl="7" w:tplc="04090003">
      <w:start w:val="1"/>
      <w:numFmt w:val="bullet"/>
      <w:lvlText w:val="o"/>
      <w:lvlJc w:val="left"/>
      <w:pPr>
        <w:ind w:left="6408" w:hanging="360"/>
      </w:pPr>
      <w:rPr>
        <w:rFonts w:ascii="Courier New" w:hAnsi="Courier New" w:cs="Courier New" w:hint="default"/>
      </w:rPr>
    </w:lvl>
    <w:lvl w:ilvl="8" w:tplc="04090005">
      <w:start w:val="1"/>
      <w:numFmt w:val="bullet"/>
      <w:lvlText w:val=""/>
      <w:lvlJc w:val="left"/>
      <w:pPr>
        <w:ind w:left="7128" w:hanging="360"/>
      </w:pPr>
      <w:rPr>
        <w:rFonts w:ascii="Wingdings" w:hAnsi="Wingdings" w:hint="default"/>
      </w:rPr>
    </w:lvl>
  </w:abstractNum>
  <w:abstractNum w:abstractNumId="12" w15:restartNumberingAfterBreak="0">
    <w:nsid w:val="3AEE03E9"/>
    <w:multiLevelType w:val="hybridMultilevel"/>
    <w:tmpl w:val="66C6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C32DC1"/>
    <w:multiLevelType w:val="hybridMultilevel"/>
    <w:tmpl w:val="1B90D978"/>
    <w:lvl w:ilvl="0" w:tplc="099852EA">
      <w:start w:val="1"/>
      <w:numFmt w:val="bullet"/>
      <w:pStyle w:val="box-1"/>
      <w:lvlText w:val=""/>
      <w:lvlJc w:val="left"/>
      <w:pPr>
        <w:tabs>
          <w:tab w:val="num" w:pos="1080"/>
        </w:tabs>
        <w:ind w:left="1080" w:hanging="360"/>
      </w:pPr>
      <w:rPr>
        <w:rFonts w:ascii="Wingdings" w:hAnsi="Wingdings" w:hint="default"/>
      </w:rPr>
    </w:lvl>
    <w:lvl w:ilvl="1" w:tplc="909A06E2">
      <w:start w:val="1"/>
      <w:numFmt w:val="decimal"/>
      <w:lvlText w:val="%2."/>
      <w:lvlJc w:val="left"/>
      <w:pPr>
        <w:tabs>
          <w:tab w:val="num" w:pos="1440"/>
        </w:tabs>
        <w:ind w:left="1440" w:hanging="360"/>
      </w:pPr>
      <w:rPr>
        <w:rFonts w:cs="Times New Roman"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270248"/>
    <w:multiLevelType w:val="hybridMultilevel"/>
    <w:tmpl w:val="86D295DE"/>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E57C0E"/>
    <w:multiLevelType w:val="hybridMultilevel"/>
    <w:tmpl w:val="DB887A78"/>
    <w:lvl w:ilvl="0" w:tplc="016CCC70">
      <w:start w:val="1"/>
      <w:numFmt w:val="bullet"/>
      <w:lvlText w:val=""/>
      <w:lvlJc w:val="left"/>
      <w:pPr>
        <w:ind w:left="360" w:hanging="360"/>
      </w:pPr>
      <w:rPr>
        <w:rFonts w:ascii="Symbol" w:hAnsi="Symbol" w:hint="default"/>
        <w:color w:val="auto"/>
        <w:sz w:val="18"/>
        <w:szCs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C53E5B"/>
    <w:multiLevelType w:val="hybridMultilevel"/>
    <w:tmpl w:val="B324F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2A6457"/>
    <w:multiLevelType w:val="hybridMultilevel"/>
    <w:tmpl w:val="2E82A964"/>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73354D"/>
    <w:multiLevelType w:val="hybridMultilevel"/>
    <w:tmpl w:val="1CD8FEC2"/>
    <w:lvl w:ilvl="0" w:tplc="708882CC">
      <w:start w:val="1"/>
      <w:numFmt w:val="decimal"/>
      <w:pStyle w:val="1-question"/>
      <w:lvlText w:val="%1."/>
      <w:lvlJc w:val="left"/>
      <w:pPr>
        <w:tabs>
          <w:tab w:val="num" w:pos="720"/>
        </w:tabs>
        <w:ind w:left="720" w:hanging="72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8E34F30"/>
    <w:multiLevelType w:val="hybridMultilevel"/>
    <w:tmpl w:val="4C863B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B005741"/>
    <w:multiLevelType w:val="hybridMultilevel"/>
    <w:tmpl w:val="62EC628C"/>
    <w:lvl w:ilvl="0" w:tplc="23B06F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556A95"/>
    <w:multiLevelType w:val="hybridMultilevel"/>
    <w:tmpl w:val="3644601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DA24A9E"/>
    <w:multiLevelType w:val="hybridMultilevel"/>
    <w:tmpl w:val="C0B6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BA5D1A"/>
    <w:multiLevelType w:val="hybridMultilevel"/>
    <w:tmpl w:val="FAC8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4D1DD4"/>
    <w:multiLevelType w:val="hybridMultilevel"/>
    <w:tmpl w:val="23749A18"/>
    <w:lvl w:ilvl="0" w:tplc="D25A6B40">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3CC1B2D"/>
    <w:multiLevelType w:val="hybridMultilevel"/>
    <w:tmpl w:val="29B43E5A"/>
    <w:lvl w:ilvl="0" w:tplc="88A0D64C">
      <w:start w:val="1"/>
      <w:numFmt w:val="bullet"/>
      <w:lvlText w:val=""/>
      <w:lvlJc w:val="left"/>
      <w:pPr>
        <w:ind w:left="360" w:hanging="360"/>
      </w:pPr>
      <w:rPr>
        <w:rFonts w:ascii="Symbol" w:hAnsi="Symbol" w:hint="default"/>
        <w:color w:val="auto"/>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E2118B6"/>
    <w:multiLevelType w:val="multilevel"/>
    <w:tmpl w:val="91B8A57C"/>
    <w:lvl w:ilvl="0">
      <w:start w:val="1"/>
      <w:numFmt w:val="upperLetter"/>
      <w:pStyle w:val="Style1"/>
      <w:lvlText w:val="%1)"/>
      <w:lvlJc w:val="left"/>
      <w:pPr>
        <w:tabs>
          <w:tab w:val="num" w:pos="360"/>
        </w:tabs>
        <w:ind w:left="360" w:hanging="360"/>
      </w:pPr>
      <w:rPr>
        <w:rFonts w:cs="Times New Roman" w:hint="default"/>
      </w:rPr>
    </w:lvl>
    <w:lvl w:ilvl="1">
      <w:start w:val="1"/>
      <w:numFmt w:val="decimal"/>
      <w:pStyle w:val="Style2"/>
      <w:lvlText w:val="%2)"/>
      <w:lvlJc w:val="left"/>
      <w:pPr>
        <w:tabs>
          <w:tab w:val="num" w:pos="900"/>
        </w:tabs>
        <w:ind w:left="900" w:hanging="360"/>
      </w:pPr>
      <w:rPr>
        <w:rFonts w:cs="Times New Roman" w:hint="default"/>
      </w:rPr>
    </w:lvl>
    <w:lvl w:ilvl="2">
      <w:start w:val="1"/>
      <w:numFmt w:val="lowerLetter"/>
      <w:pStyle w:val="Style3"/>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6"/>
  </w:num>
  <w:num w:numId="2">
    <w:abstractNumId w:val="4"/>
  </w:num>
  <w:num w:numId="3">
    <w:abstractNumId w:val="13"/>
  </w:num>
  <w:num w:numId="4">
    <w:abstractNumId w:val="18"/>
  </w:num>
  <w:num w:numId="5">
    <w:abstractNumId w:val="2"/>
  </w:num>
  <w:num w:numId="6">
    <w:abstractNumId w:val="10"/>
  </w:num>
  <w:num w:numId="7">
    <w:abstractNumId w:val="19"/>
  </w:num>
  <w:num w:numId="8">
    <w:abstractNumId w:val="17"/>
  </w:num>
  <w:num w:numId="9">
    <w:abstractNumId w:val="14"/>
  </w:num>
  <w:num w:numId="10">
    <w:abstractNumId w:val="5"/>
  </w:num>
  <w:num w:numId="11">
    <w:abstractNumId w:val="7"/>
  </w:num>
  <w:num w:numId="12">
    <w:abstractNumId w:val="23"/>
  </w:num>
  <w:num w:numId="13">
    <w:abstractNumId w:val="21"/>
  </w:num>
  <w:num w:numId="14">
    <w:abstractNumId w:val="25"/>
  </w:num>
  <w:num w:numId="15">
    <w:abstractNumId w:val="11"/>
  </w:num>
  <w:num w:numId="16">
    <w:abstractNumId w:val="1"/>
  </w:num>
  <w:num w:numId="17">
    <w:abstractNumId w:val="0"/>
  </w:num>
  <w:num w:numId="18">
    <w:abstractNumId w:val="8"/>
  </w:num>
  <w:num w:numId="19">
    <w:abstractNumId w:val="22"/>
  </w:num>
  <w:num w:numId="20">
    <w:abstractNumId w:val="16"/>
  </w:num>
  <w:num w:numId="21">
    <w:abstractNumId w:val="12"/>
  </w:num>
  <w:num w:numId="22">
    <w:abstractNumId w:val="20"/>
  </w:num>
  <w:num w:numId="23">
    <w:abstractNumId w:val="24"/>
  </w:num>
  <w:num w:numId="24">
    <w:abstractNumId w:val="6"/>
  </w:num>
  <w:num w:numId="25">
    <w:abstractNumId w:val="15"/>
  </w:num>
  <w:num w:numId="26">
    <w:abstractNumId w:val="3"/>
  </w:num>
  <w:num w:numId="2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C3F"/>
    <w:rsid w:val="00005E03"/>
    <w:rsid w:val="00006ED9"/>
    <w:rsid w:val="000118C0"/>
    <w:rsid w:val="00017F25"/>
    <w:rsid w:val="000206BA"/>
    <w:rsid w:val="000211C0"/>
    <w:rsid w:val="00021D4B"/>
    <w:rsid w:val="00023165"/>
    <w:rsid w:val="000241A4"/>
    <w:rsid w:val="000254A0"/>
    <w:rsid w:val="00025B5B"/>
    <w:rsid w:val="0002647C"/>
    <w:rsid w:val="00032805"/>
    <w:rsid w:val="000344AD"/>
    <w:rsid w:val="000348CD"/>
    <w:rsid w:val="000369C8"/>
    <w:rsid w:val="0004319F"/>
    <w:rsid w:val="00043A79"/>
    <w:rsid w:val="00044848"/>
    <w:rsid w:val="0005179A"/>
    <w:rsid w:val="00053A5A"/>
    <w:rsid w:val="00054C87"/>
    <w:rsid w:val="00055787"/>
    <w:rsid w:val="00055F92"/>
    <w:rsid w:val="00057B32"/>
    <w:rsid w:val="000613A1"/>
    <w:rsid w:val="00061446"/>
    <w:rsid w:val="00064E6C"/>
    <w:rsid w:val="0007547C"/>
    <w:rsid w:val="000754BD"/>
    <w:rsid w:val="00076B37"/>
    <w:rsid w:val="00076DD5"/>
    <w:rsid w:val="00080425"/>
    <w:rsid w:val="00082D05"/>
    <w:rsid w:val="000862FD"/>
    <w:rsid w:val="000868A1"/>
    <w:rsid w:val="000A47B9"/>
    <w:rsid w:val="000B5F2C"/>
    <w:rsid w:val="000B6FC2"/>
    <w:rsid w:val="000C3B4C"/>
    <w:rsid w:val="000C3C1F"/>
    <w:rsid w:val="000C4ACF"/>
    <w:rsid w:val="000C64BE"/>
    <w:rsid w:val="000C7A56"/>
    <w:rsid w:val="000D6110"/>
    <w:rsid w:val="000D6458"/>
    <w:rsid w:val="000D7FAA"/>
    <w:rsid w:val="000E2E17"/>
    <w:rsid w:val="000E5A4C"/>
    <w:rsid w:val="000E7054"/>
    <w:rsid w:val="000E72C1"/>
    <w:rsid w:val="000E761F"/>
    <w:rsid w:val="000F4210"/>
    <w:rsid w:val="000F622F"/>
    <w:rsid w:val="000F7417"/>
    <w:rsid w:val="00101032"/>
    <w:rsid w:val="00110009"/>
    <w:rsid w:val="0011462B"/>
    <w:rsid w:val="00116F4F"/>
    <w:rsid w:val="00121E17"/>
    <w:rsid w:val="0012313A"/>
    <w:rsid w:val="00125F05"/>
    <w:rsid w:val="00126610"/>
    <w:rsid w:val="00126CF0"/>
    <w:rsid w:val="00130F61"/>
    <w:rsid w:val="00133678"/>
    <w:rsid w:val="00133B17"/>
    <w:rsid w:val="00135F78"/>
    <w:rsid w:val="00155E90"/>
    <w:rsid w:val="00157EF2"/>
    <w:rsid w:val="00162767"/>
    <w:rsid w:val="00162AC2"/>
    <w:rsid w:val="00163FCC"/>
    <w:rsid w:val="001654EF"/>
    <w:rsid w:val="00173E23"/>
    <w:rsid w:val="001745CF"/>
    <w:rsid w:val="00176C59"/>
    <w:rsid w:val="00184E31"/>
    <w:rsid w:val="001851BA"/>
    <w:rsid w:val="0018732D"/>
    <w:rsid w:val="00190A8B"/>
    <w:rsid w:val="00193618"/>
    <w:rsid w:val="00193FCD"/>
    <w:rsid w:val="00197FBE"/>
    <w:rsid w:val="001A114E"/>
    <w:rsid w:val="001A1A2C"/>
    <w:rsid w:val="001A23FD"/>
    <w:rsid w:val="001A307F"/>
    <w:rsid w:val="001A769F"/>
    <w:rsid w:val="001A786F"/>
    <w:rsid w:val="001B5B35"/>
    <w:rsid w:val="001B7442"/>
    <w:rsid w:val="001C12A5"/>
    <w:rsid w:val="001C78C0"/>
    <w:rsid w:val="001D5125"/>
    <w:rsid w:val="001D5307"/>
    <w:rsid w:val="001D6481"/>
    <w:rsid w:val="001D6D46"/>
    <w:rsid w:val="001E6CB5"/>
    <w:rsid w:val="001F29A5"/>
    <w:rsid w:val="001F5314"/>
    <w:rsid w:val="002011A4"/>
    <w:rsid w:val="002073E1"/>
    <w:rsid w:val="0021198B"/>
    <w:rsid w:val="00215E06"/>
    <w:rsid w:val="002172DF"/>
    <w:rsid w:val="0022265A"/>
    <w:rsid w:val="0022495D"/>
    <w:rsid w:val="002302F1"/>
    <w:rsid w:val="00230689"/>
    <w:rsid w:val="00230716"/>
    <w:rsid w:val="00231269"/>
    <w:rsid w:val="00241730"/>
    <w:rsid w:val="00246BA8"/>
    <w:rsid w:val="002471E3"/>
    <w:rsid w:val="0025476E"/>
    <w:rsid w:val="00254B15"/>
    <w:rsid w:val="0025695E"/>
    <w:rsid w:val="0026426C"/>
    <w:rsid w:val="00265CFB"/>
    <w:rsid w:val="002726F6"/>
    <w:rsid w:val="002774CD"/>
    <w:rsid w:val="00277D1A"/>
    <w:rsid w:val="0028007D"/>
    <w:rsid w:val="00281159"/>
    <w:rsid w:val="002902B7"/>
    <w:rsid w:val="00297045"/>
    <w:rsid w:val="002A2528"/>
    <w:rsid w:val="002A2824"/>
    <w:rsid w:val="002A3355"/>
    <w:rsid w:val="002A52C5"/>
    <w:rsid w:val="002A530F"/>
    <w:rsid w:val="002B287F"/>
    <w:rsid w:val="002B5613"/>
    <w:rsid w:val="002B7A02"/>
    <w:rsid w:val="002D02CD"/>
    <w:rsid w:val="002D121F"/>
    <w:rsid w:val="002D3CC5"/>
    <w:rsid w:val="002D440D"/>
    <w:rsid w:val="002E1089"/>
    <w:rsid w:val="002F0E7A"/>
    <w:rsid w:val="002F2235"/>
    <w:rsid w:val="002F429D"/>
    <w:rsid w:val="002F462E"/>
    <w:rsid w:val="002F7287"/>
    <w:rsid w:val="002F7B06"/>
    <w:rsid w:val="00303E21"/>
    <w:rsid w:val="00304E71"/>
    <w:rsid w:val="00305360"/>
    <w:rsid w:val="00307B7E"/>
    <w:rsid w:val="00307E27"/>
    <w:rsid w:val="00310291"/>
    <w:rsid w:val="0031248F"/>
    <w:rsid w:val="003149C4"/>
    <w:rsid w:val="003157E4"/>
    <w:rsid w:val="00316EA4"/>
    <w:rsid w:val="00320027"/>
    <w:rsid w:val="003213E0"/>
    <w:rsid w:val="0032473B"/>
    <w:rsid w:val="00341513"/>
    <w:rsid w:val="00341605"/>
    <w:rsid w:val="003422FA"/>
    <w:rsid w:val="00353AB1"/>
    <w:rsid w:val="00355DDB"/>
    <w:rsid w:val="003572AF"/>
    <w:rsid w:val="00361B83"/>
    <w:rsid w:val="00365DCC"/>
    <w:rsid w:val="003666D6"/>
    <w:rsid w:val="00367B1B"/>
    <w:rsid w:val="00371275"/>
    <w:rsid w:val="00373089"/>
    <w:rsid w:val="00375CF8"/>
    <w:rsid w:val="003770C0"/>
    <w:rsid w:val="00382663"/>
    <w:rsid w:val="00382FC2"/>
    <w:rsid w:val="00386583"/>
    <w:rsid w:val="003903A4"/>
    <w:rsid w:val="003938EF"/>
    <w:rsid w:val="00394BF1"/>
    <w:rsid w:val="003959B0"/>
    <w:rsid w:val="00397C78"/>
    <w:rsid w:val="003A0675"/>
    <w:rsid w:val="003A6C09"/>
    <w:rsid w:val="003B170B"/>
    <w:rsid w:val="003B5FD7"/>
    <w:rsid w:val="003C16A6"/>
    <w:rsid w:val="003C282D"/>
    <w:rsid w:val="003C4F32"/>
    <w:rsid w:val="003C6A47"/>
    <w:rsid w:val="003D1F53"/>
    <w:rsid w:val="003E576A"/>
    <w:rsid w:val="003F0A8A"/>
    <w:rsid w:val="003F19C9"/>
    <w:rsid w:val="003F298E"/>
    <w:rsid w:val="003F46F1"/>
    <w:rsid w:val="003F49B4"/>
    <w:rsid w:val="003F4C36"/>
    <w:rsid w:val="003F7F43"/>
    <w:rsid w:val="0040309E"/>
    <w:rsid w:val="004039A9"/>
    <w:rsid w:val="004069A4"/>
    <w:rsid w:val="00407379"/>
    <w:rsid w:val="0042054B"/>
    <w:rsid w:val="00425678"/>
    <w:rsid w:val="004318B2"/>
    <w:rsid w:val="00431B38"/>
    <w:rsid w:val="00431BC7"/>
    <w:rsid w:val="00433259"/>
    <w:rsid w:val="004348EE"/>
    <w:rsid w:val="004366E1"/>
    <w:rsid w:val="004420A4"/>
    <w:rsid w:val="00443F75"/>
    <w:rsid w:val="00444F70"/>
    <w:rsid w:val="00445CF3"/>
    <w:rsid w:val="00453ACD"/>
    <w:rsid w:val="00455F96"/>
    <w:rsid w:val="00464DB6"/>
    <w:rsid w:val="00467B69"/>
    <w:rsid w:val="00472D82"/>
    <w:rsid w:val="00476AE6"/>
    <w:rsid w:val="004832E8"/>
    <w:rsid w:val="0048677A"/>
    <w:rsid w:val="004867BA"/>
    <w:rsid w:val="0048702C"/>
    <w:rsid w:val="00491DAC"/>
    <w:rsid w:val="00495104"/>
    <w:rsid w:val="004A1737"/>
    <w:rsid w:val="004A1903"/>
    <w:rsid w:val="004A45EE"/>
    <w:rsid w:val="004A6ABE"/>
    <w:rsid w:val="004B09F1"/>
    <w:rsid w:val="004C14B2"/>
    <w:rsid w:val="004C21F8"/>
    <w:rsid w:val="004D31E8"/>
    <w:rsid w:val="004D5F45"/>
    <w:rsid w:val="004D7801"/>
    <w:rsid w:val="004D79C2"/>
    <w:rsid w:val="004F2EB2"/>
    <w:rsid w:val="004F5E15"/>
    <w:rsid w:val="004F7F9B"/>
    <w:rsid w:val="005010CB"/>
    <w:rsid w:val="005019A3"/>
    <w:rsid w:val="0050277D"/>
    <w:rsid w:val="00503CED"/>
    <w:rsid w:val="00506BE5"/>
    <w:rsid w:val="005107D9"/>
    <w:rsid w:val="00512E9A"/>
    <w:rsid w:val="005134C2"/>
    <w:rsid w:val="00514266"/>
    <w:rsid w:val="00520EB7"/>
    <w:rsid w:val="00520F7B"/>
    <w:rsid w:val="00522938"/>
    <w:rsid w:val="005239F1"/>
    <w:rsid w:val="00524916"/>
    <w:rsid w:val="00532C02"/>
    <w:rsid w:val="005372A8"/>
    <w:rsid w:val="00546C9C"/>
    <w:rsid w:val="00554F7E"/>
    <w:rsid w:val="00562EA1"/>
    <w:rsid w:val="005660E7"/>
    <w:rsid w:val="005773E9"/>
    <w:rsid w:val="0058301E"/>
    <w:rsid w:val="0058342A"/>
    <w:rsid w:val="0058465D"/>
    <w:rsid w:val="005848AD"/>
    <w:rsid w:val="00585792"/>
    <w:rsid w:val="005869E1"/>
    <w:rsid w:val="00587144"/>
    <w:rsid w:val="005903A3"/>
    <w:rsid w:val="00591C94"/>
    <w:rsid w:val="00593B54"/>
    <w:rsid w:val="0059419A"/>
    <w:rsid w:val="005943C4"/>
    <w:rsid w:val="00596029"/>
    <w:rsid w:val="0059628C"/>
    <w:rsid w:val="00597305"/>
    <w:rsid w:val="005A5988"/>
    <w:rsid w:val="005A65F0"/>
    <w:rsid w:val="005B55F5"/>
    <w:rsid w:val="005C18DE"/>
    <w:rsid w:val="005C3984"/>
    <w:rsid w:val="005D016E"/>
    <w:rsid w:val="005D404F"/>
    <w:rsid w:val="005D4D38"/>
    <w:rsid w:val="005D6F08"/>
    <w:rsid w:val="005E09B6"/>
    <w:rsid w:val="005F1708"/>
    <w:rsid w:val="005F171E"/>
    <w:rsid w:val="005F555F"/>
    <w:rsid w:val="0060024B"/>
    <w:rsid w:val="00600D19"/>
    <w:rsid w:val="00604942"/>
    <w:rsid w:val="00611453"/>
    <w:rsid w:val="00613657"/>
    <w:rsid w:val="006137FE"/>
    <w:rsid w:val="00615883"/>
    <w:rsid w:val="00630146"/>
    <w:rsid w:val="00633AE5"/>
    <w:rsid w:val="006356AE"/>
    <w:rsid w:val="006503F2"/>
    <w:rsid w:val="00652FB5"/>
    <w:rsid w:val="006551C9"/>
    <w:rsid w:val="00660F95"/>
    <w:rsid w:val="006626F7"/>
    <w:rsid w:val="00666A04"/>
    <w:rsid w:val="00670C60"/>
    <w:rsid w:val="0067457D"/>
    <w:rsid w:val="00675AA2"/>
    <w:rsid w:val="006774E0"/>
    <w:rsid w:val="0068068C"/>
    <w:rsid w:val="0068223F"/>
    <w:rsid w:val="00682AC1"/>
    <w:rsid w:val="006845BF"/>
    <w:rsid w:val="00684DB7"/>
    <w:rsid w:val="00691EA6"/>
    <w:rsid w:val="006930A1"/>
    <w:rsid w:val="00696660"/>
    <w:rsid w:val="00697990"/>
    <w:rsid w:val="00697FCB"/>
    <w:rsid w:val="006A35CE"/>
    <w:rsid w:val="006A6566"/>
    <w:rsid w:val="006B1B23"/>
    <w:rsid w:val="006B39B4"/>
    <w:rsid w:val="006B453A"/>
    <w:rsid w:val="006B636A"/>
    <w:rsid w:val="006C0293"/>
    <w:rsid w:val="006C3B90"/>
    <w:rsid w:val="006C45BF"/>
    <w:rsid w:val="006E092E"/>
    <w:rsid w:val="006E0DD8"/>
    <w:rsid w:val="006E181F"/>
    <w:rsid w:val="006E4DFA"/>
    <w:rsid w:val="006F1F6E"/>
    <w:rsid w:val="006F5358"/>
    <w:rsid w:val="00725DA2"/>
    <w:rsid w:val="007343EA"/>
    <w:rsid w:val="00735896"/>
    <w:rsid w:val="00735FBC"/>
    <w:rsid w:val="00740CBB"/>
    <w:rsid w:val="0074699B"/>
    <w:rsid w:val="00747C12"/>
    <w:rsid w:val="00753D63"/>
    <w:rsid w:val="00753E2E"/>
    <w:rsid w:val="007564EC"/>
    <w:rsid w:val="00756564"/>
    <w:rsid w:val="00757877"/>
    <w:rsid w:val="0076179A"/>
    <w:rsid w:val="007635BD"/>
    <w:rsid w:val="00770395"/>
    <w:rsid w:val="00770642"/>
    <w:rsid w:val="0077151B"/>
    <w:rsid w:val="0077525E"/>
    <w:rsid w:val="00777313"/>
    <w:rsid w:val="00780858"/>
    <w:rsid w:val="00782C76"/>
    <w:rsid w:val="00783036"/>
    <w:rsid w:val="0078520E"/>
    <w:rsid w:val="00787F84"/>
    <w:rsid w:val="00791FCC"/>
    <w:rsid w:val="00794052"/>
    <w:rsid w:val="00797329"/>
    <w:rsid w:val="007A0407"/>
    <w:rsid w:val="007A0E96"/>
    <w:rsid w:val="007B4016"/>
    <w:rsid w:val="007B43AA"/>
    <w:rsid w:val="007B4D4D"/>
    <w:rsid w:val="007B61C0"/>
    <w:rsid w:val="007B6C56"/>
    <w:rsid w:val="007C1DAD"/>
    <w:rsid w:val="007C37E8"/>
    <w:rsid w:val="007C4E7E"/>
    <w:rsid w:val="007D0EEF"/>
    <w:rsid w:val="007D4E67"/>
    <w:rsid w:val="007E3962"/>
    <w:rsid w:val="007E63AA"/>
    <w:rsid w:val="007F625B"/>
    <w:rsid w:val="00810B2C"/>
    <w:rsid w:val="0081570C"/>
    <w:rsid w:val="008164CC"/>
    <w:rsid w:val="00821623"/>
    <w:rsid w:val="008260CC"/>
    <w:rsid w:val="0082788F"/>
    <w:rsid w:val="008311BB"/>
    <w:rsid w:val="00833BEB"/>
    <w:rsid w:val="008378B9"/>
    <w:rsid w:val="00842824"/>
    <w:rsid w:val="00842849"/>
    <w:rsid w:val="0085018B"/>
    <w:rsid w:val="0085181F"/>
    <w:rsid w:val="00852F23"/>
    <w:rsid w:val="008606D3"/>
    <w:rsid w:val="00860AFD"/>
    <w:rsid w:val="0086148B"/>
    <w:rsid w:val="008622A8"/>
    <w:rsid w:val="00865049"/>
    <w:rsid w:val="0087329A"/>
    <w:rsid w:val="00873D17"/>
    <w:rsid w:val="00881FBC"/>
    <w:rsid w:val="00883CC4"/>
    <w:rsid w:val="00884290"/>
    <w:rsid w:val="00885332"/>
    <w:rsid w:val="00886F49"/>
    <w:rsid w:val="008870B8"/>
    <w:rsid w:val="00891C61"/>
    <w:rsid w:val="008A0E96"/>
    <w:rsid w:val="008A3814"/>
    <w:rsid w:val="008A5B86"/>
    <w:rsid w:val="008A64AC"/>
    <w:rsid w:val="008A6839"/>
    <w:rsid w:val="008A736F"/>
    <w:rsid w:val="008B155C"/>
    <w:rsid w:val="008B38FC"/>
    <w:rsid w:val="008B3EEE"/>
    <w:rsid w:val="008B62E8"/>
    <w:rsid w:val="008B7CC1"/>
    <w:rsid w:val="008C5316"/>
    <w:rsid w:val="008C7399"/>
    <w:rsid w:val="008D265B"/>
    <w:rsid w:val="008D298C"/>
    <w:rsid w:val="008D2A3D"/>
    <w:rsid w:val="008D7495"/>
    <w:rsid w:val="008E06C2"/>
    <w:rsid w:val="008E5343"/>
    <w:rsid w:val="008E58ED"/>
    <w:rsid w:val="008E711C"/>
    <w:rsid w:val="008F204A"/>
    <w:rsid w:val="008F39FC"/>
    <w:rsid w:val="008F44D2"/>
    <w:rsid w:val="008F6093"/>
    <w:rsid w:val="008F6F3E"/>
    <w:rsid w:val="00903A5B"/>
    <w:rsid w:val="00903C4F"/>
    <w:rsid w:val="009043AC"/>
    <w:rsid w:val="00905398"/>
    <w:rsid w:val="0091162F"/>
    <w:rsid w:val="00912A3C"/>
    <w:rsid w:val="00912D31"/>
    <w:rsid w:val="00913C42"/>
    <w:rsid w:val="00916AD7"/>
    <w:rsid w:val="00921429"/>
    <w:rsid w:val="00923A45"/>
    <w:rsid w:val="00923EFF"/>
    <w:rsid w:val="009264DB"/>
    <w:rsid w:val="00926721"/>
    <w:rsid w:val="00927574"/>
    <w:rsid w:val="009275D5"/>
    <w:rsid w:val="009340FC"/>
    <w:rsid w:val="00940FA5"/>
    <w:rsid w:val="00944978"/>
    <w:rsid w:val="00945F96"/>
    <w:rsid w:val="00946254"/>
    <w:rsid w:val="009543F4"/>
    <w:rsid w:val="00956B01"/>
    <w:rsid w:val="00956B59"/>
    <w:rsid w:val="0096212E"/>
    <w:rsid w:val="009666D5"/>
    <w:rsid w:val="0097654C"/>
    <w:rsid w:val="00976E71"/>
    <w:rsid w:val="0098110D"/>
    <w:rsid w:val="00987D1B"/>
    <w:rsid w:val="0099371D"/>
    <w:rsid w:val="009968C6"/>
    <w:rsid w:val="00997ADD"/>
    <w:rsid w:val="009A014F"/>
    <w:rsid w:val="009A372B"/>
    <w:rsid w:val="009A3B5A"/>
    <w:rsid w:val="009A494C"/>
    <w:rsid w:val="009B21CA"/>
    <w:rsid w:val="009B41ED"/>
    <w:rsid w:val="009B4239"/>
    <w:rsid w:val="009B49C8"/>
    <w:rsid w:val="009B6D15"/>
    <w:rsid w:val="009B78CB"/>
    <w:rsid w:val="009C0626"/>
    <w:rsid w:val="009C1255"/>
    <w:rsid w:val="009C4EE6"/>
    <w:rsid w:val="009C5AEA"/>
    <w:rsid w:val="009C7439"/>
    <w:rsid w:val="009C7549"/>
    <w:rsid w:val="009D1AAE"/>
    <w:rsid w:val="009D2E59"/>
    <w:rsid w:val="009E787B"/>
    <w:rsid w:val="009F5733"/>
    <w:rsid w:val="009F7B05"/>
    <w:rsid w:val="009F7F42"/>
    <w:rsid w:val="00A015CA"/>
    <w:rsid w:val="00A0503D"/>
    <w:rsid w:val="00A06A34"/>
    <w:rsid w:val="00A07080"/>
    <w:rsid w:val="00A22C5C"/>
    <w:rsid w:val="00A23B11"/>
    <w:rsid w:val="00A26A27"/>
    <w:rsid w:val="00A3383C"/>
    <w:rsid w:val="00A35B7C"/>
    <w:rsid w:val="00A37A7F"/>
    <w:rsid w:val="00A40407"/>
    <w:rsid w:val="00A42000"/>
    <w:rsid w:val="00A442B9"/>
    <w:rsid w:val="00A502A9"/>
    <w:rsid w:val="00A5200B"/>
    <w:rsid w:val="00A6378D"/>
    <w:rsid w:val="00A67938"/>
    <w:rsid w:val="00A70AA8"/>
    <w:rsid w:val="00A715AD"/>
    <w:rsid w:val="00A73DB4"/>
    <w:rsid w:val="00A7552C"/>
    <w:rsid w:val="00A82AFC"/>
    <w:rsid w:val="00A82DE4"/>
    <w:rsid w:val="00A8431F"/>
    <w:rsid w:val="00A87D9E"/>
    <w:rsid w:val="00A87E64"/>
    <w:rsid w:val="00A9575F"/>
    <w:rsid w:val="00AA0247"/>
    <w:rsid w:val="00AA1632"/>
    <w:rsid w:val="00AA2EEE"/>
    <w:rsid w:val="00AA51B4"/>
    <w:rsid w:val="00AB0F3C"/>
    <w:rsid w:val="00AB4972"/>
    <w:rsid w:val="00AC2CFB"/>
    <w:rsid w:val="00AC4362"/>
    <w:rsid w:val="00AC5766"/>
    <w:rsid w:val="00AD06FC"/>
    <w:rsid w:val="00AD2C6A"/>
    <w:rsid w:val="00AD3960"/>
    <w:rsid w:val="00AD5175"/>
    <w:rsid w:val="00AD55FA"/>
    <w:rsid w:val="00AE2179"/>
    <w:rsid w:val="00AE61B6"/>
    <w:rsid w:val="00AE7E5F"/>
    <w:rsid w:val="00AF0240"/>
    <w:rsid w:val="00B00849"/>
    <w:rsid w:val="00B053B8"/>
    <w:rsid w:val="00B063EB"/>
    <w:rsid w:val="00B1250B"/>
    <w:rsid w:val="00B16A2D"/>
    <w:rsid w:val="00B2492B"/>
    <w:rsid w:val="00B355A4"/>
    <w:rsid w:val="00B40475"/>
    <w:rsid w:val="00B40EF6"/>
    <w:rsid w:val="00B410A2"/>
    <w:rsid w:val="00B43DC2"/>
    <w:rsid w:val="00B45580"/>
    <w:rsid w:val="00B503AB"/>
    <w:rsid w:val="00B536C3"/>
    <w:rsid w:val="00B53FFD"/>
    <w:rsid w:val="00B63F0D"/>
    <w:rsid w:val="00B7090D"/>
    <w:rsid w:val="00B75AD9"/>
    <w:rsid w:val="00B80238"/>
    <w:rsid w:val="00B83171"/>
    <w:rsid w:val="00B86A95"/>
    <w:rsid w:val="00B90F7E"/>
    <w:rsid w:val="00B92338"/>
    <w:rsid w:val="00B9748C"/>
    <w:rsid w:val="00BA2A89"/>
    <w:rsid w:val="00BA2EEC"/>
    <w:rsid w:val="00BA2F6B"/>
    <w:rsid w:val="00BA2F78"/>
    <w:rsid w:val="00BA3D0B"/>
    <w:rsid w:val="00BA4EE2"/>
    <w:rsid w:val="00BA65F9"/>
    <w:rsid w:val="00BA71FF"/>
    <w:rsid w:val="00BC050B"/>
    <w:rsid w:val="00BC0EE1"/>
    <w:rsid w:val="00BC1FBA"/>
    <w:rsid w:val="00BC2934"/>
    <w:rsid w:val="00BC4618"/>
    <w:rsid w:val="00BC5006"/>
    <w:rsid w:val="00BC5009"/>
    <w:rsid w:val="00BC76A2"/>
    <w:rsid w:val="00BC7F49"/>
    <w:rsid w:val="00BD0261"/>
    <w:rsid w:val="00BD1A01"/>
    <w:rsid w:val="00BD21C7"/>
    <w:rsid w:val="00BD608D"/>
    <w:rsid w:val="00BD6BF2"/>
    <w:rsid w:val="00BE13C7"/>
    <w:rsid w:val="00BE265D"/>
    <w:rsid w:val="00BE49D5"/>
    <w:rsid w:val="00BF0517"/>
    <w:rsid w:val="00BF4A4D"/>
    <w:rsid w:val="00BF4FF0"/>
    <w:rsid w:val="00BF6B6F"/>
    <w:rsid w:val="00C001DE"/>
    <w:rsid w:val="00C015C4"/>
    <w:rsid w:val="00C05B3E"/>
    <w:rsid w:val="00C21607"/>
    <w:rsid w:val="00C24D70"/>
    <w:rsid w:val="00C25CB6"/>
    <w:rsid w:val="00C3091B"/>
    <w:rsid w:val="00C323DF"/>
    <w:rsid w:val="00C37DE4"/>
    <w:rsid w:val="00C417F0"/>
    <w:rsid w:val="00C4306A"/>
    <w:rsid w:val="00C4351E"/>
    <w:rsid w:val="00C445FE"/>
    <w:rsid w:val="00C4460F"/>
    <w:rsid w:val="00C47368"/>
    <w:rsid w:val="00C54D39"/>
    <w:rsid w:val="00C55413"/>
    <w:rsid w:val="00C56690"/>
    <w:rsid w:val="00C62F19"/>
    <w:rsid w:val="00C64C0A"/>
    <w:rsid w:val="00C65993"/>
    <w:rsid w:val="00C659A9"/>
    <w:rsid w:val="00C718A4"/>
    <w:rsid w:val="00C7220E"/>
    <w:rsid w:val="00C75CE9"/>
    <w:rsid w:val="00C7698F"/>
    <w:rsid w:val="00C775F1"/>
    <w:rsid w:val="00C831D1"/>
    <w:rsid w:val="00C915F9"/>
    <w:rsid w:val="00CA097F"/>
    <w:rsid w:val="00CA62CA"/>
    <w:rsid w:val="00CA6C98"/>
    <w:rsid w:val="00CB0C49"/>
    <w:rsid w:val="00CB178B"/>
    <w:rsid w:val="00CB2450"/>
    <w:rsid w:val="00CB2478"/>
    <w:rsid w:val="00CB759E"/>
    <w:rsid w:val="00CC50AB"/>
    <w:rsid w:val="00CC53CD"/>
    <w:rsid w:val="00CC544A"/>
    <w:rsid w:val="00CC6B1C"/>
    <w:rsid w:val="00CD6CC8"/>
    <w:rsid w:val="00CD6FE2"/>
    <w:rsid w:val="00CD6FFE"/>
    <w:rsid w:val="00CE10BA"/>
    <w:rsid w:val="00CE26D5"/>
    <w:rsid w:val="00CE4206"/>
    <w:rsid w:val="00CF0356"/>
    <w:rsid w:val="00CF1207"/>
    <w:rsid w:val="00CF2A4A"/>
    <w:rsid w:val="00CF3CD7"/>
    <w:rsid w:val="00CF4ACC"/>
    <w:rsid w:val="00CF6BA7"/>
    <w:rsid w:val="00D01E28"/>
    <w:rsid w:val="00D01F7D"/>
    <w:rsid w:val="00D1086D"/>
    <w:rsid w:val="00D11FA3"/>
    <w:rsid w:val="00D11FF4"/>
    <w:rsid w:val="00D14022"/>
    <w:rsid w:val="00D1696D"/>
    <w:rsid w:val="00D22AB5"/>
    <w:rsid w:val="00D23058"/>
    <w:rsid w:val="00D23489"/>
    <w:rsid w:val="00D2516D"/>
    <w:rsid w:val="00D265AF"/>
    <w:rsid w:val="00D26877"/>
    <w:rsid w:val="00D2725C"/>
    <w:rsid w:val="00D30356"/>
    <w:rsid w:val="00D30C99"/>
    <w:rsid w:val="00D31547"/>
    <w:rsid w:val="00D33B9F"/>
    <w:rsid w:val="00D36A44"/>
    <w:rsid w:val="00D40715"/>
    <w:rsid w:val="00D410B1"/>
    <w:rsid w:val="00D50466"/>
    <w:rsid w:val="00D60288"/>
    <w:rsid w:val="00D60CE0"/>
    <w:rsid w:val="00D651DE"/>
    <w:rsid w:val="00D71624"/>
    <w:rsid w:val="00D76A85"/>
    <w:rsid w:val="00D842BA"/>
    <w:rsid w:val="00D85CC6"/>
    <w:rsid w:val="00D929EC"/>
    <w:rsid w:val="00DA1752"/>
    <w:rsid w:val="00DA35C4"/>
    <w:rsid w:val="00DA7CF1"/>
    <w:rsid w:val="00DB3EEE"/>
    <w:rsid w:val="00DB61D4"/>
    <w:rsid w:val="00DB79A5"/>
    <w:rsid w:val="00DB7F1B"/>
    <w:rsid w:val="00DC0581"/>
    <w:rsid w:val="00DC44FF"/>
    <w:rsid w:val="00DC4C3C"/>
    <w:rsid w:val="00DC778B"/>
    <w:rsid w:val="00DD085E"/>
    <w:rsid w:val="00DD4844"/>
    <w:rsid w:val="00DD7A9F"/>
    <w:rsid w:val="00DE0C28"/>
    <w:rsid w:val="00DE2EB4"/>
    <w:rsid w:val="00DE3EB5"/>
    <w:rsid w:val="00DE59A4"/>
    <w:rsid w:val="00DF78FE"/>
    <w:rsid w:val="00DF7F31"/>
    <w:rsid w:val="00E0052A"/>
    <w:rsid w:val="00E00972"/>
    <w:rsid w:val="00E06A2F"/>
    <w:rsid w:val="00E07AFD"/>
    <w:rsid w:val="00E11E92"/>
    <w:rsid w:val="00E160D2"/>
    <w:rsid w:val="00E20C2F"/>
    <w:rsid w:val="00E23F58"/>
    <w:rsid w:val="00E257AD"/>
    <w:rsid w:val="00E261FA"/>
    <w:rsid w:val="00E275B0"/>
    <w:rsid w:val="00E3121B"/>
    <w:rsid w:val="00E3420D"/>
    <w:rsid w:val="00E35343"/>
    <w:rsid w:val="00E3701A"/>
    <w:rsid w:val="00E4385E"/>
    <w:rsid w:val="00E44730"/>
    <w:rsid w:val="00E46567"/>
    <w:rsid w:val="00E51A45"/>
    <w:rsid w:val="00E52ED6"/>
    <w:rsid w:val="00E54244"/>
    <w:rsid w:val="00E56E99"/>
    <w:rsid w:val="00E5740D"/>
    <w:rsid w:val="00E5774B"/>
    <w:rsid w:val="00E60A24"/>
    <w:rsid w:val="00E636ED"/>
    <w:rsid w:val="00E65382"/>
    <w:rsid w:val="00E70850"/>
    <w:rsid w:val="00E72B22"/>
    <w:rsid w:val="00E73DEA"/>
    <w:rsid w:val="00E76421"/>
    <w:rsid w:val="00E82FAE"/>
    <w:rsid w:val="00E83E29"/>
    <w:rsid w:val="00E84219"/>
    <w:rsid w:val="00E94A49"/>
    <w:rsid w:val="00E94D48"/>
    <w:rsid w:val="00EA39C0"/>
    <w:rsid w:val="00EA6D60"/>
    <w:rsid w:val="00EB29AE"/>
    <w:rsid w:val="00EB3755"/>
    <w:rsid w:val="00EB3E19"/>
    <w:rsid w:val="00EB6269"/>
    <w:rsid w:val="00EC608E"/>
    <w:rsid w:val="00ED5A75"/>
    <w:rsid w:val="00ED60B9"/>
    <w:rsid w:val="00EE1255"/>
    <w:rsid w:val="00EE3D91"/>
    <w:rsid w:val="00EE4866"/>
    <w:rsid w:val="00EE549E"/>
    <w:rsid w:val="00EE5B69"/>
    <w:rsid w:val="00EE62E5"/>
    <w:rsid w:val="00EE7B34"/>
    <w:rsid w:val="00EF157B"/>
    <w:rsid w:val="00EF1BEE"/>
    <w:rsid w:val="00F02332"/>
    <w:rsid w:val="00F03FA9"/>
    <w:rsid w:val="00F0760A"/>
    <w:rsid w:val="00F101C3"/>
    <w:rsid w:val="00F11C3F"/>
    <w:rsid w:val="00F13205"/>
    <w:rsid w:val="00F2159B"/>
    <w:rsid w:val="00F2558A"/>
    <w:rsid w:val="00F25898"/>
    <w:rsid w:val="00F3212A"/>
    <w:rsid w:val="00F33D17"/>
    <w:rsid w:val="00F40850"/>
    <w:rsid w:val="00F42629"/>
    <w:rsid w:val="00F452D7"/>
    <w:rsid w:val="00F50FCF"/>
    <w:rsid w:val="00F518BA"/>
    <w:rsid w:val="00F5235F"/>
    <w:rsid w:val="00F53A58"/>
    <w:rsid w:val="00F54652"/>
    <w:rsid w:val="00F5646A"/>
    <w:rsid w:val="00F566DE"/>
    <w:rsid w:val="00F622B2"/>
    <w:rsid w:val="00F63709"/>
    <w:rsid w:val="00F6515D"/>
    <w:rsid w:val="00F727CF"/>
    <w:rsid w:val="00F80949"/>
    <w:rsid w:val="00F81975"/>
    <w:rsid w:val="00F92ABD"/>
    <w:rsid w:val="00FA48AD"/>
    <w:rsid w:val="00FA5F95"/>
    <w:rsid w:val="00FC4903"/>
    <w:rsid w:val="00FD0B93"/>
    <w:rsid w:val="00FD2AE3"/>
    <w:rsid w:val="00FD32CE"/>
    <w:rsid w:val="00FD66B7"/>
    <w:rsid w:val="00FE1E04"/>
    <w:rsid w:val="00FE223E"/>
    <w:rsid w:val="00FE521E"/>
    <w:rsid w:val="00FE573C"/>
    <w:rsid w:val="00FF34B1"/>
    <w:rsid w:val="00FF4E90"/>
    <w:rsid w:val="00FF5944"/>
    <w:rsid w:val="00FF5A5F"/>
    <w:rsid w:val="00FF712D"/>
    <w:rsid w:val="00FF7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6F00FA3"/>
  <w15:docId w15:val="{FD046F23-05E8-4854-968F-F3F14D25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B83"/>
    <w:rPr>
      <w:sz w:val="24"/>
      <w:szCs w:val="24"/>
    </w:rPr>
  </w:style>
  <w:style w:type="paragraph" w:styleId="Heading1">
    <w:name w:val="heading 1"/>
    <w:basedOn w:val="Normal"/>
    <w:next w:val="Normal"/>
    <w:link w:val="Heading1Char"/>
    <w:uiPriority w:val="99"/>
    <w:qFormat/>
    <w:rsid w:val="00491DA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91DA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91DA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48677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qFormat/>
    <w:rsid w:val="00491DA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91DAC"/>
    <w:rPr>
      <w:rFonts w:ascii="Arial" w:hAnsi="Arial" w:cs="Arial"/>
      <w:b/>
      <w:bCs/>
      <w:kern w:val="32"/>
      <w:sz w:val="32"/>
      <w:szCs w:val="32"/>
      <w:lang w:val="en-US" w:eastAsia="en-US" w:bidi="ar-SA"/>
    </w:rPr>
  </w:style>
  <w:style w:type="character" w:customStyle="1" w:styleId="Heading2Char">
    <w:name w:val="Heading 2 Char"/>
    <w:link w:val="Heading2"/>
    <w:uiPriority w:val="99"/>
    <w:locked/>
    <w:rsid w:val="00491DAC"/>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A35B7C"/>
    <w:rPr>
      <w:rFonts w:ascii="Cambria" w:hAnsi="Cambria" w:cs="Times New Roman"/>
      <w:b/>
      <w:bCs/>
      <w:sz w:val="26"/>
      <w:szCs w:val="26"/>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sz w:val="16"/>
      <w:szCs w:val="16"/>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491DAC"/>
    <w:pPr>
      <w:tabs>
        <w:tab w:val="center" w:pos="4320"/>
        <w:tab w:val="right" w:pos="8640"/>
      </w:tabs>
    </w:pPr>
  </w:style>
  <w:style w:type="character" w:customStyle="1" w:styleId="FooterChar">
    <w:name w:val="Footer Char"/>
    <w:link w:val="Footer"/>
    <w:uiPriority w:val="99"/>
    <w:locked/>
    <w:rsid w:val="00491DAC"/>
    <w:rPr>
      <w:rFonts w:cs="Times New Roman"/>
      <w:sz w:val="24"/>
      <w:szCs w:val="24"/>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5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91DAC"/>
    <w:pPr>
      <w:tabs>
        <w:tab w:val="center" w:pos="4320"/>
        <w:tab w:val="right" w:pos="8640"/>
      </w:tabs>
    </w:pPr>
    <w:rPr>
      <w:sz w:val="20"/>
      <w:szCs w:val="20"/>
    </w:rPr>
  </w:style>
  <w:style w:type="character" w:customStyle="1" w:styleId="HeaderChar">
    <w:name w:val="Header Char"/>
    <w:link w:val="Header"/>
    <w:uiPriority w:val="99"/>
    <w:locked/>
    <w:rsid w:val="00491DAC"/>
    <w:rPr>
      <w:rFonts w:cs="Times New Roman"/>
    </w:rPr>
  </w:style>
  <w:style w:type="paragraph" w:styleId="BodyTextIndent2">
    <w:name w:val="Body Text Indent 2"/>
    <w:basedOn w:val="Normal"/>
    <w:link w:val="BodyTextIndent2Char"/>
    <w:uiPriority w:val="99"/>
    <w:rsid w:val="00491DAC"/>
    <w:pPr>
      <w:spacing w:after="120" w:line="480" w:lineRule="auto"/>
      <w:ind w:left="360"/>
    </w:p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rsid w:val="00491DAC"/>
    <w:rPr>
      <w:rFonts w:cs="Times New Roman"/>
      <w:sz w:val="16"/>
      <w:szCs w:val="16"/>
    </w:rPr>
  </w:style>
  <w:style w:type="paragraph" w:styleId="CommentText">
    <w:name w:val="annotation text"/>
    <w:basedOn w:val="Normal"/>
    <w:link w:val="CommentTextChar"/>
    <w:uiPriority w:val="99"/>
    <w:rsid w:val="00491DAC"/>
    <w:rPr>
      <w:sz w:val="20"/>
      <w:szCs w:val="20"/>
    </w:rPr>
  </w:style>
  <w:style w:type="character" w:customStyle="1" w:styleId="CommentTextChar">
    <w:name w:val="Comment Text Char"/>
    <w:link w:val="CommentText"/>
    <w:uiPriority w:val="99"/>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rFonts w:ascii="Times New Roman" w:hAnsi="Times New Roman"/>
      <w:bCs w:val="0"/>
      <w:i w:val="0"/>
      <w:sz w:val="24"/>
    </w:rPr>
  </w:style>
  <w:style w:type="paragraph" w:customStyle="1" w:styleId="Style3">
    <w:name w:val="Style3"/>
    <w:basedOn w:val="Heading3"/>
    <w:uiPriority w:val="99"/>
    <w:rsid w:val="00491DAC"/>
    <w:pPr>
      <w:numPr>
        <w:ilvl w:val="2"/>
        <w:numId w:val="1"/>
      </w:numPr>
      <w:autoSpaceDE w:val="0"/>
      <w:autoSpaceDN w:val="0"/>
      <w:adjustRightInd w:val="0"/>
    </w:pPr>
    <w:rPr>
      <w:rFonts w:ascii="Times New Roman" w:hAnsi="Times New Roman"/>
      <w:bCs w:val="0"/>
      <w:sz w:val="24"/>
    </w:rPr>
  </w:style>
  <w:style w:type="paragraph" w:styleId="TOC1">
    <w:name w:val="toc 1"/>
    <w:basedOn w:val="Normal"/>
    <w:next w:val="Normal"/>
    <w:autoRedefine/>
    <w:uiPriority w:val="39"/>
    <w:rsid w:val="00780858"/>
    <w:pPr>
      <w:tabs>
        <w:tab w:val="left" w:pos="360"/>
        <w:tab w:val="right" w:leader="dot" w:pos="9350"/>
      </w:tabs>
    </w:pPr>
  </w:style>
  <w:style w:type="paragraph" w:styleId="TOC2">
    <w:name w:val="toc 2"/>
    <w:basedOn w:val="Normal"/>
    <w:next w:val="Normal"/>
    <w:autoRedefine/>
    <w:uiPriority w:val="39"/>
    <w:rsid w:val="00F452D7"/>
    <w:pPr>
      <w:tabs>
        <w:tab w:val="left" w:pos="900"/>
        <w:tab w:val="right" w:leader="dot" w:pos="9350"/>
      </w:tabs>
      <w:ind w:left="810" w:hanging="570"/>
    </w:pPr>
  </w:style>
  <w:style w:type="paragraph" w:styleId="TOC3">
    <w:name w:val="toc 3"/>
    <w:basedOn w:val="Normal"/>
    <w:next w:val="Normal"/>
    <w:autoRedefine/>
    <w:uiPriority w:val="99"/>
    <w:semiHidden/>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34"/>
    <w:qFormat/>
    <w:rsid w:val="00926721"/>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TableGrid1">
    <w:name w:val="Table Grid1"/>
    <w:basedOn w:val="TableNormal"/>
    <w:next w:val="TableGrid"/>
    <w:uiPriority w:val="59"/>
    <w:rsid w:val="00155E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ubtleEmphasis">
    <w:name w:val="Subtle Emphasis"/>
    <w:uiPriority w:val="19"/>
    <w:qFormat/>
    <w:rsid w:val="00DF7F31"/>
    <w:rPr>
      <w:i/>
      <w:iCs/>
      <w:color w:val="808080"/>
    </w:rPr>
  </w:style>
  <w:style w:type="paragraph" w:styleId="Revision">
    <w:name w:val="Revision"/>
    <w:hidden/>
    <w:uiPriority w:val="99"/>
    <w:semiHidden/>
    <w:rsid w:val="00215E06"/>
    <w:rPr>
      <w:sz w:val="24"/>
      <w:szCs w:val="24"/>
    </w:rPr>
  </w:style>
  <w:style w:type="paragraph" w:styleId="TableofFigures">
    <w:name w:val="table of figures"/>
    <w:basedOn w:val="Normal"/>
    <w:next w:val="Normal"/>
    <w:uiPriority w:val="99"/>
    <w:semiHidden/>
    <w:unhideWhenUsed/>
    <w:locked/>
    <w:rsid w:val="00425678"/>
  </w:style>
  <w:style w:type="table" w:styleId="MediumShading1">
    <w:name w:val="Medium Shading 1"/>
    <w:basedOn w:val="TableNormal"/>
    <w:uiPriority w:val="63"/>
    <w:rsid w:val="007C1DA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7C1DA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oxtextbullets">
    <w:name w:val="Box text bullets"/>
    <w:basedOn w:val="Normal"/>
    <w:qFormat/>
    <w:rsid w:val="002F429D"/>
    <w:pPr>
      <w:numPr>
        <w:numId w:val="15"/>
      </w:numPr>
      <w:tabs>
        <w:tab w:val="left" w:pos="216"/>
      </w:tabs>
      <w:ind w:left="216" w:hanging="216"/>
    </w:pPr>
    <w:rPr>
      <w:rFonts w:asciiTheme="minorHAnsi" w:hAnsiTheme="minorHAnsi" w:cs="Arial"/>
      <w:noProof/>
      <w:sz w:val="18"/>
      <w:szCs w:val="20"/>
    </w:rPr>
  </w:style>
  <w:style w:type="character" w:customStyle="1" w:styleId="Heading4Char">
    <w:name w:val="Heading 4 Char"/>
    <w:basedOn w:val="DefaultParagraphFont"/>
    <w:link w:val="Heading4"/>
    <w:uiPriority w:val="9"/>
    <w:rsid w:val="0048677A"/>
    <w:rPr>
      <w:rFonts w:asciiTheme="majorHAnsi" w:eastAsiaTheme="majorEastAsia" w:hAnsiTheme="majorHAnsi" w:cstheme="majorBidi"/>
      <w:b/>
      <w:bCs/>
      <w:i/>
      <w:iCs/>
      <w:color w:val="4F81BD" w:themeColor="accent1"/>
      <w:sz w:val="24"/>
      <w:szCs w:val="24"/>
    </w:rPr>
  </w:style>
  <w:style w:type="table" w:customStyle="1" w:styleId="TableGrid2">
    <w:name w:val="Table Grid2"/>
    <w:basedOn w:val="TableNormal"/>
    <w:next w:val="TableGrid"/>
    <w:uiPriority w:val="59"/>
    <w:rsid w:val="0048677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4D31E8"/>
    <w:rPr>
      <w:rFonts w:ascii="Cambria" w:eastAsia="MS Mincho" w:hAnsi="Cambri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Text10ptArialNarrow">
    <w:name w:val="Table Text 10pt Arial Narrow"/>
    <w:basedOn w:val="Normal"/>
    <w:rsid w:val="004D31E8"/>
    <w:rPr>
      <w:rFonts w:ascii="Arial Narrow" w:eastAsia="Calibri" w:hAnsi="Arial Narrow"/>
      <w:sz w:val="20"/>
      <w:szCs w:val="20"/>
    </w:rPr>
  </w:style>
  <w:style w:type="paragraph" w:styleId="NoSpacing">
    <w:name w:val="No Spacing"/>
    <w:uiPriority w:val="1"/>
    <w:qFormat/>
    <w:rsid w:val="004D31E8"/>
    <w:rPr>
      <w:rFonts w:asciiTheme="minorHAnsi" w:eastAsiaTheme="minorEastAsia" w:hAnsiTheme="minorHAnsi" w:cstheme="minorBidi"/>
      <w:sz w:val="24"/>
      <w:szCs w:val="24"/>
    </w:rPr>
  </w:style>
  <w:style w:type="paragraph" w:styleId="NormalWeb">
    <w:name w:val="Normal (Web)"/>
    <w:basedOn w:val="Normal"/>
    <w:uiPriority w:val="99"/>
    <w:unhideWhenUsed/>
    <w:locked/>
    <w:rsid w:val="00157EF2"/>
    <w:pPr>
      <w:spacing w:before="100" w:beforeAutospacing="1" w:after="100" w:afterAutospacing="1"/>
    </w:pPr>
    <w:rPr>
      <w:rFonts w:ascii="Times" w:eastAsiaTheme="minorEastAsia" w:hAnsi="Times"/>
      <w:sz w:val="20"/>
      <w:szCs w:val="20"/>
    </w:rPr>
  </w:style>
  <w:style w:type="character" w:customStyle="1" w:styleId="SC2721">
    <w:name w:val="SC2721"/>
    <w:uiPriority w:val="99"/>
    <w:rsid w:val="00157EF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750954">
      <w:bodyDiv w:val="1"/>
      <w:marLeft w:val="0"/>
      <w:marRight w:val="0"/>
      <w:marTop w:val="0"/>
      <w:marBottom w:val="0"/>
      <w:divBdr>
        <w:top w:val="none" w:sz="0" w:space="0" w:color="auto"/>
        <w:left w:val="none" w:sz="0" w:space="0" w:color="auto"/>
        <w:bottom w:val="none" w:sz="0" w:space="0" w:color="auto"/>
        <w:right w:val="none" w:sz="0" w:space="0" w:color="auto"/>
      </w:divBdr>
    </w:div>
    <w:div w:id="303393789">
      <w:bodyDiv w:val="1"/>
      <w:marLeft w:val="0"/>
      <w:marRight w:val="0"/>
      <w:marTop w:val="0"/>
      <w:marBottom w:val="0"/>
      <w:divBdr>
        <w:top w:val="none" w:sz="0" w:space="0" w:color="auto"/>
        <w:left w:val="none" w:sz="0" w:space="0" w:color="auto"/>
        <w:bottom w:val="none" w:sz="0" w:space="0" w:color="auto"/>
        <w:right w:val="none" w:sz="0" w:space="0" w:color="auto"/>
      </w:divBdr>
    </w:div>
    <w:div w:id="1178039970">
      <w:bodyDiv w:val="1"/>
      <w:marLeft w:val="0"/>
      <w:marRight w:val="0"/>
      <w:marTop w:val="0"/>
      <w:marBottom w:val="0"/>
      <w:divBdr>
        <w:top w:val="none" w:sz="0" w:space="0" w:color="auto"/>
        <w:left w:val="none" w:sz="0" w:space="0" w:color="auto"/>
        <w:bottom w:val="none" w:sz="0" w:space="0" w:color="auto"/>
        <w:right w:val="none" w:sz="0" w:space="0" w:color="auto"/>
      </w:divBdr>
    </w:div>
    <w:div w:id="1227372570">
      <w:bodyDiv w:val="1"/>
      <w:marLeft w:val="0"/>
      <w:marRight w:val="0"/>
      <w:marTop w:val="0"/>
      <w:marBottom w:val="0"/>
      <w:divBdr>
        <w:top w:val="none" w:sz="0" w:space="0" w:color="auto"/>
        <w:left w:val="none" w:sz="0" w:space="0" w:color="auto"/>
        <w:bottom w:val="none" w:sz="0" w:space="0" w:color="auto"/>
        <w:right w:val="none" w:sz="0" w:space="0" w:color="auto"/>
      </w:divBdr>
    </w:div>
    <w:div w:id="1252737991">
      <w:bodyDiv w:val="1"/>
      <w:marLeft w:val="0"/>
      <w:marRight w:val="0"/>
      <w:marTop w:val="0"/>
      <w:marBottom w:val="0"/>
      <w:divBdr>
        <w:top w:val="none" w:sz="0" w:space="0" w:color="auto"/>
        <w:left w:val="none" w:sz="0" w:space="0" w:color="auto"/>
        <w:bottom w:val="none" w:sz="0" w:space="0" w:color="auto"/>
        <w:right w:val="none" w:sz="0" w:space="0" w:color="auto"/>
      </w:divBdr>
    </w:div>
    <w:div w:id="1573083227">
      <w:marLeft w:val="0"/>
      <w:marRight w:val="0"/>
      <w:marTop w:val="0"/>
      <w:marBottom w:val="0"/>
      <w:divBdr>
        <w:top w:val="none" w:sz="0" w:space="0" w:color="auto"/>
        <w:left w:val="none" w:sz="0" w:space="0" w:color="auto"/>
        <w:bottom w:val="none" w:sz="0" w:space="0" w:color="auto"/>
        <w:right w:val="none" w:sz="0" w:space="0" w:color="auto"/>
      </w:divBdr>
    </w:div>
    <w:div w:id="1573083228">
      <w:marLeft w:val="0"/>
      <w:marRight w:val="0"/>
      <w:marTop w:val="0"/>
      <w:marBottom w:val="0"/>
      <w:divBdr>
        <w:top w:val="none" w:sz="0" w:space="0" w:color="auto"/>
        <w:left w:val="none" w:sz="0" w:space="0" w:color="auto"/>
        <w:bottom w:val="none" w:sz="0" w:space="0" w:color="auto"/>
        <w:right w:val="none" w:sz="0" w:space="0" w:color="auto"/>
      </w:divBdr>
    </w:div>
    <w:div w:id="1573083229">
      <w:marLeft w:val="0"/>
      <w:marRight w:val="0"/>
      <w:marTop w:val="0"/>
      <w:marBottom w:val="0"/>
      <w:divBdr>
        <w:top w:val="none" w:sz="0" w:space="0" w:color="auto"/>
        <w:left w:val="none" w:sz="0" w:space="0" w:color="auto"/>
        <w:bottom w:val="none" w:sz="0" w:space="0" w:color="auto"/>
        <w:right w:val="none" w:sz="0" w:space="0" w:color="auto"/>
      </w:divBdr>
    </w:div>
    <w:div w:id="1573083230">
      <w:marLeft w:val="0"/>
      <w:marRight w:val="0"/>
      <w:marTop w:val="0"/>
      <w:marBottom w:val="0"/>
      <w:divBdr>
        <w:top w:val="none" w:sz="0" w:space="0" w:color="auto"/>
        <w:left w:val="none" w:sz="0" w:space="0" w:color="auto"/>
        <w:bottom w:val="none" w:sz="0" w:space="0" w:color="auto"/>
        <w:right w:val="none" w:sz="0" w:space="0" w:color="auto"/>
      </w:divBdr>
    </w:div>
    <w:div w:id="1573083231">
      <w:marLeft w:val="0"/>
      <w:marRight w:val="0"/>
      <w:marTop w:val="0"/>
      <w:marBottom w:val="0"/>
      <w:divBdr>
        <w:top w:val="none" w:sz="0" w:space="0" w:color="auto"/>
        <w:left w:val="none" w:sz="0" w:space="0" w:color="auto"/>
        <w:bottom w:val="none" w:sz="0" w:space="0" w:color="auto"/>
        <w:right w:val="none" w:sz="0" w:space="0" w:color="auto"/>
      </w:divBdr>
    </w:div>
    <w:div w:id="1573083232">
      <w:marLeft w:val="0"/>
      <w:marRight w:val="0"/>
      <w:marTop w:val="0"/>
      <w:marBottom w:val="0"/>
      <w:divBdr>
        <w:top w:val="none" w:sz="0" w:space="0" w:color="auto"/>
        <w:left w:val="none" w:sz="0" w:space="0" w:color="auto"/>
        <w:bottom w:val="none" w:sz="0" w:space="0" w:color="auto"/>
        <w:right w:val="none" w:sz="0" w:space="0" w:color="auto"/>
      </w:divBdr>
    </w:div>
    <w:div w:id="1573083233">
      <w:marLeft w:val="0"/>
      <w:marRight w:val="0"/>
      <w:marTop w:val="0"/>
      <w:marBottom w:val="0"/>
      <w:divBdr>
        <w:top w:val="none" w:sz="0" w:space="0" w:color="auto"/>
        <w:left w:val="none" w:sz="0" w:space="0" w:color="auto"/>
        <w:bottom w:val="none" w:sz="0" w:space="0" w:color="auto"/>
        <w:right w:val="none" w:sz="0" w:space="0" w:color="auto"/>
      </w:divBdr>
    </w:div>
    <w:div w:id="1573083234">
      <w:marLeft w:val="0"/>
      <w:marRight w:val="0"/>
      <w:marTop w:val="0"/>
      <w:marBottom w:val="0"/>
      <w:divBdr>
        <w:top w:val="none" w:sz="0" w:space="0" w:color="auto"/>
        <w:left w:val="none" w:sz="0" w:space="0" w:color="auto"/>
        <w:bottom w:val="none" w:sz="0" w:space="0" w:color="auto"/>
        <w:right w:val="none" w:sz="0" w:space="0" w:color="auto"/>
      </w:divBdr>
    </w:div>
    <w:div w:id="1573083235">
      <w:marLeft w:val="0"/>
      <w:marRight w:val="0"/>
      <w:marTop w:val="0"/>
      <w:marBottom w:val="0"/>
      <w:divBdr>
        <w:top w:val="none" w:sz="0" w:space="0" w:color="auto"/>
        <w:left w:val="none" w:sz="0" w:space="0" w:color="auto"/>
        <w:bottom w:val="none" w:sz="0" w:space="0" w:color="auto"/>
        <w:right w:val="none" w:sz="0" w:space="0" w:color="auto"/>
      </w:divBdr>
    </w:div>
    <w:div w:id="1573083236">
      <w:marLeft w:val="0"/>
      <w:marRight w:val="0"/>
      <w:marTop w:val="0"/>
      <w:marBottom w:val="0"/>
      <w:divBdr>
        <w:top w:val="none" w:sz="0" w:space="0" w:color="auto"/>
        <w:left w:val="none" w:sz="0" w:space="0" w:color="auto"/>
        <w:bottom w:val="none" w:sz="0" w:space="0" w:color="auto"/>
        <w:right w:val="none" w:sz="0" w:space="0" w:color="auto"/>
      </w:divBdr>
    </w:div>
    <w:div w:id="1573083237">
      <w:marLeft w:val="0"/>
      <w:marRight w:val="0"/>
      <w:marTop w:val="0"/>
      <w:marBottom w:val="0"/>
      <w:divBdr>
        <w:top w:val="none" w:sz="0" w:space="0" w:color="auto"/>
        <w:left w:val="none" w:sz="0" w:space="0" w:color="auto"/>
        <w:bottom w:val="none" w:sz="0" w:space="0" w:color="auto"/>
        <w:right w:val="none" w:sz="0" w:space="0" w:color="auto"/>
      </w:divBdr>
    </w:div>
    <w:div w:id="1573083238">
      <w:marLeft w:val="0"/>
      <w:marRight w:val="0"/>
      <w:marTop w:val="0"/>
      <w:marBottom w:val="0"/>
      <w:divBdr>
        <w:top w:val="none" w:sz="0" w:space="0" w:color="auto"/>
        <w:left w:val="none" w:sz="0" w:space="0" w:color="auto"/>
        <w:bottom w:val="none" w:sz="0" w:space="0" w:color="auto"/>
        <w:right w:val="none" w:sz="0" w:space="0" w:color="auto"/>
      </w:divBdr>
    </w:div>
    <w:div w:id="1573083239">
      <w:marLeft w:val="0"/>
      <w:marRight w:val="0"/>
      <w:marTop w:val="0"/>
      <w:marBottom w:val="0"/>
      <w:divBdr>
        <w:top w:val="none" w:sz="0" w:space="0" w:color="auto"/>
        <w:left w:val="none" w:sz="0" w:space="0" w:color="auto"/>
        <w:bottom w:val="none" w:sz="0" w:space="0" w:color="auto"/>
        <w:right w:val="none" w:sz="0" w:space="0" w:color="auto"/>
      </w:divBdr>
    </w:div>
    <w:div w:id="1573083240">
      <w:marLeft w:val="0"/>
      <w:marRight w:val="0"/>
      <w:marTop w:val="0"/>
      <w:marBottom w:val="0"/>
      <w:divBdr>
        <w:top w:val="none" w:sz="0" w:space="0" w:color="auto"/>
        <w:left w:val="none" w:sz="0" w:space="0" w:color="auto"/>
        <w:bottom w:val="none" w:sz="0" w:space="0" w:color="auto"/>
        <w:right w:val="none" w:sz="0" w:space="0" w:color="auto"/>
      </w:divBdr>
    </w:div>
    <w:div w:id="1573083241">
      <w:marLeft w:val="0"/>
      <w:marRight w:val="0"/>
      <w:marTop w:val="0"/>
      <w:marBottom w:val="0"/>
      <w:divBdr>
        <w:top w:val="none" w:sz="0" w:space="0" w:color="auto"/>
        <w:left w:val="none" w:sz="0" w:space="0" w:color="auto"/>
        <w:bottom w:val="none" w:sz="0" w:space="0" w:color="auto"/>
        <w:right w:val="none" w:sz="0" w:space="0" w:color="auto"/>
      </w:divBdr>
    </w:div>
    <w:div w:id="1573083242">
      <w:marLeft w:val="0"/>
      <w:marRight w:val="0"/>
      <w:marTop w:val="0"/>
      <w:marBottom w:val="0"/>
      <w:divBdr>
        <w:top w:val="none" w:sz="0" w:space="0" w:color="auto"/>
        <w:left w:val="none" w:sz="0" w:space="0" w:color="auto"/>
        <w:bottom w:val="none" w:sz="0" w:space="0" w:color="auto"/>
        <w:right w:val="none" w:sz="0" w:space="0" w:color="auto"/>
      </w:divBdr>
    </w:div>
    <w:div w:id="1573083243">
      <w:marLeft w:val="0"/>
      <w:marRight w:val="0"/>
      <w:marTop w:val="0"/>
      <w:marBottom w:val="0"/>
      <w:divBdr>
        <w:top w:val="none" w:sz="0" w:space="0" w:color="auto"/>
        <w:left w:val="none" w:sz="0" w:space="0" w:color="auto"/>
        <w:bottom w:val="none" w:sz="0" w:space="0" w:color="auto"/>
        <w:right w:val="none" w:sz="0" w:space="0" w:color="auto"/>
      </w:divBdr>
    </w:div>
    <w:div w:id="1573083244">
      <w:marLeft w:val="0"/>
      <w:marRight w:val="0"/>
      <w:marTop w:val="0"/>
      <w:marBottom w:val="0"/>
      <w:divBdr>
        <w:top w:val="none" w:sz="0" w:space="0" w:color="auto"/>
        <w:left w:val="none" w:sz="0" w:space="0" w:color="auto"/>
        <w:bottom w:val="none" w:sz="0" w:space="0" w:color="auto"/>
        <w:right w:val="none" w:sz="0" w:space="0" w:color="auto"/>
      </w:divBdr>
    </w:div>
    <w:div w:id="1573083245">
      <w:marLeft w:val="0"/>
      <w:marRight w:val="0"/>
      <w:marTop w:val="0"/>
      <w:marBottom w:val="0"/>
      <w:divBdr>
        <w:top w:val="none" w:sz="0" w:space="0" w:color="auto"/>
        <w:left w:val="none" w:sz="0" w:space="0" w:color="auto"/>
        <w:bottom w:val="none" w:sz="0" w:space="0" w:color="auto"/>
        <w:right w:val="none" w:sz="0" w:space="0" w:color="auto"/>
      </w:divBdr>
    </w:div>
    <w:div w:id="1573083246">
      <w:marLeft w:val="0"/>
      <w:marRight w:val="0"/>
      <w:marTop w:val="0"/>
      <w:marBottom w:val="0"/>
      <w:divBdr>
        <w:top w:val="none" w:sz="0" w:space="0" w:color="auto"/>
        <w:left w:val="none" w:sz="0" w:space="0" w:color="auto"/>
        <w:bottom w:val="none" w:sz="0" w:space="0" w:color="auto"/>
        <w:right w:val="none" w:sz="0" w:space="0" w:color="auto"/>
      </w:divBdr>
    </w:div>
    <w:div w:id="1573083247">
      <w:marLeft w:val="0"/>
      <w:marRight w:val="0"/>
      <w:marTop w:val="0"/>
      <w:marBottom w:val="0"/>
      <w:divBdr>
        <w:top w:val="none" w:sz="0" w:space="0" w:color="auto"/>
        <w:left w:val="none" w:sz="0" w:space="0" w:color="auto"/>
        <w:bottom w:val="none" w:sz="0" w:space="0" w:color="auto"/>
        <w:right w:val="none" w:sz="0" w:space="0" w:color="auto"/>
      </w:divBdr>
    </w:div>
    <w:div w:id="1675034645">
      <w:bodyDiv w:val="1"/>
      <w:marLeft w:val="0"/>
      <w:marRight w:val="0"/>
      <w:marTop w:val="0"/>
      <w:marBottom w:val="0"/>
      <w:divBdr>
        <w:top w:val="none" w:sz="0" w:space="0" w:color="auto"/>
        <w:left w:val="none" w:sz="0" w:space="0" w:color="auto"/>
        <w:bottom w:val="none" w:sz="0" w:space="0" w:color="auto"/>
        <w:right w:val="none" w:sz="0" w:space="0" w:color="auto"/>
      </w:divBdr>
    </w:div>
    <w:div w:id="1712731471">
      <w:bodyDiv w:val="1"/>
      <w:marLeft w:val="0"/>
      <w:marRight w:val="0"/>
      <w:marTop w:val="0"/>
      <w:marBottom w:val="0"/>
      <w:divBdr>
        <w:top w:val="none" w:sz="0" w:space="0" w:color="auto"/>
        <w:left w:val="none" w:sz="0" w:space="0" w:color="auto"/>
        <w:bottom w:val="none" w:sz="0" w:space="0" w:color="auto"/>
        <w:right w:val="none" w:sz="0" w:space="0" w:color="auto"/>
      </w:divBdr>
    </w:div>
    <w:div w:id="1786196142">
      <w:bodyDiv w:val="1"/>
      <w:marLeft w:val="0"/>
      <w:marRight w:val="0"/>
      <w:marTop w:val="0"/>
      <w:marBottom w:val="0"/>
      <w:divBdr>
        <w:top w:val="none" w:sz="0" w:space="0" w:color="auto"/>
        <w:left w:val="none" w:sz="0" w:space="0" w:color="auto"/>
        <w:bottom w:val="none" w:sz="0" w:space="0" w:color="auto"/>
        <w:right w:val="none" w:sz="0" w:space="0" w:color="auto"/>
      </w:divBdr>
    </w:div>
    <w:div w:id="203164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carey@cd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1A46A-9BB1-4A42-ABAD-6F203ECC1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2401</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SUPPORTING STATEMENT FOR PAPERWORK REDUCTION ACT 1995</vt:lpstr>
    </vt:vector>
  </TitlesOfParts>
  <Company>The Urban Institute</Company>
  <LinksUpToDate>false</LinksUpToDate>
  <CharactersWithSpaces>16061</CharactersWithSpaces>
  <SharedDoc>false</SharedDoc>
  <HLinks>
    <vt:vector size="96" baseType="variant">
      <vt:variant>
        <vt:i4>5832721</vt:i4>
      </vt:variant>
      <vt:variant>
        <vt:i4>99</vt:i4>
      </vt:variant>
      <vt:variant>
        <vt:i4>0</vt:i4>
      </vt:variant>
      <vt:variant>
        <vt:i4>5</vt:i4>
      </vt:variant>
      <vt:variant>
        <vt:lpwstr>tel:443.539.0223</vt:lpwstr>
      </vt:variant>
      <vt:variant>
        <vt:lpwstr/>
      </vt:variant>
      <vt:variant>
        <vt:i4>5046387</vt:i4>
      </vt:variant>
      <vt:variant>
        <vt:i4>96</vt:i4>
      </vt:variant>
      <vt:variant>
        <vt:i4>0</vt:i4>
      </vt:variant>
      <vt:variant>
        <vt:i4>5</vt:i4>
      </vt:variant>
      <vt:variant>
        <vt:lpwstr>mailto:egall@impaqint.com</vt:lpwstr>
      </vt:variant>
      <vt:variant>
        <vt:lpwstr/>
      </vt:variant>
      <vt:variant>
        <vt:i4>5832721</vt:i4>
      </vt:variant>
      <vt:variant>
        <vt:i4>93</vt:i4>
      </vt:variant>
      <vt:variant>
        <vt:i4>0</vt:i4>
      </vt:variant>
      <vt:variant>
        <vt:i4>5</vt:i4>
      </vt:variant>
      <vt:variant>
        <vt:lpwstr>tel:443.539.0223</vt:lpwstr>
      </vt:variant>
      <vt:variant>
        <vt:lpwstr/>
      </vt:variant>
      <vt:variant>
        <vt:i4>4718603</vt:i4>
      </vt:variant>
      <vt:variant>
        <vt:i4>79</vt:i4>
      </vt:variant>
      <vt:variant>
        <vt:i4>0</vt:i4>
      </vt:variant>
      <vt:variant>
        <vt:i4>5</vt:i4>
      </vt:variant>
      <vt:variant>
        <vt:lpwstr/>
      </vt:variant>
      <vt:variant>
        <vt:lpwstr>_ENREF_9</vt:lpwstr>
      </vt:variant>
      <vt:variant>
        <vt:i4>4456459</vt:i4>
      </vt:variant>
      <vt:variant>
        <vt:i4>71</vt:i4>
      </vt:variant>
      <vt:variant>
        <vt:i4>0</vt:i4>
      </vt:variant>
      <vt:variant>
        <vt:i4>5</vt:i4>
      </vt:variant>
      <vt:variant>
        <vt:lpwstr/>
      </vt:variant>
      <vt:variant>
        <vt:lpwstr>_ENREF_5</vt:lpwstr>
      </vt:variant>
      <vt:variant>
        <vt:i4>4390923</vt:i4>
      </vt:variant>
      <vt:variant>
        <vt:i4>65</vt:i4>
      </vt:variant>
      <vt:variant>
        <vt:i4>0</vt:i4>
      </vt:variant>
      <vt:variant>
        <vt:i4>5</vt:i4>
      </vt:variant>
      <vt:variant>
        <vt:lpwstr/>
      </vt:variant>
      <vt:variant>
        <vt:lpwstr>_ENREF_2</vt:lpwstr>
      </vt:variant>
      <vt:variant>
        <vt:i4>4325387</vt:i4>
      </vt:variant>
      <vt:variant>
        <vt:i4>57</vt:i4>
      </vt:variant>
      <vt:variant>
        <vt:i4>0</vt:i4>
      </vt:variant>
      <vt:variant>
        <vt:i4>5</vt:i4>
      </vt:variant>
      <vt:variant>
        <vt:lpwstr/>
      </vt:variant>
      <vt:variant>
        <vt:lpwstr>_ENREF_3</vt:lpwstr>
      </vt:variant>
      <vt:variant>
        <vt:i4>4390923</vt:i4>
      </vt:variant>
      <vt:variant>
        <vt:i4>51</vt:i4>
      </vt:variant>
      <vt:variant>
        <vt:i4>0</vt:i4>
      </vt:variant>
      <vt:variant>
        <vt:i4>5</vt:i4>
      </vt:variant>
      <vt:variant>
        <vt:lpwstr/>
      </vt:variant>
      <vt:variant>
        <vt:lpwstr>_ENREF_2</vt:lpwstr>
      </vt:variant>
      <vt:variant>
        <vt:i4>4194315</vt:i4>
      </vt:variant>
      <vt:variant>
        <vt:i4>45</vt:i4>
      </vt:variant>
      <vt:variant>
        <vt:i4>0</vt:i4>
      </vt:variant>
      <vt:variant>
        <vt:i4>5</vt:i4>
      </vt:variant>
      <vt:variant>
        <vt:lpwstr/>
      </vt:variant>
      <vt:variant>
        <vt:lpwstr>_ENREF_1</vt:lpwstr>
      </vt:variant>
      <vt:variant>
        <vt:i4>1703991</vt:i4>
      </vt:variant>
      <vt:variant>
        <vt:i4>38</vt:i4>
      </vt:variant>
      <vt:variant>
        <vt:i4>0</vt:i4>
      </vt:variant>
      <vt:variant>
        <vt:i4>5</vt:i4>
      </vt:variant>
      <vt:variant>
        <vt:lpwstr/>
      </vt:variant>
      <vt:variant>
        <vt:lpwstr>_Toc375299811</vt:lpwstr>
      </vt:variant>
      <vt:variant>
        <vt:i4>1703991</vt:i4>
      </vt:variant>
      <vt:variant>
        <vt:i4>32</vt:i4>
      </vt:variant>
      <vt:variant>
        <vt:i4>0</vt:i4>
      </vt:variant>
      <vt:variant>
        <vt:i4>5</vt:i4>
      </vt:variant>
      <vt:variant>
        <vt:lpwstr/>
      </vt:variant>
      <vt:variant>
        <vt:lpwstr>_Toc375299810</vt:lpwstr>
      </vt:variant>
      <vt:variant>
        <vt:i4>1769527</vt:i4>
      </vt:variant>
      <vt:variant>
        <vt:i4>26</vt:i4>
      </vt:variant>
      <vt:variant>
        <vt:i4>0</vt:i4>
      </vt:variant>
      <vt:variant>
        <vt:i4>5</vt:i4>
      </vt:variant>
      <vt:variant>
        <vt:lpwstr/>
      </vt:variant>
      <vt:variant>
        <vt:lpwstr>_Toc375299809</vt:lpwstr>
      </vt:variant>
      <vt:variant>
        <vt:i4>1769527</vt:i4>
      </vt:variant>
      <vt:variant>
        <vt:i4>20</vt:i4>
      </vt:variant>
      <vt:variant>
        <vt:i4>0</vt:i4>
      </vt:variant>
      <vt:variant>
        <vt:i4>5</vt:i4>
      </vt:variant>
      <vt:variant>
        <vt:lpwstr/>
      </vt:variant>
      <vt:variant>
        <vt:lpwstr>_Toc375299808</vt:lpwstr>
      </vt:variant>
      <vt:variant>
        <vt:i4>1769527</vt:i4>
      </vt:variant>
      <vt:variant>
        <vt:i4>14</vt:i4>
      </vt:variant>
      <vt:variant>
        <vt:i4>0</vt:i4>
      </vt:variant>
      <vt:variant>
        <vt:i4>5</vt:i4>
      </vt:variant>
      <vt:variant>
        <vt:lpwstr/>
      </vt:variant>
      <vt:variant>
        <vt:lpwstr>_Toc375299807</vt:lpwstr>
      </vt:variant>
      <vt:variant>
        <vt:i4>1769527</vt:i4>
      </vt:variant>
      <vt:variant>
        <vt:i4>8</vt:i4>
      </vt:variant>
      <vt:variant>
        <vt:i4>0</vt:i4>
      </vt:variant>
      <vt:variant>
        <vt:i4>5</vt:i4>
      </vt:variant>
      <vt:variant>
        <vt:lpwstr/>
      </vt:variant>
      <vt:variant>
        <vt:lpwstr>_Toc375299806</vt:lpwstr>
      </vt:variant>
      <vt:variant>
        <vt:i4>1769527</vt:i4>
      </vt:variant>
      <vt:variant>
        <vt:i4>2</vt:i4>
      </vt:variant>
      <vt:variant>
        <vt:i4>0</vt:i4>
      </vt:variant>
      <vt:variant>
        <vt:i4>5</vt:i4>
      </vt:variant>
      <vt:variant>
        <vt:lpwstr/>
      </vt:variant>
      <vt:variant>
        <vt:lpwstr>_Toc375299805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dc:title>
  <dc:creator>Administrator</dc:creator>
  <cp:lastModifiedBy>Zirger, Jeffrey (CDC/OD/OADS)</cp:lastModifiedBy>
  <cp:revision>3</cp:revision>
  <cp:lastPrinted>2015-02-25T14:38:00Z</cp:lastPrinted>
  <dcterms:created xsi:type="dcterms:W3CDTF">2015-06-22T13:16:00Z</dcterms:created>
  <dcterms:modified xsi:type="dcterms:W3CDTF">2015-06-25T18:07:00Z</dcterms:modified>
</cp:coreProperties>
</file>