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6F" w:rsidRDefault="004C3C6F" w:rsidP="006D1E10">
      <w:pPr>
        <w:widowControl w:val="0"/>
        <w:jc w:val="center"/>
        <w:rPr>
          <w:b/>
          <w:sz w:val="28"/>
          <w:szCs w:val="28"/>
        </w:rPr>
      </w:pPr>
    </w:p>
    <w:p w:rsidR="006D1E10" w:rsidRDefault="002611AF" w:rsidP="006D1E10">
      <w:pPr>
        <w:widowControl w:val="0"/>
        <w:jc w:val="center"/>
        <w:rPr>
          <w:b/>
          <w:sz w:val="28"/>
          <w:szCs w:val="28"/>
        </w:rPr>
      </w:pPr>
      <w:r>
        <w:rPr>
          <w:b/>
          <w:sz w:val="28"/>
          <w:szCs w:val="28"/>
        </w:rPr>
        <w:t xml:space="preserve">Washington and Oregon Marine Charter Fishing </w:t>
      </w:r>
      <w:r w:rsidR="00447190">
        <w:rPr>
          <w:b/>
          <w:sz w:val="28"/>
          <w:szCs w:val="28"/>
        </w:rPr>
        <w:t xml:space="preserve">2012 Calendar Year Cost and </w:t>
      </w:r>
      <w:r w:rsidR="006A4FD0">
        <w:rPr>
          <w:b/>
          <w:sz w:val="28"/>
          <w:szCs w:val="28"/>
        </w:rPr>
        <w:t>Earnings</w:t>
      </w:r>
      <w:r w:rsidR="00FD271B">
        <w:rPr>
          <w:b/>
          <w:sz w:val="28"/>
          <w:szCs w:val="28"/>
        </w:rPr>
        <w:t xml:space="preserve"> Survey</w:t>
      </w:r>
    </w:p>
    <w:p w:rsidR="00D65F8F" w:rsidRPr="006D1E10" w:rsidRDefault="00F947EE" w:rsidP="005A75AC">
      <w:pPr>
        <w:widowControl w:val="0"/>
        <w:jc w:val="center"/>
        <w:outlineLvl w:val="0"/>
        <w:rPr>
          <w:b/>
          <w:sz w:val="28"/>
          <w:szCs w:val="28"/>
        </w:rPr>
      </w:pPr>
      <w:r>
        <w:fldChar w:fldCharType="begin"/>
      </w:r>
      <w:r w:rsidR="00D65F8F">
        <w:instrText xml:space="preserve"> SEQ CHAPTER \h \r 1</w:instrText>
      </w:r>
      <w:r>
        <w:fldChar w:fldCharType="end"/>
      </w:r>
      <w:r w:rsidR="00D65F8F">
        <w:rPr>
          <w:b/>
          <w:sz w:val="28"/>
        </w:rPr>
        <w:t>Responses to Supplemental Questions for PRA Clearance</w:t>
      </w:r>
    </w:p>
    <w:p w:rsidR="00D65F8F" w:rsidRDefault="00D65F8F" w:rsidP="005A75AC">
      <w:pPr>
        <w:widowControl w:val="0"/>
        <w:jc w:val="center"/>
        <w:outlineLvl w:val="0"/>
      </w:pPr>
      <w:r>
        <w:rPr>
          <w:b/>
          <w:sz w:val="28"/>
        </w:rPr>
        <w:t>OMB Review of Individual Instruments</w:t>
      </w:r>
    </w:p>
    <w:p w:rsidR="00D56ED0" w:rsidRDefault="00D56ED0" w:rsidP="00241B9E">
      <w:pPr>
        <w:widowControl w:val="0"/>
      </w:pPr>
    </w:p>
    <w:p w:rsidR="00FD271B" w:rsidRPr="00D56ED0" w:rsidRDefault="00FD271B" w:rsidP="00241B9E">
      <w:r w:rsidRPr="00783982">
        <w:rPr>
          <w:u w:val="single"/>
        </w:rPr>
        <w:t>Project Title:</w:t>
      </w:r>
      <w:r w:rsidRPr="00783982">
        <w:t xml:space="preserve"> </w:t>
      </w:r>
      <w:r w:rsidR="00D56ED0">
        <w:t xml:space="preserve"> </w:t>
      </w:r>
      <w:r w:rsidR="002611AF" w:rsidRPr="002611AF">
        <w:t>Washington and Oregon Marine Charter Fishing 2012 Calendar Year Cost and Earnings Survey</w:t>
      </w:r>
    </w:p>
    <w:p w:rsidR="00FD271B" w:rsidRDefault="00FD271B" w:rsidP="00241B9E">
      <w:pPr>
        <w:rPr>
          <w:rFonts w:ascii="Arial Narrow" w:hAnsi="Arial Narrow"/>
        </w:rPr>
      </w:pPr>
    </w:p>
    <w:p w:rsidR="00862BE0" w:rsidRPr="00F96698" w:rsidRDefault="00862BE0" w:rsidP="005A75AC">
      <w:pPr>
        <w:jc w:val="center"/>
        <w:outlineLvl w:val="0"/>
        <w:rPr>
          <w:b/>
          <w:color w:val="FF0000"/>
          <w:u w:val="single"/>
        </w:rPr>
      </w:pPr>
      <w:r w:rsidRPr="00F96698">
        <w:rPr>
          <w:b/>
          <w:color w:val="FF0000"/>
          <w:u w:val="single"/>
        </w:rPr>
        <w:t>Justification under OMB Generic Clearance:</w:t>
      </w:r>
    </w:p>
    <w:p w:rsidR="00862BE0" w:rsidRDefault="00862BE0" w:rsidP="00F96698">
      <w:pPr>
        <w:jc w:val="center"/>
        <w:rPr>
          <w:b/>
          <w:color w:val="FF0000"/>
          <w:u w:val="single"/>
        </w:rPr>
      </w:pPr>
      <w:r w:rsidRPr="00F96698">
        <w:rPr>
          <w:b/>
          <w:color w:val="FF0000"/>
          <w:u w:val="single"/>
        </w:rPr>
        <w:t>(Economic Survey of US Commercial Fisheries, OMB Control No. 0648-0369)</w:t>
      </w:r>
    </w:p>
    <w:p w:rsidR="00315A8D" w:rsidRPr="00F96698" w:rsidRDefault="00315A8D" w:rsidP="00F96698">
      <w:pPr>
        <w:jc w:val="center"/>
        <w:rPr>
          <w:b/>
          <w:color w:val="FF0000"/>
          <w:u w:val="single"/>
        </w:rPr>
      </w:pPr>
    </w:p>
    <w:p w:rsidR="00862BE0" w:rsidRDefault="00862BE0" w:rsidP="00862BE0">
      <w:r>
        <w:t>Commercial fisheries economic data collection programs implemented by National Marine Fisheries Service (NMFS) address statutory and regulatory mandates to determine the quantity and distribution of net benefits derived from living marine resources as well as predict the economic impacts from proposed m</w:t>
      </w:r>
      <w:r w:rsidR="00830E5E">
        <w:t>anagement options on fishing vessels</w:t>
      </w:r>
      <w:r>
        <w:t xml:space="preserve">, shore side industries, and fishing communities. In particular, these economic data collection programs contribute to legally mandated analyses required under the Magnuson-Stevens Fishery Conservation and Management Act (MFCMS), the National Environmental Policy Act (NEPA), the Regulatory Flexibility Act (RFA), </w:t>
      </w:r>
      <w:r w:rsidR="00311C72">
        <w:t xml:space="preserve">and </w:t>
      </w:r>
      <w:r>
        <w:t>Ex</w:t>
      </w:r>
      <w:r w:rsidR="00311C72">
        <w:t>ecutive Order 12866 (E.O. 12866)</w:t>
      </w:r>
      <w:r>
        <w:t xml:space="preserve">. </w:t>
      </w:r>
    </w:p>
    <w:p w:rsidR="00862BE0" w:rsidRDefault="00862BE0" w:rsidP="00043CD1"/>
    <w:p w:rsidR="00862BE0" w:rsidRPr="00223267" w:rsidRDefault="00862BE0" w:rsidP="00043CD1">
      <w:pPr>
        <w:rPr>
          <w:i/>
        </w:rPr>
      </w:pPr>
      <w:r w:rsidRPr="00223267">
        <w:rPr>
          <w:i/>
        </w:rPr>
        <w:t>This pa</w:t>
      </w:r>
      <w:r w:rsidR="00311C72">
        <w:rPr>
          <w:i/>
        </w:rPr>
        <w:t xml:space="preserve">rticular survey instrument </w:t>
      </w:r>
      <w:r w:rsidRPr="00223267">
        <w:rPr>
          <w:i/>
        </w:rPr>
        <w:t xml:space="preserve">closely mirrors </w:t>
      </w:r>
      <w:r w:rsidR="00DF62F4" w:rsidRPr="00DF62F4">
        <w:rPr>
          <w:i/>
        </w:rPr>
        <w:t>an instrument successfully fielded by the N</w:t>
      </w:r>
      <w:r w:rsidR="00DF62F4">
        <w:rPr>
          <w:i/>
        </w:rPr>
        <w:t xml:space="preserve">orthwest Fisheries Science Center (NWFSC) </w:t>
      </w:r>
      <w:r w:rsidR="00DF62F4" w:rsidRPr="00DF62F4">
        <w:rPr>
          <w:i/>
        </w:rPr>
        <w:t xml:space="preserve">and Pacific States Marine Fisheries Commission in 2007 </w:t>
      </w:r>
      <w:r w:rsidR="00DF62F4">
        <w:rPr>
          <w:i/>
        </w:rPr>
        <w:t xml:space="preserve">and </w:t>
      </w:r>
      <w:r w:rsidRPr="00223267">
        <w:rPr>
          <w:i/>
        </w:rPr>
        <w:t>research efforts recently approved</w:t>
      </w:r>
      <w:r w:rsidR="00223267">
        <w:rPr>
          <w:i/>
        </w:rPr>
        <w:t xml:space="preserve"> </w:t>
      </w:r>
      <w:r w:rsidRPr="00223267">
        <w:rPr>
          <w:i/>
        </w:rPr>
        <w:t>under</w:t>
      </w:r>
      <w:r w:rsidR="003667BE">
        <w:rPr>
          <w:i/>
        </w:rPr>
        <w:t xml:space="preserve"> </w:t>
      </w:r>
      <w:r w:rsidR="006E36B2">
        <w:rPr>
          <w:i/>
        </w:rPr>
        <w:t>OMB Control No.</w:t>
      </w:r>
      <w:r w:rsidR="00311C72">
        <w:rPr>
          <w:i/>
        </w:rPr>
        <w:t xml:space="preserve"> 0648-0369 (commercial fisheries) for</w:t>
      </w:r>
      <w:r w:rsidR="006D1E10">
        <w:rPr>
          <w:i/>
        </w:rPr>
        <w:t xml:space="preserve"> the </w:t>
      </w:r>
      <w:r w:rsidR="0013696F">
        <w:rPr>
          <w:i/>
        </w:rPr>
        <w:t xml:space="preserve">California Commercial Passenger Fishing Vessel (CPFV), charter </w:t>
      </w:r>
      <w:r w:rsidR="006D1E10">
        <w:rPr>
          <w:i/>
        </w:rPr>
        <w:t>secto</w:t>
      </w:r>
      <w:r w:rsidR="00257BAF">
        <w:rPr>
          <w:i/>
        </w:rPr>
        <w:t>r</w:t>
      </w:r>
      <w:r w:rsidRPr="00223267">
        <w:rPr>
          <w:i/>
        </w:rPr>
        <w:t xml:space="preserve">. </w:t>
      </w:r>
      <w:r w:rsidR="003667BE">
        <w:rPr>
          <w:i/>
        </w:rPr>
        <w:t xml:space="preserve">Like the </w:t>
      </w:r>
      <w:r w:rsidR="0013696F">
        <w:rPr>
          <w:i/>
        </w:rPr>
        <w:t xml:space="preserve">California </w:t>
      </w:r>
      <w:r w:rsidR="003667BE">
        <w:rPr>
          <w:i/>
        </w:rPr>
        <w:t xml:space="preserve">charter sector, </w:t>
      </w:r>
      <w:r w:rsidR="0013696F">
        <w:rPr>
          <w:i/>
        </w:rPr>
        <w:t xml:space="preserve">Washington and Oregon charter vessels </w:t>
      </w:r>
      <w:r w:rsidR="00066D8F">
        <w:rPr>
          <w:i/>
        </w:rPr>
        <w:t xml:space="preserve">are considered </w:t>
      </w:r>
      <w:r w:rsidR="003667BE">
        <w:rPr>
          <w:i/>
        </w:rPr>
        <w:t>commercial venture</w:t>
      </w:r>
      <w:r w:rsidR="00066D8F">
        <w:rPr>
          <w:i/>
        </w:rPr>
        <w:t>s and not recreational pursuits</w:t>
      </w:r>
      <w:r w:rsidR="0044560B">
        <w:rPr>
          <w:i/>
        </w:rPr>
        <w:t>.</w:t>
      </w:r>
      <w:r w:rsidR="00BC2050">
        <w:rPr>
          <w:i/>
        </w:rPr>
        <w:t xml:space="preserve"> </w:t>
      </w:r>
      <w:r w:rsidR="000C7224">
        <w:rPr>
          <w:i/>
        </w:rPr>
        <w:t xml:space="preserve">Therefore, to estimate the economic contribution of </w:t>
      </w:r>
      <w:r w:rsidR="00315990">
        <w:rPr>
          <w:i/>
        </w:rPr>
        <w:t>Washington</w:t>
      </w:r>
      <w:r w:rsidR="0013696F">
        <w:rPr>
          <w:i/>
        </w:rPr>
        <w:t xml:space="preserve"> and Oregon charter sector</w:t>
      </w:r>
      <w:r w:rsidR="000C7224">
        <w:rPr>
          <w:i/>
        </w:rPr>
        <w:t xml:space="preserve">, and the impacts of federal actions on the </w:t>
      </w:r>
      <w:r w:rsidR="0013696F">
        <w:rPr>
          <w:i/>
        </w:rPr>
        <w:t>Washington and Oregon charter sector</w:t>
      </w:r>
      <w:r w:rsidR="000C7224">
        <w:rPr>
          <w:i/>
        </w:rPr>
        <w:t xml:space="preserve">, the survey </w:t>
      </w:r>
      <w:r w:rsidR="00F422C5">
        <w:rPr>
          <w:i/>
        </w:rPr>
        <w:t xml:space="preserve">will </w:t>
      </w:r>
      <w:r w:rsidR="000C7224">
        <w:rPr>
          <w:i/>
        </w:rPr>
        <w:t xml:space="preserve">address the fishery as </w:t>
      </w:r>
      <w:r w:rsidR="005D28CB">
        <w:rPr>
          <w:i/>
        </w:rPr>
        <w:t>commercial rather</w:t>
      </w:r>
      <w:r w:rsidR="000C7224">
        <w:rPr>
          <w:i/>
        </w:rPr>
        <w:t xml:space="preserve"> than recreational.</w:t>
      </w:r>
      <w:r w:rsidR="00676C51" w:rsidRPr="00223267">
        <w:rPr>
          <w:i/>
        </w:rPr>
        <w:t xml:space="preserve"> </w:t>
      </w:r>
      <w:r w:rsidRPr="00223267">
        <w:rPr>
          <w:i/>
        </w:rPr>
        <w:t>This</w:t>
      </w:r>
      <w:r w:rsidR="001334F2" w:rsidRPr="00223267">
        <w:rPr>
          <w:i/>
        </w:rPr>
        <w:t xml:space="preserve"> request is for a</w:t>
      </w:r>
      <w:r w:rsidRPr="00223267">
        <w:rPr>
          <w:i/>
        </w:rPr>
        <w:t xml:space="preserve"> </w:t>
      </w:r>
      <w:r w:rsidR="001334F2" w:rsidRPr="00223267">
        <w:rPr>
          <w:i/>
        </w:rPr>
        <w:t xml:space="preserve">one-time </w:t>
      </w:r>
      <w:r w:rsidRPr="00223267">
        <w:rPr>
          <w:i/>
        </w:rPr>
        <w:t xml:space="preserve">survey </w:t>
      </w:r>
      <w:r w:rsidR="001334F2" w:rsidRPr="00223267">
        <w:rPr>
          <w:i/>
        </w:rPr>
        <w:t xml:space="preserve">of the </w:t>
      </w:r>
      <w:r w:rsidR="0013696F">
        <w:rPr>
          <w:i/>
        </w:rPr>
        <w:t xml:space="preserve">Washington and Oregon charter </w:t>
      </w:r>
      <w:r w:rsidR="001334F2" w:rsidRPr="00223267">
        <w:rPr>
          <w:i/>
        </w:rPr>
        <w:t xml:space="preserve">fleet </w:t>
      </w:r>
      <w:r w:rsidRPr="00223267">
        <w:rPr>
          <w:i/>
        </w:rPr>
        <w:t>which has been developed based on previously approved question categories as out</w:t>
      </w:r>
      <w:r w:rsidR="000C7224">
        <w:rPr>
          <w:i/>
        </w:rPr>
        <w:t xml:space="preserve">lined in the </w:t>
      </w:r>
      <w:r w:rsidR="006E36B2">
        <w:rPr>
          <w:i/>
        </w:rPr>
        <w:t xml:space="preserve">OMB Control No. </w:t>
      </w:r>
      <w:r w:rsidR="000C7224">
        <w:rPr>
          <w:i/>
        </w:rPr>
        <w:t>0648-0369 (commercial fisheries)</w:t>
      </w:r>
      <w:r w:rsidRPr="00223267">
        <w:rPr>
          <w:i/>
        </w:rPr>
        <w:t xml:space="preserve"> supporting statement</w:t>
      </w:r>
      <w:r w:rsidR="00166360">
        <w:rPr>
          <w:i/>
        </w:rPr>
        <w:t>.</w:t>
      </w:r>
    </w:p>
    <w:p w:rsidR="00862BE0" w:rsidRDefault="00862BE0" w:rsidP="00241B9E">
      <w:pPr>
        <w:rPr>
          <w:rFonts w:ascii="Arial Narrow" w:hAnsi="Arial Narrow"/>
        </w:rPr>
      </w:pPr>
    </w:p>
    <w:p w:rsidR="00862BE0" w:rsidRDefault="007460DD" w:rsidP="00241B9E">
      <w:r w:rsidRPr="00783982">
        <w:rPr>
          <w:u w:val="single"/>
        </w:rPr>
        <w:t>Objective:</w:t>
      </w:r>
      <w:r w:rsidRPr="00783982">
        <w:t xml:space="preserve"> </w:t>
      </w:r>
      <w:r w:rsidR="00D56ED0">
        <w:t xml:space="preserve"> </w:t>
      </w:r>
      <w:r w:rsidRPr="00783982">
        <w:t xml:space="preserve">The </w:t>
      </w:r>
      <w:r w:rsidR="00315990">
        <w:t xml:space="preserve">charter </w:t>
      </w:r>
      <w:r w:rsidR="006A4FD0">
        <w:t>fishing</w:t>
      </w:r>
      <w:r w:rsidR="00830E5E">
        <w:t xml:space="preserve"> industry has a long</w:t>
      </w:r>
      <w:r w:rsidR="006A4FD0">
        <w:t xml:space="preserve"> history in </w:t>
      </w:r>
      <w:r w:rsidR="00315990">
        <w:t>Washington and Oregon</w:t>
      </w:r>
      <w:r w:rsidR="002C0E88">
        <w:t>, as residents and</w:t>
      </w:r>
      <w:r w:rsidR="006A4FD0">
        <w:t xml:space="preserve"> tourists have come to experience </w:t>
      </w:r>
      <w:r w:rsidR="00CC33CC">
        <w:t xml:space="preserve">a myriad of fishing opportunities, from </w:t>
      </w:r>
      <w:r w:rsidR="00315990">
        <w:t xml:space="preserve">salmon fishing in the Puget Sound and the Columbia River area to </w:t>
      </w:r>
      <w:r w:rsidR="00CC33CC">
        <w:t xml:space="preserve">tuna fishing </w:t>
      </w:r>
      <w:r w:rsidR="00284F2F">
        <w:t>and</w:t>
      </w:r>
      <w:r w:rsidR="00CC33CC">
        <w:t xml:space="preserve"> </w:t>
      </w:r>
      <w:r w:rsidR="00A05256">
        <w:t>rockfish fishing opportu</w:t>
      </w:r>
      <w:r w:rsidR="00CC33CC">
        <w:t xml:space="preserve">nities throughout </w:t>
      </w:r>
      <w:r w:rsidR="00315990">
        <w:t xml:space="preserve">both </w:t>
      </w:r>
      <w:r w:rsidR="00A05256">
        <w:t>state</w:t>
      </w:r>
      <w:r w:rsidR="00315990">
        <w:t>s</w:t>
      </w:r>
      <w:r w:rsidR="006A4FD0">
        <w:t>.</w:t>
      </w:r>
      <w:r w:rsidR="00CC33CC">
        <w:t xml:space="preserve"> C</w:t>
      </w:r>
      <w:r w:rsidR="00315990">
        <w:t xml:space="preserve">harter fishing </w:t>
      </w:r>
      <w:r w:rsidR="000064B8">
        <w:t xml:space="preserve">is a </w:t>
      </w:r>
      <w:r w:rsidR="00A05256">
        <w:t xml:space="preserve">notable component of tourism along the </w:t>
      </w:r>
      <w:r w:rsidR="00315990">
        <w:t>Washington and Oregon c</w:t>
      </w:r>
      <w:r w:rsidR="00A05256">
        <w:t>oast</w:t>
      </w:r>
      <w:r w:rsidR="00315990">
        <w:t>s</w:t>
      </w:r>
      <w:r w:rsidR="0098335B">
        <w:t>. In 2009</w:t>
      </w:r>
      <w:r w:rsidR="006E36B2">
        <w:t>,</w:t>
      </w:r>
      <w:r w:rsidR="0098335B">
        <w:t xml:space="preserve"> charter patrons</w:t>
      </w:r>
      <w:r w:rsidR="00257BAF">
        <w:t xml:space="preserve"> in </w:t>
      </w:r>
      <w:r w:rsidR="002611AF">
        <w:t xml:space="preserve">Washington and Oregon </w:t>
      </w:r>
      <w:r w:rsidR="0098335B">
        <w:t>generated</w:t>
      </w:r>
      <w:r w:rsidR="000064B8">
        <w:t xml:space="preserve"> sales impacts of approximately $</w:t>
      </w:r>
      <w:r w:rsidR="00A05256">
        <w:t>3</w:t>
      </w:r>
      <w:r w:rsidR="00EA5E7D">
        <w:t>4</w:t>
      </w:r>
      <w:r w:rsidR="00A05256">
        <w:t xml:space="preserve"> </w:t>
      </w:r>
      <w:r w:rsidR="000064B8">
        <w:t xml:space="preserve">million and value-added impacts </w:t>
      </w:r>
      <w:r w:rsidR="00DD0E02">
        <w:t xml:space="preserve">in the form of wages, salaries, and profits </w:t>
      </w:r>
      <w:r w:rsidR="000064B8">
        <w:t>of $</w:t>
      </w:r>
      <w:r w:rsidR="00EA5E7D">
        <w:t>19</w:t>
      </w:r>
      <w:r w:rsidR="000064B8">
        <w:t xml:space="preserve"> million</w:t>
      </w:r>
      <w:r w:rsidR="00BD7AF2">
        <w:rPr>
          <w:rStyle w:val="FootnoteReference"/>
        </w:rPr>
        <w:footnoteReference w:id="2"/>
      </w:r>
      <w:r w:rsidR="00A05256">
        <w:t xml:space="preserve">. </w:t>
      </w:r>
    </w:p>
    <w:p w:rsidR="00D0764E" w:rsidRDefault="00D0764E" w:rsidP="00B16B97">
      <w:pPr>
        <w:rPr>
          <w:u w:val="single"/>
        </w:rPr>
      </w:pPr>
    </w:p>
    <w:p w:rsidR="00541287" w:rsidRDefault="00A23B88" w:rsidP="00541287">
      <w:r>
        <w:rPr>
          <w:szCs w:val="24"/>
        </w:rPr>
        <w:lastRenderedPageBreak/>
        <w:t xml:space="preserve">Timely </w:t>
      </w:r>
      <w:r w:rsidR="00B16B97">
        <w:rPr>
          <w:szCs w:val="24"/>
        </w:rPr>
        <w:t>costs and earnings</w:t>
      </w:r>
      <w:r w:rsidR="0044560B">
        <w:rPr>
          <w:szCs w:val="24"/>
        </w:rPr>
        <w:t xml:space="preserve"> data are needed in order </w:t>
      </w:r>
      <w:r w:rsidR="00D0764E">
        <w:rPr>
          <w:szCs w:val="24"/>
        </w:rPr>
        <w:t>to estimate the fisher</w:t>
      </w:r>
      <w:r w:rsidR="00182CDF">
        <w:rPr>
          <w:szCs w:val="24"/>
        </w:rPr>
        <w:t>y’s</w:t>
      </w:r>
      <w:r w:rsidR="00D0764E">
        <w:rPr>
          <w:szCs w:val="24"/>
        </w:rPr>
        <w:t xml:space="preserve"> contri</w:t>
      </w:r>
      <w:r w:rsidR="0044560B">
        <w:rPr>
          <w:szCs w:val="24"/>
        </w:rPr>
        <w:t>b</w:t>
      </w:r>
      <w:r w:rsidR="00D0764E">
        <w:rPr>
          <w:szCs w:val="24"/>
        </w:rPr>
        <w:t>u</w:t>
      </w:r>
      <w:r w:rsidR="0044560B">
        <w:rPr>
          <w:szCs w:val="24"/>
        </w:rPr>
        <w:t>tion to the state’s</w:t>
      </w:r>
      <w:r w:rsidR="00EA47BB">
        <w:rPr>
          <w:szCs w:val="24"/>
        </w:rPr>
        <w:t xml:space="preserve"> economy</w:t>
      </w:r>
      <w:r w:rsidR="00B16B97">
        <w:rPr>
          <w:szCs w:val="24"/>
        </w:rPr>
        <w:t>.</w:t>
      </w:r>
      <w:r>
        <w:rPr>
          <w:szCs w:val="24"/>
        </w:rPr>
        <w:t xml:space="preserve"> </w:t>
      </w:r>
      <w:r w:rsidR="00541287">
        <w:t>IMPLAN</w:t>
      </w:r>
      <w:r w:rsidR="00ED604D">
        <w:rPr>
          <w:rStyle w:val="FootnoteReference"/>
        </w:rPr>
        <w:footnoteReference w:id="3"/>
      </w:r>
      <w:r w:rsidR="00541287">
        <w:t xml:space="preserve"> sector (cost and earnings) data from </w:t>
      </w:r>
      <w:r>
        <w:t>Washington and Oregon charter vessels are</w:t>
      </w:r>
      <w:r w:rsidR="00541287">
        <w:t xml:space="preserve"> required in the estimation of the Input Output Model for Pacific Coast Fisheries (IO-PAC) which is used to provide statutorily required estimates to the Pacific Fishery Management Council for fisheries under Fishery Management Plans (FMPs) administered in the Northwest and Southwest </w:t>
      </w:r>
      <w:r w:rsidR="00441504">
        <w:t>r</w:t>
      </w:r>
      <w:r w:rsidR="00541287">
        <w:t>egions.</w:t>
      </w:r>
    </w:p>
    <w:p w:rsidR="00B16B97" w:rsidRDefault="00B16B97" w:rsidP="00B16B97">
      <w:pPr>
        <w:pStyle w:val="NoSpacing"/>
        <w:rPr>
          <w:rFonts w:ascii="Times New Roman" w:hAnsi="Times New Roman" w:cs="Times New Roman"/>
          <w:sz w:val="24"/>
          <w:szCs w:val="24"/>
        </w:rPr>
      </w:pPr>
    </w:p>
    <w:p w:rsidR="00862BE0" w:rsidRDefault="00A23B88" w:rsidP="00241B9E">
      <w:r>
        <w:t xml:space="preserve">A prior study </w:t>
      </w:r>
      <w:r w:rsidR="00284F2F">
        <w:t xml:space="preserve">of the </w:t>
      </w:r>
      <w:r w:rsidR="00DF62F4">
        <w:t>Washington</w:t>
      </w:r>
      <w:r>
        <w:t xml:space="preserve"> and Oregon charter fleet, with a similar survey instrument</w:t>
      </w:r>
      <w:r w:rsidR="003F6B8E">
        <w:t>,</w:t>
      </w:r>
      <w:r w:rsidR="004F1901">
        <w:t xml:space="preserve"> </w:t>
      </w:r>
      <w:r>
        <w:t>was completed in 200</w:t>
      </w:r>
      <w:r w:rsidR="00284F2F">
        <w:t>7 and collected cost earnings data pertaining to</w:t>
      </w:r>
      <w:r w:rsidR="003F6B8E">
        <w:t xml:space="preserve"> </w:t>
      </w:r>
      <w:r w:rsidR="00284F2F">
        <w:t>2006</w:t>
      </w:r>
      <w:r>
        <w:t xml:space="preserve">.  Since then, the industry has faced a variety of difficult circumstances. In 2008, </w:t>
      </w:r>
      <w:r w:rsidRPr="00713889">
        <w:t>Secretary of Commerce Carlos M. Gutierrez declare</w:t>
      </w:r>
      <w:r>
        <w:t>d</w:t>
      </w:r>
      <w:r w:rsidRPr="00713889">
        <w:t xml:space="preserve"> a commercial fishery failure for the West Coast salmon fishery</w:t>
      </w:r>
      <w:r>
        <w:t xml:space="preserve"> (Upton, 2010), and the prior 200</w:t>
      </w:r>
      <w:r w:rsidR="00284F2F">
        <w:t>7 survey indicated</w:t>
      </w:r>
      <w:r>
        <w:t xml:space="preserve"> that the industry was still highly dependent on salmon.  In Washington, where salmon charter </w:t>
      </w:r>
      <w:r w:rsidR="003F6B8E">
        <w:t>licenses are distinguishable from</w:t>
      </w:r>
      <w:r>
        <w:t xml:space="preserve"> non</w:t>
      </w:r>
      <w:r w:rsidR="003F6B8E">
        <w:t>-</w:t>
      </w:r>
      <w:r>
        <w:t>salmon licenses</w:t>
      </w:r>
      <w:r>
        <w:rPr>
          <w:rStyle w:val="FootnoteReference"/>
        </w:rPr>
        <w:footnoteReference w:id="4"/>
      </w:r>
      <w:r>
        <w:t>, there are still nearly five times as many salmon licenses as non</w:t>
      </w:r>
      <w:r w:rsidR="003F6B8E">
        <w:t>-</w:t>
      </w:r>
      <w:r>
        <w:t xml:space="preserve">salmon licenses.  Additionally, nominal marine fuel prices </w:t>
      </w:r>
      <w:r w:rsidR="005F2969">
        <w:t xml:space="preserve">increased 47% in </w:t>
      </w:r>
      <w:r w:rsidR="00284F2F">
        <w:t xml:space="preserve">the </w:t>
      </w:r>
      <w:r w:rsidR="005F2969">
        <w:t>six</w:t>
      </w:r>
      <w:r w:rsidR="00284F2F">
        <w:t>-</w:t>
      </w:r>
      <w:r>
        <w:t>year period from 200</w:t>
      </w:r>
      <w:r w:rsidR="005F2969">
        <w:t>6</w:t>
      </w:r>
      <w:r>
        <w:t xml:space="preserve"> to 20</w:t>
      </w:r>
      <w:r w:rsidR="005F2969">
        <w:t>12</w:t>
      </w:r>
      <w:r w:rsidRPr="00AA314F">
        <w:rPr>
          <w:rStyle w:val="FootnoteReference"/>
        </w:rPr>
        <w:footnoteReference w:id="5"/>
      </w:r>
      <w:r>
        <w:t xml:space="preserve">, </w:t>
      </w:r>
      <w:r w:rsidR="00284F2F">
        <w:t xml:space="preserve">and the </w:t>
      </w:r>
      <w:r w:rsidR="005F2969">
        <w:t>200</w:t>
      </w:r>
      <w:r w:rsidR="00284F2F">
        <w:t>7</w:t>
      </w:r>
      <w:r w:rsidR="005F2969">
        <w:t xml:space="preserve"> survey</w:t>
      </w:r>
      <w:r w:rsidR="00284F2F">
        <w:t xml:space="preserve"> indicated that </w:t>
      </w:r>
      <w:r>
        <w:t xml:space="preserve">fuel </w:t>
      </w:r>
      <w:r w:rsidR="00284F2F">
        <w:t>was</w:t>
      </w:r>
      <w:r>
        <w:t xml:space="preserve"> the single largest non-labor expense of operating.  </w:t>
      </w:r>
      <w:r w:rsidR="00EA47BB">
        <w:t xml:space="preserve">Given </w:t>
      </w:r>
      <w:r w:rsidR="007460DD">
        <w:t xml:space="preserve">the </w:t>
      </w:r>
      <w:r w:rsidR="00EA47BB">
        <w:t xml:space="preserve">recent </w:t>
      </w:r>
      <w:r w:rsidR="00862BE0">
        <w:t xml:space="preserve">macroeconomic changes in the past </w:t>
      </w:r>
      <w:r w:rsidR="005F2969">
        <w:t>7</w:t>
      </w:r>
      <w:r w:rsidR="00862BE0">
        <w:t xml:space="preserve"> years</w:t>
      </w:r>
      <w:r w:rsidR="00111934">
        <w:t xml:space="preserve"> and the </w:t>
      </w:r>
      <w:r w:rsidR="006A4FD0">
        <w:t>regulatory changes</w:t>
      </w:r>
      <w:r w:rsidR="005F2969">
        <w:t>, particularly for salmon</w:t>
      </w:r>
      <w:r w:rsidR="00786C40">
        <w:t>,</w:t>
      </w:r>
      <w:r w:rsidR="00830E5E">
        <w:t xml:space="preserve"> there is a need for a collection of</w:t>
      </w:r>
      <w:r w:rsidR="00E97BAF">
        <w:t xml:space="preserve"> </w:t>
      </w:r>
      <w:r w:rsidR="00EA47BB">
        <w:t xml:space="preserve">economic </w:t>
      </w:r>
      <w:r w:rsidR="00C04746">
        <w:t xml:space="preserve">cost and earnings data and related social data on the </w:t>
      </w:r>
      <w:r w:rsidR="005F2969">
        <w:t xml:space="preserve">Washington and Oregon charter </w:t>
      </w:r>
      <w:r w:rsidR="00C04746">
        <w:t>fleet</w:t>
      </w:r>
      <w:r w:rsidR="00830E5E">
        <w:t xml:space="preserve"> to support the fishery management process</w:t>
      </w:r>
      <w:r w:rsidR="00541287">
        <w:t>.</w:t>
      </w:r>
    </w:p>
    <w:p w:rsidR="00B237C2" w:rsidRPr="00783982" w:rsidRDefault="00B237C2" w:rsidP="00241B9E">
      <w:pPr>
        <w:widowControl w:val="0"/>
      </w:pPr>
    </w:p>
    <w:p w:rsidR="00D65F8F" w:rsidRPr="00783982" w:rsidRDefault="00D65F8F" w:rsidP="00241B9E">
      <w:pPr>
        <w:widowControl w:val="0"/>
        <w:rPr>
          <w:b/>
        </w:rPr>
      </w:pPr>
      <w:r w:rsidRPr="00783982">
        <w:rPr>
          <w:b/>
        </w:rPr>
        <w:t>1.  The potential respondent universe and any sampling or other respondent selection method to be used and the expected response rate.</w:t>
      </w:r>
    </w:p>
    <w:p w:rsidR="00190D2D" w:rsidRPr="00783982" w:rsidRDefault="00190D2D" w:rsidP="00241B9E">
      <w:pPr>
        <w:widowControl w:val="0"/>
      </w:pPr>
    </w:p>
    <w:p w:rsidR="00D65F8F" w:rsidRPr="00783982" w:rsidRDefault="00D65F8F" w:rsidP="005A75AC">
      <w:pPr>
        <w:widowControl w:val="0"/>
        <w:outlineLvl w:val="0"/>
      </w:pPr>
      <w:r w:rsidRPr="00783982">
        <w:rPr>
          <w:u w:val="single"/>
        </w:rPr>
        <w:t>Potential Respondent Universe</w:t>
      </w:r>
    </w:p>
    <w:p w:rsidR="00D65F8F" w:rsidRPr="00783982" w:rsidRDefault="00D65F8F" w:rsidP="00241B9E">
      <w:pPr>
        <w:widowControl w:val="0"/>
      </w:pPr>
    </w:p>
    <w:p w:rsidR="00EC6508" w:rsidRDefault="002028FD" w:rsidP="00241B9E">
      <w:pPr>
        <w:widowControl w:val="0"/>
      </w:pPr>
      <w:r w:rsidRPr="00783982">
        <w:t xml:space="preserve">The </w:t>
      </w:r>
      <w:r w:rsidR="00AC6AE4">
        <w:t xml:space="preserve">number of charter vessel license holders in </w:t>
      </w:r>
      <w:r w:rsidR="00DF62F4">
        <w:t>Washington</w:t>
      </w:r>
      <w:r w:rsidR="00BC09DA">
        <w:t xml:space="preserve"> and </w:t>
      </w:r>
      <w:r w:rsidR="00DF62F4">
        <w:t>Oregon</w:t>
      </w:r>
      <w:r w:rsidR="00BC09DA">
        <w:t xml:space="preserve"> in 2012 was 369.  However, following the findings </w:t>
      </w:r>
      <w:r w:rsidR="00DD0E02">
        <w:t>of the Washington and Oregon charter survey in 2007</w:t>
      </w:r>
      <w:r w:rsidR="00BC09DA">
        <w:t>, a substantial portion of the 369 license holders will not go fishing in marine waters.  Many will fish only in fresh water and others will carry passengers in marine waters but will do so for purposes other than fishing, such as wildlife watching.  Absent contacting the vessels to ascertain their activities, the number of active marine fishing vessels in 2012 is unknown.  Consequently, the number of marine</w:t>
      </w:r>
      <w:r w:rsidR="009D29CC">
        <w:t xml:space="preserve"> </w:t>
      </w:r>
      <w:r w:rsidR="003F6B8E">
        <w:t>charter</w:t>
      </w:r>
      <w:r w:rsidR="00BC09DA">
        <w:t xml:space="preserve"> fishing vessels is </w:t>
      </w:r>
      <w:r w:rsidR="00C2628F">
        <w:t xml:space="preserve">estimated </w:t>
      </w:r>
      <w:r w:rsidR="00BC09DA">
        <w:t xml:space="preserve">to be the same </w:t>
      </w:r>
      <w:r w:rsidR="00DD0E02">
        <w:t xml:space="preserve">proportion as </w:t>
      </w:r>
      <w:r w:rsidR="00BC09DA">
        <w:t>in 200</w:t>
      </w:r>
      <w:r w:rsidR="00284F2F">
        <w:t>7</w:t>
      </w:r>
      <w:r w:rsidR="00BC09DA">
        <w:t xml:space="preserve">, which </w:t>
      </w:r>
      <w:proofErr w:type="gramStart"/>
      <w:r w:rsidR="00DD0E02">
        <w:t xml:space="preserve">was </w:t>
      </w:r>
      <w:r w:rsidR="00071B0C">
        <w:t>70</w:t>
      </w:r>
      <w:r w:rsidR="00DD0E02">
        <w:t xml:space="preserve">% or </w:t>
      </w:r>
      <w:r w:rsidR="00BC09DA">
        <w:t>2</w:t>
      </w:r>
      <w:r w:rsidR="00071B0C">
        <w:t>58</w:t>
      </w:r>
      <w:r w:rsidR="00BC09DA">
        <w:t xml:space="preserve"> vessels</w:t>
      </w:r>
      <w:proofErr w:type="gramEnd"/>
      <w:r w:rsidR="00BC09DA">
        <w:t xml:space="preserve">.  </w:t>
      </w:r>
      <w:r w:rsidR="00AE321D">
        <w:t>Owners</w:t>
      </w:r>
      <w:r w:rsidR="000B749A">
        <w:t xml:space="preserve"> of each of the approximately </w:t>
      </w:r>
      <w:r w:rsidR="00C2628F">
        <w:t>2</w:t>
      </w:r>
      <w:r w:rsidR="008069AC">
        <w:t>58</w:t>
      </w:r>
      <w:r w:rsidR="000B749A">
        <w:t xml:space="preserve"> vessels</w:t>
      </w:r>
      <w:r w:rsidR="00AE321D">
        <w:t xml:space="preserve">, rather than captains, will be the target respondents because they possess the specific </w:t>
      </w:r>
      <w:r w:rsidR="00307002">
        <w:t xml:space="preserve">economic and </w:t>
      </w:r>
      <w:r w:rsidR="00AE321D">
        <w:t>social dat</w:t>
      </w:r>
      <w:r w:rsidR="00830E5E">
        <w:t xml:space="preserve">a for the operations they run.  </w:t>
      </w:r>
      <w:r w:rsidR="00C2628F">
        <w:t xml:space="preserve">Contact information on the 2012 charter license holders was obtained from the Washington Department of Fish and Wildlife and the Oregon Department of Fish and Wildlife.  </w:t>
      </w:r>
    </w:p>
    <w:p w:rsidR="00EC6508" w:rsidRPr="00783982" w:rsidRDefault="00EC6508" w:rsidP="00241B9E">
      <w:pPr>
        <w:widowControl w:val="0"/>
      </w:pPr>
    </w:p>
    <w:p w:rsidR="00D07636" w:rsidRPr="00783982" w:rsidRDefault="00D07636" w:rsidP="005A75AC">
      <w:pPr>
        <w:widowControl w:val="0"/>
        <w:outlineLvl w:val="0"/>
        <w:rPr>
          <w:u w:val="single"/>
        </w:rPr>
      </w:pPr>
      <w:r w:rsidRPr="00783982">
        <w:rPr>
          <w:u w:val="single"/>
        </w:rPr>
        <w:t>Sampling and Other Respondent Selection Methods</w:t>
      </w:r>
    </w:p>
    <w:p w:rsidR="00D07636" w:rsidRPr="00783982" w:rsidRDefault="00D07636" w:rsidP="00241B9E">
      <w:pPr>
        <w:widowControl w:val="0"/>
        <w:rPr>
          <w:u w:val="single"/>
        </w:rPr>
      </w:pPr>
    </w:p>
    <w:p w:rsidR="00291736" w:rsidRDefault="00D07636" w:rsidP="00291736">
      <w:pPr>
        <w:widowControl w:val="0"/>
      </w:pPr>
      <w:r w:rsidRPr="00783982">
        <w:t xml:space="preserve">The survey will be </w:t>
      </w:r>
      <w:r w:rsidR="00C2628F">
        <w:t xml:space="preserve">conducted </w:t>
      </w:r>
      <w:r w:rsidR="00EC6402">
        <w:t xml:space="preserve">as a census of all charter license holders that actively engaged in marine charterboat fishing in 2012.  The survey will be conducted in </w:t>
      </w:r>
      <w:r w:rsidR="00890360">
        <w:t>two phases</w:t>
      </w:r>
      <w:r w:rsidR="00EC6402">
        <w:t>.</w:t>
      </w:r>
      <w:r w:rsidR="00C2628F">
        <w:t xml:space="preserve"> </w:t>
      </w:r>
      <w:r w:rsidR="00890360">
        <w:t xml:space="preserve"> </w:t>
      </w:r>
      <w:r w:rsidR="000B749A">
        <w:t xml:space="preserve">Phase 1 will </w:t>
      </w:r>
      <w:r w:rsidR="006A373B">
        <w:t>consist of a telephone pre-survey to determine license holders</w:t>
      </w:r>
      <w:r w:rsidR="00EC6402">
        <w:t xml:space="preserve"> that actively engaged in marine charter fishing. </w:t>
      </w:r>
      <w:r w:rsidR="00291736">
        <w:t xml:space="preserve"> Phase 2 consists of a mixed mode design to collect detail cost earnings data from active </w:t>
      </w:r>
      <w:r w:rsidR="003F6B8E">
        <w:t xml:space="preserve">marine </w:t>
      </w:r>
      <w:r w:rsidR="00291736">
        <w:t xml:space="preserve">charterboat participants.  Active </w:t>
      </w:r>
      <w:r w:rsidR="00284F2F">
        <w:t xml:space="preserve">marine </w:t>
      </w:r>
      <w:r w:rsidR="00291736">
        <w:t>charter vessel owners will then receive a formal letter of invitation to participate in the survey as well as a fact sheet of the commonly asked questions and answers</w:t>
      </w:r>
      <w:r w:rsidR="003F6B8E">
        <w:t xml:space="preserve"> about the survey</w:t>
      </w:r>
      <w:r w:rsidR="00291736">
        <w:t xml:space="preserve">.  Following mailing of the letter of invitation, owners will be contacted by phone to confirm receipt of the letter of invitation, and asked to schedule a one hour interview appointment. Interviews will be conducted in-person for each owner during the scheduled time.  </w:t>
      </w:r>
      <w:r w:rsidR="00AE321D">
        <w:t>Previous</w:t>
      </w:r>
      <w:r w:rsidR="006A373B">
        <w:t xml:space="preserve"> cost earnings surveys of charter vessels </w:t>
      </w:r>
      <w:r w:rsidRPr="00783982">
        <w:t>have demonstrated the effectiveness of in-person interviews in collecting data an</w:t>
      </w:r>
      <w:r w:rsidR="000D2336" w:rsidRPr="00783982">
        <w:t>d obtaining</w:t>
      </w:r>
      <w:r w:rsidR="009E31E1">
        <w:t xml:space="preserve"> accurate information</w:t>
      </w:r>
      <w:r w:rsidR="00FC3BAF">
        <w:rPr>
          <w:rStyle w:val="FootnoteReference"/>
        </w:rPr>
        <w:footnoteReference w:id="6"/>
      </w:r>
      <w:r w:rsidR="00830E5E">
        <w:t>.</w:t>
      </w:r>
      <w:r w:rsidR="00AE321D">
        <w:t xml:space="preserve">  </w:t>
      </w:r>
      <w:r w:rsidR="009E31E1">
        <w:t>In order to improve the quality of information collected, in-person survey</w:t>
      </w:r>
      <w:r w:rsidR="00623F4F" w:rsidRPr="00783982">
        <w:t xml:space="preserve"> administration</w:t>
      </w:r>
      <w:r w:rsidR="00AE321D">
        <w:t xml:space="preserve"> will be </w:t>
      </w:r>
      <w:r w:rsidR="00E46D14">
        <w:t xml:space="preserve">the </w:t>
      </w:r>
      <w:r w:rsidR="000B749A">
        <w:t>pr</w:t>
      </w:r>
      <w:r w:rsidR="006A373B">
        <w:t>eferred mode for the study</w:t>
      </w:r>
      <w:r w:rsidR="00623F4F" w:rsidRPr="00783982">
        <w:t>.</w:t>
      </w:r>
      <w:r w:rsidR="006A373B">
        <w:t xml:space="preserve">  However, </w:t>
      </w:r>
      <w:r w:rsidR="00291736">
        <w:t xml:space="preserve">to maximize </w:t>
      </w:r>
      <w:r w:rsidR="00DD5D9B">
        <w:t xml:space="preserve">the </w:t>
      </w:r>
      <w:r w:rsidR="00291736">
        <w:t xml:space="preserve">response rate and ensure the survey sample is representative of our respondent </w:t>
      </w:r>
      <w:proofErr w:type="gramStart"/>
      <w:r w:rsidR="00291736">
        <w:t>universe,</w:t>
      </w:r>
      <w:proofErr w:type="gramEnd"/>
      <w:r w:rsidR="00291736">
        <w:t xml:space="preserve"> respondents will be offered telephone or mail-in mode interviews.  </w:t>
      </w:r>
    </w:p>
    <w:p w:rsidR="00611FD1" w:rsidRPr="00783982" w:rsidRDefault="00611FD1" w:rsidP="00241B9E">
      <w:pPr>
        <w:widowControl w:val="0"/>
      </w:pPr>
    </w:p>
    <w:p w:rsidR="00291736" w:rsidRDefault="00291736" w:rsidP="005A75AC">
      <w:pPr>
        <w:widowControl w:val="0"/>
        <w:outlineLvl w:val="0"/>
        <w:rPr>
          <w:u w:val="single"/>
        </w:rPr>
      </w:pPr>
    </w:p>
    <w:p w:rsidR="00D65F8F" w:rsidRPr="00783982" w:rsidRDefault="00D65F8F" w:rsidP="005A75AC">
      <w:pPr>
        <w:widowControl w:val="0"/>
        <w:outlineLvl w:val="0"/>
      </w:pPr>
      <w:r w:rsidRPr="00783982">
        <w:rPr>
          <w:u w:val="single"/>
        </w:rPr>
        <w:t>Expected Response Rate</w:t>
      </w:r>
    </w:p>
    <w:p w:rsidR="00D65F8F" w:rsidRPr="00783982" w:rsidRDefault="00D65F8F" w:rsidP="00241B9E">
      <w:pPr>
        <w:widowControl w:val="0"/>
      </w:pPr>
    </w:p>
    <w:p w:rsidR="00AC1B9F" w:rsidRPr="00783982" w:rsidRDefault="00D65F8F" w:rsidP="00AC1B9F">
      <w:r w:rsidRPr="00783982">
        <w:t>The expected</w:t>
      </w:r>
      <w:r w:rsidR="00881325">
        <w:t xml:space="preserve"> </w:t>
      </w:r>
      <w:r w:rsidR="00EC6402">
        <w:t xml:space="preserve">rate among the target population of charter license holders actively engaged in marine charter fishing in 2012 is 55%.  </w:t>
      </w:r>
      <w:r w:rsidR="00716FB6">
        <w:t>The res</w:t>
      </w:r>
      <w:r w:rsidR="004F2BD7">
        <w:t>p</w:t>
      </w:r>
      <w:r w:rsidR="00716FB6">
        <w:t>onse rates achieved in th</w:t>
      </w:r>
      <w:r w:rsidR="00EC6402">
        <w:t>e 2007 marine charter survey in Washington and Oregon</w:t>
      </w:r>
      <w:r w:rsidR="00716FB6">
        <w:t xml:space="preserve"> are instructive to determine the expected response rate.  The initial contact (Phase 1) to determine the active marine charter vessels was done via telephone as currently planned.  </w:t>
      </w:r>
      <w:r w:rsidR="00422F14">
        <w:t xml:space="preserve">However, Phase 2 </w:t>
      </w:r>
      <w:r w:rsidR="000B1933">
        <w:t xml:space="preserve">was a different because </w:t>
      </w:r>
      <w:r w:rsidR="00422F14">
        <w:t>survey</w:t>
      </w:r>
      <w:r w:rsidR="000B1933">
        <w:t>s</w:t>
      </w:r>
      <w:r w:rsidR="00422F14">
        <w:t xml:space="preserve"> </w:t>
      </w:r>
      <w:r w:rsidR="000B1933">
        <w:t>were</w:t>
      </w:r>
      <w:r w:rsidR="00422F14">
        <w:t xml:space="preserve"> completed via mail </w:t>
      </w:r>
      <w:r w:rsidR="000B1933">
        <w:t>on</w:t>
      </w:r>
      <w:r w:rsidR="00422F14">
        <w:t xml:space="preserve">ly.  </w:t>
      </w:r>
      <w:r w:rsidR="006E51EC">
        <w:t xml:space="preserve"> </w:t>
      </w:r>
      <w:r w:rsidR="00422F14">
        <w:t>In the prior survey</w:t>
      </w:r>
      <w:r w:rsidR="006E51EC">
        <w:t xml:space="preserve">, </w:t>
      </w:r>
      <w:r w:rsidR="00A648BE">
        <w:t xml:space="preserve">there were 287 license holders.  47 license holders or 16% of the total were unable to be contacted due to either bad contact information or failure to return phone calls.  Of the remaining 240 license holders for which contact was made, 71 did not participate in marine charter fishing, 70 refused to participate in the survey, and 99 completed the survey.  </w:t>
      </w:r>
      <w:r w:rsidR="0088051E">
        <w:t xml:space="preserve">Using the conservative assumption that all </w:t>
      </w:r>
      <w:r w:rsidR="00A648BE">
        <w:t xml:space="preserve">70 who refused to participate in the survey were active marine charter vessels, </w:t>
      </w:r>
      <w:r w:rsidR="0088051E">
        <w:t xml:space="preserve">the total number of active participants was 169, and the percentage of active license holders was 70% (169/240).   </w:t>
      </w:r>
      <w:r w:rsidR="00633699">
        <w:t>For the 47 vessels in which contact was not achieved, some were likely active marine charter vessels and some were not.  Assuming that the non-contacts were distributed between active and not-active marine charter vessels in the same manner as the vessels in which cont</w:t>
      </w:r>
      <w:r w:rsidR="00DD5D9B">
        <w:t xml:space="preserve">act was achieved, </w:t>
      </w:r>
      <w:r w:rsidR="0088051E">
        <w:t>70% or 33</w:t>
      </w:r>
      <w:r w:rsidR="00DD5D9B">
        <w:t xml:space="preserve"> of</w:t>
      </w:r>
      <w:r w:rsidR="00633699">
        <w:t xml:space="preserve"> the vessels not contacted were active.  The total population of active charter vessels in the 2007</w:t>
      </w:r>
      <w:r w:rsidR="0088051E">
        <w:t xml:space="preserve"> survey was 202</w:t>
      </w:r>
      <w:r w:rsidR="00633699">
        <w:t xml:space="preserve"> </w:t>
      </w:r>
      <w:r w:rsidR="00633699">
        <w:lastRenderedPageBreak/>
        <w:t>(</w:t>
      </w:r>
      <w:proofErr w:type="spellStart"/>
      <w:r w:rsidR="00633699">
        <w:t>completes+refusals+non-contact</w:t>
      </w:r>
      <w:proofErr w:type="spellEnd"/>
      <w:r w:rsidR="00633699">
        <w:t xml:space="preserve"> amount).  </w:t>
      </w:r>
      <w:r w:rsidR="000B1933">
        <w:t xml:space="preserve">The 99 surveys received were </w:t>
      </w:r>
      <w:r w:rsidR="0088051E">
        <w:t>49</w:t>
      </w:r>
      <w:r w:rsidR="000B1933">
        <w:t xml:space="preserve">% of active vessels.  </w:t>
      </w:r>
      <w:r w:rsidR="00EC6402">
        <w:t>W</w:t>
      </w:r>
      <w:r w:rsidR="00A45030">
        <w:t>e expect to be able to</w:t>
      </w:r>
      <w:r w:rsidR="004B6FFA">
        <w:t xml:space="preserve"> </w:t>
      </w:r>
      <w:r w:rsidR="00291736">
        <w:t xml:space="preserve">increase the response rate </w:t>
      </w:r>
      <w:r w:rsidR="00117F53">
        <w:t>from the 200</w:t>
      </w:r>
      <w:r w:rsidR="00EC6402">
        <w:t>7</w:t>
      </w:r>
      <w:r w:rsidR="00117F53">
        <w:t xml:space="preserve"> survey</w:t>
      </w:r>
      <w:r w:rsidR="0038715C">
        <w:t xml:space="preserve">.  </w:t>
      </w:r>
      <w:r w:rsidR="00291736">
        <w:t>W</w:t>
      </w:r>
      <w:r w:rsidR="00AC1B9F">
        <w:t xml:space="preserve">e </w:t>
      </w:r>
      <w:r w:rsidR="00291736">
        <w:t>expect to reach our desired response rate by increasing the industry’s awareness of the study and interest in participation</w:t>
      </w:r>
      <w:r w:rsidR="00AC1B9F">
        <w:t xml:space="preserve"> through outreach and by offering a flexible mode design</w:t>
      </w:r>
      <w:r w:rsidR="00291736">
        <w:t xml:space="preserve">. </w:t>
      </w:r>
    </w:p>
    <w:p w:rsidR="0081769B" w:rsidRPr="00783982" w:rsidRDefault="0081769B" w:rsidP="00241B9E"/>
    <w:p w:rsidR="00826E1E" w:rsidRDefault="00AC1B9F" w:rsidP="00241B9E">
      <w:r>
        <w:t xml:space="preserve">Washington has two formal charter vessel associations: Westport Charterboat </w:t>
      </w:r>
      <w:r w:rsidR="0089069B">
        <w:t xml:space="preserve">Association and </w:t>
      </w:r>
      <w:r w:rsidR="0089069B" w:rsidRPr="0089069B">
        <w:t xml:space="preserve">Charterboat Association </w:t>
      </w:r>
      <w:r w:rsidR="005057A8">
        <w:t xml:space="preserve">of </w:t>
      </w:r>
      <w:r w:rsidR="0089069B" w:rsidRPr="0089069B">
        <w:t>Puget Sound</w:t>
      </w:r>
      <w:r w:rsidR="0089069B">
        <w:t xml:space="preserve">.  Field </w:t>
      </w:r>
      <w:proofErr w:type="gramStart"/>
      <w:r w:rsidR="0089069B">
        <w:t>staff have</w:t>
      </w:r>
      <w:proofErr w:type="gramEnd"/>
      <w:r w:rsidR="003F310D">
        <w:t xml:space="preserve"> </w:t>
      </w:r>
      <w:r w:rsidR="0089069B">
        <w:t xml:space="preserve">been working with leaders of these associations to improve the questionnaire and build support for the survey.  Leaders in these organizations have agreed to promote the survey among their members and have provided </w:t>
      </w:r>
      <w:r w:rsidR="00A96B76">
        <w:t>positive</w:t>
      </w:r>
      <w:r w:rsidR="0089069B">
        <w:t xml:space="preserve"> fee</w:t>
      </w:r>
      <w:r w:rsidR="00A96B76">
        <w:t>d</w:t>
      </w:r>
      <w:r w:rsidR="0089069B">
        <w:t>back about the effort.  These leaders have requested that prior to the initial telephone calls that they be notified, so that they can encourage their members to participate.</w:t>
      </w:r>
      <w:r w:rsidR="00826E1E">
        <w:t xml:space="preserve">  </w:t>
      </w:r>
    </w:p>
    <w:p w:rsidR="00826E1E" w:rsidRDefault="00826E1E" w:rsidP="00241B9E"/>
    <w:p w:rsidR="00FC3BAF" w:rsidRDefault="00826E1E" w:rsidP="00241B9E">
      <w:r>
        <w:t>There is no formal association of vessels in Oregon.  However, leaders in the Washington association</w:t>
      </w:r>
      <w:r w:rsidR="00284F2F">
        <w:t>s</w:t>
      </w:r>
      <w:r>
        <w:t xml:space="preserve"> provided contact information for an influential Oregon charter owner </w:t>
      </w:r>
      <w:r w:rsidR="003F310D">
        <w:t xml:space="preserve">who </w:t>
      </w:r>
      <w:r>
        <w:t>is in</w:t>
      </w:r>
      <w:r w:rsidR="005057A8">
        <w:t xml:space="preserve">volved </w:t>
      </w:r>
      <w:r>
        <w:t xml:space="preserve">in fishery management issues through </w:t>
      </w:r>
      <w:r w:rsidR="00DE5B88">
        <w:t xml:space="preserve">his </w:t>
      </w:r>
      <w:r>
        <w:t>appointment in the Pacific Fishery Management Council.</w:t>
      </w:r>
      <w:r w:rsidR="00DE5B88">
        <w:t xml:space="preserve">  He has also agreed to promote the survey among Oregon charter vessel owners. </w:t>
      </w:r>
      <w:r>
        <w:t xml:space="preserve">     </w:t>
      </w:r>
      <w:r w:rsidR="0089069B">
        <w:t xml:space="preserve">  </w:t>
      </w:r>
    </w:p>
    <w:p w:rsidR="00AC1B9F" w:rsidRDefault="00AC1B9F" w:rsidP="00241B9E"/>
    <w:p w:rsidR="00BB345F" w:rsidRDefault="001801B3" w:rsidP="00241B9E">
      <w:r>
        <w:t xml:space="preserve">To address the potential for </w:t>
      </w:r>
      <w:r w:rsidR="00256E3C">
        <w:t xml:space="preserve">a </w:t>
      </w:r>
      <w:r>
        <w:t>low response rate</w:t>
      </w:r>
      <w:r w:rsidR="002D63C3">
        <w:t xml:space="preserve"> </w:t>
      </w:r>
      <w:r w:rsidR="00303D90">
        <w:t xml:space="preserve">a </w:t>
      </w:r>
      <w:r w:rsidR="00086845">
        <w:t>mixed mode data collection strategy</w:t>
      </w:r>
      <w:r w:rsidR="00784307">
        <w:rPr>
          <w:rStyle w:val="FootnoteReference"/>
        </w:rPr>
        <w:footnoteReference w:id="7"/>
      </w:r>
      <w:r w:rsidR="00FA6426">
        <w:t xml:space="preserve"> </w:t>
      </w:r>
      <w:r w:rsidR="00303D90">
        <w:t xml:space="preserve">will be employed </w:t>
      </w:r>
      <w:r w:rsidR="00FA6426">
        <w:t>to increase the response rate</w:t>
      </w:r>
      <w:r>
        <w:t>.  Mixed mode surveys combine two or more modes of communication</w:t>
      </w:r>
      <w:r w:rsidR="00086845">
        <w:t xml:space="preserve"> to collect information</w:t>
      </w:r>
      <w:r w:rsidR="00756A55" w:rsidRPr="0009563E">
        <w:t xml:space="preserve"> and </w:t>
      </w:r>
      <w:r w:rsidR="00EB4113">
        <w:t>can be affective at achieving a higher response rate</w:t>
      </w:r>
      <w:r w:rsidR="00EB4113">
        <w:rPr>
          <w:rStyle w:val="FootnoteReference"/>
        </w:rPr>
        <w:footnoteReference w:id="8"/>
      </w:r>
      <w:r w:rsidR="00EB4113">
        <w:t>.</w:t>
      </w:r>
      <w:r w:rsidR="00303D90">
        <w:t xml:space="preserve">  The prior Washington and Oregon charter survey employed only a mail</w:t>
      </w:r>
      <w:r w:rsidR="003F310D">
        <w:t>-</w:t>
      </w:r>
      <w:r w:rsidR="00303D90">
        <w:t xml:space="preserve">only design.   The </w:t>
      </w:r>
      <w:r w:rsidR="00892FE4">
        <w:t xml:space="preserve">mixed mode strategy employed in this study is expected to increase the overall response rate. </w:t>
      </w:r>
    </w:p>
    <w:p w:rsidR="00892FE4" w:rsidRDefault="00892FE4" w:rsidP="00241B9E">
      <w:pPr>
        <w:rPr>
          <w:b/>
        </w:rPr>
      </w:pPr>
    </w:p>
    <w:p w:rsidR="00D65F8F" w:rsidRPr="00783982" w:rsidRDefault="00D65F8F" w:rsidP="00241B9E">
      <w:r w:rsidRPr="00783982">
        <w:rPr>
          <w:b/>
        </w:rPr>
        <w:t>2.  Data collection procedures, including the statistical methodology for stratification and sample selection, the estimation procedures, the degree of accuracy needed for the intended purpose, expected dates of survey implementation, and any unusual problems requiring specialized sampling procedures.</w:t>
      </w:r>
    </w:p>
    <w:p w:rsidR="00B43E8E" w:rsidRPr="00783982" w:rsidRDefault="00B43E8E" w:rsidP="00241B9E"/>
    <w:p w:rsidR="00520830" w:rsidRPr="00783982" w:rsidRDefault="00520830" w:rsidP="005A75AC">
      <w:pPr>
        <w:outlineLvl w:val="0"/>
        <w:rPr>
          <w:u w:val="single"/>
        </w:rPr>
      </w:pPr>
      <w:r w:rsidRPr="00783982">
        <w:rPr>
          <w:u w:val="single"/>
        </w:rPr>
        <w:t>Data Collection Procedures, Sample Selection and Stratification</w:t>
      </w:r>
    </w:p>
    <w:p w:rsidR="00D56ED0" w:rsidRDefault="00D56ED0" w:rsidP="00241B9E"/>
    <w:p w:rsidR="009D3169" w:rsidRDefault="009D3169" w:rsidP="009D3169">
      <w:r w:rsidRPr="00783982">
        <w:t xml:space="preserve">Data collection and sample selection methods are detailed in </w:t>
      </w:r>
      <w:r>
        <w:t>Q</w:t>
      </w:r>
      <w:r w:rsidRPr="00783982">
        <w:t>uestion 1</w:t>
      </w:r>
      <w:r>
        <w:t xml:space="preserve"> of this submission.</w:t>
      </w:r>
    </w:p>
    <w:p w:rsidR="00676C51" w:rsidRDefault="003F310D" w:rsidP="00241B9E">
      <w:r>
        <w:t xml:space="preserve">Since </w:t>
      </w:r>
      <w:r w:rsidR="009D3169">
        <w:t>w</w:t>
      </w:r>
      <w:r w:rsidR="006C3EB5" w:rsidRPr="00783982">
        <w:t xml:space="preserve">e intend to </w:t>
      </w:r>
      <w:r w:rsidR="009E4F77">
        <w:t>conduct</w:t>
      </w:r>
      <w:r w:rsidR="006C3EB5" w:rsidRPr="00783982">
        <w:t xml:space="preserve"> a </w:t>
      </w:r>
      <w:r w:rsidR="00892FE4">
        <w:t>census of all active</w:t>
      </w:r>
      <w:r>
        <w:t xml:space="preserve"> marine</w:t>
      </w:r>
      <w:r w:rsidR="00892FE4">
        <w:t xml:space="preserve"> charter vessels </w:t>
      </w:r>
      <w:r w:rsidR="009D3169">
        <w:t xml:space="preserve">in Washington and Oregon, there is no stratification of the population.  </w:t>
      </w:r>
    </w:p>
    <w:p w:rsidR="006654C1" w:rsidRDefault="006654C1" w:rsidP="00241B9E"/>
    <w:p w:rsidR="00520830" w:rsidRPr="00783982" w:rsidRDefault="00520830" w:rsidP="005A75AC">
      <w:pPr>
        <w:widowControl w:val="0"/>
        <w:outlineLvl w:val="0"/>
        <w:rPr>
          <w:u w:val="single"/>
        </w:rPr>
      </w:pPr>
      <w:r w:rsidRPr="00783982">
        <w:rPr>
          <w:u w:val="single"/>
        </w:rPr>
        <w:t>Degree of Accuracy Needed for Intended Purpose</w:t>
      </w:r>
    </w:p>
    <w:p w:rsidR="00591284" w:rsidRDefault="00591284" w:rsidP="00591284">
      <w:pPr>
        <w:widowControl w:val="0"/>
      </w:pPr>
    </w:p>
    <w:p w:rsidR="0022762F" w:rsidRDefault="008A6925" w:rsidP="00591284">
      <w:pPr>
        <w:widowControl w:val="0"/>
      </w:pPr>
      <w:r>
        <w:t xml:space="preserve">The primary importance of these data is to evaluate the cost and earnings structure of the entire </w:t>
      </w:r>
      <w:r w:rsidR="009D3169">
        <w:t xml:space="preserve">Washington and Oregon </w:t>
      </w:r>
      <w:r w:rsidR="003F310D">
        <w:t xml:space="preserve">marine </w:t>
      </w:r>
      <w:r w:rsidR="008D21AB">
        <w:t>c</w:t>
      </w:r>
      <w:r w:rsidR="009D3169">
        <w:t xml:space="preserve">harter </w:t>
      </w:r>
      <w:r>
        <w:t>fishery.  To achieve this aim w</w:t>
      </w:r>
      <w:r w:rsidR="00591284" w:rsidRPr="00591284">
        <w:t xml:space="preserve">e plan to conduct a census </w:t>
      </w:r>
      <w:r w:rsidR="00591284" w:rsidRPr="00591284">
        <w:lastRenderedPageBreak/>
        <w:t xml:space="preserve">of all </w:t>
      </w:r>
      <w:r w:rsidR="008069AC">
        <w:t>258</w:t>
      </w:r>
      <w:r w:rsidR="00591284" w:rsidRPr="00591284">
        <w:t xml:space="preserve"> vessels </w:t>
      </w:r>
      <w:r w:rsidR="008D21AB">
        <w:t>actively involved in the</w:t>
      </w:r>
      <w:r w:rsidR="00591284" w:rsidRPr="00591284">
        <w:t xml:space="preserve"> fishery.  </w:t>
      </w:r>
      <w:r w:rsidR="0022762F">
        <w:t>Assuming</w:t>
      </w:r>
      <w:r w:rsidR="00591284" w:rsidRPr="00591284">
        <w:t xml:space="preserve"> a response rate of 5</w:t>
      </w:r>
      <w:r w:rsidR="00DD5D9B">
        <w:t>5</w:t>
      </w:r>
      <w:r w:rsidR="00591284" w:rsidRPr="00591284">
        <w:t>%</w:t>
      </w:r>
      <w:r w:rsidR="0022762F">
        <w:t>,</w:t>
      </w:r>
      <w:r w:rsidR="00591284" w:rsidRPr="00591284">
        <w:t xml:space="preserve"> we expect to obtain </w:t>
      </w:r>
      <w:r w:rsidR="0022762F">
        <w:t>1</w:t>
      </w:r>
      <w:r w:rsidR="008069AC">
        <w:t>42</w:t>
      </w:r>
      <w:r w:rsidR="0022762F">
        <w:t xml:space="preserve"> complete and usable surveys.  This would allow us to</w:t>
      </w:r>
      <w:r w:rsidR="00591284" w:rsidRPr="00591284">
        <w:t xml:space="preserve"> report </w:t>
      </w:r>
      <w:r w:rsidR="00591284">
        <w:t>sample means within 10% of the population mean at</w:t>
      </w:r>
      <w:r w:rsidR="00591284" w:rsidRPr="00591284">
        <w:t xml:space="preserve"> 99% confidence </w:t>
      </w:r>
      <w:r w:rsidR="00591284">
        <w:t>across the entire fishery</w:t>
      </w:r>
      <w:r w:rsidR="00EE2413">
        <w:rPr>
          <w:rStyle w:val="FootnoteReference"/>
        </w:rPr>
        <w:footnoteReference w:id="9"/>
      </w:r>
      <w:r w:rsidR="00591284">
        <w:t xml:space="preserve">.  </w:t>
      </w:r>
      <w:r>
        <w:t>This level of accuracy is sufficient t</w:t>
      </w:r>
      <w:r w:rsidR="00D808BC">
        <w:t>o evaluate the</w:t>
      </w:r>
      <w:r w:rsidR="00D808BC" w:rsidRPr="00D808BC">
        <w:t xml:space="preserve"> economic impacts from proposed management options</w:t>
      </w:r>
      <w:r w:rsidR="00D808BC">
        <w:t xml:space="preserve"> on the </w:t>
      </w:r>
      <w:r w:rsidR="00C6181F">
        <w:t xml:space="preserve">marine charter </w:t>
      </w:r>
      <w:r w:rsidR="00D808BC">
        <w:t>fishery, and to contribute to the development of the coast-wide I/O model for recreational fishing</w:t>
      </w:r>
      <w:r>
        <w:t>.</w:t>
      </w:r>
    </w:p>
    <w:p w:rsidR="0022762F" w:rsidRDefault="0022762F" w:rsidP="00591284">
      <w:pPr>
        <w:widowControl w:val="0"/>
      </w:pPr>
    </w:p>
    <w:p w:rsidR="00A15FD4" w:rsidRDefault="00A15FD4" w:rsidP="00241B9E">
      <w:pPr>
        <w:widowControl w:val="0"/>
        <w:rPr>
          <w:u w:val="single"/>
        </w:rPr>
      </w:pPr>
    </w:p>
    <w:p w:rsidR="00D65F8F" w:rsidRPr="00783982" w:rsidRDefault="00D65F8F" w:rsidP="005A75AC">
      <w:pPr>
        <w:widowControl w:val="0"/>
        <w:outlineLvl w:val="0"/>
      </w:pPr>
      <w:r w:rsidRPr="00783982">
        <w:rPr>
          <w:u w:val="single"/>
        </w:rPr>
        <w:t>Expected Dates of Survey Implementation</w:t>
      </w:r>
    </w:p>
    <w:p w:rsidR="00D65F8F" w:rsidRPr="00783982" w:rsidRDefault="00D65F8F" w:rsidP="00241B9E">
      <w:pPr>
        <w:widowControl w:val="0"/>
      </w:pPr>
    </w:p>
    <w:p w:rsidR="00E422B4" w:rsidRDefault="005C3EB6" w:rsidP="00241B9E">
      <w:pPr>
        <w:widowControl w:val="0"/>
      </w:pPr>
      <w:r>
        <w:t xml:space="preserve">The </w:t>
      </w:r>
      <w:r w:rsidR="00DA60FE">
        <w:t>proposed</w:t>
      </w:r>
      <w:r w:rsidR="00BA5346" w:rsidRPr="00783982">
        <w:t xml:space="preserve"> start date for </w:t>
      </w:r>
      <w:r w:rsidR="00DD7998" w:rsidRPr="00783982">
        <w:t>initiatin</w:t>
      </w:r>
      <w:r w:rsidR="00BA5346" w:rsidRPr="00783982">
        <w:t xml:space="preserve">g </w:t>
      </w:r>
      <w:r w:rsidR="00DD7998" w:rsidRPr="00783982">
        <w:t xml:space="preserve">the </w:t>
      </w:r>
      <w:r>
        <w:t xml:space="preserve">mail and telephone contact is </w:t>
      </w:r>
      <w:r w:rsidR="00486726">
        <w:t>August</w:t>
      </w:r>
      <w:r>
        <w:t xml:space="preserve"> 1, 2013</w:t>
      </w:r>
      <w:r w:rsidR="00D65F8F" w:rsidRPr="00676C51">
        <w:t>.</w:t>
      </w:r>
      <w:r w:rsidR="00D65F8F" w:rsidRPr="00783982">
        <w:t xml:space="preserve"> </w:t>
      </w:r>
      <w:r>
        <w:t xml:space="preserve">The </w:t>
      </w:r>
      <w:r w:rsidR="002C3C67">
        <w:t>data collection is</w:t>
      </w:r>
      <w:r>
        <w:t xml:space="preserve"> to be completed over a </w:t>
      </w:r>
      <w:r w:rsidR="00486726">
        <w:t xml:space="preserve">six month </w:t>
      </w:r>
      <w:r>
        <w:t>period</w:t>
      </w:r>
      <w:r w:rsidR="00B023EA">
        <w:t xml:space="preserve"> </w:t>
      </w:r>
      <w:r>
        <w:t xml:space="preserve">ending </w:t>
      </w:r>
      <w:r w:rsidR="00B95FFE">
        <w:t>January 3</w:t>
      </w:r>
      <w:r>
        <w:t xml:space="preserve">1, 2014.  </w:t>
      </w:r>
    </w:p>
    <w:p w:rsidR="00486726" w:rsidRDefault="00486726" w:rsidP="00241B9E">
      <w:pPr>
        <w:widowControl w:val="0"/>
      </w:pPr>
    </w:p>
    <w:p w:rsidR="00D65F8F" w:rsidRPr="00783982" w:rsidRDefault="00D65F8F" w:rsidP="00241B9E">
      <w:pPr>
        <w:pStyle w:val="BodyText"/>
      </w:pPr>
      <w:r w:rsidRPr="00783982">
        <w:t>3.  The methods used to maximize response rates and address non-response.  The accuracy and reliability of the information collected must be shown to be adequate for the intended uses.</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Strategy to Maximize Response Rates</w:t>
      </w:r>
    </w:p>
    <w:p w:rsidR="00D65F8F" w:rsidRPr="00783982" w:rsidRDefault="00D65F8F" w:rsidP="00241B9E">
      <w:pPr>
        <w:widowControl w:val="0"/>
        <w:rPr>
          <w:u w:val="single"/>
        </w:rPr>
      </w:pPr>
    </w:p>
    <w:p w:rsidR="00BF2E30" w:rsidRDefault="00336D2D" w:rsidP="00241B9E">
      <w:pPr>
        <w:widowControl w:val="0"/>
      </w:pPr>
      <w:r>
        <w:t xml:space="preserve">We assume </w:t>
      </w:r>
      <w:r w:rsidR="007071C5">
        <w:t xml:space="preserve">an </w:t>
      </w:r>
      <w:r>
        <w:t>estimate</w:t>
      </w:r>
      <w:r w:rsidR="007071C5">
        <w:t>d</w:t>
      </w:r>
      <w:r>
        <w:t xml:space="preserve"> </w:t>
      </w:r>
      <w:r w:rsidR="007071C5">
        <w:t xml:space="preserve">response rate </w:t>
      </w:r>
      <w:r>
        <w:t>of 5</w:t>
      </w:r>
      <w:r w:rsidR="00DD5D9B">
        <w:t>5</w:t>
      </w:r>
      <w:r>
        <w:t xml:space="preserve">% </w:t>
      </w:r>
      <w:r w:rsidR="004253C9">
        <w:t xml:space="preserve">based on the </w:t>
      </w:r>
      <w:r w:rsidR="00633250">
        <w:t>49</w:t>
      </w:r>
      <w:r w:rsidR="00DD5D9B">
        <w:t>%</w:t>
      </w:r>
      <w:r w:rsidR="004253C9">
        <w:t xml:space="preserve"> response rate of the 20</w:t>
      </w:r>
      <w:r w:rsidR="001A1C77">
        <w:t>0</w:t>
      </w:r>
      <w:r w:rsidR="00284F2F">
        <w:t>7</w:t>
      </w:r>
      <w:r w:rsidR="004253C9">
        <w:t xml:space="preserve"> </w:t>
      </w:r>
      <w:r w:rsidR="00284F2F">
        <w:t>Washington and Oregon m</w:t>
      </w:r>
      <w:r w:rsidR="001A1C77">
        <w:t>arine charter survey</w:t>
      </w:r>
      <w:r w:rsidR="004253C9">
        <w:t>, our comprehensive outreach plan, and the mixed mode nature of the interviews. There are</w:t>
      </w:r>
      <w:r>
        <w:t xml:space="preserve"> no previous stud</w:t>
      </w:r>
      <w:r w:rsidR="004253C9">
        <w:t>ies</w:t>
      </w:r>
      <w:r>
        <w:t xml:space="preserve"> of the fleet to suggest </w:t>
      </w:r>
      <w:r w:rsidR="00DB7954">
        <w:t xml:space="preserve">a higher </w:t>
      </w:r>
      <w:r w:rsidR="00EE2413">
        <w:t>expected response rate</w:t>
      </w:r>
      <w:r>
        <w:t xml:space="preserve">.  </w:t>
      </w:r>
      <w:r w:rsidR="00BF2E30">
        <w:t xml:space="preserve"> </w:t>
      </w:r>
      <w:r w:rsidR="00DA60FE">
        <w:t>A higher than expected response rate will increase the statistical confidence in the study’s findings.</w:t>
      </w:r>
    </w:p>
    <w:p w:rsidR="00BF2E30" w:rsidRDefault="00BF2E30" w:rsidP="00241B9E">
      <w:pPr>
        <w:widowControl w:val="0"/>
      </w:pPr>
    </w:p>
    <w:p w:rsidR="00D65F8F" w:rsidRPr="00783982" w:rsidRDefault="00336D2D" w:rsidP="00241B9E">
      <w:pPr>
        <w:widowControl w:val="0"/>
      </w:pPr>
      <w:r>
        <w:t xml:space="preserve">There are numerous methods we will administer to </w:t>
      </w:r>
      <w:r w:rsidR="004253C9">
        <w:t xml:space="preserve">achieve the estimated </w:t>
      </w:r>
      <w:r>
        <w:t>5</w:t>
      </w:r>
      <w:r w:rsidR="00DD5D9B">
        <w:t>5</w:t>
      </w:r>
      <w:r>
        <w:t xml:space="preserve">% </w:t>
      </w:r>
      <w:r w:rsidR="004253C9">
        <w:t>response rate</w:t>
      </w:r>
      <w:r>
        <w:t>.</w:t>
      </w:r>
      <w:r w:rsidR="0081769B" w:rsidRPr="00783982">
        <w:t xml:space="preserve"> </w:t>
      </w:r>
      <w:r w:rsidR="00D65F8F" w:rsidRPr="00783982">
        <w:t>Extensive outreach activities</w:t>
      </w:r>
      <w:r w:rsidR="003524D2">
        <w:t xml:space="preserve"> </w:t>
      </w:r>
      <w:r w:rsidR="006E39A9">
        <w:t>i</w:t>
      </w:r>
      <w:r w:rsidR="00D65F8F" w:rsidRPr="00783982">
        <w:t>nforming the fishermen</w:t>
      </w:r>
      <w:r w:rsidR="00BF2E30">
        <w:t xml:space="preserve"> and fishing associations</w:t>
      </w:r>
      <w:r w:rsidR="00D65F8F" w:rsidRPr="00783982">
        <w:t xml:space="preserve"> </w:t>
      </w:r>
      <w:r w:rsidR="00E017B4">
        <w:t>of</w:t>
      </w:r>
      <w:r w:rsidR="00D65F8F" w:rsidRPr="00783982">
        <w:t xml:space="preserve"> the purpose and ne</w:t>
      </w:r>
      <w:r w:rsidR="00202C2A">
        <w:t>ed for the</w:t>
      </w:r>
      <w:r w:rsidR="00D65F8F" w:rsidRPr="00783982">
        <w:t xml:space="preserve"> cost-earnings </w:t>
      </w:r>
      <w:proofErr w:type="gramStart"/>
      <w:r w:rsidR="00D65F8F" w:rsidRPr="00783982">
        <w:t>survey</w:t>
      </w:r>
      <w:r w:rsidR="003524D2">
        <w:t xml:space="preserve"> are</w:t>
      </w:r>
      <w:proofErr w:type="gramEnd"/>
      <w:r w:rsidR="003524D2">
        <w:t xml:space="preserve"> expected to facilitate survey participation and completion</w:t>
      </w:r>
      <w:r w:rsidR="00D65F8F" w:rsidRPr="00783982">
        <w:t>.</w:t>
      </w:r>
      <w:r w:rsidR="00E017B4">
        <w:t xml:space="preserve"> Outreach efforts will be coordinated with industry representatives.</w:t>
      </w:r>
      <w:r w:rsidR="00D65F8F" w:rsidRPr="00783982">
        <w:t xml:space="preserve">  Outreach will occur on a number of levels</w:t>
      </w:r>
      <w:r w:rsidR="00E017B4">
        <w:t xml:space="preserve"> and may include the following</w:t>
      </w:r>
      <w:r w:rsidR="00D65F8F" w:rsidRPr="00783982">
        <w:t>:</w:t>
      </w:r>
    </w:p>
    <w:p w:rsidR="00D65F8F" w:rsidRPr="00783982" w:rsidRDefault="00D65F8F" w:rsidP="00241B9E"/>
    <w:p w:rsidR="00D65F8F" w:rsidRPr="00783982" w:rsidRDefault="002D3695" w:rsidP="00241B9E">
      <w:pPr>
        <w:numPr>
          <w:ilvl w:val="0"/>
          <w:numId w:val="1"/>
        </w:numPr>
      </w:pPr>
      <w:r>
        <w:t xml:space="preserve">Contacting </w:t>
      </w:r>
      <w:r w:rsidR="00F25603">
        <w:t xml:space="preserve">Westport </w:t>
      </w:r>
      <w:r w:rsidR="00DF62F4">
        <w:t>Washington</w:t>
      </w:r>
      <w:r w:rsidR="00F25603">
        <w:t xml:space="preserve"> and Puget Sound </w:t>
      </w:r>
      <w:r>
        <w:t>charter professional organizations</w:t>
      </w:r>
      <w:r w:rsidR="005057A8">
        <w:t xml:space="preserve"> and</w:t>
      </w:r>
      <w:r w:rsidR="00DD5D9B">
        <w:t xml:space="preserve"> </w:t>
      </w:r>
      <w:r w:rsidR="003F310D">
        <w:t xml:space="preserve">an </w:t>
      </w:r>
      <w:r w:rsidR="005057A8">
        <w:t>influential Oregon charter vessel owner</w:t>
      </w:r>
      <w:r w:rsidR="00202C2A">
        <w:t>.</w:t>
      </w:r>
    </w:p>
    <w:p w:rsidR="000E079F" w:rsidRDefault="002D3695" w:rsidP="00241B9E">
      <w:pPr>
        <w:numPr>
          <w:ilvl w:val="0"/>
          <w:numId w:val="1"/>
        </w:numPr>
      </w:pPr>
      <w:r>
        <w:t>Generating a fact sheet of commonly asked questions and answers.</w:t>
      </w:r>
    </w:p>
    <w:p w:rsidR="00E017B4" w:rsidRDefault="00E017B4" w:rsidP="00E017B4">
      <w:pPr>
        <w:numPr>
          <w:ilvl w:val="0"/>
          <w:numId w:val="1"/>
        </w:numPr>
      </w:pPr>
      <w:r>
        <w:t xml:space="preserve">Sending a formal briefing letter on the data collection effort to all </w:t>
      </w:r>
      <w:r w:rsidR="00F25603">
        <w:t xml:space="preserve">active charter license holders. </w:t>
      </w:r>
    </w:p>
    <w:p w:rsidR="00E017B4" w:rsidRDefault="00E017B4" w:rsidP="00241B9E">
      <w:pPr>
        <w:numPr>
          <w:ilvl w:val="0"/>
          <w:numId w:val="1"/>
        </w:numPr>
      </w:pPr>
      <w:r>
        <w:t>Maintaining information regarding the data collection effort on the internet.</w:t>
      </w:r>
    </w:p>
    <w:p w:rsidR="00DB7954" w:rsidRDefault="00DB7954" w:rsidP="00DB7954"/>
    <w:p w:rsidR="00DB7954" w:rsidRPr="00783982" w:rsidRDefault="00DB7954" w:rsidP="00DB7954">
      <w:r>
        <w:t xml:space="preserve">Additional methods for improving the response rate </w:t>
      </w:r>
      <w:r w:rsidR="00A77B9C">
        <w:t>include</w:t>
      </w:r>
      <w:r w:rsidR="001A1C77" w:rsidRPr="001A1C77">
        <w:t xml:space="preserve"> </w:t>
      </w:r>
      <w:r w:rsidR="001A1C77">
        <w:t xml:space="preserve">offering participants </w:t>
      </w:r>
      <w:r w:rsidR="001A1C77" w:rsidRPr="001A1C77">
        <w:t>in-person, telephone or mail-in mode interviews</w:t>
      </w:r>
      <w:r>
        <w:t>.</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Strategy to Address Non-Response</w:t>
      </w:r>
    </w:p>
    <w:p w:rsidR="00D65F8F" w:rsidRPr="00783982" w:rsidRDefault="00D65F8F" w:rsidP="00241B9E">
      <w:pPr>
        <w:widowControl w:val="0"/>
      </w:pPr>
    </w:p>
    <w:p w:rsidR="00FD0BD6" w:rsidRPr="00783982" w:rsidRDefault="004F7923" w:rsidP="00241B9E">
      <w:pPr>
        <w:widowControl w:val="0"/>
      </w:pPr>
      <w:r w:rsidRPr="00783982">
        <w:t xml:space="preserve">All </w:t>
      </w:r>
      <w:r w:rsidR="00F25603">
        <w:t xml:space="preserve">charter vessels in </w:t>
      </w:r>
      <w:r w:rsidR="00DF62F4">
        <w:t>Washington</w:t>
      </w:r>
      <w:r w:rsidR="00F25603">
        <w:t xml:space="preserve"> and </w:t>
      </w:r>
      <w:r w:rsidR="00DF62F4">
        <w:t>Oregon</w:t>
      </w:r>
      <w:r w:rsidR="00F25603">
        <w:t xml:space="preserve"> </w:t>
      </w:r>
      <w:r w:rsidR="00BF2E30">
        <w:t xml:space="preserve">are required to be registered with the </w:t>
      </w:r>
      <w:r w:rsidR="00F25603">
        <w:t xml:space="preserve">respective state fish and wildlife agencies.  </w:t>
      </w:r>
      <w:r w:rsidRPr="00783982">
        <w:t xml:space="preserve">Using these resources, we are aware of the spatial distribution of </w:t>
      </w:r>
      <w:r w:rsidR="00BF2E30">
        <w:t>registered vessels</w:t>
      </w:r>
      <w:r w:rsidRPr="00783982">
        <w:t xml:space="preserve"> by </w:t>
      </w:r>
      <w:r w:rsidR="009D1DDC">
        <w:t>homeport</w:t>
      </w:r>
      <w:r w:rsidR="00BF2E30">
        <w:t xml:space="preserve"> across </w:t>
      </w:r>
      <w:r w:rsidR="00DF62F4">
        <w:t>Washington</w:t>
      </w:r>
      <w:r w:rsidR="00F25603">
        <w:t xml:space="preserve"> and </w:t>
      </w:r>
      <w:r w:rsidR="00DF62F4">
        <w:t>Oregon</w:t>
      </w:r>
      <w:r w:rsidR="00F25603">
        <w:t xml:space="preserve">.  </w:t>
      </w:r>
      <w:r w:rsidR="005057A8">
        <w:t>Additionally</w:t>
      </w:r>
      <w:r w:rsidR="00F25603">
        <w:t>, the length of the vessel is maintained in the state databases</w:t>
      </w:r>
      <w:r w:rsidRPr="00783982">
        <w:t>.</w:t>
      </w:r>
      <w:r w:rsidR="00BF2E30">
        <w:t xml:space="preserve"> </w:t>
      </w:r>
      <w:r w:rsidRPr="00783982">
        <w:t xml:space="preserve"> </w:t>
      </w:r>
      <w:r w:rsidR="006226A2">
        <w:t xml:space="preserve">Based on the distribution of </w:t>
      </w:r>
      <w:r w:rsidRPr="00783982">
        <w:t>su</w:t>
      </w:r>
      <w:r w:rsidR="006226A2">
        <w:t>rvey responses that we receive</w:t>
      </w:r>
      <w:r w:rsidR="00F25603">
        <w:t>,</w:t>
      </w:r>
      <w:r w:rsidR="006226A2">
        <w:t xml:space="preserve"> these databases provide a</w:t>
      </w:r>
      <w:r w:rsidR="00F25603">
        <w:t xml:space="preserve"> link, both </w:t>
      </w:r>
      <w:r w:rsidR="006226A2">
        <w:t>spatial</w:t>
      </w:r>
      <w:r w:rsidRPr="00783982">
        <w:t xml:space="preserve"> and </w:t>
      </w:r>
      <w:r w:rsidR="00F25603">
        <w:t>length</w:t>
      </w:r>
      <w:r w:rsidRPr="00783982">
        <w:t xml:space="preserve">-based, </w:t>
      </w:r>
      <w:r w:rsidR="006226A2">
        <w:t>to</w:t>
      </w:r>
      <w:r w:rsidRPr="00783982">
        <w:t xml:space="preserve"> </w:t>
      </w:r>
      <w:r w:rsidR="006226A2">
        <w:t>validate the representativeness of our sample. If non-response bias appears e</w:t>
      </w:r>
      <w:r w:rsidR="002E258B">
        <w:t xml:space="preserve">vident in our survey responses, </w:t>
      </w:r>
      <w:r w:rsidR="006226A2">
        <w:t xml:space="preserve">weighting methods </w:t>
      </w:r>
      <w:r w:rsidR="002E258B">
        <w:t>will be</w:t>
      </w:r>
      <w:r w:rsidR="006226A2">
        <w:t xml:space="preserve"> developed to account for</w:t>
      </w:r>
      <w:r w:rsidR="003F310D">
        <w:t xml:space="preserve"> at least part of any </w:t>
      </w:r>
      <w:r w:rsidR="006226A2">
        <w:t>non-response.</w:t>
      </w:r>
    </w:p>
    <w:p w:rsidR="00FD0BD6" w:rsidRPr="00783982" w:rsidRDefault="00FD0BD6" w:rsidP="00241B9E">
      <w:pPr>
        <w:widowControl w:val="0"/>
      </w:pPr>
    </w:p>
    <w:p w:rsidR="00D65F8F" w:rsidRPr="00783982" w:rsidRDefault="004F7923" w:rsidP="005A75AC">
      <w:pPr>
        <w:widowControl w:val="0"/>
        <w:outlineLvl w:val="0"/>
        <w:rPr>
          <w:u w:val="single"/>
        </w:rPr>
      </w:pPr>
      <w:r w:rsidRPr="00783982">
        <w:rPr>
          <w:u w:val="single"/>
        </w:rPr>
        <w:t>Ac</w:t>
      </w:r>
      <w:r w:rsidR="00D65F8F" w:rsidRPr="00783982">
        <w:rPr>
          <w:u w:val="single"/>
        </w:rPr>
        <w:t>curacy of Data Collected</w:t>
      </w:r>
    </w:p>
    <w:p w:rsidR="00D65F8F" w:rsidRPr="00783982" w:rsidRDefault="00D65F8F" w:rsidP="00241B9E">
      <w:pPr>
        <w:widowControl w:val="0"/>
      </w:pPr>
    </w:p>
    <w:p w:rsidR="008C3B79" w:rsidRPr="00783982" w:rsidRDefault="008C3B79" w:rsidP="00241B9E">
      <w:pPr>
        <w:autoSpaceDE w:val="0"/>
        <w:autoSpaceDN w:val="0"/>
        <w:adjustRightInd w:val="0"/>
        <w:rPr>
          <w:szCs w:val="24"/>
        </w:rPr>
      </w:pPr>
      <w:r w:rsidRPr="00783982">
        <w:rPr>
          <w:szCs w:val="24"/>
        </w:rPr>
        <w:t xml:space="preserve">NMFS needs to measure the economic performance of </w:t>
      </w:r>
      <w:r w:rsidR="005057A8">
        <w:rPr>
          <w:szCs w:val="24"/>
        </w:rPr>
        <w:t>Washington</w:t>
      </w:r>
      <w:r w:rsidR="00F25603">
        <w:rPr>
          <w:szCs w:val="24"/>
        </w:rPr>
        <w:t xml:space="preserve"> and Oregon </w:t>
      </w:r>
      <w:r w:rsidR="006E39A9">
        <w:rPr>
          <w:szCs w:val="24"/>
        </w:rPr>
        <w:t>charter operations</w:t>
      </w:r>
      <w:r w:rsidRPr="00783982">
        <w:rPr>
          <w:szCs w:val="24"/>
        </w:rPr>
        <w:t xml:space="preserve"> in order</w:t>
      </w:r>
      <w:r w:rsidR="00DD7998" w:rsidRPr="00783982">
        <w:rPr>
          <w:szCs w:val="24"/>
        </w:rPr>
        <w:t xml:space="preserve"> </w:t>
      </w:r>
      <w:r w:rsidRPr="00783982">
        <w:rPr>
          <w:szCs w:val="24"/>
        </w:rPr>
        <w:t>to meet legal and regulatory requirements, support fisheries management decision making, and</w:t>
      </w:r>
      <w:r w:rsidR="006E39A9">
        <w:rPr>
          <w:szCs w:val="24"/>
        </w:rPr>
        <w:t xml:space="preserve"> pursue more detailed</w:t>
      </w:r>
      <w:r w:rsidR="00DD7998" w:rsidRPr="00783982">
        <w:rPr>
          <w:szCs w:val="24"/>
        </w:rPr>
        <w:t xml:space="preserve"> economic research. Currently, </w:t>
      </w:r>
      <w:r w:rsidR="00F25603">
        <w:rPr>
          <w:szCs w:val="24"/>
        </w:rPr>
        <w:t xml:space="preserve">the </w:t>
      </w:r>
      <w:r w:rsidRPr="00783982">
        <w:rPr>
          <w:szCs w:val="24"/>
        </w:rPr>
        <w:t xml:space="preserve">cost earnings </w:t>
      </w:r>
      <w:r w:rsidR="009D1387">
        <w:rPr>
          <w:szCs w:val="24"/>
        </w:rPr>
        <w:t xml:space="preserve">data </w:t>
      </w:r>
      <w:r w:rsidR="00284F2F">
        <w:rPr>
          <w:szCs w:val="24"/>
        </w:rPr>
        <w:t xml:space="preserve">that </w:t>
      </w:r>
      <w:r w:rsidR="009D1387">
        <w:rPr>
          <w:szCs w:val="24"/>
        </w:rPr>
        <w:t>are</w:t>
      </w:r>
      <w:r w:rsidRPr="00783982">
        <w:rPr>
          <w:szCs w:val="24"/>
        </w:rPr>
        <w:t xml:space="preserve"> </w:t>
      </w:r>
      <w:r w:rsidR="00F25603">
        <w:rPr>
          <w:szCs w:val="24"/>
        </w:rPr>
        <w:t xml:space="preserve">used to meet these </w:t>
      </w:r>
      <w:r w:rsidR="00284F2F">
        <w:rPr>
          <w:szCs w:val="24"/>
        </w:rPr>
        <w:t>needs are</w:t>
      </w:r>
      <w:r w:rsidR="00F25603">
        <w:rPr>
          <w:szCs w:val="24"/>
        </w:rPr>
        <w:t xml:space="preserve"> seven years old</w:t>
      </w:r>
      <w:r w:rsidRPr="00783982">
        <w:rPr>
          <w:szCs w:val="24"/>
        </w:rPr>
        <w:t xml:space="preserve">. This study will collect data that is needed to </w:t>
      </w:r>
      <w:r w:rsidR="00DD7998" w:rsidRPr="00783982">
        <w:rPr>
          <w:szCs w:val="24"/>
        </w:rPr>
        <w:t>construct key economic performance measures</w:t>
      </w:r>
      <w:r w:rsidR="00F3519D" w:rsidRPr="00783982">
        <w:rPr>
          <w:szCs w:val="24"/>
        </w:rPr>
        <w:t xml:space="preserve"> such</w:t>
      </w:r>
      <w:r w:rsidR="00DD7998" w:rsidRPr="00783982">
        <w:rPr>
          <w:szCs w:val="24"/>
        </w:rPr>
        <w:t xml:space="preserve"> as</w:t>
      </w:r>
      <w:r w:rsidRPr="00783982">
        <w:rPr>
          <w:szCs w:val="24"/>
        </w:rPr>
        <w:t xml:space="preserve"> profitability, productivity, economic impacts</w:t>
      </w:r>
      <w:r w:rsidR="00F3519D" w:rsidRPr="00783982">
        <w:rPr>
          <w:szCs w:val="24"/>
        </w:rPr>
        <w:t>, and social aspects of the fishery</w:t>
      </w:r>
      <w:r w:rsidRPr="00783982">
        <w:rPr>
          <w:szCs w:val="24"/>
        </w:rPr>
        <w:t>. The data gathered and performance measures constructed will be used to address a wide range of issues.</w:t>
      </w:r>
    </w:p>
    <w:p w:rsidR="008C3B79" w:rsidRPr="00783982" w:rsidRDefault="008C3B79" w:rsidP="00241B9E">
      <w:pPr>
        <w:autoSpaceDE w:val="0"/>
        <w:autoSpaceDN w:val="0"/>
        <w:adjustRightInd w:val="0"/>
        <w:rPr>
          <w:szCs w:val="24"/>
        </w:rPr>
      </w:pPr>
    </w:p>
    <w:p w:rsidR="002911FB" w:rsidRPr="00783982" w:rsidRDefault="002911FB" w:rsidP="00241B9E">
      <w:pPr>
        <w:autoSpaceDE w:val="0"/>
        <w:autoSpaceDN w:val="0"/>
        <w:adjustRightInd w:val="0"/>
        <w:rPr>
          <w:szCs w:val="24"/>
        </w:rPr>
      </w:pPr>
      <w:r w:rsidRPr="00783982">
        <w:rPr>
          <w:szCs w:val="24"/>
        </w:rPr>
        <w:t xml:space="preserve">While the data will be used to comply with legal and regulatory requirements, these requirements do not specify a level of data accuracy. </w:t>
      </w:r>
      <w:r w:rsidR="00C65BF0">
        <w:rPr>
          <w:szCs w:val="24"/>
        </w:rPr>
        <w:t>Being able to detect a non-response bias, and correct through weighing methods will enable sufficient accuracy and fleet representation</w:t>
      </w:r>
      <w:r w:rsidR="0062657D">
        <w:rPr>
          <w:szCs w:val="24"/>
        </w:rPr>
        <w:t>.</w:t>
      </w:r>
    </w:p>
    <w:p w:rsidR="00D56ED0" w:rsidRDefault="00D56ED0" w:rsidP="00241B9E">
      <w:pPr>
        <w:autoSpaceDE w:val="0"/>
        <w:autoSpaceDN w:val="0"/>
        <w:adjustRightInd w:val="0"/>
        <w:rPr>
          <w:szCs w:val="24"/>
        </w:rPr>
      </w:pPr>
    </w:p>
    <w:p w:rsidR="00D65F8F" w:rsidRPr="00783982" w:rsidRDefault="00D65F8F" w:rsidP="00241B9E">
      <w:pPr>
        <w:widowControl w:val="0"/>
        <w:rPr>
          <w:b/>
        </w:rPr>
      </w:pPr>
      <w:r w:rsidRPr="00783982">
        <w:rPr>
          <w:b/>
        </w:rPr>
        <w:t>4.  How the survey instrument was developed, including the steps taken to validate the questionnaire design.</w:t>
      </w:r>
    </w:p>
    <w:p w:rsidR="00D65F8F" w:rsidRDefault="00D65F8F" w:rsidP="00241B9E">
      <w:pPr>
        <w:widowControl w:val="0"/>
      </w:pPr>
    </w:p>
    <w:p w:rsidR="008D26FF" w:rsidRDefault="008D26FF" w:rsidP="00241B9E">
      <w:pPr>
        <w:widowControl w:val="0"/>
      </w:pPr>
      <w:r>
        <w:t>The survey administration protocol is similar to the ones used for Oregon Trawl and Pacific Coast Open Access surveys conducted by Carl Lian at t</w:t>
      </w:r>
      <w:r w:rsidR="004277EC">
        <w:t>he Northwest Fisheries Science C</w:t>
      </w:r>
      <w:r>
        <w:t>enter</w:t>
      </w:r>
      <w:r w:rsidR="004277EC">
        <w:rPr>
          <w:rStyle w:val="FootnoteReference"/>
        </w:rPr>
        <w:footnoteReference w:id="10"/>
      </w:r>
      <w:r>
        <w:t xml:space="preserve"> and the For-Hire Cost and Earnings Survey for the Mid-Atlantic and New England conducted by Scot</w:t>
      </w:r>
      <w:r w:rsidR="00A91759">
        <w:t>t</w:t>
      </w:r>
      <w:r>
        <w:t xml:space="preserve"> </w:t>
      </w:r>
      <w:proofErr w:type="spellStart"/>
      <w:r>
        <w:t>Steinback</w:t>
      </w:r>
      <w:proofErr w:type="spellEnd"/>
      <w:r>
        <w:t xml:space="preserve"> of the Northeast Fisheries Science Center</w:t>
      </w:r>
      <w:r w:rsidR="004277EC">
        <w:rPr>
          <w:rStyle w:val="FootnoteReference"/>
        </w:rPr>
        <w:footnoteReference w:id="11"/>
      </w:r>
      <w:r>
        <w:t>.</w:t>
      </w:r>
    </w:p>
    <w:p w:rsidR="008D26FF" w:rsidRPr="00783982" w:rsidRDefault="008D26FF" w:rsidP="00241B9E">
      <w:pPr>
        <w:widowControl w:val="0"/>
      </w:pPr>
    </w:p>
    <w:p w:rsidR="00D65F8F" w:rsidRPr="00783982" w:rsidRDefault="00D65F8F" w:rsidP="00241B9E">
      <w:pPr>
        <w:widowControl w:val="0"/>
      </w:pPr>
      <w:r w:rsidRPr="00783982">
        <w:t>The sur</w:t>
      </w:r>
      <w:r w:rsidR="00F3519D" w:rsidRPr="00783982">
        <w:t xml:space="preserve">vey instrument </w:t>
      </w:r>
      <w:r w:rsidR="00B23DD3">
        <w:t>closely mirrors</w:t>
      </w:r>
      <w:r w:rsidR="006226A2">
        <w:t xml:space="preserve"> an</w:t>
      </w:r>
      <w:r w:rsidR="00F3519D" w:rsidRPr="00783982">
        <w:t xml:space="preserve"> in</w:t>
      </w:r>
      <w:r w:rsidRPr="00783982">
        <w:t xml:space="preserve">strument </w:t>
      </w:r>
      <w:r w:rsidR="006E39A9">
        <w:t xml:space="preserve">successfully fielded </w:t>
      </w:r>
      <w:r w:rsidR="00C62FD6">
        <w:t>by the NWFSC and Pacific States Marine Fisheries Commission in 2007</w:t>
      </w:r>
      <w:r w:rsidR="00676C51">
        <w:t xml:space="preserve"> and a survey recently approved for the </w:t>
      </w:r>
      <w:r w:rsidR="00987AAA">
        <w:t>California Commercial Passenger Fishing Vessels</w:t>
      </w:r>
      <w:r w:rsidR="00C645B6">
        <w:t xml:space="preserve"> (CPFV)</w:t>
      </w:r>
      <w:r w:rsidR="0062657D">
        <w:t xml:space="preserve"> OMB</w:t>
      </w:r>
      <w:r w:rsidR="00B023EA">
        <w:t xml:space="preserve"> Control No. </w:t>
      </w:r>
      <w:r w:rsidR="0062657D">
        <w:t>0648-0369</w:t>
      </w:r>
      <w:r w:rsidR="006E39A9">
        <w:t>.</w:t>
      </w:r>
      <w:r w:rsidR="006226A2">
        <w:t xml:space="preserve"> </w:t>
      </w:r>
      <w:r w:rsidR="00987AAA">
        <w:t xml:space="preserve">  </w:t>
      </w:r>
      <w:r w:rsidRPr="00783982">
        <w:t xml:space="preserve">The survey </w:t>
      </w:r>
      <w:r w:rsidR="000B67E4" w:rsidRPr="00783982">
        <w:t xml:space="preserve">has been </w:t>
      </w:r>
      <w:r w:rsidR="005057A8">
        <w:t>designed using the prior</w:t>
      </w:r>
      <w:r w:rsidR="00C62FD6">
        <w:t>, 2007</w:t>
      </w:r>
      <w:r w:rsidR="005057A8">
        <w:t>, survey of Washington and Oregon charter vessels and feedback from representatives of the Westport Charterboat Association, Charterboat Owners of Puget Sound and an Oregon charter vessel owner</w:t>
      </w:r>
      <w:r w:rsidR="005057A8" w:rsidRPr="005057A8">
        <w:t xml:space="preserve"> </w:t>
      </w:r>
      <w:r w:rsidR="005057A8">
        <w:t xml:space="preserve">who is involved in fishery </w:t>
      </w:r>
      <w:r w:rsidR="005057A8">
        <w:lastRenderedPageBreak/>
        <w:t>management issues through his appointment in the Pacific Fishery Management Council</w:t>
      </w:r>
      <w:r w:rsidR="00EE2413">
        <w:rPr>
          <w:color w:val="222222"/>
          <w:szCs w:val="24"/>
          <w:shd w:val="clear" w:color="auto" w:fill="FFFFFF"/>
        </w:rPr>
        <w:t xml:space="preserve">.  The proposed survey instrument </w:t>
      </w:r>
      <w:r w:rsidR="00C645B6">
        <w:t xml:space="preserve">also utilizes feedback from a pilot study of the San Diego CPFV industry consisting of interviews of eight CPFV owners representing 10 vessels </w:t>
      </w:r>
      <w:r w:rsidR="00C645B6" w:rsidRPr="00470432">
        <w:rPr>
          <w:color w:val="222222"/>
          <w:szCs w:val="24"/>
          <w:shd w:val="clear" w:color="auto" w:fill="FFFFFF"/>
        </w:rPr>
        <w:t>from a total of 76 vessels registered in San Diego County in 2011</w:t>
      </w:r>
      <w:r w:rsidR="00C645B6">
        <w:rPr>
          <w:color w:val="222222"/>
          <w:szCs w:val="24"/>
          <w:shd w:val="clear" w:color="auto" w:fill="FFFFFF"/>
        </w:rPr>
        <w:t>.</w:t>
      </w:r>
      <w:r w:rsidR="00C645B6">
        <w:rPr>
          <w:rStyle w:val="FootnoteReference"/>
        </w:rPr>
        <w:footnoteReference w:id="12"/>
      </w:r>
      <w:r w:rsidR="00C645B6">
        <w:rPr>
          <w:color w:val="222222"/>
          <w:szCs w:val="24"/>
          <w:shd w:val="clear" w:color="auto" w:fill="FFFFFF"/>
        </w:rPr>
        <w:t xml:space="preserve">  </w:t>
      </w:r>
    </w:p>
    <w:p w:rsidR="00145D47" w:rsidRDefault="00145D47" w:rsidP="00241B9E">
      <w:pPr>
        <w:widowControl w:val="0"/>
        <w:rPr>
          <w:b/>
        </w:rPr>
      </w:pPr>
    </w:p>
    <w:p w:rsidR="00D65F8F" w:rsidRPr="00783982" w:rsidRDefault="00D65F8F" w:rsidP="00241B9E">
      <w:pPr>
        <w:widowControl w:val="0"/>
        <w:rPr>
          <w:b/>
        </w:rPr>
      </w:pPr>
      <w:r w:rsidRPr="00783982">
        <w:rPr>
          <w:b/>
        </w:rPr>
        <w:t>5.  The reporting and use of the results of the survey</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Use of Survey Results</w:t>
      </w:r>
    </w:p>
    <w:p w:rsidR="00D65F8F" w:rsidRPr="00783982" w:rsidRDefault="00D65F8F" w:rsidP="00241B9E">
      <w:pPr>
        <w:widowControl w:val="0"/>
      </w:pPr>
    </w:p>
    <w:p w:rsidR="00E76AFA" w:rsidRPr="000431B8" w:rsidRDefault="006E39A9" w:rsidP="00241B9E">
      <w:pPr>
        <w:autoSpaceDE w:val="0"/>
        <w:autoSpaceDN w:val="0"/>
        <w:adjustRightInd w:val="0"/>
        <w:rPr>
          <w:szCs w:val="24"/>
        </w:rPr>
      </w:pPr>
      <w:r w:rsidRPr="00783982">
        <w:rPr>
          <w:szCs w:val="24"/>
        </w:rPr>
        <w:t xml:space="preserve">NMFS needs to measure the economic performance </w:t>
      </w:r>
      <w:r w:rsidR="00C65BF0">
        <w:rPr>
          <w:szCs w:val="24"/>
        </w:rPr>
        <w:t xml:space="preserve">of </w:t>
      </w:r>
      <w:r w:rsidR="00C645B6">
        <w:rPr>
          <w:szCs w:val="24"/>
        </w:rPr>
        <w:t>Washin</w:t>
      </w:r>
      <w:r w:rsidR="00CC30C4">
        <w:rPr>
          <w:szCs w:val="24"/>
        </w:rPr>
        <w:t>g</w:t>
      </w:r>
      <w:r w:rsidR="00C645B6">
        <w:rPr>
          <w:szCs w:val="24"/>
        </w:rPr>
        <w:t xml:space="preserve">ton and Oregon </w:t>
      </w:r>
      <w:r>
        <w:rPr>
          <w:szCs w:val="24"/>
        </w:rPr>
        <w:t>charter operations</w:t>
      </w:r>
      <w:r w:rsidRPr="00783982">
        <w:rPr>
          <w:szCs w:val="24"/>
        </w:rPr>
        <w:t xml:space="preserve"> in order to meet legal and regulatory requirements, support fisheries management decision making, and</w:t>
      </w:r>
      <w:r>
        <w:rPr>
          <w:szCs w:val="24"/>
        </w:rPr>
        <w:t xml:space="preserve"> pursue more detailed</w:t>
      </w:r>
      <w:r w:rsidRPr="00783982">
        <w:rPr>
          <w:szCs w:val="24"/>
        </w:rPr>
        <w:t xml:space="preserve"> economic research. </w:t>
      </w:r>
      <w:r w:rsidR="00E76AFA" w:rsidRPr="00783982">
        <w:rPr>
          <w:szCs w:val="24"/>
        </w:rPr>
        <w:t xml:space="preserve">Currently, </w:t>
      </w:r>
      <w:r w:rsidR="00C645B6">
        <w:rPr>
          <w:szCs w:val="24"/>
        </w:rPr>
        <w:t xml:space="preserve">the </w:t>
      </w:r>
      <w:r w:rsidR="00E76AFA" w:rsidRPr="00783982">
        <w:rPr>
          <w:szCs w:val="24"/>
        </w:rPr>
        <w:t xml:space="preserve">cost earnings </w:t>
      </w:r>
      <w:r w:rsidR="009D1387">
        <w:rPr>
          <w:szCs w:val="24"/>
        </w:rPr>
        <w:t xml:space="preserve">data </w:t>
      </w:r>
      <w:r w:rsidR="00C645B6">
        <w:rPr>
          <w:szCs w:val="24"/>
        </w:rPr>
        <w:t>used to meet these needs are seven years old.</w:t>
      </w:r>
      <w:r w:rsidR="00E76AFA" w:rsidRPr="00783982">
        <w:rPr>
          <w:szCs w:val="24"/>
        </w:rPr>
        <w:t xml:space="preserve"> This study will collect data that is needed to construct key economic performance measures </w:t>
      </w:r>
      <w:r w:rsidR="00250849">
        <w:rPr>
          <w:szCs w:val="24"/>
        </w:rPr>
        <w:t>related to</w:t>
      </w:r>
      <w:r w:rsidR="00E76AFA" w:rsidRPr="00783982">
        <w:rPr>
          <w:szCs w:val="24"/>
        </w:rPr>
        <w:t xml:space="preserve"> profitability, productivity, economic impacts, and social aspects of the fishery. The data gathered and performance measures constructed will be used to</w:t>
      </w:r>
      <w:r>
        <w:rPr>
          <w:szCs w:val="24"/>
        </w:rPr>
        <w:t xml:space="preserve"> address a wide range of issues important to the </w:t>
      </w:r>
      <w:r w:rsidR="00C645B6">
        <w:rPr>
          <w:szCs w:val="24"/>
        </w:rPr>
        <w:t>North</w:t>
      </w:r>
      <w:r w:rsidR="00C65BF0">
        <w:rPr>
          <w:szCs w:val="24"/>
        </w:rPr>
        <w:t>west</w:t>
      </w:r>
      <w:r>
        <w:rPr>
          <w:szCs w:val="24"/>
        </w:rPr>
        <w:t xml:space="preserve"> Regional Office, </w:t>
      </w:r>
      <w:r w:rsidR="00C65BF0">
        <w:rPr>
          <w:szCs w:val="24"/>
        </w:rPr>
        <w:t>Pacific</w:t>
      </w:r>
      <w:r>
        <w:rPr>
          <w:szCs w:val="24"/>
        </w:rPr>
        <w:t xml:space="preserve"> Fishery Management Council, and the </w:t>
      </w:r>
      <w:r w:rsidR="001932E0">
        <w:rPr>
          <w:szCs w:val="24"/>
        </w:rPr>
        <w:t>Washington</w:t>
      </w:r>
      <w:r w:rsidR="00C645B6">
        <w:rPr>
          <w:szCs w:val="24"/>
        </w:rPr>
        <w:t xml:space="preserve"> and Oregon </w:t>
      </w:r>
      <w:r>
        <w:rPr>
          <w:szCs w:val="24"/>
        </w:rPr>
        <w:t>charter fleet</w:t>
      </w:r>
      <w:r w:rsidR="000431B8">
        <w:rPr>
          <w:szCs w:val="24"/>
        </w:rPr>
        <w:t xml:space="preserve"> including </w:t>
      </w:r>
      <w:r w:rsidR="000431B8" w:rsidRPr="000431B8">
        <w:t xml:space="preserve">estimating the economic contribution of the </w:t>
      </w:r>
      <w:r w:rsidR="00C645B6">
        <w:t xml:space="preserve">Washington and Oregon </w:t>
      </w:r>
      <w:r w:rsidR="000431B8" w:rsidRPr="000431B8">
        <w:t xml:space="preserve">fleet and the </w:t>
      </w:r>
      <w:r w:rsidR="00546B04">
        <w:t xml:space="preserve">estimated </w:t>
      </w:r>
      <w:r w:rsidR="000431B8" w:rsidRPr="000431B8">
        <w:t>impact of</w:t>
      </w:r>
      <w:r w:rsidR="00546B04">
        <w:t xml:space="preserve"> changes in</w:t>
      </w:r>
      <w:r w:rsidR="000431B8" w:rsidRPr="000431B8">
        <w:t xml:space="preserve"> </w:t>
      </w:r>
      <w:r w:rsidR="00546B04">
        <w:t>environm</w:t>
      </w:r>
      <w:r w:rsidR="00244724">
        <w:t xml:space="preserve">ental, economic, or management </w:t>
      </w:r>
      <w:r w:rsidR="00546B04">
        <w:t xml:space="preserve">conditions on the </w:t>
      </w:r>
      <w:bookmarkStart w:id="0" w:name="_GoBack"/>
      <w:bookmarkEnd w:id="0"/>
      <w:r w:rsidR="000431B8" w:rsidRPr="000431B8">
        <w:t xml:space="preserve">on the </w:t>
      </w:r>
      <w:r w:rsidR="00C645B6">
        <w:t>Washington and Oregon charter f</w:t>
      </w:r>
      <w:r w:rsidR="000431B8" w:rsidRPr="000431B8">
        <w:t>ishery</w:t>
      </w:r>
      <w:r w:rsidRPr="000431B8">
        <w:rPr>
          <w:szCs w:val="24"/>
        </w:rPr>
        <w:t>.</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Reporting of Survey Results</w:t>
      </w:r>
    </w:p>
    <w:p w:rsidR="00D65F8F" w:rsidRPr="00783982" w:rsidRDefault="00D65F8F" w:rsidP="00241B9E">
      <w:pPr>
        <w:widowControl w:val="0"/>
      </w:pPr>
    </w:p>
    <w:p w:rsidR="00D65F8F" w:rsidRPr="00783982" w:rsidRDefault="00D65F8F" w:rsidP="00241B9E">
      <w:pPr>
        <w:widowControl w:val="0"/>
      </w:pPr>
      <w:r w:rsidRPr="00783982">
        <w:t xml:space="preserve">Survey results will be reported through a series of </w:t>
      </w:r>
      <w:r w:rsidR="00830A50">
        <w:t xml:space="preserve">reports and project </w:t>
      </w:r>
      <w:r w:rsidR="00E76AFA" w:rsidRPr="00783982">
        <w:t>summaries</w:t>
      </w:r>
      <w:r w:rsidRPr="00783982">
        <w:t xml:space="preserve"> prepared for</w:t>
      </w:r>
      <w:r w:rsidR="00E76AFA" w:rsidRPr="00783982">
        <w:t xml:space="preserve"> the</w:t>
      </w:r>
      <w:r w:rsidR="00830A50">
        <w:t xml:space="preserve"> survey respondents,</w:t>
      </w:r>
      <w:r w:rsidR="00E76AFA" w:rsidRPr="00783982">
        <w:t xml:space="preserve"> general fishing public, </w:t>
      </w:r>
      <w:r w:rsidRPr="00783982">
        <w:t>fisheries managers</w:t>
      </w:r>
      <w:r w:rsidR="00E76AFA" w:rsidRPr="00783982">
        <w:t>, and academics</w:t>
      </w:r>
      <w:r w:rsidR="005D3784" w:rsidRPr="00783982">
        <w:t>. It is anticipated that results will also be reported in the form of a</w:t>
      </w:r>
      <w:r w:rsidR="007C05B3" w:rsidRPr="00783982">
        <w:t xml:space="preserve"> </w:t>
      </w:r>
      <w:r w:rsidR="00F3519D" w:rsidRPr="00783982">
        <w:t>t</w:t>
      </w:r>
      <w:r w:rsidR="005D3784" w:rsidRPr="00783982">
        <w:t>echnical memorandum</w:t>
      </w:r>
      <w:r w:rsidR="007C05B3" w:rsidRPr="00783982">
        <w:t xml:space="preserve"> of the </w:t>
      </w:r>
      <w:r w:rsidR="00C645B6">
        <w:t>Nort</w:t>
      </w:r>
      <w:r w:rsidR="00CA3C71">
        <w:t>hwest Fisheries</w:t>
      </w:r>
      <w:r w:rsidR="007C05B3" w:rsidRPr="00783982">
        <w:t xml:space="preserve"> Science Center,</w:t>
      </w:r>
      <w:r w:rsidRPr="00783982">
        <w:t xml:space="preserve"> academic publication</w:t>
      </w:r>
      <w:r w:rsidR="00830A50">
        <w:t xml:space="preserve">s, </w:t>
      </w:r>
      <w:r w:rsidR="00F3519D" w:rsidRPr="00783982">
        <w:t>presentations at conferences</w:t>
      </w:r>
      <w:r w:rsidR="00830A50">
        <w:t>, and public meetings</w:t>
      </w:r>
      <w:r w:rsidR="005D3784" w:rsidRPr="00783982">
        <w:t xml:space="preserve">. </w:t>
      </w:r>
      <w:r w:rsidRPr="00783982">
        <w:t xml:space="preserve">All reporting of survey results will conform to data confidentiality requirements. Qualified researchers with data access and confidentiality agreements will have access to raw data for performing </w:t>
      </w:r>
      <w:r w:rsidR="005D3784" w:rsidRPr="00783982">
        <w:t xml:space="preserve">future </w:t>
      </w:r>
      <w:r w:rsidRPr="00783982">
        <w:t>analyses</w:t>
      </w:r>
      <w:r w:rsidR="00830A50">
        <w:t>, if requested</w:t>
      </w:r>
      <w:r w:rsidRPr="00783982">
        <w:t>.</w:t>
      </w:r>
    </w:p>
    <w:p w:rsidR="00D65F8F" w:rsidRPr="00783982" w:rsidRDefault="00D65F8F" w:rsidP="00241B9E">
      <w:pPr>
        <w:widowControl w:val="0"/>
      </w:pPr>
    </w:p>
    <w:p w:rsidR="00D65F8F" w:rsidRPr="00783982" w:rsidRDefault="00D65F8F" w:rsidP="005A75AC">
      <w:pPr>
        <w:widowControl w:val="0"/>
        <w:outlineLvl w:val="0"/>
        <w:rPr>
          <w:u w:val="single"/>
        </w:rPr>
      </w:pPr>
      <w:r w:rsidRPr="00783982">
        <w:rPr>
          <w:u w:val="single"/>
        </w:rPr>
        <w:t>Information Quality Guidelines and Confidentiality</w:t>
      </w:r>
    </w:p>
    <w:p w:rsidR="00D65F8F" w:rsidRPr="00783982" w:rsidRDefault="00D65F8F" w:rsidP="00241B9E">
      <w:pPr>
        <w:widowControl w:val="0"/>
      </w:pPr>
    </w:p>
    <w:p w:rsidR="00D65F8F" w:rsidRPr="00783982" w:rsidRDefault="00D65F8F" w:rsidP="00241B9E">
      <w:pPr>
        <w:widowControl w:val="0"/>
      </w:pPr>
      <w:r w:rsidRPr="00783982">
        <w:t>It is anticipated that the information collected will be disseminated to the public or used to support publ</w:t>
      </w:r>
      <w:r w:rsidR="00B023EA">
        <w:t>icly disseminated information.</w:t>
      </w:r>
      <w:r w:rsidRPr="00783982">
        <w:t xml:space="preserve">  NMFS will retain control over the information and safeguard it from improper access, modification, and destruction, consistent with NOAA standards for confidentiality, privacy, and electronic information.  In particular, the data collected will be kept confidential as required by section 402(b) of the Magnuson-Stevens Act and NOAA Administrative Order 216-100, Confidentiality of Fisheries Statistics, and will not be released for public use except in aggregate statistical form without identification as to its source.</w:t>
      </w:r>
    </w:p>
    <w:p w:rsidR="00D65F8F" w:rsidRPr="00783982" w:rsidRDefault="00D65F8F" w:rsidP="00241B9E">
      <w:pPr>
        <w:widowControl w:val="0"/>
      </w:pPr>
    </w:p>
    <w:p w:rsidR="00D65F8F" w:rsidRPr="00783982" w:rsidRDefault="00D65F8F" w:rsidP="00241B9E">
      <w:pPr>
        <w:widowControl w:val="0"/>
      </w:pPr>
      <w:r w:rsidRPr="00783982">
        <w:lastRenderedPageBreak/>
        <w:t>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D65F8F" w:rsidRPr="00783982" w:rsidRDefault="00D65F8F" w:rsidP="00241B9E">
      <w:pPr>
        <w:widowControl w:val="0"/>
        <w:rPr>
          <w:b/>
        </w:rPr>
      </w:pPr>
    </w:p>
    <w:p w:rsidR="00D65F8F" w:rsidRPr="00783982" w:rsidRDefault="00D65F8F" w:rsidP="00241B9E">
      <w:pPr>
        <w:widowControl w:val="0"/>
      </w:pPr>
      <w:r w:rsidRPr="00783982">
        <w:rPr>
          <w:b/>
        </w:rPr>
        <w:t>6.  Contact information for agency coordinator and principal investigator</w:t>
      </w:r>
      <w:r w:rsidRPr="00783982">
        <w:t>.</w:t>
      </w:r>
    </w:p>
    <w:p w:rsidR="00D65F8F" w:rsidRPr="00783982" w:rsidRDefault="00D65F8F" w:rsidP="00241B9E">
      <w:pPr>
        <w:widowControl w:val="0"/>
      </w:pPr>
    </w:p>
    <w:p w:rsidR="001C07F1" w:rsidRDefault="001C07F1" w:rsidP="00241B9E">
      <w:pPr>
        <w:widowControl w:val="0"/>
        <w:rPr>
          <w:u w:val="single"/>
        </w:rPr>
        <w:sectPr w:rsidR="001C07F1">
          <w:headerReference w:type="even" r:id="rId14"/>
          <w:headerReference w:type="default" r:id="rId15"/>
          <w:footerReference w:type="even" r:id="rId16"/>
          <w:footerReference w:type="default" r:id="rId17"/>
          <w:endnotePr>
            <w:numFmt w:val="lowerLetter"/>
          </w:endnotePr>
          <w:type w:val="continuous"/>
          <w:pgSz w:w="12240" w:h="15840"/>
          <w:pgMar w:top="1440" w:right="1440" w:bottom="1440" w:left="1440" w:header="1440" w:footer="1440" w:gutter="0"/>
          <w:cols w:space="720"/>
        </w:sectPr>
      </w:pPr>
    </w:p>
    <w:p w:rsidR="00F3519D" w:rsidRPr="00783982" w:rsidRDefault="00F3519D" w:rsidP="00241B9E">
      <w:pPr>
        <w:widowControl w:val="0"/>
        <w:rPr>
          <w:u w:val="single"/>
        </w:rPr>
      </w:pPr>
      <w:r w:rsidRPr="00783982">
        <w:rPr>
          <w:u w:val="single"/>
        </w:rPr>
        <w:lastRenderedPageBreak/>
        <w:t>Agency Coordinator</w:t>
      </w:r>
    </w:p>
    <w:p w:rsidR="00F3519D" w:rsidRPr="00783982" w:rsidRDefault="00655EC6" w:rsidP="00241B9E">
      <w:pPr>
        <w:widowControl w:val="0"/>
      </w:pPr>
      <w:r>
        <w:t>Jerry Leonard</w:t>
      </w:r>
    </w:p>
    <w:p w:rsidR="00F3519D" w:rsidRPr="00783982" w:rsidRDefault="00F3519D" w:rsidP="00241B9E">
      <w:pPr>
        <w:widowControl w:val="0"/>
      </w:pPr>
      <w:r w:rsidRPr="00783982">
        <w:t>NOAA Fisheries</w:t>
      </w:r>
    </w:p>
    <w:p w:rsidR="00F3519D" w:rsidRPr="00783982" w:rsidRDefault="00655EC6" w:rsidP="00241B9E">
      <w:pPr>
        <w:widowControl w:val="0"/>
      </w:pPr>
      <w:r>
        <w:t>North</w:t>
      </w:r>
      <w:r w:rsidR="00CA3C71">
        <w:t>west Fisheries</w:t>
      </w:r>
      <w:r w:rsidR="00F3519D" w:rsidRPr="00783982">
        <w:t xml:space="preserve"> Science Center</w:t>
      </w:r>
    </w:p>
    <w:p w:rsidR="004F3EE0" w:rsidRPr="00783982" w:rsidRDefault="00655EC6" w:rsidP="00241B9E">
      <w:pPr>
        <w:widowControl w:val="0"/>
      </w:pPr>
      <w:r>
        <w:t xml:space="preserve">2725 </w:t>
      </w:r>
      <w:proofErr w:type="spellStart"/>
      <w:r>
        <w:t>Montlake</w:t>
      </w:r>
      <w:proofErr w:type="spellEnd"/>
      <w:r>
        <w:t xml:space="preserve"> Blvd. E. </w:t>
      </w:r>
    </w:p>
    <w:p w:rsidR="004F3EE0" w:rsidRPr="00783982" w:rsidRDefault="00655EC6" w:rsidP="00241B9E">
      <w:pPr>
        <w:widowControl w:val="0"/>
      </w:pPr>
      <w:r>
        <w:t>Seattle</w:t>
      </w:r>
      <w:r w:rsidR="00CA3C71">
        <w:t xml:space="preserve">, </w:t>
      </w:r>
      <w:r>
        <w:t>W</w:t>
      </w:r>
      <w:r w:rsidR="00CA3C71">
        <w:t>A 9</w:t>
      </w:r>
      <w:r>
        <w:t>8117</w:t>
      </w:r>
    </w:p>
    <w:p w:rsidR="00F3519D" w:rsidRPr="00783982" w:rsidRDefault="00655EC6" w:rsidP="00241B9E">
      <w:pPr>
        <w:widowControl w:val="0"/>
      </w:pPr>
      <w:r>
        <w:t>206-302-1742</w:t>
      </w:r>
    </w:p>
    <w:p w:rsidR="00257BAF" w:rsidRPr="00256E3C" w:rsidRDefault="00655EC6" w:rsidP="00256E3C">
      <w:pPr>
        <w:widowControl w:val="0"/>
      </w:pPr>
      <w:r>
        <w:t>jerry.leonard</w:t>
      </w:r>
      <w:r w:rsidR="00256E3C" w:rsidRPr="00256E3C">
        <w:t>@noaa.gov</w:t>
      </w:r>
    </w:p>
    <w:p w:rsidR="00256E3C" w:rsidRDefault="00256E3C" w:rsidP="00257BAF">
      <w:pPr>
        <w:widowControl w:val="0"/>
      </w:pPr>
    </w:p>
    <w:p w:rsidR="00256E3C" w:rsidRDefault="00256E3C" w:rsidP="00257BAF">
      <w:pPr>
        <w:widowControl w:val="0"/>
      </w:pPr>
      <w:r w:rsidRPr="00783982">
        <w:rPr>
          <w:u w:val="single"/>
        </w:rPr>
        <w:lastRenderedPageBreak/>
        <w:t>Principal Investigator</w:t>
      </w:r>
      <w:r>
        <w:t xml:space="preserve"> </w:t>
      </w:r>
    </w:p>
    <w:p w:rsidR="00C62FD6" w:rsidRDefault="00C62FD6" w:rsidP="00C62FD6">
      <w:pPr>
        <w:autoSpaceDE w:val="0"/>
        <w:autoSpaceDN w:val="0"/>
        <w:adjustRightInd w:val="0"/>
        <w:rPr>
          <w:rFonts w:eastAsia="SimSun"/>
          <w:color w:val="000000"/>
          <w:szCs w:val="24"/>
        </w:rPr>
      </w:pPr>
      <w:r>
        <w:rPr>
          <w:rFonts w:eastAsia="SimSun"/>
          <w:color w:val="000000"/>
          <w:szCs w:val="24"/>
        </w:rPr>
        <w:t xml:space="preserve">Dave </w:t>
      </w:r>
      <w:proofErr w:type="spellStart"/>
      <w:r>
        <w:rPr>
          <w:rFonts w:eastAsia="SimSun"/>
          <w:color w:val="000000"/>
          <w:szCs w:val="24"/>
        </w:rPr>
        <w:t>Colpo</w:t>
      </w:r>
      <w:proofErr w:type="spellEnd"/>
    </w:p>
    <w:p w:rsidR="00C62FD6" w:rsidRDefault="00C62FD6" w:rsidP="00C62FD6">
      <w:pPr>
        <w:autoSpaceDE w:val="0"/>
        <w:autoSpaceDN w:val="0"/>
        <w:adjustRightInd w:val="0"/>
        <w:rPr>
          <w:rFonts w:eastAsia="SimSun"/>
          <w:color w:val="000000"/>
          <w:szCs w:val="24"/>
        </w:rPr>
      </w:pPr>
      <w:r>
        <w:rPr>
          <w:rFonts w:eastAsia="SimSun"/>
          <w:color w:val="000000"/>
          <w:szCs w:val="24"/>
        </w:rPr>
        <w:t>Pacific States Marine Fisheries Commission</w:t>
      </w:r>
    </w:p>
    <w:p w:rsidR="00C62FD6" w:rsidRDefault="00C62FD6" w:rsidP="00C62FD6">
      <w:pPr>
        <w:autoSpaceDE w:val="0"/>
        <w:autoSpaceDN w:val="0"/>
        <w:adjustRightInd w:val="0"/>
        <w:rPr>
          <w:rFonts w:eastAsia="SimSun"/>
          <w:color w:val="000000"/>
          <w:szCs w:val="24"/>
        </w:rPr>
      </w:pPr>
      <w:r>
        <w:rPr>
          <w:rFonts w:eastAsia="SimSun"/>
          <w:color w:val="000000"/>
          <w:szCs w:val="24"/>
        </w:rPr>
        <w:t>205 SE Spokane Street</w:t>
      </w:r>
    </w:p>
    <w:p w:rsidR="00C62FD6" w:rsidRDefault="00C62FD6" w:rsidP="00C62FD6">
      <w:pPr>
        <w:autoSpaceDE w:val="0"/>
        <w:autoSpaceDN w:val="0"/>
        <w:adjustRightInd w:val="0"/>
        <w:rPr>
          <w:rFonts w:eastAsia="SimSun"/>
          <w:color w:val="000000"/>
          <w:szCs w:val="24"/>
        </w:rPr>
      </w:pPr>
      <w:r>
        <w:rPr>
          <w:rFonts w:eastAsia="SimSun"/>
          <w:color w:val="000000"/>
          <w:szCs w:val="24"/>
        </w:rPr>
        <w:t>Portland, OR 97202</w:t>
      </w:r>
    </w:p>
    <w:p w:rsidR="00C62FD6" w:rsidRDefault="00C62FD6" w:rsidP="00C62FD6">
      <w:pPr>
        <w:autoSpaceDE w:val="0"/>
        <w:autoSpaceDN w:val="0"/>
        <w:adjustRightInd w:val="0"/>
        <w:rPr>
          <w:rFonts w:eastAsia="SimSun"/>
          <w:color w:val="000000"/>
          <w:szCs w:val="24"/>
        </w:rPr>
      </w:pPr>
      <w:r>
        <w:rPr>
          <w:rFonts w:eastAsia="SimSun"/>
          <w:color w:val="000000"/>
          <w:szCs w:val="24"/>
        </w:rPr>
        <w:t>503-595-3100 (voice)</w:t>
      </w:r>
    </w:p>
    <w:p w:rsidR="00C62FD6" w:rsidRDefault="00C62FD6" w:rsidP="00C62FD6">
      <w:pPr>
        <w:autoSpaceDE w:val="0"/>
        <w:autoSpaceDN w:val="0"/>
        <w:adjustRightInd w:val="0"/>
        <w:rPr>
          <w:rFonts w:eastAsia="SimSun"/>
          <w:color w:val="000000"/>
          <w:szCs w:val="24"/>
        </w:rPr>
      </w:pPr>
      <w:r>
        <w:rPr>
          <w:rFonts w:eastAsia="SimSun"/>
          <w:color w:val="000000"/>
          <w:szCs w:val="24"/>
        </w:rPr>
        <w:t>503-595-3232 (fax)</w:t>
      </w:r>
    </w:p>
    <w:p w:rsidR="001C07F1" w:rsidRDefault="00C62FD6" w:rsidP="00C62FD6">
      <w:pPr>
        <w:widowControl w:val="0"/>
        <w:sectPr w:rsidR="001C07F1">
          <w:endnotePr>
            <w:numFmt w:val="lowerLetter"/>
          </w:endnotePr>
          <w:type w:val="continuous"/>
          <w:pgSz w:w="12240" w:h="15840"/>
          <w:pgMar w:top="1440" w:right="1440" w:bottom="1440" w:left="1440" w:header="1440" w:footer="1440" w:gutter="0"/>
          <w:cols w:num="2" w:space="720" w:equalWidth="0">
            <w:col w:w="4320" w:space="720"/>
            <w:col w:w="4320"/>
          </w:cols>
        </w:sectPr>
      </w:pPr>
      <w:r>
        <w:rPr>
          <w:rFonts w:eastAsia="SimSun"/>
          <w:color w:val="0000FF"/>
          <w:szCs w:val="24"/>
        </w:rPr>
        <w:t xml:space="preserve">dave_colpo@psmfc.org </w:t>
      </w:r>
    </w:p>
    <w:p w:rsidR="00C62FD6" w:rsidRDefault="00C62FD6" w:rsidP="001A1C77">
      <w:pPr>
        <w:widowControl w:val="0"/>
        <w:rPr>
          <w:b/>
          <w:bCs/>
        </w:rPr>
      </w:pPr>
    </w:p>
    <w:p w:rsidR="00D65F8F" w:rsidRPr="00783982" w:rsidRDefault="00D65F8F" w:rsidP="001A1C77">
      <w:pPr>
        <w:widowControl w:val="0"/>
        <w:rPr>
          <w:b/>
          <w:bCs/>
        </w:rPr>
      </w:pPr>
      <w:r w:rsidRPr="00783982">
        <w:rPr>
          <w:b/>
          <w:bCs/>
        </w:rPr>
        <w:t>7.  Estimated burden and number of respondents</w:t>
      </w:r>
    </w:p>
    <w:p w:rsidR="00D65F8F" w:rsidRPr="00783982" w:rsidRDefault="00D65F8F" w:rsidP="00241B9E">
      <w:pPr>
        <w:widowControl w:val="0"/>
        <w:ind w:left="-360"/>
        <w:rPr>
          <w:b/>
          <w:bCs/>
        </w:rPr>
      </w:pPr>
    </w:p>
    <w:p w:rsidR="00B43E8E" w:rsidRDefault="00D65F8F" w:rsidP="0065702F">
      <w:pPr>
        <w:widowControl w:val="0"/>
        <w:rPr>
          <w:bCs/>
        </w:rPr>
      </w:pPr>
      <w:r w:rsidRPr="00783982">
        <w:rPr>
          <w:bCs/>
        </w:rPr>
        <w:t>Completing the su</w:t>
      </w:r>
      <w:r w:rsidR="007E0181">
        <w:rPr>
          <w:bCs/>
        </w:rPr>
        <w:t>rvey is expected to take</w:t>
      </w:r>
      <w:r w:rsidRPr="00783982">
        <w:rPr>
          <w:bCs/>
        </w:rPr>
        <w:t xml:space="preserve"> </w:t>
      </w:r>
      <w:r w:rsidR="000C1353">
        <w:rPr>
          <w:bCs/>
        </w:rPr>
        <w:t>1 hour</w:t>
      </w:r>
      <w:r w:rsidR="007E0181">
        <w:rPr>
          <w:bCs/>
        </w:rPr>
        <w:t xml:space="preserve"> per respondent</w:t>
      </w:r>
      <w:r w:rsidRPr="00783982">
        <w:rPr>
          <w:bCs/>
        </w:rPr>
        <w:t xml:space="preserve">. As a result, the survey is expected to impose a total of </w:t>
      </w:r>
      <w:r w:rsidR="00071B0C">
        <w:rPr>
          <w:bCs/>
        </w:rPr>
        <w:t>180</w:t>
      </w:r>
      <w:r w:rsidR="00B023EA">
        <w:rPr>
          <w:bCs/>
        </w:rPr>
        <w:t xml:space="preserve"> </w:t>
      </w:r>
      <w:r w:rsidRPr="00783982">
        <w:rPr>
          <w:bCs/>
        </w:rPr>
        <w:t xml:space="preserve">burden hours on the </w:t>
      </w:r>
      <w:r w:rsidR="001932E0">
        <w:rPr>
          <w:bCs/>
        </w:rPr>
        <w:t>Washington and Oregon charter license holders.</w:t>
      </w:r>
      <w:r w:rsidR="006A7070">
        <w:rPr>
          <w:bCs/>
        </w:rPr>
        <w:t xml:space="preserve">  The burden hours per respondent are based on the results of a NOAA commissioned pilot study completed in </w:t>
      </w:r>
      <w:r w:rsidR="006A7070" w:rsidRPr="006A7070">
        <w:rPr>
          <w:bCs/>
        </w:rPr>
        <w:t>West Coast Charter Boat Cost-Earning Pilot Survey for FY 2011</w:t>
      </w:r>
      <w:r w:rsidR="006A7070">
        <w:rPr>
          <w:bCs/>
        </w:rPr>
        <w:t xml:space="preserve"> (</w:t>
      </w:r>
      <w:proofErr w:type="spellStart"/>
      <w:r w:rsidR="006A7070">
        <w:t>Hanan</w:t>
      </w:r>
      <w:proofErr w:type="spellEnd"/>
      <w:r w:rsidR="006A7070">
        <w:t xml:space="preserve"> and </w:t>
      </w:r>
      <w:proofErr w:type="spellStart"/>
      <w:r w:rsidR="006A7070">
        <w:t>Hanan</w:t>
      </w:r>
      <w:proofErr w:type="spellEnd"/>
      <w:r w:rsidR="006A7070">
        <w:t>, 2012),</w:t>
      </w:r>
      <w:r w:rsidR="006A7070">
        <w:rPr>
          <w:bCs/>
        </w:rPr>
        <w:t xml:space="preserve"> which had a survey instrument very similar to the one for this study.  </w:t>
      </w:r>
    </w:p>
    <w:p w:rsidR="00071B0C" w:rsidRDefault="00071B0C" w:rsidP="0065702F">
      <w:pPr>
        <w:widowControl w:val="0"/>
        <w:rPr>
          <w:bCs/>
        </w:rPr>
      </w:pPr>
    </w:p>
    <w:tbl>
      <w:tblPr>
        <w:tblW w:w="7420" w:type="dxa"/>
        <w:tblInd w:w="93" w:type="dxa"/>
        <w:tblLook w:val="04A0" w:firstRow="1" w:lastRow="0" w:firstColumn="1" w:lastColumn="0" w:noHBand="0" w:noVBand="1"/>
      </w:tblPr>
      <w:tblGrid>
        <w:gridCol w:w="5980"/>
        <w:gridCol w:w="1440"/>
      </w:tblGrid>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 xml:space="preserve">Total Charter License Holders Population                                   </w:t>
            </w:r>
          </w:p>
        </w:tc>
        <w:tc>
          <w:tcPr>
            <w:tcW w:w="1440" w:type="dxa"/>
            <w:tcBorders>
              <w:top w:val="nil"/>
              <w:left w:val="nil"/>
              <w:bottom w:val="nil"/>
              <w:right w:val="nil"/>
            </w:tcBorders>
            <w:shd w:val="clear" w:color="auto" w:fill="auto"/>
            <w:noWrap/>
            <w:vAlign w:val="bottom"/>
            <w:hideMark/>
          </w:tcPr>
          <w:p w:rsidR="00071B0C" w:rsidRPr="00071B0C" w:rsidRDefault="00071B0C" w:rsidP="00071B0C">
            <w:pPr>
              <w:jc w:val="right"/>
              <w:rPr>
                <w:color w:val="000000"/>
                <w:szCs w:val="24"/>
              </w:rPr>
            </w:pPr>
            <w:r w:rsidRPr="00071B0C">
              <w:rPr>
                <w:color w:val="000000"/>
                <w:szCs w:val="24"/>
              </w:rPr>
              <w:t>369</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Average burden per initial telephone screen</w:t>
            </w:r>
          </w:p>
        </w:tc>
        <w:tc>
          <w:tcPr>
            <w:tcW w:w="1440" w:type="dxa"/>
            <w:tcBorders>
              <w:top w:val="nil"/>
              <w:left w:val="nil"/>
              <w:bottom w:val="nil"/>
              <w:right w:val="nil"/>
            </w:tcBorders>
            <w:shd w:val="clear" w:color="auto" w:fill="auto"/>
            <w:noWrap/>
            <w:vAlign w:val="center"/>
            <w:hideMark/>
          </w:tcPr>
          <w:p w:rsidR="00071B0C" w:rsidRPr="00071B0C" w:rsidRDefault="00071B0C" w:rsidP="00071B0C">
            <w:pPr>
              <w:jc w:val="right"/>
              <w:rPr>
                <w:color w:val="000000"/>
                <w:szCs w:val="24"/>
              </w:rPr>
            </w:pPr>
            <w:r w:rsidRPr="00071B0C">
              <w:rPr>
                <w:color w:val="000000"/>
                <w:szCs w:val="24"/>
              </w:rPr>
              <w:t>5 min</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Number reached for initial telephone screen</w:t>
            </w:r>
          </w:p>
        </w:tc>
        <w:tc>
          <w:tcPr>
            <w:tcW w:w="1440" w:type="dxa"/>
            <w:tcBorders>
              <w:top w:val="nil"/>
              <w:left w:val="nil"/>
              <w:bottom w:val="nil"/>
              <w:right w:val="nil"/>
            </w:tcBorders>
            <w:shd w:val="clear" w:color="auto" w:fill="auto"/>
            <w:noWrap/>
            <w:vAlign w:val="bottom"/>
            <w:hideMark/>
          </w:tcPr>
          <w:p w:rsidR="00071B0C" w:rsidRPr="00071B0C" w:rsidRDefault="00071B0C" w:rsidP="00071B0C">
            <w:pPr>
              <w:jc w:val="right"/>
              <w:rPr>
                <w:color w:val="000000"/>
                <w:szCs w:val="24"/>
              </w:rPr>
            </w:pPr>
            <w:r w:rsidRPr="00071B0C">
              <w:rPr>
                <w:color w:val="000000"/>
                <w:szCs w:val="24"/>
              </w:rPr>
              <w:t>310</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ind w:firstLineChars="100" w:firstLine="240"/>
              <w:rPr>
                <w:color w:val="000000"/>
                <w:szCs w:val="24"/>
              </w:rPr>
            </w:pPr>
            <w:r w:rsidRPr="00071B0C">
              <w:rPr>
                <w:color w:val="000000"/>
                <w:szCs w:val="24"/>
              </w:rPr>
              <w:t>Burden hours for contact</w:t>
            </w:r>
          </w:p>
        </w:tc>
        <w:tc>
          <w:tcPr>
            <w:tcW w:w="1440" w:type="dxa"/>
            <w:tcBorders>
              <w:top w:val="nil"/>
              <w:left w:val="nil"/>
              <w:bottom w:val="nil"/>
              <w:right w:val="nil"/>
            </w:tcBorders>
            <w:shd w:val="clear" w:color="auto" w:fill="auto"/>
            <w:noWrap/>
            <w:vAlign w:val="bottom"/>
            <w:hideMark/>
          </w:tcPr>
          <w:p w:rsidR="00071B0C" w:rsidRPr="00071B0C" w:rsidRDefault="00071B0C" w:rsidP="00071B0C">
            <w:pPr>
              <w:jc w:val="right"/>
              <w:rPr>
                <w:color w:val="000000"/>
                <w:szCs w:val="24"/>
                <w:u w:val="single"/>
              </w:rPr>
            </w:pPr>
            <w:r w:rsidRPr="00071B0C">
              <w:rPr>
                <w:color w:val="000000"/>
                <w:szCs w:val="24"/>
                <w:u w:val="single"/>
              </w:rPr>
              <w:t>26</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Expected number active marine fishing charter operators</w:t>
            </w:r>
          </w:p>
        </w:tc>
        <w:tc>
          <w:tcPr>
            <w:tcW w:w="1440" w:type="dxa"/>
            <w:tcBorders>
              <w:top w:val="nil"/>
              <w:left w:val="nil"/>
              <w:bottom w:val="nil"/>
              <w:right w:val="nil"/>
            </w:tcBorders>
            <w:shd w:val="clear" w:color="auto" w:fill="auto"/>
            <w:noWrap/>
            <w:vAlign w:val="bottom"/>
            <w:hideMark/>
          </w:tcPr>
          <w:p w:rsidR="00071B0C" w:rsidRPr="00071B0C" w:rsidRDefault="00071B0C" w:rsidP="00071B0C">
            <w:pPr>
              <w:jc w:val="right"/>
              <w:rPr>
                <w:color w:val="000000"/>
                <w:szCs w:val="24"/>
              </w:rPr>
            </w:pPr>
            <w:r w:rsidRPr="00071B0C">
              <w:rPr>
                <w:color w:val="000000"/>
                <w:szCs w:val="24"/>
              </w:rPr>
              <w:t>258</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Expected survey response rate</w:t>
            </w:r>
          </w:p>
        </w:tc>
        <w:tc>
          <w:tcPr>
            <w:tcW w:w="1440" w:type="dxa"/>
            <w:tcBorders>
              <w:top w:val="nil"/>
              <w:left w:val="nil"/>
              <w:bottom w:val="nil"/>
              <w:right w:val="nil"/>
            </w:tcBorders>
            <w:shd w:val="clear" w:color="auto" w:fill="auto"/>
            <w:noWrap/>
            <w:vAlign w:val="center"/>
            <w:hideMark/>
          </w:tcPr>
          <w:p w:rsidR="00071B0C" w:rsidRPr="00071B0C" w:rsidRDefault="00071B0C" w:rsidP="00071B0C">
            <w:pPr>
              <w:jc w:val="right"/>
              <w:rPr>
                <w:color w:val="000000"/>
                <w:szCs w:val="24"/>
              </w:rPr>
            </w:pPr>
            <w:r w:rsidRPr="00071B0C">
              <w:rPr>
                <w:color w:val="000000"/>
                <w:szCs w:val="24"/>
              </w:rPr>
              <w:t>55%</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Expected # survey respondents</w:t>
            </w:r>
          </w:p>
        </w:tc>
        <w:tc>
          <w:tcPr>
            <w:tcW w:w="1440" w:type="dxa"/>
            <w:tcBorders>
              <w:top w:val="nil"/>
              <w:left w:val="nil"/>
              <w:bottom w:val="nil"/>
              <w:right w:val="nil"/>
            </w:tcBorders>
            <w:shd w:val="clear" w:color="auto" w:fill="auto"/>
            <w:noWrap/>
            <w:vAlign w:val="center"/>
            <w:hideMark/>
          </w:tcPr>
          <w:p w:rsidR="00071B0C" w:rsidRPr="00071B0C" w:rsidRDefault="00071B0C" w:rsidP="00071B0C">
            <w:pPr>
              <w:jc w:val="right"/>
              <w:rPr>
                <w:color w:val="000000"/>
                <w:szCs w:val="24"/>
              </w:rPr>
            </w:pPr>
            <w:r w:rsidRPr="00071B0C">
              <w:rPr>
                <w:color w:val="000000"/>
                <w:szCs w:val="24"/>
              </w:rPr>
              <w:t>142</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 xml:space="preserve">Average burden hours/survey and scheduling </w:t>
            </w:r>
          </w:p>
        </w:tc>
        <w:tc>
          <w:tcPr>
            <w:tcW w:w="1440" w:type="dxa"/>
            <w:tcBorders>
              <w:top w:val="nil"/>
              <w:left w:val="nil"/>
              <w:bottom w:val="nil"/>
              <w:right w:val="nil"/>
            </w:tcBorders>
            <w:shd w:val="clear" w:color="auto" w:fill="auto"/>
            <w:noWrap/>
            <w:vAlign w:val="center"/>
            <w:hideMark/>
          </w:tcPr>
          <w:p w:rsidR="00071B0C" w:rsidRDefault="00071B0C" w:rsidP="00071B0C">
            <w:pPr>
              <w:jc w:val="right"/>
              <w:rPr>
                <w:color w:val="000000"/>
                <w:szCs w:val="24"/>
              </w:rPr>
            </w:pPr>
            <w:r w:rsidRPr="00071B0C">
              <w:rPr>
                <w:color w:val="000000"/>
                <w:szCs w:val="24"/>
              </w:rPr>
              <w:t xml:space="preserve">1 hour, </w:t>
            </w:r>
          </w:p>
          <w:p w:rsidR="00071B0C" w:rsidRPr="00071B0C" w:rsidRDefault="00071B0C" w:rsidP="00071B0C">
            <w:pPr>
              <w:jc w:val="right"/>
              <w:rPr>
                <w:color w:val="000000"/>
                <w:szCs w:val="24"/>
              </w:rPr>
            </w:pPr>
            <w:r w:rsidRPr="00071B0C">
              <w:rPr>
                <w:color w:val="000000"/>
                <w:szCs w:val="24"/>
              </w:rPr>
              <w:t>5</w:t>
            </w:r>
            <w:r>
              <w:rPr>
                <w:color w:val="000000"/>
                <w:szCs w:val="24"/>
              </w:rPr>
              <w:t xml:space="preserve"> </w:t>
            </w:r>
            <w:r w:rsidRPr="00071B0C">
              <w:rPr>
                <w:color w:val="000000"/>
                <w:szCs w:val="24"/>
              </w:rPr>
              <w:t>min</w:t>
            </w:r>
          </w:p>
        </w:tc>
      </w:tr>
      <w:tr w:rsidR="00071B0C" w:rsidRPr="00071B0C" w:rsidTr="00071B0C">
        <w:trPr>
          <w:trHeight w:val="315"/>
        </w:trPr>
        <w:tc>
          <w:tcPr>
            <w:tcW w:w="5980" w:type="dxa"/>
            <w:tcBorders>
              <w:top w:val="nil"/>
              <w:left w:val="nil"/>
              <w:bottom w:val="nil"/>
              <w:right w:val="nil"/>
            </w:tcBorders>
            <w:shd w:val="clear" w:color="auto" w:fill="auto"/>
            <w:noWrap/>
            <w:vAlign w:val="center"/>
            <w:hideMark/>
          </w:tcPr>
          <w:p w:rsidR="00071B0C" w:rsidRPr="00071B0C" w:rsidRDefault="00071B0C" w:rsidP="00071B0C">
            <w:pPr>
              <w:ind w:firstLineChars="100" w:firstLine="240"/>
              <w:rPr>
                <w:color w:val="000000"/>
                <w:szCs w:val="24"/>
              </w:rPr>
            </w:pPr>
            <w:r w:rsidRPr="00071B0C">
              <w:rPr>
                <w:color w:val="000000"/>
                <w:szCs w:val="24"/>
              </w:rPr>
              <w:t>Burden hours for survey and scheduling</w:t>
            </w:r>
          </w:p>
        </w:tc>
        <w:tc>
          <w:tcPr>
            <w:tcW w:w="1440" w:type="dxa"/>
            <w:tcBorders>
              <w:top w:val="nil"/>
              <w:left w:val="nil"/>
              <w:bottom w:val="nil"/>
              <w:right w:val="nil"/>
            </w:tcBorders>
            <w:shd w:val="clear" w:color="auto" w:fill="auto"/>
            <w:noWrap/>
            <w:vAlign w:val="center"/>
            <w:hideMark/>
          </w:tcPr>
          <w:p w:rsidR="00071B0C" w:rsidRPr="00071B0C" w:rsidRDefault="00071B0C" w:rsidP="00071B0C">
            <w:pPr>
              <w:jc w:val="right"/>
              <w:rPr>
                <w:color w:val="000000"/>
                <w:szCs w:val="24"/>
                <w:u w:val="single"/>
              </w:rPr>
            </w:pPr>
            <w:r w:rsidRPr="00071B0C">
              <w:rPr>
                <w:color w:val="000000"/>
                <w:szCs w:val="24"/>
                <w:u w:val="single"/>
              </w:rPr>
              <w:t>154</w:t>
            </w:r>
          </w:p>
        </w:tc>
      </w:tr>
      <w:tr w:rsidR="00071B0C" w:rsidRPr="00071B0C" w:rsidTr="00071B0C">
        <w:trPr>
          <w:trHeight w:val="525"/>
        </w:trPr>
        <w:tc>
          <w:tcPr>
            <w:tcW w:w="5980" w:type="dxa"/>
            <w:tcBorders>
              <w:top w:val="nil"/>
              <w:left w:val="nil"/>
              <w:bottom w:val="nil"/>
              <w:right w:val="nil"/>
            </w:tcBorders>
            <w:shd w:val="clear" w:color="auto" w:fill="auto"/>
            <w:noWrap/>
            <w:vAlign w:val="center"/>
            <w:hideMark/>
          </w:tcPr>
          <w:p w:rsidR="00071B0C" w:rsidRPr="00071B0C" w:rsidRDefault="00071B0C" w:rsidP="00071B0C">
            <w:pPr>
              <w:rPr>
                <w:color w:val="000000"/>
                <w:szCs w:val="24"/>
              </w:rPr>
            </w:pPr>
            <w:r w:rsidRPr="00071B0C">
              <w:rPr>
                <w:color w:val="000000"/>
                <w:szCs w:val="24"/>
              </w:rPr>
              <w:t>Total burden hours (initial contact + survey and scheduling)</w:t>
            </w:r>
          </w:p>
        </w:tc>
        <w:tc>
          <w:tcPr>
            <w:tcW w:w="1440" w:type="dxa"/>
            <w:tcBorders>
              <w:top w:val="nil"/>
              <w:left w:val="nil"/>
              <w:bottom w:val="nil"/>
              <w:right w:val="nil"/>
            </w:tcBorders>
            <w:shd w:val="clear" w:color="auto" w:fill="auto"/>
            <w:noWrap/>
            <w:vAlign w:val="bottom"/>
            <w:hideMark/>
          </w:tcPr>
          <w:p w:rsidR="00071B0C" w:rsidRPr="00071B0C" w:rsidRDefault="00071B0C" w:rsidP="00071B0C">
            <w:pPr>
              <w:jc w:val="right"/>
              <w:rPr>
                <w:color w:val="000000"/>
                <w:szCs w:val="24"/>
              </w:rPr>
            </w:pPr>
            <w:r w:rsidRPr="00071B0C">
              <w:rPr>
                <w:color w:val="000000"/>
                <w:szCs w:val="24"/>
              </w:rPr>
              <w:t>180.00</w:t>
            </w:r>
          </w:p>
        </w:tc>
      </w:tr>
    </w:tbl>
    <w:p w:rsidR="00071B0C" w:rsidRDefault="00071B0C" w:rsidP="0065702F">
      <w:pPr>
        <w:widowControl w:val="0"/>
        <w:rPr>
          <w:bCs/>
        </w:rPr>
      </w:pPr>
    </w:p>
    <w:sectPr w:rsidR="00071B0C" w:rsidSect="005258E7">
      <w:headerReference w:type="default" r:id="rId18"/>
      <w:footnotePr>
        <w:numFmt w:val="chicago"/>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F5" w:rsidRDefault="00206FF5">
      <w:r>
        <w:separator/>
      </w:r>
    </w:p>
  </w:endnote>
  <w:endnote w:type="continuationSeparator" w:id="0">
    <w:p w:rsidR="00206FF5" w:rsidRDefault="00206FF5">
      <w:r>
        <w:continuationSeparator/>
      </w:r>
    </w:p>
  </w:endnote>
  <w:endnote w:type="continuationNotice" w:id="1">
    <w:p w:rsidR="00206FF5" w:rsidRDefault="0020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F947EE" w:rsidP="001C6C0C">
    <w:pPr>
      <w:pStyle w:val="Footer"/>
      <w:framePr w:wrap="around" w:vAnchor="text" w:hAnchor="margin" w:xAlign="center" w:y="1"/>
      <w:rPr>
        <w:rStyle w:val="PageNumber"/>
      </w:rPr>
    </w:pPr>
    <w:r>
      <w:rPr>
        <w:rStyle w:val="PageNumber"/>
      </w:rPr>
      <w:fldChar w:fldCharType="begin"/>
    </w:r>
    <w:r w:rsidR="00EF7B3B">
      <w:rPr>
        <w:rStyle w:val="PageNumber"/>
      </w:rPr>
      <w:instrText xml:space="preserve">PAGE  </w:instrText>
    </w:r>
    <w:r>
      <w:rPr>
        <w:rStyle w:val="PageNumber"/>
      </w:rPr>
      <w:fldChar w:fldCharType="end"/>
    </w:r>
  </w:p>
  <w:p w:rsidR="00EF7B3B" w:rsidRDefault="00EF7B3B">
    <w:pPr>
      <w:framePr w:w="9360" w:h="274" w:hRule="exact" w:wrap="notBeside" w:vAnchor="page" w:hAnchor="text" w:y="14400"/>
      <w:widowControl w:val="0"/>
      <w:spacing w:line="0" w:lineRule="atLeast"/>
      <w:ind w:right="360" w:firstLine="360"/>
      <w:jc w:val="center"/>
      <w:rPr>
        <w:vanish/>
      </w:rPr>
    </w:pPr>
  </w:p>
  <w:p w:rsidR="00EF7B3B" w:rsidRDefault="00EF7B3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F947EE" w:rsidP="001C6C0C">
    <w:pPr>
      <w:pStyle w:val="Footer"/>
      <w:framePr w:wrap="around" w:vAnchor="text" w:hAnchor="margin" w:xAlign="center" w:y="1"/>
      <w:rPr>
        <w:rStyle w:val="PageNumber"/>
      </w:rPr>
    </w:pPr>
    <w:r>
      <w:rPr>
        <w:rStyle w:val="PageNumber"/>
      </w:rPr>
      <w:fldChar w:fldCharType="begin"/>
    </w:r>
    <w:r w:rsidR="00EF7B3B">
      <w:rPr>
        <w:rStyle w:val="PageNumber"/>
      </w:rPr>
      <w:instrText xml:space="preserve">PAGE  </w:instrText>
    </w:r>
    <w:r>
      <w:rPr>
        <w:rStyle w:val="PageNumber"/>
      </w:rPr>
      <w:fldChar w:fldCharType="separate"/>
    </w:r>
    <w:r w:rsidR="004F1901">
      <w:rPr>
        <w:rStyle w:val="PageNumber"/>
        <w:noProof/>
      </w:rPr>
      <w:t>7</w:t>
    </w:r>
    <w:r>
      <w:rPr>
        <w:rStyle w:val="PageNumber"/>
      </w:rPr>
      <w:fldChar w:fldCharType="end"/>
    </w:r>
  </w:p>
  <w:p w:rsidR="00EF7B3B" w:rsidRDefault="00EF7B3B">
    <w:pPr>
      <w:framePr w:w="9360" w:h="274" w:hRule="exact" w:wrap="notBeside" w:vAnchor="page" w:hAnchor="text" w:y="14400"/>
      <w:widowControl w:val="0"/>
      <w:ind w:right="360" w:firstLine="360"/>
      <w:rPr>
        <w:vanish/>
      </w:rPr>
    </w:pPr>
  </w:p>
  <w:p w:rsidR="00EF7B3B" w:rsidRDefault="00EF7B3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F5" w:rsidRDefault="00206FF5">
      <w:r>
        <w:separator/>
      </w:r>
    </w:p>
  </w:footnote>
  <w:footnote w:type="continuationSeparator" w:id="0">
    <w:p w:rsidR="00206FF5" w:rsidRDefault="00206FF5">
      <w:r>
        <w:continuationSeparator/>
      </w:r>
    </w:p>
  </w:footnote>
  <w:footnote w:type="continuationNotice" w:id="1">
    <w:p w:rsidR="00206FF5" w:rsidRDefault="00206FF5"/>
  </w:footnote>
  <w:footnote w:id="2">
    <w:p w:rsidR="00EF7B3B" w:rsidRDefault="00EF7B3B">
      <w:pPr>
        <w:pStyle w:val="FootnoteText"/>
      </w:pPr>
      <w:r>
        <w:rPr>
          <w:rStyle w:val="FootnoteReference"/>
        </w:rPr>
        <w:footnoteRef/>
      </w:r>
      <w:r>
        <w:t xml:space="preserve"> </w:t>
      </w:r>
      <w:proofErr w:type="gramStart"/>
      <w:r>
        <w:t>NOAA – Fisheries Economics of the United States 2009.</w:t>
      </w:r>
      <w:proofErr w:type="gramEnd"/>
    </w:p>
  </w:footnote>
  <w:footnote w:id="3">
    <w:p w:rsidR="00ED604D" w:rsidRDefault="00ED604D">
      <w:pPr>
        <w:pStyle w:val="FootnoteText"/>
      </w:pPr>
      <w:r>
        <w:rPr>
          <w:rStyle w:val="FootnoteReference"/>
        </w:rPr>
        <w:footnoteRef/>
      </w:r>
      <w:r>
        <w:t xml:space="preserve"> </w:t>
      </w:r>
      <w:r w:rsidR="007D086D">
        <w:t>IMPLAN (</w:t>
      </w:r>
      <w:proofErr w:type="spellStart"/>
      <w:r>
        <w:t>IMpact</w:t>
      </w:r>
      <w:proofErr w:type="spellEnd"/>
      <w:r>
        <w:t xml:space="preserve"> analysis for </w:t>
      </w:r>
      <w:proofErr w:type="spellStart"/>
      <w:r>
        <w:t>PLAN</w:t>
      </w:r>
      <w:r w:rsidR="00244724">
        <w:t>n</w:t>
      </w:r>
      <w:r>
        <w:t>ing</w:t>
      </w:r>
      <w:proofErr w:type="spellEnd"/>
      <w:r w:rsidR="007D086D">
        <w:t>)</w:t>
      </w:r>
      <w:r>
        <w:t xml:space="preserve"> </w:t>
      </w:r>
      <w:r w:rsidR="007D086D">
        <w:t>is a data and software package designed to estimate local economic effects from regional economic activity.</w:t>
      </w:r>
    </w:p>
  </w:footnote>
  <w:footnote w:id="4">
    <w:p w:rsidR="00A23B88" w:rsidRDefault="00A23B88" w:rsidP="00A23B88">
      <w:pPr>
        <w:pStyle w:val="FootnoteText"/>
      </w:pPr>
      <w:r>
        <w:rPr>
          <w:rStyle w:val="FootnoteReference"/>
        </w:rPr>
        <w:footnoteRef/>
      </w:r>
      <w:r>
        <w:t xml:space="preserve"> In Oregon there is not such distinction, so such a comparison is not easily made. </w:t>
      </w:r>
    </w:p>
  </w:footnote>
  <w:footnote w:id="5">
    <w:p w:rsidR="00A23B88" w:rsidRPr="005F6241" w:rsidRDefault="00A23B88" w:rsidP="00A23B88">
      <w:pPr>
        <w:pStyle w:val="FootnoteText"/>
      </w:pPr>
      <w:r>
        <w:rPr>
          <w:rStyle w:val="FootnoteReference"/>
        </w:rPr>
        <w:footnoteRef/>
      </w:r>
      <w:r>
        <w:t xml:space="preserve"> </w:t>
      </w:r>
      <w:proofErr w:type="gramStart"/>
      <w:r>
        <w:t>See Pacific States Marine Fisheries Commission Washington and Oregon State average monthly marine fuel prices.</w:t>
      </w:r>
      <w:proofErr w:type="gramEnd"/>
      <w:r>
        <w:t xml:space="preserve"> </w:t>
      </w:r>
      <w:r w:rsidRPr="005F6241">
        <w:t>www.psmfc.org/efin/data/fuel.html</w:t>
      </w:r>
    </w:p>
  </w:footnote>
  <w:footnote w:id="6">
    <w:p w:rsidR="00EF7B3B" w:rsidRDefault="00EF7B3B" w:rsidP="00FC3BAF">
      <w:pPr>
        <w:pStyle w:val="FootnoteText"/>
      </w:pPr>
      <w:r>
        <w:rPr>
          <w:rStyle w:val="FootnoteReference"/>
        </w:rPr>
        <w:footnoteRef/>
      </w:r>
      <w:r>
        <w:t xml:space="preserve"> Hamilton, M. and S. Huffman, </w:t>
      </w:r>
      <w:r w:rsidRPr="00EF3CED">
        <w:rPr>
          <w:i/>
        </w:rPr>
        <w:t>Cost-Earnings Study of Hawaii’s Small Boat Fishery, 1995-1996</w:t>
      </w:r>
      <w:r>
        <w:t xml:space="preserve">, 104 </w:t>
      </w:r>
      <w:proofErr w:type="spellStart"/>
      <w:r>
        <w:t>pp</w:t>
      </w:r>
      <w:proofErr w:type="spellEnd"/>
      <w:r>
        <w:t>, University of Hawaii, Joint Institute for Marine and Atmospheric Research, 1000 Pope Road, Honolulu, HI 96822, 1997</w:t>
      </w:r>
    </w:p>
    <w:p w:rsidR="00EF7B3B" w:rsidRDefault="00EF7B3B" w:rsidP="00FC3BAF">
      <w:pPr>
        <w:pStyle w:val="FootnoteText"/>
      </w:pPr>
      <w:r>
        <w:t xml:space="preserve">Hospital, J., S. </w:t>
      </w:r>
      <w:proofErr w:type="spellStart"/>
      <w:r>
        <w:t>Scholey</w:t>
      </w:r>
      <w:proofErr w:type="spellEnd"/>
      <w:r>
        <w:t xml:space="preserve"> and M. Pan. 2011</w:t>
      </w:r>
      <w:r>
        <w:rPr>
          <w:i/>
        </w:rPr>
        <w:t xml:space="preserve">. </w:t>
      </w:r>
      <w:r w:rsidRPr="00EF3CED">
        <w:rPr>
          <w:i/>
        </w:rPr>
        <w:t>Economic and Soci</w:t>
      </w:r>
      <w:r>
        <w:rPr>
          <w:i/>
        </w:rPr>
        <w:t>al Characteristics of the Hawaii Smal</w:t>
      </w:r>
      <w:r w:rsidRPr="00EF3CED">
        <w:rPr>
          <w:i/>
        </w:rPr>
        <w:t>l Boat Pelagic Fishery</w:t>
      </w:r>
      <w:r>
        <w:t xml:space="preserve">. </w:t>
      </w:r>
      <w:proofErr w:type="gramStart"/>
      <w:r>
        <w:t>Pacific Islands Fisheries Science Center.</w:t>
      </w:r>
      <w:proofErr w:type="gramEnd"/>
      <w:r>
        <w:t xml:space="preserve"> </w:t>
      </w:r>
      <w:proofErr w:type="gramStart"/>
      <w:r>
        <w:t>Administrative Report H11-01.</w:t>
      </w:r>
      <w:proofErr w:type="gramEnd"/>
      <w:r>
        <w:t xml:space="preserve"> 78p.</w:t>
      </w:r>
    </w:p>
  </w:footnote>
  <w:footnote w:id="7">
    <w:p w:rsidR="00EF7B3B" w:rsidRDefault="00EF7B3B" w:rsidP="00784307">
      <w:pPr>
        <w:pStyle w:val="FootnoteText"/>
      </w:pPr>
      <w:r>
        <w:rPr>
          <w:rStyle w:val="FootnoteReference"/>
        </w:rPr>
        <w:footnoteRef/>
      </w:r>
      <w:proofErr w:type="gramStart"/>
      <w:r w:rsidRPr="0001536D">
        <w:rPr>
          <w:rStyle w:val="name"/>
        </w:rPr>
        <w:t>de</w:t>
      </w:r>
      <w:proofErr w:type="gramEnd"/>
      <w:r w:rsidRPr="0001536D">
        <w:rPr>
          <w:rStyle w:val="name"/>
        </w:rPr>
        <w:t xml:space="preserve"> </w:t>
      </w:r>
      <w:proofErr w:type="spellStart"/>
      <w:r w:rsidRPr="0001536D">
        <w:rPr>
          <w:rStyle w:val="name"/>
        </w:rPr>
        <w:t>Leeuw</w:t>
      </w:r>
      <w:proofErr w:type="spellEnd"/>
      <w:r>
        <w:t xml:space="preserve">, E., </w:t>
      </w:r>
      <w:r>
        <w:rPr>
          <w:rStyle w:val="name"/>
        </w:rPr>
        <w:t>J.</w:t>
      </w:r>
      <w:r w:rsidRPr="0001536D">
        <w:rPr>
          <w:rStyle w:val="name"/>
        </w:rPr>
        <w:t xml:space="preserve"> </w:t>
      </w:r>
      <w:proofErr w:type="spellStart"/>
      <w:r w:rsidRPr="0001536D">
        <w:rPr>
          <w:rStyle w:val="name"/>
        </w:rPr>
        <w:t>Hox</w:t>
      </w:r>
      <w:proofErr w:type="spellEnd"/>
      <w:r>
        <w:t xml:space="preserve"> and </w:t>
      </w:r>
      <w:r>
        <w:rPr>
          <w:rStyle w:val="name"/>
        </w:rPr>
        <w:t xml:space="preserve">D. </w:t>
      </w:r>
      <w:proofErr w:type="spellStart"/>
      <w:r w:rsidRPr="0001536D">
        <w:rPr>
          <w:rStyle w:val="name"/>
        </w:rPr>
        <w:t>Dillman</w:t>
      </w:r>
      <w:proofErr w:type="spellEnd"/>
      <w:r>
        <w:t xml:space="preserve">. 2008. </w:t>
      </w:r>
      <w:r>
        <w:rPr>
          <w:rStyle w:val="Emphasis"/>
        </w:rPr>
        <w:t>International Handbook of Survey Methodology</w:t>
      </w:r>
      <w:r>
        <w:t>. New York, NY: European Association of Methodology/Lawrence Erlbaum Associates.</w:t>
      </w:r>
    </w:p>
  </w:footnote>
  <w:footnote w:id="8">
    <w:p w:rsidR="00EF7B3B" w:rsidRDefault="00EF7B3B" w:rsidP="00EB4113">
      <w:pPr>
        <w:pStyle w:val="FootnoteText"/>
      </w:pPr>
      <w:r>
        <w:rPr>
          <w:rStyle w:val="FootnoteReference"/>
        </w:rPr>
        <w:footnoteRef/>
      </w:r>
      <w:r>
        <w:t xml:space="preserve"> </w:t>
      </w:r>
      <w:proofErr w:type="spellStart"/>
      <w:proofErr w:type="gramStart"/>
      <w:r>
        <w:t>Dillman</w:t>
      </w:r>
      <w:proofErr w:type="spellEnd"/>
      <w:r>
        <w:t xml:space="preserve"> et al. 2009.</w:t>
      </w:r>
      <w:proofErr w:type="gramEnd"/>
      <w:r>
        <w:t xml:space="preserve"> Response rate and measurement difference in mixed-mode surveys using mail, telephone, interactive voice response (IVR) and the Internet. Social Science Research (38) 1-18.</w:t>
      </w:r>
    </w:p>
  </w:footnote>
  <w:footnote w:id="9">
    <w:p w:rsidR="00EE2413" w:rsidRDefault="00EE2413">
      <w:pPr>
        <w:pStyle w:val="FootnoteText"/>
      </w:pPr>
      <w:r>
        <w:rPr>
          <w:rStyle w:val="FootnoteReference"/>
        </w:rPr>
        <w:footnoteRef/>
      </w:r>
      <w:r>
        <w:t xml:space="preserve"> Percent confidence was calculated using equations adapted from </w:t>
      </w:r>
      <w:proofErr w:type="spellStart"/>
      <w:r>
        <w:t>Dillman</w:t>
      </w:r>
      <w:proofErr w:type="spellEnd"/>
      <w:r>
        <w:t>, D.A., J.D. Smyth and L.M. Christian. 2009</w:t>
      </w:r>
      <w:r w:rsidRPr="002C2543">
        <w:rPr>
          <w:i/>
        </w:rPr>
        <w:t>. Internet, Mail, and Mixed-Mode Surveys: The Tailored Design Method</w:t>
      </w:r>
      <w:r>
        <w:t>. Hoboken, New Jersey: John Wiley &amp; Sons, Inc.</w:t>
      </w:r>
    </w:p>
  </w:footnote>
  <w:footnote w:id="10">
    <w:p w:rsidR="00EF7B3B" w:rsidRPr="000831E5" w:rsidRDefault="00EF7B3B">
      <w:pPr>
        <w:pStyle w:val="FootnoteText"/>
      </w:pPr>
      <w:r w:rsidRPr="000831E5">
        <w:rPr>
          <w:rStyle w:val="FootnoteReference"/>
        </w:rPr>
        <w:footnoteRef/>
      </w:r>
      <w:r w:rsidRPr="000831E5">
        <w:t xml:space="preserve"> Lian, C. 2012. West Coast open access groundfish and salmon troller survey: Protocol and results for 2005 and 2006. U.S. Dept. of Commerce, NOAA Tech. Memo., NMFS-NWFSC-116, 52 p</w:t>
      </w:r>
    </w:p>
  </w:footnote>
  <w:footnote w:id="11">
    <w:p w:rsidR="00EF7B3B" w:rsidRDefault="00EF7B3B">
      <w:pPr>
        <w:pStyle w:val="FootnoteText"/>
      </w:pPr>
      <w:r>
        <w:rPr>
          <w:rStyle w:val="FootnoteReference"/>
        </w:rPr>
        <w:footnoteRef/>
      </w:r>
      <w:r>
        <w:t xml:space="preserve"> </w:t>
      </w:r>
      <w:proofErr w:type="spellStart"/>
      <w:proofErr w:type="gramStart"/>
      <w:r>
        <w:t>QuanTech</w:t>
      </w:r>
      <w:proofErr w:type="spellEnd"/>
      <w:r>
        <w:t xml:space="preserve"> and </w:t>
      </w:r>
      <w:proofErr w:type="spellStart"/>
      <w:r>
        <w:t>Gentner</w:t>
      </w:r>
      <w:proofErr w:type="spellEnd"/>
      <w:r>
        <w:t>.</w:t>
      </w:r>
      <w:proofErr w:type="gramEnd"/>
      <w:r>
        <w:t xml:space="preserve"> 2011. Recreational For-Hire Economic Survey for the Mid-Atlantic and New England: Summarization and Results Report of Total In-Person Interviews Completed by Stratified Region.</w:t>
      </w:r>
    </w:p>
  </w:footnote>
  <w:footnote w:id="12">
    <w:p w:rsidR="00C645B6" w:rsidRDefault="00C645B6" w:rsidP="00C645B6">
      <w:pPr>
        <w:pStyle w:val="FootnoteText"/>
      </w:pPr>
      <w:r>
        <w:rPr>
          <w:rStyle w:val="FootnoteReference"/>
        </w:rPr>
        <w:footnoteRef/>
      </w:r>
      <w:r>
        <w:t xml:space="preserve"> </w:t>
      </w:r>
      <w:proofErr w:type="spellStart"/>
      <w:proofErr w:type="gramStart"/>
      <w:r>
        <w:t>Hanan</w:t>
      </w:r>
      <w:proofErr w:type="spellEnd"/>
      <w:r>
        <w:t xml:space="preserve">, Doyle and Zachary </w:t>
      </w:r>
      <w:proofErr w:type="spellStart"/>
      <w:r>
        <w:t>Hanan</w:t>
      </w:r>
      <w:proofErr w:type="spellEnd"/>
      <w:r>
        <w:t>.</w:t>
      </w:r>
      <w:proofErr w:type="gramEnd"/>
      <w:r>
        <w:t xml:space="preserve"> 2012. West Coast Charter Boat Cost-Earning Pilot Survey for FY 2011. NOAA commissioned pilot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EF7B3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EF7B3B">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3B" w:rsidRDefault="00EF7B3B" w:rsidP="00F43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01A"/>
    <w:multiLevelType w:val="hybridMultilevel"/>
    <w:tmpl w:val="4D46E462"/>
    <w:lvl w:ilvl="0" w:tplc="39CC9652">
      <w:start w:val="4"/>
      <w:numFmt w:val="bullet"/>
      <w:lvlText w:val=""/>
      <w:lvlJc w:val="left"/>
      <w:pPr>
        <w:tabs>
          <w:tab w:val="num" w:pos="1080"/>
        </w:tabs>
        <w:ind w:left="1080" w:hanging="360"/>
      </w:pPr>
      <w:rPr>
        <w:rFonts w:ascii="Wingdings" w:eastAsia="Times New Roman" w:hAnsi="Wingdings" w:cs="Times-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2B67364"/>
    <w:multiLevelType w:val="hybridMultilevel"/>
    <w:tmpl w:val="245E94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363873"/>
    <w:multiLevelType w:val="hybridMultilevel"/>
    <w:tmpl w:val="7DF8F3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2166B6"/>
    <w:multiLevelType w:val="hybridMultilevel"/>
    <w:tmpl w:val="A6F0CB66"/>
    <w:lvl w:ilvl="0" w:tplc="B11C237C">
      <w:start w:val="3"/>
      <w:numFmt w:val="bullet"/>
      <w:lvlText w:val=""/>
      <w:lvlJc w:val="left"/>
      <w:pPr>
        <w:tabs>
          <w:tab w:val="num" w:pos="1080"/>
        </w:tabs>
        <w:ind w:left="1080" w:hanging="360"/>
      </w:pPr>
      <w:rPr>
        <w:rFonts w:ascii="Wingdings" w:eastAsia="Times New Roman" w:hAnsi="Wingdings" w:cs="Times-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347CDF"/>
    <w:multiLevelType w:val="hybridMultilevel"/>
    <w:tmpl w:val="7E40BA32"/>
    <w:lvl w:ilvl="0" w:tplc="A8961C78">
      <w:numFmt w:val="bullet"/>
      <w:lvlText w:val=""/>
      <w:lvlJc w:val="left"/>
      <w:pPr>
        <w:ind w:left="0" w:hanging="36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B7659F7"/>
    <w:multiLevelType w:val="hybridMultilevel"/>
    <w:tmpl w:val="431A98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1F662B"/>
    <w:multiLevelType w:val="hybridMultilevel"/>
    <w:tmpl w:val="73B0927E"/>
    <w:lvl w:ilvl="0" w:tplc="2C0E6F40">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A029452">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5546611"/>
    <w:multiLevelType w:val="hybridMultilevel"/>
    <w:tmpl w:val="B86C85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03B7B"/>
    <w:multiLevelType w:val="hybridMultilevel"/>
    <w:tmpl w:val="1AE88D02"/>
    <w:lvl w:ilvl="0" w:tplc="3858D7B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4A0B4247"/>
    <w:multiLevelType w:val="multilevel"/>
    <w:tmpl w:val="AB2A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151065"/>
    <w:multiLevelType w:val="hybridMultilevel"/>
    <w:tmpl w:val="353485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697693"/>
    <w:multiLevelType w:val="hybridMultilevel"/>
    <w:tmpl w:val="88B63B92"/>
    <w:lvl w:ilvl="0" w:tplc="66927F00">
      <w:start w:val="1"/>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C67696"/>
    <w:multiLevelType w:val="hybridMultilevel"/>
    <w:tmpl w:val="5CF00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1368DA"/>
    <w:multiLevelType w:val="hybridMultilevel"/>
    <w:tmpl w:val="96EC72C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B92EF1"/>
    <w:multiLevelType w:val="hybridMultilevel"/>
    <w:tmpl w:val="B42EE6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DB0894"/>
    <w:multiLevelType w:val="hybridMultilevel"/>
    <w:tmpl w:val="859C4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00546"/>
    <w:multiLevelType w:val="hybridMultilevel"/>
    <w:tmpl w:val="07AEF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3"/>
  </w:num>
  <w:num w:numId="4">
    <w:abstractNumId w:val="0"/>
  </w:num>
  <w:num w:numId="5">
    <w:abstractNumId w:val="6"/>
  </w:num>
  <w:num w:numId="6">
    <w:abstractNumId w:val="1"/>
  </w:num>
  <w:num w:numId="7">
    <w:abstractNumId w:val="14"/>
  </w:num>
  <w:num w:numId="8">
    <w:abstractNumId w:val="5"/>
  </w:num>
  <w:num w:numId="9">
    <w:abstractNumId w:val="2"/>
  </w:num>
  <w:num w:numId="10">
    <w:abstractNumId w:val="8"/>
  </w:num>
  <w:num w:numId="11">
    <w:abstractNumId w:val="15"/>
  </w:num>
  <w:num w:numId="12">
    <w:abstractNumId w:val="12"/>
  </w:num>
  <w:num w:numId="13">
    <w:abstractNumId w:val="13"/>
  </w:num>
  <w:num w:numId="14">
    <w:abstractNumId w:val="10"/>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useFELayout/>
    <w:compatSetting w:name="compatibilityMode" w:uri="http://schemas.microsoft.com/office/word" w:val="12"/>
  </w:compat>
  <w:rsids>
    <w:rsidRoot w:val="00D65F8F"/>
    <w:rsid w:val="00000D3A"/>
    <w:rsid w:val="000040DD"/>
    <w:rsid w:val="000064B8"/>
    <w:rsid w:val="00012569"/>
    <w:rsid w:val="0001536D"/>
    <w:rsid w:val="00017F4A"/>
    <w:rsid w:val="00020D42"/>
    <w:rsid w:val="000238DE"/>
    <w:rsid w:val="00027BFC"/>
    <w:rsid w:val="000431B8"/>
    <w:rsid w:val="00043CD1"/>
    <w:rsid w:val="00045AFD"/>
    <w:rsid w:val="0005003F"/>
    <w:rsid w:val="00050834"/>
    <w:rsid w:val="00054295"/>
    <w:rsid w:val="00054D27"/>
    <w:rsid w:val="00054F39"/>
    <w:rsid w:val="00056D25"/>
    <w:rsid w:val="00062DE2"/>
    <w:rsid w:val="00063D73"/>
    <w:rsid w:val="000662A6"/>
    <w:rsid w:val="00066D8F"/>
    <w:rsid w:val="00071B0C"/>
    <w:rsid w:val="000831E5"/>
    <w:rsid w:val="00085EDB"/>
    <w:rsid w:val="00086845"/>
    <w:rsid w:val="00086C6E"/>
    <w:rsid w:val="000953C8"/>
    <w:rsid w:val="0009563E"/>
    <w:rsid w:val="000A0563"/>
    <w:rsid w:val="000A25A3"/>
    <w:rsid w:val="000A3D16"/>
    <w:rsid w:val="000A60A4"/>
    <w:rsid w:val="000B02D4"/>
    <w:rsid w:val="000B1933"/>
    <w:rsid w:val="000B67E4"/>
    <w:rsid w:val="000B749A"/>
    <w:rsid w:val="000C1353"/>
    <w:rsid w:val="000C1E4A"/>
    <w:rsid w:val="000C7224"/>
    <w:rsid w:val="000D2336"/>
    <w:rsid w:val="000D3362"/>
    <w:rsid w:val="000D64D3"/>
    <w:rsid w:val="000E0549"/>
    <w:rsid w:val="000E079F"/>
    <w:rsid w:val="000E224F"/>
    <w:rsid w:val="000E2A24"/>
    <w:rsid w:val="000E3819"/>
    <w:rsid w:val="000E3AC4"/>
    <w:rsid w:val="000E5691"/>
    <w:rsid w:val="000F50BF"/>
    <w:rsid w:val="000F72EC"/>
    <w:rsid w:val="00103FD7"/>
    <w:rsid w:val="00111934"/>
    <w:rsid w:val="00111AD4"/>
    <w:rsid w:val="00112120"/>
    <w:rsid w:val="00113DBC"/>
    <w:rsid w:val="00117F53"/>
    <w:rsid w:val="00120945"/>
    <w:rsid w:val="001314CE"/>
    <w:rsid w:val="00131661"/>
    <w:rsid w:val="001334F2"/>
    <w:rsid w:val="001368F2"/>
    <w:rsid w:val="0013696F"/>
    <w:rsid w:val="00145D47"/>
    <w:rsid w:val="001520C2"/>
    <w:rsid w:val="00155F9A"/>
    <w:rsid w:val="0016122C"/>
    <w:rsid w:val="0016145D"/>
    <w:rsid w:val="00166360"/>
    <w:rsid w:val="00167202"/>
    <w:rsid w:val="0016765D"/>
    <w:rsid w:val="00167B52"/>
    <w:rsid w:val="001716D2"/>
    <w:rsid w:val="00175CC5"/>
    <w:rsid w:val="0017697F"/>
    <w:rsid w:val="0017773D"/>
    <w:rsid w:val="001801B3"/>
    <w:rsid w:val="00182CDF"/>
    <w:rsid w:val="00190D2D"/>
    <w:rsid w:val="001932E0"/>
    <w:rsid w:val="00193E62"/>
    <w:rsid w:val="001A0311"/>
    <w:rsid w:val="001A1C77"/>
    <w:rsid w:val="001A37D6"/>
    <w:rsid w:val="001A6B91"/>
    <w:rsid w:val="001B0660"/>
    <w:rsid w:val="001C07F1"/>
    <w:rsid w:val="001C3A26"/>
    <w:rsid w:val="001C5D0F"/>
    <w:rsid w:val="001C6C0C"/>
    <w:rsid w:val="001D6104"/>
    <w:rsid w:val="001E521A"/>
    <w:rsid w:val="001F01DB"/>
    <w:rsid w:val="00200BA6"/>
    <w:rsid w:val="002028FD"/>
    <w:rsid w:val="00202C2A"/>
    <w:rsid w:val="00206FF5"/>
    <w:rsid w:val="00207B52"/>
    <w:rsid w:val="0021015C"/>
    <w:rsid w:val="00213146"/>
    <w:rsid w:val="0021526A"/>
    <w:rsid w:val="00221E53"/>
    <w:rsid w:val="00223267"/>
    <w:rsid w:val="00223629"/>
    <w:rsid w:val="0022762F"/>
    <w:rsid w:val="00235079"/>
    <w:rsid w:val="00241A7C"/>
    <w:rsid w:val="00241B9E"/>
    <w:rsid w:val="00241FA2"/>
    <w:rsid w:val="002439B7"/>
    <w:rsid w:val="00244724"/>
    <w:rsid w:val="00247C19"/>
    <w:rsid w:val="00250849"/>
    <w:rsid w:val="00256E3C"/>
    <w:rsid w:val="00257BAF"/>
    <w:rsid w:val="0026082C"/>
    <w:rsid w:val="002611AF"/>
    <w:rsid w:val="0026207C"/>
    <w:rsid w:val="00264344"/>
    <w:rsid w:val="00267BA5"/>
    <w:rsid w:val="0027167D"/>
    <w:rsid w:val="00275E4D"/>
    <w:rsid w:val="0027714B"/>
    <w:rsid w:val="00277B37"/>
    <w:rsid w:val="00281327"/>
    <w:rsid w:val="002819DA"/>
    <w:rsid w:val="002836C8"/>
    <w:rsid w:val="002837CA"/>
    <w:rsid w:val="00283881"/>
    <w:rsid w:val="00284F2F"/>
    <w:rsid w:val="00285ACB"/>
    <w:rsid w:val="00287DCB"/>
    <w:rsid w:val="00290DE2"/>
    <w:rsid w:val="002911FB"/>
    <w:rsid w:val="00291736"/>
    <w:rsid w:val="0029783D"/>
    <w:rsid w:val="002A2613"/>
    <w:rsid w:val="002A5222"/>
    <w:rsid w:val="002B11C5"/>
    <w:rsid w:val="002B3F77"/>
    <w:rsid w:val="002B4125"/>
    <w:rsid w:val="002C0E88"/>
    <w:rsid w:val="002C2543"/>
    <w:rsid w:val="002C37C5"/>
    <w:rsid w:val="002C3C67"/>
    <w:rsid w:val="002C456F"/>
    <w:rsid w:val="002D22C5"/>
    <w:rsid w:val="002D3695"/>
    <w:rsid w:val="002D63C3"/>
    <w:rsid w:val="002E258B"/>
    <w:rsid w:val="002E5C31"/>
    <w:rsid w:val="002E6B1F"/>
    <w:rsid w:val="00302BBA"/>
    <w:rsid w:val="00303156"/>
    <w:rsid w:val="00303D90"/>
    <w:rsid w:val="003058C6"/>
    <w:rsid w:val="00306902"/>
    <w:rsid w:val="00307002"/>
    <w:rsid w:val="00311C72"/>
    <w:rsid w:val="00315990"/>
    <w:rsid w:val="00315A8D"/>
    <w:rsid w:val="00317C76"/>
    <w:rsid w:val="00320D43"/>
    <w:rsid w:val="00320D94"/>
    <w:rsid w:val="00324203"/>
    <w:rsid w:val="00324737"/>
    <w:rsid w:val="00324A06"/>
    <w:rsid w:val="00326D77"/>
    <w:rsid w:val="003272C1"/>
    <w:rsid w:val="00332DD6"/>
    <w:rsid w:val="00336D2D"/>
    <w:rsid w:val="003372E1"/>
    <w:rsid w:val="00340686"/>
    <w:rsid w:val="003439FF"/>
    <w:rsid w:val="0034457E"/>
    <w:rsid w:val="003502C7"/>
    <w:rsid w:val="003524D2"/>
    <w:rsid w:val="00362EBE"/>
    <w:rsid w:val="003667BE"/>
    <w:rsid w:val="00370655"/>
    <w:rsid w:val="00374A13"/>
    <w:rsid w:val="00374FEF"/>
    <w:rsid w:val="0037769F"/>
    <w:rsid w:val="0038715C"/>
    <w:rsid w:val="003908B2"/>
    <w:rsid w:val="0039153D"/>
    <w:rsid w:val="003A060B"/>
    <w:rsid w:val="003A5B2C"/>
    <w:rsid w:val="003B0CBA"/>
    <w:rsid w:val="003B2B31"/>
    <w:rsid w:val="003B5F2B"/>
    <w:rsid w:val="003C5F52"/>
    <w:rsid w:val="003C742E"/>
    <w:rsid w:val="003D462B"/>
    <w:rsid w:val="003D61FF"/>
    <w:rsid w:val="003E2DA1"/>
    <w:rsid w:val="003E2E94"/>
    <w:rsid w:val="003E4AEF"/>
    <w:rsid w:val="003E5947"/>
    <w:rsid w:val="003F11BC"/>
    <w:rsid w:val="003F310D"/>
    <w:rsid w:val="003F56C1"/>
    <w:rsid w:val="003F6B8E"/>
    <w:rsid w:val="00401B68"/>
    <w:rsid w:val="004036FD"/>
    <w:rsid w:val="004039F0"/>
    <w:rsid w:val="00410AA7"/>
    <w:rsid w:val="0041322A"/>
    <w:rsid w:val="0042272E"/>
    <w:rsid w:val="00422F14"/>
    <w:rsid w:val="004253C9"/>
    <w:rsid w:val="004277B3"/>
    <w:rsid w:val="004277EC"/>
    <w:rsid w:val="004354EC"/>
    <w:rsid w:val="00441504"/>
    <w:rsid w:val="00443743"/>
    <w:rsid w:val="0044560B"/>
    <w:rsid w:val="004469AB"/>
    <w:rsid w:val="00447190"/>
    <w:rsid w:val="00456B3F"/>
    <w:rsid w:val="004619B5"/>
    <w:rsid w:val="00461A16"/>
    <w:rsid w:val="00462A06"/>
    <w:rsid w:val="00462EFA"/>
    <w:rsid w:val="00463016"/>
    <w:rsid w:val="00470432"/>
    <w:rsid w:val="00477D29"/>
    <w:rsid w:val="004801A0"/>
    <w:rsid w:val="00483C6B"/>
    <w:rsid w:val="00486726"/>
    <w:rsid w:val="004903D7"/>
    <w:rsid w:val="00492337"/>
    <w:rsid w:val="00495BC2"/>
    <w:rsid w:val="004A13B0"/>
    <w:rsid w:val="004A1E9F"/>
    <w:rsid w:val="004A37F0"/>
    <w:rsid w:val="004A4F82"/>
    <w:rsid w:val="004B2083"/>
    <w:rsid w:val="004B3A6A"/>
    <w:rsid w:val="004B43A7"/>
    <w:rsid w:val="004B5491"/>
    <w:rsid w:val="004B6FFA"/>
    <w:rsid w:val="004C3C6F"/>
    <w:rsid w:val="004C6065"/>
    <w:rsid w:val="004C6E12"/>
    <w:rsid w:val="004C7C18"/>
    <w:rsid w:val="004E517C"/>
    <w:rsid w:val="004F0285"/>
    <w:rsid w:val="004F1901"/>
    <w:rsid w:val="004F2A1A"/>
    <w:rsid w:val="004F2BD7"/>
    <w:rsid w:val="004F3EE0"/>
    <w:rsid w:val="004F5516"/>
    <w:rsid w:val="004F7923"/>
    <w:rsid w:val="0050364E"/>
    <w:rsid w:val="005057A8"/>
    <w:rsid w:val="005059F8"/>
    <w:rsid w:val="005062B1"/>
    <w:rsid w:val="00510151"/>
    <w:rsid w:val="00514DDD"/>
    <w:rsid w:val="00520830"/>
    <w:rsid w:val="00520D13"/>
    <w:rsid w:val="0052311D"/>
    <w:rsid w:val="005258E7"/>
    <w:rsid w:val="0052712C"/>
    <w:rsid w:val="00531A6A"/>
    <w:rsid w:val="00535967"/>
    <w:rsid w:val="005366B1"/>
    <w:rsid w:val="00540682"/>
    <w:rsid w:val="00541287"/>
    <w:rsid w:val="00541D2E"/>
    <w:rsid w:val="00546B04"/>
    <w:rsid w:val="00551652"/>
    <w:rsid w:val="00552B78"/>
    <w:rsid w:val="005621E0"/>
    <w:rsid w:val="0056466F"/>
    <w:rsid w:val="00571727"/>
    <w:rsid w:val="0057629C"/>
    <w:rsid w:val="00591284"/>
    <w:rsid w:val="00592DFD"/>
    <w:rsid w:val="00595D2A"/>
    <w:rsid w:val="005A43AD"/>
    <w:rsid w:val="005A75AC"/>
    <w:rsid w:val="005C02DE"/>
    <w:rsid w:val="005C17A6"/>
    <w:rsid w:val="005C3EB6"/>
    <w:rsid w:val="005C76D9"/>
    <w:rsid w:val="005C7C1B"/>
    <w:rsid w:val="005D18FC"/>
    <w:rsid w:val="005D245B"/>
    <w:rsid w:val="005D26E7"/>
    <w:rsid w:val="005D28CB"/>
    <w:rsid w:val="005D3784"/>
    <w:rsid w:val="005D3A2A"/>
    <w:rsid w:val="005E0285"/>
    <w:rsid w:val="005E4485"/>
    <w:rsid w:val="005E6167"/>
    <w:rsid w:val="005F2969"/>
    <w:rsid w:val="005F3B10"/>
    <w:rsid w:val="00601C42"/>
    <w:rsid w:val="00605E33"/>
    <w:rsid w:val="00611634"/>
    <w:rsid w:val="00611FD1"/>
    <w:rsid w:val="00612C50"/>
    <w:rsid w:val="006146DD"/>
    <w:rsid w:val="00620917"/>
    <w:rsid w:val="006226A2"/>
    <w:rsid w:val="00623F4F"/>
    <w:rsid w:val="006257BF"/>
    <w:rsid w:val="0062657D"/>
    <w:rsid w:val="00631084"/>
    <w:rsid w:val="006326CC"/>
    <w:rsid w:val="00633250"/>
    <w:rsid w:val="00633699"/>
    <w:rsid w:val="00636296"/>
    <w:rsid w:val="00636F57"/>
    <w:rsid w:val="00640C50"/>
    <w:rsid w:val="0064673E"/>
    <w:rsid w:val="00647023"/>
    <w:rsid w:val="00650A0B"/>
    <w:rsid w:val="006555FF"/>
    <w:rsid w:val="00655EC6"/>
    <w:rsid w:val="0065702F"/>
    <w:rsid w:val="006600AF"/>
    <w:rsid w:val="00661C70"/>
    <w:rsid w:val="00662CCA"/>
    <w:rsid w:val="006635D9"/>
    <w:rsid w:val="006654C1"/>
    <w:rsid w:val="0067470F"/>
    <w:rsid w:val="00676C51"/>
    <w:rsid w:val="006775BF"/>
    <w:rsid w:val="0068395F"/>
    <w:rsid w:val="0068613F"/>
    <w:rsid w:val="00692BA6"/>
    <w:rsid w:val="00692C56"/>
    <w:rsid w:val="0069419C"/>
    <w:rsid w:val="00695D3B"/>
    <w:rsid w:val="00696678"/>
    <w:rsid w:val="00696B53"/>
    <w:rsid w:val="006A373B"/>
    <w:rsid w:val="006A4FD0"/>
    <w:rsid w:val="006A5379"/>
    <w:rsid w:val="006A7070"/>
    <w:rsid w:val="006A74EA"/>
    <w:rsid w:val="006C3EB5"/>
    <w:rsid w:val="006D1E10"/>
    <w:rsid w:val="006E36B2"/>
    <w:rsid w:val="006E39A9"/>
    <w:rsid w:val="006E51EC"/>
    <w:rsid w:val="006E603A"/>
    <w:rsid w:val="006F30DF"/>
    <w:rsid w:val="006F5657"/>
    <w:rsid w:val="006F7127"/>
    <w:rsid w:val="007028BD"/>
    <w:rsid w:val="00705CFD"/>
    <w:rsid w:val="007071C5"/>
    <w:rsid w:val="00716682"/>
    <w:rsid w:val="00716FB6"/>
    <w:rsid w:val="00721510"/>
    <w:rsid w:val="00722FA2"/>
    <w:rsid w:val="007241E3"/>
    <w:rsid w:val="00734F91"/>
    <w:rsid w:val="007353BB"/>
    <w:rsid w:val="007375CF"/>
    <w:rsid w:val="0074224D"/>
    <w:rsid w:val="007436C3"/>
    <w:rsid w:val="00744216"/>
    <w:rsid w:val="007460DD"/>
    <w:rsid w:val="007466C4"/>
    <w:rsid w:val="00751AC1"/>
    <w:rsid w:val="00753D93"/>
    <w:rsid w:val="00756A55"/>
    <w:rsid w:val="0076084F"/>
    <w:rsid w:val="00761266"/>
    <w:rsid w:val="00770141"/>
    <w:rsid w:val="007810AE"/>
    <w:rsid w:val="00783982"/>
    <w:rsid w:val="00784307"/>
    <w:rsid w:val="007867EA"/>
    <w:rsid w:val="00786C40"/>
    <w:rsid w:val="00795094"/>
    <w:rsid w:val="00796EA8"/>
    <w:rsid w:val="0079708F"/>
    <w:rsid w:val="007972EE"/>
    <w:rsid w:val="007A165B"/>
    <w:rsid w:val="007A3AEF"/>
    <w:rsid w:val="007A42A9"/>
    <w:rsid w:val="007B1A25"/>
    <w:rsid w:val="007C05B3"/>
    <w:rsid w:val="007C576E"/>
    <w:rsid w:val="007D086D"/>
    <w:rsid w:val="007D2BE5"/>
    <w:rsid w:val="007D300E"/>
    <w:rsid w:val="007D38AB"/>
    <w:rsid w:val="007E0181"/>
    <w:rsid w:val="007E1612"/>
    <w:rsid w:val="007E19B9"/>
    <w:rsid w:val="007E2D46"/>
    <w:rsid w:val="007E4527"/>
    <w:rsid w:val="007E4751"/>
    <w:rsid w:val="007E4A90"/>
    <w:rsid w:val="007F1C29"/>
    <w:rsid w:val="007F3530"/>
    <w:rsid w:val="00801C83"/>
    <w:rsid w:val="00803384"/>
    <w:rsid w:val="00806703"/>
    <w:rsid w:val="008069AC"/>
    <w:rsid w:val="00815F7E"/>
    <w:rsid w:val="0081769B"/>
    <w:rsid w:val="00817EBC"/>
    <w:rsid w:val="008257D2"/>
    <w:rsid w:val="00826E1E"/>
    <w:rsid w:val="00830A50"/>
    <w:rsid w:val="00830E5E"/>
    <w:rsid w:val="00835392"/>
    <w:rsid w:val="0084245E"/>
    <w:rsid w:val="00842C8E"/>
    <w:rsid w:val="00842E88"/>
    <w:rsid w:val="00843286"/>
    <w:rsid w:val="00844BB1"/>
    <w:rsid w:val="00851505"/>
    <w:rsid w:val="00853823"/>
    <w:rsid w:val="00860286"/>
    <w:rsid w:val="00862BE0"/>
    <w:rsid w:val="008641FD"/>
    <w:rsid w:val="0088051E"/>
    <w:rsid w:val="00881325"/>
    <w:rsid w:val="0088184A"/>
    <w:rsid w:val="008828E1"/>
    <w:rsid w:val="00882BCA"/>
    <w:rsid w:val="00890360"/>
    <w:rsid w:val="0089069B"/>
    <w:rsid w:val="00892FE4"/>
    <w:rsid w:val="0089767D"/>
    <w:rsid w:val="008A57E5"/>
    <w:rsid w:val="008A6925"/>
    <w:rsid w:val="008B0A8E"/>
    <w:rsid w:val="008B1A3A"/>
    <w:rsid w:val="008B1F45"/>
    <w:rsid w:val="008C356C"/>
    <w:rsid w:val="008C3B79"/>
    <w:rsid w:val="008C766A"/>
    <w:rsid w:val="008D21AB"/>
    <w:rsid w:val="008D26FF"/>
    <w:rsid w:val="008E2274"/>
    <w:rsid w:val="008E44F4"/>
    <w:rsid w:val="008F36E9"/>
    <w:rsid w:val="008F7FEB"/>
    <w:rsid w:val="00906420"/>
    <w:rsid w:val="009131F6"/>
    <w:rsid w:val="0091768B"/>
    <w:rsid w:val="00924DF5"/>
    <w:rsid w:val="00926126"/>
    <w:rsid w:val="0093078C"/>
    <w:rsid w:val="009332E4"/>
    <w:rsid w:val="009334A7"/>
    <w:rsid w:val="00933935"/>
    <w:rsid w:val="009342E7"/>
    <w:rsid w:val="009437B3"/>
    <w:rsid w:val="009463B8"/>
    <w:rsid w:val="00946D6D"/>
    <w:rsid w:val="009510D9"/>
    <w:rsid w:val="00953B6E"/>
    <w:rsid w:val="00954893"/>
    <w:rsid w:val="00957F6B"/>
    <w:rsid w:val="00960E1F"/>
    <w:rsid w:val="00962240"/>
    <w:rsid w:val="00967ED6"/>
    <w:rsid w:val="00970426"/>
    <w:rsid w:val="0097302C"/>
    <w:rsid w:val="0098335B"/>
    <w:rsid w:val="00985A65"/>
    <w:rsid w:val="00987AAA"/>
    <w:rsid w:val="00990198"/>
    <w:rsid w:val="009A1C50"/>
    <w:rsid w:val="009A374E"/>
    <w:rsid w:val="009A3DFF"/>
    <w:rsid w:val="009A3E30"/>
    <w:rsid w:val="009A5690"/>
    <w:rsid w:val="009A6ADC"/>
    <w:rsid w:val="009A75AB"/>
    <w:rsid w:val="009B7041"/>
    <w:rsid w:val="009C506C"/>
    <w:rsid w:val="009C585F"/>
    <w:rsid w:val="009D1387"/>
    <w:rsid w:val="009D1DDC"/>
    <w:rsid w:val="009D29CC"/>
    <w:rsid w:val="009D3169"/>
    <w:rsid w:val="009D52CD"/>
    <w:rsid w:val="009E31E1"/>
    <w:rsid w:val="009E4F77"/>
    <w:rsid w:val="009F74A2"/>
    <w:rsid w:val="009F7564"/>
    <w:rsid w:val="009F769A"/>
    <w:rsid w:val="00A02200"/>
    <w:rsid w:val="00A02A3C"/>
    <w:rsid w:val="00A05256"/>
    <w:rsid w:val="00A120F4"/>
    <w:rsid w:val="00A13F4D"/>
    <w:rsid w:val="00A15FD4"/>
    <w:rsid w:val="00A17FD8"/>
    <w:rsid w:val="00A218A1"/>
    <w:rsid w:val="00A23470"/>
    <w:rsid w:val="00A23B88"/>
    <w:rsid w:val="00A306A6"/>
    <w:rsid w:val="00A3220D"/>
    <w:rsid w:val="00A33E47"/>
    <w:rsid w:val="00A45030"/>
    <w:rsid w:val="00A57BCF"/>
    <w:rsid w:val="00A63828"/>
    <w:rsid w:val="00A648BE"/>
    <w:rsid w:val="00A71B1B"/>
    <w:rsid w:val="00A72735"/>
    <w:rsid w:val="00A76AC8"/>
    <w:rsid w:val="00A77B9C"/>
    <w:rsid w:val="00A856E5"/>
    <w:rsid w:val="00A87C5F"/>
    <w:rsid w:val="00A91759"/>
    <w:rsid w:val="00A93CA8"/>
    <w:rsid w:val="00A96B76"/>
    <w:rsid w:val="00AB1491"/>
    <w:rsid w:val="00AB6E96"/>
    <w:rsid w:val="00AC1294"/>
    <w:rsid w:val="00AC1B9F"/>
    <w:rsid w:val="00AC5C8F"/>
    <w:rsid w:val="00AC6AE4"/>
    <w:rsid w:val="00AC70CB"/>
    <w:rsid w:val="00AD63F3"/>
    <w:rsid w:val="00AE0A94"/>
    <w:rsid w:val="00AE22A6"/>
    <w:rsid w:val="00AE321D"/>
    <w:rsid w:val="00AF07BE"/>
    <w:rsid w:val="00AF76C3"/>
    <w:rsid w:val="00B014D2"/>
    <w:rsid w:val="00B023EA"/>
    <w:rsid w:val="00B16B97"/>
    <w:rsid w:val="00B211BB"/>
    <w:rsid w:val="00B237C2"/>
    <w:rsid w:val="00B23DD3"/>
    <w:rsid w:val="00B24702"/>
    <w:rsid w:val="00B35A1F"/>
    <w:rsid w:val="00B36C1D"/>
    <w:rsid w:val="00B40EBF"/>
    <w:rsid w:val="00B43E8E"/>
    <w:rsid w:val="00B51BAA"/>
    <w:rsid w:val="00B53238"/>
    <w:rsid w:val="00B65A77"/>
    <w:rsid w:val="00B65A9A"/>
    <w:rsid w:val="00B7196D"/>
    <w:rsid w:val="00B72023"/>
    <w:rsid w:val="00B77257"/>
    <w:rsid w:val="00B80795"/>
    <w:rsid w:val="00B842E9"/>
    <w:rsid w:val="00B86B69"/>
    <w:rsid w:val="00B87950"/>
    <w:rsid w:val="00B90435"/>
    <w:rsid w:val="00B95FFE"/>
    <w:rsid w:val="00B9698B"/>
    <w:rsid w:val="00BA050E"/>
    <w:rsid w:val="00BA5346"/>
    <w:rsid w:val="00BA5476"/>
    <w:rsid w:val="00BB0069"/>
    <w:rsid w:val="00BB345F"/>
    <w:rsid w:val="00BB3A5D"/>
    <w:rsid w:val="00BB453F"/>
    <w:rsid w:val="00BC09DA"/>
    <w:rsid w:val="00BC13B1"/>
    <w:rsid w:val="00BC1ADE"/>
    <w:rsid w:val="00BC2050"/>
    <w:rsid w:val="00BC67D7"/>
    <w:rsid w:val="00BD376E"/>
    <w:rsid w:val="00BD7AF2"/>
    <w:rsid w:val="00BE3652"/>
    <w:rsid w:val="00BF12AA"/>
    <w:rsid w:val="00BF177D"/>
    <w:rsid w:val="00BF2E30"/>
    <w:rsid w:val="00C02382"/>
    <w:rsid w:val="00C03662"/>
    <w:rsid w:val="00C04746"/>
    <w:rsid w:val="00C061BC"/>
    <w:rsid w:val="00C0705C"/>
    <w:rsid w:val="00C15029"/>
    <w:rsid w:val="00C2008C"/>
    <w:rsid w:val="00C2121B"/>
    <w:rsid w:val="00C21C25"/>
    <w:rsid w:val="00C21EAF"/>
    <w:rsid w:val="00C2628F"/>
    <w:rsid w:val="00C268C5"/>
    <w:rsid w:val="00C33020"/>
    <w:rsid w:val="00C6181F"/>
    <w:rsid w:val="00C624B0"/>
    <w:rsid w:val="00C62FD6"/>
    <w:rsid w:val="00C645B6"/>
    <w:rsid w:val="00C64844"/>
    <w:rsid w:val="00C65BF0"/>
    <w:rsid w:val="00C719CF"/>
    <w:rsid w:val="00C848DE"/>
    <w:rsid w:val="00C85058"/>
    <w:rsid w:val="00C85ED0"/>
    <w:rsid w:val="00C867A2"/>
    <w:rsid w:val="00C9176D"/>
    <w:rsid w:val="00C96636"/>
    <w:rsid w:val="00CA1841"/>
    <w:rsid w:val="00CA3C71"/>
    <w:rsid w:val="00CA3D23"/>
    <w:rsid w:val="00CA47FE"/>
    <w:rsid w:val="00CA61F9"/>
    <w:rsid w:val="00CB2C6A"/>
    <w:rsid w:val="00CB32A8"/>
    <w:rsid w:val="00CB3BC3"/>
    <w:rsid w:val="00CB5A11"/>
    <w:rsid w:val="00CC03B6"/>
    <w:rsid w:val="00CC30C4"/>
    <w:rsid w:val="00CC33CC"/>
    <w:rsid w:val="00CD233A"/>
    <w:rsid w:val="00CD602A"/>
    <w:rsid w:val="00CD790A"/>
    <w:rsid w:val="00CE3471"/>
    <w:rsid w:val="00CE3555"/>
    <w:rsid w:val="00CF05B0"/>
    <w:rsid w:val="00CF29DF"/>
    <w:rsid w:val="00CF3D96"/>
    <w:rsid w:val="00CF67D7"/>
    <w:rsid w:val="00D0573D"/>
    <w:rsid w:val="00D07636"/>
    <w:rsid w:val="00D0764E"/>
    <w:rsid w:val="00D11515"/>
    <w:rsid w:val="00D16EC8"/>
    <w:rsid w:val="00D17651"/>
    <w:rsid w:val="00D17F67"/>
    <w:rsid w:val="00D22E1F"/>
    <w:rsid w:val="00D236EF"/>
    <w:rsid w:val="00D3350E"/>
    <w:rsid w:val="00D366C0"/>
    <w:rsid w:val="00D563DD"/>
    <w:rsid w:val="00D56ED0"/>
    <w:rsid w:val="00D63FC5"/>
    <w:rsid w:val="00D65F8F"/>
    <w:rsid w:val="00D7015C"/>
    <w:rsid w:val="00D74573"/>
    <w:rsid w:val="00D77428"/>
    <w:rsid w:val="00D808BC"/>
    <w:rsid w:val="00D8121D"/>
    <w:rsid w:val="00D84908"/>
    <w:rsid w:val="00D94082"/>
    <w:rsid w:val="00D949D1"/>
    <w:rsid w:val="00DA60FE"/>
    <w:rsid w:val="00DB7954"/>
    <w:rsid w:val="00DC1296"/>
    <w:rsid w:val="00DC154E"/>
    <w:rsid w:val="00DC1CDA"/>
    <w:rsid w:val="00DD0B69"/>
    <w:rsid w:val="00DD0E02"/>
    <w:rsid w:val="00DD3C3A"/>
    <w:rsid w:val="00DD552C"/>
    <w:rsid w:val="00DD5D9B"/>
    <w:rsid w:val="00DD7998"/>
    <w:rsid w:val="00DE5B88"/>
    <w:rsid w:val="00DE6B6F"/>
    <w:rsid w:val="00DE6ED0"/>
    <w:rsid w:val="00DE7F9A"/>
    <w:rsid w:val="00DF1D5A"/>
    <w:rsid w:val="00DF321A"/>
    <w:rsid w:val="00DF62F4"/>
    <w:rsid w:val="00E017B4"/>
    <w:rsid w:val="00E03323"/>
    <w:rsid w:val="00E0436C"/>
    <w:rsid w:val="00E05BE7"/>
    <w:rsid w:val="00E0719C"/>
    <w:rsid w:val="00E107E0"/>
    <w:rsid w:val="00E11BD2"/>
    <w:rsid w:val="00E138A4"/>
    <w:rsid w:val="00E14929"/>
    <w:rsid w:val="00E170FC"/>
    <w:rsid w:val="00E17715"/>
    <w:rsid w:val="00E215DE"/>
    <w:rsid w:val="00E23F16"/>
    <w:rsid w:val="00E255A7"/>
    <w:rsid w:val="00E30C8B"/>
    <w:rsid w:val="00E30EC9"/>
    <w:rsid w:val="00E33522"/>
    <w:rsid w:val="00E34F9C"/>
    <w:rsid w:val="00E35854"/>
    <w:rsid w:val="00E375C9"/>
    <w:rsid w:val="00E411DC"/>
    <w:rsid w:val="00E4130D"/>
    <w:rsid w:val="00E422B4"/>
    <w:rsid w:val="00E42FA1"/>
    <w:rsid w:val="00E434AE"/>
    <w:rsid w:val="00E453E6"/>
    <w:rsid w:val="00E46D14"/>
    <w:rsid w:val="00E51E95"/>
    <w:rsid w:val="00E52F05"/>
    <w:rsid w:val="00E541BD"/>
    <w:rsid w:val="00E60EFD"/>
    <w:rsid w:val="00E61BA1"/>
    <w:rsid w:val="00E66043"/>
    <w:rsid w:val="00E66C04"/>
    <w:rsid w:val="00E72063"/>
    <w:rsid w:val="00E72086"/>
    <w:rsid w:val="00E76AFA"/>
    <w:rsid w:val="00E8460C"/>
    <w:rsid w:val="00E870E6"/>
    <w:rsid w:val="00E94A93"/>
    <w:rsid w:val="00E97BAF"/>
    <w:rsid w:val="00EA47BB"/>
    <w:rsid w:val="00EA5E7D"/>
    <w:rsid w:val="00EA6B6F"/>
    <w:rsid w:val="00EA6E10"/>
    <w:rsid w:val="00EB07B8"/>
    <w:rsid w:val="00EB4113"/>
    <w:rsid w:val="00EB594A"/>
    <w:rsid w:val="00EC313B"/>
    <w:rsid w:val="00EC3398"/>
    <w:rsid w:val="00EC3A24"/>
    <w:rsid w:val="00EC5896"/>
    <w:rsid w:val="00EC6402"/>
    <w:rsid w:val="00EC6508"/>
    <w:rsid w:val="00ED604D"/>
    <w:rsid w:val="00EE1E6E"/>
    <w:rsid w:val="00EE230E"/>
    <w:rsid w:val="00EE2413"/>
    <w:rsid w:val="00EE5315"/>
    <w:rsid w:val="00EE5A4E"/>
    <w:rsid w:val="00EE799D"/>
    <w:rsid w:val="00EF09A4"/>
    <w:rsid w:val="00EF3CED"/>
    <w:rsid w:val="00EF6403"/>
    <w:rsid w:val="00EF7B3B"/>
    <w:rsid w:val="00F044E4"/>
    <w:rsid w:val="00F06DCE"/>
    <w:rsid w:val="00F13071"/>
    <w:rsid w:val="00F14281"/>
    <w:rsid w:val="00F14EED"/>
    <w:rsid w:val="00F21DE2"/>
    <w:rsid w:val="00F22D61"/>
    <w:rsid w:val="00F25603"/>
    <w:rsid w:val="00F25A31"/>
    <w:rsid w:val="00F27127"/>
    <w:rsid w:val="00F328CB"/>
    <w:rsid w:val="00F333B9"/>
    <w:rsid w:val="00F33EF6"/>
    <w:rsid w:val="00F3519D"/>
    <w:rsid w:val="00F37BAF"/>
    <w:rsid w:val="00F422C5"/>
    <w:rsid w:val="00F43442"/>
    <w:rsid w:val="00F44B24"/>
    <w:rsid w:val="00F47FDB"/>
    <w:rsid w:val="00F53D39"/>
    <w:rsid w:val="00F578F8"/>
    <w:rsid w:val="00F62484"/>
    <w:rsid w:val="00F673AD"/>
    <w:rsid w:val="00F72448"/>
    <w:rsid w:val="00F8295E"/>
    <w:rsid w:val="00F8388C"/>
    <w:rsid w:val="00F8522B"/>
    <w:rsid w:val="00F947EE"/>
    <w:rsid w:val="00F96698"/>
    <w:rsid w:val="00FA277E"/>
    <w:rsid w:val="00FA5247"/>
    <w:rsid w:val="00FA6426"/>
    <w:rsid w:val="00FB61ED"/>
    <w:rsid w:val="00FC033B"/>
    <w:rsid w:val="00FC2E54"/>
    <w:rsid w:val="00FC3BAF"/>
    <w:rsid w:val="00FC54BF"/>
    <w:rsid w:val="00FD081B"/>
    <w:rsid w:val="00FD083C"/>
    <w:rsid w:val="00FD0BD6"/>
    <w:rsid w:val="00FD1A79"/>
    <w:rsid w:val="00FD271B"/>
    <w:rsid w:val="00FD41EF"/>
    <w:rsid w:val="00FE1141"/>
    <w:rsid w:val="00FE7216"/>
    <w:rsid w:val="00FF1726"/>
    <w:rsid w:val="00FF1843"/>
    <w:rsid w:val="00FF51EA"/>
    <w:rsid w:val="00FF65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F8F"/>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5F8F"/>
    <w:rPr>
      <w:sz w:val="20"/>
    </w:rPr>
  </w:style>
  <w:style w:type="paragraph" w:customStyle="1" w:styleId="Level1">
    <w:name w:val="Level 1"/>
    <w:basedOn w:val="Normal"/>
    <w:rsid w:val="00D65F8F"/>
    <w:pPr>
      <w:widowControl w:val="0"/>
    </w:pPr>
  </w:style>
  <w:style w:type="character" w:styleId="FootnoteReference">
    <w:name w:val="footnote reference"/>
    <w:semiHidden/>
    <w:rsid w:val="00D65F8F"/>
    <w:rPr>
      <w:vertAlign w:val="superscript"/>
    </w:rPr>
  </w:style>
  <w:style w:type="paragraph" w:styleId="BodyText">
    <w:name w:val="Body Text"/>
    <w:basedOn w:val="Normal"/>
    <w:rsid w:val="00D65F8F"/>
    <w:pPr>
      <w:widowControl w:val="0"/>
    </w:pPr>
    <w:rPr>
      <w:b/>
    </w:rPr>
  </w:style>
  <w:style w:type="paragraph" w:styleId="Footer">
    <w:name w:val="footer"/>
    <w:basedOn w:val="Normal"/>
    <w:link w:val="FooterChar"/>
    <w:rsid w:val="00D65F8F"/>
    <w:pPr>
      <w:tabs>
        <w:tab w:val="center" w:pos="4320"/>
        <w:tab w:val="right" w:pos="8640"/>
      </w:tabs>
    </w:pPr>
  </w:style>
  <w:style w:type="character" w:styleId="PageNumber">
    <w:name w:val="page number"/>
    <w:basedOn w:val="DefaultParagraphFont"/>
    <w:rsid w:val="00D65F8F"/>
  </w:style>
  <w:style w:type="paragraph" w:styleId="Header">
    <w:name w:val="header"/>
    <w:basedOn w:val="Normal"/>
    <w:rsid w:val="00D65F8F"/>
    <w:pPr>
      <w:tabs>
        <w:tab w:val="center" w:pos="4320"/>
        <w:tab w:val="right" w:pos="8640"/>
      </w:tabs>
    </w:pPr>
  </w:style>
  <w:style w:type="character" w:styleId="Hyperlink">
    <w:name w:val="Hyperlink"/>
    <w:uiPriority w:val="99"/>
    <w:rsid w:val="00D65F8F"/>
    <w:rPr>
      <w:color w:val="0000FF"/>
      <w:u w:val="single"/>
    </w:rPr>
  </w:style>
  <w:style w:type="table" w:styleId="TableGrid">
    <w:name w:val="Table Grid"/>
    <w:basedOn w:val="TableNormal"/>
    <w:rsid w:val="00D65F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E434AE"/>
    <w:rPr>
      <w:sz w:val="16"/>
      <w:szCs w:val="16"/>
    </w:rPr>
  </w:style>
  <w:style w:type="paragraph" w:styleId="CommentText">
    <w:name w:val="annotation text"/>
    <w:basedOn w:val="Normal"/>
    <w:link w:val="CommentTextChar"/>
    <w:semiHidden/>
    <w:rsid w:val="00E434AE"/>
    <w:rPr>
      <w:sz w:val="20"/>
    </w:rPr>
  </w:style>
  <w:style w:type="paragraph" w:styleId="CommentSubject">
    <w:name w:val="annotation subject"/>
    <w:basedOn w:val="CommentText"/>
    <w:next w:val="CommentText"/>
    <w:semiHidden/>
    <w:rsid w:val="00E434AE"/>
    <w:rPr>
      <w:b/>
      <w:bCs/>
    </w:rPr>
  </w:style>
  <w:style w:type="paragraph" w:styleId="BalloonText">
    <w:name w:val="Balloon Text"/>
    <w:basedOn w:val="Normal"/>
    <w:semiHidden/>
    <w:rsid w:val="00E434AE"/>
    <w:rPr>
      <w:rFonts w:ascii="Tahoma" w:hAnsi="Tahoma" w:cs="Tahoma"/>
      <w:sz w:val="16"/>
      <w:szCs w:val="16"/>
    </w:rPr>
  </w:style>
  <w:style w:type="paragraph" w:styleId="BodyText2">
    <w:name w:val="Body Text 2"/>
    <w:basedOn w:val="Normal"/>
    <w:rsid w:val="0052311D"/>
    <w:pPr>
      <w:spacing w:after="120" w:line="480" w:lineRule="auto"/>
    </w:pPr>
  </w:style>
  <w:style w:type="paragraph" w:customStyle="1" w:styleId="Default">
    <w:name w:val="Default"/>
    <w:rsid w:val="0052311D"/>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52311D"/>
    <w:pPr>
      <w:spacing w:after="228"/>
    </w:pPr>
    <w:rPr>
      <w:rFonts w:cs="Times New Roman"/>
      <w:color w:val="auto"/>
    </w:rPr>
  </w:style>
  <w:style w:type="character" w:styleId="Emphasis">
    <w:name w:val="Emphasis"/>
    <w:uiPriority w:val="20"/>
    <w:qFormat/>
    <w:rsid w:val="003D462B"/>
    <w:rPr>
      <w:i/>
      <w:iCs/>
    </w:rPr>
  </w:style>
  <w:style w:type="paragraph" w:styleId="NoSpacing">
    <w:name w:val="No Spacing"/>
    <w:uiPriority w:val="1"/>
    <w:qFormat/>
    <w:rsid w:val="00B16B9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B16B97"/>
    <w:rPr>
      <w:rFonts w:eastAsia="Times New Roman"/>
    </w:rPr>
  </w:style>
  <w:style w:type="character" w:customStyle="1" w:styleId="FooterChar">
    <w:name w:val="Footer Char"/>
    <w:basedOn w:val="DefaultParagraphFont"/>
    <w:link w:val="Footer"/>
    <w:uiPriority w:val="99"/>
    <w:rsid w:val="005E6167"/>
    <w:rPr>
      <w:rFonts w:eastAsia="Times New Roman"/>
      <w:sz w:val="24"/>
    </w:rPr>
  </w:style>
  <w:style w:type="character" w:customStyle="1" w:styleId="apple-converted-space">
    <w:name w:val="apple-converted-space"/>
    <w:basedOn w:val="DefaultParagraphFont"/>
    <w:rsid w:val="00CC33CC"/>
  </w:style>
  <w:style w:type="paragraph" w:styleId="Revision">
    <w:name w:val="Revision"/>
    <w:hidden/>
    <w:uiPriority w:val="99"/>
    <w:semiHidden/>
    <w:rsid w:val="00601C42"/>
    <w:rPr>
      <w:rFonts w:eastAsia="Times New Roman"/>
      <w:sz w:val="24"/>
    </w:rPr>
  </w:style>
  <w:style w:type="character" w:customStyle="1" w:styleId="name">
    <w:name w:val="name"/>
    <w:basedOn w:val="DefaultParagraphFont"/>
    <w:rsid w:val="00015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F8F"/>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5F8F"/>
    <w:rPr>
      <w:sz w:val="20"/>
    </w:rPr>
  </w:style>
  <w:style w:type="paragraph" w:customStyle="1" w:styleId="Level1">
    <w:name w:val="Level 1"/>
    <w:basedOn w:val="Normal"/>
    <w:rsid w:val="00D65F8F"/>
    <w:pPr>
      <w:widowControl w:val="0"/>
    </w:pPr>
  </w:style>
  <w:style w:type="character" w:styleId="FootnoteReference">
    <w:name w:val="footnote reference"/>
    <w:semiHidden/>
    <w:rsid w:val="00D65F8F"/>
    <w:rPr>
      <w:vertAlign w:val="superscript"/>
    </w:rPr>
  </w:style>
  <w:style w:type="paragraph" w:styleId="BodyText">
    <w:name w:val="Body Text"/>
    <w:basedOn w:val="Normal"/>
    <w:rsid w:val="00D65F8F"/>
    <w:pPr>
      <w:widowControl w:val="0"/>
    </w:pPr>
    <w:rPr>
      <w:b/>
    </w:rPr>
  </w:style>
  <w:style w:type="paragraph" w:styleId="Footer">
    <w:name w:val="footer"/>
    <w:basedOn w:val="Normal"/>
    <w:link w:val="FooterChar"/>
    <w:rsid w:val="00D65F8F"/>
    <w:pPr>
      <w:tabs>
        <w:tab w:val="center" w:pos="4320"/>
        <w:tab w:val="right" w:pos="8640"/>
      </w:tabs>
    </w:pPr>
  </w:style>
  <w:style w:type="character" w:styleId="PageNumber">
    <w:name w:val="page number"/>
    <w:basedOn w:val="DefaultParagraphFont"/>
    <w:rsid w:val="00D65F8F"/>
  </w:style>
  <w:style w:type="paragraph" w:styleId="Header">
    <w:name w:val="header"/>
    <w:basedOn w:val="Normal"/>
    <w:rsid w:val="00D65F8F"/>
    <w:pPr>
      <w:tabs>
        <w:tab w:val="center" w:pos="4320"/>
        <w:tab w:val="right" w:pos="8640"/>
      </w:tabs>
    </w:pPr>
  </w:style>
  <w:style w:type="character" w:styleId="Hyperlink">
    <w:name w:val="Hyperlink"/>
    <w:uiPriority w:val="99"/>
    <w:rsid w:val="00D65F8F"/>
    <w:rPr>
      <w:color w:val="0000FF"/>
      <w:u w:val="single"/>
    </w:rPr>
  </w:style>
  <w:style w:type="table" w:styleId="TableGrid">
    <w:name w:val="Table Grid"/>
    <w:basedOn w:val="TableNormal"/>
    <w:rsid w:val="00D65F8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E434AE"/>
    <w:rPr>
      <w:sz w:val="16"/>
      <w:szCs w:val="16"/>
    </w:rPr>
  </w:style>
  <w:style w:type="paragraph" w:styleId="CommentText">
    <w:name w:val="annotation text"/>
    <w:basedOn w:val="Normal"/>
    <w:link w:val="CommentTextChar"/>
    <w:semiHidden/>
    <w:rsid w:val="00E434AE"/>
    <w:rPr>
      <w:sz w:val="20"/>
    </w:rPr>
  </w:style>
  <w:style w:type="paragraph" w:styleId="CommentSubject">
    <w:name w:val="annotation subject"/>
    <w:basedOn w:val="CommentText"/>
    <w:next w:val="CommentText"/>
    <w:semiHidden/>
    <w:rsid w:val="00E434AE"/>
    <w:rPr>
      <w:b/>
      <w:bCs/>
    </w:rPr>
  </w:style>
  <w:style w:type="paragraph" w:styleId="BalloonText">
    <w:name w:val="Balloon Text"/>
    <w:basedOn w:val="Normal"/>
    <w:semiHidden/>
    <w:rsid w:val="00E434AE"/>
    <w:rPr>
      <w:rFonts w:ascii="Tahoma" w:hAnsi="Tahoma" w:cs="Tahoma"/>
      <w:sz w:val="16"/>
      <w:szCs w:val="16"/>
    </w:rPr>
  </w:style>
  <w:style w:type="paragraph" w:styleId="BodyText2">
    <w:name w:val="Body Text 2"/>
    <w:basedOn w:val="Normal"/>
    <w:rsid w:val="0052311D"/>
    <w:pPr>
      <w:spacing w:after="120" w:line="480" w:lineRule="auto"/>
    </w:pPr>
  </w:style>
  <w:style w:type="paragraph" w:customStyle="1" w:styleId="Default">
    <w:name w:val="Default"/>
    <w:rsid w:val="0052311D"/>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52311D"/>
    <w:pPr>
      <w:spacing w:after="228"/>
    </w:pPr>
    <w:rPr>
      <w:rFonts w:cs="Times New Roman"/>
      <w:color w:val="auto"/>
    </w:rPr>
  </w:style>
  <w:style w:type="character" w:styleId="Emphasis">
    <w:name w:val="Emphasis"/>
    <w:uiPriority w:val="20"/>
    <w:qFormat/>
    <w:rsid w:val="003D462B"/>
    <w:rPr>
      <w:i/>
      <w:iCs/>
    </w:rPr>
  </w:style>
  <w:style w:type="paragraph" w:styleId="NoSpacing">
    <w:name w:val="No Spacing"/>
    <w:uiPriority w:val="1"/>
    <w:qFormat/>
    <w:rsid w:val="00B16B9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B16B97"/>
    <w:rPr>
      <w:rFonts w:eastAsia="Times New Roman"/>
    </w:rPr>
  </w:style>
  <w:style w:type="character" w:customStyle="1" w:styleId="FooterChar">
    <w:name w:val="Footer Char"/>
    <w:basedOn w:val="DefaultParagraphFont"/>
    <w:link w:val="Footer"/>
    <w:uiPriority w:val="99"/>
    <w:rsid w:val="005E6167"/>
    <w:rPr>
      <w:rFonts w:eastAsia="Times New Roman"/>
      <w:sz w:val="24"/>
    </w:rPr>
  </w:style>
  <w:style w:type="character" w:customStyle="1" w:styleId="apple-converted-space">
    <w:name w:val="apple-converted-space"/>
    <w:basedOn w:val="DefaultParagraphFont"/>
    <w:rsid w:val="00CC33CC"/>
  </w:style>
  <w:style w:type="paragraph" w:styleId="Revision">
    <w:name w:val="Revision"/>
    <w:hidden/>
    <w:uiPriority w:val="99"/>
    <w:semiHidden/>
    <w:rsid w:val="00601C42"/>
    <w:rPr>
      <w:rFonts w:eastAsia="Times New Roman"/>
      <w:sz w:val="24"/>
    </w:rPr>
  </w:style>
  <w:style w:type="character" w:customStyle="1" w:styleId="name">
    <w:name w:val="name"/>
    <w:basedOn w:val="DefaultParagraphFont"/>
    <w:rsid w:val="00015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7665">
      <w:bodyDiv w:val="1"/>
      <w:marLeft w:val="0"/>
      <w:marRight w:val="0"/>
      <w:marTop w:val="0"/>
      <w:marBottom w:val="0"/>
      <w:divBdr>
        <w:top w:val="none" w:sz="0" w:space="0" w:color="auto"/>
        <w:left w:val="none" w:sz="0" w:space="0" w:color="auto"/>
        <w:bottom w:val="none" w:sz="0" w:space="0" w:color="auto"/>
        <w:right w:val="none" w:sz="0" w:space="0" w:color="auto"/>
      </w:divBdr>
      <w:divsChild>
        <w:div w:id="1652296952">
          <w:marLeft w:val="0"/>
          <w:marRight w:val="0"/>
          <w:marTop w:val="0"/>
          <w:marBottom w:val="0"/>
          <w:divBdr>
            <w:top w:val="none" w:sz="0" w:space="0" w:color="auto"/>
            <w:left w:val="none" w:sz="0" w:space="0" w:color="auto"/>
            <w:bottom w:val="single" w:sz="36" w:space="0" w:color="0E74A4"/>
            <w:right w:val="none" w:sz="0" w:space="0" w:color="auto"/>
          </w:divBdr>
          <w:divsChild>
            <w:div w:id="1223713298">
              <w:marLeft w:val="2475"/>
              <w:marRight w:val="0"/>
              <w:marTop w:val="0"/>
              <w:marBottom w:val="0"/>
              <w:divBdr>
                <w:top w:val="none" w:sz="0" w:space="0" w:color="auto"/>
                <w:left w:val="none" w:sz="0" w:space="0" w:color="auto"/>
                <w:bottom w:val="none" w:sz="0" w:space="0" w:color="auto"/>
                <w:right w:val="none" w:sz="0" w:space="0" w:color="auto"/>
              </w:divBdr>
            </w:div>
          </w:divsChild>
        </w:div>
      </w:divsChild>
    </w:div>
    <w:div w:id="447314480">
      <w:bodyDiv w:val="1"/>
      <w:marLeft w:val="0"/>
      <w:marRight w:val="0"/>
      <w:marTop w:val="0"/>
      <w:marBottom w:val="0"/>
      <w:divBdr>
        <w:top w:val="none" w:sz="0" w:space="0" w:color="auto"/>
        <w:left w:val="none" w:sz="0" w:space="0" w:color="auto"/>
        <w:bottom w:val="none" w:sz="0" w:space="0" w:color="auto"/>
        <w:right w:val="none" w:sz="0" w:space="0" w:color="auto"/>
      </w:divBdr>
    </w:div>
    <w:div w:id="802382092">
      <w:bodyDiv w:val="1"/>
      <w:marLeft w:val="0"/>
      <w:marRight w:val="0"/>
      <w:marTop w:val="0"/>
      <w:marBottom w:val="0"/>
      <w:divBdr>
        <w:top w:val="none" w:sz="0" w:space="0" w:color="auto"/>
        <w:left w:val="none" w:sz="0" w:space="0" w:color="auto"/>
        <w:bottom w:val="none" w:sz="0" w:space="0" w:color="auto"/>
        <w:right w:val="none" w:sz="0" w:space="0" w:color="auto"/>
      </w:divBdr>
    </w:div>
    <w:div w:id="1842771236">
      <w:bodyDiv w:val="1"/>
      <w:marLeft w:val="0"/>
      <w:marRight w:val="0"/>
      <w:marTop w:val="0"/>
      <w:marBottom w:val="0"/>
      <w:divBdr>
        <w:top w:val="none" w:sz="0" w:space="0" w:color="auto"/>
        <w:left w:val="none" w:sz="0" w:space="0" w:color="auto"/>
        <w:bottom w:val="none" w:sz="0" w:space="0" w:color="auto"/>
        <w:right w:val="none" w:sz="0" w:space="0" w:color="auto"/>
      </w:divBdr>
    </w:div>
    <w:div w:id="20813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AAC5-0679-40C3-B174-7B7733ABF533}">
  <ds:schemaRefs>
    <ds:schemaRef ds:uri="http://schemas.openxmlformats.org/officeDocument/2006/bibliography"/>
  </ds:schemaRefs>
</ds:datastoreItem>
</file>

<file path=customXml/itemProps2.xml><?xml version="1.0" encoding="utf-8"?>
<ds:datastoreItem xmlns:ds="http://schemas.openxmlformats.org/officeDocument/2006/customXml" ds:itemID="{410B05DA-D2B0-4663-B554-3CC4F03D9B71}">
  <ds:schemaRefs>
    <ds:schemaRef ds:uri="http://schemas.openxmlformats.org/officeDocument/2006/bibliography"/>
  </ds:schemaRefs>
</ds:datastoreItem>
</file>

<file path=customXml/itemProps3.xml><?xml version="1.0" encoding="utf-8"?>
<ds:datastoreItem xmlns:ds="http://schemas.openxmlformats.org/officeDocument/2006/customXml" ds:itemID="{E509F170-0871-45DB-AFD7-4F82035B5E2E}">
  <ds:schemaRefs>
    <ds:schemaRef ds:uri="http://schemas.openxmlformats.org/officeDocument/2006/bibliography"/>
  </ds:schemaRefs>
</ds:datastoreItem>
</file>

<file path=customXml/itemProps4.xml><?xml version="1.0" encoding="utf-8"?>
<ds:datastoreItem xmlns:ds="http://schemas.openxmlformats.org/officeDocument/2006/customXml" ds:itemID="{A41230E5-A071-4B2D-9F34-9433B6FE11EE}">
  <ds:schemaRefs>
    <ds:schemaRef ds:uri="http://schemas.openxmlformats.org/officeDocument/2006/bibliography"/>
  </ds:schemaRefs>
</ds:datastoreItem>
</file>

<file path=customXml/itemProps5.xml><?xml version="1.0" encoding="utf-8"?>
<ds:datastoreItem xmlns:ds="http://schemas.openxmlformats.org/officeDocument/2006/customXml" ds:itemID="{E1183B97-22BE-4E7C-9C74-60FB17E0BDAC}">
  <ds:schemaRefs>
    <ds:schemaRef ds:uri="http://schemas.openxmlformats.org/officeDocument/2006/bibliography"/>
  </ds:schemaRefs>
</ds:datastoreItem>
</file>

<file path=customXml/itemProps6.xml><?xml version="1.0" encoding="utf-8"?>
<ds:datastoreItem xmlns:ds="http://schemas.openxmlformats.org/officeDocument/2006/customXml" ds:itemID="{022741D9-FAA4-45CE-9154-90822D27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Responses to Supplemental Questions for PRA Clearance</vt:lpstr>
    </vt:vector>
  </TitlesOfParts>
  <Company>National Marine Fisheries Svc</Company>
  <LinksUpToDate>false</LinksUpToDate>
  <CharactersWithSpaces>20378</CharactersWithSpaces>
  <SharedDoc>false</SharedDoc>
  <HLinks>
    <vt:vector size="18" baseType="variant">
      <vt:variant>
        <vt:i4>7667743</vt:i4>
      </vt:variant>
      <vt:variant>
        <vt:i4>5</vt:i4>
      </vt:variant>
      <vt:variant>
        <vt:i4>0</vt:i4>
      </vt:variant>
      <vt:variant>
        <vt:i4>5</vt:i4>
      </vt:variant>
      <vt:variant>
        <vt:lpwstr>mailto:Justin.Hospital@noaa.gov</vt:lpwstr>
      </vt:variant>
      <vt:variant>
        <vt:lpwstr/>
      </vt:variant>
      <vt:variant>
        <vt:i4>3801182</vt:i4>
      </vt:variant>
      <vt:variant>
        <vt:i4>2</vt:i4>
      </vt:variant>
      <vt:variant>
        <vt:i4>0</vt:i4>
      </vt:variant>
      <vt:variant>
        <vt:i4>5</vt:i4>
      </vt:variant>
      <vt:variant>
        <vt:lpwstr>mailto:Sarah.Malloy@noaa.gov</vt:lpwstr>
      </vt:variant>
      <vt:variant>
        <vt:lpwstr/>
      </vt:variant>
      <vt:variant>
        <vt:i4>2752610</vt:i4>
      </vt:variant>
      <vt:variant>
        <vt:i4>0</vt:i4>
      </vt:variant>
      <vt:variant>
        <vt:i4>0</vt:i4>
      </vt:variant>
      <vt:variant>
        <vt:i4>5</vt:i4>
      </vt:variant>
      <vt:variant>
        <vt:lpwstr>http://www.st.nmf.noaa.gov/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Supplemental Questions for PRA Clearance</dc:title>
  <dc:creator>Jonathan R. Sweeney</dc:creator>
  <cp:lastModifiedBy>Sarah Brabson</cp:lastModifiedBy>
  <cp:revision>4</cp:revision>
  <cp:lastPrinted>2013-04-23T22:29:00Z</cp:lastPrinted>
  <dcterms:created xsi:type="dcterms:W3CDTF">2013-06-26T18:55:00Z</dcterms:created>
  <dcterms:modified xsi:type="dcterms:W3CDTF">2013-06-27T15:14:00Z</dcterms:modified>
</cp:coreProperties>
</file>