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4A" w:rsidRPr="00384F0E" w:rsidRDefault="009D0F4A" w:rsidP="00384F0E">
      <w:pPr>
        <w:pStyle w:val="Title"/>
        <w:rPr>
          <w:color w:val="000000"/>
          <w:szCs w:val="24"/>
        </w:rPr>
      </w:pPr>
      <w:r w:rsidRPr="00384F0E">
        <w:rPr>
          <w:color w:val="000000"/>
          <w:szCs w:val="24"/>
        </w:rPr>
        <w:t>SUPPORTING STATEMENT</w:t>
      </w:r>
    </w:p>
    <w:p w:rsidR="009D0F4A" w:rsidRPr="00384F0E" w:rsidRDefault="00384F0E" w:rsidP="00384F0E">
      <w:pPr>
        <w:pStyle w:val="Subtitle"/>
        <w:rPr>
          <w:color w:val="000000"/>
          <w:sz w:val="24"/>
          <w:szCs w:val="24"/>
        </w:rPr>
      </w:pPr>
      <w:r w:rsidRPr="00384F0E">
        <w:rPr>
          <w:color w:val="000000"/>
          <w:sz w:val="24"/>
          <w:szCs w:val="24"/>
        </w:rPr>
        <w:t>ECONOMIC SURVEYS OF U.S. COMMERCIAL FISHERIES</w:t>
      </w:r>
    </w:p>
    <w:p w:rsidR="009D0F4A" w:rsidRPr="00384F0E" w:rsidRDefault="00603ECB" w:rsidP="00384F0E">
      <w:pPr>
        <w:pStyle w:val="Heading9"/>
        <w:keepNext w:val="0"/>
        <w:rPr>
          <w:color w:val="000000"/>
          <w:szCs w:val="24"/>
        </w:rPr>
      </w:pPr>
      <w:proofErr w:type="gramStart"/>
      <w:r>
        <w:rPr>
          <w:color w:val="000000"/>
          <w:szCs w:val="24"/>
        </w:rPr>
        <w:t>OMB CONTROL NO.</w:t>
      </w:r>
      <w:proofErr w:type="gramEnd"/>
      <w:r>
        <w:rPr>
          <w:color w:val="000000"/>
          <w:szCs w:val="24"/>
        </w:rPr>
        <w:t xml:space="preserve"> </w:t>
      </w:r>
      <w:r w:rsidR="009D0F4A" w:rsidRPr="00384F0E">
        <w:rPr>
          <w:color w:val="000000"/>
          <w:szCs w:val="24"/>
        </w:rPr>
        <w:t>0648-0369</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p>
    <w:p w:rsidR="009D0F4A" w:rsidRPr="00384F0E" w:rsidRDefault="00AD2394" w:rsidP="00384F0E">
      <w:pPr>
        <w:rPr>
          <w:b/>
          <w:bCs/>
          <w:color w:val="000000"/>
          <w:sz w:val="24"/>
        </w:rPr>
      </w:pPr>
      <w:r>
        <w:rPr>
          <w:b/>
          <w:bCs/>
          <w:color w:val="000000"/>
          <w:sz w:val="24"/>
        </w:rPr>
        <w:t xml:space="preserve"> </w:t>
      </w:r>
      <w:r w:rsidR="00D6607F">
        <w:rPr>
          <w:b/>
          <w:bCs/>
          <w:color w:val="000000"/>
          <w:sz w:val="24"/>
        </w:rPr>
        <w:t>B.</w:t>
      </w:r>
      <w:r w:rsidR="00384F0E">
        <w:rPr>
          <w:b/>
          <w:bCs/>
          <w:color w:val="000000"/>
          <w:sz w:val="24"/>
        </w:rPr>
        <w:tab/>
      </w:r>
      <w:r w:rsidR="009D0F4A" w:rsidRPr="00384F0E">
        <w:rPr>
          <w:b/>
          <w:bCs/>
          <w:color w:val="000000"/>
          <w:sz w:val="24"/>
        </w:rPr>
        <w:t>COLLECTIONS OF INFORMATION EMPLOYING STATISTICAL METHODS</w:t>
      </w:r>
    </w:p>
    <w:p w:rsidR="009D0F4A" w:rsidRPr="00384F0E" w:rsidRDefault="009D0F4A" w:rsidP="00384F0E">
      <w:pPr>
        <w:rPr>
          <w:color w:val="000000"/>
          <w:sz w:val="24"/>
        </w:rPr>
      </w:pPr>
    </w:p>
    <w:p w:rsidR="009D0F4A" w:rsidRPr="00384F0E" w:rsidRDefault="009D0F4A" w:rsidP="00384F0E">
      <w:pPr>
        <w:rPr>
          <w:color w:val="000000"/>
          <w:sz w:val="24"/>
        </w:rPr>
      </w:pPr>
      <w:r w:rsidRPr="00384F0E">
        <w:rPr>
          <w:b/>
          <w:color w:val="000000"/>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D0F4A" w:rsidRDefault="009D0F4A" w:rsidP="00384F0E">
      <w:pPr>
        <w:rPr>
          <w:color w:val="000000"/>
          <w:sz w:val="24"/>
        </w:rPr>
      </w:pPr>
    </w:p>
    <w:p w:rsidR="009D0F4A" w:rsidRPr="00384F0E" w:rsidRDefault="009D0F4A" w:rsidP="00253ABD">
      <w:pPr>
        <w:rPr>
          <w:color w:val="000000"/>
          <w:sz w:val="24"/>
        </w:rPr>
      </w:pPr>
      <w:r w:rsidRPr="00384F0E">
        <w:rPr>
          <w:color w:val="000000"/>
          <w:sz w:val="24"/>
        </w:rPr>
        <w:t xml:space="preserve">For the U.S. commercial fishing </w:t>
      </w:r>
      <w:r w:rsidR="003655A0">
        <w:rPr>
          <w:color w:val="000000"/>
          <w:sz w:val="24"/>
        </w:rPr>
        <w:t>industry</w:t>
      </w:r>
      <w:r w:rsidRPr="00384F0E">
        <w:rPr>
          <w:color w:val="000000"/>
          <w:sz w:val="24"/>
        </w:rPr>
        <w:t>, which</w:t>
      </w:r>
      <w:r w:rsidR="003655A0">
        <w:rPr>
          <w:color w:val="000000"/>
          <w:sz w:val="24"/>
        </w:rPr>
        <w:t xml:space="preserve"> includes fishing vessels in the </w:t>
      </w:r>
      <w:r w:rsidR="003655A0" w:rsidRPr="003655A0">
        <w:rPr>
          <w:color w:val="000000"/>
          <w:sz w:val="24"/>
        </w:rPr>
        <w:t>commercial and charter fishing sectors</w:t>
      </w:r>
      <w:r w:rsidR="003655A0">
        <w:rPr>
          <w:color w:val="000000"/>
          <w:sz w:val="24"/>
        </w:rPr>
        <w:t xml:space="preserve"> (i.e., catcher </w:t>
      </w:r>
      <w:r w:rsidR="00B84864">
        <w:rPr>
          <w:color w:val="000000"/>
          <w:sz w:val="24"/>
        </w:rPr>
        <w:t>vessel</w:t>
      </w:r>
      <w:r w:rsidR="003655A0">
        <w:rPr>
          <w:color w:val="000000"/>
          <w:sz w:val="24"/>
        </w:rPr>
        <w:t xml:space="preserve">s, charter </w:t>
      </w:r>
      <w:r w:rsidR="00B84864">
        <w:rPr>
          <w:color w:val="000000"/>
          <w:sz w:val="24"/>
        </w:rPr>
        <w:t>vessel</w:t>
      </w:r>
      <w:r w:rsidR="003655A0">
        <w:rPr>
          <w:color w:val="000000"/>
          <w:sz w:val="24"/>
        </w:rPr>
        <w:t>s, catcher/processor vessels, and motherships)</w:t>
      </w:r>
      <w:r w:rsidR="00321D48">
        <w:rPr>
          <w:color w:val="000000"/>
          <w:sz w:val="24"/>
        </w:rPr>
        <w:t xml:space="preserve"> and</w:t>
      </w:r>
      <w:r w:rsidR="003655A0">
        <w:rPr>
          <w:color w:val="000000"/>
          <w:sz w:val="24"/>
        </w:rPr>
        <w:t xml:space="preserve"> </w:t>
      </w:r>
      <w:r w:rsidR="003655A0" w:rsidRPr="003655A0">
        <w:rPr>
          <w:color w:val="000000"/>
          <w:sz w:val="24"/>
        </w:rPr>
        <w:t>onshore post-harvesting sector facilities through primary processing if it occurs (i.e., onshore fish processors, dealers, wholesalers, and auctions)</w:t>
      </w:r>
      <w:r w:rsidRPr="00384F0E">
        <w:rPr>
          <w:color w:val="000000"/>
          <w:sz w:val="24"/>
        </w:rPr>
        <w:t xml:space="preserve">, the potential respondent universe is any </w:t>
      </w:r>
      <w:r w:rsidR="00FD61CF">
        <w:rPr>
          <w:color w:val="000000"/>
          <w:sz w:val="24"/>
        </w:rPr>
        <w:t xml:space="preserve">fishing </w:t>
      </w:r>
      <w:r w:rsidR="00B84864">
        <w:rPr>
          <w:color w:val="000000"/>
          <w:sz w:val="24"/>
        </w:rPr>
        <w:t>vessel</w:t>
      </w:r>
      <w:r w:rsidRPr="00384F0E">
        <w:rPr>
          <w:color w:val="000000"/>
          <w:sz w:val="24"/>
        </w:rPr>
        <w:t xml:space="preserve"> that holds a federal or state permit or license, </w:t>
      </w:r>
      <w:r w:rsidR="00FD61CF">
        <w:rPr>
          <w:color w:val="000000"/>
          <w:sz w:val="24"/>
        </w:rPr>
        <w:t xml:space="preserve">any post-harvest facility that receives fish from those </w:t>
      </w:r>
      <w:r w:rsidR="00B84864">
        <w:rPr>
          <w:color w:val="000000"/>
          <w:sz w:val="24"/>
        </w:rPr>
        <w:t>vessel</w:t>
      </w:r>
      <w:r w:rsidR="00FD61CF">
        <w:rPr>
          <w:color w:val="000000"/>
          <w:sz w:val="24"/>
        </w:rPr>
        <w:t>s, and their crew</w:t>
      </w:r>
      <w:r w:rsidR="00854296">
        <w:rPr>
          <w:color w:val="000000"/>
          <w:sz w:val="24"/>
        </w:rPr>
        <w:t>/</w:t>
      </w:r>
      <w:r w:rsidR="00FD61CF">
        <w:rPr>
          <w:color w:val="000000"/>
          <w:sz w:val="24"/>
        </w:rPr>
        <w:t>employees.  T</w:t>
      </w:r>
      <w:r w:rsidRPr="00384F0E">
        <w:rPr>
          <w:color w:val="000000"/>
          <w:sz w:val="24"/>
        </w:rPr>
        <w:t xml:space="preserve">hese surveys will primarily focus on </w:t>
      </w:r>
      <w:r w:rsidR="00B84864">
        <w:rPr>
          <w:color w:val="000000"/>
          <w:sz w:val="24"/>
        </w:rPr>
        <w:t>vessel</w:t>
      </w:r>
      <w:r w:rsidRPr="00384F0E">
        <w:rPr>
          <w:color w:val="000000"/>
          <w:sz w:val="24"/>
        </w:rPr>
        <w:t>s</w:t>
      </w:r>
      <w:r w:rsidR="00321D48">
        <w:rPr>
          <w:color w:val="000000"/>
          <w:sz w:val="24"/>
        </w:rPr>
        <w:t xml:space="preserve">, </w:t>
      </w:r>
      <w:r w:rsidR="00FD61CF">
        <w:rPr>
          <w:color w:val="000000"/>
          <w:sz w:val="24"/>
        </w:rPr>
        <w:t xml:space="preserve">facilities </w:t>
      </w:r>
      <w:r w:rsidR="00321D48">
        <w:rPr>
          <w:color w:val="000000"/>
          <w:sz w:val="24"/>
        </w:rPr>
        <w:t>and their crew</w:t>
      </w:r>
      <w:r w:rsidR="00854296">
        <w:rPr>
          <w:color w:val="000000"/>
          <w:sz w:val="24"/>
        </w:rPr>
        <w:t>/</w:t>
      </w:r>
      <w:r w:rsidR="00321D48">
        <w:rPr>
          <w:color w:val="000000"/>
          <w:sz w:val="24"/>
        </w:rPr>
        <w:t>employees</w:t>
      </w:r>
      <w:r w:rsidR="00321D48" w:rsidRPr="00384F0E">
        <w:rPr>
          <w:color w:val="000000"/>
          <w:sz w:val="24"/>
        </w:rPr>
        <w:t xml:space="preserve"> </w:t>
      </w:r>
      <w:r w:rsidR="00FD61CF">
        <w:rPr>
          <w:color w:val="000000"/>
          <w:sz w:val="24"/>
        </w:rPr>
        <w:t xml:space="preserve">that </w:t>
      </w:r>
      <w:r w:rsidRPr="00384F0E">
        <w:rPr>
          <w:color w:val="000000"/>
          <w:sz w:val="24"/>
        </w:rPr>
        <w:t xml:space="preserve">actively </w:t>
      </w:r>
      <w:r w:rsidR="00FD61CF">
        <w:rPr>
          <w:color w:val="000000"/>
          <w:sz w:val="24"/>
        </w:rPr>
        <w:t xml:space="preserve">participle </w:t>
      </w:r>
      <w:r w:rsidRPr="00384F0E">
        <w:rPr>
          <w:color w:val="000000"/>
          <w:sz w:val="24"/>
        </w:rPr>
        <w:t xml:space="preserve">in federally-managed fisheries.  Based on information from </w:t>
      </w:r>
      <w:r w:rsidR="006C4F29" w:rsidRPr="00384F0E">
        <w:rPr>
          <w:color w:val="000000"/>
          <w:sz w:val="24"/>
        </w:rPr>
        <w:t>USCG</w:t>
      </w:r>
      <w:r w:rsidRPr="00384F0E">
        <w:rPr>
          <w:color w:val="000000"/>
          <w:sz w:val="24"/>
        </w:rPr>
        <w:t xml:space="preserve"> files and federal permit files, it is estimated that there are at least 20,000 federally-permitted fishing </w:t>
      </w:r>
      <w:r w:rsidR="00B84864">
        <w:rPr>
          <w:color w:val="000000"/>
          <w:sz w:val="24"/>
        </w:rPr>
        <w:t>vessel</w:t>
      </w:r>
      <w:r w:rsidRPr="00384F0E">
        <w:rPr>
          <w:color w:val="000000"/>
          <w:sz w:val="24"/>
        </w:rPr>
        <w:t xml:space="preserve">s, and possibly as many as 25,000-30,000 state </w:t>
      </w:r>
      <w:r w:rsidR="00FD61CF">
        <w:rPr>
          <w:color w:val="000000"/>
          <w:sz w:val="24"/>
        </w:rPr>
        <w:t xml:space="preserve">permitted </w:t>
      </w:r>
      <w:r w:rsidRPr="00384F0E">
        <w:rPr>
          <w:color w:val="000000"/>
          <w:sz w:val="24"/>
        </w:rPr>
        <w:t xml:space="preserve">fishing </w:t>
      </w:r>
      <w:r w:rsidR="00B84864">
        <w:rPr>
          <w:color w:val="000000"/>
          <w:sz w:val="24"/>
        </w:rPr>
        <w:t>vessel</w:t>
      </w:r>
      <w:r w:rsidRPr="00384F0E">
        <w:rPr>
          <w:color w:val="000000"/>
          <w:sz w:val="24"/>
        </w:rPr>
        <w:t>s</w:t>
      </w:r>
      <w:r w:rsidR="00321D48">
        <w:rPr>
          <w:color w:val="000000"/>
          <w:sz w:val="24"/>
        </w:rPr>
        <w:t xml:space="preserve">.  In addition, </w:t>
      </w:r>
      <w:r w:rsidR="00F61156">
        <w:rPr>
          <w:color w:val="000000"/>
          <w:sz w:val="24"/>
        </w:rPr>
        <w:t>NMFS</w:t>
      </w:r>
      <w:r w:rsidR="00321D48">
        <w:rPr>
          <w:color w:val="000000"/>
          <w:sz w:val="24"/>
        </w:rPr>
        <w:t xml:space="preserve"> data indicate that there are more than 1,000 </w:t>
      </w:r>
      <w:r w:rsidR="00321D48" w:rsidRPr="00321D48">
        <w:rPr>
          <w:color w:val="000000"/>
          <w:sz w:val="24"/>
        </w:rPr>
        <w:t>onshore post-harvesting sector facilities</w:t>
      </w:r>
      <w:r w:rsidR="00321D48">
        <w:rPr>
          <w:color w:val="000000"/>
          <w:sz w:val="24"/>
        </w:rPr>
        <w:t xml:space="preserve"> and </w:t>
      </w:r>
      <w:r w:rsidR="00253ABD">
        <w:rPr>
          <w:color w:val="000000"/>
          <w:sz w:val="24"/>
        </w:rPr>
        <w:t>more than 50,000</w:t>
      </w:r>
      <w:r w:rsidR="00253ABD" w:rsidRPr="00253ABD">
        <w:rPr>
          <w:color w:val="000000"/>
          <w:sz w:val="24"/>
        </w:rPr>
        <w:t xml:space="preserve"> full- and part-time</w:t>
      </w:r>
      <w:r w:rsidR="00253ABD">
        <w:rPr>
          <w:color w:val="000000"/>
          <w:sz w:val="24"/>
        </w:rPr>
        <w:t xml:space="preserve"> </w:t>
      </w:r>
      <w:r w:rsidR="00854296">
        <w:rPr>
          <w:color w:val="000000"/>
          <w:sz w:val="24"/>
        </w:rPr>
        <w:t>crew/</w:t>
      </w:r>
      <w:r w:rsidR="00253ABD" w:rsidRPr="00253ABD">
        <w:rPr>
          <w:color w:val="000000"/>
          <w:sz w:val="24"/>
        </w:rPr>
        <w:t>employees</w:t>
      </w:r>
      <w:r w:rsidRPr="00384F0E">
        <w:rPr>
          <w:color w:val="000000"/>
          <w:sz w:val="24"/>
        </w:rPr>
        <w:t xml:space="preserve">.  Each of the economic surveys to be conducted under this OMB authorization will involve a subset of these </w:t>
      </w:r>
      <w:r w:rsidR="00B84864">
        <w:rPr>
          <w:color w:val="000000"/>
          <w:sz w:val="24"/>
        </w:rPr>
        <w:t>vessel</w:t>
      </w:r>
      <w:r w:rsidRPr="00384F0E">
        <w:rPr>
          <w:color w:val="000000"/>
          <w:sz w:val="24"/>
        </w:rPr>
        <w:t>s</w:t>
      </w:r>
      <w:r w:rsidR="00253ABD">
        <w:rPr>
          <w:color w:val="000000"/>
          <w:sz w:val="24"/>
        </w:rPr>
        <w:t>, facilities, or crew</w:t>
      </w:r>
      <w:r w:rsidR="00854296">
        <w:rPr>
          <w:color w:val="000000"/>
          <w:sz w:val="24"/>
        </w:rPr>
        <w:t>/</w:t>
      </w:r>
      <w:r w:rsidR="00253ABD">
        <w:rPr>
          <w:color w:val="000000"/>
          <w:sz w:val="24"/>
        </w:rPr>
        <w:t>employees</w:t>
      </w:r>
      <w:r w:rsidRPr="00384F0E">
        <w:rPr>
          <w:color w:val="000000"/>
          <w:sz w:val="24"/>
        </w:rPr>
        <w:t xml:space="preserve"> that will vary according to the scope of the particular survey.  </w:t>
      </w:r>
    </w:p>
    <w:p w:rsidR="009D0F4A" w:rsidRPr="00384F0E" w:rsidRDefault="009D0F4A" w:rsidP="00384F0E">
      <w:pPr>
        <w:rPr>
          <w:color w:val="000000"/>
          <w:sz w:val="24"/>
        </w:rPr>
      </w:pPr>
    </w:p>
    <w:p w:rsidR="009D0F4A"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384F0E">
        <w:rPr>
          <w:color w:val="000000"/>
        </w:rPr>
        <w:t xml:space="preserve">The information that will be used to develop the </w:t>
      </w:r>
      <w:r w:rsidR="00253ABD">
        <w:rPr>
          <w:color w:val="000000"/>
        </w:rPr>
        <w:t xml:space="preserve">fishing vessel </w:t>
      </w:r>
      <w:r w:rsidRPr="00384F0E">
        <w:rPr>
          <w:color w:val="000000"/>
        </w:rPr>
        <w:t xml:space="preserve">sampling strategy for an economic survey will vary by fishery but will generally come from three types of data collections.  The first component of this data is </w:t>
      </w:r>
      <w:r w:rsidR="006C4F29" w:rsidRPr="00384F0E">
        <w:rPr>
          <w:color w:val="000000"/>
        </w:rPr>
        <w:t>USCG</w:t>
      </w:r>
      <w:r w:rsidRPr="00384F0E">
        <w:rPr>
          <w:color w:val="000000"/>
        </w:rPr>
        <w:t>, federal permit and state registration data.  This data includes information on vessel characteristics such as vessel length, gross and net tonnages, horsepower</w:t>
      </w:r>
      <w:r w:rsidR="00454313">
        <w:rPr>
          <w:color w:val="000000"/>
        </w:rPr>
        <w:t>,</w:t>
      </w:r>
      <w:r w:rsidRPr="00384F0E">
        <w:rPr>
          <w:color w:val="000000"/>
        </w:rPr>
        <w:t xml:space="preserve"> and year built.  In addition, address information for vessel and processor owners is available.</w:t>
      </w:r>
    </w:p>
    <w:p w:rsidR="009D0F4A" w:rsidRPr="00384F0E" w:rsidRDefault="009D0F4A" w:rsidP="00384F0E">
      <w:pPr>
        <w:rPr>
          <w:color w:val="000000"/>
          <w:sz w:val="24"/>
        </w:rPr>
      </w:pPr>
    </w:p>
    <w:p w:rsidR="006C4F29"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384F0E">
        <w:rPr>
          <w:color w:val="000000"/>
        </w:rPr>
        <w:t xml:space="preserve">The second important component of this data is the landings information for individual vessels.  In each </w:t>
      </w:r>
      <w:r w:rsidR="00F61156">
        <w:rPr>
          <w:color w:val="000000"/>
        </w:rPr>
        <w:t>NMFS</w:t>
      </w:r>
      <w:r w:rsidRPr="00384F0E">
        <w:rPr>
          <w:color w:val="000000"/>
        </w:rPr>
        <w:t xml:space="preserve"> region, fish ticket information and dealer data provide additional information on a vessel’s fishing trip, including date, port of landing, species, fish condition codes, pounds landed, round pound equivalents</w:t>
      </w:r>
      <w:r w:rsidR="00454313">
        <w:rPr>
          <w:color w:val="000000"/>
        </w:rPr>
        <w:t>,</w:t>
      </w:r>
      <w:r w:rsidRPr="00384F0E">
        <w:rPr>
          <w:color w:val="000000"/>
        </w:rPr>
        <w:t xml:space="preserve"> and revenue received.  </w:t>
      </w:r>
    </w:p>
    <w:p w:rsidR="006C4F29" w:rsidRPr="00384F0E" w:rsidRDefault="006C4F29"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9D0F4A"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384F0E">
        <w:rPr>
          <w:color w:val="000000"/>
        </w:rPr>
        <w:t>The third component of the data analysts may have available for developing sample strata are logbook programs, which provide detailed trip information on catch (target species, species landed, species discarded, etc.) and effort (gear used, duration or intensity of effort such as hooks used</w:t>
      </w:r>
      <w:r w:rsidR="0017590C">
        <w:rPr>
          <w:color w:val="000000"/>
        </w:rPr>
        <w:t>, to</w:t>
      </w:r>
      <w:r w:rsidR="00AD2394">
        <w:rPr>
          <w:color w:val="000000"/>
        </w:rPr>
        <w:t xml:space="preserve"> </w:t>
      </w:r>
      <w:r w:rsidR="0017590C">
        <w:rPr>
          <w:color w:val="000000"/>
        </w:rPr>
        <w:t>w duration</w:t>
      </w:r>
      <w:r w:rsidRPr="00384F0E">
        <w:rPr>
          <w:color w:val="000000"/>
        </w:rPr>
        <w:t xml:space="preserve"> or soak time</w:t>
      </w:r>
      <w:r w:rsidR="0017590C">
        <w:rPr>
          <w:color w:val="000000"/>
        </w:rPr>
        <w:t xml:space="preserve"> and </w:t>
      </w:r>
      <w:r w:rsidRPr="00384F0E">
        <w:rPr>
          <w:color w:val="000000"/>
        </w:rPr>
        <w:t>crew size.).  In addition, because logbook</w:t>
      </w:r>
      <w:r w:rsidR="00FF72DC">
        <w:rPr>
          <w:color w:val="000000"/>
        </w:rPr>
        <w:t>s</w:t>
      </w:r>
      <w:r w:rsidRPr="00384F0E">
        <w:rPr>
          <w:color w:val="000000"/>
        </w:rPr>
        <w:t xml:space="preserve"> tend to require reporting on all trips, it is possible to distinguish full-time vs. part time operators.  Combined, </w:t>
      </w:r>
      <w:r w:rsidRPr="00384F0E">
        <w:rPr>
          <w:color w:val="000000"/>
        </w:rPr>
        <w:lastRenderedPageBreak/>
        <w:t>these three information sources provide analysts with a rich data set with which to develop informed sampling plans and ascertain the representativeness of potential respondents.</w:t>
      </w:r>
    </w:p>
    <w:p w:rsidR="009D0F4A" w:rsidRPr="00384F0E" w:rsidRDefault="009D0F4A" w:rsidP="00384F0E">
      <w:pPr>
        <w:rPr>
          <w:color w:val="000000"/>
          <w:sz w:val="24"/>
        </w:rPr>
      </w:pPr>
    </w:p>
    <w:p w:rsidR="009D0F4A"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384F0E">
        <w:rPr>
          <w:color w:val="000000"/>
        </w:rPr>
        <w:t xml:space="preserve">The </w:t>
      </w:r>
      <w:r w:rsidR="00F61156">
        <w:rPr>
          <w:color w:val="000000"/>
        </w:rPr>
        <w:t>NMFS</w:t>
      </w:r>
      <w:r w:rsidRPr="00384F0E">
        <w:rPr>
          <w:color w:val="000000"/>
        </w:rPr>
        <w:t xml:space="preserve"> processed product </w:t>
      </w:r>
      <w:r w:rsidR="00253ABD">
        <w:rPr>
          <w:color w:val="000000"/>
        </w:rPr>
        <w:t>survey</w:t>
      </w:r>
      <w:r w:rsidR="007A7591">
        <w:rPr>
          <w:color w:val="000000"/>
        </w:rPr>
        <w:t xml:space="preserve"> (OMB Control No. 0648-0018)</w:t>
      </w:r>
      <w:r w:rsidRPr="00384F0E">
        <w:rPr>
          <w:color w:val="000000"/>
        </w:rPr>
        <w:t xml:space="preserve"> </w:t>
      </w:r>
      <w:r w:rsidR="00253ABD">
        <w:rPr>
          <w:color w:val="000000"/>
        </w:rPr>
        <w:t xml:space="preserve">and the </w:t>
      </w:r>
      <w:r w:rsidR="00253ABD" w:rsidRPr="00253ABD">
        <w:rPr>
          <w:color w:val="000000"/>
        </w:rPr>
        <w:t xml:space="preserve">fish ticket and dealer </w:t>
      </w:r>
      <w:r w:rsidR="00253ABD">
        <w:rPr>
          <w:color w:val="000000"/>
        </w:rPr>
        <w:t xml:space="preserve">databases </w:t>
      </w:r>
      <w:r w:rsidRPr="00384F0E">
        <w:rPr>
          <w:color w:val="000000"/>
        </w:rPr>
        <w:t>will be the primary source</w:t>
      </w:r>
      <w:r w:rsidR="00253ABD">
        <w:rPr>
          <w:color w:val="000000"/>
        </w:rPr>
        <w:t>s</w:t>
      </w:r>
      <w:r w:rsidRPr="00384F0E">
        <w:rPr>
          <w:color w:val="000000"/>
        </w:rPr>
        <w:t xml:space="preserve"> of data for defining the potential respondent universe and sampling strategy for the </w:t>
      </w:r>
      <w:r w:rsidR="00253ABD">
        <w:rPr>
          <w:color w:val="000000"/>
        </w:rPr>
        <w:t xml:space="preserve">post-harvest sector </w:t>
      </w:r>
      <w:r w:rsidRPr="00384F0E">
        <w:rPr>
          <w:color w:val="000000"/>
        </w:rPr>
        <w:t>surveys.  Th</w:t>
      </w:r>
      <w:r w:rsidR="002B1DED">
        <w:rPr>
          <w:color w:val="000000"/>
        </w:rPr>
        <w:t xml:space="preserve">e </w:t>
      </w:r>
      <w:r w:rsidR="00F61156">
        <w:rPr>
          <w:color w:val="000000"/>
        </w:rPr>
        <w:t>NMFS</w:t>
      </w:r>
      <w:r w:rsidR="002B1DED" w:rsidRPr="002B1DED">
        <w:rPr>
          <w:color w:val="000000"/>
        </w:rPr>
        <w:t xml:space="preserve"> processed produc</w:t>
      </w:r>
      <w:r w:rsidR="002B1DED">
        <w:rPr>
          <w:color w:val="000000"/>
        </w:rPr>
        <w:t>t sur</w:t>
      </w:r>
      <w:r w:rsidRPr="00384F0E">
        <w:rPr>
          <w:color w:val="000000"/>
        </w:rPr>
        <w:t xml:space="preserve">vey collects contact and location information for processor companies and their plants as well as information on monthly employment and the volume and value of processed products.  It is mandatory in the Northeast Region for some federally-managed species and voluntary elsewhere.  This processed product database may be supplemented in the Alaska Region by using </w:t>
      </w:r>
      <w:r w:rsidR="002B1DED">
        <w:rPr>
          <w:color w:val="000000"/>
        </w:rPr>
        <w:t xml:space="preserve">Federal </w:t>
      </w:r>
      <w:r w:rsidRPr="00384F0E">
        <w:rPr>
          <w:color w:val="000000"/>
        </w:rPr>
        <w:t>processor permit</w:t>
      </w:r>
      <w:r w:rsidR="00B90177">
        <w:rPr>
          <w:color w:val="000000"/>
        </w:rPr>
        <w:t xml:space="preserve">, Federal at-sea groundfish processor weekly productions </w:t>
      </w:r>
      <w:r w:rsidRPr="00384F0E">
        <w:rPr>
          <w:color w:val="000000"/>
        </w:rPr>
        <w:t xml:space="preserve">and </w:t>
      </w:r>
      <w:r w:rsidR="002B1DED">
        <w:rPr>
          <w:color w:val="000000"/>
        </w:rPr>
        <w:t xml:space="preserve">State of Alaska processor </w:t>
      </w:r>
      <w:r w:rsidRPr="00384F0E">
        <w:rPr>
          <w:color w:val="000000"/>
        </w:rPr>
        <w:t>information</w:t>
      </w:r>
      <w:r w:rsidR="00B90177">
        <w:rPr>
          <w:color w:val="000000"/>
        </w:rPr>
        <w:t xml:space="preserve"> that is unique to Alaska.</w:t>
      </w:r>
      <w:r w:rsidRPr="00384F0E">
        <w:rPr>
          <w:color w:val="000000"/>
        </w:rPr>
        <w:t xml:space="preserve">  </w:t>
      </w:r>
    </w:p>
    <w:p w:rsidR="002B1DED" w:rsidRDefault="002B1DED"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2B1DED" w:rsidRPr="00384F0E" w:rsidRDefault="002B1DED"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Pr>
          <w:color w:val="000000"/>
        </w:rPr>
        <w:t xml:space="preserve">There is not a good method for </w:t>
      </w:r>
      <w:r w:rsidRPr="002B1DED">
        <w:rPr>
          <w:color w:val="000000"/>
        </w:rPr>
        <w:t xml:space="preserve">defining the potential respondent universe </w:t>
      </w:r>
      <w:r>
        <w:rPr>
          <w:color w:val="000000"/>
        </w:rPr>
        <w:t>for fishing vessel and post-harvesting sector crew</w:t>
      </w:r>
      <w:r w:rsidR="00854296">
        <w:rPr>
          <w:color w:val="000000"/>
        </w:rPr>
        <w:t>/</w:t>
      </w:r>
      <w:r>
        <w:rPr>
          <w:color w:val="000000"/>
        </w:rPr>
        <w:t xml:space="preserve">employees.  </w:t>
      </w:r>
      <w:r w:rsidR="00854296">
        <w:rPr>
          <w:color w:val="000000"/>
        </w:rPr>
        <w:t>For example, with the ex</w:t>
      </w:r>
      <w:r w:rsidR="00FF72DC">
        <w:rPr>
          <w:color w:val="000000"/>
        </w:rPr>
        <w:t xml:space="preserve">ception of Alaska, there </w:t>
      </w:r>
      <w:proofErr w:type="gramStart"/>
      <w:r w:rsidR="00FF72DC">
        <w:rPr>
          <w:color w:val="000000"/>
        </w:rPr>
        <w:t>are no</w:t>
      </w:r>
      <w:r w:rsidR="00854296">
        <w:rPr>
          <w:color w:val="000000"/>
        </w:rPr>
        <w:t xml:space="preserve"> crew</w:t>
      </w:r>
      <w:proofErr w:type="gramEnd"/>
      <w:r w:rsidR="00854296">
        <w:rPr>
          <w:color w:val="000000"/>
        </w:rPr>
        <w:t xml:space="preserve"> licensing or registration programs.  Therefore, the </w:t>
      </w:r>
      <w:r w:rsidRPr="002B1DED">
        <w:rPr>
          <w:color w:val="000000"/>
        </w:rPr>
        <w:t>sampling strategy for the</w:t>
      </w:r>
      <w:r w:rsidR="00854296">
        <w:rPr>
          <w:color w:val="000000"/>
        </w:rPr>
        <w:t xml:space="preserve">se individuals will make use of the sampling strategies for the vessels or facilities with which they are associated and those entities will be asked for contact information for their crew/employees or intercept surveys </w:t>
      </w:r>
      <w:r w:rsidR="00DC4619">
        <w:rPr>
          <w:color w:val="000000"/>
        </w:rPr>
        <w:t xml:space="preserve">at the sampled vessels and facilities </w:t>
      </w:r>
      <w:r w:rsidR="00854296">
        <w:rPr>
          <w:color w:val="000000"/>
        </w:rPr>
        <w:t>will be used to contact them.</w:t>
      </w:r>
    </w:p>
    <w:p w:rsidR="009D0F4A"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8B1825"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384F0E">
        <w:rPr>
          <w:color w:val="000000"/>
        </w:rPr>
        <w:t xml:space="preserve">In terms of response rates, sampling strategies developed for recent submissions under this clearance show that obtaining a sample mean within 15% of the population mean at the 95% confidence level requires, on average, a response rate of roughly 50%.  Obtaining a sample mean within 10% of the population mean at the 95% confidence level requires, on average, a response rate of roughly 65%.  </w:t>
      </w:r>
    </w:p>
    <w:p w:rsidR="008B1825" w:rsidRPr="00384F0E" w:rsidRDefault="008B1825"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B72AB9" w:rsidRPr="00B72AB9" w:rsidRDefault="00B72AB9" w:rsidP="00B72AB9">
      <w:pPr>
        <w:widowControl/>
        <w:rPr>
          <w:rFonts w:eastAsia="Calibri"/>
          <w:sz w:val="24"/>
          <w:szCs w:val="24"/>
        </w:rPr>
      </w:pPr>
      <w:r w:rsidRPr="00B72AB9">
        <w:rPr>
          <w:rFonts w:eastAsia="Calibri"/>
          <w:sz w:val="24"/>
          <w:szCs w:val="24"/>
        </w:rPr>
        <w:t xml:space="preserve">Response rate information is provided below </w:t>
      </w:r>
      <w:r w:rsidR="00F62D82">
        <w:rPr>
          <w:rFonts w:eastAsia="Calibri"/>
          <w:sz w:val="24"/>
          <w:szCs w:val="24"/>
        </w:rPr>
        <w:t xml:space="preserve">by </w:t>
      </w:r>
      <w:r w:rsidRPr="00B72AB9">
        <w:rPr>
          <w:rFonts w:eastAsia="Calibri"/>
          <w:sz w:val="24"/>
          <w:szCs w:val="24"/>
        </w:rPr>
        <w:t xml:space="preserve">Science Center </w:t>
      </w:r>
      <w:r w:rsidR="00F62D82">
        <w:rPr>
          <w:rFonts w:eastAsia="Calibri"/>
          <w:sz w:val="24"/>
          <w:szCs w:val="24"/>
        </w:rPr>
        <w:t xml:space="preserve">for each of eight </w:t>
      </w:r>
      <w:r w:rsidR="00F62D82" w:rsidRPr="00B72AB9">
        <w:rPr>
          <w:rFonts w:eastAsia="Calibri"/>
          <w:sz w:val="24"/>
          <w:szCs w:val="24"/>
        </w:rPr>
        <w:t>economic data collection surveys for commercial fisheries</w:t>
      </w:r>
      <w:r w:rsidRPr="00B72AB9">
        <w:rPr>
          <w:rFonts w:eastAsia="Calibri"/>
          <w:sz w:val="24"/>
          <w:szCs w:val="24"/>
        </w:rPr>
        <w:t>.</w:t>
      </w:r>
      <w:r w:rsidR="00F62D82">
        <w:rPr>
          <w:rFonts w:eastAsia="Calibri"/>
          <w:sz w:val="24"/>
          <w:szCs w:val="24"/>
        </w:rPr>
        <w:t xml:space="preserve">  These are the most recent surveys conducted </w:t>
      </w:r>
      <w:r w:rsidR="00F62D82" w:rsidRPr="00B72AB9">
        <w:rPr>
          <w:rFonts w:eastAsia="Calibri"/>
          <w:sz w:val="24"/>
          <w:szCs w:val="24"/>
        </w:rPr>
        <w:t xml:space="preserve">under </w:t>
      </w:r>
      <w:r w:rsidR="00F62D82">
        <w:rPr>
          <w:rFonts w:eastAsia="Calibri"/>
          <w:sz w:val="24"/>
          <w:szCs w:val="24"/>
        </w:rPr>
        <w:t>this</w:t>
      </w:r>
      <w:r w:rsidR="00F62D82" w:rsidRPr="00B72AB9">
        <w:rPr>
          <w:rFonts w:eastAsia="Calibri"/>
          <w:sz w:val="24"/>
          <w:szCs w:val="24"/>
        </w:rPr>
        <w:t xml:space="preserve"> Clearance</w:t>
      </w:r>
      <w:r w:rsidR="00F62D82">
        <w:rPr>
          <w:rFonts w:eastAsia="Calibri"/>
          <w:sz w:val="24"/>
          <w:szCs w:val="24"/>
        </w:rPr>
        <w:t>.</w:t>
      </w:r>
    </w:p>
    <w:p w:rsidR="00B72AB9" w:rsidRPr="00B72AB9" w:rsidRDefault="00B72AB9" w:rsidP="00B72AB9">
      <w:pPr>
        <w:widowControl/>
        <w:rPr>
          <w:rFonts w:eastAsia="Calibri"/>
          <w:sz w:val="24"/>
          <w:szCs w:val="24"/>
        </w:rPr>
      </w:pPr>
    </w:p>
    <w:p w:rsidR="00B72AB9" w:rsidRPr="00B72AB9" w:rsidRDefault="00B72AB9" w:rsidP="00B72AB9">
      <w:pPr>
        <w:widowControl/>
        <w:rPr>
          <w:rFonts w:eastAsia="Calibri"/>
          <w:sz w:val="24"/>
          <w:szCs w:val="24"/>
        </w:rPr>
      </w:pPr>
      <w:r w:rsidRPr="00B72AB9">
        <w:rPr>
          <w:rFonts w:eastAsia="Calibri"/>
          <w:sz w:val="24"/>
          <w:szCs w:val="24"/>
        </w:rPr>
        <w:t xml:space="preserve">The </w:t>
      </w:r>
      <w:r w:rsidR="00F62D82">
        <w:rPr>
          <w:rFonts w:eastAsia="Calibri"/>
          <w:sz w:val="24"/>
          <w:szCs w:val="24"/>
        </w:rPr>
        <w:t xml:space="preserve">four surveys conducted by the </w:t>
      </w:r>
      <w:r w:rsidRPr="00B72AB9">
        <w:rPr>
          <w:rFonts w:eastAsia="Calibri"/>
          <w:sz w:val="24"/>
          <w:szCs w:val="24"/>
        </w:rPr>
        <w:t>Northwest Fisheries Science Center and the Pacific States Marine Fisheries Commission were:  (1) the limited entry groundfish trawl fleet survey (2009); (2) the limited entry groundfish fixed gear fleet survey (2009); (3) the open access groundfish/nontribal salmon/crab/shrimp fleet survey (2011); and (4) the limited entry groundfish fixed gear fleet survey (2012).   The 2009 limited entry groundfish trawl survey obtained responses from 73 of the 127 survey population members (a 57% response rate).  The 2009 limited entry groundfish fixed gear survey obtained responses from 50 of 128 vessel owners (a 39% response rate).  The higher response rate among limited entry groundfish trawl vessels was likely due to regulatory events taking place at the time of the surveys, the size of vessel operations, and ownership patterns.  </w:t>
      </w:r>
      <w:r w:rsidR="003630F8">
        <w:rPr>
          <w:rFonts w:eastAsia="Calibri"/>
          <w:sz w:val="24"/>
          <w:szCs w:val="24"/>
        </w:rPr>
        <w:t>The nature of each these three factors is explained below.  First, w</w:t>
      </w:r>
      <w:r w:rsidRPr="00B72AB9">
        <w:rPr>
          <w:rFonts w:eastAsia="Calibri"/>
          <w:sz w:val="24"/>
          <w:szCs w:val="24"/>
        </w:rPr>
        <w:t>hen the limited entry groundfish survey was fielded during 2009 (the trawl and fixed gear components of the survey were fielded simultaneously to minimize the travel costs of in-person interviewers), the Pacific Fisheries Management Council was designing the catch shares management regime that was implemented in 2011 for the limited entry groundfish trawl fishery</w:t>
      </w:r>
      <w:r w:rsidR="003630F8">
        <w:rPr>
          <w:rFonts w:eastAsia="Calibri"/>
          <w:sz w:val="24"/>
          <w:szCs w:val="24"/>
        </w:rPr>
        <w:t xml:space="preserve"> and the </w:t>
      </w:r>
      <w:r w:rsidR="0001448A">
        <w:rPr>
          <w:rFonts w:eastAsia="Calibri"/>
          <w:sz w:val="24"/>
          <w:szCs w:val="24"/>
        </w:rPr>
        <w:t xml:space="preserve">trawl fleet’s </w:t>
      </w:r>
      <w:r w:rsidR="003630F8">
        <w:rPr>
          <w:rFonts w:eastAsia="Calibri"/>
          <w:sz w:val="24"/>
          <w:szCs w:val="24"/>
        </w:rPr>
        <w:t>widespread support</w:t>
      </w:r>
      <w:r w:rsidR="0001448A">
        <w:rPr>
          <w:rFonts w:eastAsia="Calibri"/>
          <w:sz w:val="24"/>
          <w:szCs w:val="24"/>
        </w:rPr>
        <w:t xml:space="preserve"> f</w:t>
      </w:r>
      <w:r w:rsidR="00A27B64">
        <w:rPr>
          <w:rFonts w:eastAsia="Calibri"/>
          <w:sz w:val="24"/>
          <w:szCs w:val="24"/>
        </w:rPr>
        <w:t>or that regime probably contributed to a higher resp</w:t>
      </w:r>
      <w:r w:rsidR="0001448A">
        <w:rPr>
          <w:rFonts w:eastAsia="Calibri"/>
          <w:sz w:val="24"/>
          <w:szCs w:val="24"/>
        </w:rPr>
        <w:t>onse rate for the trawl fleet</w:t>
      </w:r>
      <w:r w:rsidRPr="00B72AB9">
        <w:rPr>
          <w:rFonts w:eastAsia="Calibri"/>
          <w:sz w:val="24"/>
          <w:szCs w:val="24"/>
        </w:rPr>
        <w:t>.  S</w:t>
      </w:r>
      <w:r w:rsidR="0001448A">
        <w:rPr>
          <w:rFonts w:eastAsia="Calibri"/>
          <w:sz w:val="24"/>
          <w:szCs w:val="24"/>
        </w:rPr>
        <w:t>econd, s</w:t>
      </w:r>
      <w:r w:rsidRPr="00B72AB9">
        <w:rPr>
          <w:rFonts w:eastAsia="Calibri"/>
          <w:sz w:val="24"/>
          <w:szCs w:val="24"/>
        </w:rPr>
        <w:t xml:space="preserve">urvey response rates are usually higher for larger scale </w:t>
      </w:r>
      <w:r w:rsidRPr="00B72AB9">
        <w:rPr>
          <w:rFonts w:eastAsia="Calibri"/>
          <w:sz w:val="24"/>
          <w:szCs w:val="24"/>
        </w:rPr>
        <w:lastRenderedPageBreak/>
        <w:t xml:space="preserve">operations, and the typical groundfish trawler is a larger scale operation than the typical groundfish fixed gear vessel.  </w:t>
      </w:r>
      <w:r w:rsidR="0001448A">
        <w:rPr>
          <w:rFonts w:eastAsia="Calibri"/>
          <w:sz w:val="24"/>
          <w:szCs w:val="24"/>
        </w:rPr>
        <w:t>Third, n</w:t>
      </w:r>
      <w:r w:rsidRPr="00B72AB9">
        <w:rPr>
          <w:rFonts w:eastAsia="Calibri"/>
          <w:sz w:val="24"/>
          <w:szCs w:val="24"/>
        </w:rPr>
        <w:t>early 20% of the vessels in the limited entry groundfish fixed gear fleet are owned by members of one family that has historically chosen not to participate in voluntary cost earnings surveys.</w:t>
      </w:r>
    </w:p>
    <w:p w:rsidR="00B72AB9" w:rsidRPr="00B72AB9" w:rsidRDefault="00B72AB9" w:rsidP="00B72AB9">
      <w:pPr>
        <w:widowControl/>
        <w:rPr>
          <w:rFonts w:eastAsia="Calibri"/>
          <w:sz w:val="24"/>
          <w:szCs w:val="24"/>
        </w:rPr>
      </w:pPr>
    </w:p>
    <w:p w:rsidR="00B72AB9" w:rsidRPr="00B72AB9" w:rsidRDefault="00B72AB9" w:rsidP="00B72AB9">
      <w:pPr>
        <w:widowControl/>
        <w:rPr>
          <w:rFonts w:eastAsia="Calibri"/>
          <w:sz w:val="24"/>
          <w:szCs w:val="24"/>
        </w:rPr>
      </w:pPr>
      <w:r w:rsidRPr="00B72AB9">
        <w:rPr>
          <w:rFonts w:eastAsia="Calibri"/>
          <w:sz w:val="24"/>
          <w:szCs w:val="24"/>
        </w:rPr>
        <w:t xml:space="preserve">With the implementation of the catch share management regime in the West Coast groundfish trawl fishery, economic data collection became a mandatory program and was not fielded under this OMB clearance.  Mandatory data collection in the groundfish trawl fishery began with the 2009 fiscal year under OMB </w:t>
      </w:r>
      <w:r w:rsidR="007A7591">
        <w:rPr>
          <w:rFonts w:eastAsia="Calibri"/>
          <w:sz w:val="24"/>
          <w:szCs w:val="24"/>
        </w:rPr>
        <w:t>Control No.</w:t>
      </w:r>
      <w:r w:rsidR="007A7591" w:rsidRPr="00B72AB9">
        <w:rPr>
          <w:rFonts w:eastAsia="Calibri"/>
          <w:sz w:val="24"/>
          <w:szCs w:val="24"/>
        </w:rPr>
        <w:t xml:space="preserve"> </w:t>
      </w:r>
      <w:r w:rsidRPr="00B72AB9">
        <w:rPr>
          <w:rFonts w:eastAsia="Calibri"/>
          <w:sz w:val="24"/>
          <w:szCs w:val="24"/>
        </w:rPr>
        <w:t xml:space="preserve">0648-0618.  The survey of the limited entry groundfish fixed gear fleet conducted during 2011-12 obtained responses from 56 of the 130 vessels in the survey population (a 43% response rate).  </w:t>
      </w:r>
      <w:r w:rsidR="00255564">
        <w:rPr>
          <w:rFonts w:eastAsia="Calibri"/>
          <w:sz w:val="24"/>
          <w:szCs w:val="24"/>
        </w:rPr>
        <w:t xml:space="preserve">Although </w:t>
      </w:r>
      <w:r w:rsidR="00255564" w:rsidRPr="00255564">
        <w:rPr>
          <w:rFonts w:eastAsia="Calibri"/>
          <w:sz w:val="24"/>
          <w:szCs w:val="24"/>
        </w:rPr>
        <w:t>OMB considers nonresponse bias very probabl</w:t>
      </w:r>
      <w:r w:rsidR="00491661">
        <w:rPr>
          <w:rFonts w:eastAsia="Calibri"/>
          <w:sz w:val="24"/>
          <w:szCs w:val="24"/>
        </w:rPr>
        <w:t>e</w:t>
      </w:r>
      <w:r w:rsidR="00255564" w:rsidRPr="00255564">
        <w:rPr>
          <w:rFonts w:eastAsia="Calibri"/>
          <w:sz w:val="24"/>
          <w:szCs w:val="24"/>
        </w:rPr>
        <w:t xml:space="preserve"> if response rate is less than 80%</w:t>
      </w:r>
      <w:r w:rsidR="00255564">
        <w:rPr>
          <w:rFonts w:eastAsia="Calibri"/>
          <w:sz w:val="24"/>
          <w:szCs w:val="24"/>
        </w:rPr>
        <w:t xml:space="preserve">, </w:t>
      </w:r>
      <w:r w:rsidRPr="00B72AB9">
        <w:rPr>
          <w:rFonts w:eastAsia="Calibri"/>
          <w:sz w:val="24"/>
          <w:szCs w:val="24"/>
        </w:rPr>
        <w:t xml:space="preserve"> non-response bias was not statistically significant at the vessel type level</w:t>
      </w:r>
      <w:r w:rsidR="00255564">
        <w:rPr>
          <w:rFonts w:eastAsia="Calibri"/>
          <w:sz w:val="24"/>
          <w:szCs w:val="24"/>
        </w:rPr>
        <w:t xml:space="preserve">.  </w:t>
      </w:r>
      <w:r w:rsidR="00491661">
        <w:rPr>
          <w:rFonts w:eastAsia="Calibri"/>
          <w:sz w:val="24"/>
          <w:szCs w:val="24"/>
        </w:rPr>
        <w:t xml:space="preserve">The statistical test for non-response bias used </w:t>
      </w:r>
      <w:r w:rsidR="00491661" w:rsidRPr="00491661">
        <w:rPr>
          <w:rFonts w:eastAsia="Calibri"/>
          <w:sz w:val="24"/>
          <w:szCs w:val="24"/>
        </w:rPr>
        <w:t xml:space="preserve">data on vessel physical characteristics and landings (location, timing, gear, species, weight, and revenue) </w:t>
      </w:r>
      <w:r w:rsidR="00491661">
        <w:rPr>
          <w:rFonts w:eastAsia="Calibri"/>
          <w:sz w:val="24"/>
          <w:szCs w:val="24"/>
        </w:rPr>
        <w:t xml:space="preserve">that </w:t>
      </w:r>
      <w:r w:rsidR="00FA5100">
        <w:rPr>
          <w:rFonts w:eastAsia="Calibri"/>
          <w:sz w:val="24"/>
          <w:szCs w:val="24"/>
        </w:rPr>
        <w:t>were</w:t>
      </w:r>
      <w:r w:rsidR="00491661">
        <w:rPr>
          <w:rFonts w:eastAsia="Calibri"/>
          <w:sz w:val="24"/>
          <w:szCs w:val="24"/>
        </w:rPr>
        <w:t xml:space="preserve"> </w:t>
      </w:r>
      <w:r w:rsidR="00491661" w:rsidRPr="00491661">
        <w:rPr>
          <w:rFonts w:eastAsia="Calibri"/>
          <w:sz w:val="24"/>
          <w:szCs w:val="24"/>
        </w:rPr>
        <w:t>available for both survey respondents and non-respondents</w:t>
      </w:r>
      <w:r w:rsidR="00491661">
        <w:rPr>
          <w:rFonts w:eastAsia="Calibri"/>
          <w:sz w:val="24"/>
          <w:szCs w:val="24"/>
        </w:rPr>
        <w:t xml:space="preserve">.  </w:t>
      </w:r>
      <w:r w:rsidR="00255564">
        <w:rPr>
          <w:rFonts w:eastAsia="Calibri"/>
          <w:sz w:val="24"/>
          <w:szCs w:val="24"/>
        </w:rPr>
        <w:t xml:space="preserve">However, </w:t>
      </w:r>
      <w:r w:rsidRPr="00B72AB9">
        <w:rPr>
          <w:rFonts w:eastAsia="Calibri"/>
          <w:sz w:val="24"/>
          <w:szCs w:val="24"/>
        </w:rPr>
        <w:t>the calculation of summary statistics for the entire limited entry groundfish fixed gear fleet required weighting survey responses due to different response rates across vessel types.</w:t>
      </w:r>
    </w:p>
    <w:p w:rsidR="00B72AB9" w:rsidRPr="00B72AB9" w:rsidRDefault="00B72AB9" w:rsidP="00B72AB9">
      <w:pPr>
        <w:widowControl/>
        <w:rPr>
          <w:rFonts w:eastAsia="Calibri"/>
          <w:sz w:val="24"/>
          <w:szCs w:val="24"/>
        </w:rPr>
      </w:pPr>
    </w:p>
    <w:p w:rsidR="00B72AB9" w:rsidRPr="00B72AB9" w:rsidRDefault="00B72AB9" w:rsidP="00B72AB9">
      <w:pPr>
        <w:widowControl/>
        <w:rPr>
          <w:rFonts w:eastAsia="Calibri"/>
          <w:sz w:val="24"/>
          <w:szCs w:val="24"/>
        </w:rPr>
      </w:pPr>
      <w:r w:rsidRPr="00B72AB9">
        <w:rPr>
          <w:rFonts w:eastAsia="Calibri"/>
          <w:sz w:val="24"/>
          <w:szCs w:val="24"/>
        </w:rPr>
        <w:t>The open access s</w:t>
      </w:r>
      <w:r w:rsidR="00C34369">
        <w:rPr>
          <w:rFonts w:eastAsia="Calibri"/>
          <w:sz w:val="24"/>
          <w:szCs w:val="24"/>
        </w:rPr>
        <w:t>urvey conducted in 2011 collected</w:t>
      </w:r>
      <w:r w:rsidRPr="00B72AB9">
        <w:rPr>
          <w:rFonts w:eastAsia="Calibri"/>
          <w:sz w:val="24"/>
          <w:szCs w:val="24"/>
        </w:rPr>
        <w:t xml:space="preserve"> similar data to the limited entry groundfish trawl and fixed gear surveys discussed above, but differences in survey population size and available contact information for survey population members necessitate</w:t>
      </w:r>
      <w:r w:rsidR="00C34369">
        <w:rPr>
          <w:rFonts w:eastAsia="Calibri"/>
          <w:sz w:val="24"/>
          <w:szCs w:val="24"/>
        </w:rPr>
        <w:t>d</w:t>
      </w:r>
      <w:r w:rsidRPr="00B72AB9">
        <w:rPr>
          <w:rFonts w:eastAsia="Calibri"/>
          <w:sz w:val="24"/>
          <w:szCs w:val="24"/>
        </w:rPr>
        <w:t xml:space="preserve"> some differences in fielding methodology.  This survey covered vessels that participate in four West Coast fisheries --- groundfish, salmon, crab, and shrimp.  While the limited entry groundfish trawl and limited entry groundfish fixed gear surveys each had survey populations of less than 150 vessels, the open access survey had a survey population of more than 1,700 vessels.  While telephone numbers were available for all members of the limited entry groundfish fleet, telephone numbers for the open access survey were obtained through a public records search based on vessel owner name and address.  This public records search provided telephone numbers for 60% of the survey population members.</w:t>
      </w:r>
    </w:p>
    <w:p w:rsidR="00B72AB9" w:rsidRPr="00B72AB9" w:rsidRDefault="00B72AB9" w:rsidP="00B72AB9">
      <w:pPr>
        <w:widowControl/>
        <w:rPr>
          <w:rFonts w:eastAsia="Calibri"/>
          <w:sz w:val="24"/>
          <w:szCs w:val="24"/>
        </w:rPr>
      </w:pPr>
    </w:p>
    <w:p w:rsidR="00B72AB9" w:rsidRPr="00B72AB9" w:rsidRDefault="00B72AB9" w:rsidP="00B72AB9">
      <w:pPr>
        <w:widowControl/>
        <w:rPr>
          <w:rFonts w:eastAsia="Calibri"/>
          <w:sz w:val="24"/>
          <w:szCs w:val="24"/>
        </w:rPr>
      </w:pPr>
      <w:r w:rsidRPr="00B72AB9">
        <w:rPr>
          <w:rFonts w:eastAsia="Calibri"/>
          <w:sz w:val="24"/>
          <w:szCs w:val="24"/>
        </w:rPr>
        <w:t>The open access survey population included 1,712 vessels, and telephone numbers were available for 1,020 of the 1,712 vessel owners.  Each of the 1,712 vessels in the survey population was placed in either the telephone sample (1,020 vessels) or the non-telephone sample (692 vessels). There were no statistically significant differences between vessels in the telephone sample and vessels in the non-telephone sample.  Survey responses were obtained from 601 of the 1,020 vessels owners in the telephone sample (a 59% response rate).   Survey responses were received from 162 of the 692 vessels owners in the non-telephone sample (a 23% response rate).  Overall, survey responses were received from 763 of the 1,712 vessels in the survey pop</w:t>
      </w:r>
      <w:r>
        <w:rPr>
          <w:rFonts w:eastAsia="Calibri"/>
          <w:sz w:val="24"/>
          <w:szCs w:val="24"/>
        </w:rPr>
        <w:t>ulation (a 45% response rate).</w:t>
      </w:r>
    </w:p>
    <w:p w:rsidR="00B72AB9" w:rsidRPr="00B72AB9" w:rsidRDefault="00B72AB9" w:rsidP="00B72AB9">
      <w:pPr>
        <w:widowControl/>
        <w:rPr>
          <w:sz w:val="24"/>
          <w:szCs w:val="22"/>
        </w:rPr>
      </w:pPr>
    </w:p>
    <w:p w:rsidR="002D6D9B" w:rsidRDefault="00B72AB9" w:rsidP="002D6D9B">
      <w:pPr>
        <w:widowControl/>
        <w:rPr>
          <w:sz w:val="24"/>
          <w:szCs w:val="22"/>
        </w:rPr>
      </w:pPr>
      <w:r w:rsidRPr="00B72AB9">
        <w:rPr>
          <w:rFonts w:eastAsia="Calibri"/>
          <w:sz w:val="24"/>
          <w:szCs w:val="24"/>
        </w:rPr>
        <w:t xml:space="preserve">In 2010, the Southwest Fisheries Science Center conducted cost and earnings surveys for the </w:t>
      </w:r>
      <w:r w:rsidRPr="00B72AB9">
        <w:rPr>
          <w:sz w:val="24"/>
          <w:szCs w:val="22"/>
        </w:rPr>
        <w:t xml:space="preserve">large-mesh drift gillnet (DGN) and harpoon (HPN) vessels.  There were a prospective 81 active </w:t>
      </w:r>
      <w:r w:rsidR="00E76ED7">
        <w:rPr>
          <w:sz w:val="24"/>
          <w:szCs w:val="22"/>
        </w:rPr>
        <w:t xml:space="preserve">vessels </w:t>
      </w:r>
      <w:r w:rsidRPr="00B72AB9">
        <w:rPr>
          <w:sz w:val="24"/>
          <w:szCs w:val="22"/>
        </w:rPr>
        <w:t xml:space="preserve">in the survey population, including 5 </w:t>
      </w:r>
      <w:r w:rsidR="00E76ED7">
        <w:rPr>
          <w:sz w:val="24"/>
          <w:szCs w:val="22"/>
        </w:rPr>
        <w:t xml:space="preserve">that </w:t>
      </w:r>
      <w:r w:rsidRPr="00B72AB9">
        <w:rPr>
          <w:sz w:val="24"/>
          <w:szCs w:val="22"/>
        </w:rPr>
        <w:t xml:space="preserve">participated in </w:t>
      </w:r>
      <w:proofErr w:type="gramStart"/>
      <w:r w:rsidRPr="00B72AB9">
        <w:rPr>
          <w:sz w:val="24"/>
          <w:szCs w:val="22"/>
        </w:rPr>
        <w:t>both fisheries</w:t>
      </w:r>
      <w:proofErr w:type="gramEnd"/>
      <w:r w:rsidRPr="00B72AB9">
        <w:rPr>
          <w:sz w:val="24"/>
          <w:szCs w:val="22"/>
        </w:rPr>
        <w:t xml:space="preserve">, 44 DGN-only </w:t>
      </w:r>
      <w:r w:rsidR="00E76ED7">
        <w:rPr>
          <w:sz w:val="24"/>
          <w:szCs w:val="22"/>
        </w:rPr>
        <w:t xml:space="preserve">vessels </w:t>
      </w:r>
      <w:r w:rsidRPr="00B72AB9">
        <w:rPr>
          <w:sz w:val="24"/>
          <w:szCs w:val="22"/>
        </w:rPr>
        <w:t xml:space="preserve">and 32 HPN-only </w:t>
      </w:r>
      <w:r w:rsidR="00E76ED7">
        <w:rPr>
          <w:sz w:val="24"/>
          <w:szCs w:val="22"/>
        </w:rPr>
        <w:t>vessels</w:t>
      </w:r>
      <w:r w:rsidRPr="00B72AB9">
        <w:rPr>
          <w:sz w:val="24"/>
          <w:szCs w:val="22"/>
        </w:rPr>
        <w:t xml:space="preserve">. Responses were obtained from 12 (24%) of </w:t>
      </w:r>
      <w:r w:rsidR="00E76ED7">
        <w:rPr>
          <w:sz w:val="24"/>
          <w:szCs w:val="22"/>
        </w:rPr>
        <w:t xml:space="preserve">the </w:t>
      </w:r>
      <w:r w:rsidR="00E76ED7" w:rsidRPr="00B72AB9">
        <w:rPr>
          <w:sz w:val="24"/>
          <w:szCs w:val="22"/>
        </w:rPr>
        <w:t xml:space="preserve">49 </w:t>
      </w:r>
      <w:r w:rsidRPr="00B72AB9">
        <w:rPr>
          <w:sz w:val="24"/>
          <w:szCs w:val="22"/>
        </w:rPr>
        <w:t>DGN vessels</w:t>
      </w:r>
      <w:r w:rsidR="00E76ED7">
        <w:rPr>
          <w:sz w:val="24"/>
          <w:szCs w:val="22"/>
        </w:rPr>
        <w:t xml:space="preserve">, </w:t>
      </w:r>
      <w:r w:rsidRPr="00B72AB9">
        <w:rPr>
          <w:sz w:val="24"/>
          <w:szCs w:val="22"/>
        </w:rPr>
        <w:t xml:space="preserve">17 </w:t>
      </w:r>
      <w:r w:rsidR="00E76ED7" w:rsidRPr="00B72AB9">
        <w:rPr>
          <w:sz w:val="24"/>
          <w:szCs w:val="22"/>
        </w:rPr>
        <w:t xml:space="preserve">(46%) </w:t>
      </w:r>
      <w:r w:rsidRPr="00B72AB9">
        <w:rPr>
          <w:sz w:val="24"/>
          <w:szCs w:val="22"/>
        </w:rPr>
        <w:t xml:space="preserve">of </w:t>
      </w:r>
      <w:r w:rsidR="00E76ED7">
        <w:rPr>
          <w:sz w:val="24"/>
          <w:szCs w:val="22"/>
        </w:rPr>
        <w:t xml:space="preserve">the </w:t>
      </w:r>
      <w:r w:rsidRPr="00B72AB9">
        <w:rPr>
          <w:sz w:val="24"/>
          <w:szCs w:val="22"/>
        </w:rPr>
        <w:t xml:space="preserve">37 HPN </w:t>
      </w:r>
      <w:r w:rsidR="001B6352">
        <w:rPr>
          <w:sz w:val="24"/>
          <w:szCs w:val="22"/>
        </w:rPr>
        <w:t>vessels</w:t>
      </w:r>
      <w:r w:rsidR="00E76ED7">
        <w:rPr>
          <w:sz w:val="24"/>
          <w:szCs w:val="22"/>
        </w:rPr>
        <w:t xml:space="preserve"> and </w:t>
      </w:r>
      <w:r w:rsidR="00E76ED7" w:rsidRPr="00E76ED7">
        <w:rPr>
          <w:sz w:val="24"/>
          <w:szCs w:val="22"/>
        </w:rPr>
        <w:t xml:space="preserve">29 </w:t>
      </w:r>
      <w:r w:rsidR="00E76ED7">
        <w:rPr>
          <w:sz w:val="24"/>
          <w:szCs w:val="22"/>
        </w:rPr>
        <w:t xml:space="preserve">(36%) </w:t>
      </w:r>
      <w:r w:rsidR="00E76ED7" w:rsidRPr="00E76ED7">
        <w:rPr>
          <w:sz w:val="24"/>
          <w:szCs w:val="22"/>
        </w:rPr>
        <w:t xml:space="preserve">of </w:t>
      </w:r>
      <w:r w:rsidR="00E76ED7">
        <w:rPr>
          <w:sz w:val="24"/>
          <w:szCs w:val="22"/>
        </w:rPr>
        <w:t xml:space="preserve">the total of </w:t>
      </w:r>
      <w:r w:rsidR="00E76ED7" w:rsidRPr="00E76ED7">
        <w:rPr>
          <w:sz w:val="24"/>
          <w:szCs w:val="22"/>
        </w:rPr>
        <w:t>81</w:t>
      </w:r>
      <w:r w:rsidR="00E76ED7">
        <w:rPr>
          <w:sz w:val="24"/>
          <w:szCs w:val="22"/>
        </w:rPr>
        <w:t xml:space="preserve"> vessels</w:t>
      </w:r>
      <w:r w:rsidRPr="00B72AB9">
        <w:rPr>
          <w:sz w:val="24"/>
          <w:szCs w:val="22"/>
        </w:rPr>
        <w:t xml:space="preserve">. The lower-than-anticipated response rate to the survey likely reflects severe attrition from participation in the </w:t>
      </w:r>
      <w:r w:rsidRPr="00B72AB9">
        <w:rPr>
          <w:sz w:val="24"/>
          <w:szCs w:val="22"/>
        </w:rPr>
        <w:lastRenderedPageBreak/>
        <w:t>DGN fishery in recent years, aging of the fleet, and poor recent experience in the swordfish fishery around the time the survey was conducted due to unusually cold waters off the California West Coast.  Despite the low response rate, the data collected are valuable for addressing questions of interest regarding the relative economic viability of DGN versus HPN as a means of targeting swordfish in the U.S. West Coast EEZ.</w:t>
      </w:r>
      <w:r w:rsidR="002D6D9B" w:rsidRPr="002D6D9B">
        <w:rPr>
          <w:sz w:val="24"/>
          <w:szCs w:val="22"/>
        </w:rPr>
        <w:t xml:space="preserve"> </w:t>
      </w:r>
    </w:p>
    <w:p w:rsidR="002D6D9B" w:rsidRDefault="002D6D9B" w:rsidP="002D6D9B">
      <w:pPr>
        <w:widowControl/>
        <w:rPr>
          <w:sz w:val="24"/>
          <w:szCs w:val="22"/>
        </w:rPr>
      </w:pPr>
    </w:p>
    <w:p w:rsidR="001B6352" w:rsidRPr="001B6352" w:rsidRDefault="00B72AB9" w:rsidP="001B6352">
      <w:pPr>
        <w:pStyle w:val="NoSpacing"/>
        <w:rPr>
          <w:szCs w:val="22"/>
        </w:rPr>
      </w:pPr>
      <w:r w:rsidRPr="00B72AB9">
        <w:rPr>
          <w:rFonts w:eastAsia="Calibri"/>
          <w:szCs w:val="24"/>
        </w:rPr>
        <w:t xml:space="preserve">The </w:t>
      </w:r>
      <w:r w:rsidR="002D6D9B">
        <w:rPr>
          <w:rFonts w:eastAsia="Calibri"/>
          <w:szCs w:val="24"/>
        </w:rPr>
        <w:t xml:space="preserve">Pacific Islands </w:t>
      </w:r>
      <w:r w:rsidRPr="00B72AB9">
        <w:rPr>
          <w:rFonts w:eastAsia="Calibri"/>
          <w:szCs w:val="24"/>
        </w:rPr>
        <w:t xml:space="preserve">Fisheries Science Center </w:t>
      </w:r>
      <w:r w:rsidR="002D6D9B">
        <w:rPr>
          <w:rFonts w:eastAsia="Calibri"/>
          <w:szCs w:val="24"/>
        </w:rPr>
        <w:t xml:space="preserve">has </w:t>
      </w:r>
      <w:r w:rsidRPr="00B72AB9">
        <w:rPr>
          <w:rFonts w:eastAsia="Calibri"/>
          <w:szCs w:val="24"/>
        </w:rPr>
        <w:t xml:space="preserve">conducted </w:t>
      </w:r>
      <w:r w:rsidR="001B6352">
        <w:rPr>
          <w:rFonts w:eastAsia="Calibri"/>
          <w:szCs w:val="24"/>
        </w:rPr>
        <w:t>th</w:t>
      </w:r>
      <w:r w:rsidR="00F62D82">
        <w:rPr>
          <w:rFonts w:eastAsia="Calibri"/>
          <w:szCs w:val="24"/>
        </w:rPr>
        <w:t xml:space="preserve">e following three </w:t>
      </w:r>
      <w:r w:rsidRPr="00B72AB9">
        <w:rPr>
          <w:rFonts w:eastAsia="Calibri"/>
          <w:szCs w:val="24"/>
        </w:rPr>
        <w:t>surveys</w:t>
      </w:r>
      <w:r w:rsidR="00F62D82">
        <w:rPr>
          <w:rFonts w:eastAsia="Calibri"/>
          <w:szCs w:val="24"/>
        </w:rPr>
        <w:t xml:space="preserve">: </w:t>
      </w:r>
      <w:r w:rsidRPr="00B72AB9">
        <w:rPr>
          <w:rFonts w:eastAsia="Calibri"/>
          <w:szCs w:val="24"/>
        </w:rPr>
        <w:t xml:space="preserve"> (1)</w:t>
      </w:r>
      <w:r w:rsidR="002D6D9B">
        <w:rPr>
          <w:rFonts w:eastAsia="Calibri"/>
          <w:szCs w:val="24"/>
        </w:rPr>
        <w:t xml:space="preserve"> </w:t>
      </w:r>
      <w:r w:rsidR="001B6352">
        <w:rPr>
          <w:rFonts w:eastAsia="Calibri"/>
          <w:szCs w:val="24"/>
        </w:rPr>
        <w:t xml:space="preserve">the </w:t>
      </w:r>
      <w:r w:rsidR="001B6352" w:rsidRPr="001B6352">
        <w:rPr>
          <w:szCs w:val="22"/>
        </w:rPr>
        <w:t>Main Hawa</w:t>
      </w:r>
      <w:r w:rsidR="001B6352">
        <w:rPr>
          <w:szCs w:val="22"/>
        </w:rPr>
        <w:t xml:space="preserve">iian Islands </w:t>
      </w:r>
      <w:proofErr w:type="spellStart"/>
      <w:r w:rsidR="001B6352">
        <w:rPr>
          <w:szCs w:val="22"/>
        </w:rPr>
        <w:t>Bottomfish</w:t>
      </w:r>
      <w:proofErr w:type="spellEnd"/>
      <w:r w:rsidR="001B6352">
        <w:rPr>
          <w:szCs w:val="22"/>
        </w:rPr>
        <w:t xml:space="preserve"> fishery survey (</w:t>
      </w:r>
      <w:r w:rsidR="001B6352" w:rsidRPr="001B6352">
        <w:rPr>
          <w:szCs w:val="22"/>
        </w:rPr>
        <w:t>2010</w:t>
      </w:r>
      <w:r w:rsidR="001B6352">
        <w:rPr>
          <w:szCs w:val="22"/>
        </w:rPr>
        <w:t>);</w:t>
      </w:r>
      <w:r w:rsidR="001B6352" w:rsidRPr="001B6352">
        <w:rPr>
          <w:szCs w:val="22"/>
        </w:rPr>
        <w:t xml:space="preserve"> (2) </w:t>
      </w:r>
      <w:r w:rsidR="001B6352">
        <w:rPr>
          <w:szCs w:val="22"/>
        </w:rPr>
        <w:t xml:space="preserve">the </w:t>
      </w:r>
      <w:r w:rsidR="001B6352" w:rsidRPr="001B6352">
        <w:rPr>
          <w:szCs w:val="22"/>
        </w:rPr>
        <w:t xml:space="preserve">Marianas small boat fleet (Guam and the </w:t>
      </w:r>
      <w:r w:rsidR="007A7591">
        <w:rPr>
          <w:szCs w:val="22"/>
        </w:rPr>
        <w:t>Commonwealth of the Northern Marianas Islands (</w:t>
      </w:r>
      <w:r w:rsidR="001B6352" w:rsidRPr="001B6352">
        <w:rPr>
          <w:szCs w:val="22"/>
        </w:rPr>
        <w:t xml:space="preserve">CNMI) </w:t>
      </w:r>
      <w:r w:rsidR="001B6352">
        <w:rPr>
          <w:szCs w:val="22"/>
        </w:rPr>
        <w:t>survey (</w:t>
      </w:r>
      <w:r w:rsidR="001B6352" w:rsidRPr="001B6352">
        <w:rPr>
          <w:szCs w:val="22"/>
        </w:rPr>
        <w:t>2011</w:t>
      </w:r>
      <w:r w:rsidR="001B6352">
        <w:rPr>
          <w:szCs w:val="22"/>
        </w:rPr>
        <w:t xml:space="preserve">); </w:t>
      </w:r>
      <w:r w:rsidR="001B6352" w:rsidRPr="001B6352">
        <w:rPr>
          <w:szCs w:val="22"/>
        </w:rPr>
        <w:t xml:space="preserve">and (3) </w:t>
      </w:r>
      <w:r w:rsidR="001B6352">
        <w:rPr>
          <w:szCs w:val="22"/>
        </w:rPr>
        <w:t xml:space="preserve">the </w:t>
      </w:r>
      <w:r w:rsidR="001B6352" w:rsidRPr="001B6352">
        <w:rPr>
          <w:szCs w:val="22"/>
        </w:rPr>
        <w:t>Hawaii Charter/For-Hire Fishing Fleet</w:t>
      </w:r>
      <w:r w:rsidR="001B6352">
        <w:rPr>
          <w:szCs w:val="22"/>
        </w:rPr>
        <w:t xml:space="preserve"> survey (2012)</w:t>
      </w:r>
      <w:r w:rsidR="001B6352" w:rsidRPr="001B6352">
        <w:rPr>
          <w:szCs w:val="22"/>
        </w:rPr>
        <w:t xml:space="preserve">. </w:t>
      </w:r>
      <w:r w:rsidR="001B6352">
        <w:rPr>
          <w:szCs w:val="22"/>
        </w:rPr>
        <w:t xml:space="preserve"> </w:t>
      </w:r>
      <w:r w:rsidR="001B6352" w:rsidRPr="001B6352">
        <w:rPr>
          <w:szCs w:val="22"/>
        </w:rPr>
        <w:t xml:space="preserve">Response rates for surveys in the Hawaiian Islands were similar across efforts with 519 of 1012 (51%) </w:t>
      </w:r>
      <w:proofErr w:type="spellStart"/>
      <w:r w:rsidR="001B6352" w:rsidRPr="001B6352">
        <w:rPr>
          <w:szCs w:val="22"/>
        </w:rPr>
        <w:t>bottomfish</w:t>
      </w:r>
      <w:proofErr w:type="spellEnd"/>
      <w:r w:rsidR="001B6352" w:rsidRPr="001B6352">
        <w:rPr>
          <w:szCs w:val="22"/>
        </w:rPr>
        <w:t xml:space="preserve"> fishermen completing the survey, whereas 81 of 170 (48%) charter fishing operations completed surveys. </w:t>
      </w:r>
      <w:r w:rsidR="001B6352">
        <w:rPr>
          <w:szCs w:val="22"/>
        </w:rPr>
        <w:t xml:space="preserve"> </w:t>
      </w:r>
      <w:r w:rsidR="001B6352" w:rsidRPr="001B6352">
        <w:rPr>
          <w:szCs w:val="22"/>
        </w:rPr>
        <w:t xml:space="preserve">While the Hawaii-based surveys were conducted through mail-based survey methods, the logistics for the survey in the Marianas was much more difficult. </w:t>
      </w:r>
      <w:r w:rsidR="001B6352">
        <w:rPr>
          <w:szCs w:val="22"/>
        </w:rPr>
        <w:t>Because t</w:t>
      </w:r>
      <w:r w:rsidR="001B6352" w:rsidRPr="001B6352">
        <w:rPr>
          <w:szCs w:val="22"/>
        </w:rPr>
        <w:t>here are no license or reporting requirements</w:t>
      </w:r>
      <w:r w:rsidR="001B6352">
        <w:rPr>
          <w:szCs w:val="22"/>
        </w:rPr>
        <w:t xml:space="preserve"> and because </w:t>
      </w:r>
      <w:r w:rsidR="001B6352" w:rsidRPr="001B6352">
        <w:rPr>
          <w:szCs w:val="22"/>
        </w:rPr>
        <w:t xml:space="preserve">there </w:t>
      </w:r>
      <w:r w:rsidR="001B6352">
        <w:rPr>
          <w:szCs w:val="22"/>
        </w:rPr>
        <w:t xml:space="preserve">are </w:t>
      </w:r>
      <w:r w:rsidR="001B6352" w:rsidRPr="001B6352">
        <w:rPr>
          <w:szCs w:val="22"/>
        </w:rPr>
        <w:t>tight-knit fishing communit</w:t>
      </w:r>
      <w:r w:rsidR="001B6352">
        <w:rPr>
          <w:szCs w:val="22"/>
        </w:rPr>
        <w:t xml:space="preserve">ies, </w:t>
      </w:r>
      <w:r w:rsidR="001B6352" w:rsidRPr="001B6352">
        <w:rPr>
          <w:szCs w:val="22"/>
        </w:rPr>
        <w:t xml:space="preserve">non-probabilistic methods were implemented including a number of community meetings coupled with in-person interviews with key members of the fishing community. Therefore, comparable response rates are not available for this survey effort. </w:t>
      </w:r>
      <w:r w:rsidR="001B6352">
        <w:rPr>
          <w:szCs w:val="22"/>
        </w:rPr>
        <w:t xml:space="preserve"> </w:t>
      </w:r>
      <w:r w:rsidR="001B6352" w:rsidRPr="001B6352">
        <w:rPr>
          <w:szCs w:val="22"/>
        </w:rPr>
        <w:t>A total of 260 surveys were completed across the Marianas Archipelago (Guam (n=146), Saipan (n=95), Tinian (n=11), and Rota (n=8))</w:t>
      </w:r>
      <w:r w:rsidR="001F579C">
        <w:rPr>
          <w:szCs w:val="22"/>
        </w:rPr>
        <w:t xml:space="preserve"> by fishermen who </w:t>
      </w:r>
      <w:r w:rsidR="001F579C" w:rsidRPr="001F579C">
        <w:rPr>
          <w:szCs w:val="22"/>
        </w:rPr>
        <w:t>attended the community meetings</w:t>
      </w:r>
      <w:r w:rsidR="001B6352" w:rsidRPr="001B6352">
        <w:rPr>
          <w:szCs w:val="22"/>
        </w:rPr>
        <w:t xml:space="preserve">. </w:t>
      </w:r>
      <w:r w:rsidR="001B6352">
        <w:rPr>
          <w:szCs w:val="22"/>
        </w:rPr>
        <w:t xml:space="preserve"> </w:t>
      </w:r>
      <w:r w:rsidR="001F579C" w:rsidRPr="001F579C">
        <w:rPr>
          <w:szCs w:val="22"/>
        </w:rPr>
        <w:t xml:space="preserve">The </w:t>
      </w:r>
      <w:r w:rsidR="001F579C">
        <w:rPr>
          <w:szCs w:val="22"/>
        </w:rPr>
        <w:t xml:space="preserve">people </w:t>
      </w:r>
      <w:r w:rsidR="001F579C" w:rsidRPr="001F579C">
        <w:rPr>
          <w:szCs w:val="22"/>
        </w:rPr>
        <w:t xml:space="preserve">attending the meetings who did not complete surveys were ineligible (either family members that do not fish on boats or strictly shore-based fishermen). </w:t>
      </w:r>
      <w:r w:rsidR="001B6352" w:rsidRPr="001B6352">
        <w:rPr>
          <w:szCs w:val="22"/>
        </w:rPr>
        <w:t xml:space="preserve">By all accounts from </w:t>
      </w:r>
      <w:proofErr w:type="gramStart"/>
      <w:r w:rsidR="001B6352" w:rsidRPr="001B6352">
        <w:rPr>
          <w:szCs w:val="22"/>
        </w:rPr>
        <w:t>individuals</w:t>
      </w:r>
      <w:proofErr w:type="gramEnd"/>
      <w:r w:rsidR="001B6352" w:rsidRPr="001B6352">
        <w:rPr>
          <w:szCs w:val="22"/>
        </w:rPr>
        <w:t xml:space="preserve"> familiar with these fishing communities</w:t>
      </w:r>
      <w:r w:rsidR="001F579C">
        <w:rPr>
          <w:szCs w:val="22"/>
        </w:rPr>
        <w:t>,</w:t>
      </w:r>
      <w:r w:rsidR="001B6352" w:rsidRPr="001B6352">
        <w:rPr>
          <w:szCs w:val="22"/>
        </w:rPr>
        <w:t xml:space="preserve"> we are comfortable that we obtained a representative sample of active small boat fishermen from these fishing communities.</w:t>
      </w:r>
    </w:p>
    <w:p w:rsidR="00B72AB9" w:rsidRDefault="00B72AB9" w:rsidP="00B72AB9">
      <w:pPr>
        <w:widowControl/>
        <w:rPr>
          <w:sz w:val="24"/>
          <w:szCs w:val="22"/>
        </w:rPr>
      </w:pPr>
    </w:p>
    <w:p w:rsidR="009D0F4A" w:rsidRPr="00384F0E" w:rsidRDefault="009D0F4A" w:rsidP="00384F0E">
      <w:pPr>
        <w:rPr>
          <w:color w:val="000000"/>
          <w:sz w:val="24"/>
          <w:szCs w:val="24"/>
        </w:rPr>
      </w:pPr>
      <w:r w:rsidRPr="00384F0E">
        <w:rPr>
          <w:color w:val="000000"/>
          <w:sz w:val="24"/>
          <w:szCs w:val="24"/>
        </w:rPr>
        <w:t>Based on these results</w:t>
      </w:r>
      <w:r w:rsidR="001B6352">
        <w:rPr>
          <w:color w:val="000000"/>
          <w:sz w:val="24"/>
          <w:szCs w:val="24"/>
        </w:rPr>
        <w:t xml:space="preserve">, </w:t>
      </w:r>
      <w:r w:rsidR="001B6352" w:rsidRPr="00384F0E">
        <w:rPr>
          <w:color w:val="000000"/>
          <w:sz w:val="24"/>
          <w:szCs w:val="24"/>
        </w:rPr>
        <w:t>due</w:t>
      </w:r>
      <w:r w:rsidR="001B6352">
        <w:rPr>
          <w:color w:val="000000"/>
          <w:sz w:val="24"/>
          <w:szCs w:val="24"/>
        </w:rPr>
        <w:t xml:space="preserve"> to</w:t>
      </w:r>
      <w:r w:rsidR="001B6352" w:rsidRPr="00384F0E">
        <w:rPr>
          <w:color w:val="000000"/>
          <w:sz w:val="24"/>
          <w:szCs w:val="24"/>
        </w:rPr>
        <w:t xml:space="preserve"> lessons learned regarding the use of in-person interviews </w:t>
      </w:r>
      <w:r w:rsidR="000E07AB">
        <w:rPr>
          <w:color w:val="000000"/>
          <w:sz w:val="24"/>
          <w:szCs w:val="24"/>
        </w:rPr>
        <w:t xml:space="preserve">and </w:t>
      </w:r>
      <w:bookmarkStart w:id="0" w:name="_GoBack"/>
      <w:bookmarkEnd w:id="0"/>
      <w:r w:rsidR="001B6352" w:rsidRPr="00384F0E">
        <w:rPr>
          <w:color w:val="000000"/>
          <w:sz w:val="24"/>
          <w:szCs w:val="24"/>
        </w:rPr>
        <w:t>telephone follow-up</w:t>
      </w:r>
      <w:r w:rsidR="000E07AB">
        <w:rPr>
          <w:color w:val="000000"/>
          <w:sz w:val="24"/>
          <w:szCs w:val="24"/>
        </w:rPr>
        <w:t xml:space="preserve"> to mail surveys,</w:t>
      </w:r>
      <w:r w:rsidR="001B6352" w:rsidRPr="00384F0E">
        <w:rPr>
          <w:color w:val="000000"/>
          <w:sz w:val="24"/>
          <w:szCs w:val="24"/>
        </w:rPr>
        <w:t xml:space="preserve"> </w:t>
      </w:r>
      <w:r w:rsidR="001B6352">
        <w:rPr>
          <w:color w:val="000000"/>
          <w:sz w:val="24"/>
          <w:szCs w:val="24"/>
        </w:rPr>
        <w:t xml:space="preserve">and due to planned efforts to obtain </w:t>
      </w:r>
      <w:r w:rsidR="001B6352" w:rsidRPr="00384F0E">
        <w:rPr>
          <w:color w:val="000000"/>
          <w:sz w:val="24"/>
          <w:szCs w:val="24"/>
        </w:rPr>
        <w:t>higher industry involvement and support for the data collection</w:t>
      </w:r>
      <w:r w:rsidRPr="00384F0E">
        <w:rPr>
          <w:color w:val="000000"/>
          <w:sz w:val="24"/>
          <w:szCs w:val="24"/>
        </w:rPr>
        <w:t xml:space="preserve">, </w:t>
      </w:r>
      <w:r w:rsidR="00A940B2">
        <w:rPr>
          <w:color w:val="000000"/>
          <w:sz w:val="24"/>
          <w:szCs w:val="24"/>
        </w:rPr>
        <w:t xml:space="preserve">we </w:t>
      </w:r>
      <w:r w:rsidRPr="00384F0E">
        <w:rPr>
          <w:color w:val="000000"/>
          <w:sz w:val="24"/>
          <w:szCs w:val="24"/>
        </w:rPr>
        <w:t xml:space="preserve">anticipate </w:t>
      </w:r>
      <w:r w:rsidR="001B6352">
        <w:rPr>
          <w:color w:val="000000"/>
          <w:sz w:val="24"/>
          <w:szCs w:val="24"/>
        </w:rPr>
        <w:t xml:space="preserve">higher </w:t>
      </w:r>
      <w:r w:rsidRPr="00384F0E">
        <w:rPr>
          <w:color w:val="000000"/>
          <w:sz w:val="24"/>
          <w:szCs w:val="24"/>
        </w:rPr>
        <w:t>response rate</w:t>
      </w:r>
      <w:r w:rsidR="001B6352">
        <w:rPr>
          <w:color w:val="000000"/>
          <w:sz w:val="24"/>
          <w:szCs w:val="24"/>
        </w:rPr>
        <w:t>s</w:t>
      </w:r>
      <w:r w:rsidR="00A940B2">
        <w:rPr>
          <w:color w:val="000000"/>
          <w:sz w:val="24"/>
          <w:szCs w:val="24"/>
        </w:rPr>
        <w:t xml:space="preserve"> for surveys </w:t>
      </w:r>
      <w:r w:rsidR="001B6352">
        <w:rPr>
          <w:color w:val="000000"/>
          <w:sz w:val="24"/>
          <w:szCs w:val="24"/>
        </w:rPr>
        <w:t xml:space="preserve">to be </w:t>
      </w:r>
      <w:r w:rsidR="00677199">
        <w:rPr>
          <w:color w:val="000000"/>
          <w:sz w:val="24"/>
          <w:szCs w:val="24"/>
        </w:rPr>
        <w:t>submitted under this clearance.</w:t>
      </w:r>
      <w:r w:rsidR="001B6352">
        <w:rPr>
          <w:color w:val="000000"/>
          <w:sz w:val="24"/>
          <w:szCs w:val="24"/>
        </w:rPr>
        <w:t xml:space="preserve"> </w:t>
      </w:r>
      <w:r w:rsidRPr="00384F0E">
        <w:rPr>
          <w:color w:val="000000"/>
          <w:sz w:val="24"/>
          <w:szCs w:val="24"/>
        </w:rPr>
        <w:t xml:space="preserve"> </w:t>
      </w:r>
      <w:r w:rsidR="001B6352">
        <w:rPr>
          <w:color w:val="000000"/>
          <w:sz w:val="24"/>
          <w:szCs w:val="24"/>
        </w:rPr>
        <w:t>Each survey that will be s</w:t>
      </w:r>
      <w:r w:rsidRPr="00384F0E">
        <w:rPr>
          <w:color w:val="000000"/>
          <w:sz w:val="24"/>
          <w:szCs w:val="24"/>
        </w:rPr>
        <w:t xml:space="preserve">ubmitted under this clearance </w:t>
      </w:r>
      <w:r w:rsidR="001B6352">
        <w:rPr>
          <w:color w:val="000000"/>
          <w:sz w:val="24"/>
          <w:szCs w:val="24"/>
        </w:rPr>
        <w:t xml:space="preserve">will </w:t>
      </w:r>
      <w:r w:rsidRPr="00384F0E">
        <w:rPr>
          <w:color w:val="000000"/>
          <w:sz w:val="24"/>
          <w:szCs w:val="24"/>
        </w:rPr>
        <w:t xml:space="preserve">included detailed plans for maximizing response rates and </w:t>
      </w:r>
      <w:r w:rsidR="006C4F29" w:rsidRPr="00384F0E">
        <w:rPr>
          <w:color w:val="000000"/>
          <w:sz w:val="24"/>
          <w:szCs w:val="24"/>
        </w:rPr>
        <w:t xml:space="preserve">addressing </w:t>
      </w:r>
      <w:r w:rsidRPr="00384F0E">
        <w:rPr>
          <w:color w:val="000000"/>
          <w:sz w:val="24"/>
          <w:szCs w:val="24"/>
        </w:rPr>
        <w:t xml:space="preserve">non-response bias, as required in the Supplemental Questions for this generic clearance package. </w:t>
      </w:r>
    </w:p>
    <w:p w:rsidR="009D0F4A" w:rsidRPr="00384F0E" w:rsidRDefault="009D0F4A" w:rsidP="00384F0E">
      <w:pPr>
        <w:rPr>
          <w:color w:val="000000"/>
          <w:sz w:val="24"/>
        </w:rPr>
      </w:pPr>
    </w:p>
    <w:p w:rsidR="002A6208" w:rsidRPr="002A6208" w:rsidRDefault="002A6208" w:rsidP="002A6208">
      <w:pPr>
        <w:rPr>
          <w:color w:val="000000"/>
          <w:sz w:val="24"/>
        </w:rPr>
      </w:pPr>
      <w:r w:rsidRPr="002A6208">
        <w:rPr>
          <w:b/>
          <w:color w:val="000000"/>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A6208" w:rsidRPr="002A6208" w:rsidRDefault="002A6208" w:rsidP="002A6208">
      <w:pPr>
        <w:rPr>
          <w:color w:val="000000"/>
          <w:sz w:val="24"/>
        </w:rPr>
      </w:pPr>
    </w:p>
    <w:p w:rsidR="002A6208" w:rsidRPr="002A6208" w:rsidRDefault="002A6208" w:rsidP="002A6208">
      <w:pPr>
        <w:widowControl/>
        <w:rPr>
          <w:rFonts w:eastAsia="Arial Unicode MS"/>
          <w:color w:val="000000"/>
          <w:sz w:val="24"/>
          <w:szCs w:val="24"/>
        </w:rPr>
      </w:pPr>
      <w:r w:rsidRPr="002A6208">
        <w:rPr>
          <w:rFonts w:eastAsia="Arial Unicode MS"/>
          <w:color w:val="000000"/>
          <w:sz w:val="24"/>
          <w:szCs w:val="24"/>
        </w:rPr>
        <w:t xml:space="preserve">The surveys conducted under this clearance will include those conducted in-person, via telephone interview, and mail.  Depending upon the size of the respondent universe, the data collection will be conducted as a census or a stratified random sample.  Existing data sources such as landings revenue, logbook catch and effort information, and vessel characteristics obtained from permit data will be used to define the sample frame as well as to calculate the desired degree of accuracy and corresponding response rates.  </w:t>
      </w:r>
    </w:p>
    <w:p w:rsidR="002A6208" w:rsidRPr="002A6208" w:rsidRDefault="002A6208" w:rsidP="002A6208">
      <w:pPr>
        <w:rPr>
          <w:color w:val="000000"/>
          <w:sz w:val="24"/>
        </w:rPr>
      </w:pPr>
    </w:p>
    <w:p w:rsidR="00AD2394" w:rsidRDefault="00AD2394">
      <w:pPr>
        <w:widowControl/>
        <w:rPr>
          <w:color w:val="000000"/>
          <w:sz w:val="24"/>
        </w:rPr>
      </w:pPr>
      <w:r>
        <w:rPr>
          <w:color w:val="000000"/>
          <w:sz w:val="24"/>
        </w:rPr>
        <w:br w:type="page"/>
      </w:r>
    </w:p>
    <w:p w:rsidR="002A6208" w:rsidRPr="002A6208" w:rsidRDefault="002A6208" w:rsidP="002A6208">
      <w:pPr>
        <w:rPr>
          <w:color w:val="000000"/>
          <w:sz w:val="24"/>
        </w:rPr>
      </w:pPr>
      <w:r w:rsidRPr="002A6208">
        <w:rPr>
          <w:color w:val="000000"/>
          <w:sz w:val="24"/>
        </w:rPr>
        <w:lastRenderedPageBreak/>
        <w:t>Survey data will be used in combination with other data sources to: (1) assess the economic status of fisheries; (2) conduct regulatory analyses that describe the effects of regulations on the fishery; and (3) estimate behavioral models that provide insights into the nature and extent of management problems (e.g., overcapacity) or predict industry response to changes in regulations.</w:t>
      </w:r>
    </w:p>
    <w:p w:rsidR="002A6208" w:rsidRPr="002A6208" w:rsidRDefault="002A6208" w:rsidP="002A6208">
      <w:pPr>
        <w:rPr>
          <w:color w:val="000000"/>
          <w:sz w:val="24"/>
        </w:rPr>
      </w:pPr>
    </w:p>
    <w:p w:rsidR="002A6208" w:rsidRPr="002A6208" w:rsidRDefault="002A6208" w:rsidP="002A6208">
      <w:pPr>
        <w:rPr>
          <w:color w:val="000000"/>
          <w:sz w:val="24"/>
        </w:rPr>
      </w:pPr>
      <w:r w:rsidRPr="002A6208">
        <w:rPr>
          <w:color w:val="000000"/>
          <w:sz w:val="24"/>
        </w:rPr>
        <w:t>We do not expect any unusual problems that would require specialized sampling procedures.</w:t>
      </w:r>
    </w:p>
    <w:p w:rsidR="002A6208" w:rsidRPr="002A6208" w:rsidRDefault="002A6208" w:rsidP="002A6208">
      <w:pPr>
        <w:rPr>
          <w:color w:val="000000"/>
          <w:sz w:val="24"/>
        </w:rPr>
      </w:pPr>
    </w:p>
    <w:p w:rsidR="00C95281" w:rsidRDefault="002A6208" w:rsidP="002A6208">
      <w:pPr>
        <w:rPr>
          <w:color w:val="000000"/>
          <w:sz w:val="24"/>
        </w:rPr>
      </w:pPr>
      <w:r w:rsidRPr="002A6208">
        <w:rPr>
          <w:color w:val="000000"/>
          <w:sz w:val="24"/>
        </w:rPr>
        <w:t>The following plan will be used to reduce burden associated with the frequency of data collection</w:t>
      </w:r>
      <w:r w:rsidR="00C95281">
        <w:rPr>
          <w:color w:val="000000"/>
          <w:sz w:val="24"/>
        </w:rPr>
        <w:t>:</w:t>
      </w:r>
    </w:p>
    <w:p w:rsidR="00C95281" w:rsidRDefault="00C95281" w:rsidP="002A6208">
      <w:pPr>
        <w:rPr>
          <w:color w:val="000000"/>
          <w:sz w:val="24"/>
        </w:rPr>
      </w:pPr>
    </w:p>
    <w:p w:rsidR="002A6208" w:rsidRPr="002A6208" w:rsidRDefault="002A6208" w:rsidP="002A6208">
      <w:pPr>
        <w:rPr>
          <w:color w:val="000000"/>
          <w:sz w:val="24"/>
        </w:rPr>
      </w:pPr>
      <w:r w:rsidRPr="002A6208">
        <w:rPr>
          <w:color w:val="000000"/>
          <w:sz w:val="24"/>
        </w:rPr>
        <w:t xml:space="preserve"> The economic surveys to be conducted under this clearance will typically be rotated among different fisheries from one year to the next, depending on management needs.  The expectation is that a fishery will appear in the rotation only once every 2-4 years.  If it is deemed necessary to survey a fishery more frequently, the sampling frame will, to the extent practicable, take into account whether a potential respondent had been previously selected to participate in a survey (e.g., sampling with no replacement of previously selected </w:t>
      </w:r>
      <w:r w:rsidR="00B84864">
        <w:rPr>
          <w:color w:val="000000"/>
          <w:sz w:val="24"/>
        </w:rPr>
        <w:t>vessel</w:t>
      </w:r>
      <w:r w:rsidRPr="002A6208">
        <w:rPr>
          <w:color w:val="000000"/>
          <w:sz w:val="24"/>
        </w:rPr>
        <w:t>s may be used, depending upon the statistical validity of this approach in the survey fishery).  Overall, this approach will ensure coverage of the different fisheries for which economic data are lacking, while minimizing the burden on participants in any one of those fisheries.</w:t>
      </w:r>
    </w:p>
    <w:p w:rsidR="002A6208" w:rsidRPr="002A6208" w:rsidRDefault="002A6208" w:rsidP="002A6208">
      <w:pPr>
        <w:rPr>
          <w:color w:val="000000"/>
          <w:sz w:val="24"/>
        </w:rPr>
      </w:pPr>
    </w:p>
    <w:p w:rsidR="002A6208" w:rsidRPr="002A6208" w:rsidRDefault="002A6208" w:rsidP="002A6208">
      <w:pPr>
        <w:widowControl/>
        <w:rPr>
          <w:rFonts w:eastAsia="Arial Unicode MS"/>
          <w:b/>
          <w:bCs/>
          <w:color w:val="000000"/>
          <w:sz w:val="24"/>
          <w:szCs w:val="24"/>
          <w:u w:val="single"/>
        </w:rPr>
      </w:pPr>
      <w:r w:rsidRPr="002A6208">
        <w:rPr>
          <w:color w:val="000000"/>
          <w:sz w:val="24"/>
        </w:rPr>
        <w:t xml:space="preserve">Many vessels participate in multiple fisheries.  Therefore, in situations where it is appropriate, surveys will be designed to cover predominant combinations of fisheries rather than single fisheries.  Economists and fishery managers will want the data collected in this manner to better understand the economic effect of restrictions in one fishery based on the alternative opportunities available to the vessels in other fisheries.  Focusing surveys on predominant fishery combinations will also reduce respondent burden, as it will help to avert situations where a vessel is surveyed one year regarding one of its fishery activities and the next year regarding another activity.  </w:t>
      </w:r>
    </w:p>
    <w:p w:rsidR="002A6208" w:rsidRPr="002A6208" w:rsidRDefault="002A6208" w:rsidP="002A6208">
      <w:pPr>
        <w:widowControl/>
        <w:rPr>
          <w:rFonts w:eastAsia="Arial Unicode MS"/>
          <w:b/>
          <w:bCs/>
          <w:color w:val="000000"/>
          <w:sz w:val="24"/>
          <w:szCs w:val="24"/>
          <w:u w:val="single"/>
        </w:rPr>
      </w:pPr>
    </w:p>
    <w:p w:rsidR="002A6208" w:rsidRPr="002A6208" w:rsidRDefault="002A6208" w:rsidP="002A6208">
      <w:pPr>
        <w:widowControl/>
        <w:rPr>
          <w:sz w:val="24"/>
          <w:szCs w:val="24"/>
        </w:rPr>
      </w:pPr>
      <w:r w:rsidRPr="002A6208">
        <w:rPr>
          <w:color w:val="000000"/>
          <w:sz w:val="24"/>
          <w:szCs w:val="24"/>
        </w:rPr>
        <w:t xml:space="preserve">Important objectives of survey design include data accuracy and data precision.  Measuring and minimizing non-response bias is an important aspect of assuring accurate data.   </w:t>
      </w:r>
      <w:r w:rsidRPr="002A6208">
        <w:rPr>
          <w:sz w:val="24"/>
          <w:szCs w:val="24"/>
        </w:rPr>
        <w:t>As discussed in the response to Question 3, data on vessel physical characteristics and landings (location, timing, gear, species, weight, and revenue) is available for both survey respondents and non-respondents, and will be used to test the representativeness of survey respondents.  This data will also be used to adjust the models and/or data for any non-response bias that is detected.</w:t>
      </w:r>
    </w:p>
    <w:p w:rsidR="002A6208" w:rsidRPr="002A6208" w:rsidRDefault="002A6208" w:rsidP="002A6208">
      <w:pPr>
        <w:widowControl/>
        <w:rPr>
          <w:color w:val="000000"/>
          <w:sz w:val="24"/>
          <w:szCs w:val="24"/>
        </w:rPr>
      </w:pPr>
    </w:p>
    <w:p w:rsidR="002A6208" w:rsidRPr="002A6208" w:rsidRDefault="002A6208" w:rsidP="002A6208">
      <w:pPr>
        <w:widowControl/>
        <w:rPr>
          <w:color w:val="000000"/>
          <w:sz w:val="24"/>
          <w:szCs w:val="24"/>
        </w:rPr>
      </w:pPr>
      <w:r w:rsidRPr="002A6208">
        <w:rPr>
          <w:sz w:val="24"/>
          <w:szCs w:val="24"/>
        </w:rPr>
        <w:t xml:space="preserve">The desired degree of precision, and corresponding desired response rate, depends upon the application for which the data is being used.  Some applications </w:t>
      </w:r>
      <w:r w:rsidR="000E07AB">
        <w:rPr>
          <w:sz w:val="24"/>
          <w:szCs w:val="24"/>
        </w:rPr>
        <w:t xml:space="preserve">of the data collected in a specific survey </w:t>
      </w:r>
      <w:r w:rsidRPr="002A6208">
        <w:rPr>
          <w:sz w:val="24"/>
          <w:szCs w:val="24"/>
        </w:rPr>
        <w:t xml:space="preserve">may use data from all survey respondents, while others applications will only use data from </w:t>
      </w:r>
      <w:r w:rsidR="000E07AB">
        <w:rPr>
          <w:sz w:val="24"/>
          <w:szCs w:val="24"/>
        </w:rPr>
        <w:t>a subset of the respondent</w:t>
      </w:r>
      <w:r w:rsidR="004E555D">
        <w:rPr>
          <w:sz w:val="24"/>
          <w:szCs w:val="24"/>
        </w:rPr>
        <w:t>s</w:t>
      </w:r>
      <w:r w:rsidR="000E07AB">
        <w:rPr>
          <w:sz w:val="24"/>
          <w:szCs w:val="24"/>
        </w:rPr>
        <w:t xml:space="preserve">, such as </w:t>
      </w:r>
      <w:r w:rsidRPr="002A6208">
        <w:rPr>
          <w:sz w:val="24"/>
          <w:szCs w:val="24"/>
        </w:rPr>
        <w:t xml:space="preserve">vessels that operate in specific fisheries or geographic locations.  </w:t>
      </w:r>
      <w:r w:rsidRPr="002A6208">
        <w:rPr>
          <w:color w:val="000000"/>
          <w:sz w:val="24"/>
          <w:szCs w:val="24"/>
        </w:rPr>
        <w:t xml:space="preserve">Data collected through this survey will be used for both statistical inference of population values from sample respondents and for estimation of econometric models used for policy making purposes. While more precise data is clearly preferred, standards do not exist regarding the precision of data required for estimation of an econometric model.  Factors such as the minimization of model specification error also contribute to the quality of the empirical </w:t>
      </w:r>
      <w:r w:rsidRPr="002A6208">
        <w:rPr>
          <w:color w:val="000000"/>
          <w:sz w:val="24"/>
          <w:szCs w:val="24"/>
        </w:rPr>
        <w:lastRenderedPageBreak/>
        <w:t xml:space="preserve">results obtained using survey data.  It is not possible to state a level of precision that is required for all uses and applications of data collected by this survey. </w:t>
      </w:r>
    </w:p>
    <w:p w:rsidR="002A6208" w:rsidRPr="002A6208" w:rsidRDefault="002A6208" w:rsidP="002A6208">
      <w:pPr>
        <w:widowControl/>
        <w:rPr>
          <w:sz w:val="24"/>
          <w:szCs w:val="24"/>
        </w:rPr>
      </w:pPr>
    </w:p>
    <w:p w:rsidR="002A6208" w:rsidRPr="002A6208" w:rsidRDefault="002A6208" w:rsidP="002A6208">
      <w:pPr>
        <w:widowControl/>
        <w:rPr>
          <w:rFonts w:eastAsia="Arial Unicode MS"/>
          <w:color w:val="000000"/>
          <w:sz w:val="24"/>
          <w:szCs w:val="24"/>
        </w:rPr>
      </w:pPr>
      <w:r w:rsidRPr="002A6208">
        <w:rPr>
          <w:rFonts w:eastAsia="Arial Unicode MS"/>
          <w:color w:val="000000"/>
          <w:sz w:val="24"/>
          <w:szCs w:val="24"/>
        </w:rPr>
        <w:t>The following example focuses on the desired degree of accuracy and corresponding required response rate for the West Coast limited entry fixed gear fishery to illustrate, in a general way, how the economic surveys will be conducted.</w:t>
      </w:r>
    </w:p>
    <w:p w:rsidR="002A6208" w:rsidRPr="002A6208" w:rsidRDefault="002A6208" w:rsidP="002A6208">
      <w:pPr>
        <w:widowControl/>
        <w:rPr>
          <w:rFonts w:eastAsia="Arial Unicode MS"/>
          <w:color w:val="000000"/>
          <w:sz w:val="24"/>
          <w:szCs w:val="24"/>
        </w:rPr>
      </w:pPr>
    </w:p>
    <w:p w:rsidR="002A6208" w:rsidRPr="002A6208" w:rsidRDefault="002A6208" w:rsidP="002A6208">
      <w:pPr>
        <w:widowControl/>
        <w:rPr>
          <w:rFonts w:eastAsia="Arial Unicode MS"/>
          <w:b/>
          <w:color w:val="000000"/>
          <w:sz w:val="24"/>
          <w:szCs w:val="24"/>
          <w:u w:val="single"/>
        </w:rPr>
      </w:pPr>
      <w:r w:rsidRPr="002A6208">
        <w:rPr>
          <w:rFonts w:eastAsia="Arial Unicode MS"/>
          <w:b/>
          <w:color w:val="000000"/>
          <w:sz w:val="24"/>
          <w:szCs w:val="24"/>
          <w:u w:val="single"/>
        </w:rPr>
        <w:t>Example</w:t>
      </w:r>
    </w:p>
    <w:p w:rsidR="002A6208" w:rsidRPr="002A6208" w:rsidRDefault="002A6208" w:rsidP="002A6208">
      <w:pPr>
        <w:widowControl/>
        <w:rPr>
          <w:color w:val="000000"/>
          <w:sz w:val="24"/>
          <w:szCs w:val="24"/>
        </w:rPr>
      </w:pPr>
      <w:r w:rsidRPr="002A6208">
        <w:rPr>
          <w:sz w:val="24"/>
          <w:szCs w:val="24"/>
        </w:rPr>
        <w:t xml:space="preserve">The following table </w:t>
      </w:r>
      <w:r w:rsidRPr="002A6208">
        <w:rPr>
          <w:rFonts w:eastAsia="Arial Unicode MS"/>
          <w:color w:val="000000"/>
          <w:sz w:val="24"/>
          <w:szCs w:val="24"/>
        </w:rPr>
        <w:t xml:space="preserve">for the West Coast limited entry fixed gear fishery </w:t>
      </w:r>
      <w:r w:rsidRPr="002A6208">
        <w:rPr>
          <w:sz w:val="24"/>
          <w:szCs w:val="24"/>
        </w:rPr>
        <w:t xml:space="preserve">shows the number of responses (and corresponding response rate) needed to get a response sample mean within 10%, 15%, and 25% of the population mean at the 95% confidence level.  In this calculation, </w:t>
      </w:r>
      <w:r w:rsidRPr="002A6208">
        <w:rPr>
          <w:color w:val="000000"/>
          <w:sz w:val="24"/>
          <w:szCs w:val="24"/>
        </w:rPr>
        <w:t>revenues associated with West Coast landings (which were known for all vessels) were used as a proxy for revenues from other sources and for expenditures (which were not known and we</w:t>
      </w:r>
      <w:r w:rsidR="00D6607F">
        <w:rPr>
          <w:color w:val="000000"/>
          <w:sz w:val="24"/>
          <w:szCs w:val="24"/>
        </w:rPr>
        <w:t>re the focus of this survey).</w:t>
      </w:r>
    </w:p>
    <w:p w:rsidR="002A6208" w:rsidRPr="002A6208" w:rsidRDefault="002A6208" w:rsidP="002A6208">
      <w:pPr>
        <w:widowControl/>
        <w:rPr>
          <w:color w:val="000000"/>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900"/>
        <w:gridCol w:w="810"/>
        <w:gridCol w:w="1440"/>
        <w:gridCol w:w="1350"/>
        <w:gridCol w:w="1170"/>
      </w:tblGrid>
      <w:tr w:rsidR="002A6208" w:rsidRPr="002A6208" w:rsidTr="00D6607F">
        <w:tc>
          <w:tcPr>
            <w:tcW w:w="153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N</w:t>
            </w:r>
          </w:p>
          <w:p w:rsidR="002A6208" w:rsidRPr="00D6607F" w:rsidRDefault="002A6208" w:rsidP="00D6607F">
            <w:pPr>
              <w:widowControl/>
              <w:jc w:val="center"/>
              <w:rPr>
                <w:b/>
                <w:color w:val="000000"/>
              </w:rPr>
            </w:pPr>
            <w:r w:rsidRPr="00D6607F">
              <w:rPr>
                <w:b/>
                <w:color w:val="000000"/>
              </w:rPr>
              <w:t>Population</w:t>
            </w:r>
          </w:p>
        </w:tc>
        <w:tc>
          <w:tcPr>
            <w:tcW w:w="90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N</w:t>
            </w:r>
          </w:p>
          <w:p w:rsidR="002A6208" w:rsidRPr="00D6607F" w:rsidRDefault="002A6208" w:rsidP="00D6607F">
            <w:pPr>
              <w:widowControl/>
              <w:jc w:val="center"/>
              <w:rPr>
                <w:b/>
                <w:color w:val="000000"/>
              </w:rPr>
            </w:pPr>
            <w:r w:rsidRPr="00D6607F">
              <w:rPr>
                <w:b/>
                <w:color w:val="000000"/>
              </w:rPr>
              <w:t>10%</w:t>
            </w:r>
          </w:p>
        </w:tc>
        <w:tc>
          <w:tcPr>
            <w:tcW w:w="90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N</w:t>
            </w:r>
          </w:p>
          <w:p w:rsidR="002A6208" w:rsidRPr="00D6607F" w:rsidRDefault="002A6208" w:rsidP="00D6607F">
            <w:pPr>
              <w:widowControl/>
              <w:jc w:val="center"/>
              <w:rPr>
                <w:b/>
                <w:color w:val="000000"/>
              </w:rPr>
            </w:pPr>
            <w:r w:rsidRPr="00D6607F">
              <w:rPr>
                <w:b/>
                <w:color w:val="000000"/>
              </w:rPr>
              <w:t>15%</w:t>
            </w:r>
          </w:p>
        </w:tc>
        <w:tc>
          <w:tcPr>
            <w:tcW w:w="81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N</w:t>
            </w:r>
          </w:p>
          <w:p w:rsidR="002A6208" w:rsidRPr="00D6607F" w:rsidRDefault="002A6208" w:rsidP="00D6607F">
            <w:pPr>
              <w:widowControl/>
              <w:jc w:val="center"/>
              <w:rPr>
                <w:b/>
                <w:color w:val="000000"/>
              </w:rPr>
            </w:pPr>
            <w:r w:rsidRPr="00D6607F">
              <w:rPr>
                <w:b/>
                <w:color w:val="000000"/>
              </w:rPr>
              <w:t>25%</w:t>
            </w:r>
          </w:p>
        </w:tc>
        <w:tc>
          <w:tcPr>
            <w:tcW w:w="144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Response</w:t>
            </w:r>
          </w:p>
          <w:p w:rsidR="002A6208" w:rsidRPr="00D6607F" w:rsidRDefault="002A6208" w:rsidP="00D6607F">
            <w:pPr>
              <w:widowControl/>
              <w:jc w:val="center"/>
              <w:rPr>
                <w:b/>
                <w:color w:val="000000"/>
              </w:rPr>
            </w:pPr>
            <w:r w:rsidRPr="00D6607F">
              <w:rPr>
                <w:b/>
                <w:color w:val="000000"/>
              </w:rPr>
              <w:t>Rate</w:t>
            </w:r>
          </w:p>
          <w:p w:rsidR="002A6208" w:rsidRPr="00D6607F" w:rsidRDefault="002A6208" w:rsidP="00D6607F">
            <w:pPr>
              <w:widowControl/>
              <w:jc w:val="center"/>
              <w:rPr>
                <w:b/>
                <w:color w:val="000000"/>
              </w:rPr>
            </w:pPr>
            <w:r w:rsidRPr="00D6607F">
              <w:rPr>
                <w:b/>
                <w:color w:val="000000"/>
              </w:rPr>
              <w:t>10%</w:t>
            </w:r>
          </w:p>
        </w:tc>
        <w:tc>
          <w:tcPr>
            <w:tcW w:w="135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Response</w:t>
            </w:r>
          </w:p>
          <w:p w:rsidR="002A6208" w:rsidRPr="00D6607F" w:rsidRDefault="002A6208" w:rsidP="00D6607F">
            <w:pPr>
              <w:widowControl/>
              <w:jc w:val="center"/>
              <w:rPr>
                <w:b/>
                <w:color w:val="000000"/>
              </w:rPr>
            </w:pPr>
            <w:r w:rsidRPr="00D6607F">
              <w:rPr>
                <w:b/>
                <w:color w:val="000000"/>
              </w:rPr>
              <w:t>Rate</w:t>
            </w:r>
          </w:p>
          <w:p w:rsidR="002A6208" w:rsidRPr="00D6607F" w:rsidRDefault="002A6208" w:rsidP="00D6607F">
            <w:pPr>
              <w:widowControl/>
              <w:jc w:val="center"/>
              <w:rPr>
                <w:b/>
                <w:color w:val="000000"/>
              </w:rPr>
            </w:pPr>
            <w:r w:rsidRPr="00D6607F">
              <w:rPr>
                <w:b/>
                <w:color w:val="000000"/>
              </w:rPr>
              <w:t>15%</w:t>
            </w:r>
          </w:p>
        </w:tc>
        <w:tc>
          <w:tcPr>
            <w:tcW w:w="1170" w:type="dxa"/>
            <w:shd w:val="clear" w:color="auto" w:fill="D9D9D9" w:themeFill="background1" w:themeFillShade="D9"/>
            <w:vAlign w:val="center"/>
          </w:tcPr>
          <w:p w:rsidR="002A6208" w:rsidRPr="00D6607F" w:rsidRDefault="002A6208" w:rsidP="00D6607F">
            <w:pPr>
              <w:widowControl/>
              <w:jc w:val="center"/>
              <w:rPr>
                <w:b/>
                <w:color w:val="000000"/>
              </w:rPr>
            </w:pPr>
            <w:r w:rsidRPr="00D6607F">
              <w:rPr>
                <w:b/>
                <w:color w:val="000000"/>
              </w:rPr>
              <w:t>Response</w:t>
            </w:r>
          </w:p>
          <w:p w:rsidR="002A6208" w:rsidRPr="00D6607F" w:rsidRDefault="002A6208" w:rsidP="00D6607F">
            <w:pPr>
              <w:widowControl/>
              <w:jc w:val="center"/>
              <w:rPr>
                <w:b/>
                <w:color w:val="000000"/>
              </w:rPr>
            </w:pPr>
            <w:r w:rsidRPr="00D6607F">
              <w:rPr>
                <w:b/>
                <w:color w:val="000000"/>
              </w:rPr>
              <w:t>Rate</w:t>
            </w:r>
          </w:p>
          <w:p w:rsidR="002A6208" w:rsidRPr="00D6607F" w:rsidRDefault="002A6208" w:rsidP="00D6607F">
            <w:pPr>
              <w:widowControl/>
              <w:jc w:val="center"/>
              <w:rPr>
                <w:b/>
                <w:color w:val="000000"/>
              </w:rPr>
            </w:pPr>
            <w:r w:rsidRPr="00D6607F">
              <w:rPr>
                <w:b/>
                <w:color w:val="000000"/>
              </w:rPr>
              <w:t>25%</w:t>
            </w:r>
          </w:p>
        </w:tc>
      </w:tr>
      <w:tr w:rsidR="002A6208" w:rsidRPr="002A6208" w:rsidTr="00201C92">
        <w:trPr>
          <w:trHeight w:val="360"/>
        </w:trPr>
        <w:tc>
          <w:tcPr>
            <w:tcW w:w="1530" w:type="dxa"/>
          </w:tcPr>
          <w:p w:rsidR="002A6208" w:rsidRPr="00D6607F" w:rsidRDefault="002A6208" w:rsidP="002A6208">
            <w:pPr>
              <w:widowControl/>
              <w:jc w:val="center"/>
              <w:rPr>
                <w:color w:val="000000"/>
              </w:rPr>
            </w:pPr>
            <w:r w:rsidRPr="00D6607F">
              <w:rPr>
                <w:color w:val="000000"/>
              </w:rPr>
              <w:t>153</w:t>
            </w:r>
          </w:p>
        </w:tc>
        <w:tc>
          <w:tcPr>
            <w:tcW w:w="900" w:type="dxa"/>
          </w:tcPr>
          <w:p w:rsidR="002A6208" w:rsidRPr="00D6607F" w:rsidRDefault="002A6208" w:rsidP="002A6208">
            <w:pPr>
              <w:widowControl/>
              <w:jc w:val="center"/>
              <w:rPr>
                <w:color w:val="000000"/>
              </w:rPr>
            </w:pPr>
            <w:r w:rsidRPr="00D6607F">
              <w:rPr>
                <w:color w:val="000000"/>
              </w:rPr>
              <w:t>89</w:t>
            </w:r>
          </w:p>
        </w:tc>
        <w:tc>
          <w:tcPr>
            <w:tcW w:w="900" w:type="dxa"/>
          </w:tcPr>
          <w:p w:rsidR="002A6208" w:rsidRPr="00D6607F" w:rsidRDefault="002A6208" w:rsidP="002A6208">
            <w:pPr>
              <w:widowControl/>
              <w:jc w:val="center"/>
              <w:rPr>
                <w:color w:val="000000"/>
              </w:rPr>
            </w:pPr>
            <w:r w:rsidRPr="00D6607F">
              <w:rPr>
                <w:color w:val="000000"/>
              </w:rPr>
              <w:t>69</w:t>
            </w:r>
          </w:p>
        </w:tc>
        <w:tc>
          <w:tcPr>
            <w:tcW w:w="810" w:type="dxa"/>
          </w:tcPr>
          <w:p w:rsidR="002A6208" w:rsidRPr="00D6607F" w:rsidRDefault="002A6208" w:rsidP="002A6208">
            <w:pPr>
              <w:widowControl/>
              <w:jc w:val="center"/>
              <w:rPr>
                <w:color w:val="000000"/>
              </w:rPr>
            </w:pPr>
            <w:r w:rsidRPr="00D6607F">
              <w:rPr>
                <w:color w:val="000000"/>
              </w:rPr>
              <w:t>28</w:t>
            </w:r>
          </w:p>
        </w:tc>
        <w:tc>
          <w:tcPr>
            <w:tcW w:w="1440" w:type="dxa"/>
          </w:tcPr>
          <w:p w:rsidR="002A6208" w:rsidRPr="00D6607F" w:rsidRDefault="002A6208" w:rsidP="002A6208">
            <w:pPr>
              <w:widowControl/>
              <w:jc w:val="center"/>
              <w:rPr>
                <w:color w:val="000000"/>
              </w:rPr>
            </w:pPr>
            <w:r w:rsidRPr="00D6607F">
              <w:rPr>
                <w:color w:val="000000"/>
              </w:rPr>
              <w:t>58%</w:t>
            </w:r>
          </w:p>
        </w:tc>
        <w:tc>
          <w:tcPr>
            <w:tcW w:w="1350" w:type="dxa"/>
          </w:tcPr>
          <w:p w:rsidR="002A6208" w:rsidRPr="00D6607F" w:rsidRDefault="002A6208" w:rsidP="002A6208">
            <w:pPr>
              <w:widowControl/>
              <w:jc w:val="center"/>
              <w:rPr>
                <w:color w:val="000000"/>
              </w:rPr>
            </w:pPr>
            <w:r w:rsidRPr="00D6607F">
              <w:rPr>
                <w:color w:val="000000"/>
              </w:rPr>
              <w:t>45%</w:t>
            </w:r>
          </w:p>
        </w:tc>
        <w:tc>
          <w:tcPr>
            <w:tcW w:w="1170" w:type="dxa"/>
          </w:tcPr>
          <w:p w:rsidR="002A6208" w:rsidRPr="00D6607F" w:rsidRDefault="002A6208" w:rsidP="002A6208">
            <w:pPr>
              <w:widowControl/>
              <w:jc w:val="center"/>
              <w:rPr>
                <w:color w:val="000000"/>
              </w:rPr>
            </w:pPr>
            <w:r w:rsidRPr="00D6607F">
              <w:rPr>
                <w:color w:val="000000"/>
              </w:rPr>
              <w:t>18%</w:t>
            </w:r>
          </w:p>
        </w:tc>
      </w:tr>
    </w:tbl>
    <w:p w:rsidR="002A6208" w:rsidRPr="002A6208" w:rsidRDefault="002A6208" w:rsidP="002A6208">
      <w:pPr>
        <w:widowControl/>
        <w:rPr>
          <w:color w:val="000000"/>
          <w:sz w:val="24"/>
          <w:szCs w:val="24"/>
        </w:rPr>
      </w:pPr>
    </w:p>
    <w:p w:rsidR="004E555D" w:rsidRPr="00B72AB9" w:rsidRDefault="002A6208" w:rsidP="004E555D">
      <w:pPr>
        <w:widowControl/>
        <w:rPr>
          <w:rFonts w:eastAsia="Calibri"/>
          <w:sz w:val="24"/>
          <w:szCs w:val="24"/>
        </w:rPr>
      </w:pPr>
      <w:r w:rsidRPr="002A6208">
        <w:rPr>
          <w:color w:val="000000"/>
          <w:sz w:val="24"/>
          <w:szCs w:val="24"/>
        </w:rPr>
        <w:t xml:space="preserve">As shown in the accompanying table, having a sample mean within 15% of the population mean at the 95% confidence level requires a response rate of 45%.  The expected 65% response rate would have allowed calculation of a sample mean within less than 10% of the population mean.  The actual response rate was 43%. </w:t>
      </w:r>
      <w:r w:rsidR="004E555D">
        <w:rPr>
          <w:color w:val="000000"/>
          <w:sz w:val="24"/>
          <w:szCs w:val="24"/>
        </w:rPr>
        <w:t xml:space="preserve"> </w:t>
      </w:r>
      <w:r w:rsidR="004E555D">
        <w:rPr>
          <w:rFonts w:eastAsia="Calibri"/>
          <w:sz w:val="24"/>
          <w:szCs w:val="24"/>
        </w:rPr>
        <w:t xml:space="preserve">Although </w:t>
      </w:r>
      <w:r w:rsidR="004E555D" w:rsidRPr="00255564">
        <w:rPr>
          <w:rFonts w:eastAsia="Calibri"/>
          <w:sz w:val="24"/>
          <w:szCs w:val="24"/>
        </w:rPr>
        <w:t>OMB considers nonresponse bias very probabl</w:t>
      </w:r>
      <w:r w:rsidR="00C95281">
        <w:rPr>
          <w:rFonts w:eastAsia="Calibri"/>
          <w:sz w:val="24"/>
          <w:szCs w:val="24"/>
        </w:rPr>
        <w:t>e</w:t>
      </w:r>
      <w:r w:rsidR="004E555D" w:rsidRPr="00255564">
        <w:rPr>
          <w:rFonts w:eastAsia="Calibri"/>
          <w:sz w:val="24"/>
          <w:szCs w:val="24"/>
        </w:rPr>
        <w:t xml:space="preserve"> if response rate is less than 80%</w:t>
      </w:r>
      <w:r w:rsidR="004E555D">
        <w:rPr>
          <w:rFonts w:eastAsia="Calibri"/>
          <w:sz w:val="24"/>
          <w:szCs w:val="24"/>
        </w:rPr>
        <w:t xml:space="preserve">, </w:t>
      </w:r>
      <w:r w:rsidR="004E555D" w:rsidRPr="00B72AB9">
        <w:rPr>
          <w:rFonts w:eastAsia="Calibri"/>
          <w:sz w:val="24"/>
          <w:szCs w:val="24"/>
        </w:rPr>
        <w:t>non-response bias was not statistically significant at the vessel type level</w:t>
      </w:r>
      <w:r w:rsidR="004E555D">
        <w:rPr>
          <w:rFonts w:eastAsia="Calibri"/>
          <w:sz w:val="24"/>
          <w:szCs w:val="24"/>
        </w:rPr>
        <w:t xml:space="preserve">.  </w:t>
      </w:r>
      <w:r w:rsidR="00FA5100" w:rsidRPr="00FA5100">
        <w:rPr>
          <w:rFonts w:eastAsia="Calibri"/>
          <w:sz w:val="24"/>
          <w:szCs w:val="24"/>
        </w:rPr>
        <w:t>The statistical test for non-response bias used data on vessel physical characteristics and landings (location, timing, gear, species, weight, and revenue) that were available for both survey respondents and non-respondents.</w:t>
      </w:r>
      <w:r w:rsidR="00FA5100">
        <w:rPr>
          <w:rFonts w:eastAsia="Calibri"/>
          <w:sz w:val="24"/>
          <w:szCs w:val="24"/>
        </w:rPr>
        <w:t xml:space="preserve">  </w:t>
      </w:r>
      <w:r w:rsidR="004E555D">
        <w:rPr>
          <w:rFonts w:eastAsia="Calibri"/>
          <w:sz w:val="24"/>
          <w:szCs w:val="24"/>
        </w:rPr>
        <w:t xml:space="preserve">However, </w:t>
      </w:r>
      <w:r w:rsidR="004E555D" w:rsidRPr="00B72AB9">
        <w:rPr>
          <w:rFonts w:eastAsia="Calibri"/>
          <w:sz w:val="24"/>
          <w:szCs w:val="24"/>
        </w:rPr>
        <w:t>the calculation of summary statistics for the entire limited entry groundfish fixed gear fleet required weighting survey responses due to different response rates across vessel types.</w:t>
      </w:r>
    </w:p>
    <w:p w:rsidR="002A6208" w:rsidRPr="002A6208" w:rsidRDefault="002A6208" w:rsidP="002A6208">
      <w:pPr>
        <w:widowControl/>
        <w:rPr>
          <w:color w:val="000000"/>
          <w:sz w:val="24"/>
          <w:szCs w:val="24"/>
        </w:rPr>
      </w:pPr>
    </w:p>
    <w:p w:rsidR="002A6208" w:rsidRPr="002A6208" w:rsidRDefault="002A6208" w:rsidP="002A6208">
      <w:pPr>
        <w:widowControl/>
        <w:rPr>
          <w:color w:val="000000"/>
          <w:sz w:val="24"/>
          <w:szCs w:val="24"/>
        </w:rPr>
      </w:pPr>
      <w:r w:rsidRPr="002A6208">
        <w:rPr>
          <w:color w:val="000000"/>
          <w:sz w:val="24"/>
          <w:szCs w:val="24"/>
        </w:rPr>
        <w:t xml:space="preserve">At least two reasons can be identified for desiring higher response rates than those needed to support inference of population means from sample means: </w:t>
      </w:r>
    </w:p>
    <w:p w:rsidR="002A6208" w:rsidRPr="002A6208" w:rsidRDefault="002A6208" w:rsidP="002A6208">
      <w:pPr>
        <w:widowControl/>
        <w:rPr>
          <w:color w:val="000000"/>
          <w:sz w:val="24"/>
          <w:szCs w:val="24"/>
        </w:rPr>
      </w:pPr>
    </w:p>
    <w:p w:rsidR="002A6208" w:rsidRPr="002A6208" w:rsidRDefault="002A6208" w:rsidP="002A6208">
      <w:pPr>
        <w:widowControl/>
        <w:ind w:left="720"/>
        <w:rPr>
          <w:color w:val="000000"/>
          <w:sz w:val="24"/>
          <w:szCs w:val="24"/>
        </w:rPr>
      </w:pPr>
      <w:r w:rsidRPr="002A6208">
        <w:rPr>
          <w:color w:val="000000"/>
          <w:sz w:val="24"/>
          <w:szCs w:val="24"/>
        </w:rPr>
        <w:t>1) Data from this survey will be used to develop a variety of economic models covering applications such as fleet efficiency and fishery participation.  In these applications, error will arise not only from the representativeness of data used for model development, but also from model specification and estimation errors.   Since it is not possible to completely avoid specification and estimation error in model development, there is good reason to desire a higher response rate and higher degree of precision in the data collection process.</w:t>
      </w:r>
    </w:p>
    <w:p w:rsidR="002A6208" w:rsidRPr="002A6208" w:rsidRDefault="002A6208" w:rsidP="002A6208">
      <w:pPr>
        <w:widowControl/>
        <w:ind w:left="720"/>
        <w:rPr>
          <w:color w:val="000000"/>
          <w:sz w:val="24"/>
          <w:szCs w:val="24"/>
        </w:rPr>
      </w:pPr>
    </w:p>
    <w:p w:rsidR="002A6208" w:rsidRPr="002A6208" w:rsidRDefault="002A6208" w:rsidP="002A6208">
      <w:pPr>
        <w:widowControl/>
        <w:ind w:left="720"/>
        <w:rPr>
          <w:color w:val="000000"/>
          <w:sz w:val="24"/>
          <w:szCs w:val="24"/>
        </w:rPr>
      </w:pPr>
      <w:r w:rsidRPr="002A6208">
        <w:rPr>
          <w:color w:val="000000"/>
          <w:sz w:val="24"/>
          <w:szCs w:val="24"/>
        </w:rPr>
        <w:t xml:space="preserve">2) Future applications of the data may require further disaggregating the population into smaller groups according to factors such as state of operation or species targeted.  Identification of all such future disaggregated data needs is not possible at the present time.  A higher response rate and higher degree of precision in the current data collection process will facilitate such future population disaggregation.  </w:t>
      </w:r>
    </w:p>
    <w:p w:rsidR="002A6208" w:rsidRPr="002A6208" w:rsidRDefault="002A6208" w:rsidP="002A6208">
      <w:pPr>
        <w:widowControl/>
        <w:rPr>
          <w:rFonts w:eastAsia="Arial Unicode MS"/>
          <w:color w:val="000000"/>
          <w:sz w:val="24"/>
          <w:szCs w:val="24"/>
        </w:rPr>
      </w:pPr>
    </w:p>
    <w:p w:rsidR="009D0F4A" w:rsidRPr="00384F0E" w:rsidRDefault="009D0F4A" w:rsidP="00384F0E">
      <w:pPr>
        <w:rPr>
          <w:color w:val="000000"/>
          <w:sz w:val="24"/>
          <w:szCs w:val="24"/>
        </w:rPr>
      </w:pPr>
      <w:r w:rsidRPr="00384F0E">
        <w:rPr>
          <w:b/>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D0F4A" w:rsidRPr="00384F0E" w:rsidRDefault="009D0F4A" w:rsidP="00384F0E">
      <w:pPr>
        <w:rPr>
          <w:color w:val="000000"/>
          <w:sz w:val="24"/>
          <w:szCs w:val="24"/>
        </w:rPr>
      </w:pPr>
    </w:p>
    <w:p w:rsidR="009D0F4A" w:rsidRPr="00384F0E" w:rsidRDefault="009D0F4A" w:rsidP="00384F0E">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sidRPr="00384F0E">
        <w:rPr>
          <w:color w:val="000000"/>
          <w:szCs w:val="24"/>
        </w:rPr>
        <w:t>In order to enhance response rates and ensure data quality, all economic surveys conducted under this OMB authorization will be planned in close consultation with industry representatives.  Industry input will be solicited regarding a variety of issues, including the following:</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best way to introduce the survey to potential respondents,</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preferred elicitation method (e.g., mail questionnaires, telephone or in-person interviews),</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best person to provide survey information (e.g., skipper, vessel owner, vessel owner’s accountant) and how to facilitate that person’s cooperation,</w:t>
      </w:r>
    </w:p>
    <w:p w:rsidR="009D0F4A" w:rsidRPr="00384F0E" w:rsidRDefault="009D0F4A" w:rsidP="00384F0E">
      <w:pPr>
        <w:numPr>
          <w:ilvl w:val="0"/>
          <w:numId w:val="16"/>
        </w:numPr>
        <w:rPr>
          <w:color w:val="000000"/>
          <w:sz w:val="24"/>
          <w:szCs w:val="24"/>
        </w:rPr>
      </w:pPr>
      <w:r w:rsidRPr="00384F0E">
        <w:rPr>
          <w:color w:val="000000"/>
          <w:sz w:val="24"/>
          <w:szCs w:val="24"/>
        </w:rPr>
        <w:t>types of data confidentiality assurances needed to make industry comfortable with survey,</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best time of year to conduct survey,</w:t>
      </w:r>
    </w:p>
    <w:p w:rsidR="009D0F4A" w:rsidRPr="00384F0E" w:rsidRDefault="009D0F4A" w:rsidP="00384F0E">
      <w:pPr>
        <w:numPr>
          <w:ilvl w:val="0"/>
          <w:numId w:val="16"/>
        </w:numPr>
        <w:rPr>
          <w:color w:val="000000"/>
          <w:sz w:val="24"/>
          <w:szCs w:val="24"/>
        </w:rPr>
      </w:pPr>
      <w:r w:rsidRPr="00384F0E">
        <w:rPr>
          <w:color w:val="000000"/>
          <w:sz w:val="24"/>
          <w:szCs w:val="24"/>
        </w:rPr>
        <w:t>types of data that may be considered proprietary and ways to overcome this sensitivity,</w:t>
      </w:r>
    </w:p>
    <w:p w:rsidR="009D0F4A" w:rsidRPr="00384F0E" w:rsidRDefault="009D0F4A" w:rsidP="00384F0E">
      <w:pPr>
        <w:numPr>
          <w:ilvl w:val="0"/>
          <w:numId w:val="16"/>
        </w:numPr>
        <w:rPr>
          <w:color w:val="000000"/>
          <w:sz w:val="24"/>
          <w:szCs w:val="24"/>
        </w:rPr>
      </w:pPr>
      <w:r w:rsidRPr="00384F0E">
        <w:rPr>
          <w:color w:val="000000"/>
          <w:sz w:val="24"/>
          <w:szCs w:val="24"/>
        </w:rPr>
        <w:t>questionnaire formats and data formats that make it easier for respondents to answer survey questions,</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most effective way to follow up with people who do not respond to initial solicitation,</w:t>
      </w:r>
    </w:p>
    <w:p w:rsidR="009D0F4A" w:rsidRPr="00384F0E" w:rsidRDefault="00BC492C" w:rsidP="00384F0E">
      <w:pPr>
        <w:numPr>
          <w:ilvl w:val="0"/>
          <w:numId w:val="16"/>
        </w:numPr>
        <w:rPr>
          <w:color w:val="000000"/>
          <w:sz w:val="24"/>
          <w:szCs w:val="24"/>
        </w:rPr>
      </w:pPr>
      <w:r>
        <w:rPr>
          <w:color w:val="000000"/>
          <w:sz w:val="24"/>
          <w:szCs w:val="24"/>
        </w:rPr>
        <w:t xml:space="preserve">the </w:t>
      </w:r>
      <w:r w:rsidR="009D0F4A" w:rsidRPr="00384F0E">
        <w:rPr>
          <w:color w:val="000000"/>
          <w:sz w:val="24"/>
          <w:szCs w:val="24"/>
        </w:rPr>
        <w:t>most effective ways to communicate survey results back to the industry.</w:t>
      </w:r>
    </w:p>
    <w:p w:rsidR="009D0F4A" w:rsidRPr="00384F0E" w:rsidRDefault="009D0F4A" w:rsidP="00384F0E">
      <w:pPr>
        <w:rPr>
          <w:color w:val="000000"/>
          <w:sz w:val="24"/>
          <w:szCs w:val="24"/>
        </w:rPr>
      </w:pPr>
    </w:p>
    <w:p w:rsidR="009D0F4A" w:rsidRPr="00384F0E" w:rsidRDefault="009D0F4A" w:rsidP="00384F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384F0E">
        <w:rPr>
          <w:color w:val="000000"/>
          <w:sz w:val="24"/>
          <w:szCs w:val="24"/>
        </w:rPr>
        <w:t>Dillman</w:t>
      </w:r>
      <w:r w:rsidR="00A25062" w:rsidRPr="00384F0E">
        <w:rPr>
          <w:color w:val="000000"/>
          <w:sz w:val="24"/>
          <w:szCs w:val="24"/>
        </w:rPr>
        <w:t>’</w:t>
      </w:r>
      <w:r w:rsidRPr="00384F0E">
        <w:rPr>
          <w:color w:val="000000"/>
          <w:sz w:val="24"/>
          <w:szCs w:val="24"/>
        </w:rPr>
        <w:t xml:space="preserve">s Total Design </w:t>
      </w:r>
      <w:r w:rsidR="00213BA8" w:rsidRPr="00384F0E">
        <w:rPr>
          <w:color w:val="000000"/>
          <w:sz w:val="24"/>
          <w:szCs w:val="24"/>
        </w:rPr>
        <w:t>Method (</w:t>
      </w:r>
      <w:r w:rsidRPr="00384F0E">
        <w:rPr>
          <w:color w:val="000000"/>
          <w:sz w:val="24"/>
          <w:szCs w:val="24"/>
        </w:rPr>
        <w:t xml:space="preserve">1978) will also be followed to ensure maximum participation and to minimize non-response bias.  Overall, past submissions under this clearance indicate that a 50% response rate will achieve an estimated sample mean within 15% of the population mean with a 95% confidence limit.  </w:t>
      </w:r>
      <w:r w:rsidR="00ED440F">
        <w:rPr>
          <w:color w:val="000000"/>
          <w:sz w:val="24"/>
          <w:szCs w:val="24"/>
        </w:rPr>
        <w:t>T</w:t>
      </w:r>
      <w:r w:rsidRPr="00384F0E">
        <w:rPr>
          <w:color w:val="000000"/>
          <w:sz w:val="24"/>
          <w:szCs w:val="24"/>
        </w:rPr>
        <w:t>he survey</w:t>
      </w:r>
      <w:r w:rsidR="00ED440F">
        <w:rPr>
          <w:color w:val="000000"/>
          <w:sz w:val="24"/>
          <w:szCs w:val="24"/>
        </w:rPr>
        <w:t xml:space="preserve">s completed under this clearance since 2009 had response rates that approached or exceeded </w:t>
      </w:r>
      <w:r w:rsidRPr="00384F0E">
        <w:rPr>
          <w:color w:val="000000"/>
          <w:sz w:val="24"/>
          <w:szCs w:val="24"/>
        </w:rPr>
        <w:t>50%</w:t>
      </w:r>
      <w:r w:rsidR="00ED440F">
        <w:rPr>
          <w:color w:val="000000"/>
          <w:sz w:val="24"/>
          <w:szCs w:val="24"/>
        </w:rPr>
        <w:t xml:space="preserve">.  With the lessons learned from those surveys and with enhanced efforts to increased response rates, we expect higher response rates for the future surveys that will be conducted under the renewed clearance.  </w:t>
      </w:r>
      <w:r w:rsidRPr="00384F0E">
        <w:rPr>
          <w:color w:val="000000"/>
          <w:sz w:val="24"/>
          <w:szCs w:val="24"/>
        </w:rPr>
        <w:t xml:space="preserve">Therefore, each of these surveys should achieve </w:t>
      </w:r>
      <w:r w:rsidR="00EA6782" w:rsidRPr="00384F0E">
        <w:rPr>
          <w:color w:val="000000"/>
          <w:sz w:val="24"/>
          <w:szCs w:val="24"/>
        </w:rPr>
        <w:t xml:space="preserve">a </w:t>
      </w:r>
      <w:r w:rsidRPr="00384F0E">
        <w:rPr>
          <w:color w:val="000000"/>
          <w:sz w:val="24"/>
          <w:szCs w:val="24"/>
        </w:rPr>
        <w:t xml:space="preserve">response </w:t>
      </w:r>
      <w:r w:rsidR="00EA6782" w:rsidRPr="00384F0E">
        <w:rPr>
          <w:color w:val="000000"/>
          <w:sz w:val="24"/>
          <w:szCs w:val="24"/>
        </w:rPr>
        <w:t xml:space="preserve">rate </w:t>
      </w:r>
      <w:r w:rsidRPr="00384F0E">
        <w:rPr>
          <w:color w:val="000000"/>
          <w:sz w:val="24"/>
          <w:szCs w:val="24"/>
        </w:rPr>
        <w:t xml:space="preserve">that will ensure estimated sample means will be </w:t>
      </w:r>
      <w:r w:rsidR="00ED440F">
        <w:rPr>
          <w:color w:val="000000"/>
          <w:sz w:val="24"/>
          <w:szCs w:val="24"/>
        </w:rPr>
        <w:t>useful f</w:t>
      </w:r>
      <w:r w:rsidR="007F7EC4">
        <w:rPr>
          <w:color w:val="000000"/>
          <w:sz w:val="24"/>
          <w:szCs w:val="24"/>
        </w:rPr>
        <w:t xml:space="preserve">or estimating population means </w:t>
      </w:r>
      <w:r w:rsidR="00ED440F">
        <w:rPr>
          <w:color w:val="000000"/>
          <w:sz w:val="24"/>
          <w:szCs w:val="24"/>
        </w:rPr>
        <w:t xml:space="preserve">and for conducting the required economic analyses.  </w:t>
      </w:r>
      <w:r w:rsidRPr="00384F0E">
        <w:rPr>
          <w:color w:val="000000"/>
          <w:sz w:val="24"/>
          <w:szCs w:val="24"/>
        </w:rPr>
        <w:t>Nevertheless, to ensure that the results are representative of the population being studied</w:t>
      </w:r>
      <w:r w:rsidR="00ED440F">
        <w:rPr>
          <w:color w:val="000000"/>
          <w:sz w:val="24"/>
          <w:szCs w:val="24"/>
        </w:rPr>
        <w:t>,</w:t>
      </w:r>
      <w:r w:rsidRPr="00384F0E">
        <w:rPr>
          <w:color w:val="000000"/>
          <w:sz w:val="24"/>
          <w:szCs w:val="24"/>
        </w:rPr>
        <w:t xml:space="preserve"> survey data will be compared with information from existing data sources (landings revenue, logbook catch and effort data, etc.).</w:t>
      </w:r>
      <w:r w:rsidR="00ED440F">
        <w:rPr>
          <w:color w:val="000000"/>
          <w:sz w:val="24"/>
          <w:szCs w:val="24"/>
        </w:rPr>
        <w:t xml:space="preserve">  </w:t>
      </w:r>
      <w:r w:rsidRPr="00384F0E">
        <w:rPr>
          <w:color w:val="000000"/>
          <w:sz w:val="24"/>
          <w:szCs w:val="24"/>
        </w:rPr>
        <w:t>If the comparison reveals sampling biases, information obtained from the alternative data source</w:t>
      </w:r>
      <w:r w:rsidR="00ED440F">
        <w:rPr>
          <w:color w:val="000000"/>
          <w:sz w:val="24"/>
          <w:szCs w:val="24"/>
        </w:rPr>
        <w:t>(s)</w:t>
      </w:r>
      <w:r w:rsidRPr="00384F0E">
        <w:rPr>
          <w:color w:val="000000"/>
          <w:sz w:val="24"/>
          <w:szCs w:val="24"/>
        </w:rPr>
        <w:t xml:space="preserve"> </w:t>
      </w:r>
      <w:r w:rsidR="00ED440F">
        <w:rPr>
          <w:color w:val="000000"/>
          <w:sz w:val="24"/>
          <w:szCs w:val="24"/>
        </w:rPr>
        <w:t xml:space="preserve">will </w:t>
      </w:r>
      <w:r w:rsidRPr="00384F0E">
        <w:rPr>
          <w:color w:val="000000"/>
          <w:sz w:val="24"/>
          <w:szCs w:val="24"/>
        </w:rPr>
        <w:t xml:space="preserve">be used to help devise methods (e.g., post-stratification) for correcting for </w:t>
      </w:r>
      <w:r w:rsidR="007F7EC4">
        <w:rPr>
          <w:color w:val="000000"/>
          <w:sz w:val="24"/>
          <w:szCs w:val="24"/>
        </w:rPr>
        <w:t>any</w:t>
      </w:r>
      <w:r w:rsidR="007F7EC4" w:rsidRPr="00384F0E">
        <w:rPr>
          <w:color w:val="000000"/>
          <w:sz w:val="24"/>
          <w:szCs w:val="24"/>
        </w:rPr>
        <w:t xml:space="preserve"> </w:t>
      </w:r>
      <w:r w:rsidRPr="00384F0E">
        <w:rPr>
          <w:color w:val="000000"/>
          <w:sz w:val="24"/>
          <w:szCs w:val="24"/>
        </w:rPr>
        <w:t>bias.</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b/>
          <w:color w:val="000000"/>
          <w:sz w:val="24"/>
          <w:szCs w:val="24"/>
        </w:rPr>
        <w:t>4.  Describe any tests of procedures or methods to be undertaken.  Tests are encouraged as effective means to refine collections, but if ten or more test respondents are involved OMB must give prior approval.</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All surveys conducted under this OMB authorization will be subject to pretest involving fewer than ten respondents.  As part of the pretest, representatives from the fishery being surveyed will be asked to complete a draft version of the questionnaire and to provide feedback regarding the </w:t>
      </w:r>
      <w:r w:rsidRPr="00384F0E">
        <w:rPr>
          <w:color w:val="000000"/>
          <w:sz w:val="24"/>
          <w:szCs w:val="24"/>
        </w:rPr>
        <w:lastRenderedPageBreak/>
        <w:t>clarity and completeness of the questionnaire and suggestions regarding how the survey can be improved</w:t>
      </w:r>
      <w:r w:rsidR="00ED440F">
        <w:rPr>
          <w:color w:val="000000"/>
          <w:sz w:val="24"/>
          <w:szCs w:val="24"/>
        </w:rPr>
        <w:t>, including methods for decreasing the burden hours,</w:t>
      </w:r>
      <w:r w:rsidR="000C7A3B">
        <w:rPr>
          <w:color w:val="000000"/>
          <w:sz w:val="24"/>
          <w:szCs w:val="24"/>
        </w:rPr>
        <w:t xml:space="preserve"> and what the burden hours will be.</w:t>
      </w:r>
    </w:p>
    <w:p w:rsidR="009D0F4A" w:rsidRPr="00384F0E" w:rsidRDefault="009D0F4A" w:rsidP="00384F0E">
      <w:pPr>
        <w:rPr>
          <w:color w:val="000000"/>
          <w:sz w:val="24"/>
          <w:szCs w:val="24"/>
        </w:rPr>
      </w:pPr>
    </w:p>
    <w:p w:rsidR="009D0F4A" w:rsidRPr="00384F0E" w:rsidRDefault="009D0F4A" w:rsidP="00384F0E">
      <w:pPr>
        <w:rPr>
          <w:b/>
          <w:color w:val="000000"/>
          <w:sz w:val="24"/>
          <w:szCs w:val="24"/>
        </w:rPr>
      </w:pPr>
      <w:r w:rsidRPr="00384F0E">
        <w:rPr>
          <w:b/>
          <w:color w:val="000000"/>
          <w:sz w:val="24"/>
          <w:szCs w:val="24"/>
        </w:rPr>
        <w:t>5.  Provide the name and telephone number of individuals consulted in the statistical aspects of the design, and the name of the agency unit, contractor(s), grantee(s), or other person(s) who will actually collect and/or analyze the information for the agency.</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The individuals responsible </w:t>
      </w:r>
      <w:r w:rsidR="0065185C" w:rsidRPr="00384F0E">
        <w:rPr>
          <w:color w:val="000000"/>
          <w:sz w:val="24"/>
          <w:szCs w:val="24"/>
        </w:rPr>
        <w:t xml:space="preserve">for designing or conducting data collections </w:t>
      </w:r>
      <w:r w:rsidRPr="00384F0E">
        <w:rPr>
          <w:color w:val="000000"/>
          <w:sz w:val="24"/>
          <w:szCs w:val="24"/>
        </w:rPr>
        <w:t>for the agency include:</w:t>
      </w:r>
    </w:p>
    <w:p w:rsidR="009D0F4A" w:rsidRPr="00384F0E" w:rsidRDefault="00814B4E" w:rsidP="001C1C67">
      <w:pPr>
        <w:numPr>
          <w:ilvl w:val="0"/>
          <w:numId w:val="18"/>
        </w:numPr>
        <w:rPr>
          <w:color w:val="000000"/>
          <w:sz w:val="24"/>
          <w:szCs w:val="24"/>
        </w:rPr>
      </w:pPr>
      <w:r w:rsidRPr="00814B4E">
        <w:rPr>
          <w:color w:val="000000"/>
          <w:sz w:val="24"/>
          <w:szCs w:val="24"/>
        </w:rPr>
        <w:t xml:space="preserve">Northeast </w:t>
      </w:r>
      <w:r w:rsidR="00F61156">
        <w:rPr>
          <w:color w:val="000000"/>
          <w:sz w:val="24"/>
          <w:szCs w:val="24"/>
        </w:rPr>
        <w:t>NMFS</w:t>
      </w:r>
      <w:r w:rsidRPr="00814B4E">
        <w:rPr>
          <w:color w:val="000000"/>
          <w:sz w:val="24"/>
          <w:szCs w:val="24"/>
        </w:rPr>
        <w:t xml:space="preserve"> economists: Scott Steinback: (508) 495-2371; Andrew Kitts (508) 495-2231; Tammy Murphy (508) 495-2137;</w:t>
      </w:r>
      <w:r>
        <w:rPr>
          <w:color w:val="000000"/>
          <w:sz w:val="24"/>
          <w:szCs w:val="24"/>
        </w:rPr>
        <w:t xml:space="preserve"> and</w:t>
      </w:r>
      <w:r w:rsidR="009D0F4A" w:rsidRPr="00384F0E">
        <w:rPr>
          <w:color w:val="000000"/>
          <w:sz w:val="24"/>
          <w:szCs w:val="24"/>
        </w:rPr>
        <w:t xml:space="preserve"> Barbara Roundtree (508) 495-2240</w:t>
      </w:r>
    </w:p>
    <w:p w:rsidR="009D0F4A" w:rsidRPr="00384F0E" w:rsidRDefault="009D0F4A" w:rsidP="001C1C67">
      <w:pPr>
        <w:numPr>
          <w:ilvl w:val="0"/>
          <w:numId w:val="18"/>
        </w:numPr>
        <w:rPr>
          <w:color w:val="000000"/>
          <w:sz w:val="24"/>
          <w:szCs w:val="24"/>
        </w:rPr>
      </w:pPr>
      <w:r w:rsidRPr="00384F0E">
        <w:rPr>
          <w:color w:val="000000"/>
          <w:sz w:val="24"/>
          <w:szCs w:val="24"/>
        </w:rPr>
        <w:t xml:space="preserve">Southeast </w:t>
      </w:r>
      <w:r w:rsidR="00F61156">
        <w:rPr>
          <w:color w:val="000000"/>
          <w:sz w:val="24"/>
          <w:szCs w:val="24"/>
        </w:rPr>
        <w:t>NMFS</w:t>
      </w:r>
      <w:r w:rsidR="00983A07">
        <w:rPr>
          <w:color w:val="000000"/>
          <w:sz w:val="24"/>
          <w:szCs w:val="24"/>
        </w:rPr>
        <w:t xml:space="preserve"> economists: </w:t>
      </w:r>
      <w:r w:rsidR="00157D0A">
        <w:rPr>
          <w:color w:val="000000"/>
          <w:sz w:val="24"/>
          <w:szCs w:val="24"/>
        </w:rPr>
        <w:t>Juan Agar</w:t>
      </w:r>
      <w:r w:rsidRPr="00384F0E">
        <w:rPr>
          <w:color w:val="000000"/>
          <w:sz w:val="24"/>
          <w:szCs w:val="24"/>
        </w:rPr>
        <w:t xml:space="preserve"> </w:t>
      </w:r>
      <w:r w:rsidR="00157D0A">
        <w:rPr>
          <w:color w:val="000000"/>
          <w:sz w:val="24"/>
          <w:szCs w:val="24"/>
        </w:rPr>
        <w:t>(</w:t>
      </w:r>
      <w:r w:rsidR="00157D0A" w:rsidRPr="00157D0A">
        <w:rPr>
          <w:color w:val="000000"/>
          <w:sz w:val="24"/>
          <w:szCs w:val="24"/>
        </w:rPr>
        <w:t>305</w:t>
      </w:r>
      <w:r w:rsidR="00157D0A">
        <w:rPr>
          <w:color w:val="000000"/>
          <w:sz w:val="24"/>
          <w:szCs w:val="24"/>
        </w:rPr>
        <w:t xml:space="preserve">) </w:t>
      </w:r>
      <w:r w:rsidR="00157D0A" w:rsidRPr="00157D0A">
        <w:rPr>
          <w:color w:val="000000"/>
          <w:sz w:val="24"/>
          <w:szCs w:val="24"/>
        </w:rPr>
        <w:t>361-4218 x218</w:t>
      </w:r>
      <w:r w:rsidRPr="00384F0E">
        <w:rPr>
          <w:color w:val="000000"/>
          <w:sz w:val="24"/>
          <w:szCs w:val="24"/>
        </w:rPr>
        <w:t>; Larry Perruso (305)-361-42</w:t>
      </w:r>
      <w:r w:rsidR="003F0C60" w:rsidRPr="00384F0E">
        <w:rPr>
          <w:color w:val="000000"/>
          <w:sz w:val="24"/>
          <w:szCs w:val="24"/>
        </w:rPr>
        <w:t>7</w:t>
      </w:r>
      <w:r w:rsidRPr="00384F0E">
        <w:rPr>
          <w:color w:val="000000"/>
          <w:sz w:val="24"/>
          <w:szCs w:val="24"/>
        </w:rPr>
        <w:t>8;</w:t>
      </w:r>
      <w:r w:rsidR="00814B4E">
        <w:rPr>
          <w:color w:val="000000"/>
          <w:sz w:val="24"/>
          <w:szCs w:val="24"/>
        </w:rPr>
        <w:t xml:space="preserve"> and Michael Travis (727)-824-5335</w:t>
      </w:r>
    </w:p>
    <w:p w:rsidR="009D0F4A" w:rsidRPr="00814B4E" w:rsidRDefault="00814B4E" w:rsidP="001C1C67">
      <w:pPr>
        <w:numPr>
          <w:ilvl w:val="0"/>
          <w:numId w:val="18"/>
        </w:numPr>
        <w:rPr>
          <w:color w:val="000000"/>
          <w:sz w:val="24"/>
          <w:szCs w:val="24"/>
        </w:rPr>
      </w:pPr>
      <w:r>
        <w:rPr>
          <w:color w:val="000000"/>
          <w:sz w:val="24"/>
          <w:szCs w:val="24"/>
        </w:rPr>
        <w:t xml:space="preserve">West  Coast </w:t>
      </w:r>
      <w:r w:rsidR="00F61156">
        <w:rPr>
          <w:color w:val="000000"/>
          <w:sz w:val="24"/>
          <w:szCs w:val="24"/>
        </w:rPr>
        <w:t>NMFS</w:t>
      </w:r>
      <w:r>
        <w:rPr>
          <w:color w:val="000000"/>
          <w:sz w:val="24"/>
          <w:szCs w:val="24"/>
        </w:rPr>
        <w:t xml:space="preserve"> economists: </w:t>
      </w:r>
      <w:r w:rsidRPr="00384F0E">
        <w:rPr>
          <w:color w:val="000000"/>
          <w:sz w:val="24"/>
          <w:szCs w:val="24"/>
        </w:rPr>
        <w:t xml:space="preserve">Todd Lee (206) 302-2436; Carl </w:t>
      </w:r>
      <w:proofErr w:type="spellStart"/>
      <w:r w:rsidRPr="00384F0E">
        <w:rPr>
          <w:color w:val="000000"/>
          <w:sz w:val="24"/>
          <w:szCs w:val="24"/>
        </w:rPr>
        <w:t>Lian</w:t>
      </w:r>
      <w:proofErr w:type="spellEnd"/>
      <w:r w:rsidRPr="00384F0E">
        <w:rPr>
          <w:color w:val="000000"/>
          <w:sz w:val="24"/>
          <w:szCs w:val="24"/>
        </w:rPr>
        <w:t xml:space="preserve"> (206) 860-3412; Cindy Thomson (831) 420-3911</w:t>
      </w:r>
      <w:r>
        <w:rPr>
          <w:color w:val="000000"/>
          <w:sz w:val="24"/>
          <w:szCs w:val="24"/>
        </w:rPr>
        <w:t xml:space="preserve">, Stephan </w:t>
      </w:r>
      <w:proofErr w:type="spellStart"/>
      <w:r>
        <w:rPr>
          <w:color w:val="000000"/>
          <w:sz w:val="24"/>
          <w:szCs w:val="24"/>
        </w:rPr>
        <w:t>Stohs</w:t>
      </w:r>
      <w:proofErr w:type="spellEnd"/>
      <w:r>
        <w:rPr>
          <w:color w:val="000000"/>
          <w:sz w:val="24"/>
          <w:szCs w:val="24"/>
        </w:rPr>
        <w:t xml:space="preserve"> (</w:t>
      </w:r>
      <w:r w:rsidRPr="000A294B">
        <w:rPr>
          <w:color w:val="000000"/>
          <w:sz w:val="24"/>
          <w:szCs w:val="24"/>
        </w:rPr>
        <w:t>858</w:t>
      </w:r>
      <w:r>
        <w:rPr>
          <w:color w:val="000000"/>
          <w:sz w:val="24"/>
          <w:szCs w:val="24"/>
        </w:rPr>
        <w:t xml:space="preserve">) </w:t>
      </w:r>
      <w:r w:rsidRPr="000A294B">
        <w:rPr>
          <w:color w:val="000000"/>
          <w:sz w:val="24"/>
          <w:szCs w:val="24"/>
        </w:rPr>
        <w:t>546-7084</w:t>
      </w:r>
      <w:r>
        <w:rPr>
          <w:color w:val="000000"/>
          <w:sz w:val="24"/>
          <w:szCs w:val="24"/>
        </w:rPr>
        <w:t>; and James Hilger</w:t>
      </w:r>
      <w:r w:rsidRPr="00384F0E">
        <w:rPr>
          <w:color w:val="000000"/>
          <w:sz w:val="24"/>
          <w:szCs w:val="24"/>
        </w:rPr>
        <w:t xml:space="preserve"> </w:t>
      </w:r>
      <w:r w:rsidRPr="000A294B">
        <w:rPr>
          <w:color w:val="000000"/>
          <w:sz w:val="24"/>
          <w:szCs w:val="24"/>
        </w:rPr>
        <w:t>(858) 546-</w:t>
      </w:r>
      <w:r>
        <w:rPr>
          <w:color w:val="000000"/>
          <w:sz w:val="24"/>
          <w:szCs w:val="24"/>
        </w:rPr>
        <w:t>7140</w:t>
      </w:r>
      <w:r w:rsidR="009D0F4A" w:rsidRPr="00814B4E">
        <w:rPr>
          <w:color w:val="000000"/>
          <w:sz w:val="24"/>
          <w:szCs w:val="24"/>
        </w:rPr>
        <w:t xml:space="preserve"> </w:t>
      </w:r>
    </w:p>
    <w:p w:rsidR="0065185C" w:rsidRPr="00384F0E" w:rsidRDefault="009D0F4A" w:rsidP="001C1C67">
      <w:pPr>
        <w:numPr>
          <w:ilvl w:val="0"/>
          <w:numId w:val="18"/>
        </w:numPr>
        <w:rPr>
          <w:color w:val="000000"/>
          <w:sz w:val="24"/>
          <w:szCs w:val="24"/>
        </w:rPr>
      </w:pPr>
      <w:r w:rsidRPr="00384F0E">
        <w:rPr>
          <w:color w:val="000000"/>
          <w:sz w:val="24"/>
          <w:szCs w:val="24"/>
        </w:rPr>
        <w:t xml:space="preserve">Alaska </w:t>
      </w:r>
      <w:r w:rsidR="00F61156">
        <w:rPr>
          <w:color w:val="000000"/>
          <w:sz w:val="24"/>
          <w:szCs w:val="24"/>
        </w:rPr>
        <w:t>NMFS</w:t>
      </w:r>
      <w:r w:rsidRPr="00384F0E">
        <w:rPr>
          <w:color w:val="000000"/>
          <w:sz w:val="24"/>
          <w:szCs w:val="24"/>
        </w:rPr>
        <w:t xml:space="preserve"> economists: Ron </w:t>
      </w:r>
      <w:proofErr w:type="spellStart"/>
      <w:r w:rsidRPr="00384F0E">
        <w:rPr>
          <w:color w:val="000000"/>
          <w:sz w:val="24"/>
          <w:szCs w:val="24"/>
        </w:rPr>
        <w:t>Felthoven</w:t>
      </w:r>
      <w:proofErr w:type="spellEnd"/>
      <w:r w:rsidRPr="00384F0E">
        <w:rPr>
          <w:color w:val="000000"/>
          <w:sz w:val="24"/>
          <w:szCs w:val="24"/>
        </w:rPr>
        <w:t xml:space="preserve"> (206) 526-4114</w:t>
      </w:r>
      <w:r w:rsidR="00814B4E">
        <w:rPr>
          <w:color w:val="000000"/>
          <w:sz w:val="24"/>
          <w:szCs w:val="24"/>
        </w:rPr>
        <w:t xml:space="preserve"> and</w:t>
      </w:r>
      <w:r w:rsidRPr="00384F0E">
        <w:rPr>
          <w:color w:val="000000"/>
          <w:sz w:val="24"/>
          <w:szCs w:val="24"/>
        </w:rPr>
        <w:t xml:space="preserve"> </w:t>
      </w:r>
      <w:r w:rsidR="003F0C60" w:rsidRPr="00384F0E">
        <w:rPr>
          <w:color w:val="000000"/>
          <w:sz w:val="24"/>
          <w:szCs w:val="24"/>
        </w:rPr>
        <w:t>Brian Garber Yonts, (206) 526-6301</w:t>
      </w:r>
    </w:p>
    <w:p w:rsidR="0065185C" w:rsidRPr="00384F0E" w:rsidRDefault="009D0F4A" w:rsidP="001C1C67">
      <w:pPr>
        <w:numPr>
          <w:ilvl w:val="0"/>
          <w:numId w:val="18"/>
        </w:numPr>
        <w:rPr>
          <w:color w:val="000000"/>
          <w:sz w:val="24"/>
          <w:szCs w:val="24"/>
        </w:rPr>
      </w:pPr>
      <w:r w:rsidRPr="00384F0E">
        <w:rPr>
          <w:color w:val="000000"/>
          <w:sz w:val="24"/>
          <w:szCs w:val="24"/>
        </w:rPr>
        <w:t>P</w:t>
      </w:r>
      <w:r w:rsidR="00983A07">
        <w:rPr>
          <w:color w:val="000000"/>
          <w:sz w:val="24"/>
          <w:szCs w:val="24"/>
        </w:rPr>
        <w:t xml:space="preserve">acific Islands </w:t>
      </w:r>
      <w:r w:rsidR="00F61156">
        <w:rPr>
          <w:color w:val="000000"/>
          <w:sz w:val="24"/>
          <w:szCs w:val="24"/>
        </w:rPr>
        <w:t>NMFS</w:t>
      </w:r>
      <w:r w:rsidR="00983A07">
        <w:rPr>
          <w:color w:val="000000"/>
          <w:sz w:val="24"/>
          <w:szCs w:val="24"/>
        </w:rPr>
        <w:t xml:space="preserve"> economists: </w:t>
      </w:r>
      <w:proofErr w:type="spellStart"/>
      <w:r w:rsidRPr="00384F0E">
        <w:rPr>
          <w:color w:val="000000"/>
          <w:sz w:val="24"/>
          <w:szCs w:val="24"/>
        </w:rPr>
        <w:t>Minling</w:t>
      </w:r>
      <w:proofErr w:type="spellEnd"/>
      <w:r w:rsidRPr="00384F0E">
        <w:rPr>
          <w:color w:val="000000"/>
          <w:sz w:val="24"/>
          <w:szCs w:val="24"/>
        </w:rPr>
        <w:t xml:space="preserve"> Pan (808) 983-5347</w:t>
      </w:r>
      <w:r w:rsidR="00814B4E">
        <w:rPr>
          <w:color w:val="000000"/>
          <w:sz w:val="24"/>
          <w:szCs w:val="24"/>
        </w:rPr>
        <w:t xml:space="preserve"> and </w:t>
      </w:r>
      <w:r w:rsidR="0065185C" w:rsidRPr="00384F0E">
        <w:rPr>
          <w:color w:val="000000"/>
          <w:sz w:val="24"/>
          <w:szCs w:val="24"/>
        </w:rPr>
        <w:t>Justin Hospital, (808) 983-5347</w:t>
      </w:r>
    </w:p>
    <w:p w:rsidR="009D0F4A" w:rsidRDefault="007E5131" w:rsidP="00384F0E">
      <w:pPr>
        <w:numPr>
          <w:ilvl w:val="0"/>
          <w:numId w:val="18"/>
        </w:numPr>
        <w:rPr>
          <w:color w:val="000000"/>
          <w:sz w:val="24"/>
          <w:szCs w:val="24"/>
        </w:rPr>
      </w:pPr>
      <w:r>
        <w:rPr>
          <w:color w:val="000000"/>
          <w:sz w:val="24"/>
          <w:szCs w:val="24"/>
        </w:rPr>
        <w:t>Pacific Fishery Management Plan (PFMC)</w:t>
      </w:r>
      <w:r w:rsidR="00983A07">
        <w:rPr>
          <w:color w:val="000000"/>
          <w:sz w:val="24"/>
          <w:szCs w:val="24"/>
        </w:rPr>
        <w:t xml:space="preserve"> economist: </w:t>
      </w:r>
      <w:r w:rsidR="009D0F4A" w:rsidRPr="00384F0E">
        <w:rPr>
          <w:color w:val="000000"/>
          <w:sz w:val="24"/>
          <w:szCs w:val="24"/>
        </w:rPr>
        <w:t>Jim Seger (503) 820-2280</w:t>
      </w:r>
      <w:r w:rsidR="00983A07">
        <w:rPr>
          <w:color w:val="000000"/>
          <w:sz w:val="24"/>
          <w:szCs w:val="24"/>
        </w:rPr>
        <w:t>.</w:t>
      </w:r>
    </w:p>
    <w:p w:rsidR="00814B4E" w:rsidRPr="00814B4E" w:rsidRDefault="00814B4E" w:rsidP="001C1C67">
      <w:pPr>
        <w:numPr>
          <w:ilvl w:val="0"/>
          <w:numId w:val="18"/>
        </w:numPr>
        <w:rPr>
          <w:color w:val="000000"/>
          <w:sz w:val="24"/>
          <w:szCs w:val="24"/>
        </w:rPr>
      </w:pPr>
      <w:r>
        <w:rPr>
          <w:color w:val="000000"/>
          <w:sz w:val="24"/>
          <w:szCs w:val="24"/>
        </w:rPr>
        <w:t xml:space="preserve">Headquarters </w:t>
      </w:r>
      <w:r w:rsidR="00F61156">
        <w:rPr>
          <w:color w:val="000000"/>
          <w:sz w:val="24"/>
          <w:szCs w:val="24"/>
        </w:rPr>
        <w:t>NMFS</w:t>
      </w:r>
      <w:r>
        <w:rPr>
          <w:color w:val="000000"/>
          <w:sz w:val="24"/>
          <w:szCs w:val="24"/>
        </w:rPr>
        <w:t xml:space="preserve"> economists:  </w:t>
      </w:r>
      <w:r w:rsidRPr="00ED440F">
        <w:rPr>
          <w:color w:val="000000"/>
          <w:sz w:val="24"/>
          <w:szCs w:val="24"/>
        </w:rPr>
        <w:t>Eric Thunberg (508) 495-2272</w:t>
      </w:r>
      <w:r>
        <w:rPr>
          <w:color w:val="000000"/>
          <w:sz w:val="24"/>
          <w:szCs w:val="24"/>
        </w:rPr>
        <w:t xml:space="preserve"> and Sabrina Lovell (</w:t>
      </w:r>
      <w:r w:rsidRPr="00814B4E">
        <w:rPr>
          <w:color w:val="000000"/>
          <w:sz w:val="24"/>
          <w:szCs w:val="24"/>
        </w:rPr>
        <w:t>301</w:t>
      </w:r>
      <w:r>
        <w:rPr>
          <w:color w:val="000000"/>
          <w:sz w:val="24"/>
          <w:szCs w:val="24"/>
        </w:rPr>
        <w:t xml:space="preserve">) </w:t>
      </w:r>
      <w:r w:rsidRPr="00814B4E">
        <w:rPr>
          <w:color w:val="000000"/>
          <w:sz w:val="24"/>
          <w:szCs w:val="24"/>
        </w:rPr>
        <w:t>427-8153</w:t>
      </w:r>
    </w:p>
    <w:p w:rsidR="009D0F4A" w:rsidRPr="00384F0E" w:rsidRDefault="009D0F4A" w:rsidP="00384F0E">
      <w:pPr>
        <w:ind w:left="360"/>
        <w:rPr>
          <w:color w:val="000000"/>
          <w:sz w:val="24"/>
          <w:szCs w:val="24"/>
        </w:rPr>
      </w:pPr>
    </w:p>
    <w:p w:rsidR="009D0F4A" w:rsidRPr="00384F0E" w:rsidRDefault="009D0F4A" w:rsidP="00384F0E">
      <w:pPr>
        <w:rPr>
          <w:color w:val="000000"/>
          <w:sz w:val="24"/>
          <w:szCs w:val="24"/>
        </w:rPr>
      </w:pPr>
      <w:r w:rsidRPr="00384F0E">
        <w:rPr>
          <w:color w:val="000000"/>
          <w:sz w:val="24"/>
          <w:szCs w:val="24"/>
        </w:rPr>
        <w:t>Analysts include:</w:t>
      </w:r>
    </w:p>
    <w:p w:rsidR="009D0F4A" w:rsidRPr="00384F0E" w:rsidRDefault="00983A07" w:rsidP="000A294B">
      <w:pPr>
        <w:numPr>
          <w:ilvl w:val="0"/>
          <w:numId w:val="18"/>
        </w:numPr>
        <w:rPr>
          <w:color w:val="000000"/>
          <w:sz w:val="24"/>
          <w:szCs w:val="24"/>
        </w:rPr>
      </w:pPr>
      <w:r>
        <w:rPr>
          <w:color w:val="000000"/>
          <w:sz w:val="24"/>
          <w:szCs w:val="24"/>
        </w:rPr>
        <w:t xml:space="preserve">West </w:t>
      </w:r>
      <w:r w:rsidR="007E5131">
        <w:rPr>
          <w:color w:val="000000"/>
          <w:sz w:val="24"/>
          <w:szCs w:val="24"/>
        </w:rPr>
        <w:t xml:space="preserve"> C</w:t>
      </w:r>
      <w:r>
        <w:rPr>
          <w:color w:val="000000"/>
          <w:sz w:val="24"/>
          <w:szCs w:val="24"/>
        </w:rPr>
        <w:t xml:space="preserve">oast NMFS economists: </w:t>
      </w:r>
      <w:r w:rsidR="009D0F4A" w:rsidRPr="00384F0E">
        <w:rPr>
          <w:color w:val="000000"/>
          <w:sz w:val="24"/>
          <w:szCs w:val="24"/>
        </w:rPr>
        <w:t xml:space="preserve">Todd Lee (206) 302-2436; </w:t>
      </w:r>
      <w:r w:rsidR="003F0C60" w:rsidRPr="00384F0E">
        <w:rPr>
          <w:color w:val="000000"/>
          <w:sz w:val="24"/>
          <w:szCs w:val="24"/>
        </w:rPr>
        <w:t xml:space="preserve">Carl </w:t>
      </w:r>
      <w:proofErr w:type="spellStart"/>
      <w:r w:rsidR="003F0C60" w:rsidRPr="00384F0E">
        <w:rPr>
          <w:color w:val="000000"/>
          <w:sz w:val="24"/>
          <w:szCs w:val="24"/>
        </w:rPr>
        <w:t>Lian</w:t>
      </w:r>
      <w:proofErr w:type="spellEnd"/>
      <w:r w:rsidR="003F0C60" w:rsidRPr="00384F0E">
        <w:rPr>
          <w:color w:val="000000"/>
          <w:sz w:val="24"/>
          <w:szCs w:val="24"/>
        </w:rPr>
        <w:t xml:space="preserve"> (206) 860-3412; </w:t>
      </w:r>
      <w:r w:rsidR="009D0F4A" w:rsidRPr="00384F0E">
        <w:rPr>
          <w:color w:val="000000"/>
          <w:sz w:val="24"/>
          <w:szCs w:val="24"/>
        </w:rPr>
        <w:t>Cindy Thomson (831) 420-3911</w:t>
      </w:r>
      <w:r w:rsidR="000A294B">
        <w:rPr>
          <w:color w:val="000000"/>
          <w:sz w:val="24"/>
          <w:szCs w:val="24"/>
        </w:rPr>
        <w:t xml:space="preserve">, Stephan </w:t>
      </w:r>
      <w:proofErr w:type="spellStart"/>
      <w:r w:rsidR="000A294B">
        <w:rPr>
          <w:color w:val="000000"/>
          <w:sz w:val="24"/>
          <w:szCs w:val="24"/>
        </w:rPr>
        <w:t>Stohs</w:t>
      </w:r>
      <w:proofErr w:type="spellEnd"/>
      <w:r w:rsidR="000A294B">
        <w:rPr>
          <w:color w:val="000000"/>
          <w:sz w:val="24"/>
          <w:szCs w:val="24"/>
        </w:rPr>
        <w:t xml:space="preserve"> (</w:t>
      </w:r>
      <w:r w:rsidR="000A294B" w:rsidRPr="000A294B">
        <w:rPr>
          <w:color w:val="000000"/>
          <w:sz w:val="24"/>
          <w:szCs w:val="24"/>
        </w:rPr>
        <w:t>858</w:t>
      </w:r>
      <w:r w:rsidR="000A294B">
        <w:rPr>
          <w:color w:val="000000"/>
          <w:sz w:val="24"/>
          <w:szCs w:val="24"/>
        </w:rPr>
        <w:t xml:space="preserve">) </w:t>
      </w:r>
      <w:r w:rsidR="000A294B" w:rsidRPr="000A294B">
        <w:rPr>
          <w:color w:val="000000"/>
          <w:sz w:val="24"/>
          <w:szCs w:val="24"/>
        </w:rPr>
        <w:t>546-7084</w:t>
      </w:r>
      <w:r w:rsidR="00814B4E">
        <w:rPr>
          <w:color w:val="000000"/>
          <w:sz w:val="24"/>
          <w:szCs w:val="24"/>
        </w:rPr>
        <w:t>; James Hilger</w:t>
      </w:r>
      <w:r w:rsidR="009D0F4A" w:rsidRPr="00384F0E">
        <w:rPr>
          <w:color w:val="000000"/>
          <w:sz w:val="24"/>
          <w:szCs w:val="24"/>
        </w:rPr>
        <w:t xml:space="preserve"> </w:t>
      </w:r>
      <w:r w:rsidR="000A294B" w:rsidRPr="000A294B">
        <w:rPr>
          <w:color w:val="000000"/>
          <w:sz w:val="24"/>
          <w:szCs w:val="24"/>
        </w:rPr>
        <w:t>(858) 546-</w:t>
      </w:r>
      <w:r w:rsidR="000A294B">
        <w:rPr>
          <w:color w:val="000000"/>
          <w:sz w:val="24"/>
          <w:szCs w:val="24"/>
        </w:rPr>
        <w:t>7140</w:t>
      </w:r>
    </w:p>
    <w:p w:rsidR="006C1A53" w:rsidRPr="00384F0E" w:rsidRDefault="009D0F4A" w:rsidP="00384F0E">
      <w:pPr>
        <w:numPr>
          <w:ilvl w:val="0"/>
          <w:numId w:val="18"/>
        </w:numPr>
        <w:rPr>
          <w:color w:val="000000"/>
          <w:sz w:val="24"/>
          <w:szCs w:val="24"/>
        </w:rPr>
      </w:pPr>
      <w:r w:rsidRPr="00384F0E">
        <w:rPr>
          <w:color w:val="000000"/>
          <w:sz w:val="24"/>
          <w:szCs w:val="24"/>
        </w:rPr>
        <w:t xml:space="preserve">Alaska NMFS economists: Ron </w:t>
      </w:r>
      <w:proofErr w:type="spellStart"/>
      <w:r w:rsidRPr="00384F0E">
        <w:rPr>
          <w:color w:val="000000"/>
          <w:sz w:val="24"/>
          <w:szCs w:val="24"/>
        </w:rPr>
        <w:t>Felthoven</w:t>
      </w:r>
      <w:proofErr w:type="spellEnd"/>
      <w:r w:rsidRPr="00384F0E">
        <w:rPr>
          <w:color w:val="000000"/>
          <w:sz w:val="24"/>
          <w:szCs w:val="24"/>
        </w:rPr>
        <w:t xml:space="preserve"> (206) 526-4114, </w:t>
      </w:r>
      <w:r w:rsidR="003F0C60" w:rsidRPr="00384F0E">
        <w:rPr>
          <w:color w:val="000000"/>
          <w:sz w:val="24"/>
          <w:szCs w:val="24"/>
        </w:rPr>
        <w:t>Alan Haynie, (206) 526-4253</w:t>
      </w:r>
      <w:r w:rsidR="006C1A53" w:rsidRPr="00384F0E">
        <w:rPr>
          <w:color w:val="000000"/>
          <w:sz w:val="24"/>
          <w:szCs w:val="24"/>
        </w:rPr>
        <w:t>, Mike Dalton (206) 526-4253</w:t>
      </w:r>
    </w:p>
    <w:p w:rsidR="007612D2" w:rsidRPr="00384F0E" w:rsidRDefault="007612D2" w:rsidP="00384F0E">
      <w:pPr>
        <w:numPr>
          <w:ilvl w:val="0"/>
          <w:numId w:val="18"/>
        </w:numPr>
        <w:rPr>
          <w:color w:val="000000"/>
          <w:sz w:val="24"/>
          <w:szCs w:val="24"/>
        </w:rPr>
      </w:pPr>
      <w:r w:rsidRPr="00384F0E">
        <w:rPr>
          <w:color w:val="000000"/>
          <w:sz w:val="24"/>
          <w:szCs w:val="24"/>
        </w:rPr>
        <w:t xml:space="preserve">Southeast NMFS economists: Christopher </w:t>
      </w:r>
      <w:proofErr w:type="spellStart"/>
      <w:r w:rsidRPr="00384F0E">
        <w:rPr>
          <w:color w:val="000000"/>
          <w:sz w:val="24"/>
          <w:szCs w:val="24"/>
        </w:rPr>
        <w:t>Liese</w:t>
      </w:r>
      <w:proofErr w:type="spellEnd"/>
      <w:r w:rsidRPr="00384F0E">
        <w:rPr>
          <w:color w:val="000000"/>
          <w:sz w:val="24"/>
          <w:szCs w:val="24"/>
        </w:rPr>
        <w:t xml:space="preserve"> (305) 365-4109; </w:t>
      </w:r>
      <w:r w:rsidR="00157D0A">
        <w:rPr>
          <w:color w:val="000000"/>
          <w:sz w:val="24"/>
          <w:szCs w:val="24"/>
        </w:rPr>
        <w:t>Juan Agar</w:t>
      </w:r>
      <w:r w:rsidR="00157D0A" w:rsidRPr="00384F0E">
        <w:rPr>
          <w:color w:val="000000"/>
          <w:sz w:val="24"/>
          <w:szCs w:val="24"/>
        </w:rPr>
        <w:t xml:space="preserve"> </w:t>
      </w:r>
      <w:r w:rsidR="00157D0A">
        <w:rPr>
          <w:color w:val="000000"/>
          <w:sz w:val="24"/>
          <w:szCs w:val="24"/>
        </w:rPr>
        <w:t>(</w:t>
      </w:r>
      <w:r w:rsidR="00157D0A" w:rsidRPr="00157D0A">
        <w:rPr>
          <w:color w:val="000000"/>
          <w:sz w:val="24"/>
          <w:szCs w:val="24"/>
        </w:rPr>
        <w:t>305</w:t>
      </w:r>
      <w:r w:rsidR="00157D0A">
        <w:rPr>
          <w:color w:val="000000"/>
          <w:sz w:val="24"/>
          <w:szCs w:val="24"/>
        </w:rPr>
        <w:t xml:space="preserve">) </w:t>
      </w:r>
      <w:r w:rsidR="00157D0A" w:rsidRPr="00157D0A">
        <w:rPr>
          <w:color w:val="000000"/>
          <w:sz w:val="24"/>
          <w:szCs w:val="24"/>
        </w:rPr>
        <w:t>361-4218 x218</w:t>
      </w:r>
      <w:r w:rsidR="006C1A53" w:rsidRPr="00384F0E">
        <w:rPr>
          <w:color w:val="000000"/>
          <w:sz w:val="24"/>
          <w:szCs w:val="24"/>
        </w:rPr>
        <w:t>; Larry Perruso (305)-361-4278</w:t>
      </w:r>
    </w:p>
    <w:p w:rsidR="006C1A53" w:rsidRPr="00384F0E" w:rsidRDefault="006C1A53" w:rsidP="000A294B">
      <w:pPr>
        <w:numPr>
          <w:ilvl w:val="0"/>
          <w:numId w:val="18"/>
        </w:numPr>
        <w:rPr>
          <w:color w:val="000000"/>
          <w:sz w:val="24"/>
          <w:szCs w:val="24"/>
        </w:rPr>
      </w:pPr>
      <w:r w:rsidRPr="00384F0E">
        <w:rPr>
          <w:color w:val="000000"/>
          <w:sz w:val="24"/>
          <w:szCs w:val="24"/>
        </w:rPr>
        <w:t>Northeast NMFS economists: Scott Steinback: (508) 495-2371</w:t>
      </w:r>
      <w:r w:rsidR="000A294B">
        <w:rPr>
          <w:color w:val="000000"/>
          <w:sz w:val="24"/>
          <w:szCs w:val="24"/>
        </w:rPr>
        <w:t xml:space="preserve">; Andrew Kitts </w:t>
      </w:r>
      <w:r w:rsidR="000A294B" w:rsidRPr="000A294B">
        <w:rPr>
          <w:color w:val="000000"/>
          <w:sz w:val="24"/>
          <w:szCs w:val="24"/>
        </w:rPr>
        <w:t>(508) 495-22</w:t>
      </w:r>
      <w:r w:rsidR="000A294B">
        <w:rPr>
          <w:color w:val="000000"/>
          <w:sz w:val="24"/>
          <w:szCs w:val="24"/>
        </w:rPr>
        <w:t xml:space="preserve">31; Tammy Murphy </w:t>
      </w:r>
      <w:r w:rsidR="000A294B" w:rsidRPr="000A294B">
        <w:rPr>
          <w:color w:val="000000"/>
          <w:sz w:val="24"/>
          <w:szCs w:val="24"/>
        </w:rPr>
        <w:t>(508) 495-</w:t>
      </w:r>
      <w:r w:rsidR="000A294B">
        <w:rPr>
          <w:color w:val="000000"/>
          <w:sz w:val="24"/>
          <w:szCs w:val="24"/>
        </w:rPr>
        <w:t>2137</w:t>
      </w:r>
    </w:p>
    <w:p w:rsidR="009D0F4A" w:rsidRPr="00384F0E" w:rsidRDefault="009D0F4A" w:rsidP="00384F0E">
      <w:pPr>
        <w:numPr>
          <w:ilvl w:val="0"/>
          <w:numId w:val="18"/>
        </w:numPr>
        <w:rPr>
          <w:color w:val="000000"/>
          <w:sz w:val="24"/>
          <w:szCs w:val="24"/>
        </w:rPr>
      </w:pPr>
      <w:r w:rsidRPr="00384F0E">
        <w:rPr>
          <w:color w:val="000000"/>
          <w:sz w:val="24"/>
          <w:szCs w:val="24"/>
        </w:rPr>
        <w:t>PFMC economist</w:t>
      </w:r>
      <w:r w:rsidR="00983A07">
        <w:rPr>
          <w:color w:val="000000"/>
          <w:sz w:val="24"/>
          <w:szCs w:val="24"/>
        </w:rPr>
        <w:t>:</w:t>
      </w:r>
      <w:r w:rsidRPr="00384F0E">
        <w:rPr>
          <w:color w:val="000000"/>
          <w:sz w:val="24"/>
          <w:szCs w:val="24"/>
        </w:rPr>
        <w:t xml:space="preserve"> Jim Seger (503) 820-2280</w:t>
      </w:r>
    </w:p>
    <w:p w:rsidR="009D0F4A" w:rsidRDefault="007E5131" w:rsidP="00384F0E">
      <w:pPr>
        <w:numPr>
          <w:ilvl w:val="0"/>
          <w:numId w:val="18"/>
        </w:numPr>
        <w:rPr>
          <w:color w:val="000000"/>
          <w:sz w:val="24"/>
          <w:szCs w:val="24"/>
        </w:rPr>
      </w:pPr>
      <w:r>
        <w:rPr>
          <w:color w:val="000000"/>
          <w:sz w:val="24"/>
          <w:szCs w:val="24"/>
        </w:rPr>
        <w:t>Mid-Atlantic Fishery Management Plan</w:t>
      </w:r>
      <w:r w:rsidR="009D0F4A" w:rsidRPr="00384F0E">
        <w:rPr>
          <w:color w:val="000000"/>
          <w:sz w:val="24"/>
          <w:szCs w:val="24"/>
        </w:rPr>
        <w:t xml:space="preserve"> economist:</w:t>
      </w:r>
      <w:r w:rsidR="007612D2" w:rsidRPr="00384F0E">
        <w:rPr>
          <w:color w:val="000000"/>
          <w:sz w:val="24"/>
          <w:szCs w:val="24"/>
        </w:rPr>
        <w:t xml:space="preserve"> Jose Montanez </w:t>
      </w:r>
      <w:r w:rsidR="009D0F4A" w:rsidRPr="00384F0E">
        <w:rPr>
          <w:color w:val="000000"/>
          <w:sz w:val="24"/>
          <w:szCs w:val="24"/>
        </w:rPr>
        <w:t>(</w:t>
      </w:r>
      <w:r w:rsidR="007612D2" w:rsidRPr="00384F0E">
        <w:rPr>
          <w:color w:val="000000"/>
          <w:sz w:val="24"/>
          <w:szCs w:val="24"/>
        </w:rPr>
        <w:t>302</w:t>
      </w:r>
      <w:r w:rsidR="009D0F4A" w:rsidRPr="00384F0E">
        <w:rPr>
          <w:color w:val="000000"/>
          <w:sz w:val="24"/>
          <w:szCs w:val="24"/>
        </w:rPr>
        <w:t xml:space="preserve">) </w:t>
      </w:r>
      <w:r w:rsidR="007612D2" w:rsidRPr="00384F0E">
        <w:rPr>
          <w:color w:val="000000"/>
          <w:sz w:val="24"/>
          <w:szCs w:val="24"/>
        </w:rPr>
        <w:t>674-2331 ext. 12</w:t>
      </w:r>
      <w:r w:rsidR="00983A07">
        <w:rPr>
          <w:color w:val="000000"/>
          <w:sz w:val="24"/>
          <w:szCs w:val="24"/>
        </w:rPr>
        <w:t>.</w:t>
      </w:r>
    </w:p>
    <w:p w:rsidR="00814B4E" w:rsidRPr="00384F0E" w:rsidRDefault="00814B4E" w:rsidP="00814B4E">
      <w:pPr>
        <w:numPr>
          <w:ilvl w:val="0"/>
          <w:numId w:val="18"/>
        </w:numPr>
        <w:rPr>
          <w:color w:val="000000"/>
          <w:sz w:val="24"/>
          <w:szCs w:val="24"/>
        </w:rPr>
      </w:pPr>
      <w:r w:rsidRPr="00814B4E">
        <w:rPr>
          <w:color w:val="000000"/>
          <w:sz w:val="24"/>
          <w:szCs w:val="24"/>
        </w:rPr>
        <w:t>Headquarters NMFS economists:  Eric Thunberg (508) 495-2272 and Sabrina Lovell (301) 427-8153</w:t>
      </w:r>
      <w:r w:rsidR="00C95281">
        <w:rPr>
          <w:color w:val="000000"/>
          <w:sz w:val="24"/>
          <w:szCs w:val="24"/>
        </w:rPr>
        <w:t>.</w:t>
      </w:r>
    </w:p>
    <w:p w:rsidR="008B3BB4" w:rsidRPr="00384F0E" w:rsidRDefault="008B3BB4" w:rsidP="00384F0E">
      <w:pPr>
        <w:rPr>
          <w:color w:val="000000"/>
          <w:sz w:val="24"/>
          <w:szCs w:val="24"/>
        </w:rPr>
      </w:pPr>
    </w:p>
    <w:p w:rsidR="008B3BB4" w:rsidRPr="00384F0E" w:rsidRDefault="008B3BB4" w:rsidP="00256BB4"/>
    <w:sectPr w:rsidR="008B3BB4" w:rsidRPr="00384F0E" w:rsidSect="00D301FA">
      <w:footerReference w:type="even" r:id="rId9"/>
      <w:footerReference w:type="default" r:id="rId10"/>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97" w:rsidRDefault="00E26A97">
      <w:r>
        <w:separator/>
      </w:r>
    </w:p>
  </w:endnote>
  <w:endnote w:type="continuationSeparator" w:id="0">
    <w:p w:rsidR="00E26A97" w:rsidRDefault="00E2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49" w:rsidRDefault="00785E49" w:rsidP="00256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E49" w:rsidRDefault="00785E49">
    <w:pPr>
      <w:framePr w:w="9360" w:h="280" w:hRule="exact" w:wrap="notBeside" w:vAnchor="page" w:hAnchor="text" w:y="14400"/>
      <w:spacing w:line="0" w:lineRule="atLeast"/>
      <w:jc w:val="center"/>
      <w:rPr>
        <w:vanish/>
      </w:rPr>
    </w:pPr>
    <w:r>
      <w:rPr>
        <w:color w:val="000000"/>
        <w:sz w:val="24"/>
      </w:rPr>
      <w:pgNum/>
    </w:r>
  </w:p>
  <w:p w:rsidR="00785E49" w:rsidRDefault="00785E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49" w:rsidRPr="005C3464" w:rsidRDefault="00785E49" w:rsidP="00256BB4">
    <w:pPr>
      <w:pStyle w:val="Footer"/>
      <w:framePr w:wrap="around" w:vAnchor="text" w:hAnchor="margin" w:xAlign="center" w:y="1"/>
      <w:rPr>
        <w:rStyle w:val="PageNumber"/>
        <w:sz w:val="24"/>
        <w:szCs w:val="24"/>
      </w:rPr>
    </w:pPr>
    <w:r w:rsidRPr="005C3464">
      <w:rPr>
        <w:rStyle w:val="PageNumber"/>
        <w:sz w:val="24"/>
        <w:szCs w:val="24"/>
      </w:rPr>
      <w:fldChar w:fldCharType="begin"/>
    </w:r>
    <w:r w:rsidRPr="005C3464">
      <w:rPr>
        <w:rStyle w:val="PageNumber"/>
        <w:sz w:val="24"/>
        <w:szCs w:val="24"/>
      </w:rPr>
      <w:instrText xml:space="preserve">PAGE  </w:instrText>
    </w:r>
    <w:r w:rsidRPr="005C3464">
      <w:rPr>
        <w:rStyle w:val="PageNumber"/>
        <w:sz w:val="24"/>
        <w:szCs w:val="24"/>
      </w:rPr>
      <w:fldChar w:fldCharType="separate"/>
    </w:r>
    <w:r w:rsidR="00677199">
      <w:rPr>
        <w:rStyle w:val="PageNumber"/>
        <w:noProof/>
        <w:sz w:val="24"/>
        <w:szCs w:val="24"/>
      </w:rPr>
      <w:t>4</w:t>
    </w:r>
    <w:r w:rsidRPr="005C3464">
      <w:rPr>
        <w:rStyle w:val="PageNumber"/>
        <w:sz w:val="24"/>
        <w:szCs w:val="24"/>
      </w:rPr>
      <w:fldChar w:fldCharType="end"/>
    </w:r>
  </w:p>
  <w:p w:rsidR="00785E49" w:rsidRDefault="00785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97" w:rsidRDefault="00E26A97">
      <w:r>
        <w:separator/>
      </w:r>
    </w:p>
  </w:footnote>
  <w:footnote w:type="continuationSeparator" w:id="0">
    <w:p w:rsidR="00E26A97" w:rsidRDefault="00E26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D4092"/>
    <w:multiLevelType w:val="multilevel"/>
    <w:tmpl w:val="F8FEC4F6"/>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720"/>
        </w:tabs>
        <w:ind w:left="720" w:hanging="360"/>
      </w:pPr>
      <w:rPr>
        <w:rFonts w:ascii="Wingdings" w:hAnsi="Wingdings"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935D44"/>
    <w:multiLevelType w:val="multilevel"/>
    <w:tmpl w:val="860CF8BC"/>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8A12769"/>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614114"/>
    <w:multiLevelType w:val="hybridMultilevel"/>
    <w:tmpl w:val="A0A2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97299"/>
    <w:multiLevelType w:val="hybridMultilevel"/>
    <w:tmpl w:val="7410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E1B2D"/>
    <w:multiLevelType w:val="hybridMultilevel"/>
    <w:tmpl w:val="7BFC1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63E8A"/>
    <w:multiLevelType w:val="hybridMultilevel"/>
    <w:tmpl w:val="63D42700"/>
    <w:lvl w:ilvl="0" w:tplc="F4BC92BC">
      <w:start w:val="1"/>
      <w:numFmt w:val="upperLetter"/>
      <w:lvlText w:val="%1."/>
      <w:lvlJc w:val="left"/>
      <w:pPr>
        <w:ind w:left="2880" w:hanging="360"/>
      </w:pPr>
      <w:rPr>
        <w:rFonts w:hint="default"/>
        <w:u w:val="none"/>
      </w:rPr>
    </w:lvl>
    <w:lvl w:ilvl="1" w:tplc="CB7CF718" w:tentative="1">
      <w:start w:val="1"/>
      <w:numFmt w:val="lowerLetter"/>
      <w:lvlText w:val="%2."/>
      <w:lvlJc w:val="left"/>
      <w:pPr>
        <w:ind w:left="3600" w:hanging="360"/>
      </w:pPr>
    </w:lvl>
    <w:lvl w:ilvl="2" w:tplc="02802004" w:tentative="1">
      <w:start w:val="1"/>
      <w:numFmt w:val="lowerRoman"/>
      <w:lvlText w:val="%3."/>
      <w:lvlJc w:val="right"/>
      <w:pPr>
        <w:ind w:left="4320" w:hanging="180"/>
      </w:pPr>
    </w:lvl>
    <w:lvl w:ilvl="3" w:tplc="8CD43AC8" w:tentative="1">
      <w:start w:val="1"/>
      <w:numFmt w:val="decimal"/>
      <w:lvlText w:val="%4."/>
      <w:lvlJc w:val="left"/>
      <w:pPr>
        <w:ind w:left="5040" w:hanging="360"/>
      </w:pPr>
    </w:lvl>
    <w:lvl w:ilvl="4" w:tplc="6610FB88" w:tentative="1">
      <w:start w:val="1"/>
      <w:numFmt w:val="lowerLetter"/>
      <w:lvlText w:val="%5."/>
      <w:lvlJc w:val="left"/>
      <w:pPr>
        <w:ind w:left="5760" w:hanging="360"/>
      </w:pPr>
    </w:lvl>
    <w:lvl w:ilvl="5" w:tplc="4E9C2C4C" w:tentative="1">
      <w:start w:val="1"/>
      <w:numFmt w:val="lowerRoman"/>
      <w:lvlText w:val="%6."/>
      <w:lvlJc w:val="right"/>
      <w:pPr>
        <w:ind w:left="6480" w:hanging="180"/>
      </w:pPr>
    </w:lvl>
    <w:lvl w:ilvl="6" w:tplc="E1FE6952" w:tentative="1">
      <w:start w:val="1"/>
      <w:numFmt w:val="decimal"/>
      <w:lvlText w:val="%7."/>
      <w:lvlJc w:val="left"/>
      <w:pPr>
        <w:ind w:left="7200" w:hanging="360"/>
      </w:pPr>
    </w:lvl>
    <w:lvl w:ilvl="7" w:tplc="E446CE70" w:tentative="1">
      <w:start w:val="1"/>
      <w:numFmt w:val="lowerLetter"/>
      <w:lvlText w:val="%8."/>
      <w:lvlJc w:val="left"/>
      <w:pPr>
        <w:ind w:left="7920" w:hanging="360"/>
      </w:pPr>
    </w:lvl>
    <w:lvl w:ilvl="8" w:tplc="5C6628D0" w:tentative="1">
      <w:start w:val="1"/>
      <w:numFmt w:val="lowerRoman"/>
      <w:lvlText w:val="%9."/>
      <w:lvlJc w:val="right"/>
      <w:pPr>
        <w:ind w:left="8640" w:hanging="180"/>
      </w:pPr>
    </w:lvl>
  </w:abstractNum>
  <w:abstractNum w:abstractNumId="9">
    <w:nsid w:val="239007F6"/>
    <w:multiLevelType w:val="hybridMultilevel"/>
    <w:tmpl w:val="1722FCB8"/>
    <w:lvl w:ilvl="0" w:tplc="04090015">
      <w:start w:val="1"/>
      <w:numFmt w:val="bullet"/>
      <w:lvlText w:val=""/>
      <w:lvlJc w:val="left"/>
      <w:pPr>
        <w:tabs>
          <w:tab w:val="num" w:pos="720"/>
        </w:tabs>
        <w:ind w:left="720" w:hanging="360"/>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3CE5615"/>
    <w:multiLevelType w:val="singleLevel"/>
    <w:tmpl w:val="6E68F328"/>
    <w:lvl w:ilvl="0">
      <w:start w:val="1"/>
      <w:numFmt w:val="decimal"/>
      <w:lvlText w:val="(%1)"/>
      <w:lvlJc w:val="left"/>
      <w:pPr>
        <w:tabs>
          <w:tab w:val="num" w:pos="1080"/>
        </w:tabs>
        <w:ind w:left="1080" w:hanging="360"/>
      </w:pPr>
      <w:rPr>
        <w:rFonts w:hint="default"/>
      </w:rPr>
    </w:lvl>
  </w:abstractNum>
  <w:abstractNum w:abstractNumId="11">
    <w:nsid w:val="37836307"/>
    <w:multiLevelType w:val="singleLevel"/>
    <w:tmpl w:val="0409000F"/>
    <w:lvl w:ilvl="0">
      <w:start w:val="13"/>
      <w:numFmt w:val="decimal"/>
      <w:lvlText w:val="%1."/>
      <w:lvlJc w:val="left"/>
      <w:pPr>
        <w:tabs>
          <w:tab w:val="num" w:pos="360"/>
        </w:tabs>
        <w:ind w:left="360" w:hanging="360"/>
      </w:pPr>
      <w:rPr>
        <w:rFonts w:hint="default"/>
      </w:rPr>
    </w:lvl>
  </w:abstractNum>
  <w:abstractNum w:abstractNumId="12">
    <w:nsid w:val="38DE54AC"/>
    <w:multiLevelType w:val="hybridMultilevel"/>
    <w:tmpl w:val="24D20FFE"/>
    <w:lvl w:ilvl="0" w:tplc="31889C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045D7A"/>
    <w:multiLevelType w:val="singleLevel"/>
    <w:tmpl w:val="94E82312"/>
    <w:lvl w:ilvl="0">
      <w:start w:val="10"/>
      <w:numFmt w:val="decimal"/>
      <w:lvlText w:val="%1."/>
      <w:lvlJc w:val="left"/>
      <w:pPr>
        <w:tabs>
          <w:tab w:val="num" w:pos="420"/>
        </w:tabs>
        <w:ind w:left="420" w:hanging="420"/>
      </w:pPr>
      <w:rPr>
        <w:rFonts w:hint="default"/>
      </w:rPr>
    </w:lvl>
  </w:abstractNum>
  <w:abstractNum w:abstractNumId="14">
    <w:nsid w:val="44A65464"/>
    <w:multiLevelType w:val="singleLevel"/>
    <w:tmpl w:val="8DA8CBCC"/>
    <w:lvl w:ilvl="0">
      <w:numFmt w:val="bullet"/>
      <w:lvlText w:val=""/>
      <w:lvlJc w:val="left"/>
      <w:pPr>
        <w:tabs>
          <w:tab w:val="num" w:pos="1440"/>
        </w:tabs>
        <w:ind w:left="1440" w:hanging="360"/>
      </w:pPr>
      <w:rPr>
        <w:rFonts w:ascii="Wingdings" w:hAnsi="Wingdings" w:hint="default"/>
      </w:rPr>
    </w:lvl>
  </w:abstractNum>
  <w:abstractNum w:abstractNumId="15">
    <w:nsid w:val="44C32147"/>
    <w:multiLevelType w:val="singleLevel"/>
    <w:tmpl w:val="B30EAF14"/>
    <w:lvl w:ilvl="0">
      <w:start w:val="1"/>
      <w:numFmt w:val="decimal"/>
      <w:lvlText w:val="(%1)"/>
      <w:lvlJc w:val="left"/>
      <w:pPr>
        <w:tabs>
          <w:tab w:val="num" w:pos="360"/>
        </w:tabs>
        <w:ind w:left="360" w:hanging="360"/>
      </w:pPr>
      <w:rPr>
        <w:rFonts w:hint="default"/>
      </w:rPr>
    </w:lvl>
  </w:abstractNum>
  <w:abstractNum w:abstractNumId="16">
    <w:nsid w:val="46672841"/>
    <w:multiLevelType w:val="hybridMultilevel"/>
    <w:tmpl w:val="55DEBC86"/>
    <w:lvl w:ilvl="0" w:tplc="9EF4963A">
      <w:start w:val="2"/>
      <w:numFmt w:val="lowerLetter"/>
      <w:lvlText w:val="%1."/>
      <w:lvlJc w:val="left"/>
      <w:pPr>
        <w:tabs>
          <w:tab w:val="num" w:pos="720"/>
        </w:tabs>
        <w:ind w:left="720" w:hanging="360"/>
      </w:pPr>
      <w:rPr>
        <w:rFonts w:hint="default"/>
      </w:rPr>
    </w:lvl>
    <w:lvl w:ilvl="1" w:tplc="C870192C" w:tentative="1">
      <w:start w:val="1"/>
      <w:numFmt w:val="lowerLetter"/>
      <w:lvlText w:val="%2."/>
      <w:lvlJc w:val="left"/>
      <w:pPr>
        <w:tabs>
          <w:tab w:val="num" w:pos="1440"/>
        </w:tabs>
        <w:ind w:left="1440" w:hanging="360"/>
      </w:pPr>
    </w:lvl>
    <w:lvl w:ilvl="2" w:tplc="165AD068" w:tentative="1">
      <w:start w:val="1"/>
      <w:numFmt w:val="lowerRoman"/>
      <w:lvlText w:val="%3."/>
      <w:lvlJc w:val="right"/>
      <w:pPr>
        <w:tabs>
          <w:tab w:val="num" w:pos="2160"/>
        </w:tabs>
        <w:ind w:left="2160" w:hanging="180"/>
      </w:pPr>
    </w:lvl>
    <w:lvl w:ilvl="3" w:tplc="E59E6BC0" w:tentative="1">
      <w:start w:val="1"/>
      <w:numFmt w:val="decimal"/>
      <w:lvlText w:val="%4."/>
      <w:lvlJc w:val="left"/>
      <w:pPr>
        <w:tabs>
          <w:tab w:val="num" w:pos="2880"/>
        </w:tabs>
        <w:ind w:left="2880" w:hanging="360"/>
      </w:pPr>
    </w:lvl>
    <w:lvl w:ilvl="4" w:tplc="25DA8C9E" w:tentative="1">
      <w:start w:val="1"/>
      <w:numFmt w:val="lowerLetter"/>
      <w:lvlText w:val="%5."/>
      <w:lvlJc w:val="left"/>
      <w:pPr>
        <w:tabs>
          <w:tab w:val="num" w:pos="3600"/>
        </w:tabs>
        <w:ind w:left="3600" w:hanging="360"/>
      </w:pPr>
    </w:lvl>
    <w:lvl w:ilvl="5" w:tplc="0BE6BD14" w:tentative="1">
      <w:start w:val="1"/>
      <w:numFmt w:val="lowerRoman"/>
      <w:lvlText w:val="%6."/>
      <w:lvlJc w:val="right"/>
      <w:pPr>
        <w:tabs>
          <w:tab w:val="num" w:pos="4320"/>
        </w:tabs>
        <w:ind w:left="4320" w:hanging="180"/>
      </w:pPr>
    </w:lvl>
    <w:lvl w:ilvl="6" w:tplc="637AD192" w:tentative="1">
      <w:start w:val="1"/>
      <w:numFmt w:val="decimal"/>
      <w:lvlText w:val="%7."/>
      <w:lvlJc w:val="left"/>
      <w:pPr>
        <w:tabs>
          <w:tab w:val="num" w:pos="5040"/>
        </w:tabs>
        <w:ind w:left="5040" w:hanging="360"/>
      </w:pPr>
    </w:lvl>
    <w:lvl w:ilvl="7" w:tplc="8CD2C7A2" w:tentative="1">
      <w:start w:val="1"/>
      <w:numFmt w:val="lowerLetter"/>
      <w:lvlText w:val="%8."/>
      <w:lvlJc w:val="left"/>
      <w:pPr>
        <w:tabs>
          <w:tab w:val="num" w:pos="5760"/>
        </w:tabs>
        <w:ind w:left="5760" w:hanging="360"/>
      </w:pPr>
    </w:lvl>
    <w:lvl w:ilvl="8" w:tplc="36F60AB8" w:tentative="1">
      <w:start w:val="1"/>
      <w:numFmt w:val="lowerRoman"/>
      <w:lvlText w:val="%9."/>
      <w:lvlJc w:val="right"/>
      <w:pPr>
        <w:tabs>
          <w:tab w:val="num" w:pos="6480"/>
        </w:tabs>
        <w:ind w:left="6480" w:hanging="180"/>
      </w:pPr>
    </w:lvl>
  </w:abstractNum>
  <w:abstractNum w:abstractNumId="17">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9E1C0F"/>
    <w:multiLevelType w:val="singleLevel"/>
    <w:tmpl w:val="30ACA1D0"/>
    <w:lvl w:ilvl="0">
      <w:numFmt w:val="bullet"/>
      <w:lvlText w:val=""/>
      <w:lvlJc w:val="left"/>
      <w:pPr>
        <w:tabs>
          <w:tab w:val="num" w:pos="1440"/>
        </w:tabs>
        <w:ind w:left="1440" w:hanging="360"/>
      </w:pPr>
      <w:rPr>
        <w:rFonts w:ascii="Wingdings" w:hAnsi="Wingdings" w:hint="default"/>
      </w:rPr>
    </w:lvl>
  </w:abstractNum>
  <w:abstractNum w:abstractNumId="19">
    <w:nsid w:val="559D2FA1"/>
    <w:multiLevelType w:val="hybridMultilevel"/>
    <w:tmpl w:val="6BD66718"/>
    <w:lvl w:ilvl="0" w:tplc="7D20A0F2">
      <w:start w:val="2"/>
      <w:numFmt w:val="decimal"/>
      <w:lvlText w:val="(%1)"/>
      <w:lvlJc w:val="left"/>
      <w:pPr>
        <w:tabs>
          <w:tab w:val="num" w:pos="1080"/>
        </w:tabs>
        <w:ind w:left="1080" w:hanging="360"/>
      </w:pPr>
      <w:rPr>
        <w:rFonts w:hint="default"/>
      </w:rPr>
    </w:lvl>
    <w:lvl w:ilvl="1" w:tplc="72EE96B6">
      <w:start w:val="1"/>
      <w:numFmt w:val="upperLetter"/>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D24387"/>
    <w:multiLevelType w:val="multilevel"/>
    <w:tmpl w:val="2364051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F784745"/>
    <w:multiLevelType w:val="hybridMultilevel"/>
    <w:tmpl w:val="EA74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0400B"/>
    <w:multiLevelType w:val="hybridMultilevel"/>
    <w:tmpl w:val="F12A9D92"/>
    <w:lvl w:ilvl="0" w:tplc="E8C8DE36">
      <w:numFmt w:val="bullet"/>
      <w:lvlText w:val=""/>
      <w:lvlJc w:val="left"/>
      <w:pPr>
        <w:tabs>
          <w:tab w:val="num" w:pos="1440"/>
        </w:tabs>
        <w:ind w:left="1440" w:hanging="360"/>
      </w:pPr>
      <w:rPr>
        <w:rFonts w:ascii="Wingdings" w:eastAsia="Times New Roman" w:hAnsi="Wingdings" w:cs="Times New Roman" w:hint="default"/>
      </w:rPr>
    </w:lvl>
    <w:lvl w:ilvl="1" w:tplc="5C906654" w:tentative="1">
      <w:start w:val="1"/>
      <w:numFmt w:val="bullet"/>
      <w:lvlText w:val="o"/>
      <w:lvlJc w:val="left"/>
      <w:pPr>
        <w:tabs>
          <w:tab w:val="num" w:pos="2160"/>
        </w:tabs>
        <w:ind w:left="2160" w:hanging="360"/>
      </w:pPr>
      <w:rPr>
        <w:rFonts w:ascii="Courier New" w:hAnsi="Courier New" w:hint="default"/>
      </w:rPr>
    </w:lvl>
    <w:lvl w:ilvl="2" w:tplc="34FE7AF6" w:tentative="1">
      <w:start w:val="1"/>
      <w:numFmt w:val="bullet"/>
      <w:lvlText w:val=""/>
      <w:lvlJc w:val="left"/>
      <w:pPr>
        <w:tabs>
          <w:tab w:val="num" w:pos="2880"/>
        </w:tabs>
        <w:ind w:left="2880" w:hanging="360"/>
      </w:pPr>
      <w:rPr>
        <w:rFonts w:ascii="Wingdings" w:hAnsi="Wingdings" w:hint="default"/>
      </w:rPr>
    </w:lvl>
    <w:lvl w:ilvl="3" w:tplc="BAB64BDC" w:tentative="1">
      <w:start w:val="1"/>
      <w:numFmt w:val="bullet"/>
      <w:lvlText w:val=""/>
      <w:lvlJc w:val="left"/>
      <w:pPr>
        <w:tabs>
          <w:tab w:val="num" w:pos="3600"/>
        </w:tabs>
        <w:ind w:left="3600" w:hanging="360"/>
      </w:pPr>
      <w:rPr>
        <w:rFonts w:ascii="Symbol" w:hAnsi="Symbol" w:hint="default"/>
      </w:rPr>
    </w:lvl>
    <w:lvl w:ilvl="4" w:tplc="CE2A969C" w:tentative="1">
      <w:start w:val="1"/>
      <w:numFmt w:val="bullet"/>
      <w:lvlText w:val="o"/>
      <w:lvlJc w:val="left"/>
      <w:pPr>
        <w:tabs>
          <w:tab w:val="num" w:pos="4320"/>
        </w:tabs>
        <w:ind w:left="4320" w:hanging="360"/>
      </w:pPr>
      <w:rPr>
        <w:rFonts w:ascii="Courier New" w:hAnsi="Courier New" w:hint="default"/>
      </w:rPr>
    </w:lvl>
    <w:lvl w:ilvl="5" w:tplc="77AC82C2" w:tentative="1">
      <w:start w:val="1"/>
      <w:numFmt w:val="bullet"/>
      <w:lvlText w:val=""/>
      <w:lvlJc w:val="left"/>
      <w:pPr>
        <w:tabs>
          <w:tab w:val="num" w:pos="5040"/>
        </w:tabs>
        <w:ind w:left="5040" w:hanging="360"/>
      </w:pPr>
      <w:rPr>
        <w:rFonts w:ascii="Wingdings" w:hAnsi="Wingdings" w:hint="default"/>
      </w:rPr>
    </w:lvl>
    <w:lvl w:ilvl="6" w:tplc="EFAA000E" w:tentative="1">
      <w:start w:val="1"/>
      <w:numFmt w:val="bullet"/>
      <w:lvlText w:val=""/>
      <w:lvlJc w:val="left"/>
      <w:pPr>
        <w:tabs>
          <w:tab w:val="num" w:pos="5760"/>
        </w:tabs>
        <w:ind w:left="5760" w:hanging="360"/>
      </w:pPr>
      <w:rPr>
        <w:rFonts w:ascii="Symbol" w:hAnsi="Symbol" w:hint="default"/>
      </w:rPr>
    </w:lvl>
    <w:lvl w:ilvl="7" w:tplc="69F42060" w:tentative="1">
      <w:start w:val="1"/>
      <w:numFmt w:val="bullet"/>
      <w:lvlText w:val="o"/>
      <w:lvlJc w:val="left"/>
      <w:pPr>
        <w:tabs>
          <w:tab w:val="num" w:pos="6480"/>
        </w:tabs>
        <w:ind w:left="6480" w:hanging="360"/>
      </w:pPr>
      <w:rPr>
        <w:rFonts w:ascii="Courier New" w:hAnsi="Courier New" w:hint="default"/>
      </w:rPr>
    </w:lvl>
    <w:lvl w:ilvl="8" w:tplc="591CF9B4" w:tentative="1">
      <w:start w:val="1"/>
      <w:numFmt w:val="bullet"/>
      <w:lvlText w:val=""/>
      <w:lvlJc w:val="left"/>
      <w:pPr>
        <w:tabs>
          <w:tab w:val="num" w:pos="7200"/>
        </w:tabs>
        <w:ind w:left="7200" w:hanging="360"/>
      </w:pPr>
      <w:rPr>
        <w:rFonts w:ascii="Wingdings" w:hAnsi="Wingdings" w:hint="default"/>
      </w:rPr>
    </w:lvl>
  </w:abstractNum>
  <w:abstractNum w:abstractNumId="23">
    <w:nsid w:val="632958D8"/>
    <w:multiLevelType w:val="multilevel"/>
    <w:tmpl w:val="785C0184"/>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679456B6"/>
    <w:multiLevelType w:val="singleLevel"/>
    <w:tmpl w:val="AB2C37C2"/>
    <w:lvl w:ilvl="0">
      <w:start w:val="1"/>
      <w:numFmt w:val="decimal"/>
      <w:lvlText w:val="%1."/>
      <w:lvlJc w:val="left"/>
      <w:pPr>
        <w:tabs>
          <w:tab w:val="num" w:pos="360"/>
        </w:tabs>
        <w:ind w:left="360" w:hanging="360"/>
      </w:pPr>
      <w:rPr>
        <w:rFonts w:hint="default"/>
        <w:u w:val="none"/>
      </w:rPr>
    </w:lvl>
  </w:abstractNum>
  <w:abstractNum w:abstractNumId="25">
    <w:nsid w:val="689D1928"/>
    <w:multiLevelType w:val="hybridMultilevel"/>
    <w:tmpl w:val="234C95FC"/>
    <w:lvl w:ilvl="0" w:tplc="F8CEB9E8">
      <w:numFmt w:val="bullet"/>
      <w:lvlText w:val=""/>
      <w:lvlJc w:val="left"/>
      <w:pPr>
        <w:tabs>
          <w:tab w:val="num" w:pos="720"/>
        </w:tabs>
        <w:ind w:left="720" w:hanging="360"/>
      </w:pPr>
      <w:rPr>
        <w:rFonts w:ascii="Wingdings" w:eastAsia="Times New Roman" w:hAnsi="Wingdings" w:cs="Times New Roman" w:hint="default"/>
      </w:rPr>
    </w:lvl>
    <w:lvl w:ilvl="1" w:tplc="8DECFCEC" w:tentative="1">
      <w:start w:val="1"/>
      <w:numFmt w:val="bullet"/>
      <w:lvlText w:val="o"/>
      <w:lvlJc w:val="left"/>
      <w:pPr>
        <w:tabs>
          <w:tab w:val="num" w:pos="1440"/>
        </w:tabs>
        <w:ind w:left="1440" w:hanging="360"/>
      </w:pPr>
      <w:rPr>
        <w:rFonts w:ascii="Courier New" w:hAnsi="Courier New" w:hint="default"/>
      </w:rPr>
    </w:lvl>
    <w:lvl w:ilvl="2" w:tplc="A6FCA36E" w:tentative="1">
      <w:start w:val="1"/>
      <w:numFmt w:val="bullet"/>
      <w:lvlText w:val=""/>
      <w:lvlJc w:val="left"/>
      <w:pPr>
        <w:tabs>
          <w:tab w:val="num" w:pos="2160"/>
        </w:tabs>
        <w:ind w:left="2160" w:hanging="360"/>
      </w:pPr>
      <w:rPr>
        <w:rFonts w:ascii="Wingdings" w:hAnsi="Wingdings" w:hint="default"/>
      </w:rPr>
    </w:lvl>
    <w:lvl w:ilvl="3" w:tplc="26DAFA76" w:tentative="1">
      <w:start w:val="1"/>
      <w:numFmt w:val="bullet"/>
      <w:lvlText w:val=""/>
      <w:lvlJc w:val="left"/>
      <w:pPr>
        <w:tabs>
          <w:tab w:val="num" w:pos="2880"/>
        </w:tabs>
        <w:ind w:left="2880" w:hanging="360"/>
      </w:pPr>
      <w:rPr>
        <w:rFonts w:ascii="Symbol" w:hAnsi="Symbol" w:hint="default"/>
      </w:rPr>
    </w:lvl>
    <w:lvl w:ilvl="4" w:tplc="225EEAFA" w:tentative="1">
      <w:start w:val="1"/>
      <w:numFmt w:val="bullet"/>
      <w:lvlText w:val="o"/>
      <w:lvlJc w:val="left"/>
      <w:pPr>
        <w:tabs>
          <w:tab w:val="num" w:pos="3600"/>
        </w:tabs>
        <w:ind w:left="3600" w:hanging="360"/>
      </w:pPr>
      <w:rPr>
        <w:rFonts w:ascii="Courier New" w:hAnsi="Courier New" w:hint="default"/>
      </w:rPr>
    </w:lvl>
    <w:lvl w:ilvl="5" w:tplc="F69441FC" w:tentative="1">
      <w:start w:val="1"/>
      <w:numFmt w:val="bullet"/>
      <w:lvlText w:val=""/>
      <w:lvlJc w:val="left"/>
      <w:pPr>
        <w:tabs>
          <w:tab w:val="num" w:pos="4320"/>
        </w:tabs>
        <w:ind w:left="4320" w:hanging="360"/>
      </w:pPr>
      <w:rPr>
        <w:rFonts w:ascii="Wingdings" w:hAnsi="Wingdings" w:hint="default"/>
      </w:rPr>
    </w:lvl>
    <w:lvl w:ilvl="6" w:tplc="D23AB1B8" w:tentative="1">
      <w:start w:val="1"/>
      <w:numFmt w:val="bullet"/>
      <w:lvlText w:val=""/>
      <w:lvlJc w:val="left"/>
      <w:pPr>
        <w:tabs>
          <w:tab w:val="num" w:pos="5040"/>
        </w:tabs>
        <w:ind w:left="5040" w:hanging="360"/>
      </w:pPr>
      <w:rPr>
        <w:rFonts w:ascii="Symbol" w:hAnsi="Symbol" w:hint="default"/>
      </w:rPr>
    </w:lvl>
    <w:lvl w:ilvl="7" w:tplc="51D843CE" w:tentative="1">
      <w:start w:val="1"/>
      <w:numFmt w:val="bullet"/>
      <w:lvlText w:val="o"/>
      <w:lvlJc w:val="left"/>
      <w:pPr>
        <w:tabs>
          <w:tab w:val="num" w:pos="5760"/>
        </w:tabs>
        <w:ind w:left="5760" w:hanging="360"/>
      </w:pPr>
      <w:rPr>
        <w:rFonts w:ascii="Courier New" w:hAnsi="Courier New" w:hint="default"/>
      </w:rPr>
    </w:lvl>
    <w:lvl w:ilvl="8" w:tplc="C57001CE" w:tentative="1">
      <w:start w:val="1"/>
      <w:numFmt w:val="bullet"/>
      <w:lvlText w:val=""/>
      <w:lvlJc w:val="left"/>
      <w:pPr>
        <w:tabs>
          <w:tab w:val="num" w:pos="6480"/>
        </w:tabs>
        <w:ind w:left="6480" w:hanging="360"/>
      </w:pPr>
      <w:rPr>
        <w:rFonts w:ascii="Wingdings" w:hAnsi="Wingdings" w:hint="default"/>
      </w:rPr>
    </w:lvl>
  </w:abstractNum>
  <w:abstractNum w:abstractNumId="26">
    <w:nsid w:val="70EE1897"/>
    <w:multiLevelType w:val="hybridMultilevel"/>
    <w:tmpl w:val="58621432"/>
    <w:lvl w:ilvl="0" w:tplc="9CE0E6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79530F"/>
    <w:multiLevelType w:val="singleLevel"/>
    <w:tmpl w:val="59B0065E"/>
    <w:lvl w:ilvl="0">
      <w:start w:val="1"/>
      <w:numFmt w:val="decimal"/>
      <w:lvlText w:val="(%1)"/>
      <w:lvlJc w:val="left"/>
      <w:pPr>
        <w:tabs>
          <w:tab w:val="num" w:pos="1080"/>
        </w:tabs>
        <w:ind w:left="1080" w:hanging="360"/>
      </w:pPr>
      <w:rPr>
        <w:rFonts w:hint="default"/>
      </w:rPr>
    </w:lvl>
  </w:abstractNum>
  <w:abstractNum w:abstractNumId="28">
    <w:nsid w:val="7A4D409F"/>
    <w:multiLevelType w:val="multilevel"/>
    <w:tmpl w:val="158E425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7A7C29AE"/>
    <w:multiLevelType w:val="hybridMultilevel"/>
    <w:tmpl w:val="04BE4BEE"/>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B76E5E"/>
    <w:multiLevelType w:val="hybridMultilevel"/>
    <w:tmpl w:val="C406C0A4"/>
    <w:lvl w:ilvl="0" w:tplc="A36AA05E">
      <w:start w:val="1"/>
      <w:numFmt w:val="lowerLetter"/>
      <w:lvlText w:val="%1."/>
      <w:lvlJc w:val="left"/>
      <w:pPr>
        <w:tabs>
          <w:tab w:val="num" w:pos="720"/>
        </w:tabs>
        <w:ind w:left="720" w:hanging="360"/>
      </w:pPr>
      <w:rPr>
        <w:rFonts w:hint="default"/>
      </w:rPr>
    </w:lvl>
    <w:lvl w:ilvl="1" w:tplc="C3B0B2A4" w:tentative="1">
      <w:start w:val="1"/>
      <w:numFmt w:val="lowerLetter"/>
      <w:lvlText w:val="%2."/>
      <w:lvlJc w:val="left"/>
      <w:pPr>
        <w:tabs>
          <w:tab w:val="num" w:pos="1440"/>
        </w:tabs>
        <w:ind w:left="1440" w:hanging="360"/>
      </w:pPr>
    </w:lvl>
    <w:lvl w:ilvl="2" w:tplc="A9F48204" w:tentative="1">
      <w:start w:val="1"/>
      <w:numFmt w:val="lowerRoman"/>
      <w:lvlText w:val="%3."/>
      <w:lvlJc w:val="right"/>
      <w:pPr>
        <w:tabs>
          <w:tab w:val="num" w:pos="2160"/>
        </w:tabs>
        <w:ind w:left="2160" w:hanging="180"/>
      </w:pPr>
    </w:lvl>
    <w:lvl w:ilvl="3" w:tplc="511898D0" w:tentative="1">
      <w:start w:val="1"/>
      <w:numFmt w:val="decimal"/>
      <w:lvlText w:val="%4."/>
      <w:lvlJc w:val="left"/>
      <w:pPr>
        <w:tabs>
          <w:tab w:val="num" w:pos="2880"/>
        </w:tabs>
        <w:ind w:left="2880" w:hanging="360"/>
      </w:pPr>
    </w:lvl>
    <w:lvl w:ilvl="4" w:tplc="ECA639E0" w:tentative="1">
      <w:start w:val="1"/>
      <w:numFmt w:val="lowerLetter"/>
      <w:lvlText w:val="%5."/>
      <w:lvlJc w:val="left"/>
      <w:pPr>
        <w:tabs>
          <w:tab w:val="num" w:pos="3600"/>
        </w:tabs>
        <w:ind w:left="3600" w:hanging="360"/>
      </w:pPr>
    </w:lvl>
    <w:lvl w:ilvl="5" w:tplc="CA2EFBFE" w:tentative="1">
      <w:start w:val="1"/>
      <w:numFmt w:val="lowerRoman"/>
      <w:lvlText w:val="%6."/>
      <w:lvlJc w:val="right"/>
      <w:pPr>
        <w:tabs>
          <w:tab w:val="num" w:pos="4320"/>
        </w:tabs>
        <w:ind w:left="4320" w:hanging="180"/>
      </w:pPr>
    </w:lvl>
    <w:lvl w:ilvl="6" w:tplc="C2467C90" w:tentative="1">
      <w:start w:val="1"/>
      <w:numFmt w:val="decimal"/>
      <w:lvlText w:val="%7."/>
      <w:lvlJc w:val="left"/>
      <w:pPr>
        <w:tabs>
          <w:tab w:val="num" w:pos="5040"/>
        </w:tabs>
        <w:ind w:left="5040" w:hanging="360"/>
      </w:pPr>
    </w:lvl>
    <w:lvl w:ilvl="7" w:tplc="05783376" w:tentative="1">
      <w:start w:val="1"/>
      <w:numFmt w:val="lowerLetter"/>
      <w:lvlText w:val="%8."/>
      <w:lvlJc w:val="left"/>
      <w:pPr>
        <w:tabs>
          <w:tab w:val="num" w:pos="5760"/>
        </w:tabs>
        <w:ind w:left="5760" w:hanging="360"/>
      </w:pPr>
    </w:lvl>
    <w:lvl w:ilvl="8" w:tplc="A3486D66" w:tentative="1">
      <w:start w:val="1"/>
      <w:numFmt w:val="lowerRoman"/>
      <w:lvlText w:val="%9."/>
      <w:lvlJc w:val="right"/>
      <w:pPr>
        <w:tabs>
          <w:tab w:val="num" w:pos="6480"/>
        </w:tabs>
        <w:ind w:left="6480" w:hanging="180"/>
      </w:pPr>
    </w:lvl>
  </w:abstractNum>
  <w:abstractNum w:abstractNumId="31">
    <w:nsid w:val="7CEB2506"/>
    <w:multiLevelType w:val="hybridMultilevel"/>
    <w:tmpl w:val="0168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60743D"/>
    <w:multiLevelType w:val="hybridMultilevel"/>
    <w:tmpl w:val="211A2F04"/>
    <w:lvl w:ilvl="0" w:tplc="AC909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275889"/>
    <w:multiLevelType w:val="hybridMultilevel"/>
    <w:tmpl w:val="42868634"/>
    <w:lvl w:ilvl="0" w:tplc="AC909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5"/>
  </w:num>
  <w:num w:numId="3">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4">
    <w:abstractNumId w:val="0"/>
    <w:lvlOverride w:ilvl="0">
      <w:lvl w:ilvl="0">
        <w:numFmt w:val="bullet"/>
        <w:lvlText w:val="&quot;"/>
        <w:legacy w:legacy="1" w:legacySpace="0" w:legacyIndent="360"/>
        <w:lvlJc w:val="left"/>
        <w:pPr>
          <w:ind w:left="720" w:hanging="360"/>
        </w:pPr>
        <w:rPr>
          <w:rFonts w:ascii="WP TypographicSymbols" w:hAnsi="WP TypographicSymbols" w:hint="default"/>
        </w:rPr>
      </w:lvl>
    </w:lvlOverride>
  </w:num>
  <w:num w:numId="5">
    <w:abstractNumId w:val="0"/>
    <w:lvlOverride w:ilvl="0">
      <w:lvl w:ilvl="0">
        <w:numFmt w:val="bullet"/>
        <w:lvlText w:val="!"/>
        <w:legacy w:legacy="1" w:legacySpace="0" w:legacyIndent="9180"/>
        <w:lvlJc w:val="left"/>
        <w:pPr>
          <w:ind w:left="9180" w:hanging="9180"/>
        </w:pPr>
        <w:rPr>
          <w:rFonts w:ascii="WP TypographicSymbols" w:hAnsi="WP TypographicSymbols" w:hint="default"/>
        </w:rPr>
      </w:lvl>
    </w:lvlOverride>
  </w:num>
  <w:num w:numId="6">
    <w:abstractNumId w:val="0"/>
    <w:lvlOverride w:ilvl="0">
      <w:lvl w:ilvl="0">
        <w:numFmt w:val="bullet"/>
        <w:lvlText w:val="!"/>
        <w:legacy w:legacy="1" w:legacySpace="0" w:legacyIndent="8820"/>
        <w:lvlJc w:val="left"/>
        <w:pPr>
          <w:ind w:left="8820" w:hanging="8820"/>
        </w:pPr>
        <w:rPr>
          <w:rFonts w:ascii="WP TypographicSymbols" w:hAnsi="WP TypographicSymbols" w:hint="default"/>
        </w:rPr>
      </w:lvl>
    </w:lvlOverride>
  </w:num>
  <w:num w:numId="7">
    <w:abstractNumId w:val="0"/>
    <w:lvlOverride w:ilvl="0">
      <w:lvl w:ilvl="0">
        <w:numFmt w:val="bullet"/>
        <w:lvlText w:val="*"/>
        <w:legacy w:legacy="1" w:legacySpace="0" w:legacyIndent="360"/>
        <w:lvlJc w:val="left"/>
        <w:pPr>
          <w:ind w:left="1080" w:hanging="360"/>
        </w:pPr>
        <w:rPr>
          <w:rFonts w:ascii="Arial" w:hAnsi="Arial" w:hint="default"/>
        </w:rPr>
      </w:lvl>
    </w:lvlOverride>
  </w:num>
  <w:num w:numId="8">
    <w:abstractNumId w:val="28"/>
  </w:num>
  <w:num w:numId="9">
    <w:abstractNumId w:val="14"/>
  </w:num>
  <w:num w:numId="10">
    <w:abstractNumId w:val="23"/>
  </w:num>
  <w:num w:numId="11">
    <w:abstractNumId w:val="2"/>
  </w:num>
  <w:num w:numId="12">
    <w:abstractNumId w:val="20"/>
  </w:num>
  <w:num w:numId="13">
    <w:abstractNumId w:val="18"/>
  </w:num>
  <w:num w:numId="14">
    <w:abstractNumId w:val="1"/>
  </w:num>
  <w:num w:numId="15">
    <w:abstractNumId w:val="22"/>
  </w:num>
  <w:num w:numId="16">
    <w:abstractNumId w:val="30"/>
  </w:num>
  <w:num w:numId="17">
    <w:abstractNumId w:val="32"/>
  </w:num>
  <w:num w:numId="18">
    <w:abstractNumId w:val="9"/>
  </w:num>
  <w:num w:numId="19">
    <w:abstractNumId w:val="25"/>
  </w:num>
  <w:num w:numId="20">
    <w:abstractNumId w:val="12"/>
  </w:num>
  <w:num w:numId="21">
    <w:abstractNumId w:val="33"/>
  </w:num>
  <w:num w:numId="22">
    <w:abstractNumId w:val="16"/>
  </w:num>
  <w:num w:numId="23">
    <w:abstractNumId w:val="8"/>
  </w:num>
  <w:num w:numId="24">
    <w:abstractNumId w:val="3"/>
  </w:num>
  <w:num w:numId="25">
    <w:abstractNumId w:val="13"/>
  </w:num>
  <w:num w:numId="26">
    <w:abstractNumId w:val="11"/>
  </w:num>
  <w:num w:numId="27">
    <w:abstractNumId w:val="10"/>
  </w:num>
  <w:num w:numId="28">
    <w:abstractNumId w:val="27"/>
  </w:num>
  <w:num w:numId="29">
    <w:abstractNumId w:val="19"/>
  </w:num>
  <w:num w:numId="30">
    <w:abstractNumId w:val="17"/>
  </w:num>
  <w:num w:numId="31">
    <w:abstractNumId w:val="4"/>
  </w:num>
  <w:num w:numId="32">
    <w:abstractNumId w:val="26"/>
  </w:num>
  <w:num w:numId="33">
    <w:abstractNumId w:val="7"/>
  </w:num>
  <w:num w:numId="34">
    <w:abstractNumId w:val="5"/>
  </w:num>
  <w:num w:numId="35">
    <w:abstractNumId w:val="6"/>
  </w:num>
  <w:num w:numId="36">
    <w:abstractNumId w:val="29"/>
  </w:num>
  <w:num w:numId="37">
    <w:abstractNumId w:val="2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08"/>
    <w:rsid w:val="000049E2"/>
    <w:rsid w:val="0001448A"/>
    <w:rsid w:val="000406AB"/>
    <w:rsid w:val="00044C4D"/>
    <w:rsid w:val="0004539F"/>
    <w:rsid w:val="000527DC"/>
    <w:rsid w:val="00063064"/>
    <w:rsid w:val="00073BCE"/>
    <w:rsid w:val="000766AB"/>
    <w:rsid w:val="0009005A"/>
    <w:rsid w:val="000A294B"/>
    <w:rsid w:val="000C23CC"/>
    <w:rsid w:val="000C7A3B"/>
    <w:rsid w:val="000D5F02"/>
    <w:rsid w:val="000E07AB"/>
    <w:rsid w:val="00103EE4"/>
    <w:rsid w:val="00105046"/>
    <w:rsid w:val="001061AE"/>
    <w:rsid w:val="0010660A"/>
    <w:rsid w:val="00115A48"/>
    <w:rsid w:val="001231AA"/>
    <w:rsid w:val="0013324D"/>
    <w:rsid w:val="00153E71"/>
    <w:rsid w:val="00157D0A"/>
    <w:rsid w:val="00164825"/>
    <w:rsid w:val="00165BB5"/>
    <w:rsid w:val="001758C2"/>
    <w:rsid w:val="0017590C"/>
    <w:rsid w:val="00180293"/>
    <w:rsid w:val="00185A04"/>
    <w:rsid w:val="001865BF"/>
    <w:rsid w:val="0019372F"/>
    <w:rsid w:val="001A4114"/>
    <w:rsid w:val="001B6352"/>
    <w:rsid w:val="001C1C67"/>
    <w:rsid w:val="001C583C"/>
    <w:rsid w:val="001E765F"/>
    <w:rsid w:val="001F20F6"/>
    <w:rsid w:val="001F579C"/>
    <w:rsid w:val="00201C92"/>
    <w:rsid w:val="0020286C"/>
    <w:rsid w:val="00206109"/>
    <w:rsid w:val="00213BA8"/>
    <w:rsid w:val="00213DB3"/>
    <w:rsid w:val="00232E60"/>
    <w:rsid w:val="00233393"/>
    <w:rsid w:val="00245D61"/>
    <w:rsid w:val="00253ABD"/>
    <w:rsid w:val="00255564"/>
    <w:rsid w:val="00256BB4"/>
    <w:rsid w:val="00264B56"/>
    <w:rsid w:val="00272C34"/>
    <w:rsid w:val="00293087"/>
    <w:rsid w:val="002A6208"/>
    <w:rsid w:val="002B08EC"/>
    <w:rsid w:val="002B1DED"/>
    <w:rsid w:val="002C10CB"/>
    <w:rsid w:val="002C1E86"/>
    <w:rsid w:val="002D6D9B"/>
    <w:rsid w:val="002F279B"/>
    <w:rsid w:val="00316674"/>
    <w:rsid w:val="00321D48"/>
    <w:rsid w:val="0036185B"/>
    <w:rsid w:val="003630F8"/>
    <w:rsid w:val="00364EEE"/>
    <w:rsid w:val="003655A0"/>
    <w:rsid w:val="003848F4"/>
    <w:rsid w:val="00384F0E"/>
    <w:rsid w:val="00387B23"/>
    <w:rsid w:val="003A59CC"/>
    <w:rsid w:val="003A60D4"/>
    <w:rsid w:val="003C653E"/>
    <w:rsid w:val="003D0BF8"/>
    <w:rsid w:val="003D2A55"/>
    <w:rsid w:val="003E7362"/>
    <w:rsid w:val="003F0C60"/>
    <w:rsid w:val="003F10CB"/>
    <w:rsid w:val="003F3913"/>
    <w:rsid w:val="003F54D0"/>
    <w:rsid w:val="003F6760"/>
    <w:rsid w:val="00414024"/>
    <w:rsid w:val="00430808"/>
    <w:rsid w:val="00434D07"/>
    <w:rsid w:val="00436A05"/>
    <w:rsid w:val="00440062"/>
    <w:rsid w:val="00442BF2"/>
    <w:rsid w:val="00446785"/>
    <w:rsid w:val="0045269E"/>
    <w:rsid w:val="00454313"/>
    <w:rsid w:val="004623FC"/>
    <w:rsid w:val="00466CF2"/>
    <w:rsid w:val="00467E07"/>
    <w:rsid w:val="004729EE"/>
    <w:rsid w:val="00483CE3"/>
    <w:rsid w:val="00491661"/>
    <w:rsid w:val="00495DBB"/>
    <w:rsid w:val="004A7497"/>
    <w:rsid w:val="004B5424"/>
    <w:rsid w:val="004C635A"/>
    <w:rsid w:val="004D703A"/>
    <w:rsid w:val="004D7B97"/>
    <w:rsid w:val="004E555D"/>
    <w:rsid w:val="004E6F64"/>
    <w:rsid w:val="004F3C1B"/>
    <w:rsid w:val="004F5BDF"/>
    <w:rsid w:val="00501ECE"/>
    <w:rsid w:val="00506058"/>
    <w:rsid w:val="0051038E"/>
    <w:rsid w:val="00530956"/>
    <w:rsid w:val="00546839"/>
    <w:rsid w:val="00555A23"/>
    <w:rsid w:val="005762B5"/>
    <w:rsid w:val="00576DC9"/>
    <w:rsid w:val="005805F7"/>
    <w:rsid w:val="00582A07"/>
    <w:rsid w:val="00594153"/>
    <w:rsid w:val="005952F0"/>
    <w:rsid w:val="005B2E8A"/>
    <w:rsid w:val="005B4C0D"/>
    <w:rsid w:val="005C3464"/>
    <w:rsid w:val="005C6001"/>
    <w:rsid w:val="005E5608"/>
    <w:rsid w:val="005E760C"/>
    <w:rsid w:val="00603ECB"/>
    <w:rsid w:val="00604059"/>
    <w:rsid w:val="00616B55"/>
    <w:rsid w:val="0062085D"/>
    <w:rsid w:val="00630623"/>
    <w:rsid w:val="006310E3"/>
    <w:rsid w:val="0063170E"/>
    <w:rsid w:val="00631A75"/>
    <w:rsid w:val="00632CE1"/>
    <w:rsid w:val="0063417E"/>
    <w:rsid w:val="0065185C"/>
    <w:rsid w:val="00653678"/>
    <w:rsid w:val="00675E1B"/>
    <w:rsid w:val="00677199"/>
    <w:rsid w:val="006775F6"/>
    <w:rsid w:val="006C0AB4"/>
    <w:rsid w:val="006C1A53"/>
    <w:rsid w:val="006C4F29"/>
    <w:rsid w:val="006F2F0F"/>
    <w:rsid w:val="006F559C"/>
    <w:rsid w:val="00702DFA"/>
    <w:rsid w:val="00721BCA"/>
    <w:rsid w:val="00733169"/>
    <w:rsid w:val="007612D2"/>
    <w:rsid w:val="007677ED"/>
    <w:rsid w:val="007717AF"/>
    <w:rsid w:val="00773613"/>
    <w:rsid w:val="00782DE0"/>
    <w:rsid w:val="00785E49"/>
    <w:rsid w:val="007966E7"/>
    <w:rsid w:val="00797C03"/>
    <w:rsid w:val="007A7591"/>
    <w:rsid w:val="007B6501"/>
    <w:rsid w:val="007C22D9"/>
    <w:rsid w:val="007D7EBA"/>
    <w:rsid w:val="007E11C2"/>
    <w:rsid w:val="007E5131"/>
    <w:rsid w:val="007F7EC4"/>
    <w:rsid w:val="00807878"/>
    <w:rsid w:val="00814B4E"/>
    <w:rsid w:val="00843F44"/>
    <w:rsid w:val="00851957"/>
    <w:rsid w:val="00854296"/>
    <w:rsid w:val="008554D4"/>
    <w:rsid w:val="00857600"/>
    <w:rsid w:val="00857811"/>
    <w:rsid w:val="00871E16"/>
    <w:rsid w:val="0089244D"/>
    <w:rsid w:val="008B0638"/>
    <w:rsid w:val="008B0A20"/>
    <w:rsid w:val="008B1825"/>
    <w:rsid w:val="008B3BB4"/>
    <w:rsid w:val="008C0190"/>
    <w:rsid w:val="008D1B36"/>
    <w:rsid w:val="008D7EE0"/>
    <w:rsid w:val="00923C81"/>
    <w:rsid w:val="00926FA9"/>
    <w:rsid w:val="00932D90"/>
    <w:rsid w:val="00946655"/>
    <w:rsid w:val="00967CEA"/>
    <w:rsid w:val="00983A07"/>
    <w:rsid w:val="00997AEB"/>
    <w:rsid w:val="009A6F33"/>
    <w:rsid w:val="009C695A"/>
    <w:rsid w:val="009D0F4A"/>
    <w:rsid w:val="009E1C09"/>
    <w:rsid w:val="009F1193"/>
    <w:rsid w:val="00A25062"/>
    <w:rsid w:val="00A27B64"/>
    <w:rsid w:val="00A34DE9"/>
    <w:rsid w:val="00A4063F"/>
    <w:rsid w:val="00A442A0"/>
    <w:rsid w:val="00A470AD"/>
    <w:rsid w:val="00A86D9A"/>
    <w:rsid w:val="00A940B2"/>
    <w:rsid w:val="00AA5762"/>
    <w:rsid w:val="00AB0D6A"/>
    <w:rsid w:val="00AB6AA5"/>
    <w:rsid w:val="00AD2394"/>
    <w:rsid w:val="00AF2945"/>
    <w:rsid w:val="00AF3EF5"/>
    <w:rsid w:val="00AF475C"/>
    <w:rsid w:val="00B13809"/>
    <w:rsid w:val="00B143C9"/>
    <w:rsid w:val="00B26CEB"/>
    <w:rsid w:val="00B65D67"/>
    <w:rsid w:val="00B72AB9"/>
    <w:rsid w:val="00B73DD9"/>
    <w:rsid w:val="00B84864"/>
    <w:rsid w:val="00B90177"/>
    <w:rsid w:val="00B91233"/>
    <w:rsid w:val="00BC492C"/>
    <w:rsid w:val="00BD0A67"/>
    <w:rsid w:val="00BE28A8"/>
    <w:rsid w:val="00BE326F"/>
    <w:rsid w:val="00C04821"/>
    <w:rsid w:val="00C12FCB"/>
    <w:rsid w:val="00C1316D"/>
    <w:rsid w:val="00C2199F"/>
    <w:rsid w:val="00C25590"/>
    <w:rsid w:val="00C34369"/>
    <w:rsid w:val="00C40024"/>
    <w:rsid w:val="00C44EEF"/>
    <w:rsid w:val="00C633B2"/>
    <w:rsid w:val="00C6515A"/>
    <w:rsid w:val="00C71D3F"/>
    <w:rsid w:val="00C76105"/>
    <w:rsid w:val="00C84745"/>
    <w:rsid w:val="00C95281"/>
    <w:rsid w:val="00CA545D"/>
    <w:rsid w:val="00CA7F26"/>
    <w:rsid w:val="00CB14E4"/>
    <w:rsid w:val="00CC2260"/>
    <w:rsid w:val="00CD24CF"/>
    <w:rsid w:val="00CD3799"/>
    <w:rsid w:val="00CE611C"/>
    <w:rsid w:val="00CE68E7"/>
    <w:rsid w:val="00CF49A3"/>
    <w:rsid w:val="00D11C2D"/>
    <w:rsid w:val="00D13EBE"/>
    <w:rsid w:val="00D162CA"/>
    <w:rsid w:val="00D25F26"/>
    <w:rsid w:val="00D301FA"/>
    <w:rsid w:val="00D3185B"/>
    <w:rsid w:val="00D31B5A"/>
    <w:rsid w:val="00D63ACA"/>
    <w:rsid w:val="00D6607F"/>
    <w:rsid w:val="00DC4619"/>
    <w:rsid w:val="00DE52EB"/>
    <w:rsid w:val="00DF292A"/>
    <w:rsid w:val="00DF6515"/>
    <w:rsid w:val="00E03E7C"/>
    <w:rsid w:val="00E26A97"/>
    <w:rsid w:val="00E42B8D"/>
    <w:rsid w:val="00E44547"/>
    <w:rsid w:val="00E447EA"/>
    <w:rsid w:val="00E46E77"/>
    <w:rsid w:val="00E619DD"/>
    <w:rsid w:val="00E76ED7"/>
    <w:rsid w:val="00E852AD"/>
    <w:rsid w:val="00E94899"/>
    <w:rsid w:val="00EA335B"/>
    <w:rsid w:val="00EA4386"/>
    <w:rsid w:val="00EA6782"/>
    <w:rsid w:val="00EB28C7"/>
    <w:rsid w:val="00EB32C4"/>
    <w:rsid w:val="00ED2ACF"/>
    <w:rsid w:val="00ED2CFF"/>
    <w:rsid w:val="00ED440F"/>
    <w:rsid w:val="00F13DC2"/>
    <w:rsid w:val="00F25FEF"/>
    <w:rsid w:val="00F3204B"/>
    <w:rsid w:val="00F32109"/>
    <w:rsid w:val="00F33888"/>
    <w:rsid w:val="00F61156"/>
    <w:rsid w:val="00F61877"/>
    <w:rsid w:val="00F62D82"/>
    <w:rsid w:val="00F6335D"/>
    <w:rsid w:val="00F70E1D"/>
    <w:rsid w:val="00F9550F"/>
    <w:rsid w:val="00FA5100"/>
    <w:rsid w:val="00FB28E4"/>
    <w:rsid w:val="00FB5024"/>
    <w:rsid w:val="00FC43D3"/>
    <w:rsid w:val="00FD61CF"/>
    <w:rsid w:val="00FE0455"/>
    <w:rsid w:val="00FE09B8"/>
    <w:rsid w:val="00FF4D92"/>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right" w:pos="9360"/>
      </w:tabs>
      <w:outlineLvl w:val="1"/>
    </w:pPr>
    <w:rPr>
      <w:color w:val="000000"/>
      <w:sz w:val="24"/>
    </w:rPr>
  </w:style>
  <w:style w:type="paragraph" w:styleId="Heading3">
    <w:name w:val="heading 3"/>
    <w:basedOn w:val="Normal"/>
    <w:next w:val="Normal"/>
    <w:qFormat/>
    <w:pPr>
      <w:keepNext/>
      <w:tabs>
        <w:tab w:val="right" w:pos="9360"/>
      </w:tabs>
      <w:ind w:left="180" w:hanging="180"/>
      <w:outlineLvl w:val="2"/>
    </w:pPr>
    <w:rPr>
      <w:color w:val="000000"/>
      <w:sz w:val="24"/>
    </w:rPr>
  </w:style>
  <w:style w:type="paragraph" w:styleId="Heading4">
    <w:name w:val="heading 4"/>
    <w:basedOn w:val="Normal"/>
    <w:next w:val="Normal"/>
    <w:qFormat/>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pPr>
      <w:keepNext/>
      <w:ind w:left="900" w:hanging="900"/>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ind w:left="-1440"/>
      <w:jc w:val="both"/>
    </w:pPr>
    <w:rPr>
      <w:sz w:val="24"/>
    </w:rPr>
  </w:style>
  <w:style w:type="paragraph" w:customStyle="1" w:styleId="2AutoList1">
    <w:name w:val="2AutoList1"/>
    <w:pPr>
      <w:widowControl w:val="0"/>
      <w:ind w:left="-1440"/>
      <w:jc w:val="both"/>
    </w:pPr>
    <w:rPr>
      <w:sz w:val="24"/>
    </w:rPr>
  </w:style>
  <w:style w:type="paragraph" w:customStyle="1" w:styleId="3AutoList1">
    <w:name w:val="3AutoList1"/>
    <w:pPr>
      <w:widowControl w:val="0"/>
      <w:ind w:left="-1440"/>
      <w:jc w:val="both"/>
    </w:pPr>
    <w:rPr>
      <w:sz w:val="24"/>
    </w:rPr>
  </w:style>
  <w:style w:type="paragraph" w:customStyle="1" w:styleId="4AutoList1">
    <w:name w:val="4AutoList1"/>
    <w:pPr>
      <w:widowControl w:val="0"/>
      <w:ind w:left="-1440"/>
      <w:jc w:val="both"/>
    </w:pPr>
    <w:rPr>
      <w:sz w:val="24"/>
    </w:rPr>
  </w:style>
  <w:style w:type="paragraph" w:customStyle="1" w:styleId="5AutoList1">
    <w:name w:val="5AutoList1"/>
    <w:pPr>
      <w:widowControl w:val="0"/>
      <w:ind w:left="-1440"/>
      <w:jc w:val="both"/>
    </w:pPr>
    <w:rPr>
      <w:sz w:val="24"/>
    </w:rPr>
  </w:style>
  <w:style w:type="paragraph" w:customStyle="1" w:styleId="6AutoList1">
    <w:name w:val="6AutoList1"/>
    <w:pPr>
      <w:widowControl w:val="0"/>
      <w:ind w:left="-1440"/>
      <w:jc w:val="both"/>
    </w:pPr>
    <w:rPr>
      <w:sz w:val="24"/>
    </w:rPr>
  </w:style>
  <w:style w:type="paragraph" w:customStyle="1" w:styleId="7AutoList1">
    <w:name w:val="7AutoList1"/>
    <w:pPr>
      <w:widowControl w:val="0"/>
      <w:ind w:left="-1440"/>
      <w:jc w:val="both"/>
    </w:pPr>
    <w:rPr>
      <w:sz w:val="24"/>
    </w:rPr>
  </w:style>
  <w:style w:type="paragraph" w:customStyle="1" w:styleId="8AutoList1">
    <w:name w:val="8AutoList1"/>
    <w:pPr>
      <w:widowControl w:val="0"/>
      <w:ind w:left="-144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BodyText">
    <w:name w:val="Body Text"/>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link w:val="BodyText3Char"/>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pPr>
      <w:ind w:firstLine="720"/>
    </w:pPr>
    <w:rPr>
      <w:rFonts w:ascii="Courier" w:hAnsi="Courier"/>
      <w:sz w:val="24"/>
    </w:rPr>
  </w:style>
  <w:style w:type="paragraph" w:styleId="BodyTextIndent2">
    <w:name w:val="Body Text Indent 2"/>
    <w:basedOn w:val="Normal"/>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qFormat/>
    <w:rPr>
      <w:i/>
      <w:iCs/>
    </w:rPr>
  </w:style>
  <w:style w:type="paragraph" w:styleId="Subtitle">
    <w:name w:val="Subtitle"/>
    <w:basedOn w:val="Normal"/>
    <w:qFormat/>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pPr>
      <w:ind w:left="1170" w:hanging="117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z w:val="24"/>
      <w:szCs w:val="24"/>
    </w:rPr>
  </w:style>
  <w:style w:type="paragraph" w:customStyle="1" w:styleId="CM15">
    <w:name w:val="CM15"/>
    <w:basedOn w:val="Normal"/>
    <w:next w:val="Normal"/>
    <w:pPr>
      <w:autoSpaceDE w:val="0"/>
      <w:autoSpaceDN w:val="0"/>
      <w:adjustRightInd w:val="0"/>
      <w:spacing w:after="228"/>
    </w:pPr>
    <w:rPr>
      <w:rFonts w:ascii="Arial" w:hAnsi="Arial"/>
      <w:sz w:val="24"/>
      <w:szCs w:val="24"/>
    </w:rPr>
  </w:style>
  <w:style w:type="paragraph" w:styleId="BalloonText">
    <w:name w:val="Balloon Text"/>
    <w:basedOn w:val="Normal"/>
    <w:semiHidden/>
    <w:rsid w:val="005E5608"/>
    <w:rPr>
      <w:rFonts w:ascii="Tahoma" w:hAnsi="Tahoma" w:cs="Tahoma"/>
      <w:sz w:val="16"/>
      <w:szCs w:val="16"/>
    </w:rPr>
  </w:style>
  <w:style w:type="character" w:styleId="CommentReference">
    <w:name w:val="annotation reference"/>
    <w:rsid w:val="00E03E7C"/>
    <w:rPr>
      <w:sz w:val="16"/>
      <w:szCs w:val="16"/>
    </w:rPr>
  </w:style>
  <w:style w:type="paragraph" w:styleId="CommentText">
    <w:name w:val="annotation text"/>
    <w:basedOn w:val="Normal"/>
    <w:link w:val="CommentTextChar"/>
    <w:rsid w:val="00E03E7C"/>
  </w:style>
  <w:style w:type="character" w:customStyle="1" w:styleId="CommentTextChar">
    <w:name w:val="Comment Text Char"/>
    <w:basedOn w:val="DefaultParagraphFont"/>
    <w:link w:val="CommentText"/>
    <w:rsid w:val="00E03E7C"/>
  </w:style>
  <w:style w:type="paragraph" w:styleId="CommentSubject">
    <w:name w:val="annotation subject"/>
    <w:basedOn w:val="CommentText"/>
    <w:next w:val="CommentText"/>
    <w:link w:val="CommentSubjectChar"/>
    <w:rsid w:val="00E03E7C"/>
    <w:rPr>
      <w:b/>
      <w:bCs/>
    </w:rPr>
  </w:style>
  <w:style w:type="character" w:customStyle="1" w:styleId="CommentSubjectChar">
    <w:name w:val="Comment Subject Char"/>
    <w:link w:val="CommentSubject"/>
    <w:rsid w:val="00E03E7C"/>
    <w:rPr>
      <w:b/>
      <w:bCs/>
    </w:rPr>
  </w:style>
  <w:style w:type="character" w:styleId="Hyperlink">
    <w:name w:val="Hyperlink"/>
    <w:rsid w:val="0063417E"/>
    <w:rPr>
      <w:color w:val="0000FF"/>
      <w:u w:val="single"/>
    </w:rPr>
  </w:style>
  <w:style w:type="paragraph" w:styleId="Caption">
    <w:name w:val="caption"/>
    <w:basedOn w:val="Normal"/>
    <w:next w:val="Normal"/>
    <w:qFormat/>
    <w:rsid w:val="008B3BB4"/>
    <w:pPr>
      <w:widowControl/>
      <w:spacing w:before="120" w:after="120"/>
    </w:pPr>
    <w:rPr>
      <w:b/>
    </w:rPr>
  </w:style>
  <w:style w:type="paragraph" w:customStyle="1" w:styleId="SingleText">
    <w:name w:val="Single Text"/>
    <w:basedOn w:val="Normal"/>
    <w:autoRedefine/>
    <w:rsid w:val="008B3BB4"/>
    <w:pPr>
      <w:widowControl/>
    </w:pPr>
    <w:rPr>
      <w:sz w:val="24"/>
      <w:szCs w:val="24"/>
    </w:rPr>
  </w:style>
  <w:style w:type="paragraph" w:styleId="Closing">
    <w:name w:val="Closing"/>
    <w:basedOn w:val="Normal"/>
    <w:link w:val="ClosingChar"/>
    <w:rsid w:val="008B3BB4"/>
    <w:pPr>
      <w:widowControl/>
    </w:pPr>
    <w:rPr>
      <w:sz w:val="24"/>
    </w:rPr>
  </w:style>
  <w:style w:type="character" w:customStyle="1" w:styleId="ClosingChar">
    <w:name w:val="Closing Char"/>
    <w:link w:val="Closing"/>
    <w:rsid w:val="008B3BB4"/>
    <w:rPr>
      <w:sz w:val="24"/>
    </w:rPr>
  </w:style>
  <w:style w:type="paragraph" w:styleId="Signature">
    <w:name w:val="Signature"/>
    <w:basedOn w:val="Normal"/>
    <w:link w:val="SignatureChar"/>
    <w:rsid w:val="008B3BB4"/>
    <w:pPr>
      <w:widowControl/>
    </w:pPr>
    <w:rPr>
      <w:sz w:val="24"/>
    </w:rPr>
  </w:style>
  <w:style w:type="character" w:customStyle="1" w:styleId="SignatureChar">
    <w:name w:val="Signature Char"/>
    <w:link w:val="Signature"/>
    <w:rsid w:val="008B3BB4"/>
    <w:rPr>
      <w:sz w:val="24"/>
    </w:rPr>
  </w:style>
  <w:style w:type="paragraph" w:customStyle="1" w:styleId="Default">
    <w:name w:val="Default"/>
    <w:rsid w:val="008B3BB4"/>
    <w:pPr>
      <w:widowControl w:val="0"/>
      <w:autoSpaceDE w:val="0"/>
      <w:autoSpaceDN w:val="0"/>
      <w:adjustRightInd w:val="0"/>
    </w:pPr>
    <w:rPr>
      <w:rFonts w:ascii="Arial" w:hAnsi="Arial" w:cs="Arial"/>
      <w:color w:val="000000"/>
      <w:sz w:val="24"/>
      <w:szCs w:val="24"/>
    </w:rPr>
  </w:style>
  <w:style w:type="paragraph" w:customStyle="1" w:styleId="g">
    <w:name w:val="g"/>
    <w:basedOn w:val="Normal"/>
    <w:rsid w:val="00C44EEF"/>
    <w:pPr>
      <w:widowControl/>
      <w:spacing w:before="240" w:after="240"/>
    </w:pPr>
    <w:rPr>
      <w:sz w:val="24"/>
      <w:szCs w:val="24"/>
    </w:rPr>
  </w:style>
  <w:style w:type="paragraph" w:styleId="Revision">
    <w:name w:val="Revision"/>
    <w:hidden/>
    <w:uiPriority w:val="99"/>
    <w:semiHidden/>
    <w:rsid w:val="004F3C1B"/>
  </w:style>
  <w:style w:type="paragraph" w:styleId="NoSpacing">
    <w:name w:val="No Spacing"/>
    <w:uiPriority w:val="1"/>
    <w:qFormat/>
    <w:rsid w:val="0089244D"/>
    <w:pPr>
      <w:widowControl w:val="0"/>
    </w:pPr>
    <w:rPr>
      <w:sz w:val="24"/>
    </w:rPr>
  </w:style>
  <w:style w:type="character" w:customStyle="1" w:styleId="BodyText3Char">
    <w:name w:val="Body Text 3 Char"/>
    <w:basedOn w:val="DefaultParagraphFont"/>
    <w:link w:val="BodyText3"/>
    <w:rsid w:val="002C1E86"/>
    <w:rPr>
      <w:sz w:val="24"/>
    </w:rPr>
  </w:style>
  <w:style w:type="character" w:styleId="FollowedHyperlink">
    <w:name w:val="FollowedHyperlink"/>
    <w:basedOn w:val="DefaultParagraphFont"/>
    <w:rsid w:val="001066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right" w:pos="9360"/>
      </w:tabs>
      <w:outlineLvl w:val="1"/>
    </w:pPr>
    <w:rPr>
      <w:color w:val="000000"/>
      <w:sz w:val="24"/>
    </w:rPr>
  </w:style>
  <w:style w:type="paragraph" w:styleId="Heading3">
    <w:name w:val="heading 3"/>
    <w:basedOn w:val="Normal"/>
    <w:next w:val="Normal"/>
    <w:qFormat/>
    <w:pPr>
      <w:keepNext/>
      <w:tabs>
        <w:tab w:val="right" w:pos="9360"/>
      </w:tabs>
      <w:ind w:left="180" w:hanging="180"/>
      <w:outlineLvl w:val="2"/>
    </w:pPr>
    <w:rPr>
      <w:color w:val="000000"/>
      <w:sz w:val="24"/>
    </w:rPr>
  </w:style>
  <w:style w:type="paragraph" w:styleId="Heading4">
    <w:name w:val="heading 4"/>
    <w:basedOn w:val="Normal"/>
    <w:next w:val="Normal"/>
    <w:qFormat/>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pPr>
      <w:keepNext/>
      <w:ind w:left="900" w:hanging="900"/>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ind w:left="-1440"/>
      <w:jc w:val="both"/>
    </w:pPr>
    <w:rPr>
      <w:sz w:val="24"/>
    </w:rPr>
  </w:style>
  <w:style w:type="paragraph" w:customStyle="1" w:styleId="2AutoList1">
    <w:name w:val="2AutoList1"/>
    <w:pPr>
      <w:widowControl w:val="0"/>
      <w:ind w:left="-1440"/>
      <w:jc w:val="both"/>
    </w:pPr>
    <w:rPr>
      <w:sz w:val="24"/>
    </w:rPr>
  </w:style>
  <w:style w:type="paragraph" w:customStyle="1" w:styleId="3AutoList1">
    <w:name w:val="3AutoList1"/>
    <w:pPr>
      <w:widowControl w:val="0"/>
      <w:ind w:left="-1440"/>
      <w:jc w:val="both"/>
    </w:pPr>
    <w:rPr>
      <w:sz w:val="24"/>
    </w:rPr>
  </w:style>
  <w:style w:type="paragraph" w:customStyle="1" w:styleId="4AutoList1">
    <w:name w:val="4AutoList1"/>
    <w:pPr>
      <w:widowControl w:val="0"/>
      <w:ind w:left="-1440"/>
      <w:jc w:val="both"/>
    </w:pPr>
    <w:rPr>
      <w:sz w:val="24"/>
    </w:rPr>
  </w:style>
  <w:style w:type="paragraph" w:customStyle="1" w:styleId="5AutoList1">
    <w:name w:val="5AutoList1"/>
    <w:pPr>
      <w:widowControl w:val="0"/>
      <w:ind w:left="-1440"/>
      <w:jc w:val="both"/>
    </w:pPr>
    <w:rPr>
      <w:sz w:val="24"/>
    </w:rPr>
  </w:style>
  <w:style w:type="paragraph" w:customStyle="1" w:styleId="6AutoList1">
    <w:name w:val="6AutoList1"/>
    <w:pPr>
      <w:widowControl w:val="0"/>
      <w:ind w:left="-1440"/>
      <w:jc w:val="both"/>
    </w:pPr>
    <w:rPr>
      <w:sz w:val="24"/>
    </w:rPr>
  </w:style>
  <w:style w:type="paragraph" w:customStyle="1" w:styleId="7AutoList1">
    <w:name w:val="7AutoList1"/>
    <w:pPr>
      <w:widowControl w:val="0"/>
      <w:ind w:left="-1440"/>
      <w:jc w:val="both"/>
    </w:pPr>
    <w:rPr>
      <w:sz w:val="24"/>
    </w:rPr>
  </w:style>
  <w:style w:type="paragraph" w:customStyle="1" w:styleId="8AutoList1">
    <w:name w:val="8AutoList1"/>
    <w:pPr>
      <w:widowControl w:val="0"/>
      <w:ind w:left="-144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BodyText">
    <w:name w:val="Body Text"/>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link w:val="BodyText3Char"/>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pPr>
      <w:ind w:firstLine="720"/>
    </w:pPr>
    <w:rPr>
      <w:rFonts w:ascii="Courier" w:hAnsi="Courier"/>
      <w:sz w:val="24"/>
    </w:rPr>
  </w:style>
  <w:style w:type="paragraph" w:styleId="BodyTextIndent2">
    <w:name w:val="Body Text Indent 2"/>
    <w:basedOn w:val="Normal"/>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qFormat/>
    <w:rPr>
      <w:i/>
      <w:iCs/>
    </w:rPr>
  </w:style>
  <w:style w:type="paragraph" w:styleId="Subtitle">
    <w:name w:val="Subtitle"/>
    <w:basedOn w:val="Normal"/>
    <w:qFormat/>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pPr>
      <w:ind w:left="1170" w:hanging="117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z w:val="24"/>
      <w:szCs w:val="24"/>
    </w:rPr>
  </w:style>
  <w:style w:type="paragraph" w:customStyle="1" w:styleId="CM15">
    <w:name w:val="CM15"/>
    <w:basedOn w:val="Normal"/>
    <w:next w:val="Normal"/>
    <w:pPr>
      <w:autoSpaceDE w:val="0"/>
      <w:autoSpaceDN w:val="0"/>
      <w:adjustRightInd w:val="0"/>
      <w:spacing w:after="228"/>
    </w:pPr>
    <w:rPr>
      <w:rFonts w:ascii="Arial" w:hAnsi="Arial"/>
      <w:sz w:val="24"/>
      <w:szCs w:val="24"/>
    </w:rPr>
  </w:style>
  <w:style w:type="paragraph" w:styleId="BalloonText">
    <w:name w:val="Balloon Text"/>
    <w:basedOn w:val="Normal"/>
    <w:semiHidden/>
    <w:rsid w:val="005E5608"/>
    <w:rPr>
      <w:rFonts w:ascii="Tahoma" w:hAnsi="Tahoma" w:cs="Tahoma"/>
      <w:sz w:val="16"/>
      <w:szCs w:val="16"/>
    </w:rPr>
  </w:style>
  <w:style w:type="character" w:styleId="CommentReference">
    <w:name w:val="annotation reference"/>
    <w:rsid w:val="00E03E7C"/>
    <w:rPr>
      <w:sz w:val="16"/>
      <w:szCs w:val="16"/>
    </w:rPr>
  </w:style>
  <w:style w:type="paragraph" w:styleId="CommentText">
    <w:name w:val="annotation text"/>
    <w:basedOn w:val="Normal"/>
    <w:link w:val="CommentTextChar"/>
    <w:rsid w:val="00E03E7C"/>
  </w:style>
  <w:style w:type="character" w:customStyle="1" w:styleId="CommentTextChar">
    <w:name w:val="Comment Text Char"/>
    <w:basedOn w:val="DefaultParagraphFont"/>
    <w:link w:val="CommentText"/>
    <w:rsid w:val="00E03E7C"/>
  </w:style>
  <w:style w:type="paragraph" w:styleId="CommentSubject">
    <w:name w:val="annotation subject"/>
    <w:basedOn w:val="CommentText"/>
    <w:next w:val="CommentText"/>
    <w:link w:val="CommentSubjectChar"/>
    <w:rsid w:val="00E03E7C"/>
    <w:rPr>
      <w:b/>
      <w:bCs/>
    </w:rPr>
  </w:style>
  <w:style w:type="character" w:customStyle="1" w:styleId="CommentSubjectChar">
    <w:name w:val="Comment Subject Char"/>
    <w:link w:val="CommentSubject"/>
    <w:rsid w:val="00E03E7C"/>
    <w:rPr>
      <w:b/>
      <w:bCs/>
    </w:rPr>
  </w:style>
  <w:style w:type="character" w:styleId="Hyperlink">
    <w:name w:val="Hyperlink"/>
    <w:rsid w:val="0063417E"/>
    <w:rPr>
      <w:color w:val="0000FF"/>
      <w:u w:val="single"/>
    </w:rPr>
  </w:style>
  <w:style w:type="paragraph" w:styleId="Caption">
    <w:name w:val="caption"/>
    <w:basedOn w:val="Normal"/>
    <w:next w:val="Normal"/>
    <w:qFormat/>
    <w:rsid w:val="008B3BB4"/>
    <w:pPr>
      <w:widowControl/>
      <w:spacing w:before="120" w:after="120"/>
    </w:pPr>
    <w:rPr>
      <w:b/>
    </w:rPr>
  </w:style>
  <w:style w:type="paragraph" w:customStyle="1" w:styleId="SingleText">
    <w:name w:val="Single Text"/>
    <w:basedOn w:val="Normal"/>
    <w:autoRedefine/>
    <w:rsid w:val="008B3BB4"/>
    <w:pPr>
      <w:widowControl/>
    </w:pPr>
    <w:rPr>
      <w:sz w:val="24"/>
      <w:szCs w:val="24"/>
    </w:rPr>
  </w:style>
  <w:style w:type="paragraph" w:styleId="Closing">
    <w:name w:val="Closing"/>
    <w:basedOn w:val="Normal"/>
    <w:link w:val="ClosingChar"/>
    <w:rsid w:val="008B3BB4"/>
    <w:pPr>
      <w:widowControl/>
    </w:pPr>
    <w:rPr>
      <w:sz w:val="24"/>
    </w:rPr>
  </w:style>
  <w:style w:type="character" w:customStyle="1" w:styleId="ClosingChar">
    <w:name w:val="Closing Char"/>
    <w:link w:val="Closing"/>
    <w:rsid w:val="008B3BB4"/>
    <w:rPr>
      <w:sz w:val="24"/>
    </w:rPr>
  </w:style>
  <w:style w:type="paragraph" w:styleId="Signature">
    <w:name w:val="Signature"/>
    <w:basedOn w:val="Normal"/>
    <w:link w:val="SignatureChar"/>
    <w:rsid w:val="008B3BB4"/>
    <w:pPr>
      <w:widowControl/>
    </w:pPr>
    <w:rPr>
      <w:sz w:val="24"/>
    </w:rPr>
  </w:style>
  <w:style w:type="character" w:customStyle="1" w:styleId="SignatureChar">
    <w:name w:val="Signature Char"/>
    <w:link w:val="Signature"/>
    <w:rsid w:val="008B3BB4"/>
    <w:rPr>
      <w:sz w:val="24"/>
    </w:rPr>
  </w:style>
  <w:style w:type="paragraph" w:customStyle="1" w:styleId="Default">
    <w:name w:val="Default"/>
    <w:rsid w:val="008B3BB4"/>
    <w:pPr>
      <w:widowControl w:val="0"/>
      <w:autoSpaceDE w:val="0"/>
      <w:autoSpaceDN w:val="0"/>
      <w:adjustRightInd w:val="0"/>
    </w:pPr>
    <w:rPr>
      <w:rFonts w:ascii="Arial" w:hAnsi="Arial" w:cs="Arial"/>
      <w:color w:val="000000"/>
      <w:sz w:val="24"/>
      <w:szCs w:val="24"/>
    </w:rPr>
  </w:style>
  <w:style w:type="paragraph" w:customStyle="1" w:styleId="g">
    <w:name w:val="g"/>
    <w:basedOn w:val="Normal"/>
    <w:rsid w:val="00C44EEF"/>
    <w:pPr>
      <w:widowControl/>
      <w:spacing w:before="240" w:after="240"/>
    </w:pPr>
    <w:rPr>
      <w:sz w:val="24"/>
      <w:szCs w:val="24"/>
    </w:rPr>
  </w:style>
  <w:style w:type="paragraph" w:styleId="Revision">
    <w:name w:val="Revision"/>
    <w:hidden/>
    <w:uiPriority w:val="99"/>
    <w:semiHidden/>
    <w:rsid w:val="004F3C1B"/>
  </w:style>
  <w:style w:type="paragraph" w:styleId="NoSpacing">
    <w:name w:val="No Spacing"/>
    <w:uiPriority w:val="1"/>
    <w:qFormat/>
    <w:rsid w:val="0089244D"/>
    <w:pPr>
      <w:widowControl w:val="0"/>
    </w:pPr>
    <w:rPr>
      <w:sz w:val="24"/>
    </w:rPr>
  </w:style>
  <w:style w:type="character" w:customStyle="1" w:styleId="BodyText3Char">
    <w:name w:val="Body Text 3 Char"/>
    <w:basedOn w:val="DefaultParagraphFont"/>
    <w:link w:val="BodyText3"/>
    <w:rsid w:val="002C1E86"/>
    <w:rPr>
      <w:sz w:val="24"/>
    </w:rPr>
  </w:style>
  <w:style w:type="character" w:styleId="FollowedHyperlink">
    <w:name w:val="FollowedHyperlink"/>
    <w:basedOn w:val="DefaultParagraphFont"/>
    <w:rsid w:val="001066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19447">
      <w:bodyDiv w:val="1"/>
      <w:marLeft w:val="0"/>
      <w:marRight w:val="0"/>
      <w:marTop w:val="0"/>
      <w:marBottom w:val="0"/>
      <w:divBdr>
        <w:top w:val="none" w:sz="0" w:space="0" w:color="auto"/>
        <w:left w:val="none" w:sz="0" w:space="0" w:color="auto"/>
        <w:bottom w:val="none" w:sz="0" w:space="0" w:color="auto"/>
        <w:right w:val="none" w:sz="0" w:space="0" w:color="auto"/>
      </w:divBdr>
    </w:div>
    <w:div w:id="19953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406D-990F-45CD-A2D8-853571BB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25929</CharactersWithSpaces>
  <SharedDoc>false</SharedDoc>
  <HLinks>
    <vt:vector size="42" baseType="variant">
      <vt:variant>
        <vt:i4>5963901</vt:i4>
      </vt:variant>
      <vt:variant>
        <vt:i4>27</vt:i4>
      </vt:variant>
      <vt:variant>
        <vt:i4>0</vt:i4>
      </vt:variant>
      <vt:variant>
        <vt:i4>5</vt:i4>
      </vt:variant>
      <vt:variant>
        <vt:lpwstr>http://www.corporateservices.noaa.gov/~ames/NAOs/Chap_216/naos_216_100.html</vt:lpwstr>
      </vt:variant>
      <vt:variant>
        <vt:lpwstr/>
      </vt:variant>
      <vt:variant>
        <vt:i4>852034</vt:i4>
      </vt:variant>
      <vt:variant>
        <vt:i4>24</vt:i4>
      </vt:variant>
      <vt:variant>
        <vt:i4>0</vt:i4>
      </vt:variant>
      <vt:variant>
        <vt:i4>5</vt:i4>
      </vt:variant>
      <vt:variant>
        <vt:lpwstr>http://www.fws.gov/informationquality/section515.html</vt:lpwstr>
      </vt:variant>
      <vt:variant>
        <vt:lpwstr/>
      </vt:variant>
      <vt:variant>
        <vt:i4>655384</vt:i4>
      </vt:variant>
      <vt:variant>
        <vt:i4>12</vt:i4>
      </vt:variant>
      <vt:variant>
        <vt:i4>0</vt:i4>
      </vt:variant>
      <vt:variant>
        <vt:i4>5</vt:i4>
      </vt:variant>
      <vt:variant>
        <vt:lpwstr>http://www.whitehouse.gov/omb/inforeg/eo12866.pdf</vt:lpwstr>
      </vt:variant>
      <vt:variant>
        <vt:lpwstr/>
      </vt:variant>
      <vt:variant>
        <vt:i4>5898298</vt:i4>
      </vt:variant>
      <vt:variant>
        <vt:i4>9</vt:i4>
      </vt:variant>
      <vt:variant>
        <vt:i4>0</vt:i4>
      </vt:variant>
      <vt:variant>
        <vt:i4>5</vt:i4>
      </vt:variant>
      <vt:variant>
        <vt:lpwstr>http://www.epa.gov/sbrefa/statute/rfasbrefa_act.pdf</vt:lpwstr>
      </vt:variant>
      <vt:variant>
        <vt:lpwstr/>
      </vt:variant>
      <vt:variant>
        <vt:i4>3473516</vt:i4>
      </vt:variant>
      <vt:variant>
        <vt:i4>6</vt:i4>
      </vt:variant>
      <vt:variant>
        <vt:i4>0</vt:i4>
      </vt:variant>
      <vt:variant>
        <vt:i4>5</vt:i4>
      </vt:variant>
      <vt:variant>
        <vt:lpwstr>http://ceq.hss.doe.gov/Nepa/regs/nepa/nepaeqia.htm</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1179648</vt:i4>
      </vt:variant>
      <vt:variant>
        <vt:i4>0</vt:i4>
      </vt:variant>
      <vt:variant>
        <vt:i4>0</vt:i4>
      </vt:variant>
      <vt:variant>
        <vt:i4>5</vt:i4>
      </vt:variant>
      <vt:variant>
        <vt:lpwstr>http://www.nmfs.noaa.gov/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2013-01-18T20:43:00Z</cp:lastPrinted>
  <dcterms:created xsi:type="dcterms:W3CDTF">2013-01-24T20:42:00Z</dcterms:created>
  <dcterms:modified xsi:type="dcterms:W3CDTF">2013-02-14T14:08:00Z</dcterms:modified>
</cp:coreProperties>
</file>