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A61" w:rsidRDefault="00FF5A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FF5A61" w:rsidRDefault="00FF5A6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2"/>
        </w:rPr>
      </w:pPr>
    </w:p>
    <w:p w:rsidR="00FF5A61" w:rsidRDefault="00FF5A61">
      <w:pPr>
        <w:pStyle w:val="Heading1"/>
      </w:pPr>
      <w:r>
        <w:t>Request for Acceptance of Changes in Approved Drawings and Specifications</w:t>
      </w:r>
    </w:p>
    <w:p w:rsidR="00FF5A61" w:rsidRDefault="00FF5A6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2"/>
        </w:rPr>
      </w:pPr>
      <w:r>
        <w:rPr>
          <w:rFonts w:ascii="Helvetica" w:hAnsi="Helvetica"/>
          <w:b/>
          <w:sz w:val="22"/>
        </w:rPr>
        <w:t>OMB Control Number 2502-0117</w:t>
      </w:r>
    </w:p>
    <w:p w:rsidR="00FF5A61" w:rsidRDefault="00FF5A6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Cs/>
          <w:sz w:val="22"/>
        </w:rPr>
      </w:pPr>
      <w:r>
        <w:rPr>
          <w:rFonts w:ascii="Helvetica" w:hAnsi="Helvetica"/>
          <w:bCs/>
          <w:sz w:val="22"/>
        </w:rPr>
        <w:t>(Form HUD-92577)</w:t>
      </w:r>
    </w:p>
    <w:p w:rsidR="00FF5A61" w:rsidRDefault="00FF5A6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2"/>
        </w:rPr>
      </w:pPr>
    </w:p>
    <w:p w:rsidR="00FF5A61" w:rsidRDefault="00FF5A6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rPr>
      </w:pPr>
      <w:r>
        <w:rPr>
          <w:b/>
          <w:sz w:val="22"/>
        </w:rPr>
        <w:t xml:space="preserve">A. </w:t>
      </w:r>
      <w:r>
        <w:rPr>
          <w:b/>
          <w:sz w:val="22"/>
        </w:rPr>
        <w:tab/>
        <w:t>Justi</w:t>
      </w:r>
      <w:r>
        <w:rPr>
          <w:b/>
          <w:color w:val="000000"/>
          <w:sz w:val="22"/>
        </w:rPr>
        <w:t>fication</w:t>
      </w:r>
    </w:p>
    <w:p w:rsidR="00FF5A61" w:rsidRDefault="00FF5A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rPr>
      </w:pPr>
    </w:p>
    <w:p w:rsidR="00FF5A61" w:rsidRDefault="00FF5A61">
      <w:pPr>
        <w:pStyle w:val="BodyTextIndent"/>
      </w:pPr>
      <w:r>
        <w:t>1.</w:t>
      </w:r>
      <w:r>
        <w:tab/>
        <w:t xml:space="preserve">This request seeks OMB approval on information collected in connection with a builder’s request for Acceptance of Changes in Approved Drawing and Specifications.  Form HUD-92577 (OMB 2502-0117) is submitted to HUD by mortgagee’s requesting changes on construction documents (plans and specifications).  In the administration of HUD’s single family home mortgage insurance programs, FHA evaluates acceptability of both the property and the homebuyer to make certain that FHA’s risk is adequately protected before home mortgage insurance is provided.  An integral part of the mortgage insurance process is the determination of the eligibility of a property for a conditional commitment.  An appraisal is made to evaluate the acceptability of the property for mortgage security and, if the property is found acceptable, to determine the maximum insurable mortgage amount.  The issuance of the conditional commitment obligates HUD to insure a mortgage on a property if an eligible buyer is found.  For </w:t>
      </w:r>
      <w:r w:rsidR="003C0568">
        <w:t>the FHA 203k program which allows buyers to substantially rehabilitate homes with funds secured through their FHA-insured mortgage</w:t>
      </w:r>
      <w:r>
        <w:t>, HUD require</w:t>
      </w:r>
      <w:r w:rsidR="003A66AB">
        <w:t xml:space="preserve">s the lender to </w:t>
      </w:r>
      <w:r w:rsidR="00CC40F7">
        <w:t xml:space="preserve">approve the improvements to the house through the use of a 203k consultant.  If the borrower decides to change the plan after the borrower has closed on the loan, those changes must be documented on the 92577 and approved through the 203k consultant.  </w:t>
      </w:r>
      <w:r>
        <w:t xml:space="preserve">Section 203(b) (7) of the National Housing Act authorizes the Secretary to use his/her discretion with respect to the handling of insurance, repairs, and alterations.  The attached regulations are found at 24 CFR 203.17, </w:t>
      </w:r>
      <w:proofErr w:type="gramStart"/>
      <w:r>
        <w:t>24 CFR 203.18, and 24 CFR 293.18a-18d</w:t>
      </w:r>
      <w:proofErr w:type="gramEnd"/>
      <w:r>
        <w:t>.</w:t>
      </w:r>
    </w:p>
    <w:p w:rsidR="00FF5A61" w:rsidRDefault="00FF5A61">
      <w:pPr>
        <w:keepLines/>
        <w:tabs>
          <w:tab w:val="left" w:pos="360"/>
        </w:tabs>
        <w:spacing w:after="80"/>
        <w:rPr>
          <w:color w:val="000000"/>
          <w:sz w:val="22"/>
        </w:rPr>
      </w:pPr>
    </w:p>
    <w:p w:rsidR="00FF5A61" w:rsidRDefault="00FF5A61">
      <w:pPr>
        <w:pStyle w:val="BodyTextInden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s>
        <w:spacing w:after="80"/>
      </w:pPr>
      <w:r>
        <w:t>2.</w:t>
      </w:r>
      <w:r>
        <w:tab/>
      </w:r>
      <w:r w:rsidR="00CC40F7">
        <w:t xml:space="preserve">Consultants </w:t>
      </w:r>
      <w:r>
        <w:t xml:space="preserve">submit form HUD-92577 to </w:t>
      </w:r>
      <w:r w:rsidR="00CC40F7">
        <w:t xml:space="preserve">lenders to document </w:t>
      </w:r>
      <w:r>
        <w:t xml:space="preserve">the </w:t>
      </w:r>
      <w:r w:rsidR="00CC40F7">
        <w:t xml:space="preserve">changes to </w:t>
      </w:r>
      <w:r>
        <w:t xml:space="preserve">accepted drawings and specifications for </w:t>
      </w:r>
      <w:r w:rsidR="00CC40F7">
        <w:t>203k rehabilitation projects</w:t>
      </w:r>
      <w:r>
        <w:t xml:space="preserve">.  The </w:t>
      </w:r>
      <w:r w:rsidR="00FA3D29">
        <w:t>contractor submits changes to the consultant and the consultant submits</w:t>
      </w:r>
      <w:r>
        <w:t xml:space="preserve"> the form to the </w:t>
      </w:r>
      <w:r w:rsidR="00FA3D29">
        <w:t>mortgagee</w:t>
      </w:r>
      <w:r>
        <w:t xml:space="preserve">. The mortgagee submits the form to HUD.  The information collection describes the changes and indicates the cost of each proposed change.  The borrower, </w:t>
      </w:r>
      <w:r w:rsidR="00FA3D29">
        <w:t>consultant</w:t>
      </w:r>
      <w:r>
        <w:t>, and mortgagee certify the changes involved.</w:t>
      </w:r>
      <w:r w:rsidR="00897E0F">
        <w:t xml:space="preserve">  The information is only collected when the insured loan is a rehabilitation loan that was approved and since the approval requires changes either because the contractor discovered additional repairs in the course of the rehabilitation or the borrowers decided they wanted a change in the rehabilitation plan.</w:t>
      </w:r>
      <w:r>
        <w:t xml:space="preserve">  </w:t>
      </w:r>
    </w:p>
    <w:p w:rsidR="00897E0F" w:rsidRDefault="00FF5A61">
      <w:pPr>
        <w:pStyle w:val="BodyTextInden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s>
        <w:spacing w:after="80"/>
      </w:pPr>
      <w:r>
        <w:tab/>
      </w:r>
    </w:p>
    <w:p w:rsidR="00897E0F" w:rsidRDefault="00897E0F">
      <w:pPr>
        <w:pStyle w:val="BodyTextInden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s>
        <w:spacing w:after="80"/>
      </w:pPr>
      <w:r>
        <w:tab/>
        <w:t>Consultants can fill in the form electronically and submit it to the lender electronically or can deliver a hard copy.  A paper copy of the form must be included in the loan file if the loan file is paper and if the lender submits e-binders then an electronic copy of the form would be included in the e-binder.</w:t>
      </w:r>
    </w:p>
    <w:p w:rsidR="00897E0F" w:rsidRDefault="00897E0F">
      <w:pPr>
        <w:pStyle w:val="BodyTextInden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s>
        <w:spacing w:after="80"/>
      </w:pPr>
    </w:p>
    <w:p w:rsidR="00FF5A61" w:rsidRDefault="00897E0F">
      <w:pPr>
        <w:pStyle w:val="BodyTextInden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s>
        <w:spacing w:after="80"/>
      </w:pPr>
      <w:r>
        <w:tab/>
      </w:r>
      <w:r w:rsidR="00FF5A61">
        <w:t xml:space="preserve">The form is also a record of HUD’s approval.  The acceptance of the requested changes amends the approved exhibits and may affect the value shown on the HUD commitment.  </w:t>
      </w:r>
    </w:p>
    <w:p w:rsidR="00FF5A61" w:rsidRDefault="00FF5A61">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s>
      </w:pPr>
      <w:r>
        <w:tab/>
        <w:t>HUD does not have any alternative procedure to expedite processing.</w:t>
      </w:r>
    </w:p>
    <w:p w:rsidR="00897E0F" w:rsidRDefault="00897E0F">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s>
      </w:pPr>
    </w:p>
    <w:p w:rsidR="00897E0F" w:rsidRDefault="00897E0F">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s>
      </w:pPr>
      <w:r>
        <w:tab/>
        <w:t xml:space="preserve">The information is not shared with any other organization inside or outside of HUD.  </w:t>
      </w:r>
    </w:p>
    <w:p w:rsidR="00897E0F" w:rsidRDefault="00897E0F">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s>
      </w:pPr>
    </w:p>
    <w:p w:rsidR="00897E0F" w:rsidRDefault="00897E0F">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s>
      </w:pPr>
      <w:r>
        <w:tab/>
        <w:t xml:space="preserve">At one time HUD required that all plans for new construction and rehabilitation construction be approved by a HUD employee.  This form was required for </w:t>
      </w:r>
      <w:proofErr w:type="spellStart"/>
      <w:r>
        <w:t>reapproval</w:t>
      </w:r>
      <w:proofErr w:type="spellEnd"/>
      <w:r>
        <w:t xml:space="preserve"> if any element of the construction plan changed.  HUD has since reduced its requirement for approval of new constructions because almost all states have building codes and building departments that perform inspections on new construction and issue building permits and occupancy permits.  HUD relies on the occupancy permit to establish that the construction is habitable and meets HUD Minimum Property Standards (MPS).  This form is only used for properties that are being rehabilitated now because once the loan has been made the amount of money available for the rehabilitation is fixed and lenders must approve any changes to ensure that the borrower has enough money to ensure the property is safe, secure and sound.</w:t>
      </w:r>
    </w:p>
    <w:p w:rsidR="00FF5A61" w:rsidRDefault="00FF5A61">
      <w:pPr>
        <w:tabs>
          <w:tab w:val="left" w:pos="360"/>
        </w:tabs>
        <w:rPr>
          <w:color w:val="000000"/>
          <w:sz w:val="22"/>
        </w:rPr>
      </w:pPr>
    </w:p>
    <w:p w:rsidR="00FF5A61" w:rsidRDefault="00FF5A61">
      <w:pPr>
        <w:keepLines/>
        <w:tabs>
          <w:tab w:val="left" w:pos="360"/>
        </w:tabs>
        <w:spacing w:after="80"/>
        <w:ind w:left="360" w:hanging="360"/>
        <w:rPr>
          <w:sz w:val="22"/>
        </w:rPr>
      </w:pPr>
      <w:r>
        <w:rPr>
          <w:color w:val="000000"/>
          <w:sz w:val="22"/>
        </w:rPr>
        <w:t>3.</w:t>
      </w:r>
      <w:r>
        <w:rPr>
          <w:color w:val="000000"/>
          <w:sz w:val="22"/>
        </w:rPr>
        <w:tab/>
      </w:r>
      <w:r w:rsidR="00EF25CE">
        <w:rPr>
          <w:color w:val="000000"/>
          <w:sz w:val="22"/>
        </w:rPr>
        <w:t xml:space="preserve">The collection of the requested information </w:t>
      </w:r>
      <w:r w:rsidR="00DF7D25">
        <w:rPr>
          <w:color w:val="000000"/>
          <w:sz w:val="22"/>
        </w:rPr>
        <w:t>can be submitted electronically through the Department’s Internet based FHA Connection.  All other documentation is included in the retained/submitted within the stand</w:t>
      </w:r>
      <w:r w:rsidR="0040317E">
        <w:rPr>
          <w:color w:val="000000"/>
          <w:sz w:val="22"/>
        </w:rPr>
        <w:t>ard</w:t>
      </w:r>
      <w:r w:rsidR="00DF7D25">
        <w:rPr>
          <w:color w:val="000000"/>
          <w:sz w:val="22"/>
        </w:rPr>
        <w:t xml:space="preserve"> case bind</w:t>
      </w:r>
      <w:r w:rsidR="0040317E">
        <w:rPr>
          <w:color w:val="000000"/>
          <w:sz w:val="22"/>
        </w:rPr>
        <w:t>er.  Automation of that process will be managed under the basic FHA mortgage management process.</w:t>
      </w:r>
      <w:r w:rsidR="00B84535">
        <w:rPr>
          <w:color w:val="000000"/>
          <w:sz w:val="22"/>
        </w:rPr>
        <w:t xml:space="preserve">  </w:t>
      </w:r>
      <w:r>
        <w:rPr>
          <w:color w:val="000000"/>
          <w:sz w:val="22"/>
        </w:rPr>
        <w:t xml:space="preserve"> </w:t>
      </w:r>
      <w:r>
        <w:rPr>
          <w:sz w:val="22"/>
        </w:rPr>
        <w:t xml:space="preserve"> </w:t>
      </w:r>
    </w:p>
    <w:p w:rsidR="00FF5A61" w:rsidRDefault="00FF5A61">
      <w:pPr>
        <w:tabs>
          <w:tab w:val="left" w:pos="360"/>
        </w:tabs>
        <w:ind w:left="360" w:hanging="360"/>
        <w:rPr>
          <w:color w:val="000000"/>
          <w:sz w:val="22"/>
        </w:rPr>
      </w:pPr>
    </w:p>
    <w:p w:rsidR="00FF5A61" w:rsidRDefault="00FF5A61">
      <w:pPr>
        <w:keepLines/>
        <w:tabs>
          <w:tab w:val="left" w:pos="360"/>
        </w:tabs>
        <w:spacing w:after="80"/>
        <w:ind w:left="360" w:hanging="360"/>
        <w:rPr>
          <w:color w:val="000000"/>
          <w:sz w:val="22"/>
        </w:rPr>
      </w:pPr>
      <w:r>
        <w:rPr>
          <w:color w:val="000000"/>
          <w:sz w:val="22"/>
        </w:rPr>
        <w:t>4.</w:t>
      </w:r>
      <w:r>
        <w:rPr>
          <w:color w:val="000000"/>
          <w:sz w:val="22"/>
        </w:rPr>
        <w:tab/>
        <w:t>There is no duplication of information.  The information is not collected elsewhere by HUD.</w:t>
      </w:r>
    </w:p>
    <w:p w:rsidR="00FF5A61" w:rsidRDefault="00FF5A61">
      <w:pPr>
        <w:tabs>
          <w:tab w:val="left" w:pos="360"/>
        </w:tabs>
        <w:ind w:left="360" w:hanging="360"/>
        <w:rPr>
          <w:color w:val="000000"/>
          <w:sz w:val="22"/>
        </w:rPr>
      </w:pPr>
    </w:p>
    <w:p w:rsidR="00FF5A61" w:rsidRDefault="00FF5A61">
      <w:pPr>
        <w:keepLines/>
        <w:tabs>
          <w:tab w:val="left" w:pos="360"/>
        </w:tabs>
        <w:spacing w:after="80"/>
        <w:ind w:left="360" w:hanging="360"/>
        <w:rPr>
          <w:color w:val="000000"/>
          <w:sz w:val="22"/>
        </w:rPr>
      </w:pPr>
      <w:r>
        <w:rPr>
          <w:color w:val="000000"/>
          <w:sz w:val="22"/>
        </w:rPr>
        <w:t>5.</w:t>
      </w:r>
      <w:r>
        <w:rPr>
          <w:color w:val="000000"/>
          <w:sz w:val="22"/>
        </w:rPr>
        <w:tab/>
        <w:t>Some</w:t>
      </w:r>
      <w:r w:rsidR="000572D1">
        <w:rPr>
          <w:color w:val="000000"/>
          <w:sz w:val="22"/>
        </w:rPr>
        <w:t xml:space="preserve"> contractors and consultants</w:t>
      </w:r>
      <w:r>
        <w:rPr>
          <w:color w:val="000000"/>
          <w:sz w:val="22"/>
        </w:rPr>
        <w:t xml:space="preserve"> may be considered small businesses.  However, there is no adverse impact on them as a result of this collection.  The information collection describes the changes and indicates the cost of each change, and is the minimum needed to prevent risk to the insurance fund.  Similar information would be required in connection with loans that are not FHA-insured.  </w:t>
      </w:r>
    </w:p>
    <w:p w:rsidR="00FF5A61" w:rsidRDefault="00FF5A61">
      <w:pPr>
        <w:tabs>
          <w:tab w:val="left" w:pos="360"/>
        </w:tabs>
        <w:ind w:left="360" w:hanging="360"/>
        <w:rPr>
          <w:color w:val="000000"/>
          <w:sz w:val="22"/>
        </w:rPr>
      </w:pPr>
    </w:p>
    <w:p w:rsidR="00FF5A61" w:rsidRDefault="00FF5A61">
      <w:pPr>
        <w:keepLines/>
        <w:tabs>
          <w:tab w:val="left" w:pos="360"/>
        </w:tabs>
        <w:spacing w:after="80"/>
        <w:ind w:left="360" w:hanging="360"/>
        <w:rPr>
          <w:color w:val="000000"/>
          <w:sz w:val="22"/>
        </w:rPr>
      </w:pPr>
      <w:r>
        <w:rPr>
          <w:color w:val="000000"/>
          <w:sz w:val="22"/>
        </w:rPr>
        <w:t>6.</w:t>
      </w:r>
      <w:r>
        <w:rPr>
          <w:color w:val="000000"/>
          <w:sz w:val="22"/>
        </w:rPr>
        <w:tab/>
        <w:t>The information requested from the mortgagee is the only means of obtaining a legal agreement that consistently provides the HUD reviewer with the necessary facts and evidence of compliance with HUD’s requirements.</w:t>
      </w:r>
      <w:r w:rsidR="000572D1">
        <w:rPr>
          <w:color w:val="000000"/>
          <w:sz w:val="22"/>
        </w:rPr>
        <w:t xml:space="preserve">  </w:t>
      </w:r>
      <w:r>
        <w:rPr>
          <w:sz w:val="22"/>
        </w:rPr>
        <w:t>There exists no other feasible method to protect the Department from risk.  Failure to require an agreement between HUD and the mortgagee would create considerable problems for the Department from a risk perspective and for the home-buying public.</w:t>
      </w:r>
    </w:p>
    <w:p w:rsidR="00FF5A61" w:rsidRDefault="00FF5A61">
      <w:pPr>
        <w:tabs>
          <w:tab w:val="left" w:pos="600"/>
        </w:tabs>
        <w:rPr>
          <w:color w:val="000000"/>
          <w:sz w:val="22"/>
        </w:rPr>
      </w:pPr>
    </w:p>
    <w:p w:rsidR="00FF5A61" w:rsidRDefault="00FF5A61">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600"/>
        </w:tabs>
      </w:pPr>
      <w:r>
        <w:t>7.</w:t>
      </w:r>
      <w:r>
        <w:tab/>
        <w:t xml:space="preserve">There are no special circumstances associated with the collection of this information.  The information collected pertains only to the specific property on which HUD insured a mortgage.  The information is obtained by the </w:t>
      </w:r>
      <w:r w:rsidR="000572D1">
        <w:t xml:space="preserve">consultant </w:t>
      </w:r>
      <w:r>
        <w:t xml:space="preserve">during the </w:t>
      </w:r>
      <w:r w:rsidR="000572D1">
        <w:t xml:space="preserve">repair and rehabilitation </w:t>
      </w:r>
      <w:r>
        <w:t>of the property and reviewed by the Direct Endorsement Lender’s underwriter.  The information is part of the underwriter’s package for the mortgage and is not confidential or sensitive.</w:t>
      </w:r>
    </w:p>
    <w:p w:rsidR="00FF5A61" w:rsidRDefault="00FF5A61">
      <w:pPr>
        <w:tabs>
          <w:tab w:val="left" w:pos="360"/>
        </w:tabs>
        <w:ind w:left="360" w:hanging="360"/>
        <w:rPr>
          <w:color w:val="000000"/>
          <w:sz w:val="22"/>
        </w:rPr>
      </w:pPr>
    </w:p>
    <w:p w:rsidR="00F01BA3" w:rsidRDefault="00FF5A61" w:rsidP="00F01BA3">
      <w:pPr>
        <w:keepLines/>
        <w:tabs>
          <w:tab w:val="left" w:pos="360"/>
        </w:tabs>
        <w:spacing w:after="80"/>
        <w:ind w:left="360" w:hanging="360"/>
        <w:rPr>
          <w:color w:val="000000"/>
          <w:sz w:val="22"/>
        </w:rPr>
      </w:pPr>
      <w:r>
        <w:rPr>
          <w:color w:val="000000"/>
          <w:sz w:val="22"/>
        </w:rPr>
        <w:t>8.</w:t>
      </w:r>
      <w:r>
        <w:rPr>
          <w:color w:val="000000"/>
          <w:sz w:val="22"/>
        </w:rPr>
        <w:tab/>
        <w:t xml:space="preserve">In accordance with 5 CFR 1320.8(d), the agency’s notice soliciting public comments was announced in the </w:t>
      </w:r>
      <w:r>
        <w:rPr>
          <w:i/>
          <w:iCs/>
          <w:color w:val="000000"/>
          <w:sz w:val="22"/>
        </w:rPr>
        <w:t>Federal Register</w:t>
      </w:r>
      <w:r w:rsidR="00F01BA3">
        <w:rPr>
          <w:color w:val="000000"/>
          <w:sz w:val="22"/>
        </w:rPr>
        <w:t xml:space="preserve"> on May 22, 2012</w:t>
      </w:r>
      <w:r>
        <w:rPr>
          <w:color w:val="000000"/>
          <w:sz w:val="22"/>
        </w:rPr>
        <w:t xml:space="preserve"> </w:t>
      </w:r>
      <w:r w:rsidR="00F01BA3">
        <w:rPr>
          <w:color w:val="000000"/>
          <w:sz w:val="24"/>
        </w:rPr>
        <w:t>(Vol. 77, No. 99, page 30306</w:t>
      </w:r>
      <w:r>
        <w:rPr>
          <w:color w:val="000000"/>
          <w:sz w:val="24"/>
        </w:rPr>
        <w:t>)</w:t>
      </w:r>
      <w:r>
        <w:rPr>
          <w:color w:val="000000"/>
          <w:sz w:val="22"/>
        </w:rPr>
        <w:t xml:space="preserve">.  No public comments were received.  </w:t>
      </w:r>
    </w:p>
    <w:p w:rsidR="00F01BA3" w:rsidRDefault="00F01BA3" w:rsidP="00F01BA3">
      <w:pPr>
        <w:keepLines/>
        <w:tabs>
          <w:tab w:val="left" w:pos="360"/>
        </w:tabs>
        <w:spacing w:after="80"/>
        <w:ind w:left="360" w:hanging="360"/>
        <w:rPr>
          <w:color w:val="000000"/>
          <w:sz w:val="22"/>
        </w:rPr>
      </w:pPr>
    </w:p>
    <w:p w:rsidR="00FF5A61" w:rsidRDefault="00F01BA3" w:rsidP="00F01BA3">
      <w:pPr>
        <w:keepLines/>
        <w:tabs>
          <w:tab w:val="left" w:pos="360"/>
        </w:tabs>
        <w:spacing w:after="80"/>
        <w:ind w:left="360" w:hanging="360"/>
        <w:rPr>
          <w:color w:val="000000"/>
          <w:sz w:val="22"/>
        </w:rPr>
      </w:pPr>
      <w:r>
        <w:rPr>
          <w:color w:val="000000"/>
          <w:sz w:val="22"/>
        </w:rPr>
        <w:tab/>
      </w:r>
      <w:proofErr w:type="gramStart"/>
      <w:r w:rsidR="00B84535">
        <w:rPr>
          <w:color w:val="000000"/>
          <w:sz w:val="22"/>
        </w:rPr>
        <w:t>C</w:t>
      </w:r>
      <w:r w:rsidR="00FF5A61">
        <w:rPr>
          <w:color w:val="000000"/>
          <w:sz w:val="22"/>
        </w:rPr>
        <w:t xml:space="preserve">onsulted with </w:t>
      </w:r>
      <w:r w:rsidR="00B84535">
        <w:rPr>
          <w:color w:val="000000"/>
          <w:sz w:val="22"/>
        </w:rPr>
        <w:t xml:space="preserve">HUD staff </w:t>
      </w:r>
      <w:r w:rsidR="00FF5A61">
        <w:rPr>
          <w:color w:val="000000"/>
          <w:sz w:val="22"/>
        </w:rPr>
        <w:t>from the HUD’s Homeownership Centers on the Request for Acceptance of Changes in Approved Drawings and Specifications, and availability of data and frequency of collection.</w:t>
      </w:r>
      <w:proofErr w:type="gramEnd"/>
      <w:r w:rsidR="00FF5A61">
        <w:rPr>
          <w:color w:val="000000"/>
          <w:sz w:val="22"/>
        </w:rPr>
        <w:t xml:space="preserve">  No changes were recommended or requested.</w:t>
      </w:r>
    </w:p>
    <w:p w:rsidR="00B84535" w:rsidRDefault="000572D1" w:rsidP="00B84535">
      <w:pPr>
        <w:keepLines/>
        <w:numPr>
          <w:ilvl w:val="0"/>
          <w:numId w:val="16"/>
        </w:numPr>
        <w:tabs>
          <w:tab w:val="left" w:pos="360"/>
        </w:tabs>
        <w:spacing w:after="80"/>
        <w:rPr>
          <w:color w:val="000000"/>
          <w:sz w:val="22"/>
        </w:rPr>
      </w:pPr>
      <w:r>
        <w:rPr>
          <w:color w:val="000000"/>
          <w:sz w:val="22"/>
        </w:rPr>
        <w:t>Daniel P. Ellis</w:t>
      </w:r>
      <w:r w:rsidR="00B84535" w:rsidRPr="00B84535">
        <w:rPr>
          <w:color w:val="000000"/>
          <w:sz w:val="22"/>
        </w:rPr>
        <w:t xml:space="preserve">, GA Homeownership Center phone </w:t>
      </w:r>
      <w:r w:rsidR="00B84535">
        <w:rPr>
          <w:color w:val="000000"/>
          <w:sz w:val="22"/>
        </w:rPr>
        <w:t xml:space="preserve">number </w:t>
      </w:r>
      <w:r>
        <w:rPr>
          <w:color w:val="000000"/>
          <w:sz w:val="22"/>
        </w:rPr>
        <w:t>(404) 331-5001 Ext 2073</w:t>
      </w:r>
    </w:p>
    <w:p w:rsidR="00FF5A61" w:rsidRPr="00B84535" w:rsidRDefault="000572D1" w:rsidP="00B84535">
      <w:pPr>
        <w:keepLines/>
        <w:numPr>
          <w:ilvl w:val="0"/>
          <w:numId w:val="16"/>
        </w:numPr>
        <w:tabs>
          <w:tab w:val="left" w:pos="360"/>
        </w:tabs>
        <w:spacing w:after="80"/>
        <w:rPr>
          <w:color w:val="000000"/>
          <w:sz w:val="22"/>
        </w:rPr>
      </w:pPr>
      <w:r>
        <w:rPr>
          <w:color w:val="000000"/>
          <w:sz w:val="22"/>
        </w:rPr>
        <w:t>Krish Raja</w:t>
      </w:r>
      <w:r w:rsidR="00B84535">
        <w:rPr>
          <w:color w:val="000000"/>
          <w:sz w:val="22"/>
        </w:rPr>
        <w:t xml:space="preserve"> Philadelphia, PA Homeownership Ce</w:t>
      </w:r>
      <w:r>
        <w:rPr>
          <w:color w:val="000000"/>
          <w:sz w:val="22"/>
        </w:rPr>
        <w:t>nter phone number (215) 861-7539</w:t>
      </w:r>
    </w:p>
    <w:p w:rsidR="00FF5A61" w:rsidRDefault="000572D1">
      <w:pPr>
        <w:keepLines/>
        <w:numPr>
          <w:ilvl w:val="0"/>
          <w:numId w:val="16"/>
        </w:numPr>
        <w:tabs>
          <w:tab w:val="left" w:pos="360"/>
        </w:tabs>
        <w:spacing w:after="80"/>
        <w:rPr>
          <w:color w:val="000000"/>
          <w:sz w:val="22"/>
        </w:rPr>
      </w:pPr>
      <w:r>
        <w:rPr>
          <w:color w:val="000000"/>
          <w:sz w:val="22"/>
        </w:rPr>
        <w:t>Bill Schuler</w:t>
      </w:r>
      <w:r w:rsidR="009D5005">
        <w:rPr>
          <w:color w:val="000000"/>
          <w:sz w:val="22"/>
        </w:rPr>
        <w:t xml:space="preserve"> Santa Ana, CA Homeownership Center Phone</w:t>
      </w:r>
      <w:r>
        <w:rPr>
          <w:color w:val="000000"/>
          <w:sz w:val="22"/>
        </w:rPr>
        <w:t xml:space="preserve"> number ( 714) 796-1200 Ext 3449</w:t>
      </w:r>
    </w:p>
    <w:p w:rsidR="000572D1" w:rsidRDefault="000572D1">
      <w:pPr>
        <w:keepLines/>
        <w:numPr>
          <w:ilvl w:val="0"/>
          <w:numId w:val="16"/>
        </w:numPr>
        <w:tabs>
          <w:tab w:val="left" w:pos="360"/>
        </w:tabs>
        <w:spacing w:after="80"/>
        <w:rPr>
          <w:color w:val="000000"/>
          <w:sz w:val="22"/>
        </w:rPr>
      </w:pPr>
      <w:r>
        <w:rPr>
          <w:color w:val="000000"/>
          <w:sz w:val="22"/>
        </w:rPr>
        <w:t xml:space="preserve">Andrew Eckel, Denver, Co Homeownership Center Phone number </w:t>
      </w:r>
      <w:r w:rsidRPr="000572D1">
        <w:rPr>
          <w:sz w:val="22"/>
          <w:szCs w:val="22"/>
        </w:rPr>
        <w:t>(303)675-1635</w:t>
      </w:r>
      <w:r>
        <w:rPr>
          <w:color w:val="1F497D"/>
        </w:rPr>
        <w:t xml:space="preserve"> </w:t>
      </w:r>
      <w:r>
        <w:rPr>
          <w:color w:val="000000"/>
          <w:sz w:val="22"/>
        </w:rPr>
        <w:t xml:space="preserve"> </w:t>
      </w:r>
    </w:p>
    <w:p w:rsidR="00FF5A61" w:rsidRDefault="00FF5A61">
      <w:pPr>
        <w:tabs>
          <w:tab w:val="left" w:pos="360"/>
        </w:tabs>
        <w:ind w:left="360" w:hanging="360"/>
        <w:rPr>
          <w:color w:val="000000"/>
          <w:sz w:val="22"/>
        </w:rPr>
      </w:pPr>
    </w:p>
    <w:p w:rsidR="00FF5A61" w:rsidRDefault="00FF5A61">
      <w:pPr>
        <w:keepLines/>
        <w:tabs>
          <w:tab w:val="left" w:pos="360"/>
        </w:tabs>
        <w:spacing w:after="80"/>
        <w:ind w:left="360" w:hanging="360"/>
        <w:rPr>
          <w:color w:val="000000"/>
          <w:sz w:val="22"/>
        </w:rPr>
      </w:pPr>
      <w:r>
        <w:rPr>
          <w:color w:val="000000"/>
          <w:sz w:val="22"/>
        </w:rPr>
        <w:t>9.</w:t>
      </w:r>
      <w:r>
        <w:rPr>
          <w:color w:val="000000"/>
          <w:sz w:val="22"/>
        </w:rPr>
        <w:tab/>
        <w:t xml:space="preserve">There </w:t>
      </w:r>
      <w:r w:rsidR="00C11822">
        <w:rPr>
          <w:color w:val="000000"/>
          <w:sz w:val="22"/>
        </w:rPr>
        <w:t>are no payments or gifts to respondents involved</w:t>
      </w:r>
      <w:r>
        <w:rPr>
          <w:color w:val="000000"/>
          <w:sz w:val="22"/>
        </w:rPr>
        <w:t>.</w:t>
      </w:r>
    </w:p>
    <w:p w:rsidR="00FF5A61" w:rsidRDefault="00FF5A61">
      <w:pPr>
        <w:tabs>
          <w:tab w:val="left" w:pos="360"/>
        </w:tabs>
        <w:ind w:left="360" w:hanging="360"/>
        <w:rPr>
          <w:color w:val="000000"/>
          <w:sz w:val="22"/>
        </w:rPr>
      </w:pPr>
    </w:p>
    <w:p w:rsidR="00FF5A61" w:rsidRDefault="00FF5A61">
      <w:pPr>
        <w:keepLines/>
        <w:tabs>
          <w:tab w:val="left" w:pos="360"/>
        </w:tabs>
        <w:spacing w:after="80"/>
        <w:ind w:left="360" w:hanging="360"/>
        <w:rPr>
          <w:color w:val="000000"/>
          <w:sz w:val="22"/>
        </w:rPr>
      </w:pPr>
      <w:r>
        <w:rPr>
          <w:color w:val="000000"/>
          <w:sz w:val="22"/>
        </w:rPr>
        <w:t>10.</w:t>
      </w:r>
      <w:r>
        <w:rPr>
          <w:color w:val="000000"/>
          <w:sz w:val="22"/>
        </w:rPr>
        <w:tab/>
        <w:t>The information is part of the underwriting package and is not confidential.</w:t>
      </w:r>
    </w:p>
    <w:p w:rsidR="00FF5A61" w:rsidRDefault="00FF5A61">
      <w:pPr>
        <w:tabs>
          <w:tab w:val="left" w:pos="360"/>
        </w:tabs>
        <w:ind w:left="360" w:hanging="360"/>
        <w:rPr>
          <w:color w:val="000000"/>
          <w:sz w:val="22"/>
        </w:rPr>
      </w:pPr>
    </w:p>
    <w:p w:rsidR="00FF5A61" w:rsidRDefault="00FF5A61">
      <w:pPr>
        <w:keepLines/>
        <w:tabs>
          <w:tab w:val="left" w:pos="360"/>
          <w:tab w:val="left" w:pos="720"/>
        </w:tabs>
        <w:ind w:left="360" w:hanging="360"/>
        <w:rPr>
          <w:color w:val="000000"/>
          <w:sz w:val="22"/>
        </w:rPr>
      </w:pPr>
      <w:r>
        <w:rPr>
          <w:color w:val="000000"/>
          <w:sz w:val="22"/>
        </w:rPr>
        <w:t>11.</w:t>
      </w:r>
      <w:r>
        <w:rPr>
          <w:color w:val="000000"/>
          <w:sz w:val="22"/>
        </w:rPr>
        <w:tab/>
        <w:t xml:space="preserve">There are no questions of a sensitive nature involved in this collection.  </w:t>
      </w:r>
    </w:p>
    <w:p w:rsidR="00FF5A61" w:rsidRDefault="00FF5A61">
      <w:pPr>
        <w:keepLines/>
        <w:tabs>
          <w:tab w:val="left" w:pos="480"/>
        </w:tabs>
        <w:spacing w:after="80"/>
        <w:rPr>
          <w:color w:val="000000"/>
          <w:sz w:val="22"/>
        </w:rPr>
      </w:pPr>
    </w:p>
    <w:p w:rsidR="00FF5A61" w:rsidRDefault="00FF5A61">
      <w:pPr>
        <w:pStyle w:val="BodyTextInden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480"/>
        </w:tabs>
        <w:spacing w:after="80"/>
      </w:pPr>
      <w:r>
        <w:t>12.</w:t>
      </w:r>
      <w:r>
        <w:tab/>
        <w:t xml:space="preserve">The </w:t>
      </w:r>
      <w:r w:rsidR="000572D1">
        <w:t>consultant</w:t>
      </w:r>
      <w:r>
        <w:t xml:space="preserve"> will average about 20 minutes to complete the Request For Acceptance of Changes in Approved Drawings and Specifications (form HUD-92577) using information and data the </w:t>
      </w:r>
      <w:r w:rsidR="000572D1">
        <w:t xml:space="preserve">contractor </w:t>
      </w:r>
      <w:r>
        <w:t xml:space="preserve">provides </w:t>
      </w:r>
      <w:r w:rsidR="000572D1">
        <w:t>at</w:t>
      </w:r>
      <w:r>
        <w:t xml:space="preserve"> the start of construction.  The lender’s review of the information is estimated to require approximately 10 minutes.  The total burden per response is about 30 minutes.</w:t>
      </w:r>
    </w:p>
    <w:p w:rsidR="00FF5A61" w:rsidRDefault="00FF5A61">
      <w:pPr>
        <w:pStyle w:val="BodyTextIndent"/>
        <w:rPr>
          <w:color w:val="auto"/>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0"/>
        <w:gridCol w:w="1307"/>
        <w:gridCol w:w="1350"/>
        <w:gridCol w:w="1346"/>
        <w:gridCol w:w="1326"/>
        <w:gridCol w:w="1283"/>
        <w:gridCol w:w="1326"/>
        <w:gridCol w:w="1182"/>
      </w:tblGrid>
      <w:tr w:rsidR="00FF5A61">
        <w:tc>
          <w:tcPr>
            <w:tcW w:w="1320" w:type="dxa"/>
          </w:tcPr>
          <w:p w:rsidR="00FF5A61" w:rsidRDefault="00FF5A61">
            <w:pPr>
              <w:jc w:val="center"/>
              <w:rPr>
                <w:rFonts w:ascii="Arial" w:hAnsi="Arial" w:cs="Arial"/>
                <w:color w:val="000000"/>
                <w:sz w:val="18"/>
              </w:rPr>
            </w:pPr>
            <w:r>
              <w:rPr>
                <w:rFonts w:ascii="Arial" w:hAnsi="Arial" w:cs="Arial"/>
                <w:color w:val="000000"/>
                <w:sz w:val="18"/>
              </w:rPr>
              <w:t>Information Collection</w:t>
            </w:r>
          </w:p>
        </w:tc>
        <w:tc>
          <w:tcPr>
            <w:tcW w:w="1307" w:type="dxa"/>
          </w:tcPr>
          <w:p w:rsidR="00FF5A61" w:rsidRDefault="00FF5A61">
            <w:pPr>
              <w:jc w:val="center"/>
              <w:rPr>
                <w:rFonts w:ascii="Arial" w:hAnsi="Arial" w:cs="Arial"/>
                <w:color w:val="000000"/>
                <w:sz w:val="18"/>
              </w:rPr>
            </w:pPr>
            <w:r>
              <w:rPr>
                <w:rFonts w:ascii="Arial" w:hAnsi="Arial" w:cs="Arial"/>
                <w:color w:val="000000"/>
                <w:sz w:val="18"/>
              </w:rPr>
              <w:t>Number of Respondents</w:t>
            </w:r>
          </w:p>
        </w:tc>
        <w:tc>
          <w:tcPr>
            <w:tcW w:w="1350" w:type="dxa"/>
          </w:tcPr>
          <w:p w:rsidR="00FF5A61" w:rsidRDefault="00FF5A61">
            <w:pPr>
              <w:jc w:val="center"/>
              <w:rPr>
                <w:rFonts w:ascii="Arial" w:hAnsi="Arial" w:cs="Arial"/>
                <w:color w:val="000000"/>
                <w:sz w:val="18"/>
              </w:rPr>
            </w:pPr>
            <w:r>
              <w:rPr>
                <w:rFonts w:ascii="Arial" w:hAnsi="Arial" w:cs="Arial"/>
                <w:color w:val="000000"/>
                <w:sz w:val="18"/>
              </w:rPr>
              <w:t>Frequency of Response</w:t>
            </w:r>
          </w:p>
        </w:tc>
        <w:tc>
          <w:tcPr>
            <w:tcW w:w="1346" w:type="dxa"/>
          </w:tcPr>
          <w:p w:rsidR="00FF5A61" w:rsidRDefault="00FF5A61">
            <w:pPr>
              <w:jc w:val="center"/>
              <w:rPr>
                <w:rFonts w:ascii="Arial" w:hAnsi="Arial" w:cs="Arial"/>
                <w:color w:val="000000"/>
                <w:sz w:val="18"/>
              </w:rPr>
            </w:pPr>
            <w:r>
              <w:rPr>
                <w:rFonts w:ascii="Arial" w:hAnsi="Arial" w:cs="Arial"/>
                <w:color w:val="000000"/>
                <w:sz w:val="18"/>
              </w:rPr>
              <w:t>Responses</w:t>
            </w:r>
          </w:p>
          <w:p w:rsidR="00FF5A61" w:rsidRDefault="00FF5A61">
            <w:pPr>
              <w:jc w:val="center"/>
              <w:rPr>
                <w:rFonts w:ascii="Arial" w:hAnsi="Arial" w:cs="Arial"/>
                <w:color w:val="000000"/>
                <w:sz w:val="18"/>
              </w:rPr>
            </w:pPr>
            <w:r>
              <w:rPr>
                <w:rFonts w:ascii="Arial" w:hAnsi="Arial" w:cs="Arial"/>
                <w:color w:val="000000"/>
                <w:sz w:val="18"/>
              </w:rPr>
              <w:t>Per Annum</w:t>
            </w:r>
          </w:p>
        </w:tc>
        <w:tc>
          <w:tcPr>
            <w:tcW w:w="1326" w:type="dxa"/>
          </w:tcPr>
          <w:p w:rsidR="00FF5A61" w:rsidRDefault="00FF5A61">
            <w:pPr>
              <w:jc w:val="center"/>
              <w:rPr>
                <w:rFonts w:ascii="Arial" w:hAnsi="Arial" w:cs="Arial"/>
                <w:color w:val="000000"/>
                <w:sz w:val="18"/>
              </w:rPr>
            </w:pPr>
            <w:r>
              <w:rPr>
                <w:rFonts w:ascii="Arial" w:hAnsi="Arial" w:cs="Arial"/>
                <w:color w:val="000000"/>
                <w:sz w:val="18"/>
              </w:rPr>
              <w:t>Burden Hour Per Response</w:t>
            </w:r>
          </w:p>
        </w:tc>
        <w:tc>
          <w:tcPr>
            <w:tcW w:w="1283" w:type="dxa"/>
          </w:tcPr>
          <w:p w:rsidR="00FF5A61" w:rsidRDefault="00FF5A61">
            <w:pPr>
              <w:jc w:val="center"/>
              <w:rPr>
                <w:rFonts w:ascii="Arial" w:hAnsi="Arial" w:cs="Arial"/>
                <w:color w:val="000000"/>
                <w:sz w:val="18"/>
              </w:rPr>
            </w:pPr>
            <w:r>
              <w:rPr>
                <w:rFonts w:ascii="Arial" w:hAnsi="Arial" w:cs="Arial"/>
                <w:color w:val="000000"/>
                <w:sz w:val="18"/>
              </w:rPr>
              <w:t>Annual Burden Hours</w:t>
            </w:r>
          </w:p>
        </w:tc>
        <w:tc>
          <w:tcPr>
            <w:tcW w:w="1326" w:type="dxa"/>
          </w:tcPr>
          <w:p w:rsidR="00FF5A61" w:rsidRDefault="00FF5A61">
            <w:pPr>
              <w:jc w:val="center"/>
              <w:rPr>
                <w:rFonts w:ascii="Arial" w:hAnsi="Arial" w:cs="Arial"/>
                <w:color w:val="000000"/>
                <w:sz w:val="18"/>
              </w:rPr>
            </w:pPr>
            <w:r>
              <w:rPr>
                <w:rFonts w:ascii="Arial" w:hAnsi="Arial" w:cs="Arial"/>
                <w:color w:val="000000"/>
                <w:sz w:val="18"/>
              </w:rPr>
              <w:t>Hourly Cost Per Response</w:t>
            </w:r>
          </w:p>
        </w:tc>
        <w:tc>
          <w:tcPr>
            <w:tcW w:w="1182" w:type="dxa"/>
          </w:tcPr>
          <w:p w:rsidR="00FF5A61" w:rsidRDefault="00FF5A61">
            <w:pPr>
              <w:jc w:val="center"/>
              <w:rPr>
                <w:rFonts w:ascii="Arial" w:hAnsi="Arial" w:cs="Arial"/>
                <w:color w:val="000000"/>
                <w:sz w:val="18"/>
              </w:rPr>
            </w:pPr>
            <w:r>
              <w:rPr>
                <w:rFonts w:ascii="Arial" w:hAnsi="Arial" w:cs="Arial"/>
                <w:color w:val="000000"/>
                <w:sz w:val="18"/>
              </w:rPr>
              <w:t>Annual Cost</w:t>
            </w:r>
          </w:p>
          <w:p w:rsidR="00FF5A61" w:rsidRDefault="00FF5A61">
            <w:pPr>
              <w:jc w:val="center"/>
              <w:rPr>
                <w:rFonts w:ascii="Arial" w:hAnsi="Arial" w:cs="Arial"/>
                <w:color w:val="000000"/>
                <w:sz w:val="18"/>
              </w:rPr>
            </w:pPr>
          </w:p>
        </w:tc>
      </w:tr>
      <w:tr w:rsidR="00FF5A61">
        <w:tc>
          <w:tcPr>
            <w:tcW w:w="1320" w:type="dxa"/>
          </w:tcPr>
          <w:p w:rsidR="00FF5A61" w:rsidRDefault="00FF5A61">
            <w:pPr>
              <w:spacing w:before="60"/>
              <w:rPr>
                <w:rFonts w:ascii="Arial" w:hAnsi="Arial" w:cs="Arial"/>
                <w:b/>
                <w:bCs/>
                <w:color w:val="000000"/>
                <w:sz w:val="18"/>
              </w:rPr>
            </w:pPr>
            <w:r>
              <w:rPr>
                <w:rFonts w:ascii="Arial" w:hAnsi="Arial" w:cs="Arial"/>
                <w:b/>
                <w:bCs/>
                <w:color w:val="000000"/>
                <w:sz w:val="18"/>
              </w:rPr>
              <w:t>HUD-92577</w:t>
            </w:r>
          </w:p>
        </w:tc>
        <w:tc>
          <w:tcPr>
            <w:tcW w:w="1307" w:type="dxa"/>
          </w:tcPr>
          <w:p w:rsidR="00FF5A61" w:rsidRDefault="000572D1">
            <w:pPr>
              <w:spacing w:before="60"/>
              <w:jc w:val="center"/>
              <w:rPr>
                <w:rFonts w:ascii="Arial" w:hAnsi="Arial" w:cs="Arial"/>
                <w:b/>
                <w:bCs/>
                <w:color w:val="000000"/>
                <w:sz w:val="18"/>
              </w:rPr>
            </w:pPr>
            <w:r>
              <w:rPr>
                <w:rFonts w:ascii="Arial" w:hAnsi="Arial" w:cs="Arial"/>
                <w:b/>
                <w:bCs/>
                <w:color w:val="000000"/>
                <w:sz w:val="18"/>
              </w:rPr>
              <w:t>7,500</w:t>
            </w:r>
          </w:p>
        </w:tc>
        <w:tc>
          <w:tcPr>
            <w:tcW w:w="1350" w:type="dxa"/>
          </w:tcPr>
          <w:p w:rsidR="00FF5A61" w:rsidRDefault="00FF5A61">
            <w:pPr>
              <w:spacing w:before="60"/>
              <w:jc w:val="center"/>
              <w:rPr>
                <w:rFonts w:ascii="Arial" w:hAnsi="Arial" w:cs="Arial"/>
                <w:b/>
                <w:bCs/>
                <w:color w:val="000000"/>
                <w:sz w:val="18"/>
              </w:rPr>
            </w:pPr>
            <w:r>
              <w:rPr>
                <w:rFonts w:ascii="Arial" w:hAnsi="Arial" w:cs="Arial"/>
                <w:b/>
                <w:bCs/>
                <w:color w:val="000000"/>
                <w:sz w:val="18"/>
              </w:rPr>
              <w:t>1</w:t>
            </w:r>
          </w:p>
        </w:tc>
        <w:tc>
          <w:tcPr>
            <w:tcW w:w="1346" w:type="dxa"/>
          </w:tcPr>
          <w:p w:rsidR="00FF5A61" w:rsidRDefault="000572D1">
            <w:pPr>
              <w:spacing w:before="60"/>
              <w:jc w:val="center"/>
              <w:rPr>
                <w:rFonts w:ascii="Arial" w:hAnsi="Arial" w:cs="Arial"/>
                <w:b/>
                <w:bCs/>
                <w:color w:val="000000"/>
                <w:sz w:val="18"/>
              </w:rPr>
            </w:pPr>
            <w:r>
              <w:rPr>
                <w:rFonts w:ascii="Arial" w:hAnsi="Arial" w:cs="Arial"/>
                <w:b/>
                <w:bCs/>
                <w:color w:val="000000"/>
                <w:sz w:val="18"/>
              </w:rPr>
              <w:t>7,500</w:t>
            </w:r>
          </w:p>
        </w:tc>
        <w:tc>
          <w:tcPr>
            <w:tcW w:w="1326" w:type="dxa"/>
          </w:tcPr>
          <w:p w:rsidR="00FF5A61" w:rsidRDefault="00FF5A61">
            <w:pPr>
              <w:spacing w:before="60"/>
              <w:jc w:val="center"/>
              <w:rPr>
                <w:rFonts w:ascii="Arial" w:hAnsi="Arial" w:cs="Arial"/>
                <w:b/>
                <w:bCs/>
                <w:color w:val="000000"/>
                <w:sz w:val="18"/>
              </w:rPr>
            </w:pPr>
            <w:r>
              <w:rPr>
                <w:rFonts w:ascii="Arial" w:hAnsi="Arial" w:cs="Arial"/>
                <w:b/>
                <w:bCs/>
                <w:color w:val="000000"/>
                <w:sz w:val="18"/>
              </w:rPr>
              <w:t>.50</w:t>
            </w:r>
          </w:p>
        </w:tc>
        <w:tc>
          <w:tcPr>
            <w:tcW w:w="1283" w:type="dxa"/>
          </w:tcPr>
          <w:p w:rsidR="00FF5A61" w:rsidRDefault="000572D1">
            <w:pPr>
              <w:spacing w:before="60"/>
              <w:jc w:val="center"/>
              <w:rPr>
                <w:rFonts w:ascii="Arial" w:hAnsi="Arial" w:cs="Arial"/>
                <w:b/>
                <w:bCs/>
                <w:color w:val="000000"/>
                <w:sz w:val="18"/>
              </w:rPr>
            </w:pPr>
            <w:r>
              <w:rPr>
                <w:rFonts w:ascii="Arial" w:hAnsi="Arial" w:cs="Arial"/>
                <w:b/>
                <w:bCs/>
                <w:color w:val="000000"/>
                <w:sz w:val="18"/>
              </w:rPr>
              <w:t>3,750</w:t>
            </w:r>
          </w:p>
        </w:tc>
        <w:tc>
          <w:tcPr>
            <w:tcW w:w="1326" w:type="dxa"/>
          </w:tcPr>
          <w:p w:rsidR="00FF5A61" w:rsidRDefault="00FF5A61" w:rsidP="009D5005">
            <w:pPr>
              <w:spacing w:before="60"/>
              <w:jc w:val="right"/>
              <w:rPr>
                <w:rFonts w:ascii="Arial" w:hAnsi="Arial" w:cs="Arial"/>
                <w:b/>
                <w:bCs/>
                <w:color w:val="000000"/>
                <w:sz w:val="18"/>
              </w:rPr>
            </w:pPr>
            <w:r>
              <w:rPr>
                <w:rFonts w:ascii="Arial" w:hAnsi="Arial" w:cs="Arial"/>
                <w:b/>
                <w:bCs/>
                <w:color w:val="000000"/>
                <w:sz w:val="18"/>
              </w:rPr>
              <w:t>$3</w:t>
            </w:r>
            <w:r w:rsidR="009D5005">
              <w:rPr>
                <w:rFonts w:ascii="Arial" w:hAnsi="Arial" w:cs="Arial"/>
                <w:b/>
                <w:bCs/>
                <w:color w:val="000000"/>
                <w:sz w:val="18"/>
              </w:rPr>
              <w:t>5</w:t>
            </w:r>
            <w:r>
              <w:rPr>
                <w:rFonts w:ascii="Arial" w:hAnsi="Arial" w:cs="Arial"/>
                <w:b/>
                <w:bCs/>
                <w:color w:val="000000"/>
                <w:sz w:val="18"/>
              </w:rPr>
              <w:t>.00</w:t>
            </w:r>
          </w:p>
        </w:tc>
        <w:tc>
          <w:tcPr>
            <w:tcW w:w="1182" w:type="dxa"/>
          </w:tcPr>
          <w:p w:rsidR="00FF5A61" w:rsidRDefault="00FF5A61" w:rsidP="000572D1">
            <w:pPr>
              <w:spacing w:before="60"/>
              <w:jc w:val="right"/>
              <w:rPr>
                <w:rFonts w:ascii="Arial" w:hAnsi="Arial" w:cs="Arial"/>
                <w:b/>
                <w:bCs/>
                <w:color w:val="000000"/>
                <w:sz w:val="18"/>
              </w:rPr>
            </w:pPr>
            <w:r>
              <w:rPr>
                <w:rFonts w:ascii="Arial" w:hAnsi="Arial" w:cs="Arial"/>
                <w:b/>
                <w:bCs/>
                <w:color w:val="000000"/>
                <w:sz w:val="18"/>
              </w:rPr>
              <w:t>$</w:t>
            </w:r>
            <w:r w:rsidR="009D5005">
              <w:rPr>
                <w:rFonts w:ascii="Arial" w:hAnsi="Arial" w:cs="Arial"/>
                <w:b/>
                <w:bCs/>
                <w:color w:val="000000"/>
                <w:sz w:val="18"/>
              </w:rPr>
              <w:t>1</w:t>
            </w:r>
            <w:r w:rsidR="000572D1">
              <w:rPr>
                <w:rFonts w:ascii="Arial" w:hAnsi="Arial" w:cs="Arial"/>
                <w:b/>
                <w:bCs/>
                <w:color w:val="000000"/>
                <w:sz w:val="18"/>
              </w:rPr>
              <w:t>31,250</w:t>
            </w:r>
          </w:p>
        </w:tc>
      </w:tr>
    </w:tbl>
    <w:p w:rsidR="00FF5A61" w:rsidRDefault="00FF5A61">
      <w:pPr>
        <w:tabs>
          <w:tab w:val="left" w:pos="360"/>
        </w:tabs>
        <w:ind w:left="360" w:hanging="360"/>
        <w:rPr>
          <w:color w:val="000000"/>
          <w:sz w:val="18"/>
        </w:rPr>
      </w:pPr>
      <w:r>
        <w:rPr>
          <w:color w:val="000000"/>
          <w:sz w:val="22"/>
        </w:rPr>
        <w:tab/>
      </w:r>
      <w:r>
        <w:rPr>
          <w:color w:val="000000"/>
          <w:sz w:val="18"/>
        </w:rPr>
        <w:t>*The hourly cost is based on the builder and lender’s completion and review of form HUD-92577</w:t>
      </w:r>
    </w:p>
    <w:p w:rsidR="00FF5A61" w:rsidRDefault="00FF5A61">
      <w:pPr>
        <w:tabs>
          <w:tab w:val="left" w:pos="360"/>
        </w:tabs>
        <w:ind w:left="360" w:hanging="360"/>
        <w:rPr>
          <w:color w:val="000000"/>
          <w:sz w:val="22"/>
        </w:rPr>
      </w:pPr>
    </w:p>
    <w:p w:rsidR="00FF5A61" w:rsidRDefault="00FF5A61">
      <w:pPr>
        <w:tabs>
          <w:tab w:val="left" w:pos="360"/>
        </w:tabs>
        <w:ind w:left="360" w:hanging="360"/>
        <w:rPr>
          <w:color w:val="000000"/>
          <w:sz w:val="22"/>
        </w:rPr>
      </w:pPr>
      <w:r>
        <w:rPr>
          <w:color w:val="000000"/>
          <w:sz w:val="22"/>
        </w:rPr>
        <w:t>13.</w:t>
      </w:r>
      <w:r>
        <w:rPr>
          <w:color w:val="000000"/>
          <w:sz w:val="22"/>
        </w:rPr>
        <w:tab/>
        <w:t>There are no additional costs to the respondents.</w:t>
      </w:r>
    </w:p>
    <w:p w:rsidR="00FF5A61" w:rsidRDefault="00FF5A61">
      <w:pPr>
        <w:tabs>
          <w:tab w:val="left" w:pos="360"/>
        </w:tabs>
        <w:ind w:left="360" w:hanging="360"/>
        <w:rPr>
          <w:color w:val="000000"/>
          <w:sz w:val="22"/>
        </w:rPr>
      </w:pPr>
    </w:p>
    <w:p w:rsidR="00FF5A61" w:rsidRDefault="00FF5A61">
      <w:pPr>
        <w:keepLines/>
        <w:tabs>
          <w:tab w:val="left" w:pos="360"/>
        </w:tabs>
        <w:spacing w:after="80"/>
        <w:ind w:left="360" w:hanging="360"/>
        <w:rPr>
          <w:color w:val="000000"/>
          <w:sz w:val="22"/>
        </w:rPr>
      </w:pPr>
      <w:r>
        <w:rPr>
          <w:color w:val="000000"/>
          <w:sz w:val="22"/>
        </w:rPr>
        <w:t>14.</w:t>
      </w:r>
      <w:r>
        <w:rPr>
          <w:color w:val="000000"/>
          <w:sz w:val="22"/>
        </w:rPr>
        <w:tab/>
        <w:t>There are minimal costs to the Federal Government because the lender is responsible for reviewing the information.  HUD’s review/approval takes only a few minutes.</w:t>
      </w:r>
    </w:p>
    <w:p w:rsidR="004645D3" w:rsidRDefault="004645D3">
      <w:pPr>
        <w:overflowPunct/>
        <w:autoSpaceDE/>
        <w:autoSpaceDN/>
        <w:adjustRightInd/>
        <w:textAlignment w:val="auto"/>
        <w:rPr>
          <w:color w:val="000000"/>
          <w:sz w:val="22"/>
        </w:rPr>
      </w:pPr>
      <w:r>
        <w:rPr>
          <w:color w:val="000000"/>
          <w:sz w:val="22"/>
        </w:rPr>
        <w:br w:type="page"/>
      </w:r>
    </w:p>
    <w:p w:rsidR="00FF5A61" w:rsidRDefault="00FF5A61">
      <w:pPr>
        <w:keepLines/>
        <w:tabs>
          <w:tab w:val="left" w:pos="360"/>
        </w:tabs>
        <w:spacing w:after="80"/>
        <w:rPr>
          <w:color w:val="000000"/>
          <w:sz w:val="22"/>
        </w:rPr>
      </w:pPr>
    </w:p>
    <w:p w:rsidR="00897E0F" w:rsidRDefault="00897E0F">
      <w:pPr>
        <w:keepLines/>
        <w:tabs>
          <w:tab w:val="left" w:pos="360"/>
        </w:tabs>
        <w:spacing w:after="80"/>
        <w:rPr>
          <w:color w:val="000000"/>
          <w:sz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0"/>
        <w:gridCol w:w="1307"/>
        <w:gridCol w:w="1350"/>
        <w:gridCol w:w="1346"/>
        <w:gridCol w:w="1326"/>
        <w:gridCol w:w="1283"/>
        <w:gridCol w:w="1326"/>
        <w:gridCol w:w="1182"/>
      </w:tblGrid>
      <w:tr w:rsidR="00FF5A61">
        <w:tc>
          <w:tcPr>
            <w:tcW w:w="1320" w:type="dxa"/>
          </w:tcPr>
          <w:p w:rsidR="00FF5A61" w:rsidRDefault="00FF5A61">
            <w:pPr>
              <w:jc w:val="center"/>
              <w:rPr>
                <w:rFonts w:ascii="Arial" w:hAnsi="Arial" w:cs="Arial"/>
                <w:color w:val="000000"/>
                <w:sz w:val="18"/>
              </w:rPr>
            </w:pPr>
            <w:r>
              <w:rPr>
                <w:rFonts w:ascii="Arial" w:hAnsi="Arial" w:cs="Arial"/>
                <w:color w:val="000000"/>
                <w:sz w:val="18"/>
              </w:rPr>
              <w:t>Information Collection</w:t>
            </w:r>
          </w:p>
        </w:tc>
        <w:tc>
          <w:tcPr>
            <w:tcW w:w="1307" w:type="dxa"/>
          </w:tcPr>
          <w:p w:rsidR="00FF5A61" w:rsidRDefault="00FF5A61">
            <w:pPr>
              <w:jc w:val="center"/>
              <w:rPr>
                <w:rFonts w:ascii="Arial" w:hAnsi="Arial" w:cs="Arial"/>
                <w:color w:val="000000"/>
                <w:sz w:val="18"/>
              </w:rPr>
            </w:pPr>
            <w:r>
              <w:rPr>
                <w:rFonts w:ascii="Arial" w:hAnsi="Arial" w:cs="Arial"/>
                <w:color w:val="000000"/>
                <w:sz w:val="18"/>
              </w:rPr>
              <w:t>Number of Respondents</w:t>
            </w:r>
          </w:p>
        </w:tc>
        <w:tc>
          <w:tcPr>
            <w:tcW w:w="1350" w:type="dxa"/>
          </w:tcPr>
          <w:p w:rsidR="00FF5A61" w:rsidRDefault="00FF5A61">
            <w:pPr>
              <w:jc w:val="center"/>
              <w:rPr>
                <w:rFonts w:ascii="Arial" w:hAnsi="Arial" w:cs="Arial"/>
                <w:color w:val="000000"/>
                <w:sz w:val="18"/>
              </w:rPr>
            </w:pPr>
            <w:r>
              <w:rPr>
                <w:rFonts w:ascii="Arial" w:hAnsi="Arial" w:cs="Arial"/>
                <w:color w:val="000000"/>
                <w:sz w:val="18"/>
              </w:rPr>
              <w:t>Frequency of Response</w:t>
            </w:r>
          </w:p>
        </w:tc>
        <w:tc>
          <w:tcPr>
            <w:tcW w:w="1346" w:type="dxa"/>
          </w:tcPr>
          <w:p w:rsidR="00FF5A61" w:rsidRDefault="00FF5A61">
            <w:pPr>
              <w:jc w:val="center"/>
              <w:rPr>
                <w:rFonts w:ascii="Arial" w:hAnsi="Arial" w:cs="Arial"/>
                <w:color w:val="000000"/>
                <w:sz w:val="18"/>
              </w:rPr>
            </w:pPr>
            <w:r>
              <w:rPr>
                <w:rFonts w:ascii="Arial" w:hAnsi="Arial" w:cs="Arial"/>
                <w:color w:val="000000"/>
                <w:sz w:val="18"/>
              </w:rPr>
              <w:t>Responses</w:t>
            </w:r>
          </w:p>
          <w:p w:rsidR="00FF5A61" w:rsidRDefault="00FF5A61">
            <w:pPr>
              <w:jc w:val="center"/>
              <w:rPr>
                <w:rFonts w:ascii="Arial" w:hAnsi="Arial" w:cs="Arial"/>
                <w:color w:val="000000"/>
                <w:sz w:val="18"/>
              </w:rPr>
            </w:pPr>
            <w:r>
              <w:rPr>
                <w:rFonts w:ascii="Arial" w:hAnsi="Arial" w:cs="Arial"/>
                <w:color w:val="000000"/>
                <w:sz w:val="18"/>
              </w:rPr>
              <w:t>Per Annum</w:t>
            </w:r>
          </w:p>
        </w:tc>
        <w:tc>
          <w:tcPr>
            <w:tcW w:w="1326" w:type="dxa"/>
          </w:tcPr>
          <w:p w:rsidR="00FF5A61" w:rsidRDefault="00FF5A61">
            <w:pPr>
              <w:jc w:val="center"/>
              <w:rPr>
                <w:rFonts w:ascii="Arial" w:hAnsi="Arial" w:cs="Arial"/>
                <w:color w:val="000000"/>
                <w:sz w:val="18"/>
              </w:rPr>
            </w:pPr>
            <w:r>
              <w:rPr>
                <w:rFonts w:ascii="Arial" w:hAnsi="Arial" w:cs="Arial"/>
                <w:color w:val="000000"/>
                <w:sz w:val="18"/>
              </w:rPr>
              <w:t>Burden Hour Per Response</w:t>
            </w:r>
          </w:p>
        </w:tc>
        <w:tc>
          <w:tcPr>
            <w:tcW w:w="1283" w:type="dxa"/>
          </w:tcPr>
          <w:p w:rsidR="00FF5A61" w:rsidRDefault="00FF5A61">
            <w:pPr>
              <w:jc w:val="center"/>
              <w:rPr>
                <w:rFonts w:ascii="Arial" w:hAnsi="Arial" w:cs="Arial"/>
                <w:color w:val="000000"/>
                <w:sz w:val="18"/>
              </w:rPr>
            </w:pPr>
            <w:r>
              <w:rPr>
                <w:rFonts w:ascii="Arial" w:hAnsi="Arial" w:cs="Arial"/>
                <w:color w:val="000000"/>
                <w:sz w:val="18"/>
              </w:rPr>
              <w:t>Annual Burden Hours</w:t>
            </w:r>
          </w:p>
        </w:tc>
        <w:tc>
          <w:tcPr>
            <w:tcW w:w="1326" w:type="dxa"/>
          </w:tcPr>
          <w:p w:rsidR="00FF5A61" w:rsidRDefault="00FF5A61">
            <w:pPr>
              <w:jc w:val="center"/>
              <w:rPr>
                <w:rFonts w:ascii="Arial" w:hAnsi="Arial" w:cs="Arial"/>
                <w:color w:val="000000"/>
                <w:sz w:val="18"/>
              </w:rPr>
            </w:pPr>
            <w:r>
              <w:rPr>
                <w:rFonts w:ascii="Arial" w:hAnsi="Arial" w:cs="Arial"/>
                <w:color w:val="000000"/>
                <w:sz w:val="18"/>
              </w:rPr>
              <w:t>Hourly Cost Per Response</w:t>
            </w:r>
          </w:p>
        </w:tc>
        <w:tc>
          <w:tcPr>
            <w:tcW w:w="1182" w:type="dxa"/>
          </w:tcPr>
          <w:p w:rsidR="00FF5A61" w:rsidRDefault="00FF5A61">
            <w:pPr>
              <w:jc w:val="center"/>
              <w:rPr>
                <w:rFonts w:ascii="Arial" w:hAnsi="Arial" w:cs="Arial"/>
                <w:color w:val="000000"/>
                <w:sz w:val="18"/>
              </w:rPr>
            </w:pPr>
            <w:r>
              <w:rPr>
                <w:rFonts w:ascii="Arial" w:hAnsi="Arial" w:cs="Arial"/>
                <w:color w:val="000000"/>
                <w:sz w:val="18"/>
              </w:rPr>
              <w:t>Annual Cost</w:t>
            </w:r>
          </w:p>
          <w:p w:rsidR="00FF5A61" w:rsidRDefault="00FF5A61">
            <w:pPr>
              <w:jc w:val="center"/>
              <w:rPr>
                <w:rFonts w:ascii="Arial" w:hAnsi="Arial" w:cs="Arial"/>
                <w:color w:val="000000"/>
                <w:sz w:val="18"/>
              </w:rPr>
            </w:pPr>
          </w:p>
        </w:tc>
      </w:tr>
      <w:tr w:rsidR="00FF5A61">
        <w:tc>
          <w:tcPr>
            <w:tcW w:w="1320" w:type="dxa"/>
          </w:tcPr>
          <w:p w:rsidR="00FF5A61" w:rsidRDefault="00FF5A61">
            <w:pPr>
              <w:spacing w:before="60"/>
              <w:rPr>
                <w:rFonts w:ascii="Arial" w:hAnsi="Arial" w:cs="Arial"/>
                <w:b/>
                <w:bCs/>
                <w:color w:val="000000"/>
                <w:sz w:val="18"/>
              </w:rPr>
            </w:pPr>
            <w:r>
              <w:rPr>
                <w:rFonts w:ascii="Arial" w:hAnsi="Arial" w:cs="Arial"/>
                <w:b/>
                <w:bCs/>
                <w:color w:val="000000"/>
                <w:sz w:val="18"/>
              </w:rPr>
              <w:t>HUD-92577</w:t>
            </w:r>
          </w:p>
        </w:tc>
        <w:tc>
          <w:tcPr>
            <w:tcW w:w="1307" w:type="dxa"/>
          </w:tcPr>
          <w:p w:rsidR="00FF5A61" w:rsidRDefault="000572D1">
            <w:pPr>
              <w:spacing w:before="60"/>
              <w:jc w:val="center"/>
              <w:rPr>
                <w:rFonts w:ascii="Arial" w:hAnsi="Arial" w:cs="Arial"/>
                <w:b/>
                <w:bCs/>
                <w:color w:val="000000"/>
                <w:sz w:val="18"/>
              </w:rPr>
            </w:pPr>
            <w:r>
              <w:rPr>
                <w:rFonts w:ascii="Arial" w:hAnsi="Arial" w:cs="Arial"/>
                <w:b/>
                <w:bCs/>
                <w:color w:val="000000"/>
                <w:sz w:val="18"/>
              </w:rPr>
              <w:t>7,500</w:t>
            </w:r>
          </w:p>
        </w:tc>
        <w:tc>
          <w:tcPr>
            <w:tcW w:w="1350" w:type="dxa"/>
          </w:tcPr>
          <w:p w:rsidR="00FF5A61" w:rsidRDefault="00FF5A61">
            <w:pPr>
              <w:spacing w:before="60"/>
              <w:jc w:val="center"/>
              <w:rPr>
                <w:rFonts w:ascii="Arial" w:hAnsi="Arial" w:cs="Arial"/>
                <w:b/>
                <w:bCs/>
                <w:color w:val="000000"/>
                <w:sz w:val="18"/>
              </w:rPr>
            </w:pPr>
            <w:r>
              <w:rPr>
                <w:rFonts w:ascii="Arial" w:hAnsi="Arial" w:cs="Arial"/>
                <w:b/>
                <w:bCs/>
                <w:color w:val="000000"/>
                <w:sz w:val="18"/>
              </w:rPr>
              <w:t>1</w:t>
            </w:r>
          </w:p>
        </w:tc>
        <w:tc>
          <w:tcPr>
            <w:tcW w:w="1346" w:type="dxa"/>
          </w:tcPr>
          <w:p w:rsidR="00FF5A61" w:rsidRDefault="000572D1">
            <w:pPr>
              <w:spacing w:before="60"/>
              <w:jc w:val="center"/>
              <w:rPr>
                <w:rFonts w:ascii="Arial" w:hAnsi="Arial" w:cs="Arial"/>
                <w:b/>
                <w:bCs/>
                <w:color w:val="000000"/>
                <w:sz w:val="18"/>
              </w:rPr>
            </w:pPr>
            <w:r>
              <w:rPr>
                <w:rFonts w:ascii="Arial" w:hAnsi="Arial" w:cs="Arial"/>
                <w:b/>
                <w:bCs/>
                <w:color w:val="000000"/>
                <w:sz w:val="18"/>
              </w:rPr>
              <w:t>7,500</w:t>
            </w:r>
          </w:p>
        </w:tc>
        <w:tc>
          <w:tcPr>
            <w:tcW w:w="1326" w:type="dxa"/>
          </w:tcPr>
          <w:p w:rsidR="00FF5A61" w:rsidRDefault="00FF5A61">
            <w:pPr>
              <w:spacing w:before="60"/>
              <w:jc w:val="center"/>
              <w:rPr>
                <w:rFonts w:ascii="Arial" w:hAnsi="Arial" w:cs="Arial"/>
                <w:b/>
                <w:bCs/>
                <w:color w:val="000000"/>
                <w:sz w:val="18"/>
              </w:rPr>
            </w:pPr>
            <w:r>
              <w:rPr>
                <w:rFonts w:ascii="Arial" w:hAnsi="Arial" w:cs="Arial"/>
                <w:b/>
                <w:bCs/>
                <w:color w:val="000000"/>
                <w:sz w:val="18"/>
              </w:rPr>
              <w:t>.03</w:t>
            </w:r>
          </w:p>
        </w:tc>
        <w:tc>
          <w:tcPr>
            <w:tcW w:w="1283" w:type="dxa"/>
          </w:tcPr>
          <w:p w:rsidR="00FF5A61" w:rsidRDefault="0055264C">
            <w:pPr>
              <w:spacing w:before="60"/>
              <w:jc w:val="center"/>
              <w:rPr>
                <w:rFonts w:ascii="Arial" w:hAnsi="Arial" w:cs="Arial"/>
                <w:b/>
                <w:bCs/>
                <w:color w:val="000000"/>
                <w:sz w:val="18"/>
              </w:rPr>
            </w:pPr>
            <w:r>
              <w:rPr>
                <w:rFonts w:ascii="Arial" w:hAnsi="Arial" w:cs="Arial"/>
                <w:b/>
                <w:bCs/>
                <w:color w:val="000000"/>
                <w:sz w:val="18"/>
              </w:rPr>
              <w:t>225</w:t>
            </w:r>
          </w:p>
        </w:tc>
        <w:tc>
          <w:tcPr>
            <w:tcW w:w="1326" w:type="dxa"/>
          </w:tcPr>
          <w:p w:rsidR="00FF5A61" w:rsidRDefault="00FF5A61" w:rsidP="0055264C">
            <w:pPr>
              <w:spacing w:before="60"/>
              <w:jc w:val="right"/>
              <w:rPr>
                <w:rFonts w:ascii="Arial" w:hAnsi="Arial" w:cs="Arial"/>
                <w:b/>
                <w:bCs/>
                <w:color w:val="000000"/>
                <w:sz w:val="18"/>
              </w:rPr>
            </w:pPr>
            <w:r>
              <w:rPr>
                <w:rFonts w:ascii="Arial" w:hAnsi="Arial" w:cs="Arial"/>
                <w:b/>
                <w:bCs/>
                <w:color w:val="000000"/>
                <w:sz w:val="18"/>
              </w:rPr>
              <w:t>$</w:t>
            </w:r>
            <w:r w:rsidR="009D5005">
              <w:rPr>
                <w:rFonts w:ascii="Arial" w:hAnsi="Arial" w:cs="Arial"/>
                <w:b/>
                <w:bCs/>
                <w:color w:val="000000"/>
                <w:sz w:val="18"/>
              </w:rPr>
              <w:t>3</w:t>
            </w:r>
            <w:r w:rsidR="0055264C">
              <w:rPr>
                <w:rFonts w:ascii="Arial" w:hAnsi="Arial" w:cs="Arial"/>
                <w:b/>
                <w:bCs/>
                <w:color w:val="000000"/>
                <w:sz w:val="18"/>
              </w:rPr>
              <w:t>4</w:t>
            </w:r>
            <w:r w:rsidR="009D5005">
              <w:rPr>
                <w:rFonts w:ascii="Arial" w:hAnsi="Arial" w:cs="Arial"/>
                <w:b/>
                <w:bCs/>
                <w:color w:val="000000"/>
                <w:sz w:val="18"/>
              </w:rPr>
              <w:t>.</w:t>
            </w:r>
            <w:r w:rsidR="0055264C">
              <w:rPr>
                <w:rFonts w:ascii="Arial" w:hAnsi="Arial" w:cs="Arial"/>
                <w:b/>
                <w:bCs/>
                <w:color w:val="000000"/>
                <w:sz w:val="18"/>
              </w:rPr>
              <w:t>45</w:t>
            </w:r>
          </w:p>
        </w:tc>
        <w:tc>
          <w:tcPr>
            <w:tcW w:w="1182" w:type="dxa"/>
          </w:tcPr>
          <w:p w:rsidR="00FF5A61" w:rsidRDefault="00FF5A61" w:rsidP="009D5005">
            <w:pPr>
              <w:spacing w:before="60"/>
              <w:jc w:val="right"/>
              <w:rPr>
                <w:rFonts w:ascii="Arial" w:hAnsi="Arial" w:cs="Arial"/>
                <w:b/>
                <w:bCs/>
                <w:color w:val="000000"/>
                <w:sz w:val="18"/>
              </w:rPr>
            </w:pPr>
            <w:r>
              <w:rPr>
                <w:rFonts w:ascii="Arial" w:hAnsi="Arial" w:cs="Arial"/>
                <w:b/>
                <w:bCs/>
                <w:color w:val="000000"/>
                <w:sz w:val="18"/>
              </w:rPr>
              <w:t>$</w:t>
            </w:r>
            <w:r w:rsidR="0055264C">
              <w:rPr>
                <w:rFonts w:ascii="Arial" w:hAnsi="Arial" w:cs="Arial"/>
                <w:b/>
                <w:bCs/>
                <w:color w:val="000000"/>
                <w:sz w:val="18"/>
              </w:rPr>
              <w:t>7,751.25</w:t>
            </w:r>
          </w:p>
        </w:tc>
      </w:tr>
    </w:tbl>
    <w:p w:rsidR="00FF5A61" w:rsidRDefault="00FF5A61">
      <w:pPr>
        <w:pStyle w:val="BodyTextIndent2"/>
      </w:pPr>
      <w:r>
        <w:t>*Estimated annual cost to the Federal Government assuming that a GS-12/Housing Program Specialist will review and process this information.</w:t>
      </w:r>
    </w:p>
    <w:p w:rsidR="00FF5A61" w:rsidRDefault="00FF5A61">
      <w:pPr>
        <w:keepLines/>
        <w:tabs>
          <w:tab w:val="left" w:pos="360"/>
        </w:tabs>
        <w:spacing w:after="80"/>
        <w:ind w:left="360"/>
        <w:rPr>
          <w:color w:val="000000"/>
          <w:sz w:val="18"/>
        </w:rPr>
      </w:pPr>
    </w:p>
    <w:p w:rsidR="00FF5A61" w:rsidRDefault="00FF5A61" w:rsidP="005B26CE">
      <w:pPr>
        <w:pStyle w:val="BodyTextInden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s>
        <w:spacing w:after="80"/>
      </w:pPr>
      <w:r>
        <w:t>15.</w:t>
      </w:r>
      <w:r>
        <w:tab/>
        <w:t xml:space="preserve">This is a </w:t>
      </w:r>
      <w:r w:rsidR="005A6FCB">
        <w:t>revision</w:t>
      </w:r>
      <w:r>
        <w:t xml:space="preserve"> of a currently approved in</w:t>
      </w:r>
      <w:r w:rsidR="00B3305C">
        <w:t>formation collection.  The</w:t>
      </w:r>
      <w:r w:rsidR="005A6FCB">
        <w:t xml:space="preserve"> program has evolved in the last </w:t>
      </w:r>
      <w:r w:rsidR="00004B97">
        <w:t xml:space="preserve">ten years and lenders no longer use this form for anything other than 203k loans as a result the number of times the form is used has diminished.   The program allows lenders to use the form but as a practical matter, </w:t>
      </w:r>
      <w:r w:rsidR="005B26CE">
        <w:t xml:space="preserve">the form is no longer </w:t>
      </w:r>
      <w:r w:rsidR="00004B97">
        <w:t>necessary</w:t>
      </w:r>
      <w:r w:rsidR="005B26CE">
        <w:t xml:space="preserve"> for changes to new construction where a local government inspects and issues occupancy permits.  The form is now used only for changes in plans to a 203k rehabilitation plan.</w:t>
      </w:r>
      <w:r w:rsidR="006565DE">
        <w:t xml:space="preserve">  This accounts for the decrease in annual </w:t>
      </w:r>
      <w:bookmarkStart w:id="0" w:name="_GoBack"/>
      <w:bookmarkEnd w:id="0"/>
      <w:r w:rsidR="006565DE">
        <w:t>responses and burden hours.</w:t>
      </w:r>
    </w:p>
    <w:p w:rsidR="00FF5A61" w:rsidRDefault="00FF5A61">
      <w:pPr>
        <w:keepLines/>
        <w:tabs>
          <w:tab w:val="left" w:pos="360"/>
        </w:tabs>
        <w:spacing w:after="80"/>
        <w:rPr>
          <w:color w:val="000000"/>
          <w:sz w:val="22"/>
        </w:rPr>
      </w:pPr>
      <w:r>
        <w:rPr>
          <w:color w:val="000000"/>
          <w:sz w:val="22"/>
        </w:rPr>
        <w:t>16.</w:t>
      </w:r>
      <w:r>
        <w:rPr>
          <w:color w:val="000000"/>
          <w:sz w:val="22"/>
        </w:rPr>
        <w:tab/>
        <w:t xml:space="preserve">The results from this collection will not be published.  </w:t>
      </w:r>
    </w:p>
    <w:p w:rsidR="00FF5A61" w:rsidRDefault="00FF5A61">
      <w:pPr>
        <w:keepLines/>
        <w:tabs>
          <w:tab w:val="left" w:pos="360"/>
          <w:tab w:val="left" w:pos="720"/>
        </w:tabs>
        <w:rPr>
          <w:color w:val="000000"/>
          <w:sz w:val="22"/>
        </w:rPr>
      </w:pPr>
    </w:p>
    <w:p w:rsidR="00FF5A61" w:rsidRDefault="00FF5A61">
      <w:pPr>
        <w:keepLines/>
        <w:tabs>
          <w:tab w:val="left" w:pos="360"/>
          <w:tab w:val="left" w:pos="720"/>
        </w:tabs>
        <w:rPr>
          <w:color w:val="000000"/>
          <w:sz w:val="22"/>
        </w:rPr>
      </w:pPr>
      <w:r>
        <w:rPr>
          <w:color w:val="000000"/>
          <w:sz w:val="22"/>
        </w:rPr>
        <w:t>17.</w:t>
      </w:r>
      <w:r>
        <w:rPr>
          <w:color w:val="000000"/>
          <w:sz w:val="22"/>
        </w:rPr>
        <w:tab/>
        <w:t>HUD is not seeking approval to avoid displaying the OMB expiration date.</w:t>
      </w:r>
    </w:p>
    <w:p w:rsidR="00FF5A61" w:rsidRDefault="00FF5A61">
      <w:pPr>
        <w:tabs>
          <w:tab w:val="left" w:pos="360"/>
        </w:tabs>
        <w:ind w:left="360" w:hanging="360"/>
        <w:rPr>
          <w:color w:val="000000"/>
          <w:sz w:val="22"/>
        </w:rPr>
      </w:pPr>
    </w:p>
    <w:p w:rsidR="00FF5A61" w:rsidRDefault="00FF5A61">
      <w:pPr>
        <w:keepLines/>
        <w:tabs>
          <w:tab w:val="left" w:pos="360"/>
        </w:tabs>
        <w:spacing w:after="80"/>
        <w:ind w:left="360" w:hanging="360"/>
        <w:rPr>
          <w:color w:val="000000"/>
          <w:sz w:val="22"/>
        </w:rPr>
      </w:pPr>
      <w:r>
        <w:rPr>
          <w:color w:val="000000"/>
          <w:sz w:val="22"/>
        </w:rPr>
        <w:t>18.</w:t>
      </w:r>
      <w:r>
        <w:rPr>
          <w:color w:val="000000"/>
          <w:sz w:val="22"/>
        </w:rPr>
        <w:tab/>
        <w:t>There are no exceptions to the certification statement identified in item 19 of the OMB 83-I.</w:t>
      </w:r>
    </w:p>
    <w:p w:rsidR="00FF5A61" w:rsidRDefault="00FF5A61">
      <w:pPr>
        <w:tabs>
          <w:tab w:val="left" w:pos="360"/>
          <w:tab w:val="left" w:pos="720"/>
        </w:tabs>
        <w:rPr>
          <w:color w:val="000000"/>
          <w:sz w:val="22"/>
        </w:rPr>
      </w:pPr>
    </w:p>
    <w:p w:rsidR="00FF5A61" w:rsidRDefault="00FF5A61">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rPr>
      </w:pPr>
      <w:r>
        <w:rPr>
          <w:b/>
          <w:color w:val="000000"/>
          <w:sz w:val="22"/>
        </w:rPr>
        <w:t xml:space="preserve">B. </w:t>
      </w:r>
      <w:r>
        <w:rPr>
          <w:b/>
          <w:color w:val="000000"/>
          <w:sz w:val="22"/>
        </w:rPr>
        <w:tab/>
        <w:t>Collections of Information Employing Statistical Methods</w:t>
      </w:r>
    </w:p>
    <w:p w:rsidR="00FF5A61" w:rsidRDefault="00FF5A61">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2"/>
        </w:rPr>
      </w:pPr>
    </w:p>
    <w:p w:rsidR="00FF5A61" w:rsidRDefault="00FF5A61">
      <w:pPr>
        <w:keepLines/>
        <w:tabs>
          <w:tab w:val="left" w:pos="360"/>
          <w:tab w:val="left" w:pos="720"/>
        </w:tabs>
        <w:ind w:left="360"/>
        <w:rPr>
          <w:color w:val="000000"/>
          <w:sz w:val="22"/>
        </w:rPr>
      </w:pPr>
      <w:r>
        <w:rPr>
          <w:color w:val="000000"/>
          <w:sz w:val="22"/>
        </w:rPr>
        <w:t>The information collection does not employ statistical methods.</w:t>
      </w:r>
    </w:p>
    <w:p w:rsidR="00FF5A61" w:rsidRDefault="00FF5A61">
      <w:pPr>
        <w:keepLines/>
        <w:tabs>
          <w:tab w:val="left" w:pos="360"/>
          <w:tab w:val="left" w:pos="720"/>
        </w:tabs>
        <w:ind w:left="360"/>
        <w:rPr>
          <w:color w:val="000000"/>
          <w:sz w:val="22"/>
        </w:rPr>
      </w:pPr>
    </w:p>
    <w:p w:rsidR="00FF5A61" w:rsidRDefault="00FF5A61">
      <w:pPr>
        <w:tabs>
          <w:tab w:val="left" w:pos="360"/>
        </w:tabs>
        <w:ind w:left="360" w:hanging="360"/>
        <w:rPr>
          <w:color w:val="000000"/>
          <w:sz w:val="24"/>
        </w:rPr>
      </w:pPr>
    </w:p>
    <w:p w:rsidR="00FF5A61" w:rsidRDefault="00FF5A61">
      <w:pPr>
        <w:tabs>
          <w:tab w:val="left" w:pos="240"/>
        </w:tabs>
        <w:rPr>
          <w:color w:val="000000"/>
          <w:sz w:val="22"/>
        </w:rPr>
      </w:pPr>
    </w:p>
    <w:sectPr w:rsidR="00FF5A61" w:rsidSect="002D3CEE">
      <w:footerReference w:type="default" r:id="rId8"/>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C58" w:rsidRDefault="00A25C58">
      <w:r>
        <w:separator/>
      </w:r>
    </w:p>
  </w:endnote>
  <w:endnote w:type="continuationSeparator" w:id="0">
    <w:p w:rsidR="00A25C58" w:rsidRDefault="00A2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9DE" w:rsidRDefault="00A00C63">
    <w:pPr>
      <w:pStyle w:val="Footer"/>
      <w:framePr w:wrap="around" w:vAnchor="text" w:hAnchor="margin" w:xAlign="center" w:y="1"/>
      <w:rPr>
        <w:rStyle w:val="PageNumber"/>
      </w:rPr>
    </w:pPr>
    <w:r>
      <w:rPr>
        <w:rStyle w:val="PageNumber"/>
      </w:rPr>
      <w:fldChar w:fldCharType="begin"/>
    </w:r>
    <w:r w:rsidR="00F119DE">
      <w:rPr>
        <w:rStyle w:val="PageNumber"/>
      </w:rPr>
      <w:instrText xml:space="preserve">PAGE  </w:instrText>
    </w:r>
    <w:r>
      <w:rPr>
        <w:rStyle w:val="PageNumber"/>
      </w:rPr>
      <w:fldChar w:fldCharType="separate"/>
    </w:r>
    <w:r w:rsidR="006565DE">
      <w:rPr>
        <w:rStyle w:val="PageNumber"/>
        <w:noProof/>
      </w:rPr>
      <w:t>3</w:t>
    </w:r>
    <w:r>
      <w:rPr>
        <w:rStyle w:val="PageNumber"/>
      </w:rPr>
      <w:fldChar w:fldCharType="end"/>
    </w:r>
  </w:p>
  <w:p w:rsidR="00F119DE" w:rsidRDefault="00F119DE">
    <w:pPr>
      <w:pStyle w:val="Footer"/>
      <w:pBdr>
        <w:top w:val="single" w:sz="6" w:space="1" w:color="auto"/>
      </w:pBdr>
      <w:tabs>
        <w:tab w:val="clear" w:pos="4320"/>
        <w:tab w:val="clear" w:pos="8640"/>
        <w:tab w:val="right" w:pos="10920"/>
      </w:tabs>
      <w:ind w:left="-120" w:right="-120"/>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C58" w:rsidRDefault="00A25C58">
      <w:r>
        <w:separator/>
      </w:r>
    </w:p>
  </w:footnote>
  <w:footnote w:type="continuationSeparator" w:id="0">
    <w:p w:rsidR="00A25C58" w:rsidRDefault="00A25C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201167D4"/>
    <w:multiLevelType w:val="hybridMultilevel"/>
    <w:tmpl w:val="3EC098A0"/>
    <w:lvl w:ilvl="0" w:tplc="93468300">
      <w:start w:val="1"/>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12E343B"/>
    <w:multiLevelType w:val="hybridMultilevel"/>
    <w:tmpl w:val="79D460A8"/>
    <w:lvl w:ilvl="0" w:tplc="F52C5800">
      <w:start w:val="15"/>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4C157D7F"/>
    <w:multiLevelType w:val="hybridMultilevel"/>
    <w:tmpl w:val="363049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7214A0"/>
    <w:multiLevelType w:val="hybridMultilevel"/>
    <w:tmpl w:val="98AC7ECC"/>
    <w:lvl w:ilvl="0" w:tplc="D94013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7727E5"/>
    <w:multiLevelType w:val="hybridMultilevel"/>
    <w:tmpl w:val="FE1E87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1D5DAF"/>
    <w:multiLevelType w:val="hybridMultilevel"/>
    <w:tmpl w:val="50CE5C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3E64CBA"/>
    <w:multiLevelType w:val="hybridMultilevel"/>
    <w:tmpl w:val="99443B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14"/>
  </w:num>
  <w:num w:numId="3">
    <w:abstractNumId w:val="1"/>
  </w:num>
  <w:num w:numId="4">
    <w:abstractNumId w:val="13"/>
  </w:num>
  <w:num w:numId="5">
    <w:abstractNumId w:val="12"/>
  </w:num>
  <w:num w:numId="6">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8"/>
  </w:num>
  <w:num w:numId="10">
    <w:abstractNumId w:val="3"/>
  </w:num>
  <w:num w:numId="11">
    <w:abstractNumId w:val="9"/>
  </w:num>
  <w:num w:numId="12">
    <w:abstractNumId w:val="11"/>
  </w:num>
  <w:num w:numId="13">
    <w:abstractNumId w:val="6"/>
  </w:num>
  <w:num w:numId="14">
    <w:abstractNumId w:val="10"/>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778"/>
    <w:rsid w:val="00004B97"/>
    <w:rsid w:val="0004532D"/>
    <w:rsid w:val="000572D1"/>
    <w:rsid w:val="00106778"/>
    <w:rsid w:val="001C549C"/>
    <w:rsid w:val="002D3CEE"/>
    <w:rsid w:val="00312B5C"/>
    <w:rsid w:val="00341A7B"/>
    <w:rsid w:val="003A66AB"/>
    <w:rsid w:val="003C0568"/>
    <w:rsid w:val="0040317E"/>
    <w:rsid w:val="004645D3"/>
    <w:rsid w:val="0055264C"/>
    <w:rsid w:val="005956D8"/>
    <w:rsid w:val="005A6FCB"/>
    <w:rsid w:val="005B26CE"/>
    <w:rsid w:val="006504D4"/>
    <w:rsid w:val="006565DE"/>
    <w:rsid w:val="007415A9"/>
    <w:rsid w:val="00786F99"/>
    <w:rsid w:val="007C29A6"/>
    <w:rsid w:val="00897E0F"/>
    <w:rsid w:val="008B72FE"/>
    <w:rsid w:val="009D2AAB"/>
    <w:rsid w:val="009D5005"/>
    <w:rsid w:val="00A00C63"/>
    <w:rsid w:val="00A25C58"/>
    <w:rsid w:val="00A702A1"/>
    <w:rsid w:val="00B3305C"/>
    <w:rsid w:val="00B4219A"/>
    <w:rsid w:val="00B84535"/>
    <w:rsid w:val="00C11822"/>
    <w:rsid w:val="00C5408C"/>
    <w:rsid w:val="00C92910"/>
    <w:rsid w:val="00CC40F7"/>
    <w:rsid w:val="00DF7D25"/>
    <w:rsid w:val="00EF25CE"/>
    <w:rsid w:val="00F01BA3"/>
    <w:rsid w:val="00F119DE"/>
    <w:rsid w:val="00F32849"/>
    <w:rsid w:val="00FA3D29"/>
    <w:rsid w:val="00FF5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CEE"/>
    <w:pPr>
      <w:overflowPunct w:val="0"/>
      <w:autoSpaceDE w:val="0"/>
      <w:autoSpaceDN w:val="0"/>
      <w:adjustRightInd w:val="0"/>
      <w:textAlignment w:val="baseline"/>
    </w:pPr>
  </w:style>
  <w:style w:type="paragraph" w:styleId="Heading1">
    <w:name w:val="heading 1"/>
    <w:basedOn w:val="Normal"/>
    <w:next w:val="Normal"/>
    <w:qFormat/>
    <w:rsid w:val="002D3CEE"/>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D3CEE"/>
    <w:pPr>
      <w:tabs>
        <w:tab w:val="center" w:pos="4320"/>
        <w:tab w:val="right" w:pos="8640"/>
      </w:tabs>
    </w:pPr>
  </w:style>
  <w:style w:type="paragraph" w:styleId="Footer">
    <w:name w:val="footer"/>
    <w:basedOn w:val="Normal"/>
    <w:semiHidden/>
    <w:rsid w:val="002D3CEE"/>
    <w:pPr>
      <w:tabs>
        <w:tab w:val="center" w:pos="4320"/>
        <w:tab w:val="right" w:pos="8640"/>
      </w:tabs>
    </w:pPr>
  </w:style>
  <w:style w:type="character" w:styleId="PageNumber">
    <w:name w:val="page number"/>
    <w:basedOn w:val="DefaultParagraphFont"/>
    <w:semiHidden/>
    <w:rsid w:val="002D3CEE"/>
  </w:style>
  <w:style w:type="paragraph" w:styleId="Title">
    <w:name w:val="Title"/>
    <w:basedOn w:val="Normal"/>
    <w:qFormat/>
    <w:rsid w:val="002D3CEE"/>
    <w:pPr>
      <w:jc w:val="center"/>
    </w:pPr>
    <w:rPr>
      <w:rFonts w:ascii="Helvetica" w:hAnsi="Helvetica"/>
      <w:b/>
      <w:sz w:val="28"/>
    </w:rPr>
  </w:style>
  <w:style w:type="paragraph" w:styleId="BodyTextIndent">
    <w:name w:val="Body Text Indent"/>
    <w:basedOn w:val="Normal"/>
    <w:semiHidden/>
    <w:rsid w:val="002D3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pPr>
    <w:rPr>
      <w:color w:val="000000"/>
      <w:sz w:val="22"/>
    </w:rPr>
  </w:style>
  <w:style w:type="paragraph" w:styleId="BodyText">
    <w:name w:val="Body Text"/>
    <w:basedOn w:val="Normal"/>
    <w:semiHidden/>
    <w:rsid w:val="002D3CEE"/>
    <w:pPr>
      <w:pBdr>
        <w:top w:val="single" w:sz="6" w:space="0" w:color="auto"/>
      </w:pBdr>
      <w:tabs>
        <w:tab w:val="left" w:pos="240"/>
      </w:tabs>
      <w:ind w:right="-120"/>
    </w:pPr>
    <w:rPr>
      <w:rFonts w:ascii="Helvetica" w:hAnsi="Helvetica"/>
      <w:sz w:val="18"/>
    </w:rPr>
  </w:style>
  <w:style w:type="paragraph" w:styleId="DocumentMap">
    <w:name w:val="Document Map"/>
    <w:basedOn w:val="Normal"/>
    <w:semiHidden/>
    <w:rsid w:val="002D3CEE"/>
    <w:pPr>
      <w:shd w:val="clear" w:color="auto" w:fill="000080"/>
    </w:pPr>
    <w:rPr>
      <w:rFonts w:ascii="Tahoma" w:hAnsi="Tahoma" w:cs="Tahoma"/>
    </w:rPr>
  </w:style>
  <w:style w:type="paragraph" w:styleId="BodyTextIndent2">
    <w:name w:val="Body Text Indent 2"/>
    <w:basedOn w:val="Normal"/>
    <w:semiHidden/>
    <w:rsid w:val="002D3CEE"/>
    <w:pPr>
      <w:keepLines/>
      <w:tabs>
        <w:tab w:val="left" w:pos="360"/>
      </w:tabs>
      <w:spacing w:after="80"/>
      <w:ind w:left="360"/>
    </w:pPr>
    <w:rPr>
      <w:color w:val="000000"/>
      <w:sz w:val="18"/>
    </w:rPr>
  </w:style>
  <w:style w:type="character" w:styleId="Strong">
    <w:name w:val="Strong"/>
    <w:basedOn w:val="DefaultParagraphFont"/>
    <w:qFormat/>
    <w:rsid w:val="002D3CEE"/>
    <w:rPr>
      <w:b/>
      <w:bCs/>
    </w:rPr>
  </w:style>
  <w:style w:type="paragraph" w:styleId="HTMLPreformatted">
    <w:name w:val="HTML Preformatted"/>
    <w:basedOn w:val="Normal"/>
    <w:semiHidden/>
    <w:rsid w:val="002D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CEE"/>
    <w:pPr>
      <w:overflowPunct w:val="0"/>
      <w:autoSpaceDE w:val="0"/>
      <w:autoSpaceDN w:val="0"/>
      <w:adjustRightInd w:val="0"/>
      <w:textAlignment w:val="baseline"/>
    </w:pPr>
  </w:style>
  <w:style w:type="paragraph" w:styleId="Heading1">
    <w:name w:val="heading 1"/>
    <w:basedOn w:val="Normal"/>
    <w:next w:val="Normal"/>
    <w:qFormat/>
    <w:rsid w:val="002D3CEE"/>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D3CEE"/>
    <w:pPr>
      <w:tabs>
        <w:tab w:val="center" w:pos="4320"/>
        <w:tab w:val="right" w:pos="8640"/>
      </w:tabs>
    </w:pPr>
  </w:style>
  <w:style w:type="paragraph" w:styleId="Footer">
    <w:name w:val="footer"/>
    <w:basedOn w:val="Normal"/>
    <w:semiHidden/>
    <w:rsid w:val="002D3CEE"/>
    <w:pPr>
      <w:tabs>
        <w:tab w:val="center" w:pos="4320"/>
        <w:tab w:val="right" w:pos="8640"/>
      </w:tabs>
    </w:pPr>
  </w:style>
  <w:style w:type="character" w:styleId="PageNumber">
    <w:name w:val="page number"/>
    <w:basedOn w:val="DefaultParagraphFont"/>
    <w:semiHidden/>
    <w:rsid w:val="002D3CEE"/>
  </w:style>
  <w:style w:type="paragraph" w:styleId="Title">
    <w:name w:val="Title"/>
    <w:basedOn w:val="Normal"/>
    <w:qFormat/>
    <w:rsid w:val="002D3CEE"/>
    <w:pPr>
      <w:jc w:val="center"/>
    </w:pPr>
    <w:rPr>
      <w:rFonts w:ascii="Helvetica" w:hAnsi="Helvetica"/>
      <w:b/>
      <w:sz w:val="28"/>
    </w:rPr>
  </w:style>
  <w:style w:type="paragraph" w:styleId="BodyTextIndent">
    <w:name w:val="Body Text Indent"/>
    <w:basedOn w:val="Normal"/>
    <w:semiHidden/>
    <w:rsid w:val="002D3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pPr>
    <w:rPr>
      <w:color w:val="000000"/>
      <w:sz w:val="22"/>
    </w:rPr>
  </w:style>
  <w:style w:type="paragraph" w:styleId="BodyText">
    <w:name w:val="Body Text"/>
    <w:basedOn w:val="Normal"/>
    <w:semiHidden/>
    <w:rsid w:val="002D3CEE"/>
    <w:pPr>
      <w:pBdr>
        <w:top w:val="single" w:sz="6" w:space="0" w:color="auto"/>
      </w:pBdr>
      <w:tabs>
        <w:tab w:val="left" w:pos="240"/>
      </w:tabs>
      <w:ind w:right="-120"/>
    </w:pPr>
    <w:rPr>
      <w:rFonts w:ascii="Helvetica" w:hAnsi="Helvetica"/>
      <w:sz w:val="18"/>
    </w:rPr>
  </w:style>
  <w:style w:type="paragraph" w:styleId="DocumentMap">
    <w:name w:val="Document Map"/>
    <w:basedOn w:val="Normal"/>
    <w:semiHidden/>
    <w:rsid w:val="002D3CEE"/>
    <w:pPr>
      <w:shd w:val="clear" w:color="auto" w:fill="000080"/>
    </w:pPr>
    <w:rPr>
      <w:rFonts w:ascii="Tahoma" w:hAnsi="Tahoma" w:cs="Tahoma"/>
    </w:rPr>
  </w:style>
  <w:style w:type="paragraph" w:styleId="BodyTextIndent2">
    <w:name w:val="Body Text Indent 2"/>
    <w:basedOn w:val="Normal"/>
    <w:semiHidden/>
    <w:rsid w:val="002D3CEE"/>
    <w:pPr>
      <w:keepLines/>
      <w:tabs>
        <w:tab w:val="left" w:pos="360"/>
      </w:tabs>
      <w:spacing w:after="80"/>
      <w:ind w:left="360"/>
    </w:pPr>
    <w:rPr>
      <w:color w:val="000000"/>
      <w:sz w:val="18"/>
    </w:rPr>
  </w:style>
  <w:style w:type="character" w:styleId="Strong">
    <w:name w:val="Strong"/>
    <w:basedOn w:val="DefaultParagraphFont"/>
    <w:qFormat/>
    <w:rsid w:val="002D3CEE"/>
    <w:rPr>
      <w:b/>
      <w:bCs/>
    </w:rPr>
  </w:style>
  <w:style w:type="paragraph" w:styleId="HTMLPreformatted">
    <w:name w:val="HTML Preformatted"/>
    <w:basedOn w:val="Normal"/>
    <w:semiHidden/>
    <w:rsid w:val="002D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1410</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h18889</cp:lastModifiedBy>
  <cp:revision>3</cp:revision>
  <cp:lastPrinted>2006-04-19T17:31:00Z</cp:lastPrinted>
  <dcterms:created xsi:type="dcterms:W3CDTF">2012-12-11T14:11:00Z</dcterms:created>
  <dcterms:modified xsi:type="dcterms:W3CDTF">2012-12-11T14:20:00Z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1300200944</vt:i4>
  </property>
  <property fmtid="{D5CDD505-2E9C-101B-9397-08002B2CF9AE}" pid="3" name="_NewReviewCycle">
    <vt:lpwstr/>
  </property>
  <property fmtid="{D5CDD505-2E9C-101B-9397-08002B2CF9AE}" pid="4" name="_EmailSubject">
    <vt:lpwstr>Request for Acceptance of Changes in Approved Drawings and Specifications - 2502-0117</vt:lpwstr>
  </property>
  <property fmtid="{D5CDD505-2E9C-101B-9397-08002B2CF9AE}" pid="5" name="_AuthorEmail">
    <vt:lpwstr>Ada.L.Bohorfoush@hud.gov</vt:lpwstr>
  </property>
  <property fmtid="{D5CDD505-2E9C-101B-9397-08002B2CF9AE}" pid="6" name="_AuthorEmailDisplayName">
    <vt:lpwstr>Bohorfoush, Ada L</vt:lpwstr>
  </property>
  <property fmtid="{D5CDD505-2E9C-101B-9397-08002B2CF9AE}" pid="7" name="_PreviousAdHocReviewCycleID">
    <vt:i4>128854537</vt:i4>
  </property>
</Properties>
</file>