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3F0" w:rsidRPr="00AA35E0" w:rsidRDefault="00CE03F0" w:rsidP="00CE03F0">
      <w:pPr>
        <w:spacing w:line="240" w:lineRule="auto"/>
        <w:jc w:val="center"/>
        <w:rPr>
          <w:rFonts w:ascii="Calibri" w:hAnsi="Calibri"/>
          <w:sz w:val="32"/>
          <w:szCs w:val="32"/>
        </w:rPr>
      </w:pPr>
      <w:r>
        <w:rPr>
          <w:rFonts w:ascii="Calibri" w:hAnsi="Calibri"/>
          <w:sz w:val="32"/>
          <w:szCs w:val="32"/>
        </w:rPr>
        <w:t xml:space="preserve">ATTACHMENT B     </w:t>
      </w:r>
    </w:p>
    <w:p w:rsidR="00CE03F0" w:rsidRDefault="00CE03F0" w:rsidP="00CE03F0">
      <w:pPr>
        <w:spacing w:line="240" w:lineRule="auto"/>
        <w:rPr>
          <w:rFonts w:ascii="Calibri" w:hAnsi="Calibri"/>
          <w:sz w:val="32"/>
          <w:szCs w:val="32"/>
        </w:rPr>
      </w:pPr>
    </w:p>
    <w:p w:rsidR="00CE03F0" w:rsidRPr="00AA35E0" w:rsidRDefault="00CE03F0" w:rsidP="00CE03F0">
      <w:pPr>
        <w:spacing w:line="240" w:lineRule="auto"/>
        <w:rPr>
          <w:rFonts w:ascii="Calibri" w:hAnsi="Calibri"/>
          <w:sz w:val="32"/>
          <w:szCs w:val="32"/>
        </w:rPr>
      </w:pPr>
    </w:p>
    <w:p w:rsidR="00CE03F0" w:rsidRDefault="00CE03F0" w:rsidP="00CE03F0">
      <w:pPr>
        <w:spacing w:after="0" w:line="240" w:lineRule="auto"/>
        <w:jc w:val="center"/>
        <w:rPr>
          <w:rFonts w:asciiTheme="minorHAnsi" w:hAnsiTheme="minorHAnsi"/>
          <w:sz w:val="32"/>
          <w:szCs w:val="32"/>
        </w:rPr>
      </w:pPr>
      <w:r w:rsidRPr="008F7F9A">
        <w:rPr>
          <w:rFonts w:asciiTheme="minorHAnsi" w:hAnsiTheme="minorHAnsi"/>
          <w:sz w:val="32"/>
          <w:szCs w:val="32"/>
        </w:rPr>
        <w:t>Justification for Topics Covered in th</w:t>
      </w:r>
      <w:r>
        <w:rPr>
          <w:rFonts w:asciiTheme="minorHAnsi" w:hAnsiTheme="minorHAnsi"/>
          <w:sz w:val="32"/>
          <w:szCs w:val="32"/>
        </w:rPr>
        <w:t xml:space="preserve">e TPP Replication Study </w:t>
      </w:r>
    </w:p>
    <w:p w:rsidR="00CE03F0" w:rsidRPr="008F7F9A" w:rsidRDefault="00CE03F0" w:rsidP="00CE03F0">
      <w:pPr>
        <w:spacing w:after="0" w:line="240" w:lineRule="auto"/>
        <w:jc w:val="center"/>
        <w:rPr>
          <w:rFonts w:asciiTheme="minorHAnsi" w:hAnsiTheme="minorHAnsi"/>
          <w:b/>
          <w:sz w:val="32"/>
          <w:szCs w:val="32"/>
        </w:rPr>
      </w:pPr>
      <w:r>
        <w:rPr>
          <w:rFonts w:asciiTheme="minorHAnsi" w:hAnsiTheme="minorHAnsi"/>
          <w:sz w:val="32"/>
          <w:szCs w:val="32"/>
        </w:rPr>
        <w:t>First Follow-up</w:t>
      </w:r>
      <w:r w:rsidRPr="008F7F9A">
        <w:rPr>
          <w:rFonts w:asciiTheme="minorHAnsi" w:hAnsiTheme="minorHAnsi"/>
          <w:sz w:val="32"/>
          <w:szCs w:val="32"/>
        </w:rPr>
        <w:t xml:space="preserve"> Instrument</w:t>
      </w:r>
    </w:p>
    <w:p w:rsidR="00CE03F0" w:rsidRDefault="00CE03F0" w:rsidP="00CE03F0">
      <w:pPr>
        <w:spacing w:after="0" w:line="240" w:lineRule="auto"/>
        <w:rPr>
          <w:b/>
        </w:rPr>
        <w:sectPr w:rsidR="00CE03F0" w:rsidSect="00CE03F0">
          <w:footerReference w:type="default" r:id="rId8"/>
          <w:pgSz w:w="12240" w:h="15840" w:code="1"/>
          <w:pgMar w:top="1440" w:right="1440" w:bottom="1440" w:left="1440" w:header="1080" w:footer="720" w:gutter="0"/>
          <w:pgNumType w:start="1" w:chapStyle="1"/>
          <w:cols w:space="720"/>
          <w:docGrid w:linePitch="299"/>
        </w:sectPr>
      </w:pPr>
    </w:p>
    <w:tbl>
      <w:tblPr>
        <w:tblW w:w="48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000" w:firstRow="0" w:lastRow="0" w:firstColumn="0" w:lastColumn="0" w:noHBand="0" w:noVBand="0"/>
      </w:tblPr>
      <w:tblGrid>
        <w:gridCol w:w="1227"/>
        <w:gridCol w:w="1164"/>
        <w:gridCol w:w="3232"/>
        <w:gridCol w:w="539"/>
        <w:gridCol w:w="550"/>
        <w:gridCol w:w="631"/>
        <w:gridCol w:w="180"/>
        <w:gridCol w:w="451"/>
        <w:gridCol w:w="550"/>
        <w:gridCol w:w="79"/>
        <w:gridCol w:w="233"/>
        <w:gridCol w:w="362"/>
        <w:gridCol w:w="3465"/>
      </w:tblGrid>
      <w:tr w:rsidR="00550F8A" w:rsidRPr="006C67AC" w:rsidTr="00550F8A">
        <w:trPr>
          <w:trHeight w:val="710"/>
          <w:tblHeader/>
        </w:trPr>
        <w:tc>
          <w:tcPr>
            <w:tcW w:w="485" w:type="pct"/>
            <w:vMerge w:val="restart"/>
            <w:shd w:val="clear" w:color="auto" w:fill="DADCCA" w:themeFill="accent4" w:themeFillTint="99"/>
            <w:textDirection w:val="btLr"/>
            <w:vAlign w:val="center"/>
          </w:tcPr>
          <w:p w:rsidR="00550F8A" w:rsidRDefault="00550F8A" w:rsidP="006C67AC">
            <w:pPr>
              <w:pStyle w:val="ExhibitColumnHeader"/>
              <w:jc w:val="left"/>
            </w:pPr>
            <w:r>
              <w:rPr>
                <w:b w:val="0"/>
              </w:rPr>
              <w:br w:type="page"/>
            </w:r>
            <w:r w:rsidRPr="001E6947">
              <w:t>Question #</w:t>
            </w:r>
          </w:p>
          <w:p w:rsidR="00550F8A" w:rsidRPr="00EE33FE" w:rsidRDefault="00550F8A" w:rsidP="006C67AC">
            <w:pPr>
              <w:pStyle w:val="ExhibitColumnHeader"/>
              <w:jc w:val="left"/>
              <w:rPr>
                <w:highlight w:val="yellow"/>
              </w:rPr>
            </w:pPr>
            <w:r>
              <w:t>Parts A &amp; B – Safer Sex</w:t>
            </w:r>
          </w:p>
        </w:tc>
        <w:tc>
          <w:tcPr>
            <w:tcW w:w="460" w:type="pct"/>
            <w:vMerge w:val="restart"/>
            <w:shd w:val="clear" w:color="auto" w:fill="DADCCA" w:themeFill="accent4" w:themeFillTint="99"/>
            <w:textDirection w:val="btLr"/>
          </w:tcPr>
          <w:p w:rsidR="00550F8A" w:rsidRDefault="00550F8A" w:rsidP="006C67AC">
            <w:pPr>
              <w:pStyle w:val="ExhibitColumnHeader"/>
              <w:jc w:val="left"/>
            </w:pPr>
            <w:r>
              <w:t>Question #</w:t>
            </w:r>
          </w:p>
          <w:p w:rsidR="00550F8A" w:rsidRPr="006C67AC" w:rsidRDefault="00550F8A" w:rsidP="006C67AC">
            <w:pPr>
              <w:pStyle w:val="ExhibitColumnHeader"/>
              <w:jc w:val="left"/>
            </w:pPr>
            <w:r>
              <w:t>Parts A &amp; B– RtR &amp; Cuidate</w:t>
            </w:r>
          </w:p>
        </w:tc>
        <w:tc>
          <w:tcPr>
            <w:tcW w:w="1276" w:type="pct"/>
            <w:vMerge w:val="restart"/>
            <w:shd w:val="clear" w:color="auto" w:fill="DADCCA" w:themeFill="accent4" w:themeFillTint="99"/>
            <w:textDirection w:val="btLr"/>
            <w:vAlign w:val="center"/>
          </w:tcPr>
          <w:p w:rsidR="00550F8A" w:rsidRPr="006C67AC" w:rsidRDefault="00550F8A" w:rsidP="006C67AC">
            <w:pPr>
              <w:pStyle w:val="ExhibitColumnHeader"/>
              <w:jc w:val="left"/>
            </w:pPr>
          </w:p>
        </w:tc>
        <w:tc>
          <w:tcPr>
            <w:tcW w:w="1411" w:type="pct"/>
            <w:gridSpan w:val="9"/>
            <w:shd w:val="clear" w:color="auto" w:fill="DADCCA" w:themeFill="accent4" w:themeFillTint="99"/>
            <w:vAlign w:val="center"/>
          </w:tcPr>
          <w:p w:rsidR="00550F8A" w:rsidRPr="006C67AC" w:rsidRDefault="00550F8A" w:rsidP="006C67AC">
            <w:pPr>
              <w:pStyle w:val="ExhibitColumnHeader"/>
              <w:jc w:val="left"/>
            </w:pPr>
            <w:r>
              <w:t>How question data will be used</w:t>
            </w:r>
          </w:p>
        </w:tc>
        <w:tc>
          <w:tcPr>
            <w:tcW w:w="1368" w:type="pct"/>
            <w:vMerge w:val="restart"/>
            <w:shd w:val="clear" w:color="auto" w:fill="DADCCA" w:themeFill="accent4" w:themeFillTint="99"/>
            <w:vAlign w:val="center"/>
          </w:tcPr>
          <w:p w:rsidR="00550F8A" w:rsidRDefault="00550F8A" w:rsidP="001E6947">
            <w:pPr>
              <w:pStyle w:val="ExhibitColumnHeader"/>
            </w:pPr>
            <w:r>
              <w:t>Purpose</w:t>
            </w:r>
          </w:p>
        </w:tc>
      </w:tr>
      <w:tr w:rsidR="00550F8A" w:rsidRPr="006C67AC" w:rsidTr="00550F8A">
        <w:trPr>
          <w:trHeight w:val="1502"/>
          <w:tblHeader/>
        </w:trPr>
        <w:tc>
          <w:tcPr>
            <w:tcW w:w="485" w:type="pct"/>
            <w:vMerge/>
            <w:shd w:val="clear" w:color="auto" w:fill="DADCCA" w:themeFill="accent4" w:themeFillTint="99"/>
            <w:textDirection w:val="btLr"/>
            <w:vAlign w:val="center"/>
          </w:tcPr>
          <w:p w:rsidR="00550F8A" w:rsidRPr="00550F8A" w:rsidRDefault="00550F8A" w:rsidP="006C67AC">
            <w:pPr>
              <w:pStyle w:val="ExhibitColumnHeader"/>
              <w:jc w:val="left"/>
            </w:pPr>
          </w:p>
        </w:tc>
        <w:tc>
          <w:tcPr>
            <w:tcW w:w="460" w:type="pct"/>
            <w:vMerge/>
            <w:shd w:val="clear" w:color="auto" w:fill="DADCCA" w:themeFill="accent4" w:themeFillTint="99"/>
            <w:textDirection w:val="btLr"/>
          </w:tcPr>
          <w:p w:rsidR="00550F8A" w:rsidRPr="00550F8A" w:rsidRDefault="00550F8A" w:rsidP="006C67AC">
            <w:pPr>
              <w:pStyle w:val="ExhibitColumnHeader"/>
              <w:jc w:val="left"/>
            </w:pPr>
          </w:p>
        </w:tc>
        <w:tc>
          <w:tcPr>
            <w:tcW w:w="1276" w:type="pct"/>
            <w:vMerge/>
            <w:shd w:val="clear" w:color="auto" w:fill="DADCCA" w:themeFill="accent4" w:themeFillTint="99"/>
            <w:textDirection w:val="btLr"/>
            <w:vAlign w:val="center"/>
          </w:tcPr>
          <w:p w:rsidR="00550F8A" w:rsidRPr="00550F8A" w:rsidRDefault="00550F8A" w:rsidP="006C67AC">
            <w:pPr>
              <w:pStyle w:val="ExhibitColumnHeader"/>
              <w:jc w:val="left"/>
            </w:pPr>
          </w:p>
        </w:tc>
        <w:tc>
          <w:tcPr>
            <w:tcW w:w="213" w:type="pct"/>
            <w:shd w:val="clear" w:color="auto" w:fill="DADCCA" w:themeFill="accent4" w:themeFillTint="99"/>
            <w:textDirection w:val="btLr"/>
            <w:vAlign w:val="center"/>
          </w:tcPr>
          <w:p w:rsidR="00550F8A" w:rsidRPr="00550F8A" w:rsidRDefault="00550F8A" w:rsidP="006C67AC">
            <w:pPr>
              <w:pStyle w:val="ExhibitColumnHeader"/>
              <w:jc w:val="left"/>
            </w:pPr>
            <w:r w:rsidRPr="00550F8A">
              <w:t>Tracking</w:t>
            </w:r>
          </w:p>
        </w:tc>
        <w:tc>
          <w:tcPr>
            <w:tcW w:w="217" w:type="pct"/>
            <w:shd w:val="clear" w:color="auto" w:fill="DADCCA" w:themeFill="accent4" w:themeFillTint="99"/>
            <w:textDirection w:val="btLr"/>
            <w:vAlign w:val="center"/>
          </w:tcPr>
          <w:p w:rsidR="00550F8A" w:rsidRPr="00550F8A" w:rsidRDefault="00550F8A" w:rsidP="006C67AC">
            <w:pPr>
              <w:pStyle w:val="ExhibitColumnHeader"/>
              <w:jc w:val="left"/>
            </w:pPr>
            <w:r w:rsidRPr="00550F8A">
              <w:t>Covariate</w:t>
            </w:r>
          </w:p>
        </w:tc>
        <w:tc>
          <w:tcPr>
            <w:tcW w:w="249" w:type="pct"/>
            <w:shd w:val="clear" w:color="auto" w:fill="DADCCA" w:themeFill="accent4" w:themeFillTint="99"/>
            <w:textDirection w:val="btLr"/>
          </w:tcPr>
          <w:p w:rsidR="00550F8A" w:rsidRPr="00550F8A" w:rsidRDefault="00550F8A" w:rsidP="006C67AC">
            <w:pPr>
              <w:pStyle w:val="ExhibitColumnHeader"/>
              <w:jc w:val="left"/>
            </w:pPr>
            <w:r w:rsidRPr="00550F8A">
              <w:t>Implementation Outcome</w:t>
            </w:r>
          </w:p>
        </w:tc>
        <w:tc>
          <w:tcPr>
            <w:tcW w:w="249" w:type="pct"/>
            <w:gridSpan w:val="2"/>
            <w:shd w:val="clear" w:color="auto" w:fill="DADCCA" w:themeFill="accent4" w:themeFillTint="99"/>
            <w:textDirection w:val="btLr"/>
          </w:tcPr>
          <w:p w:rsidR="00550F8A" w:rsidRPr="00550F8A" w:rsidRDefault="00550F8A" w:rsidP="006C67AC">
            <w:pPr>
              <w:pStyle w:val="ExhibitColumnHeader"/>
              <w:jc w:val="left"/>
            </w:pPr>
            <w:r w:rsidRPr="00550F8A">
              <w:t>Intermediate Outcome</w:t>
            </w:r>
          </w:p>
        </w:tc>
        <w:tc>
          <w:tcPr>
            <w:tcW w:w="248" w:type="pct"/>
            <w:gridSpan w:val="2"/>
            <w:shd w:val="clear" w:color="auto" w:fill="DADCCA" w:themeFill="accent4" w:themeFillTint="99"/>
            <w:textDirection w:val="btLr"/>
          </w:tcPr>
          <w:p w:rsidR="00550F8A" w:rsidRPr="00550F8A" w:rsidRDefault="00550F8A" w:rsidP="006C67AC">
            <w:pPr>
              <w:pStyle w:val="ExhibitColumnHeader"/>
              <w:jc w:val="left"/>
            </w:pPr>
            <w:r w:rsidRPr="00550F8A">
              <w:t>Sexual Risk Outcome</w:t>
            </w:r>
          </w:p>
        </w:tc>
        <w:tc>
          <w:tcPr>
            <w:tcW w:w="235" w:type="pct"/>
            <w:gridSpan w:val="2"/>
            <w:shd w:val="clear" w:color="auto" w:fill="DADCCA" w:themeFill="accent4" w:themeFillTint="99"/>
            <w:textDirection w:val="btLr"/>
            <w:vAlign w:val="center"/>
          </w:tcPr>
          <w:p w:rsidR="00550F8A" w:rsidRPr="006C67AC" w:rsidRDefault="00550F8A" w:rsidP="006C67AC">
            <w:pPr>
              <w:pStyle w:val="ExhibitColumnHeader"/>
              <w:jc w:val="left"/>
            </w:pPr>
            <w:r w:rsidRPr="00550F8A">
              <w:t>Other</w:t>
            </w:r>
          </w:p>
        </w:tc>
        <w:tc>
          <w:tcPr>
            <w:tcW w:w="1368" w:type="pct"/>
            <w:vMerge/>
            <w:shd w:val="clear" w:color="auto" w:fill="DADCCA" w:themeFill="accent4" w:themeFillTint="99"/>
            <w:vAlign w:val="center"/>
          </w:tcPr>
          <w:p w:rsidR="00550F8A" w:rsidRPr="006C67AC" w:rsidRDefault="00550F8A" w:rsidP="006C67AC">
            <w:pPr>
              <w:pStyle w:val="ExhibitColumnHeader"/>
              <w:jc w:val="left"/>
            </w:pPr>
          </w:p>
        </w:tc>
      </w:tr>
      <w:tr w:rsidR="00DE5E88" w:rsidRPr="00E556D3" w:rsidTr="00550F8A">
        <w:trPr>
          <w:cantSplit/>
        </w:trPr>
        <w:tc>
          <w:tcPr>
            <w:tcW w:w="485" w:type="pct"/>
          </w:tcPr>
          <w:p w:rsidR="00021451" w:rsidRPr="00AE2D4C" w:rsidRDefault="00021451" w:rsidP="006C67AC">
            <w:pPr>
              <w:pStyle w:val="ExhibitText"/>
            </w:pPr>
            <w:r w:rsidRPr="00AE2D4C">
              <w:t>1.1</w:t>
            </w:r>
          </w:p>
        </w:tc>
        <w:tc>
          <w:tcPr>
            <w:tcW w:w="460" w:type="pct"/>
          </w:tcPr>
          <w:p w:rsidR="00021451" w:rsidRPr="006C67AC" w:rsidRDefault="0064596C" w:rsidP="006C67AC">
            <w:pPr>
              <w:pStyle w:val="ExhibitText"/>
            </w:pPr>
            <w:r>
              <w:t>1.1</w:t>
            </w:r>
          </w:p>
        </w:tc>
        <w:tc>
          <w:tcPr>
            <w:tcW w:w="1276" w:type="pct"/>
          </w:tcPr>
          <w:p w:rsidR="00021451" w:rsidRPr="006C67AC" w:rsidRDefault="0064596C" w:rsidP="0064596C">
            <w:pPr>
              <w:pStyle w:val="ExhibitText"/>
            </w:pPr>
            <w:r>
              <w:t>Month &amp; year</w:t>
            </w:r>
            <w:r w:rsidR="00021451" w:rsidRPr="006C67AC">
              <w:t xml:space="preserve"> of </w:t>
            </w:r>
            <w:r>
              <w:t>b</w:t>
            </w:r>
            <w:r w:rsidR="00021451" w:rsidRPr="006C67AC">
              <w:t>irth</w:t>
            </w:r>
          </w:p>
        </w:tc>
        <w:tc>
          <w:tcPr>
            <w:tcW w:w="213" w:type="pct"/>
          </w:tcPr>
          <w:p w:rsidR="00021451" w:rsidRPr="006C67AC" w:rsidRDefault="00021451" w:rsidP="006C67AC">
            <w:pPr>
              <w:pStyle w:val="ExhibitText"/>
              <w:jc w:val="center"/>
            </w:pPr>
            <w:r w:rsidRPr="006C67AC">
              <w:sym w:font="Wingdings 2" w:char="F050"/>
            </w:r>
          </w:p>
        </w:tc>
        <w:tc>
          <w:tcPr>
            <w:tcW w:w="217" w:type="pct"/>
          </w:tcPr>
          <w:p w:rsidR="00021451" w:rsidRPr="006C67AC" w:rsidRDefault="00021451" w:rsidP="006C67AC">
            <w:pPr>
              <w:pStyle w:val="ExhibitText"/>
              <w:jc w:val="center"/>
            </w:pPr>
            <w:r w:rsidRPr="006C67AC">
              <w:sym w:font="Wingdings 2" w:char="F050"/>
            </w:r>
          </w:p>
        </w:tc>
        <w:tc>
          <w:tcPr>
            <w:tcW w:w="249" w:type="pct"/>
          </w:tcPr>
          <w:p w:rsidR="00021451" w:rsidRPr="006C67AC" w:rsidRDefault="00021451" w:rsidP="006C67AC">
            <w:pPr>
              <w:pStyle w:val="ExhibitText"/>
              <w:jc w:val="center"/>
            </w:pPr>
          </w:p>
        </w:tc>
        <w:tc>
          <w:tcPr>
            <w:tcW w:w="249" w:type="pct"/>
            <w:gridSpan w:val="2"/>
          </w:tcPr>
          <w:p w:rsidR="00021451" w:rsidRPr="006C67AC" w:rsidRDefault="00021451" w:rsidP="006C67AC">
            <w:pPr>
              <w:pStyle w:val="ExhibitText"/>
              <w:jc w:val="center"/>
            </w:pPr>
          </w:p>
        </w:tc>
        <w:tc>
          <w:tcPr>
            <w:tcW w:w="248" w:type="pct"/>
            <w:gridSpan w:val="2"/>
          </w:tcPr>
          <w:p w:rsidR="00021451" w:rsidRPr="006C67AC" w:rsidRDefault="00021451" w:rsidP="006C67AC">
            <w:pPr>
              <w:pStyle w:val="ExhibitText"/>
              <w:jc w:val="center"/>
            </w:pPr>
          </w:p>
        </w:tc>
        <w:tc>
          <w:tcPr>
            <w:tcW w:w="235" w:type="pct"/>
            <w:gridSpan w:val="2"/>
          </w:tcPr>
          <w:p w:rsidR="00021451" w:rsidRPr="006C67AC" w:rsidRDefault="00021451" w:rsidP="006C67AC">
            <w:pPr>
              <w:pStyle w:val="ExhibitText"/>
              <w:jc w:val="center"/>
            </w:pPr>
          </w:p>
        </w:tc>
        <w:tc>
          <w:tcPr>
            <w:tcW w:w="1368" w:type="pct"/>
            <w:vMerge w:val="restart"/>
          </w:tcPr>
          <w:p w:rsidR="00021451" w:rsidRPr="006C67AC" w:rsidRDefault="00021451" w:rsidP="006C67AC">
            <w:pPr>
              <w:pStyle w:val="ExhibitText"/>
            </w:pPr>
            <w:r w:rsidRPr="006C67AC">
              <w:t>There are marked differences in sexual activity among teens by age, gender, and race/ethnicity. These differences in sexual behavior are reflected in the large differences in reproductive outcomes such as the pregnancy, birth and abortion rate by teens’ age and race. (Browning et al. 2004; Abma et al. 2004; Guttmacher 2006; Santelli et al. 2000; Blinn-Pike 1999; Watt and Nagy 2000)</w:t>
            </w:r>
          </w:p>
        </w:tc>
      </w:tr>
      <w:tr w:rsidR="00DE5E88" w:rsidRPr="00E556D3" w:rsidTr="00550F8A">
        <w:trPr>
          <w:cantSplit/>
        </w:trPr>
        <w:tc>
          <w:tcPr>
            <w:tcW w:w="485" w:type="pct"/>
          </w:tcPr>
          <w:p w:rsidR="00021451" w:rsidRPr="00AE2D4C" w:rsidRDefault="00AE2D4C" w:rsidP="006C67AC">
            <w:pPr>
              <w:pStyle w:val="ExhibitText"/>
            </w:pPr>
            <w:r w:rsidRPr="00AE2D4C">
              <w:t>NA</w:t>
            </w:r>
          </w:p>
        </w:tc>
        <w:tc>
          <w:tcPr>
            <w:tcW w:w="460" w:type="pct"/>
          </w:tcPr>
          <w:p w:rsidR="00021451" w:rsidRPr="006C67AC" w:rsidRDefault="00AE2D4C" w:rsidP="006C67AC">
            <w:pPr>
              <w:pStyle w:val="ExhibitText"/>
            </w:pPr>
            <w:r>
              <w:t>1.3</w:t>
            </w:r>
          </w:p>
        </w:tc>
        <w:tc>
          <w:tcPr>
            <w:tcW w:w="1276" w:type="pct"/>
          </w:tcPr>
          <w:p w:rsidR="00021451" w:rsidRPr="006C67AC" w:rsidRDefault="00021451" w:rsidP="006C67AC">
            <w:pPr>
              <w:pStyle w:val="ExhibitText"/>
            </w:pPr>
            <w:r w:rsidRPr="006C67AC">
              <w:t>Gender</w:t>
            </w:r>
          </w:p>
        </w:tc>
        <w:tc>
          <w:tcPr>
            <w:tcW w:w="213" w:type="pct"/>
          </w:tcPr>
          <w:p w:rsidR="00021451" w:rsidRPr="006C67AC" w:rsidRDefault="00021451" w:rsidP="006C67AC">
            <w:pPr>
              <w:pStyle w:val="ExhibitText"/>
              <w:jc w:val="center"/>
            </w:pPr>
            <w:r w:rsidRPr="006C67AC">
              <w:sym w:font="Wingdings 2" w:char="F050"/>
            </w:r>
          </w:p>
        </w:tc>
        <w:tc>
          <w:tcPr>
            <w:tcW w:w="217" w:type="pct"/>
          </w:tcPr>
          <w:p w:rsidR="00021451" w:rsidRPr="006C67AC" w:rsidRDefault="00021451" w:rsidP="006C67AC">
            <w:pPr>
              <w:pStyle w:val="ExhibitText"/>
              <w:jc w:val="center"/>
            </w:pPr>
            <w:r w:rsidRPr="006C67AC">
              <w:sym w:font="Wingdings 2" w:char="F050"/>
            </w:r>
          </w:p>
        </w:tc>
        <w:tc>
          <w:tcPr>
            <w:tcW w:w="249" w:type="pct"/>
          </w:tcPr>
          <w:p w:rsidR="00021451" w:rsidRPr="006C67AC" w:rsidRDefault="00021451" w:rsidP="006C67AC">
            <w:pPr>
              <w:pStyle w:val="ExhibitText"/>
              <w:jc w:val="center"/>
            </w:pPr>
          </w:p>
        </w:tc>
        <w:tc>
          <w:tcPr>
            <w:tcW w:w="249" w:type="pct"/>
            <w:gridSpan w:val="2"/>
          </w:tcPr>
          <w:p w:rsidR="00021451" w:rsidRPr="006C67AC" w:rsidRDefault="00021451" w:rsidP="006C67AC">
            <w:pPr>
              <w:pStyle w:val="ExhibitText"/>
              <w:jc w:val="center"/>
            </w:pPr>
          </w:p>
        </w:tc>
        <w:tc>
          <w:tcPr>
            <w:tcW w:w="248" w:type="pct"/>
            <w:gridSpan w:val="2"/>
          </w:tcPr>
          <w:p w:rsidR="00021451" w:rsidRPr="006C67AC" w:rsidRDefault="00021451" w:rsidP="006C67AC">
            <w:pPr>
              <w:pStyle w:val="ExhibitText"/>
              <w:jc w:val="center"/>
            </w:pPr>
          </w:p>
        </w:tc>
        <w:tc>
          <w:tcPr>
            <w:tcW w:w="235" w:type="pct"/>
            <w:gridSpan w:val="2"/>
          </w:tcPr>
          <w:p w:rsidR="00021451" w:rsidRPr="006C67AC" w:rsidRDefault="00021451" w:rsidP="006C67AC">
            <w:pPr>
              <w:pStyle w:val="ExhibitText"/>
              <w:jc w:val="center"/>
            </w:pPr>
          </w:p>
        </w:tc>
        <w:tc>
          <w:tcPr>
            <w:tcW w:w="1368" w:type="pct"/>
            <w:vMerge/>
          </w:tcPr>
          <w:p w:rsidR="00021451" w:rsidRPr="006C67AC" w:rsidRDefault="00021451" w:rsidP="006C67AC">
            <w:pPr>
              <w:pStyle w:val="ExhibitText"/>
            </w:pPr>
          </w:p>
        </w:tc>
      </w:tr>
      <w:tr w:rsidR="00DE5E88" w:rsidRPr="00E556D3" w:rsidTr="00550F8A">
        <w:trPr>
          <w:cantSplit/>
        </w:trPr>
        <w:tc>
          <w:tcPr>
            <w:tcW w:w="485" w:type="pct"/>
          </w:tcPr>
          <w:p w:rsidR="00021451" w:rsidRPr="00AE2D4C" w:rsidRDefault="00AE2D4C" w:rsidP="006C67AC">
            <w:pPr>
              <w:pStyle w:val="ExhibitText"/>
            </w:pPr>
            <w:r w:rsidRPr="00AE2D4C">
              <w:t>1.3, 1.4</w:t>
            </w:r>
          </w:p>
        </w:tc>
        <w:tc>
          <w:tcPr>
            <w:tcW w:w="460" w:type="pct"/>
          </w:tcPr>
          <w:p w:rsidR="00021451" w:rsidRPr="006C67AC" w:rsidRDefault="0064596C" w:rsidP="006C67AC">
            <w:pPr>
              <w:pStyle w:val="ExhibitText"/>
            </w:pPr>
            <w:r>
              <w:t>1.4, 1.5</w:t>
            </w:r>
          </w:p>
        </w:tc>
        <w:tc>
          <w:tcPr>
            <w:tcW w:w="1276" w:type="pct"/>
          </w:tcPr>
          <w:p w:rsidR="00021451" w:rsidRPr="006C67AC" w:rsidRDefault="00021451" w:rsidP="006C67AC">
            <w:pPr>
              <w:pStyle w:val="ExhibitText"/>
            </w:pPr>
            <w:r w:rsidRPr="006C67AC">
              <w:t>Race and ethnicity</w:t>
            </w:r>
          </w:p>
        </w:tc>
        <w:tc>
          <w:tcPr>
            <w:tcW w:w="213" w:type="pct"/>
          </w:tcPr>
          <w:p w:rsidR="00021451" w:rsidRPr="006C67AC" w:rsidRDefault="00021451" w:rsidP="006C67AC">
            <w:pPr>
              <w:pStyle w:val="ExhibitText"/>
              <w:jc w:val="center"/>
            </w:pPr>
          </w:p>
        </w:tc>
        <w:tc>
          <w:tcPr>
            <w:tcW w:w="217" w:type="pct"/>
          </w:tcPr>
          <w:p w:rsidR="00021451" w:rsidRPr="006C67AC" w:rsidRDefault="00021451" w:rsidP="006C67AC">
            <w:pPr>
              <w:pStyle w:val="ExhibitText"/>
              <w:jc w:val="center"/>
            </w:pPr>
            <w:r w:rsidRPr="006C67AC">
              <w:sym w:font="Wingdings 2" w:char="F050"/>
            </w:r>
          </w:p>
        </w:tc>
        <w:tc>
          <w:tcPr>
            <w:tcW w:w="249" w:type="pct"/>
          </w:tcPr>
          <w:p w:rsidR="00021451" w:rsidRPr="006C67AC" w:rsidRDefault="00021451" w:rsidP="006C67AC">
            <w:pPr>
              <w:pStyle w:val="ExhibitText"/>
              <w:jc w:val="center"/>
            </w:pPr>
          </w:p>
        </w:tc>
        <w:tc>
          <w:tcPr>
            <w:tcW w:w="249" w:type="pct"/>
            <w:gridSpan w:val="2"/>
          </w:tcPr>
          <w:p w:rsidR="00021451" w:rsidRPr="006C67AC" w:rsidRDefault="00021451" w:rsidP="006C67AC">
            <w:pPr>
              <w:pStyle w:val="ExhibitText"/>
              <w:jc w:val="center"/>
            </w:pPr>
          </w:p>
        </w:tc>
        <w:tc>
          <w:tcPr>
            <w:tcW w:w="248" w:type="pct"/>
            <w:gridSpan w:val="2"/>
          </w:tcPr>
          <w:p w:rsidR="00021451" w:rsidRPr="006C67AC" w:rsidRDefault="00021451" w:rsidP="006C67AC">
            <w:pPr>
              <w:pStyle w:val="ExhibitText"/>
              <w:jc w:val="center"/>
            </w:pPr>
          </w:p>
        </w:tc>
        <w:tc>
          <w:tcPr>
            <w:tcW w:w="235" w:type="pct"/>
            <w:gridSpan w:val="2"/>
          </w:tcPr>
          <w:p w:rsidR="00021451" w:rsidRPr="006C67AC" w:rsidRDefault="00021451" w:rsidP="006C67AC">
            <w:pPr>
              <w:pStyle w:val="ExhibitText"/>
              <w:jc w:val="center"/>
            </w:pPr>
          </w:p>
        </w:tc>
        <w:tc>
          <w:tcPr>
            <w:tcW w:w="1368" w:type="pct"/>
            <w:vMerge/>
          </w:tcPr>
          <w:p w:rsidR="00021451" w:rsidRPr="006C67AC" w:rsidRDefault="00021451" w:rsidP="006C67AC">
            <w:pPr>
              <w:pStyle w:val="ExhibitText"/>
            </w:pPr>
          </w:p>
        </w:tc>
      </w:tr>
      <w:tr w:rsidR="00DE5E88" w:rsidRPr="00E556D3" w:rsidTr="00550F8A">
        <w:trPr>
          <w:cantSplit/>
        </w:trPr>
        <w:tc>
          <w:tcPr>
            <w:tcW w:w="485" w:type="pct"/>
          </w:tcPr>
          <w:p w:rsidR="00021451" w:rsidRPr="00AE2D4C" w:rsidRDefault="00AE2D4C" w:rsidP="006C67AC">
            <w:pPr>
              <w:pStyle w:val="ExhibitText"/>
            </w:pPr>
            <w:r w:rsidRPr="00AE2D4C">
              <w:t>1.5</w:t>
            </w:r>
          </w:p>
        </w:tc>
        <w:tc>
          <w:tcPr>
            <w:tcW w:w="460" w:type="pct"/>
          </w:tcPr>
          <w:p w:rsidR="00021451" w:rsidRPr="006C67AC" w:rsidRDefault="0064596C" w:rsidP="006C67AC">
            <w:pPr>
              <w:pStyle w:val="ExhibitText"/>
            </w:pPr>
            <w:r>
              <w:t>1.6</w:t>
            </w:r>
          </w:p>
        </w:tc>
        <w:tc>
          <w:tcPr>
            <w:tcW w:w="1276" w:type="pct"/>
          </w:tcPr>
          <w:p w:rsidR="00021451" w:rsidRPr="006C67AC" w:rsidRDefault="00021451" w:rsidP="006C67AC">
            <w:pPr>
              <w:pStyle w:val="ExhibitText"/>
            </w:pPr>
            <w:r w:rsidRPr="006C67AC">
              <w:t>Language spoken at home</w:t>
            </w:r>
          </w:p>
        </w:tc>
        <w:tc>
          <w:tcPr>
            <w:tcW w:w="213" w:type="pct"/>
          </w:tcPr>
          <w:p w:rsidR="00021451" w:rsidRPr="006C67AC" w:rsidRDefault="00021451" w:rsidP="006C67AC">
            <w:pPr>
              <w:pStyle w:val="ExhibitText"/>
              <w:jc w:val="center"/>
            </w:pPr>
          </w:p>
        </w:tc>
        <w:tc>
          <w:tcPr>
            <w:tcW w:w="217" w:type="pct"/>
          </w:tcPr>
          <w:p w:rsidR="00021451" w:rsidRPr="006C67AC" w:rsidRDefault="00021451" w:rsidP="006C67AC">
            <w:pPr>
              <w:pStyle w:val="ExhibitText"/>
              <w:jc w:val="center"/>
            </w:pPr>
            <w:r w:rsidRPr="006C67AC">
              <w:sym w:font="Wingdings 2" w:char="F050"/>
            </w:r>
          </w:p>
        </w:tc>
        <w:tc>
          <w:tcPr>
            <w:tcW w:w="249" w:type="pct"/>
          </w:tcPr>
          <w:p w:rsidR="00021451" w:rsidRPr="006C67AC" w:rsidRDefault="00021451" w:rsidP="006C67AC">
            <w:pPr>
              <w:pStyle w:val="ExhibitText"/>
              <w:jc w:val="center"/>
            </w:pPr>
          </w:p>
        </w:tc>
        <w:tc>
          <w:tcPr>
            <w:tcW w:w="249" w:type="pct"/>
            <w:gridSpan w:val="2"/>
          </w:tcPr>
          <w:p w:rsidR="00021451" w:rsidRPr="006C67AC" w:rsidRDefault="00021451" w:rsidP="006C67AC">
            <w:pPr>
              <w:pStyle w:val="ExhibitText"/>
              <w:jc w:val="center"/>
            </w:pPr>
          </w:p>
        </w:tc>
        <w:tc>
          <w:tcPr>
            <w:tcW w:w="248" w:type="pct"/>
            <w:gridSpan w:val="2"/>
          </w:tcPr>
          <w:p w:rsidR="00021451" w:rsidRPr="006C67AC" w:rsidRDefault="00021451" w:rsidP="006C67AC">
            <w:pPr>
              <w:pStyle w:val="ExhibitText"/>
              <w:jc w:val="center"/>
            </w:pPr>
          </w:p>
        </w:tc>
        <w:tc>
          <w:tcPr>
            <w:tcW w:w="235" w:type="pct"/>
            <w:gridSpan w:val="2"/>
          </w:tcPr>
          <w:p w:rsidR="00021451" w:rsidRPr="006C67AC" w:rsidRDefault="00021451" w:rsidP="006C67AC">
            <w:pPr>
              <w:pStyle w:val="ExhibitText"/>
              <w:jc w:val="center"/>
            </w:pPr>
          </w:p>
        </w:tc>
        <w:tc>
          <w:tcPr>
            <w:tcW w:w="1368" w:type="pct"/>
            <w:vMerge/>
          </w:tcPr>
          <w:p w:rsidR="00021451" w:rsidRPr="006C67AC" w:rsidRDefault="00021451" w:rsidP="006C67AC">
            <w:pPr>
              <w:pStyle w:val="ExhibitText"/>
            </w:pPr>
          </w:p>
        </w:tc>
      </w:tr>
      <w:tr w:rsidR="00DE5E88" w:rsidRPr="00E556D3" w:rsidTr="00550F8A">
        <w:trPr>
          <w:cantSplit/>
        </w:trPr>
        <w:tc>
          <w:tcPr>
            <w:tcW w:w="485" w:type="pct"/>
          </w:tcPr>
          <w:p w:rsidR="00021451" w:rsidRPr="00AE2D4C" w:rsidRDefault="00021451" w:rsidP="006C67AC">
            <w:pPr>
              <w:pStyle w:val="ExhibitText"/>
            </w:pPr>
            <w:r w:rsidRPr="00AE2D4C">
              <w:t>1.2</w:t>
            </w:r>
          </w:p>
        </w:tc>
        <w:tc>
          <w:tcPr>
            <w:tcW w:w="460" w:type="pct"/>
          </w:tcPr>
          <w:p w:rsidR="00021451" w:rsidRPr="006C67AC" w:rsidRDefault="0064596C" w:rsidP="006C67AC">
            <w:pPr>
              <w:pStyle w:val="ExhibitText"/>
            </w:pPr>
            <w:r>
              <w:t>1.2</w:t>
            </w:r>
          </w:p>
        </w:tc>
        <w:tc>
          <w:tcPr>
            <w:tcW w:w="1276" w:type="pct"/>
          </w:tcPr>
          <w:p w:rsidR="00021451" w:rsidRPr="006C67AC" w:rsidRDefault="00021451" w:rsidP="006C67AC">
            <w:pPr>
              <w:pStyle w:val="ExhibitText"/>
            </w:pPr>
            <w:r w:rsidRPr="006C67AC">
              <w:t>Grade level</w:t>
            </w:r>
          </w:p>
        </w:tc>
        <w:tc>
          <w:tcPr>
            <w:tcW w:w="213" w:type="pct"/>
          </w:tcPr>
          <w:p w:rsidR="00021451" w:rsidRPr="006C67AC" w:rsidRDefault="00021451" w:rsidP="006C67AC">
            <w:pPr>
              <w:pStyle w:val="ExhibitText"/>
              <w:jc w:val="center"/>
            </w:pPr>
          </w:p>
        </w:tc>
        <w:tc>
          <w:tcPr>
            <w:tcW w:w="217" w:type="pct"/>
          </w:tcPr>
          <w:p w:rsidR="00021451" w:rsidRPr="006C67AC" w:rsidRDefault="00021451" w:rsidP="006C67AC">
            <w:pPr>
              <w:pStyle w:val="ExhibitText"/>
              <w:jc w:val="center"/>
            </w:pPr>
            <w:r w:rsidRPr="006C67AC">
              <w:sym w:font="Wingdings 2" w:char="F050"/>
            </w:r>
          </w:p>
        </w:tc>
        <w:tc>
          <w:tcPr>
            <w:tcW w:w="249" w:type="pct"/>
          </w:tcPr>
          <w:p w:rsidR="00021451" w:rsidRPr="006C67AC" w:rsidRDefault="00021451" w:rsidP="006C67AC">
            <w:pPr>
              <w:pStyle w:val="ExhibitText"/>
              <w:jc w:val="center"/>
            </w:pPr>
          </w:p>
        </w:tc>
        <w:tc>
          <w:tcPr>
            <w:tcW w:w="249" w:type="pct"/>
            <w:gridSpan w:val="2"/>
          </w:tcPr>
          <w:p w:rsidR="00021451" w:rsidRPr="006C67AC" w:rsidRDefault="00021451" w:rsidP="006C67AC">
            <w:pPr>
              <w:pStyle w:val="ExhibitText"/>
              <w:jc w:val="center"/>
            </w:pPr>
          </w:p>
        </w:tc>
        <w:tc>
          <w:tcPr>
            <w:tcW w:w="248" w:type="pct"/>
            <w:gridSpan w:val="2"/>
          </w:tcPr>
          <w:p w:rsidR="00021451" w:rsidRPr="006C67AC" w:rsidRDefault="00021451" w:rsidP="006C67AC">
            <w:pPr>
              <w:pStyle w:val="ExhibitText"/>
              <w:jc w:val="center"/>
            </w:pPr>
          </w:p>
        </w:tc>
        <w:tc>
          <w:tcPr>
            <w:tcW w:w="235" w:type="pct"/>
            <w:gridSpan w:val="2"/>
          </w:tcPr>
          <w:p w:rsidR="00021451" w:rsidRPr="006C67AC" w:rsidRDefault="00021451" w:rsidP="006C67AC">
            <w:pPr>
              <w:pStyle w:val="ExhibitText"/>
              <w:jc w:val="center"/>
            </w:pPr>
          </w:p>
        </w:tc>
        <w:tc>
          <w:tcPr>
            <w:tcW w:w="1368" w:type="pct"/>
          </w:tcPr>
          <w:p w:rsidR="00021451" w:rsidRPr="006C67AC" w:rsidRDefault="00021451" w:rsidP="001E6947">
            <w:pPr>
              <w:pStyle w:val="ExhibitText"/>
            </w:pPr>
            <w:r w:rsidRPr="006C67AC">
              <w:t xml:space="preserve">This question is important to determine in what grade the respondent </w:t>
            </w:r>
            <w:r>
              <w:t>entered the study.</w:t>
            </w:r>
          </w:p>
        </w:tc>
      </w:tr>
      <w:tr w:rsidR="00DE5E88" w:rsidRPr="00E556D3" w:rsidTr="00550F8A">
        <w:trPr>
          <w:cantSplit/>
        </w:trPr>
        <w:tc>
          <w:tcPr>
            <w:tcW w:w="485" w:type="pct"/>
          </w:tcPr>
          <w:p w:rsidR="00021451" w:rsidRPr="00EE33FE" w:rsidRDefault="00AE2D4C" w:rsidP="006C67AC">
            <w:pPr>
              <w:pStyle w:val="ExhibitText"/>
              <w:rPr>
                <w:highlight w:val="yellow"/>
              </w:rPr>
            </w:pPr>
            <w:r w:rsidRPr="00AE2D4C">
              <w:t>1.12</w:t>
            </w:r>
          </w:p>
        </w:tc>
        <w:tc>
          <w:tcPr>
            <w:tcW w:w="460" w:type="pct"/>
          </w:tcPr>
          <w:p w:rsidR="00021451" w:rsidRPr="006C67AC" w:rsidRDefault="0064596C" w:rsidP="006C67AC">
            <w:pPr>
              <w:pStyle w:val="ExhibitText"/>
            </w:pPr>
            <w:r>
              <w:t>1.13</w:t>
            </w:r>
          </w:p>
        </w:tc>
        <w:tc>
          <w:tcPr>
            <w:tcW w:w="1276" w:type="pct"/>
          </w:tcPr>
          <w:p w:rsidR="00021451" w:rsidRPr="006C67AC" w:rsidRDefault="00021451" w:rsidP="006C67AC">
            <w:pPr>
              <w:pStyle w:val="ExhibitText"/>
            </w:pPr>
            <w:r w:rsidRPr="006C67AC">
              <w:t>Expectation for future education</w:t>
            </w:r>
          </w:p>
        </w:tc>
        <w:tc>
          <w:tcPr>
            <w:tcW w:w="213" w:type="pct"/>
          </w:tcPr>
          <w:p w:rsidR="00021451" w:rsidRPr="006C67AC" w:rsidRDefault="00021451" w:rsidP="006C67AC">
            <w:pPr>
              <w:pStyle w:val="ExhibitText"/>
              <w:jc w:val="center"/>
            </w:pPr>
          </w:p>
        </w:tc>
        <w:tc>
          <w:tcPr>
            <w:tcW w:w="217" w:type="pct"/>
          </w:tcPr>
          <w:p w:rsidR="00021451" w:rsidRPr="006C67AC" w:rsidRDefault="00021451" w:rsidP="006C67AC">
            <w:pPr>
              <w:pStyle w:val="ExhibitText"/>
              <w:jc w:val="center"/>
            </w:pPr>
            <w:r w:rsidRPr="006C67AC">
              <w:sym w:font="Wingdings 2" w:char="F050"/>
            </w:r>
          </w:p>
        </w:tc>
        <w:tc>
          <w:tcPr>
            <w:tcW w:w="249" w:type="pct"/>
          </w:tcPr>
          <w:p w:rsidR="00021451" w:rsidRPr="006C67AC" w:rsidRDefault="00021451" w:rsidP="006C67AC">
            <w:pPr>
              <w:pStyle w:val="ExhibitText"/>
              <w:jc w:val="center"/>
            </w:pPr>
          </w:p>
        </w:tc>
        <w:tc>
          <w:tcPr>
            <w:tcW w:w="249" w:type="pct"/>
            <w:gridSpan w:val="2"/>
          </w:tcPr>
          <w:p w:rsidR="00021451" w:rsidRPr="006C67AC" w:rsidRDefault="00021451" w:rsidP="006C67AC">
            <w:pPr>
              <w:pStyle w:val="ExhibitText"/>
              <w:jc w:val="center"/>
            </w:pPr>
          </w:p>
        </w:tc>
        <w:tc>
          <w:tcPr>
            <w:tcW w:w="248" w:type="pct"/>
            <w:gridSpan w:val="2"/>
          </w:tcPr>
          <w:p w:rsidR="00021451" w:rsidRPr="006C67AC" w:rsidRDefault="00021451" w:rsidP="006C67AC">
            <w:pPr>
              <w:pStyle w:val="ExhibitText"/>
              <w:jc w:val="center"/>
            </w:pPr>
          </w:p>
        </w:tc>
        <w:tc>
          <w:tcPr>
            <w:tcW w:w="235" w:type="pct"/>
            <w:gridSpan w:val="2"/>
          </w:tcPr>
          <w:p w:rsidR="00021451" w:rsidRPr="006C67AC" w:rsidRDefault="00021451" w:rsidP="006C67AC">
            <w:pPr>
              <w:pStyle w:val="ExhibitText"/>
              <w:jc w:val="center"/>
            </w:pPr>
          </w:p>
        </w:tc>
        <w:tc>
          <w:tcPr>
            <w:tcW w:w="1368" w:type="pct"/>
          </w:tcPr>
          <w:p w:rsidR="00021451" w:rsidRPr="006C67AC" w:rsidRDefault="00021451" w:rsidP="006C67AC">
            <w:pPr>
              <w:pStyle w:val="ExhibitText"/>
            </w:pPr>
            <w:r w:rsidRPr="006C67AC">
              <w:t>There is an extensive literature that shows that positive expectations for future education lead to delayed sex, decreased frequency of sex, a decreased number of partners, an increase in condom use, and decreased pregnancy and childbearing. (Beuhring et al., 2000, Halpern, et al., 2000, Lanctot, et al., 2001, Moore, et al., 1998)</w:t>
            </w:r>
          </w:p>
        </w:tc>
      </w:tr>
      <w:tr w:rsidR="00DE5E88" w:rsidRPr="00E556D3" w:rsidTr="00550F8A">
        <w:trPr>
          <w:cantSplit/>
        </w:trPr>
        <w:tc>
          <w:tcPr>
            <w:tcW w:w="485" w:type="pct"/>
          </w:tcPr>
          <w:p w:rsidR="00021451" w:rsidRPr="00EE33FE" w:rsidRDefault="00AE2D4C" w:rsidP="006C67AC">
            <w:pPr>
              <w:pStyle w:val="ExhibitText"/>
              <w:rPr>
                <w:highlight w:val="yellow"/>
              </w:rPr>
            </w:pPr>
            <w:r w:rsidRPr="00AE2D4C">
              <w:lastRenderedPageBreak/>
              <w:t>1.6, 1.7</w:t>
            </w:r>
          </w:p>
        </w:tc>
        <w:tc>
          <w:tcPr>
            <w:tcW w:w="460" w:type="pct"/>
          </w:tcPr>
          <w:p w:rsidR="00021451" w:rsidRPr="006C67AC" w:rsidRDefault="0064596C" w:rsidP="006C67AC">
            <w:pPr>
              <w:pStyle w:val="ExhibitText"/>
            </w:pPr>
            <w:r>
              <w:t>1.7, 1.8</w:t>
            </w:r>
          </w:p>
        </w:tc>
        <w:tc>
          <w:tcPr>
            <w:tcW w:w="1276" w:type="pct"/>
          </w:tcPr>
          <w:p w:rsidR="00021451" w:rsidRPr="006C67AC" w:rsidRDefault="00021451" w:rsidP="006C67AC">
            <w:pPr>
              <w:pStyle w:val="ExhibitText"/>
            </w:pPr>
            <w:r w:rsidRPr="006C67AC">
              <w:t xml:space="preserve">Exposure to sexual health education </w:t>
            </w:r>
          </w:p>
        </w:tc>
        <w:tc>
          <w:tcPr>
            <w:tcW w:w="213" w:type="pct"/>
          </w:tcPr>
          <w:p w:rsidR="00021451" w:rsidRPr="006C67AC" w:rsidRDefault="00021451" w:rsidP="006C67AC">
            <w:pPr>
              <w:pStyle w:val="ExhibitText"/>
              <w:jc w:val="center"/>
            </w:pPr>
          </w:p>
        </w:tc>
        <w:tc>
          <w:tcPr>
            <w:tcW w:w="217" w:type="pct"/>
          </w:tcPr>
          <w:p w:rsidR="00021451" w:rsidRPr="006C67AC" w:rsidRDefault="00021451" w:rsidP="006C67AC">
            <w:pPr>
              <w:pStyle w:val="ExhibitText"/>
              <w:jc w:val="center"/>
            </w:pPr>
          </w:p>
        </w:tc>
        <w:tc>
          <w:tcPr>
            <w:tcW w:w="249" w:type="pct"/>
          </w:tcPr>
          <w:p w:rsidR="00021451" w:rsidRPr="006C67AC" w:rsidRDefault="00021451" w:rsidP="006C67AC">
            <w:pPr>
              <w:pStyle w:val="ExhibitText"/>
              <w:jc w:val="center"/>
            </w:pPr>
            <w:r w:rsidRPr="006C67AC">
              <w:sym w:font="Wingdings 2" w:char="F050"/>
            </w:r>
          </w:p>
        </w:tc>
        <w:tc>
          <w:tcPr>
            <w:tcW w:w="249" w:type="pct"/>
            <w:gridSpan w:val="2"/>
          </w:tcPr>
          <w:p w:rsidR="00021451" w:rsidRPr="006C67AC" w:rsidRDefault="00021451" w:rsidP="006C67AC">
            <w:pPr>
              <w:pStyle w:val="ExhibitText"/>
              <w:jc w:val="center"/>
            </w:pPr>
          </w:p>
        </w:tc>
        <w:tc>
          <w:tcPr>
            <w:tcW w:w="248" w:type="pct"/>
            <w:gridSpan w:val="2"/>
          </w:tcPr>
          <w:p w:rsidR="00021451" w:rsidRPr="006C67AC" w:rsidRDefault="00021451" w:rsidP="006C67AC">
            <w:pPr>
              <w:pStyle w:val="ExhibitText"/>
              <w:jc w:val="center"/>
            </w:pPr>
          </w:p>
        </w:tc>
        <w:tc>
          <w:tcPr>
            <w:tcW w:w="235" w:type="pct"/>
            <w:gridSpan w:val="2"/>
          </w:tcPr>
          <w:p w:rsidR="00021451" w:rsidRPr="006C67AC" w:rsidRDefault="00021451" w:rsidP="006C67AC">
            <w:pPr>
              <w:pStyle w:val="ExhibitText"/>
              <w:jc w:val="center"/>
            </w:pPr>
          </w:p>
        </w:tc>
        <w:tc>
          <w:tcPr>
            <w:tcW w:w="1368" w:type="pct"/>
          </w:tcPr>
          <w:p w:rsidR="00021451" w:rsidRPr="0064596C" w:rsidRDefault="00021451" w:rsidP="00F369E1">
            <w:pPr>
              <w:pStyle w:val="Default"/>
              <w:rPr>
                <w:rFonts w:ascii="Arial" w:hAnsi="Arial" w:cs="Arial"/>
                <w:sz w:val="18"/>
                <w:szCs w:val="18"/>
              </w:rPr>
            </w:pPr>
            <w:r w:rsidRPr="0064596C">
              <w:rPr>
                <w:rFonts w:ascii="Arial" w:hAnsi="Arial" w:cs="Arial"/>
                <w:sz w:val="18"/>
                <w:szCs w:val="18"/>
              </w:rPr>
              <w:t xml:space="preserve">These questions will be used to assess teens’ exposure to the messages presented in the program (whether through the program or outside sources). These questions will also assess any services received by teens in the control group. </w:t>
            </w:r>
          </w:p>
          <w:p w:rsidR="00021451" w:rsidRPr="0064596C" w:rsidRDefault="00021451" w:rsidP="00F369E1">
            <w:pPr>
              <w:pStyle w:val="ExhibitText"/>
              <w:rPr>
                <w:szCs w:val="18"/>
              </w:rPr>
            </w:pPr>
          </w:p>
        </w:tc>
      </w:tr>
      <w:tr w:rsidR="00DE5E88" w:rsidRPr="00E556D3" w:rsidTr="00550F8A">
        <w:trPr>
          <w:cantSplit/>
        </w:trPr>
        <w:tc>
          <w:tcPr>
            <w:tcW w:w="485" w:type="pct"/>
          </w:tcPr>
          <w:p w:rsidR="00021451" w:rsidRPr="00EE33FE" w:rsidRDefault="00AE2D4C" w:rsidP="006C67AC">
            <w:pPr>
              <w:pStyle w:val="ExhibitText"/>
              <w:rPr>
                <w:highlight w:val="yellow"/>
              </w:rPr>
            </w:pPr>
            <w:r w:rsidRPr="00AE2D4C">
              <w:t>1.8</w:t>
            </w:r>
          </w:p>
        </w:tc>
        <w:tc>
          <w:tcPr>
            <w:tcW w:w="460" w:type="pct"/>
          </w:tcPr>
          <w:p w:rsidR="00021451" w:rsidRDefault="0064596C" w:rsidP="006C67AC">
            <w:pPr>
              <w:pStyle w:val="ExhibitText"/>
            </w:pPr>
            <w:r>
              <w:t>1.9</w:t>
            </w:r>
          </w:p>
        </w:tc>
        <w:tc>
          <w:tcPr>
            <w:tcW w:w="1276" w:type="pct"/>
          </w:tcPr>
          <w:p w:rsidR="00021451" w:rsidRPr="006C67AC" w:rsidRDefault="00021451" w:rsidP="006C67AC">
            <w:pPr>
              <w:pStyle w:val="ExhibitText"/>
            </w:pPr>
            <w:r>
              <w:t>Partner communication about sexual health</w:t>
            </w:r>
          </w:p>
        </w:tc>
        <w:tc>
          <w:tcPr>
            <w:tcW w:w="213" w:type="pct"/>
          </w:tcPr>
          <w:p w:rsidR="00021451" w:rsidRPr="006C67AC" w:rsidRDefault="00021451" w:rsidP="006C67AC">
            <w:pPr>
              <w:pStyle w:val="ExhibitText"/>
              <w:jc w:val="center"/>
            </w:pPr>
          </w:p>
        </w:tc>
        <w:tc>
          <w:tcPr>
            <w:tcW w:w="217" w:type="pct"/>
          </w:tcPr>
          <w:p w:rsidR="00021451" w:rsidRPr="006C67AC" w:rsidRDefault="00021451" w:rsidP="006C67AC">
            <w:pPr>
              <w:pStyle w:val="ExhibitText"/>
              <w:jc w:val="center"/>
            </w:pPr>
          </w:p>
        </w:tc>
        <w:tc>
          <w:tcPr>
            <w:tcW w:w="249" w:type="pct"/>
          </w:tcPr>
          <w:p w:rsidR="00021451" w:rsidRPr="006C67AC" w:rsidRDefault="00021451" w:rsidP="006C67AC">
            <w:pPr>
              <w:pStyle w:val="ExhibitText"/>
              <w:jc w:val="center"/>
            </w:pPr>
          </w:p>
        </w:tc>
        <w:tc>
          <w:tcPr>
            <w:tcW w:w="249" w:type="pct"/>
            <w:gridSpan w:val="2"/>
          </w:tcPr>
          <w:p w:rsidR="00021451" w:rsidRPr="006C67AC" w:rsidRDefault="00021451" w:rsidP="006C67AC">
            <w:pPr>
              <w:pStyle w:val="ExhibitText"/>
              <w:jc w:val="center"/>
            </w:pPr>
            <w:r w:rsidRPr="006C67AC">
              <w:sym w:font="Wingdings 2" w:char="F050"/>
            </w:r>
          </w:p>
        </w:tc>
        <w:tc>
          <w:tcPr>
            <w:tcW w:w="248" w:type="pct"/>
            <w:gridSpan w:val="2"/>
          </w:tcPr>
          <w:p w:rsidR="00021451" w:rsidRPr="006C67AC" w:rsidRDefault="00021451" w:rsidP="006C67AC">
            <w:pPr>
              <w:pStyle w:val="ExhibitText"/>
              <w:jc w:val="center"/>
            </w:pPr>
          </w:p>
        </w:tc>
        <w:tc>
          <w:tcPr>
            <w:tcW w:w="235" w:type="pct"/>
            <w:gridSpan w:val="2"/>
          </w:tcPr>
          <w:p w:rsidR="00021451" w:rsidRPr="006C67AC" w:rsidRDefault="00021451" w:rsidP="006C67AC">
            <w:pPr>
              <w:pStyle w:val="ExhibitText"/>
              <w:jc w:val="center"/>
            </w:pPr>
          </w:p>
        </w:tc>
        <w:tc>
          <w:tcPr>
            <w:tcW w:w="1368" w:type="pct"/>
          </w:tcPr>
          <w:p w:rsidR="00021451" w:rsidRPr="00566495" w:rsidRDefault="00566495" w:rsidP="006C67AC">
            <w:pPr>
              <w:pStyle w:val="ExhibitText"/>
              <w:rPr>
                <w:color w:val="auto"/>
                <w:highlight w:val="yellow"/>
              </w:rPr>
            </w:pPr>
            <w:r w:rsidRPr="00566495">
              <w:rPr>
                <w:color w:val="auto"/>
              </w:rPr>
              <w:t>These questions will be used to assess the program’s effect on teens’</w:t>
            </w:r>
            <w:r w:rsidR="00FC7055">
              <w:rPr>
                <w:color w:val="auto"/>
              </w:rPr>
              <w:t xml:space="preserve"> level communication</w:t>
            </w:r>
            <w:r w:rsidRPr="00566495">
              <w:rPr>
                <w:color w:val="auto"/>
              </w:rPr>
              <w:t xml:space="preserve"> with their partners, which in turn may affect later health risk behaviors.</w:t>
            </w:r>
            <w:r w:rsidR="003D1307">
              <w:rPr>
                <w:color w:val="auto"/>
              </w:rPr>
              <w:t xml:space="preserve"> </w:t>
            </w:r>
            <w:r w:rsidR="00E5069C" w:rsidRPr="00E5069C">
              <w:rPr>
                <w:color w:val="auto"/>
              </w:rPr>
              <w:t>(Catania et al. 1989</w:t>
            </w:r>
            <w:r w:rsidR="003D1307" w:rsidRPr="00E5069C">
              <w:rPr>
                <w:color w:val="auto"/>
              </w:rPr>
              <w:t>)</w:t>
            </w:r>
          </w:p>
        </w:tc>
      </w:tr>
      <w:tr w:rsidR="00DE5E88" w:rsidRPr="00E556D3" w:rsidTr="00550F8A">
        <w:trPr>
          <w:cantSplit/>
        </w:trPr>
        <w:tc>
          <w:tcPr>
            <w:tcW w:w="485" w:type="pct"/>
          </w:tcPr>
          <w:p w:rsidR="00A8195F" w:rsidRPr="00EE33FE" w:rsidRDefault="00A8195F" w:rsidP="006C67AC">
            <w:pPr>
              <w:pStyle w:val="ExhibitText"/>
              <w:rPr>
                <w:highlight w:val="yellow"/>
              </w:rPr>
            </w:pPr>
            <w:r w:rsidRPr="00A5790F">
              <w:t>1.9</w:t>
            </w:r>
          </w:p>
        </w:tc>
        <w:tc>
          <w:tcPr>
            <w:tcW w:w="460" w:type="pct"/>
          </w:tcPr>
          <w:p w:rsidR="00A8195F" w:rsidRPr="006C67AC" w:rsidRDefault="00A8195F" w:rsidP="006C67AC">
            <w:pPr>
              <w:pStyle w:val="ExhibitText"/>
            </w:pPr>
            <w:r>
              <w:t>1.10</w:t>
            </w:r>
          </w:p>
        </w:tc>
        <w:tc>
          <w:tcPr>
            <w:tcW w:w="1276" w:type="pct"/>
          </w:tcPr>
          <w:p w:rsidR="00A8195F" w:rsidRPr="006C67AC" w:rsidRDefault="00A8195F" w:rsidP="006C67AC">
            <w:pPr>
              <w:pStyle w:val="ExhibitText"/>
            </w:pPr>
            <w:r>
              <w:t>Decision-making skills</w:t>
            </w:r>
          </w:p>
        </w:tc>
        <w:tc>
          <w:tcPr>
            <w:tcW w:w="213" w:type="pct"/>
          </w:tcPr>
          <w:p w:rsidR="00A8195F" w:rsidRPr="006C67AC" w:rsidRDefault="00A8195F" w:rsidP="006C67AC">
            <w:pPr>
              <w:pStyle w:val="ExhibitText"/>
              <w:jc w:val="center"/>
            </w:pPr>
          </w:p>
        </w:tc>
        <w:tc>
          <w:tcPr>
            <w:tcW w:w="217" w:type="pct"/>
          </w:tcPr>
          <w:p w:rsidR="00A8195F" w:rsidRPr="006C67AC" w:rsidRDefault="00A8195F" w:rsidP="006C67AC">
            <w:pPr>
              <w:pStyle w:val="ExhibitText"/>
              <w:jc w:val="center"/>
            </w:pPr>
          </w:p>
        </w:tc>
        <w:tc>
          <w:tcPr>
            <w:tcW w:w="249" w:type="pct"/>
          </w:tcPr>
          <w:p w:rsidR="00A8195F" w:rsidRPr="006C67AC" w:rsidRDefault="00A8195F" w:rsidP="006C67AC">
            <w:pPr>
              <w:pStyle w:val="ExhibitText"/>
              <w:jc w:val="center"/>
            </w:pPr>
          </w:p>
        </w:tc>
        <w:tc>
          <w:tcPr>
            <w:tcW w:w="249" w:type="pct"/>
            <w:gridSpan w:val="2"/>
          </w:tcPr>
          <w:p w:rsidR="00A8195F" w:rsidRPr="006C67AC" w:rsidRDefault="00A8195F" w:rsidP="006C67AC">
            <w:pPr>
              <w:pStyle w:val="ExhibitText"/>
              <w:jc w:val="center"/>
            </w:pPr>
            <w:r w:rsidRPr="006C67AC">
              <w:sym w:font="Wingdings 2" w:char="F050"/>
            </w:r>
          </w:p>
        </w:tc>
        <w:tc>
          <w:tcPr>
            <w:tcW w:w="248" w:type="pct"/>
            <w:gridSpan w:val="2"/>
          </w:tcPr>
          <w:p w:rsidR="00A8195F" w:rsidRPr="006C67AC" w:rsidRDefault="00A8195F" w:rsidP="006C67AC">
            <w:pPr>
              <w:pStyle w:val="ExhibitText"/>
              <w:jc w:val="center"/>
            </w:pPr>
          </w:p>
        </w:tc>
        <w:tc>
          <w:tcPr>
            <w:tcW w:w="235" w:type="pct"/>
            <w:gridSpan w:val="2"/>
          </w:tcPr>
          <w:p w:rsidR="00A8195F" w:rsidRPr="006C67AC" w:rsidRDefault="00A8195F" w:rsidP="006C67AC">
            <w:pPr>
              <w:pStyle w:val="ExhibitText"/>
              <w:jc w:val="center"/>
            </w:pPr>
          </w:p>
        </w:tc>
        <w:tc>
          <w:tcPr>
            <w:tcW w:w="1368" w:type="pct"/>
          </w:tcPr>
          <w:p w:rsidR="00A8195F" w:rsidRPr="001E6947" w:rsidRDefault="00A8195F" w:rsidP="00A5790F">
            <w:pPr>
              <w:pStyle w:val="Default"/>
              <w:rPr>
                <w:rFonts w:ascii="Arial" w:hAnsi="Arial" w:cs="Arial"/>
                <w:sz w:val="18"/>
                <w:szCs w:val="18"/>
              </w:rPr>
            </w:pPr>
            <w:r w:rsidRPr="001E6947">
              <w:rPr>
                <w:rFonts w:ascii="Arial" w:hAnsi="Arial" w:cs="Arial"/>
                <w:sz w:val="18"/>
                <w:szCs w:val="18"/>
              </w:rPr>
              <w:t xml:space="preserve">These questions will be used to assess the program’s effect on teens’ </w:t>
            </w:r>
            <w:r>
              <w:rPr>
                <w:rFonts w:ascii="Arial" w:hAnsi="Arial" w:cs="Arial"/>
                <w:sz w:val="18"/>
                <w:szCs w:val="18"/>
              </w:rPr>
              <w:t>decision-making skills</w:t>
            </w:r>
            <w:r w:rsidRPr="001E6947">
              <w:rPr>
                <w:rFonts w:ascii="Arial" w:hAnsi="Arial" w:cs="Arial"/>
                <w:sz w:val="18"/>
                <w:szCs w:val="18"/>
              </w:rPr>
              <w:t xml:space="preserve">, which in turn may affect their later health risk behaviors. </w:t>
            </w:r>
          </w:p>
          <w:p w:rsidR="00A8195F" w:rsidRPr="001E6947" w:rsidRDefault="00A8195F" w:rsidP="00A5790F">
            <w:pPr>
              <w:pStyle w:val="ExhibitText"/>
              <w:rPr>
                <w:szCs w:val="18"/>
              </w:rPr>
            </w:pPr>
          </w:p>
        </w:tc>
      </w:tr>
      <w:tr w:rsidR="00DE5E88" w:rsidRPr="00E556D3" w:rsidTr="00550F8A">
        <w:trPr>
          <w:cantSplit/>
        </w:trPr>
        <w:tc>
          <w:tcPr>
            <w:tcW w:w="485" w:type="pct"/>
          </w:tcPr>
          <w:p w:rsidR="00A8195F" w:rsidRPr="00EE33FE" w:rsidRDefault="00A8195F" w:rsidP="006C67AC">
            <w:pPr>
              <w:pStyle w:val="ExhibitText"/>
              <w:rPr>
                <w:highlight w:val="yellow"/>
              </w:rPr>
            </w:pPr>
            <w:r>
              <w:t xml:space="preserve">2.1 - </w:t>
            </w:r>
            <w:r w:rsidRPr="00AE2D4C">
              <w:t>2.4</w:t>
            </w:r>
            <w:r>
              <w:t xml:space="preserve"> </w:t>
            </w:r>
          </w:p>
        </w:tc>
        <w:tc>
          <w:tcPr>
            <w:tcW w:w="460" w:type="pct"/>
          </w:tcPr>
          <w:p w:rsidR="00A8195F" w:rsidRPr="006C67AC" w:rsidRDefault="00A8195F" w:rsidP="006C67AC">
            <w:pPr>
              <w:pStyle w:val="ExhibitText"/>
            </w:pPr>
            <w:r>
              <w:t>2.1 – 2.4</w:t>
            </w:r>
          </w:p>
        </w:tc>
        <w:tc>
          <w:tcPr>
            <w:tcW w:w="1276" w:type="pct"/>
          </w:tcPr>
          <w:p w:rsidR="00A8195F" w:rsidRPr="006C67AC" w:rsidRDefault="00A8195F" w:rsidP="006C67AC">
            <w:pPr>
              <w:pStyle w:val="ExhibitText"/>
            </w:pPr>
            <w:r w:rsidRPr="006C67AC">
              <w:t>Parental supervision/monitoring</w:t>
            </w:r>
          </w:p>
        </w:tc>
        <w:tc>
          <w:tcPr>
            <w:tcW w:w="213" w:type="pct"/>
          </w:tcPr>
          <w:p w:rsidR="00A8195F" w:rsidRPr="006C67AC" w:rsidRDefault="00A8195F" w:rsidP="006C67AC">
            <w:pPr>
              <w:pStyle w:val="ExhibitText"/>
              <w:jc w:val="center"/>
            </w:pPr>
          </w:p>
        </w:tc>
        <w:tc>
          <w:tcPr>
            <w:tcW w:w="217" w:type="pct"/>
          </w:tcPr>
          <w:p w:rsidR="00A8195F" w:rsidRPr="006C67AC" w:rsidRDefault="00A8195F" w:rsidP="006C67AC">
            <w:pPr>
              <w:pStyle w:val="ExhibitText"/>
              <w:jc w:val="center"/>
            </w:pPr>
            <w:r w:rsidRPr="006C67AC">
              <w:sym w:font="Wingdings 2" w:char="F050"/>
            </w:r>
          </w:p>
        </w:tc>
        <w:tc>
          <w:tcPr>
            <w:tcW w:w="249" w:type="pct"/>
          </w:tcPr>
          <w:p w:rsidR="00A8195F" w:rsidRPr="006C67AC" w:rsidRDefault="00A8195F" w:rsidP="006C67AC">
            <w:pPr>
              <w:pStyle w:val="ExhibitText"/>
              <w:jc w:val="center"/>
            </w:pPr>
          </w:p>
        </w:tc>
        <w:tc>
          <w:tcPr>
            <w:tcW w:w="249" w:type="pct"/>
            <w:gridSpan w:val="2"/>
          </w:tcPr>
          <w:p w:rsidR="00A8195F" w:rsidRPr="006C67AC" w:rsidRDefault="00A8195F" w:rsidP="006C67AC">
            <w:pPr>
              <w:pStyle w:val="ExhibitText"/>
              <w:jc w:val="center"/>
            </w:pPr>
          </w:p>
        </w:tc>
        <w:tc>
          <w:tcPr>
            <w:tcW w:w="248" w:type="pct"/>
            <w:gridSpan w:val="2"/>
          </w:tcPr>
          <w:p w:rsidR="00A8195F" w:rsidRPr="006C67AC" w:rsidRDefault="00A8195F" w:rsidP="006C67AC">
            <w:pPr>
              <w:pStyle w:val="ExhibitText"/>
              <w:jc w:val="center"/>
            </w:pPr>
          </w:p>
        </w:tc>
        <w:tc>
          <w:tcPr>
            <w:tcW w:w="235" w:type="pct"/>
            <w:gridSpan w:val="2"/>
          </w:tcPr>
          <w:p w:rsidR="00A8195F" w:rsidRPr="006C67AC" w:rsidRDefault="00A8195F" w:rsidP="006C67AC">
            <w:pPr>
              <w:pStyle w:val="ExhibitText"/>
              <w:jc w:val="center"/>
            </w:pPr>
          </w:p>
        </w:tc>
        <w:tc>
          <w:tcPr>
            <w:tcW w:w="1368" w:type="pct"/>
          </w:tcPr>
          <w:p w:rsidR="00A8195F" w:rsidRPr="006C67AC" w:rsidRDefault="00A8195F" w:rsidP="006C67AC">
            <w:pPr>
              <w:pStyle w:val="ExhibitText"/>
            </w:pPr>
            <w:r w:rsidRPr="006C67AC">
              <w:t>These questions will be used to measure the perceived level of parental supervision. Parental monitoring and supervision have been found to be inversely related to a number of problem behaviors among adolescents, including early sexual debut, number of sexual partners, and pregnancy risk. (Miller et al. 2001; Rodgers 1999; Li et al. 2000; Sieverding et al. 2005)</w:t>
            </w:r>
          </w:p>
        </w:tc>
      </w:tr>
      <w:tr w:rsidR="00DE5E88" w:rsidRPr="00E556D3" w:rsidTr="00550F8A">
        <w:trPr>
          <w:cantSplit/>
        </w:trPr>
        <w:tc>
          <w:tcPr>
            <w:tcW w:w="485" w:type="pct"/>
          </w:tcPr>
          <w:p w:rsidR="00A8195F" w:rsidRPr="00EE33FE" w:rsidRDefault="00A8195F" w:rsidP="006C67AC">
            <w:pPr>
              <w:pStyle w:val="ExhibitText"/>
              <w:rPr>
                <w:highlight w:val="yellow"/>
              </w:rPr>
            </w:pPr>
            <w:r w:rsidRPr="0064596C">
              <w:t>7.5, 7.8</w:t>
            </w:r>
          </w:p>
        </w:tc>
        <w:tc>
          <w:tcPr>
            <w:tcW w:w="460" w:type="pct"/>
          </w:tcPr>
          <w:p w:rsidR="00A8195F" w:rsidRPr="006C67AC" w:rsidDel="00EE33FE" w:rsidRDefault="00A8195F" w:rsidP="00047985">
            <w:pPr>
              <w:pStyle w:val="ExhibitText"/>
            </w:pPr>
            <w:r>
              <w:t>2.5, 7.5, 7.8</w:t>
            </w:r>
          </w:p>
        </w:tc>
        <w:tc>
          <w:tcPr>
            <w:tcW w:w="1276" w:type="pct"/>
          </w:tcPr>
          <w:p w:rsidR="00A8195F" w:rsidRPr="006C67AC" w:rsidRDefault="00A8195F" w:rsidP="00047985">
            <w:pPr>
              <w:pStyle w:val="ExhibitText"/>
            </w:pPr>
            <w:r>
              <w:t xml:space="preserve">Parent-child communication </w:t>
            </w:r>
          </w:p>
        </w:tc>
        <w:tc>
          <w:tcPr>
            <w:tcW w:w="213" w:type="pct"/>
          </w:tcPr>
          <w:p w:rsidR="00A8195F" w:rsidRPr="006C67AC" w:rsidRDefault="00A8195F" w:rsidP="006C67AC">
            <w:pPr>
              <w:pStyle w:val="ExhibitText"/>
              <w:jc w:val="center"/>
            </w:pPr>
          </w:p>
        </w:tc>
        <w:tc>
          <w:tcPr>
            <w:tcW w:w="217" w:type="pct"/>
          </w:tcPr>
          <w:p w:rsidR="00A8195F" w:rsidRPr="006C67AC" w:rsidRDefault="00A8195F" w:rsidP="006C67AC">
            <w:pPr>
              <w:pStyle w:val="ExhibitText"/>
              <w:jc w:val="center"/>
            </w:pPr>
          </w:p>
        </w:tc>
        <w:tc>
          <w:tcPr>
            <w:tcW w:w="249" w:type="pct"/>
          </w:tcPr>
          <w:p w:rsidR="00A8195F" w:rsidRPr="006C67AC" w:rsidRDefault="00A8195F" w:rsidP="006C67AC">
            <w:pPr>
              <w:pStyle w:val="ExhibitText"/>
              <w:jc w:val="center"/>
            </w:pPr>
          </w:p>
        </w:tc>
        <w:tc>
          <w:tcPr>
            <w:tcW w:w="249" w:type="pct"/>
            <w:gridSpan w:val="2"/>
          </w:tcPr>
          <w:p w:rsidR="00A8195F" w:rsidRPr="006C67AC" w:rsidRDefault="00A8195F" w:rsidP="006C67AC">
            <w:pPr>
              <w:pStyle w:val="ExhibitText"/>
              <w:jc w:val="center"/>
            </w:pPr>
            <w:r w:rsidRPr="006C67AC">
              <w:sym w:font="Wingdings 2" w:char="F050"/>
            </w:r>
          </w:p>
        </w:tc>
        <w:tc>
          <w:tcPr>
            <w:tcW w:w="248" w:type="pct"/>
            <w:gridSpan w:val="2"/>
          </w:tcPr>
          <w:p w:rsidR="00A8195F" w:rsidRPr="006C67AC" w:rsidRDefault="00A8195F" w:rsidP="006C67AC">
            <w:pPr>
              <w:pStyle w:val="ExhibitText"/>
              <w:jc w:val="center"/>
            </w:pPr>
          </w:p>
        </w:tc>
        <w:tc>
          <w:tcPr>
            <w:tcW w:w="235" w:type="pct"/>
            <w:gridSpan w:val="2"/>
          </w:tcPr>
          <w:p w:rsidR="00A8195F" w:rsidRPr="006C67AC" w:rsidRDefault="00A8195F" w:rsidP="006C67AC">
            <w:pPr>
              <w:pStyle w:val="ExhibitText"/>
              <w:jc w:val="center"/>
            </w:pPr>
          </w:p>
        </w:tc>
        <w:tc>
          <w:tcPr>
            <w:tcW w:w="1368" w:type="pct"/>
          </w:tcPr>
          <w:p w:rsidR="00A8195F" w:rsidRPr="006C67AC" w:rsidRDefault="00A8195F" w:rsidP="006C67AC">
            <w:pPr>
              <w:pStyle w:val="ExhibitText"/>
            </w:pPr>
            <w:r w:rsidRPr="006C67AC">
              <w:t>There is an extensive literature evaluating the relationship between parent-child connectedness</w:t>
            </w:r>
            <w:r>
              <w:t xml:space="preserve"> and communication</w:t>
            </w:r>
            <w:r w:rsidRPr="006C67AC">
              <w:t xml:space="preserve"> and teen sexual activity. All but a few studies indicate that parent-child closeness</w:t>
            </w:r>
            <w:r>
              <w:t xml:space="preserve"> and communication</w:t>
            </w:r>
            <w:r w:rsidRPr="006C67AC">
              <w:t xml:space="preserve"> is negatively associated with pregnancy risk, early sexual initiation, number of sexual partners and consistent use of contraception. (</w:t>
            </w:r>
            <w:r w:rsidR="00566495">
              <w:t xml:space="preserve">DiIorio et al. 2003; </w:t>
            </w:r>
            <w:r w:rsidRPr="006C67AC">
              <w:t>Miller et al. 2001)</w:t>
            </w:r>
          </w:p>
        </w:tc>
      </w:tr>
      <w:tr w:rsidR="00DE5E88" w:rsidRPr="00E556D3" w:rsidTr="00550F8A">
        <w:trPr>
          <w:cantSplit/>
        </w:trPr>
        <w:tc>
          <w:tcPr>
            <w:tcW w:w="485" w:type="pct"/>
          </w:tcPr>
          <w:p w:rsidR="00A8195F" w:rsidRPr="00EE33FE" w:rsidRDefault="00A8195F" w:rsidP="006C67AC">
            <w:pPr>
              <w:pStyle w:val="ExhibitText"/>
              <w:rPr>
                <w:highlight w:val="yellow"/>
              </w:rPr>
            </w:pPr>
            <w:r w:rsidRPr="00AE2D4C">
              <w:t>1.10, 1.11</w:t>
            </w:r>
          </w:p>
        </w:tc>
        <w:tc>
          <w:tcPr>
            <w:tcW w:w="460" w:type="pct"/>
          </w:tcPr>
          <w:p w:rsidR="00A8195F" w:rsidRDefault="00A8195F" w:rsidP="006C67AC">
            <w:pPr>
              <w:pStyle w:val="ExhibitText"/>
            </w:pPr>
            <w:r>
              <w:t>1.10, 1.12</w:t>
            </w:r>
          </w:p>
        </w:tc>
        <w:tc>
          <w:tcPr>
            <w:tcW w:w="1276" w:type="pct"/>
          </w:tcPr>
          <w:p w:rsidR="00A8195F" w:rsidRPr="006C67AC" w:rsidRDefault="00A8195F" w:rsidP="006C67AC">
            <w:pPr>
              <w:pStyle w:val="ExhibitText"/>
            </w:pPr>
            <w:r>
              <w:t>Emotional stress</w:t>
            </w:r>
          </w:p>
        </w:tc>
        <w:tc>
          <w:tcPr>
            <w:tcW w:w="213" w:type="pct"/>
          </w:tcPr>
          <w:p w:rsidR="00A8195F" w:rsidRPr="006C67AC" w:rsidRDefault="00A8195F" w:rsidP="006C67AC">
            <w:pPr>
              <w:pStyle w:val="ExhibitText"/>
              <w:jc w:val="center"/>
            </w:pPr>
          </w:p>
        </w:tc>
        <w:tc>
          <w:tcPr>
            <w:tcW w:w="217" w:type="pct"/>
          </w:tcPr>
          <w:p w:rsidR="00A8195F" w:rsidRPr="006C67AC" w:rsidRDefault="00A8195F" w:rsidP="006C67AC">
            <w:pPr>
              <w:pStyle w:val="ExhibitText"/>
              <w:jc w:val="center"/>
            </w:pPr>
          </w:p>
        </w:tc>
        <w:tc>
          <w:tcPr>
            <w:tcW w:w="249" w:type="pct"/>
          </w:tcPr>
          <w:p w:rsidR="00A8195F" w:rsidRPr="006C67AC" w:rsidRDefault="00A8195F" w:rsidP="006C67AC">
            <w:pPr>
              <w:pStyle w:val="ExhibitText"/>
              <w:jc w:val="center"/>
            </w:pPr>
          </w:p>
        </w:tc>
        <w:tc>
          <w:tcPr>
            <w:tcW w:w="249" w:type="pct"/>
            <w:gridSpan w:val="2"/>
          </w:tcPr>
          <w:p w:rsidR="00A8195F" w:rsidRPr="006C67AC" w:rsidRDefault="00A8195F" w:rsidP="006C67AC">
            <w:pPr>
              <w:pStyle w:val="ExhibitText"/>
              <w:jc w:val="center"/>
            </w:pPr>
            <w:r w:rsidRPr="006C67AC">
              <w:sym w:font="Wingdings 2" w:char="F050"/>
            </w:r>
          </w:p>
        </w:tc>
        <w:tc>
          <w:tcPr>
            <w:tcW w:w="248" w:type="pct"/>
            <w:gridSpan w:val="2"/>
          </w:tcPr>
          <w:p w:rsidR="00A8195F" w:rsidRPr="006C67AC" w:rsidRDefault="00A8195F" w:rsidP="006C67AC">
            <w:pPr>
              <w:pStyle w:val="ExhibitText"/>
              <w:jc w:val="center"/>
            </w:pPr>
          </w:p>
        </w:tc>
        <w:tc>
          <w:tcPr>
            <w:tcW w:w="235" w:type="pct"/>
            <w:gridSpan w:val="2"/>
          </w:tcPr>
          <w:p w:rsidR="00A8195F" w:rsidRPr="006C67AC" w:rsidRDefault="00A8195F" w:rsidP="006C67AC">
            <w:pPr>
              <w:pStyle w:val="ExhibitText"/>
              <w:jc w:val="center"/>
            </w:pPr>
          </w:p>
        </w:tc>
        <w:tc>
          <w:tcPr>
            <w:tcW w:w="1368" w:type="pct"/>
          </w:tcPr>
          <w:p w:rsidR="00A8195F" w:rsidRPr="001E6947" w:rsidRDefault="00A8195F" w:rsidP="001E6947">
            <w:pPr>
              <w:pStyle w:val="Default"/>
              <w:rPr>
                <w:rFonts w:ascii="Arial" w:hAnsi="Arial" w:cs="Arial"/>
                <w:sz w:val="18"/>
                <w:szCs w:val="18"/>
              </w:rPr>
            </w:pPr>
            <w:r w:rsidRPr="001E6947">
              <w:rPr>
                <w:rFonts w:ascii="Arial" w:hAnsi="Arial" w:cs="Arial"/>
                <w:sz w:val="18"/>
                <w:szCs w:val="18"/>
              </w:rPr>
              <w:t xml:space="preserve">These questions will be used to assess the program’s effect on teens’ mental health and emotional stress, which in turn may affect their later health risk behaviors. </w:t>
            </w:r>
          </w:p>
          <w:p w:rsidR="00A8195F" w:rsidRPr="001E6947" w:rsidRDefault="00A8195F" w:rsidP="00EE33FE">
            <w:pPr>
              <w:pStyle w:val="ExhibitText"/>
              <w:rPr>
                <w:szCs w:val="18"/>
              </w:rPr>
            </w:pPr>
          </w:p>
        </w:tc>
      </w:tr>
      <w:tr w:rsidR="00DE5E88" w:rsidRPr="00E556D3" w:rsidTr="00550F8A">
        <w:trPr>
          <w:cantSplit/>
        </w:trPr>
        <w:tc>
          <w:tcPr>
            <w:tcW w:w="485" w:type="pct"/>
          </w:tcPr>
          <w:p w:rsidR="00A8195F" w:rsidRPr="00EE33FE" w:rsidRDefault="00A8195F" w:rsidP="006C67AC">
            <w:pPr>
              <w:pStyle w:val="ExhibitText"/>
              <w:rPr>
                <w:highlight w:val="yellow"/>
              </w:rPr>
            </w:pPr>
            <w:r w:rsidRPr="00AE2D4C">
              <w:t>3.14</w:t>
            </w:r>
          </w:p>
        </w:tc>
        <w:tc>
          <w:tcPr>
            <w:tcW w:w="460" w:type="pct"/>
          </w:tcPr>
          <w:p w:rsidR="00A8195F" w:rsidRPr="006C67AC" w:rsidRDefault="00A8195F" w:rsidP="006C67AC">
            <w:pPr>
              <w:pStyle w:val="ExhibitText"/>
            </w:pPr>
            <w:r>
              <w:t>3.14</w:t>
            </w:r>
          </w:p>
        </w:tc>
        <w:tc>
          <w:tcPr>
            <w:tcW w:w="1276" w:type="pct"/>
          </w:tcPr>
          <w:p w:rsidR="00A8195F" w:rsidRPr="006C67AC" w:rsidRDefault="00A8195F" w:rsidP="006C67AC">
            <w:pPr>
              <w:pStyle w:val="ExhibitText"/>
            </w:pPr>
            <w:r w:rsidRPr="006C67AC">
              <w:t>Attitudes towards abstinence and teen sex</w:t>
            </w:r>
          </w:p>
        </w:tc>
        <w:tc>
          <w:tcPr>
            <w:tcW w:w="213" w:type="pct"/>
          </w:tcPr>
          <w:p w:rsidR="00A8195F" w:rsidRPr="006C67AC" w:rsidRDefault="00A8195F" w:rsidP="006C67AC">
            <w:pPr>
              <w:pStyle w:val="ExhibitText"/>
              <w:jc w:val="center"/>
            </w:pPr>
          </w:p>
        </w:tc>
        <w:tc>
          <w:tcPr>
            <w:tcW w:w="217" w:type="pct"/>
          </w:tcPr>
          <w:p w:rsidR="00A8195F" w:rsidRPr="006C67AC" w:rsidRDefault="00A8195F" w:rsidP="006C67AC">
            <w:pPr>
              <w:pStyle w:val="ExhibitText"/>
              <w:jc w:val="center"/>
            </w:pPr>
          </w:p>
        </w:tc>
        <w:tc>
          <w:tcPr>
            <w:tcW w:w="249" w:type="pct"/>
          </w:tcPr>
          <w:p w:rsidR="00A8195F" w:rsidRPr="006C67AC" w:rsidRDefault="00A8195F" w:rsidP="006C67AC">
            <w:pPr>
              <w:pStyle w:val="ExhibitText"/>
              <w:jc w:val="center"/>
            </w:pPr>
          </w:p>
        </w:tc>
        <w:tc>
          <w:tcPr>
            <w:tcW w:w="249" w:type="pct"/>
            <w:gridSpan w:val="2"/>
          </w:tcPr>
          <w:p w:rsidR="00A8195F" w:rsidRPr="006C67AC" w:rsidRDefault="00FC7055" w:rsidP="006C67AC">
            <w:pPr>
              <w:pStyle w:val="ExhibitText"/>
              <w:jc w:val="center"/>
            </w:pPr>
            <w:r w:rsidRPr="006C67AC">
              <w:sym w:font="Wingdings 2" w:char="F050"/>
            </w:r>
          </w:p>
        </w:tc>
        <w:tc>
          <w:tcPr>
            <w:tcW w:w="248" w:type="pct"/>
            <w:gridSpan w:val="2"/>
          </w:tcPr>
          <w:p w:rsidR="00A8195F" w:rsidRPr="006C67AC" w:rsidRDefault="00A8195F" w:rsidP="006C67AC">
            <w:pPr>
              <w:pStyle w:val="ExhibitText"/>
              <w:jc w:val="center"/>
            </w:pPr>
          </w:p>
        </w:tc>
        <w:tc>
          <w:tcPr>
            <w:tcW w:w="235" w:type="pct"/>
            <w:gridSpan w:val="2"/>
          </w:tcPr>
          <w:p w:rsidR="00A8195F" w:rsidRPr="006C67AC" w:rsidRDefault="00A8195F" w:rsidP="006C67AC">
            <w:pPr>
              <w:pStyle w:val="ExhibitText"/>
              <w:jc w:val="center"/>
            </w:pPr>
          </w:p>
        </w:tc>
        <w:tc>
          <w:tcPr>
            <w:tcW w:w="1368" w:type="pct"/>
          </w:tcPr>
          <w:p w:rsidR="00A8195F" w:rsidRPr="006C67AC" w:rsidRDefault="00A8195F" w:rsidP="00EE33FE">
            <w:pPr>
              <w:pStyle w:val="ExhibitText"/>
            </w:pPr>
            <w:r w:rsidRPr="006C67AC">
              <w:t>Teens’ attitudes about sex and abstinence are associated with the inten</w:t>
            </w:r>
            <w:r>
              <w:t>t</w:t>
            </w:r>
            <w:r w:rsidRPr="006C67AC">
              <w:t>ion to have sex and with early initiation of sexual activity, where a more positive/less permissive attitude towards sex serves as a protective factor. (Buhi and Goodson 2007; Gillmore et al. 2002; Carvajal et al. 1999; Cleveland 2003; DiIorio et al. 2004; Meier 2003)</w:t>
            </w:r>
          </w:p>
        </w:tc>
      </w:tr>
      <w:tr w:rsidR="00DE5E88" w:rsidRPr="00E556D3" w:rsidTr="00550F8A">
        <w:trPr>
          <w:cantSplit/>
        </w:trPr>
        <w:tc>
          <w:tcPr>
            <w:tcW w:w="485" w:type="pct"/>
          </w:tcPr>
          <w:p w:rsidR="00A8195F" w:rsidRPr="00EE33FE" w:rsidRDefault="00A8195F" w:rsidP="006C67AC">
            <w:pPr>
              <w:pStyle w:val="ExhibitText"/>
              <w:rPr>
                <w:highlight w:val="yellow"/>
              </w:rPr>
            </w:pPr>
            <w:r w:rsidRPr="00AE2D4C">
              <w:t>3.17</w:t>
            </w:r>
          </w:p>
        </w:tc>
        <w:tc>
          <w:tcPr>
            <w:tcW w:w="460" w:type="pct"/>
          </w:tcPr>
          <w:p w:rsidR="00A8195F" w:rsidRPr="006C67AC" w:rsidRDefault="00A8195F" w:rsidP="006C67AC">
            <w:pPr>
              <w:pStyle w:val="ExhibitText"/>
            </w:pPr>
            <w:r>
              <w:t>3.17, 3.18</w:t>
            </w:r>
          </w:p>
        </w:tc>
        <w:tc>
          <w:tcPr>
            <w:tcW w:w="1276" w:type="pct"/>
          </w:tcPr>
          <w:p w:rsidR="00A8195F" w:rsidRPr="006C67AC" w:rsidRDefault="00A8195F" w:rsidP="006C67AC">
            <w:pPr>
              <w:pStyle w:val="ExhibitText"/>
            </w:pPr>
            <w:r w:rsidRPr="006C67AC">
              <w:t>Attitudes towards teen pregnancy</w:t>
            </w:r>
          </w:p>
        </w:tc>
        <w:tc>
          <w:tcPr>
            <w:tcW w:w="213" w:type="pct"/>
          </w:tcPr>
          <w:p w:rsidR="00A8195F" w:rsidRPr="006C67AC" w:rsidRDefault="00A8195F" w:rsidP="006C67AC">
            <w:pPr>
              <w:pStyle w:val="ExhibitText"/>
              <w:jc w:val="center"/>
            </w:pPr>
          </w:p>
        </w:tc>
        <w:tc>
          <w:tcPr>
            <w:tcW w:w="217" w:type="pct"/>
          </w:tcPr>
          <w:p w:rsidR="00A8195F" w:rsidRPr="006C67AC" w:rsidRDefault="00A8195F" w:rsidP="006C67AC">
            <w:pPr>
              <w:pStyle w:val="ExhibitText"/>
              <w:jc w:val="center"/>
            </w:pPr>
          </w:p>
        </w:tc>
        <w:tc>
          <w:tcPr>
            <w:tcW w:w="249" w:type="pct"/>
          </w:tcPr>
          <w:p w:rsidR="00A8195F" w:rsidRPr="006C67AC" w:rsidRDefault="00A8195F" w:rsidP="006C67AC">
            <w:pPr>
              <w:pStyle w:val="ExhibitText"/>
              <w:jc w:val="center"/>
            </w:pPr>
          </w:p>
        </w:tc>
        <w:tc>
          <w:tcPr>
            <w:tcW w:w="249" w:type="pct"/>
            <w:gridSpan w:val="2"/>
          </w:tcPr>
          <w:p w:rsidR="00A8195F" w:rsidRPr="006C67AC" w:rsidRDefault="00A8195F" w:rsidP="006C67AC">
            <w:pPr>
              <w:pStyle w:val="ExhibitText"/>
              <w:jc w:val="center"/>
            </w:pPr>
            <w:r w:rsidRPr="006C67AC">
              <w:sym w:font="Wingdings 2" w:char="F050"/>
            </w:r>
          </w:p>
        </w:tc>
        <w:tc>
          <w:tcPr>
            <w:tcW w:w="248" w:type="pct"/>
            <w:gridSpan w:val="2"/>
          </w:tcPr>
          <w:p w:rsidR="00A8195F" w:rsidRPr="006C67AC" w:rsidRDefault="00A8195F" w:rsidP="006C67AC">
            <w:pPr>
              <w:pStyle w:val="ExhibitText"/>
              <w:jc w:val="center"/>
            </w:pPr>
          </w:p>
        </w:tc>
        <w:tc>
          <w:tcPr>
            <w:tcW w:w="235" w:type="pct"/>
            <w:gridSpan w:val="2"/>
          </w:tcPr>
          <w:p w:rsidR="00A8195F" w:rsidRPr="006C67AC" w:rsidRDefault="00A8195F" w:rsidP="006C67AC">
            <w:pPr>
              <w:pStyle w:val="ExhibitText"/>
              <w:jc w:val="center"/>
            </w:pPr>
          </w:p>
        </w:tc>
        <w:tc>
          <w:tcPr>
            <w:tcW w:w="1368" w:type="pct"/>
          </w:tcPr>
          <w:p w:rsidR="00A8195F" w:rsidRPr="006C67AC" w:rsidRDefault="00A8195F" w:rsidP="006C67AC">
            <w:pPr>
              <w:pStyle w:val="ExhibitText"/>
            </w:pPr>
            <w:r w:rsidRPr="006C67AC">
              <w:t>Teens with a more positive attitude towards pregnancy are more likely to become pregnant. Attitudes towards teen pregnancy are also related to contraceptive use among females, where those with a higher motivation to avoid pregnancy are more likely to use contraception. (Ryan et al. 2007; Bruckner et al. 2004; Jaccard et al. 2003)</w:t>
            </w:r>
          </w:p>
        </w:tc>
      </w:tr>
      <w:tr w:rsidR="00DE5E88" w:rsidRPr="00E556D3" w:rsidTr="00550F8A">
        <w:trPr>
          <w:cantSplit/>
        </w:trPr>
        <w:tc>
          <w:tcPr>
            <w:tcW w:w="485" w:type="pct"/>
          </w:tcPr>
          <w:p w:rsidR="00A8195F" w:rsidRPr="00EE33FE" w:rsidRDefault="00A8195F" w:rsidP="006C67AC">
            <w:pPr>
              <w:pStyle w:val="ExhibitText"/>
              <w:rPr>
                <w:highlight w:val="yellow"/>
              </w:rPr>
            </w:pPr>
            <w:r w:rsidRPr="00AE2D4C">
              <w:t>3.18, 3.19</w:t>
            </w:r>
          </w:p>
        </w:tc>
        <w:tc>
          <w:tcPr>
            <w:tcW w:w="460" w:type="pct"/>
          </w:tcPr>
          <w:p w:rsidR="00A8195F" w:rsidRDefault="00A8195F" w:rsidP="006C67AC">
            <w:pPr>
              <w:pStyle w:val="ExhibitText"/>
            </w:pPr>
            <w:r>
              <w:t>3.19, 3.20</w:t>
            </w:r>
          </w:p>
        </w:tc>
        <w:tc>
          <w:tcPr>
            <w:tcW w:w="1276" w:type="pct"/>
          </w:tcPr>
          <w:p w:rsidR="00A8195F" w:rsidRDefault="00A8195F" w:rsidP="006C67AC">
            <w:pPr>
              <w:pStyle w:val="ExhibitText"/>
            </w:pPr>
            <w:r>
              <w:t>Likelihood of pregnancy</w:t>
            </w:r>
          </w:p>
        </w:tc>
        <w:tc>
          <w:tcPr>
            <w:tcW w:w="213" w:type="pct"/>
          </w:tcPr>
          <w:p w:rsidR="00A8195F" w:rsidRPr="006C67AC" w:rsidRDefault="00A8195F" w:rsidP="006C67AC">
            <w:pPr>
              <w:pStyle w:val="ExhibitText"/>
              <w:jc w:val="center"/>
            </w:pPr>
          </w:p>
        </w:tc>
        <w:tc>
          <w:tcPr>
            <w:tcW w:w="217" w:type="pct"/>
          </w:tcPr>
          <w:p w:rsidR="00A8195F" w:rsidRPr="006C67AC" w:rsidRDefault="00A8195F" w:rsidP="006C67AC">
            <w:pPr>
              <w:pStyle w:val="ExhibitText"/>
              <w:jc w:val="center"/>
            </w:pPr>
          </w:p>
        </w:tc>
        <w:tc>
          <w:tcPr>
            <w:tcW w:w="249" w:type="pct"/>
          </w:tcPr>
          <w:p w:rsidR="00A8195F" w:rsidRPr="006C67AC" w:rsidRDefault="00A8195F" w:rsidP="006C67AC">
            <w:pPr>
              <w:pStyle w:val="ExhibitText"/>
              <w:jc w:val="center"/>
            </w:pPr>
          </w:p>
        </w:tc>
        <w:tc>
          <w:tcPr>
            <w:tcW w:w="249" w:type="pct"/>
            <w:gridSpan w:val="2"/>
          </w:tcPr>
          <w:p w:rsidR="00A8195F" w:rsidRPr="006C67AC" w:rsidRDefault="00A8195F" w:rsidP="006C67AC">
            <w:pPr>
              <w:pStyle w:val="ExhibitText"/>
              <w:jc w:val="center"/>
            </w:pPr>
            <w:r w:rsidRPr="006C67AC">
              <w:sym w:font="Wingdings 2" w:char="F050"/>
            </w:r>
          </w:p>
        </w:tc>
        <w:tc>
          <w:tcPr>
            <w:tcW w:w="248" w:type="pct"/>
            <w:gridSpan w:val="2"/>
          </w:tcPr>
          <w:p w:rsidR="00A8195F" w:rsidRPr="006C67AC" w:rsidRDefault="00A8195F" w:rsidP="006C67AC">
            <w:pPr>
              <w:pStyle w:val="ExhibitText"/>
              <w:jc w:val="center"/>
            </w:pPr>
          </w:p>
        </w:tc>
        <w:tc>
          <w:tcPr>
            <w:tcW w:w="235" w:type="pct"/>
            <w:gridSpan w:val="2"/>
          </w:tcPr>
          <w:p w:rsidR="00A8195F" w:rsidRPr="006C67AC" w:rsidRDefault="00A8195F" w:rsidP="006C67AC">
            <w:pPr>
              <w:pStyle w:val="ExhibitText"/>
              <w:jc w:val="center"/>
            </w:pPr>
          </w:p>
        </w:tc>
        <w:tc>
          <w:tcPr>
            <w:tcW w:w="1368" w:type="pct"/>
          </w:tcPr>
          <w:p w:rsidR="00A8195F" w:rsidRPr="00FB152D" w:rsidRDefault="00A8195F" w:rsidP="00FB152D">
            <w:pPr>
              <w:pStyle w:val="Default"/>
              <w:rPr>
                <w:rFonts w:ascii="Arial" w:hAnsi="Arial" w:cs="Arial"/>
                <w:sz w:val="18"/>
                <w:szCs w:val="18"/>
              </w:rPr>
            </w:pPr>
            <w:r w:rsidRPr="00FB152D">
              <w:rPr>
                <w:rFonts w:ascii="Arial" w:hAnsi="Arial" w:cs="Arial"/>
                <w:sz w:val="18"/>
                <w:szCs w:val="18"/>
              </w:rPr>
              <w:t xml:space="preserve">These questions will be used to measure the program’s effects on teens’ intentions to get pregnant (for girls) or cause a pregnancy (for boys), which in turn may shape their future sexual risk behaviors. </w:t>
            </w:r>
          </w:p>
          <w:p w:rsidR="00A8195F" w:rsidRPr="00FB152D" w:rsidRDefault="00A8195F" w:rsidP="001E6947">
            <w:pPr>
              <w:pStyle w:val="Default"/>
              <w:rPr>
                <w:rFonts w:ascii="Arial" w:hAnsi="Arial" w:cs="Arial"/>
                <w:sz w:val="18"/>
                <w:szCs w:val="18"/>
              </w:rPr>
            </w:pPr>
          </w:p>
        </w:tc>
      </w:tr>
      <w:tr w:rsidR="00DE5E88" w:rsidRPr="00E556D3" w:rsidTr="00550F8A">
        <w:trPr>
          <w:cantSplit/>
        </w:trPr>
        <w:tc>
          <w:tcPr>
            <w:tcW w:w="485" w:type="pct"/>
          </w:tcPr>
          <w:p w:rsidR="00A8195F" w:rsidRPr="00EE33FE" w:rsidRDefault="00A8195F" w:rsidP="006C67AC">
            <w:pPr>
              <w:pStyle w:val="ExhibitText"/>
              <w:rPr>
                <w:highlight w:val="yellow"/>
              </w:rPr>
            </w:pPr>
            <w:r w:rsidRPr="00AE2D4C">
              <w:t>3.21, 3.22</w:t>
            </w:r>
          </w:p>
        </w:tc>
        <w:tc>
          <w:tcPr>
            <w:tcW w:w="460" w:type="pct"/>
          </w:tcPr>
          <w:p w:rsidR="00A8195F" w:rsidRDefault="00A8195F" w:rsidP="006C67AC">
            <w:pPr>
              <w:pStyle w:val="ExhibitText"/>
            </w:pPr>
            <w:r>
              <w:t>3.22, 3.23</w:t>
            </w:r>
          </w:p>
        </w:tc>
        <w:tc>
          <w:tcPr>
            <w:tcW w:w="1276" w:type="pct"/>
          </w:tcPr>
          <w:p w:rsidR="00A8195F" w:rsidRDefault="00A8195F" w:rsidP="006C67AC">
            <w:pPr>
              <w:pStyle w:val="ExhibitText"/>
            </w:pPr>
            <w:r>
              <w:t>Likelihood of contracting an STD</w:t>
            </w:r>
          </w:p>
        </w:tc>
        <w:tc>
          <w:tcPr>
            <w:tcW w:w="213" w:type="pct"/>
          </w:tcPr>
          <w:p w:rsidR="00A8195F" w:rsidRPr="006C67AC" w:rsidRDefault="00A8195F" w:rsidP="006C67AC">
            <w:pPr>
              <w:pStyle w:val="ExhibitText"/>
              <w:jc w:val="center"/>
            </w:pPr>
          </w:p>
        </w:tc>
        <w:tc>
          <w:tcPr>
            <w:tcW w:w="217" w:type="pct"/>
          </w:tcPr>
          <w:p w:rsidR="00A8195F" w:rsidRPr="006C67AC" w:rsidRDefault="00A8195F" w:rsidP="006C67AC">
            <w:pPr>
              <w:pStyle w:val="ExhibitText"/>
              <w:jc w:val="center"/>
            </w:pPr>
          </w:p>
        </w:tc>
        <w:tc>
          <w:tcPr>
            <w:tcW w:w="249" w:type="pct"/>
          </w:tcPr>
          <w:p w:rsidR="00A8195F" w:rsidRPr="006C67AC" w:rsidRDefault="00A8195F" w:rsidP="006C67AC">
            <w:pPr>
              <w:pStyle w:val="ExhibitText"/>
              <w:jc w:val="center"/>
            </w:pPr>
          </w:p>
        </w:tc>
        <w:tc>
          <w:tcPr>
            <w:tcW w:w="249" w:type="pct"/>
            <w:gridSpan w:val="2"/>
          </w:tcPr>
          <w:p w:rsidR="00A8195F" w:rsidRPr="006C67AC" w:rsidRDefault="00A8195F" w:rsidP="006C67AC">
            <w:pPr>
              <w:pStyle w:val="ExhibitText"/>
              <w:jc w:val="center"/>
            </w:pPr>
            <w:r w:rsidRPr="006C67AC">
              <w:sym w:font="Wingdings 2" w:char="F050"/>
            </w:r>
          </w:p>
        </w:tc>
        <w:tc>
          <w:tcPr>
            <w:tcW w:w="248" w:type="pct"/>
            <w:gridSpan w:val="2"/>
          </w:tcPr>
          <w:p w:rsidR="00A8195F" w:rsidRPr="006C67AC" w:rsidRDefault="00A8195F" w:rsidP="006C67AC">
            <w:pPr>
              <w:pStyle w:val="ExhibitText"/>
              <w:jc w:val="center"/>
            </w:pPr>
          </w:p>
        </w:tc>
        <w:tc>
          <w:tcPr>
            <w:tcW w:w="235" w:type="pct"/>
            <w:gridSpan w:val="2"/>
          </w:tcPr>
          <w:p w:rsidR="00A8195F" w:rsidRPr="006C67AC" w:rsidRDefault="00A8195F" w:rsidP="006C67AC">
            <w:pPr>
              <w:pStyle w:val="ExhibitText"/>
              <w:jc w:val="center"/>
            </w:pPr>
          </w:p>
        </w:tc>
        <w:tc>
          <w:tcPr>
            <w:tcW w:w="1368" w:type="pct"/>
          </w:tcPr>
          <w:p w:rsidR="00A8195F" w:rsidRPr="00FB152D" w:rsidRDefault="00A8195F" w:rsidP="00FB152D">
            <w:pPr>
              <w:pStyle w:val="Default"/>
              <w:rPr>
                <w:rFonts w:ascii="Arial" w:hAnsi="Arial" w:cs="Arial"/>
                <w:sz w:val="18"/>
                <w:szCs w:val="18"/>
              </w:rPr>
            </w:pPr>
            <w:r w:rsidRPr="00FB152D">
              <w:rPr>
                <w:rFonts w:ascii="Arial" w:hAnsi="Arial" w:cs="Arial"/>
                <w:sz w:val="18"/>
                <w:szCs w:val="18"/>
              </w:rPr>
              <w:t xml:space="preserve">These measures will be used to assess the program’s effect on teens’ perceived likelihood of contracting STDs, which in turn may predict their future involvement in sexual risk behaviors. </w:t>
            </w:r>
          </w:p>
          <w:p w:rsidR="00A8195F" w:rsidRPr="00FB152D" w:rsidRDefault="00A8195F" w:rsidP="001E6947">
            <w:pPr>
              <w:pStyle w:val="Default"/>
              <w:rPr>
                <w:rFonts w:ascii="Arial" w:hAnsi="Arial" w:cs="Arial"/>
                <w:sz w:val="18"/>
                <w:szCs w:val="18"/>
              </w:rPr>
            </w:pPr>
          </w:p>
        </w:tc>
      </w:tr>
      <w:tr w:rsidR="00DE5E88" w:rsidRPr="00E556D3" w:rsidTr="00550F8A">
        <w:trPr>
          <w:cantSplit/>
        </w:trPr>
        <w:tc>
          <w:tcPr>
            <w:tcW w:w="485" w:type="pct"/>
          </w:tcPr>
          <w:p w:rsidR="00A8195F" w:rsidRPr="00AE2D4C" w:rsidRDefault="00A8195F" w:rsidP="006C67AC">
            <w:pPr>
              <w:pStyle w:val="ExhibitText"/>
            </w:pPr>
            <w:r w:rsidRPr="00AE2D4C">
              <w:t>3.20</w:t>
            </w:r>
          </w:p>
        </w:tc>
        <w:tc>
          <w:tcPr>
            <w:tcW w:w="460" w:type="pct"/>
          </w:tcPr>
          <w:p w:rsidR="00A8195F" w:rsidRDefault="00A8195F" w:rsidP="006C67AC">
            <w:pPr>
              <w:pStyle w:val="ExhibitText"/>
            </w:pPr>
            <w:r>
              <w:t>3.21</w:t>
            </w:r>
          </w:p>
        </w:tc>
        <w:tc>
          <w:tcPr>
            <w:tcW w:w="1276" w:type="pct"/>
          </w:tcPr>
          <w:p w:rsidR="00A8195F" w:rsidRPr="006C67AC" w:rsidRDefault="00A8195F" w:rsidP="006C67AC">
            <w:pPr>
              <w:pStyle w:val="ExhibitText"/>
            </w:pPr>
            <w:r>
              <w:t>Future goals and expectations</w:t>
            </w:r>
          </w:p>
        </w:tc>
        <w:tc>
          <w:tcPr>
            <w:tcW w:w="213" w:type="pct"/>
          </w:tcPr>
          <w:p w:rsidR="00A8195F" w:rsidRPr="006C67AC" w:rsidRDefault="00A8195F" w:rsidP="006C67AC">
            <w:pPr>
              <w:pStyle w:val="ExhibitText"/>
              <w:jc w:val="center"/>
            </w:pPr>
          </w:p>
        </w:tc>
        <w:tc>
          <w:tcPr>
            <w:tcW w:w="217" w:type="pct"/>
          </w:tcPr>
          <w:p w:rsidR="00A8195F" w:rsidRPr="006C67AC" w:rsidRDefault="00A8195F" w:rsidP="006C67AC">
            <w:pPr>
              <w:pStyle w:val="ExhibitText"/>
              <w:jc w:val="center"/>
            </w:pPr>
          </w:p>
        </w:tc>
        <w:tc>
          <w:tcPr>
            <w:tcW w:w="249" w:type="pct"/>
          </w:tcPr>
          <w:p w:rsidR="00A8195F" w:rsidRPr="006C67AC" w:rsidRDefault="00A8195F" w:rsidP="006C67AC">
            <w:pPr>
              <w:pStyle w:val="ExhibitText"/>
              <w:jc w:val="center"/>
            </w:pPr>
          </w:p>
        </w:tc>
        <w:tc>
          <w:tcPr>
            <w:tcW w:w="249" w:type="pct"/>
            <w:gridSpan w:val="2"/>
          </w:tcPr>
          <w:p w:rsidR="00A8195F" w:rsidRPr="006C67AC" w:rsidRDefault="00A8195F" w:rsidP="006C67AC">
            <w:pPr>
              <w:pStyle w:val="ExhibitText"/>
              <w:jc w:val="center"/>
            </w:pPr>
            <w:r w:rsidRPr="006C67AC">
              <w:sym w:font="Wingdings 2" w:char="F050"/>
            </w:r>
          </w:p>
        </w:tc>
        <w:tc>
          <w:tcPr>
            <w:tcW w:w="248" w:type="pct"/>
            <w:gridSpan w:val="2"/>
          </w:tcPr>
          <w:p w:rsidR="00A8195F" w:rsidRPr="006C67AC" w:rsidRDefault="00A8195F" w:rsidP="006C67AC">
            <w:pPr>
              <w:pStyle w:val="ExhibitText"/>
              <w:jc w:val="center"/>
            </w:pPr>
          </w:p>
        </w:tc>
        <w:tc>
          <w:tcPr>
            <w:tcW w:w="235" w:type="pct"/>
            <w:gridSpan w:val="2"/>
          </w:tcPr>
          <w:p w:rsidR="00A8195F" w:rsidRPr="006C67AC" w:rsidRDefault="00A8195F" w:rsidP="006C67AC">
            <w:pPr>
              <w:pStyle w:val="ExhibitText"/>
              <w:jc w:val="center"/>
            </w:pPr>
          </w:p>
        </w:tc>
        <w:tc>
          <w:tcPr>
            <w:tcW w:w="1368" w:type="pct"/>
          </w:tcPr>
          <w:p w:rsidR="00A8195F" w:rsidRPr="00FB152D" w:rsidRDefault="00A8195F" w:rsidP="001E6947">
            <w:pPr>
              <w:pStyle w:val="Default"/>
              <w:rPr>
                <w:rFonts w:ascii="Arial" w:hAnsi="Arial" w:cs="Arial"/>
                <w:sz w:val="18"/>
                <w:szCs w:val="18"/>
              </w:rPr>
            </w:pPr>
            <w:r w:rsidRPr="00FB152D">
              <w:rPr>
                <w:rFonts w:ascii="Arial" w:hAnsi="Arial" w:cs="Arial"/>
                <w:sz w:val="18"/>
                <w:szCs w:val="18"/>
              </w:rPr>
              <w:t xml:space="preserve">This measure will be used to assess the program’s effect on their goals for the future, which in turn may influence the decisions they make about sexual risk behaviors. </w:t>
            </w:r>
          </w:p>
          <w:p w:rsidR="00A8195F" w:rsidRPr="00FB152D" w:rsidRDefault="00A8195F" w:rsidP="006C67AC">
            <w:pPr>
              <w:pStyle w:val="ExhibitText"/>
              <w:rPr>
                <w:szCs w:val="18"/>
              </w:rPr>
            </w:pPr>
          </w:p>
        </w:tc>
      </w:tr>
      <w:tr w:rsidR="00DE5E88" w:rsidRPr="00E556D3" w:rsidTr="00550F8A">
        <w:trPr>
          <w:cantSplit/>
        </w:trPr>
        <w:tc>
          <w:tcPr>
            <w:tcW w:w="485" w:type="pct"/>
          </w:tcPr>
          <w:p w:rsidR="00A8195F" w:rsidRPr="00EE33FE" w:rsidRDefault="00A8195F" w:rsidP="006C67AC">
            <w:pPr>
              <w:pStyle w:val="ExhibitText"/>
              <w:rPr>
                <w:highlight w:val="yellow"/>
              </w:rPr>
            </w:pPr>
            <w:r w:rsidRPr="00AE2D4C">
              <w:t>3.15, 3.16</w:t>
            </w:r>
          </w:p>
        </w:tc>
        <w:tc>
          <w:tcPr>
            <w:tcW w:w="460" w:type="pct"/>
          </w:tcPr>
          <w:p w:rsidR="00A8195F" w:rsidRDefault="00A8195F" w:rsidP="00047985">
            <w:pPr>
              <w:pStyle w:val="ExhibitText"/>
            </w:pPr>
            <w:r>
              <w:t>3.15, 3.16</w:t>
            </w:r>
          </w:p>
        </w:tc>
        <w:tc>
          <w:tcPr>
            <w:tcW w:w="1276" w:type="pct"/>
          </w:tcPr>
          <w:p w:rsidR="00A8195F" w:rsidRPr="006C67AC" w:rsidRDefault="00A8195F" w:rsidP="00047985">
            <w:pPr>
              <w:pStyle w:val="ExhibitText"/>
            </w:pPr>
            <w:r>
              <w:t>Negotiation and refusal skills</w:t>
            </w:r>
          </w:p>
        </w:tc>
        <w:tc>
          <w:tcPr>
            <w:tcW w:w="213" w:type="pct"/>
          </w:tcPr>
          <w:p w:rsidR="00A8195F" w:rsidRPr="006C67AC" w:rsidRDefault="00A8195F" w:rsidP="006C67AC">
            <w:pPr>
              <w:pStyle w:val="ExhibitText"/>
              <w:jc w:val="center"/>
            </w:pPr>
          </w:p>
        </w:tc>
        <w:tc>
          <w:tcPr>
            <w:tcW w:w="217" w:type="pct"/>
          </w:tcPr>
          <w:p w:rsidR="00A8195F" w:rsidRPr="006C67AC" w:rsidRDefault="00A8195F" w:rsidP="006C67AC">
            <w:pPr>
              <w:pStyle w:val="ExhibitText"/>
              <w:jc w:val="center"/>
            </w:pPr>
          </w:p>
        </w:tc>
        <w:tc>
          <w:tcPr>
            <w:tcW w:w="249" w:type="pct"/>
          </w:tcPr>
          <w:p w:rsidR="00A8195F" w:rsidRPr="006C67AC" w:rsidRDefault="00A8195F" w:rsidP="006C67AC">
            <w:pPr>
              <w:pStyle w:val="ExhibitText"/>
              <w:jc w:val="center"/>
            </w:pPr>
          </w:p>
        </w:tc>
        <w:tc>
          <w:tcPr>
            <w:tcW w:w="249" w:type="pct"/>
            <w:gridSpan w:val="2"/>
          </w:tcPr>
          <w:p w:rsidR="00A8195F" w:rsidRPr="006C67AC" w:rsidRDefault="00A8195F" w:rsidP="006C67AC">
            <w:pPr>
              <w:pStyle w:val="ExhibitText"/>
              <w:jc w:val="center"/>
            </w:pPr>
            <w:r w:rsidRPr="006C67AC">
              <w:sym w:font="Wingdings 2" w:char="F050"/>
            </w:r>
          </w:p>
        </w:tc>
        <w:tc>
          <w:tcPr>
            <w:tcW w:w="248" w:type="pct"/>
            <w:gridSpan w:val="2"/>
          </w:tcPr>
          <w:p w:rsidR="00A8195F" w:rsidRPr="006C67AC" w:rsidRDefault="00A8195F" w:rsidP="006C67AC">
            <w:pPr>
              <w:pStyle w:val="ExhibitText"/>
              <w:jc w:val="center"/>
            </w:pPr>
          </w:p>
        </w:tc>
        <w:tc>
          <w:tcPr>
            <w:tcW w:w="235" w:type="pct"/>
            <w:gridSpan w:val="2"/>
          </w:tcPr>
          <w:p w:rsidR="00A8195F" w:rsidRPr="006C67AC" w:rsidRDefault="00A8195F" w:rsidP="006C67AC">
            <w:pPr>
              <w:pStyle w:val="ExhibitText"/>
              <w:jc w:val="center"/>
            </w:pPr>
          </w:p>
        </w:tc>
        <w:tc>
          <w:tcPr>
            <w:tcW w:w="1368" w:type="pct"/>
          </w:tcPr>
          <w:p w:rsidR="00A8195F" w:rsidRPr="00FB152D" w:rsidRDefault="00A8195F" w:rsidP="00FB152D">
            <w:pPr>
              <w:pStyle w:val="Default"/>
              <w:rPr>
                <w:rFonts w:ascii="Arial" w:hAnsi="Arial" w:cs="Arial"/>
                <w:sz w:val="18"/>
                <w:szCs w:val="18"/>
              </w:rPr>
            </w:pPr>
            <w:r w:rsidRPr="00FB152D">
              <w:rPr>
                <w:rFonts w:ascii="Arial" w:hAnsi="Arial" w:cs="Arial"/>
                <w:sz w:val="18"/>
                <w:szCs w:val="18"/>
              </w:rPr>
              <w:t xml:space="preserve">Adolescent males who received instruction on “how to say no to sex” as part of an AIDS education were more likely to use a condom, had fewer sexual partners and a lower frequency of sexual intercourse. (Ku et al. 1992) </w:t>
            </w:r>
          </w:p>
          <w:p w:rsidR="00A8195F" w:rsidRPr="00FB152D" w:rsidRDefault="00A8195F" w:rsidP="006C67AC">
            <w:pPr>
              <w:pStyle w:val="ExhibitText"/>
              <w:rPr>
                <w:szCs w:val="18"/>
              </w:rPr>
            </w:pPr>
          </w:p>
        </w:tc>
      </w:tr>
      <w:tr w:rsidR="00DE5E88" w:rsidRPr="00E556D3" w:rsidTr="00550F8A">
        <w:trPr>
          <w:cantSplit/>
        </w:trPr>
        <w:tc>
          <w:tcPr>
            <w:tcW w:w="485" w:type="pct"/>
          </w:tcPr>
          <w:p w:rsidR="00A8195F" w:rsidRPr="00AE2D4C" w:rsidRDefault="00A8195F" w:rsidP="006C67AC">
            <w:pPr>
              <w:pStyle w:val="ExhibitText"/>
            </w:pPr>
            <w:r w:rsidRPr="00AE2D4C">
              <w:t>3.12, 3.13</w:t>
            </w:r>
          </w:p>
        </w:tc>
        <w:tc>
          <w:tcPr>
            <w:tcW w:w="460" w:type="pct"/>
          </w:tcPr>
          <w:p w:rsidR="00A8195F" w:rsidRPr="006C67AC" w:rsidRDefault="00A8195F" w:rsidP="006C67AC">
            <w:pPr>
              <w:pStyle w:val="ExhibitText"/>
            </w:pPr>
            <w:r>
              <w:t>3.12, 3.13</w:t>
            </w:r>
          </w:p>
        </w:tc>
        <w:tc>
          <w:tcPr>
            <w:tcW w:w="1276" w:type="pct"/>
          </w:tcPr>
          <w:p w:rsidR="00A8195F" w:rsidRPr="006C67AC" w:rsidRDefault="00A8195F" w:rsidP="006C67AC">
            <w:pPr>
              <w:pStyle w:val="ExhibitText"/>
            </w:pPr>
            <w:r w:rsidRPr="006C67AC">
              <w:t>Attitudes towards condom and contraceptive use</w:t>
            </w:r>
          </w:p>
        </w:tc>
        <w:tc>
          <w:tcPr>
            <w:tcW w:w="213" w:type="pct"/>
          </w:tcPr>
          <w:p w:rsidR="00A8195F" w:rsidRPr="006C67AC" w:rsidRDefault="00A8195F" w:rsidP="006C67AC">
            <w:pPr>
              <w:pStyle w:val="ExhibitText"/>
              <w:jc w:val="center"/>
            </w:pPr>
          </w:p>
        </w:tc>
        <w:tc>
          <w:tcPr>
            <w:tcW w:w="217" w:type="pct"/>
          </w:tcPr>
          <w:p w:rsidR="00A8195F" w:rsidRPr="006C67AC" w:rsidRDefault="00A8195F" w:rsidP="006C67AC">
            <w:pPr>
              <w:pStyle w:val="ExhibitText"/>
              <w:jc w:val="center"/>
            </w:pPr>
          </w:p>
        </w:tc>
        <w:tc>
          <w:tcPr>
            <w:tcW w:w="249" w:type="pct"/>
          </w:tcPr>
          <w:p w:rsidR="00A8195F" w:rsidRPr="006C67AC" w:rsidRDefault="00A8195F" w:rsidP="006C67AC">
            <w:pPr>
              <w:pStyle w:val="ExhibitText"/>
              <w:jc w:val="center"/>
            </w:pPr>
          </w:p>
        </w:tc>
        <w:tc>
          <w:tcPr>
            <w:tcW w:w="249" w:type="pct"/>
            <w:gridSpan w:val="2"/>
          </w:tcPr>
          <w:p w:rsidR="00A8195F" w:rsidRPr="006C67AC" w:rsidRDefault="00A8195F" w:rsidP="006C67AC">
            <w:pPr>
              <w:pStyle w:val="ExhibitText"/>
              <w:jc w:val="center"/>
            </w:pPr>
            <w:r w:rsidRPr="006C67AC">
              <w:sym w:font="Wingdings 2" w:char="F050"/>
            </w:r>
          </w:p>
        </w:tc>
        <w:tc>
          <w:tcPr>
            <w:tcW w:w="248" w:type="pct"/>
            <w:gridSpan w:val="2"/>
          </w:tcPr>
          <w:p w:rsidR="00A8195F" w:rsidRPr="006C67AC" w:rsidRDefault="00A8195F" w:rsidP="006C67AC">
            <w:pPr>
              <w:pStyle w:val="ExhibitText"/>
              <w:jc w:val="center"/>
            </w:pPr>
          </w:p>
        </w:tc>
        <w:tc>
          <w:tcPr>
            <w:tcW w:w="235" w:type="pct"/>
            <w:gridSpan w:val="2"/>
          </w:tcPr>
          <w:p w:rsidR="00A8195F" w:rsidRPr="006C67AC" w:rsidRDefault="00A8195F" w:rsidP="006C67AC">
            <w:pPr>
              <w:pStyle w:val="ExhibitText"/>
              <w:jc w:val="center"/>
            </w:pPr>
          </w:p>
        </w:tc>
        <w:tc>
          <w:tcPr>
            <w:tcW w:w="1368" w:type="pct"/>
          </w:tcPr>
          <w:p w:rsidR="00A8195F" w:rsidRPr="006C67AC" w:rsidRDefault="00A8195F" w:rsidP="006C67AC">
            <w:pPr>
              <w:pStyle w:val="ExhibitText"/>
            </w:pPr>
            <w:r w:rsidRPr="006C67AC">
              <w:t xml:space="preserve"> Positive attitude towards contraception has been linked to an increased likelihood of contraceptive use among sexually active adolescents (Bruckner et al. 2004; Sheeran et al. 1999; Ryan et al. 2007).</w:t>
            </w:r>
          </w:p>
        </w:tc>
      </w:tr>
      <w:tr w:rsidR="00DE5E88" w:rsidRPr="00F40C00" w:rsidTr="00550F8A">
        <w:trPr>
          <w:cantSplit/>
        </w:trPr>
        <w:tc>
          <w:tcPr>
            <w:tcW w:w="485" w:type="pct"/>
          </w:tcPr>
          <w:p w:rsidR="00A8195F" w:rsidRPr="00EE33FE" w:rsidRDefault="00A8195F" w:rsidP="006C67AC">
            <w:pPr>
              <w:pStyle w:val="ExhibitText"/>
              <w:rPr>
                <w:highlight w:val="yellow"/>
              </w:rPr>
            </w:pPr>
            <w:r w:rsidRPr="00AE2D4C">
              <w:t>3.1, 3.2 – 3.11</w:t>
            </w:r>
          </w:p>
        </w:tc>
        <w:tc>
          <w:tcPr>
            <w:tcW w:w="460" w:type="pct"/>
          </w:tcPr>
          <w:p w:rsidR="00A8195F" w:rsidRPr="006C67AC" w:rsidRDefault="00A8195F" w:rsidP="006C67AC">
            <w:pPr>
              <w:pStyle w:val="ExhibitText"/>
            </w:pPr>
            <w:r>
              <w:t>3.1, 3.2 – 3.11</w:t>
            </w:r>
          </w:p>
        </w:tc>
        <w:tc>
          <w:tcPr>
            <w:tcW w:w="1276" w:type="pct"/>
          </w:tcPr>
          <w:p w:rsidR="00A8195F" w:rsidRPr="006C67AC" w:rsidRDefault="00A8195F" w:rsidP="006C67AC">
            <w:pPr>
              <w:pStyle w:val="ExhibitText"/>
            </w:pPr>
            <w:r w:rsidRPr="006C67AC">
              <w:t>Knowledge of STDs and the effectiveness of contraceptives in reducing risk and teens’ confidence in their knowledge</w:t>
            </w:r>
          </w:p>
        </w:tc>
        <w:tc>
          <w:tcPr>
            <w:tcW w:w="213" w:type="pct"/>
          </w:tcPr>
          <w:p w:rsidR="00A8195F" w:rsidRPr="006C67AC" w:rsidRDefault="00A8195F" w:rsidP="006C67AC">
            <w:pPr>
              <w:pStyle w:val="ExhibitText"/>
              <w:jc w:val="center"/>
            </w:pPr>
          </w:p>
        </w:tc>
        <w:tc>
          <w:tcPr>
            <w:tcW w:w="217" w:type="pct"/>
          </w:tcPr>
          <w:p w:rsidR="00A8195F" w:rsidRPr="006C67AC" w:rsidRDefault="00A8195F" w:rsidP="006C67AC">
            <w:pPr>
              <w:pStyle w:val="ExhibitText"/>
              <w:jc w:val="center"/>
            </w:pPr>
          </w:p>
        </w:tc>
        <w:tc>
          <w:tcPr>
            <w:tcW w:w="249" w:type="pct"/>
          </w:tcPr>
          <w:p w:rsidR="00A8195F" w:rsidRPr="006C67AC" w:rsidRDefault="00A8195F" w:rsidP="006C67AC">
            <w:pPr>
              <w:pStyle w:val="ExhibitText"/>
              <w:jc w:val="center"/>
            </w:pPr>
          </w:p>
        </w:tc>
        <w:tc>
          <w:tcPr>
            <w:tcW w:w="249" w:type="pct"/>
            <w:gridSpan w:val="2"/>
          </w:tcPr>
          <w:p w:rsidR="00A8195F" w:rsidRPr="006C67AC" w:rsidRDefault="00A8195F" w:rsidP="006C67AC">
            <w:pPr>
              <w:pStyle w:val="ExhibitText"/>
              <w:jc w:val="center"/>
            </w:pPr>
            <w:r w:rsidRPr="006C67AC">
              <w:sym w:font="Wingdings 2" w:char="F050"/>
            </w:r>
          </w:p>
        </w:tc>
        <w:tc>
          <w:tcPr>
            <w:tcW w:w="248" w:type="pct"/>
            <w:gridSpan w:val="2"/>
          </w:tcPr>
          <w:p w:rsidR="00A8195F" w:rsidRPr="006C67AC" w:rsidRDefault="00A8195F" w:rsidP="006C67AC">
            <w:pPr>
              <w:pStyle w:val="ExhibitText"/>
              <w:jc w:val="center"/>
            </w:pPr>
          </w:p>
        </w:tc>
        <w:tc>
          <w:tcPr>
            <w:tcW w:w="235" w:type="pct"/>
            <w:gridSpan w:val="2"/>
          </w:tcPr>
          <w:p w:rsidR="00A8195F" w:rsidRPr="006C67AC" w:rsidRDefault="00A8195F" w:rsidP="006C67AC">
            <w:pPr>
              <w:pStyle w:val="ExhibitText"/>
              <w:jc w:val="center"/>
            </w:pPr>
          </w:p>
        </w:tc>
        <w:tc>
          <w:tcPr>
            <w:tcW w:w="1368" w:type="pct"/>
          </w:tcPr>
          <w:p w:rsidR="00A8195F" w:rsidRPr="00EE33FE" w:rsidRDefault="00A8195F" w:rsidP="006C67AC">
            <w:pPr>
              <w:pStyle w:val="ExhibitText"/>
              <w:rPr>
                <w:lang w:val="es-US"/>
              </w:rPr>
            </w:pPr>
            <w:r w:rsidRPr="006C67AC">
              <w:t xml:space="preserve">Findings on the relationship between knowledge of STDs and prevention and teen sexual activity are inconsistent. However, according to Rock et al. 2005, this might be due to the fact that prior studies focused on objective knowledge, and ignored teen’s confidence in their knowledge. </w:t>
            </w:r>
            <w:r w:rsidRPr="006C67AC">
              <w:rPr>
                <w:lang w:val="es-MX"/>
              </w:rPr>
              <w:t>(Rock et al. 2005; Boyer et al. 1999; DiClemente et al. 1996; DiClemente et al. 1992)</w:t>
            </w:r>
          </w:p>
        </w:tc>
      </w:tr>
      <w:tr w:rsidR="00DE5E88" w:rsidRPr="00E556D3" w:rsidTr="00550F8A">
        <w:trPr>
          <w:cantSplit/>
        </w:trPr>
        <w:tc>
          <w:tcPr>
            <w:tcW w:w="485" w:type="pct"/>
          </w:tcPr>
          <w:p w:rsidR="00A8195F" w:rsidRPr="00EE33FE" w:rsidRDefault="00A8195F" w:rsidP="006C67AC">
            <w:pPr>
              <w:pStyle w:val="ExhibitText"/>
              <w:rPr>
                <w:highlight w:val="yellow"/>
              </w:rPr>
            </w:pPr>
            <w:r w:rsidRPr="00AE2D4C">
              <w:t>3.23 – 3.26</w:t>
            </w:r>
          </w:p>
        </w:tc>
        <w:tc>
          <w:tcPr>
            <w:tcW w:w="460" w:type="pct"/>
          </w:tcPr>
          <w:p w:rsidR="00A8195F" w:rsidRPr="006C67AC" w:rsidRDefault="00A8195F" w:rsidP="006C67AC">
            <w:pPr>
              <w:pStyle w:val="ExhibitText"/>
            </w:pPr>
            <w:r>
              <w:t>3.24 – 3.27</w:t>
            </w:r>
          </w:p>
        </w:tc>
        <w:tc>
          <w:tcPr>
            <w:tcW w:w="1276" w:type="pct"/>
          </w:tcPr>
          <w:p w:rsidR="00A8195F" w:rsidRPr="006C67AC" w:rsidRDefault="00A8195F" w:rsidP="006C67AC">
            <w:pPr>
              <w:pStyle w:val="ExhibitText"/>
            </w:pPr>
            <w:r w:rsidRPr="006C67AC">
              <w:t>Intention to engage in/abstain from sexual activity; intention to use birth control</w:t>
            </w:r>
          </w:p>
        </w:tc>
        <w:tc>
          <w:tcPr>
            <w:tcW w:w="213" w:type="pct"/>
          </w:tcPr>
          <w:p w:rsidR="00A8195F" w:rsidRPr="006C67AC" w:rsidRDefault="00A8195F" w:rsidP="006C67AC">
            <w:pPr>
              <w:pStyle w:val="ExhibitText"/>
              <w:jc w:val="center"/>
            </w:pPr>
          </w:p>
        </w:tc>
        <w:tc>
          <w:tcPr>
            <w:tcW w:w="217" w:type="pct"/>
          </w:tcPr>
          <w:p w:rsidR="00A8195F" w:rsidRPr="006C67AC" w:rsidRDefault="00A8195F" w:rsidP="006C67AC">
            <w:pPr>
              <w:pStyle w:val="ExhibitText"/>
              <w:jc w:val="center"/>
            </w:pPr>
            <w:r w:rsidRPr="006C67AC">
              <w:sym w:font="Wingdings 2" w:char="F050"/>
            </w:r>
          </w:p>
        </w:tc>
        <w:tc>
          <w:tcPr>
            <w:tcW w:w="249" w:type="pct"/>
          </w:tcPr>
          <w:p w:rsidR="00A8195F" w:rsidRPr="006C67AC" w:rsidRDefault="00A8195F" w:rsidP="006C67AC">
            <w:pPr>
              <w:pStyle w:val="ExhibitText"/>
              <w:jc w:val="center"/>
            </w:pPr>
          </w:p>
        </w:tc>
        <w:tc>
          <w:tcPr>
            <w:tcW w:w="249" w:type="pct"/>
            <w:gridSpan w:val="2"/>
          </w:tcPr>
          <w:p w:rsidR="00A8195F" w:rsidRPr="006C67AC" w:rsidRDefault="00A8195F" w:rsidP="006C67AC">
            <w:pPr>
              <w:pStyle w:val="ExhibitText"/>
              <w:jc w:val="center"/>
            </w:pPr>
          </w:p>
        </w:tc>
        <w:tc>
          <w:tcPr>
            <w:tcW w:w="248" w:type="pct"/>
            <w:gridSpan w:val="2"/>
          </w:tcPr>
          <w:p w:rsidR="00A8195F" w:rsidRPr="006C67AC" w:rsidRDefault="00A8195F" w:rsidP="006C67AC">
            <w:pPr>
              <w:pStyle w:val="ExhibitText"/>
              <w:jc w:val="center"/>
            </w:pPr>
          </w:p>
        </w:tc>
        <w:tc>
          <w:tcPr>
            <w:tcW w:w="235" w:type="pct"/>
            <w:gridSpan w:val="2"/>
          </w:tcPr>
          <w:p w:rsidR="00A8195F" w:rsidRPr="006C67AC" w:rsidRDefault="00A8195F" w:rsidP="006C67AC">
            <w:pPr>
              <w:pStyle w:val="ExhibitText"/>
              <w:jc w:val="center"/>
            </w:pPr>
          </w:p>
        </w:tc>
        <w:tc>
          <w:tcPr>
            <w:tcW w:w="1368" w:type="pct"/>
          </w:tcPr>
          <w:p w:rsidR="00A8195F" w:rsidRPr="006C67AC" w:rsidRDefault="00A8195F" w:rsidP="006C67AC">
            <w:pPr>
              <w:pStyle w:val="ExhibitText"/>
              <w:rPr>
                <w:lang w:val="es-MX"/>
              </w:rPr>
            </w:pPr>
            <w:r w:rsidRPr="006C67AC">
              <w:t>Intention to engage in sexual activity is the single most stable predictor of initiation of sexual intercourse and of participation in sexual behavior. (Buhi and Goodson 2007)</w:t>
            </w:r>
          </w:p>
        </w:tc>
      </w:tr>
      <w:tr w:rsidR="00DE5E88" w:rsidRPr="00E556D3" w:rsidTr="00550F8A">
        <w:trPr>
          <w:cantSplit/>
        </w:trPr>
        <w:tc>
          <w:tcPr>
            <w:tcW w:w="485" w:type="pct"/>
          </w:tcPr>
          <w:p w:rsidR="00A8195F" w:rsidRPr="00EE33FE" w:rsidRDefault="00A8195F" w:rsidP="006C67AC">
            <w:pPr>
              <w:pStyle w:val="ExhibitText"/>
              <w:rPr>
                <w:highlight w:val="yellow"/>
              </w:rPr>
            </w:pPr>
            <w:r w:rsidRPr="00AE2D4C">
              <w:t>3.27-3.29</w:t>
            </w:r>
          </w:p>
        </w:tc>
        <w:tc>
          <w:tcPr>
            <w:tcW w:w="460" w:type="pct"/>
          </w:tcPr>
          <w:p w:rsidR="00A8195F" w:rsidRPr="006C67AC" w:rsidRDefault="00A8195F" w:rsidP="006C67AC">
            <w:pPr>
              <w:pStyle w:val="ExhibitText"/>
            </w:pPr>
            <w:r>
              <w:t>3.28 – 3.30</w:t>
            </w:r>
          </w:p>
        </w:tc>
        <w:tc>
          <w:tcPr>
            <w:tcW w:w="1276" w:type="pct"/>
          </w:tcPr>
          <w:p w:rsidR="00A8195F" w:rsidRPr="006C67AC" w:rsidRDefault="00A8195F" w:rsidP="006C67AC">
            <w:pPr>
              <w:pStyle w:val="ExhibitText"/>
            </w:pPr>
            <w:r w:rsidRPr="006C67AC">
              <w:t>Dating status</w:t>
            </w:r>
          </w:p>
        </w:tc>
        <w:tc>
          <w:tcPr>
            <w:tcW w:w="213" w:type="pct"/>
          </w:tcPr>
          <w:p w:rsidR="00A8195F" w:rsidRPr="006C67AC" w:rsidRDefault="00A8195F" w:rsidP="006C67AC">
            <w:pPr>
              <w:pStyle w:val="ExhibitText"/>
              <w:jc w:val="center"/>
            </w:pPr>
          </w:p>
        </w:tc>
        <w:tc>
          <w:tcPr>
            <w:tcW w:w="217" w:type="pct"/>
          </w:tcPr>
          <w:p w:rsidR="00A8195F" w:rsidRPr="006C67AC" w:rsidRDefault="00A8195F" w:rsidP="006C67AC">
            <w:pPr>
              <w:pStyle w:val="ExhibitText"/>
              <w:jc w:val="center"/>
            </w:pPr>
          </w:p>
        </w:tc>
        <w:tc>
          <w:tcPr>
            <w:tcW w:w="249" w:type="pct"/>
          </w:tcPr>
          <w:p w:rsidR="00A8195F" w:rsidRPr="006C67AC" w:rsidRDefault="00A8195F" w:rsidP="006C67AC">
            <w:pPr>
              <w:pStyle w:val="ExhibitText"/>
              <w:jc w:val="center"/>
            </w:pPr>
          </w:p>
        </w:tc>
        <w:tc>
          <w:tcPr>
            <w:tcW w:w="249" w:type="pct"/>
            <w:gridSpan w:val="2"/>
          </w:tcPr>
          <w:p w:rsidR="00A8195F" w:rsidRPr="006C67AC" w:rsidRDefault="00A8195F" w:rsidP="006C67AC">
            <w:pPr>
              <w:pStyle w:val="ExhibitText"/>
              <w:jc w:val="center"/>
            </w:pPr>
            <w:r w:rsidRPr="006C67AC">
              <w:sym w:font="Wingdings 2" w:char="F050"/>
            </w:r>
          </w:p>
        </w:tc>
        <w:tc>
          <w:tcPr>
            <w:tcW w:w="248" w:type="pct"/>
            <w:gridSpan w:val="2"/>
          </w:tcPr>
          <w:p w:rsidR="00A8195F" w:rsidRPr="006C67AC" w:rsidRDefault="00A8195F" w:rsidP="006C67AC">
            <w:pPr>
              <w:pStyle w:val="ExhibitText"/>
              <w:jc w:val="center"/>
            </w:pPr>
          </w:p>
        </w:tc>
        <w:tc>
          <w:tcPr>
            <w:tcW w:w="235" w:type="pct"/>
            <w:gridSpan w:val="2"/>
          </w:tcPr>
          <w:p w:rsidR="00A8195F" w:rsidRPr="006C67AC" w:rsidRDefault="00A8195F" w:rsidP="006C67AC">
            <w:pPr>
              <w:pStyle w:val="ExhibitText"/>
              <w:jc w:val="center"/>
            </w:pPr>
          </w:p>
        </w:tc>
        <w:tc>
          <w:tcPr>
            <w:tcW w:w="1368" w:type="pct"/>
          </w:tcPr>
          <w:p w:rsidR="00A8195F" w:rsidRPr="006C67AC" w:rsidRDefault="00A8195F" w:rsidP="006C67AC">
            <w:pPr>
              <w:pStyle w:val="ExhibitText"/>
            </w:pPr>
            <w:r w:rsidRPr="006C67AC">
              <w:t>Dating during early adolescence is associated with an increased likelihood of sexual initiation in adolescence. At the same time more than half of sexually active teens had at least one sexual experience outside of a romantic relationship</w:t>
            </w:r>
            <w:r>
              <w:t>.</w:t>
            </w:r>
          </w:p>
          <w:p w:rsidR="00A8195F" w:rsidRPr="006C67AC" w:rsidRDefault="00A8195F" w:rsidP="006C67AC">
            <w:pPr>
              <w:pStyle w:val="ExhibitText"/>
            </w:pPr>
            <w:r w:rsidRPr="006C67AC">
              <w:t>(Thornton 1990; Cooksey et al. 2002; Manning et al. 2005).</w:t>
            </w:r>
          </w:p>
        </w:tc>
      </w:tr>
      <w:tr w:rsidR="00DE5E88" w:rsidRPr="00E556D3" w:rsidTr="00550F8A">
        <w:trPr>
          <w:cantSplit/>
        </w:trPr>
        <w:tc>
          <w:tcPr>
            <w:tcW w:w="485" w:type="pct"/>
          </w:tcPr>
          <w:p w:rsidR="00A8195F" w:rsidRPr="003D4024" w:rsidRDefault="003D4024" w:rsidP="006C67AC">
            <w:pPr>
              <w:pStyle w:val="ExhibitText"/>
            </w:pPr>
            <w:r w:rsidRPr="003D4024">
              <w:t>4.2</w:t>
            </w:r>
          </w:p>
        </w:tc>
        <w:tc>
          <w:tcPr>
            <w:tcW w:w="460" w:type="pct"/>
          </w:tcPr>
          <w:p w:rsidR="00A8195F" w:rsidRPr="003D4024" w:rsidRDefault="003D4024" w:rsidP="00AE67F1">
            <w:pPr>
              <w:pStyle w:val="ExhibitText"/>
            </w:pPr>
            <w:r w:rsidRPr="003D4024">
              <w:t>4.2</w:t>
            </w:r>
          </w:p>
        </w:tc>
        <w:tc>
          <w:tcPr>
            <w:tcW w:w="1276" w:type="pct"/>
          </w:tcPr>
          <w:p w:rsidR="00A8195F" w:rsidRPr="006C67AC" w:rsidRDefault="003D4024" w:rsidP="006C67AC">
            <w:pPr>
              <w:pStyle w:val="ExhibitText"/>
            </w:pPr>
            <w:r>
              <w:t>Ever engaged in sexual activity</w:t>
            </w:r>
          </w:p>
        </w:tc>
        <w:tc>
          <w:tcPr>
            <w:tcW w:w="213" w:type="pct"/>
          </w:tcPr>
          <w:p w:rsidR="00A8195F" w:rsidRPr="006C67AC" w:rsidRDefault="00A8195F" w:rsidP="006C67AC">
            <w:pPr>
              <w:pStyle w:val="ExhibitText"/>
              <w:jc w:val="center"/>
            </w:pPr>
          </w:p>
        </w:tc>
        <w:tc>
          <w:tcPr>
            <w:tcW w:w="217" w:type="pct"/>
          </w:tcPr>
          <w:p w:rsidR="00A8195F" w:rsidRPr="006C67AC" w:rsidRDefault="00A8195F" w:rsidP="006C67AC">
            <w:pPr>
              <w:pStyle w:val="ExhibitText"/>
              <w:jc w:val="center"/>
            </w:pPr>
          </w:p>
        </w:tc>
        <w:tc>
          <w:tcPr>
            <w:tcW w:w="249" w:type="pct"/>
          </w:tcPr>
          <w:p w:rsidR="00A8195F" w:rsidRPr="006C67AC" w:rsidRDefault="00A8195F" w:rsidP="006C67AC">
            <w:pPr>
              <w:pStyle w:val="ExhibitText"/>
              <w:jc w:val="center"/>
            </w:pPr>
          </w:p>
        </w:tc>
        <w:tc>
          <w:tcPr>
            <w:tcW w:w="249" w:type="pct"/>
            <w:gridSpan w:val="2"/>
          </w:tcPr>
          <w:p w:rsidR="00A8195F" w:rsidRPr="006C67AC" w:rsidRDefault="00A8195F" w:rsidP="006C67AC">
            <w:pPr>
              <w:pStyle w:val="ExhibitText"/>
              <w:jc w:val="center"/>
            </w:pPr>
          </w:p>
        </w:tc>
        <w:tc>
          <w:tcPr>
            <w:tcW w:w="248" w:type="pct"/>
            <w:gridSpan w:val="2"/>
          </w:tcPr>
          <w:p w:rsidR="00A8195F" w:rsidRPr="006C67AC" w:rsidRDefault="00A8195F" w:rsidP="006C67AC">
            <w:pPr>
              <w:pStyle w:val="ExhibitText"/>
              <w:jc w:val="center"/>
            </w:pPr>
            <w:r w:rsidRPr="006C67AC">
              <w:sym w:font="Wingdings 2" w:char="F050"/>
            </w:r>
          </w:p>
        </w:tc>
        <w:tc>
          <w:tcPr>
            <w:tcW w:w="235" w:type="pct"/>
            <w:gridSpan w:val="2"/>
          </w:tcPr>
          <w:p w:rsidR="00A8195F" w:rsidRPr="006C67AC" w:rsidRDefault="00A8195F" w:rsidP="006C67AC">
            <w:pPr>
              <w:pStyle w:val="ExhibitText"/>
              <w:jc w:val="center"/>
            </w:pPr>
          </w:p>
        </w:tc>
        <w:tc>
          <w:tcPr>
            <w:tcW w:w="1368" w:type="pct"/>
          </w:tcPr>
          <w:p w:rsidR="00A8195F" w:rsidRPr="006C67AC" w:rsidRDefault="00A8195F" w:rsidP="006C67AC">
            <w:pPr>
              <w:pStyle w:val="ExhibitText"/>
            </w:pPr>
            <w:r w:rsidRPr="006C67AC">
              <w:t xml:space="preserve">This question will be used to identify teens with and without prior sexual experience. Sexually inexperienced teens will skip Section 4 of the questionnaire and will not be asked about </w:t>
            </w:r>
            <w:r>
              <w:t xml:space="preserve">personal </w:t>
            </w:r>
            <w:r w:rsidRPr="006C67AC">
              <w:t>sexual activity.</w:t>
            </w:r>
          </w:p>
        </w:tc>
      </w:tr>
      <w:tr w:rsidR="00DE5E88" w:rsidRPr="00E556D3" w:rsidTr="00550F8A">
        <w:trPr>
          <w:cantSplit/>
        </w:trPr>
        <w:tc>
          <w:tcPr>
            <w:tcW w:w="485" w:type="pct"/>
          </w:tcPr>
          <w:p w:rsidR="00A8195F" w:rsidRPr="00EE33FE" w:rsidRDefault="00A8195F" w:rsidP="006C67AC">
            <w:pPr>
              <w:pStyle w:val="ExhibitText"/>
              <w:rPr>
                <w:highlight w:val="yellow"/>
              </w:rPr>
            </w:pPr>
            <w:r w:rsidRPr="003D4024">
              <w:t>4.1</w:t>
            </w:r>
          </w:p>
        </w:tc>
        <w:tc>
          <w:tcPr>
            <w:tcW w:w="460" w:type="pct"/>
          </w:tcPr>
          <w:p w:rsidR="00A8195F" w:rsidRPr="006C67AC" w:rsidRDefault="003D4024" w:rsidP="006C67AC">
            <w:pPr>
              <w:pStyle w:val="ExhibitText"/>
            </w:pPr>
            <w:r>
              <w:t>4.1</w:t>
            </w:r>
          </w:p>
        </w:tc>
        <w:tc>
          <w:tcPr>
            <w:tcW w:w="1276" w:type="pct"/>
          </w:tcPr>
          <w:p w:rsidR="00A8195F" w:rsidRPr="006C67AC" w:rsidRDefault="00A8195F" w:rsidP="006C67AC">
            <w:pPr>
              <w:pStyle w:val="ExhibitText"/>
            </w:pPr>
            <w:r w:rsidRPr="006C67AC">
              <w:t>Confirmation - sexual activity</w:t>
            </w:r>
          </w:p>
        </w:tc>
        <w:tc>
          <w:tcPr>
            <w:tcW w:w="213" w:type="pct"/>
          </w:tcPr>
          <w:p w:rsidR="00A8195F" w:rsidRPr="006C67AC" w:rsidRDefault="00A8195F" w:rsidP="006C67AC">
            <w:pPr>
              <w:pStyle w:val="ExhibitText"/>
              <w:jc w:val="center"/>
            </w:pPr>
          </w:p>
        </w:tc>
        <w:tc>
          <w:tcPr>
            <w:tcW w:w="217" w:type="pct"/>
          </w:tcPr>
          <w:p w:rsidR="00A8195F" w:rsidRPr="006C67AC" w:rsidRDefault="00A8195F" w:rsidP="006C67AC">
            <w:pPr>
              <w:pStyle w:val="ExhibitText"/>
              <w:jc w:val="center"/>
            </w:pPr>
          </w:p>
        </w:tc>
        <w:tc>
          <w:tcPr>
            <w:tcW w:w="249" w:type="pct"/>
          </w:tcPr>
          <w:p w:rsidR="00A8195F" w:rsidRPr="006C67AC" w:rsidRDefault="00A8195F" w:rsidP="006C67AC">
            <w:pPr>
              <w:pStyle w:val="ExhibitText"/>
              <w:jc w:val="center"/>
            </w:pPr>
          </w:p>
        </w:tc>
        <w:tc>
          <w:tcPr>
            <w:tcW w:w="249" w:type="pct"/>
            <w:gridSpan w:val="2"/>
          </w:tcPr>
          <w:p w:rsidR="00A8195F" w:rsidRPr="006C67AC" w:rsidRDefault="00A8195F" w:rsidP="006C67AC">
            <w:pPr>
              <w:pStyle w:val="ExhibitText"/>
              <w:jc w:val="center"/>
            </w:pPr>
          </w:p>
        </w:tc>
        <w:tc>
          <w:tcPr>
            <w:tcW w:w="248" w:type="pct"/>
            <w:gridSpan w:val="2"/>
          </w:tcPr>
          <w:p w:rsidR="00A8195F" w:rsidRPr="006C67AC" w:rsidRDefault="00A8195F" w:rsidP="006C67AC">
            <w:pPr>
              <w:pStyle w:val="ExhibitText"/>
              <w:jc w:val="center"/>
            </w:pPr>
          </w:p>
        </w:tc>
        <w:tc>
          <w:tcPr>
            <w:tcW w:w="235" w:type="pct"/>
            <w:gridSpan w:val="2"/>
          </w:tcPr>
          <w:p w:rsidR="00A8195F" w:rsidRPr="006C67AC" w:rsidRDefault="00A8195F" w:rsidP="006C67AC">
            <w:pPr>
              <w:pStyle w:val="ExhibitText"/>
              <w:jc w:val="center"/>
            </w:pPr>
            <w:r w:rsidRPr="006C67AC">
              <w:sym w:font="Wingdings 2" w:char="F050"/>
            </w:r>
          </w:p>
        </w:tc>
        <w:tc>
          <w:tcPr>
            <w:tcW w:w="1368" w:type="pct"/>
          </w:tcPr>
          <w:p w:rsidR="00A8195F" w:rsidRPr="006C67AC" w:rsidRDefault="00A8195F" w:rsidP="006C67AC">
            <w:pPr>
              <w:pStyle w:val="ExhibitText"/>
            </w:pPr>
            <w:r w:rsidRPr="006C67AC">
              <w:t>Confirming that respondents are completing the correct sections of Part B.</w:t>
            </w:r>
          </w:p>
        </w:tc>
      </w:tr>
      <w:tr w:rsidR="00DE5E88" w:rsidRPr="00E556D3" w:rsidTr="00550F8A">
        <w:trPr>
          <w:cantSplit/>
        </w:trPr>
        <w:tc>
          <w:tcPr>
            <w:tcW w:w="485" w:type="pct"/>
          </w:tcPr>
          <w:p w:rsidR="00A8195F" w:rsidRPr="00EE33FE" w:rsidRDefault="003D4024" w:rsidP="006C67AC">
            <w:pPr>
              <w:pStyle w:val="ExhibitText"/>
              <w:rPr>
                <w:highlight w:val="yellow"/>
              </w:rPr>
            </w:pPr>
            <w:r w:rsidRPr="003D4024">
              <w:t>4.3, 4.4</w:t>
            </w:r>
            <w:r>
              <w:t>,</w:t>
            </w:r>
            <w:r w:rsidR="00AE67F1">
              <w:t xml:space="preserve"> 4.12,</w:t>
            </w:r>
            <w:r>
              <w:t xml:space="preserve"> 4.13,</w:t>
            </w:r>
            <w:r w:rsidR="00AE67F1">
              <w:t xml:space="preserve"> 4.17,</w:t>
            </w:r>
            <w:r>
              <w:t xml:space="preserve"> 4.19</w:t>
            </w:r>
          </w:p>
        </w:tc>
        <w:tc>
          <w:tcPr>
            <w:tcW w:w="460" w:type="pct"/>
          </w:tcPr>
          <w:p w:rsidR="00A8195F" w:rsidRPr="006C67AC" w:rsidRDefault="003D4024" w:rsidP="006C67AC">
            <w:pPr>
              <w:pStyle w:val="ExhibitText"/>
            </w:pPr>
            <w:r>
              <w:t xml:space="preserve">4.3, 4.4, </w:t>
            </w:r>
            <w:r w:rsidR="00AE67F1">
              <w:t xml:space="preserve">4.12, </w:t>
            </w:r>
            <w:r>
              <w:t>4.13,</w:t>
            </w:r>
            <w:r w:rsidR="00AE67F1">
              <w:t xml:space="preserve"> 4.17</w:t>
            </w:r>
            <w:r>
              <w:t xml:space="preserve"> 4.19</w:t>
            </w:r>
          </w:p>
        </w:tc>
        <w:tc>
          <w:tcPr>
            <w:tcW w:w="1276" w:type="pct"/>
          </w:tcPr>
          <w:p w:rsidR="00A8195F" w:rsidRPr="006C67AC" w:rsidRDefault="00A8195F" w:rsidP="006C67AC">
            <w:pPr>
              <w:pStyle w:val="ExhibitText"/>
            </w:pPr>
            <w:r w:rsidRPr="006C67AC">
              <w:t>Initiation of sexual activity</w:t>
            </w:r>
          </w:p>
        </w:tc>
        <w:tc>
          <w:tcPr>
            <w:tcW w:w="213" w:type="pct"/>
          </w:tcPr>
          <w:p w:rsidR="00A8195F" w:rsidRPr="006C67AC" w:rsidRDefault="00A8195F" w:rsidP="006C67AC">
            <w:pPr>
              <w:pStyle w:val="ExhibitText"/>
              <w:jc w:val="center"/>
            </w:pPr>
          </w:p>
        </w:tc>
        <w:tc>
          <w:tcPr>
            <w:tcW w:w="217" w:type="pct"/>
          </w:tcPr>
          <w:p w:rsidR="00A8195F" w:rsidRPr="006C67AC" w:rsidRDefault="00A8195F" w:rsidP="006C67AC">
            <w:pPr>
              <w:pStyle w:val="ExhibitText"/>
              <w:jc w:val="center"/>
            </w:pPr>
          </w:p>
        </w:tc>
        <w:tc>
          <w:tcPr>
            <w:tcW w:w="249" w:type="pct"/>
          </w:tcPr>
          <w:p w:rsidR="00A8195F" w:rsidRPr="006C67AC" w:rsidRDefault="00A8195F" w:rsidP="006C67AC">
            <w:pPr>
              <w:pStyle w:val="ExhibitText"/>
              <w:jc w:val="center"/>
            </w:pPr>
          </w:p>
        </w:tc>
        <w:tc>
          <w:tcPr>
            <w:tcW w:w="249" w:type="pct"/>
            <w:gridSpan w:val="2"/>
          </w:tcPr>
          <w:p w:rsidR="00A8195F" w:rsidRPr="006C67AC" w:rsidRDefault="00A8195F" w:rsidP="006C67AC">
            <w:pPr>
              <w:pStyle w:val="ExhibitText"/>
              <w:jc w:val="center"/>
            </w:pPr>
          </w:p>
        </w:tc>
        <w:tc>
          <w:tcPr>
            <w:tcW w:w="248" w:type="pct"/>
            <w:gridSpan w:val="2"/>
          </w:tcPr>
          <w:p w:rsidR="00A8195F" w:rsidRPr="006C67AC" w:rsidRDefault="00A8195F" w:rsidP="006C67AC">
            <w:pPr>
              <w:pStyle w:val="ExhibitText"/>
              <w:jc w:val="center"/>
            </w:pPr>
            <w:r w:rsidRPr="006C67AC">
              <w:sym w:font="Wingdings 2" w:char="F050"/>
            </w:r>
          </w:p>
        </w:tc>
        <w:tc>
          <w:tcPr>
            <w:tcW w:w="235" w:type="pct"/>
            <w:gridSpan w:val="2"/>
          </w:tcPr>
          <w:p w:rsidR="00A8195F" w:rsidRPr="006C67AC" w:rsidRDefault="00A8195F" w:rsidP="006C67AC">
            <w:pPr>
              <w:pStyle w:val="ExhibitText"/>
              <w:jc w:val="center"/>
            </w:pPr>
          </w:p>
        </w:tc>
        <w:tc>
          <w:tcPr>
            <w:tcW w:w="1368" w:type="pct"/>
            <w:vMerge w:val="restart"/>
          </w:tcPr>
          <w:p w:rsidR="00A8195F" w:rsidRPr="006C67AC" w:rsidRDefault="00A8195F" w:rsidP="00EE33FE">
            <w:pPr>
              <w:pStyle w:val="ExhibitText"/>
            </w:pPr>
            <w:r w:rsidRPr="006C67AC">
              <w:t>These are the primary outcome measures for the study. They will be used to control for prior sexual experiences. In addition, baseline sexual activity will be used to stratify the sample to allow examination of differential program impact on teens who were sexually experienced vs. inexperienced at baseline.</w:t>
            </w:r>
          </w:p>
        </w:tc>
      </w:tr>
      <w:tr w:rsidR="00DE5E88" w:rsidRPr="00E556D3" w:rsidTr="00550F8A">
        <w:trPr>
          <w:cantSplit/>
        </w:trPr>
        <w:tc>
          <w:tcPr>
            <w:tcW w:w="485" w:type="pct"/>
          </w:tcPr>
          <w:p w:rsidR="003D4024" w:rsidRPr="006C67AC" w:rsidRDefault="003D4024" w:rsidP="003D4024">
            <w:pPr>
              <w:pStyle w:val="ExhibitText"/>
            </w:pPr>
            <w:r>
              <w:t>4.5, 4.7, 4.9, 4.9a, 4.15, 4.15a, 4.20, 4.20a</w:t>
            </w:r>
          </w:p>
        </w:tc>
        <w:tc>
          <w:tcPr>
            <w:tcW w:w="460" w:type="pct"/>
          </w:tcPr>
          <w:p w:rsidR="003D4024" w:rsidRPr="006C67AC" w:rsidRDefault="003D4024" w:rsidP="003D4024">
            <w:pPr>
              <w:pStyle w:val="ExhibitText"/>
            </w:pPr>
            <w:r>
              <w:t>4.5, 4.7, 4.9, 4.9a, 4.15, 4.15a, 4.20, 4.20a</w:t>
            </w:r>
          </w:p>
        </w:tc>
        <w:tc>
          <w:tcPr>
            <w:tcW w:w="1276" w:type="pct"/>
          </w:tcPr>
          <w:p w:rsidR="003D4024" w:rsidRPr="006C67AC" w:rsidRDefault="003D4024" w:rsidP="006C67AC">
            <w:pPr>
              <w:pStyle w:val="ExhibitText"/>
            </w:pPr>
            <w:r w:rsidRPr="006C67AC">
              <w:t>Frequency of sexual activity</w:t>
            </w:r>
          </w:p>
        </w:tc>
        <w:tc>
          <w:tcPr>
            <w:tcW w:w="213" w:type="pct"/>
          </w:tcPr>
          <w:p w:rsidR="003D4024" w:rsidRPr="006C67AC" w:rsidRDefault="003D4024" w:rsidP="006C67AC">
            <w:pPr>
              <w:pStyle w:val="ExhibitText"/>
              <w:jc w:val="center"/>
            </w:pPr>
          </w:p>
        </w:tc>
        <w:tc>
          <w:tcPr>
            <w:tcW w:w="217" w:type="pct"/>
          </w:tcPr>
          <w:p w:rsidR="003D4024" w:rsidRPr="006C67AC" w:rsidRDefault="003D4024" w:rsidP="006C67AC">
            <w:pPr>
              <w:pStyle w:val="ExhibitText"/>
              <w:jc w:val="center"/>
            </w:pPr>
          </w:p>
        </w:tc>
        <w:tc>
          <w:tcPr>
            <w:tcW w:w="249" w:type="pct"/>
          </w:tcPr>
          <w:p w:rsidR="003D4024" w:rsidRPr="006C67AC" w:rsidRDefault="003D4024" w:rsidP="006C67AC">
            <w:pPr>
              <w:pStyle w:val="ExhibitText"/>
              <w:jc w:val="center"/>
            </w:pPr>
          </w:p>
        </w:tc>
        <w:tc>
          <w:tcPr>
            <w:tcW w:w="249" w:type="pct"/>
            <w:gridSpan w:val="2"/>
          </w:tcPr>
          <w:p w:rsidR="003D4024" w:rsidRPr="006C67AC" w:rsidRDefault="003D4024" w:rsidP="006C67AC">
            <w:pPr>
              <w:pStyle w:val="ExhibitText"/>
              <w:jc w:val="center"/>
            </w:pPr>
          </w:p>
        </w:tc>
        <w:tc>
          <w:tcPr>
            <w:tcW w:w="248" w:type="pct"/>
            <w:gridSpan w:val="2"/>
          </w:tcPr>
          <w:p w:rsidR="003D4024" w:rsidRPr="006C67AC" w:rsidRDefault="003D4024" w:rsidP="006C67AC">
            <w:pPr>
              <w:pStyle w:val="ExhibitText"/>
              <w:jc w:val="center"/>
            </w:pPr>
            <w:r w:rsidRPr="006C67AC">
              <w:sym w:font="Wingdings 2" w:char="F050"/>
            </w:r>
          </w:p>
        </w:tc>
        <w:tc>
          <w:tcPr>
            <w:tcW w:w="235" w:type="pct"/>
            <w:gridSpan w:val="2"/>
          </w:tcPr>
          <w:p w:rsidR="003D4024" w:rsidRPr="006C67AC" w:rsidRDefault="003D4024" w:rsidP="006C67AC">
            <w:pPr>
              <w:pStyle w:val="ExhibitText"/>
              <w:jc w:val="center"/>
            </w:pPr>
          </w:p>
        </w:tc>
        <w:tc>
          <w:tcPr>
            <w:tcW w:w="1368" w:type="pct"/>
            <w:vMerge/>
          </w:tcPr>
          <w:p w:rsidR="003D4024" w:rsidRPr="006C67AC" w:rsidRDefault="003D4024" w:rsidP="006C67AC">
            <w:pPr>
              <w:pStyle w:val="ExhibitText"/>
            </w:pPr>
          </w:p>
        </w:tc>
      </w:tr>
      <w:tr w:rsidR="00DE5E88" w:rsidRPr="00E556D3" w:rsidTr="00550F8A">
        <w:trPr>
          <w:cantSplit/>
        </w:trPr>
        <w:tc>
          <w:tcPr>
            <w:tcW w:w="485" w:type="pct"/>
          </w:tcPr>
          <w:p w:rsidR="003D4024" w:rsidRPr="006C67AC" w:rsidRDefault="003D4024" w:rsidP="003D4024">
            <w:pPr>
              <w:pStyle w:val="ExhibitText"/>
            </w:pPr>
            <w:r>
              <w:t>4.6, 4.14, 4.18</w:t>
            </w:r>
          </w:p>
        </w:tc>
        <w:tc>
          <w:tcPr>
            <w:tcW w:w="460" w:type="pct"/>
          </w:tcPr>
          <w:p w:rsidR="003D4024" w:rsidRPr="006C67AC" w:rsidRDefault="003D4024" w:rsidP="006C67AC">
            <w:pPr>
              <w:pStyle w:val="ExhibitText"/>
            </w:pPr>
            <w:r>
              <w:t>4.6, 4.14, 4.18</w:t>
            </w:r>
          </w:p>
        </w:tc>
        <w:tc>
          <w:tcPr>
            <w:tcW w:w="1276" w:type="pct"/>
          </w:tcPr>
          <w:p w:rsidR="003D4024" w:rsidRPr="006C67AC" w:rsidRDefault="003D4024" w:rsidP="006C67AC">
            <w:pPr>
              <w:pStyle w:val="ExhibitText"/>
            </w:pPr>
            <w:r w:rsidRPr="006C67AC">
              <w:t>Number of sexual partners</w:t>
            </w:r>
          </w:p>
        </w:tc>
        <w:tc>
          <w:tcPr>
            <w:tcW w:w="213" w:type="pct"/>
          </w:tcPr>
          <w:p w:rsidR="003D4024" w:rsidRPr="006C67AC" w:rsidRDefault="003D4024" w:rsidP="006C67AC">
            <w:pPr>
              <w:pStyle w:val="ExhibitText"/>
              <w:jc w:val="center"/>
            </w:pPr>
          </w:p>
        </w:tc>
        <w:tc>
          <w:tcPr>
            <w:tcW w:w="217" w:type="pct"/>
          </w:tcPr>
          <w:p w:rsidR="003D4024" w:rsidRPr="006C67AC" w:rsidRDefault="003D4024" w:rsidP="006C67AC">
            <w:pPr>
              <w:pStyle w:val="ExhibitText"/>
              <w:jc w:val="center"/>
            </w:pPr>
          </w:p>
        </w:tc>
        <w:tc>
          <w:tcPr>
            <w:tcW w:w="249" w:type="pct"/>
          </w:tcPr>
          <w:p w:rsidR="003D4024" w:rsidRPr="006C67AC" w:rsidRDefault="003D4024" w:rsidP="006C67AC">
            <w:pPr>
              <w:pStyle w:val="ExhibitText"/>
              <w:jc w:val="center"/>
            </w:pPr>
          </w:p>
        </w:tc>
        <w:tc>
          <w:tcPr>
            <w:tcW w:w="249" w:type="pct"/>
            <w:gridSpan w:val="2"/>
          </w:tcPr>
          <w:p w:rsidR="003D4024" w:rsidRPr="006C67AC" w:rsidRDefault="003D4024" w:rsidP="006C67AC">
            <w:pPr>
              <w:pStyle w:val="ExhibitText"/>
              <w:jc w:val="center"/>
            </w:pPr>
          </w:p>
        </w:tc>
        <w:tc>
          <w:tcPr>
            <w:tcW w:w="248" w:type="pct"/>
            <w:gridSpan w:val="2"/>
          </w:tcPr>
          <w:p w:rsidR="003D4024" w:rsidRPr="006C67AC" w:rsidRDefault="003D4024" w:rsidP="006C67AC">
            <w:pPr>
              <w:pStyle w:val="ExhibitText"/>
              <w:jc w:val="center"/>
            </w:pPr>
            <w:r w:rsidRPr="006C67AC">
              <w:sym w:font="Wingdings 2" w:char="F050"/>
            </w:r>
          </w:p>
        </w:tc>
        <w:tc>
          <w:tcPr>
            <w:tcW w:w="235" w:type="pct"/>
            <w:gridSpan w:val="2"/>
          </w:tcPr>
          <w:p w:rsidR="003D4024" w:rsidRPr="006C67AC" w:rsidRDefault="003D4024" w:rsidP="006C67AC">
            <w:pPr>
              <w:pStyle w:val="ExhibitText"/>
              <w:jc w:val="center"/>
            </w:pPr>
          </w:p>
        </w:tc>
        <w:tc>
          <w:tcPr>
            <w:tcW w:w="1368" w:type="pct"/>
            <w:vMerge/>
          </w:tcPr>
          <w:p w:rsidR="003D4024" w:rsidRPr="006C67AC" w:rsidRDefault="003D4024" w:rsidP="006C67AC">
            <w:pPr>
              <w:pStyle w:val="ExhibitText"/>
            </w:pPr>
          </w:p>
        </w:tc>
      </w:tr>
      <w:tr w:rsidR="00DE5E88" w:rsidRPr="00E556D3" w:rsidTr="00550F8A">
        <w:trPr>
          <w:cantSplit/>
        </w:trPr>
        <w:tc>
          <w:tcPr>
            <w:tcW w:w="485" w:type="pct"/>
          </w:tcPr>
          <w:p w:rsidR="003D4024" w:rsidRPr="006C67AC" w:rsidRDefault="003D4024" w:rsidP="003D4024">
            <w:pPr>
              <w:pStyle w:val="ExhibitText"/>
            </w:pPr>
            <w:r>
              <w:t>4.8, 4.10, 4.10a, 4.11, 4.11a, 4.16, 4.16a, 4.21, 4.21a</w:t>
            </w:r>
          </w:p>
        </w:tc>
        <w:tc>
          <w:tcPr>
            <w:tcW w:w="460" w:type="pct"/>
          </w:tcPr>
          <w:p w:rsidR="003D4024" w:rsidRPr="006C67AC" w:rsidRDefault="003D4024" w:rsidP="006C67AC">
            <w:pPr>
              <w:pStyle w:val="ExhibitText"/>
            </w:pPr>
            <w:r>
              <w:t>4.8, 4.10, 4.10a, 4.11, 4.11a, 4.16, 4.16a, 4.21, 4.21a</w:t>
            </w:r>
          </w:p>
        </w:tc>
        <w:tc>
          <w:tcPr>
            <w:tcW w:w="1276" w:type="pct"/>
          </w:tcPr>
          <w:p w:rsidR="003D4024" w:rsidRPr="006C67AC" w:rsidRDefault="003D4024" w:rsidP="006C67AC">
            <w:pPr>
              <w:pStyle w:val="ExhibitText"/>
            </w:pPr>
            <w:r w:rsidRPr="006C67AC">
              <w:t>Condom and other contraceptive use</w:t>
            </w:r>
          </w:p>
        </w:tc>
        <w:tc>
          <w:tcPr>
            <w:tcW w:w="213" w:type="pct"/>
          </w:tcPr>
          <w:p w:rsidR="003D4024" w:rsidRPr="006C67AC" w:rsidRDefault="003D4024" w:rsidP="006C67AC">
            <w:pPr>
              <w:pStyle w:val="ExhibitText"/>
              <w:jc w:val="center"/>
            </w:pPr>
          </w:p>
        </w:tc>
        <w:tc>
          <w:tcPr>
            <w:tcW w:w="217" w:type="pct"/>
          </w:tcPr>
          <w:p w:rsidR="003D4024" w:rsidRPr="006C67AC" w:rsidRDefault="003D4024" w:rsidP="006C67AC">
            <w:pPr>
              <w:pStyle w:val="ExhibitText"/>
              <w:jc w:val="center"/>
            </w:pPr>
          </w:p>
        </w:tc>
        <w:tc>
          <w:tcPr>
            <w:tcW w:w="249" w:type="pct"/>
          </w:tcPr>
          <w:p w:rsidR="003D4024" w:rsidRPr="006C67AC" w:rsidRDefault="003D4024" w:rsidP="006C67AC">
            <w:pPr>
              <w:pStyle w:val="ExhibitText"/>
              <w:jc w:val="center"/>
            </w:pPr>
          </w:p>
        </w:tc>
        <w:tc>
          <w:tcPr>
            <w:tcW w:w="249" w:type="pct"/>
            <w:gridSpan w:val="2"/>
          </w:tcPr>
          <w:p w:rsidR="003D4024" w:rsidRPr="006C67AC" w:rsidRDefault="003D4024" w:rsidP="006C67AC">
            <w:pPr>
              <w:pStyle w:val="ExhibitText"/>
              <w:jc w:val="center"/>
            </w:pPr>
          </w:p>
        </w:tc>
        <w:tc>
          <w:tcPr>
            <w:tcW w:w="248" w:type="pct"/>
            <w:gridSpan w:val="2"/>
          </w:tcPr>
          <w:p w:rsidR="003D4024" w:rsidRPr="006C67AC" w:rsidRDefault="003D4024" w:rsidP="006C67AC">
            <w:pPr>
              <w:pStyle w:val="ExhibitText"/>
              <w:jc w:val="center"/>
            </w:pPr>
          </w:p>
        </w:tc>
        <w:tc>
          <w:tcPr>
            <w:tcW w:w="235" w:type="pct"/>
            <w:gridSpan w:val="2"/>
          </w:tcPr>
          <w:p w:rsidR="003D4024" w:rsidRPr="006C67AC" w:rsidRDefault="003D4024" w:rsidP="006C67AC">
            <w:pPr>
              <w:pStyle w:val="ExhibitText"/>
              <w:jc w:val="center"/>
            </w:pPr>
          </w:p>
        </w:tc>
        <w:tc>
          <w:tcPr>
            <w:tcW w:w="1368" w:type="pct"/>
            <w:vMerge/>
          </w:tcPr>
          <w:p w:rsidR="003D4024" w:rsidRPr="006C67AC" w:rsidRDefault="003D4024" w:rsidP="006C67AC">
            <w:pPr>
              <w:pStyle w:val="ExhibitText"/>
            </w:pPr>
          </w:p>
        </w:tc>
      </w:tr>
      <w:tr w:rsidR="00DE5E88" w:rsidRPr="00E556D3" w:rsidTr="00550F8A">
        <w:trPr>
          <w:cantSplit/>
        </w:trPr>
        <w:tc>
          <w:tcPr>
            <w:tcW w:w="485" w:type="pct"/>
          </w:tcPr>
          <w:p w:rsidR="003D4024" w:rsidRPr="00044B23" w:rsidRDefault="00044B23" w:rsidP="0086788E">
            <w:pPr>
              <w:pStyle w:val="ExhibitText"/>
            </w:pPr>
            <w:r w:rsidRPr="00044B23">
              <w:t>5.1, 5.2a-d</w:t>
            </w:r>
          </w:p>
        </w:tc>
        <w:tc>
          <w:tcPr>
            <w:tcW w:w="460" w:type="pct"/>
          </w:tcPr>
          <w:p w:rsidR="003D4024" w:rsidRPr="006C67AC" w:rsidRDefault="003D4024" w:rsidP="006C67AC">
            <w:pPr>
              <w:pStyle w:val="ExhibitText"/>
            </w:pPr>
            <w:r>
              <w:t>5.1 , 5.2a-d</w:t>
            </w:r>
          </w:p>
        </w:tc>
        <w:tc>
          <w:tcPr>
            <w:tcW w:w="1276" w:type="pct"/>
          </w:tcPr>
          <w:p w:rsidR="003D4024" w:rsidRPr="006C67AC" w:rsidRDefault="003D4024" w:rsidP="006C67AC">
            <w:pPr>
              <w:pStyle w:val="ExhibitText"/>
            </w:pPr>
            <w:r w:rsidRPr="006C67AC">
              <w:t>Pregnancy</w:t>
            </w:r>
          </w:p>
        </w:tc>
        <w:tc>
          <w:tcPr>
            <w:tcW w:w="213" w:type="pct"/>
          </w:tcPr>
          <w:p w:rsidR="003D4024" w:rsidRPr="006C67AC" w:rsidRDefault="003D4024" w:rsidP="006C67AC">
            <w:pPr>
              <w:pStyle w:val="ExhibitText"/>
              <w:jc w:val="center"/>
            </w:pPr>
          </w:p>
        </w:tc>
        <w:tc>
          <w:tcPr>
            <w:tcW w:w="217" w:type="pct"/>
          </w:tcPr>
          <w:p w:rsidR="003D4024" w:rsidRPr="006C67AC" w:rsidRDefault="003D4024" w:rsidP="006C67AC">
            <w:pPr>
              <w:pStyle w:val="ExhibitText"/>
              <w:jc w:val="center"/>
            </w:pPr>
          </w:p>
        </w:tc>
        <w:tc>
          <w:tcPr>
            <w:tcW w:w="249" w:type="pct"/>
          </w:tcPr>
          <w:p w:rsidR="003D4024" w:rsidRPr="006C67AC" w:rsidRDefault="003D4024" w:rsidP="006C67AC">
            <w:pPr>
              <w:pStyle w:val="ExhibitText"/>
              <w:jc w:val="center"/>
            </w:pPr>
          </w:p>
        </w:tc>
        <w:tc>
          <w:tcPr>
            <w:tcW w:w="249" w:type="pct"/>
            <w:gridSpan w:val="2"/>
          </w:tcPr>
          <w:p w:rsidR="003D4024" w:rsidRPr="006C67AC" w:rsidRDefault="003D4024" w:rsidP="006C67AC">
            <w:pPr>
              <w:pStyle w:val="ExhibitText"/>
              <w:jc w:val="center"/>
            </w:pPr>
          </w:p>
        </w:tc>
        <w:tc>
          <w:tcPr>
            <w:tcW w:w="248" w:type="pct"/>
            <w:gridSpan w:val="2"/>
          </w:tcPr>
          <w:p w:rsidR="003D4024" w:rsidRPr="006C67AC" w:rsidRDefault="003D4024" w:rsidP="006C67AC">
            <w:pPr>
              <w:pStyle w:val="ExhibitText"/>
              <w:jc w:val="center"/>
            </w:pPr>
            <w:r w:rsidRPr="006C67AC">
              <w:sym w:font="Wingdings 2" w:char="F050"/>
            </w:r>
          </w:p>
        </w:tc>
        <w:tc>
          <w:tcPr>
            <w:tcW w:w="235" w:type="pct"/>
            <w:gridSpan w:val="2"/>
          </w:tcPr>
          <w:p w:rsidR="003D4024" w:rsidRPr="006C67AC" w:rsidRDefault="003D4024" w:rsidP="006C67AC">
            <w:pPr>
              <w:pStyle w:val="ExhibitText"/>
              <w:jc w:val="center"/>
            </w:pPr>
          </w:p>
        </w:tc>
        <w:tc>
          <w:tcPr>
            <w:tcW w:w="1368" w:type="pct"/>
            <w:vMerge/>
          </w:tcPr>
          <w:p w:rsidR="003D4024" w:rsidRPr="006C67AC" w:rsidRDefault="003D4024" w:rsidP="006C67AC">
            <w:pPr>
              <w:pStyle w:val="ExhibitText"/>
            </w:pPr>
          </w:p>
        </w:tc>
      </w:tr>
      <w:tr w:rsidR="00DE5E88" w:rsidRPr="00E556D3" w:rsidTr="00550F8A">
        <w:trPr>
          <w:cantSplit/>
        </w:trPr>
        <w:tc>
          <w:tcPr>
            <w:tcW w:w="485" w:type="pct"/>
          </w:tcPr>
          <w:p w:rsidR="003D4024" w:rsidRPr="00044B23" w:rsidRDefault="00044B23" w:rsidP="006C67AC">
            <w:pPr>
              <w:pStyle w:val="ExhibitText"/>
            </w:pPr>
            <w:r w:rsidRPr="00044B23">
              <w:t>5.3</w:t>
            </w:r>
          </w:p>
        </w:tc>
        <w:tc>
          <w:tcPr>
            <w:tcW w:w="460" w:type="pct"/>
          </w:tcPr>
          <w:p w:rsidR="003D4024" w:rsidRPr="006C67AC" w:rsidRDefault="003D4024" w:rsidP="006C67AC">
            <w:pPr>
              <w:pStyle w:val="ExhibitText"/>
            </w:pPr>
            <w:r>
              <w:t>5.3</w:t>
            </w:r>
          </w:p>
        </w:tc>
        <w:tc>
          <w:tcPr>
            <w:tcW w:w="1276" w:type="pct"/>
          </w:tcPr>
          <w:p w:rsidR="003D4024" w:rsidRPr="006C67AC" w:rsidRDefault="003D4024" w:rsidP="006C67AC">
            <w:pPr>
              <w:pStyle w:val="ExhibitText"/>
            </w:pPr>
            <w:r w:rsidRPr="006C67AC">
              <w:t>Spoken to a doctor about sexual health</w:t>
            </w:r>
          </w:p>
        </w:tc>
        <w:tc>
          <w:tcPr>
            <w:tcW w:w="213" w:type="pct"/>
          </w:tcPr>
          <w:p w:rsidR="003D4024" w:rsidRPr="006C67AC" w:rsidRDefault="003D4024" w:rsidP="006C67AC">
            <w:pPr>
              <w:pStyle w:val="ExhibitText"/>
              <w:jc w:val="center"/>
            </w:pPr>
          </w:p>
        </w:tc>
        <w:tc>
          <w:tcPr>
            <w:tcW w:w="217" w:type="pct"/>
          </w:tcPr>
          <w:p w:rsidR="003D4024" w:rsidRPr="006C67AC" w:rsidRDefault="003D4024" w:rsidP="006C67AC">
            <w:pPr>
              <w:pStyle w:val="ExhibitText"/>
              <w:jc w:val="center"/>
            </w:pPr>
          </w:p>
        </w:tc>
        <w:tc>
          <w:tcPr>
            <w:tcW w:w="249" w:type="pct"/>
          </w:tcPr>
          <w:p w:rsidR="003D4024" w:rsidRPr="006C67AC" w:rsidRDefault="003D4024" w:rsidP="006C67AC">
            <w:pPr>
              <w:pStyle w:val="ExhibitText"/>
              <w:jc w:val="center"/>
            </w:pPr>
          </w:p>
        </w:tc>
        <w:tc>
          <w:tcPr>
            <w:tcW w:w="249" w:type="pct"/>
            <w:gridSpan w:val="2"/>
          </w:tcPr>
          <w:p w:rsidR="003D4024" w:rsidRPr="006C67AC" w:rsidRDefault="003D4024" w:rsidP="006C67AC">
            <w:pPr>
              <w:pStyle w:val="ExhibitText"/>
              <w:jc w:val="center"/>
            </w:pPr>
          </w:p>
        </w:tc>
        <w:tc>
          <w:tcPr>
            <w:tcW w:w="248" w:type="pct"/>
            <w:gridSpan w:val="2"/>
          </w:tcPr>
          <w:p w:rsidR="003D4024" w:rsidRPr="006C67AC" w:rsidRDefault="003D4024" w:rsidP="006C67AC">
            <w:pPr>
              <w:pStyle w:val="ExhibitText"/>
              <w:jc w:val="center"/>
            </w:pPr>
            <w:r w:rsidRPr="006C67AC">
              <w:sym w:font="Wingdings 2" w:char="F050"/>
            </w:r>
          </w:p>
        </w:tc>
        <w:tc>
          <w:tcPr>
            <w:tcW w:w="235" w:type="pct"/>
            <w:gridSpan w:val="2"/>
          </w:tcPr>
          <w:p w:rsidR="003D4024" w:rsidRPr="006C67AC" w:rsidRDefault="003D4024" w:rsidP="006C67AC">
            <w:pPr>
              <w:pStyle w:val="ExhibitText"/>
              <w:jc w:val="center"/>
            </w:pPr>
          </w:p>
        </w:tc>
        <w:tc>
          <w:tcPr>
            <w:tcW w:w="1368" w:type="pct"/>
            <w:vMerge/>
          </w:tcPr>
          <w:p w:rsidR="003D4024" w:rsidRPr="006C67AC" w:rsidRDefault="003D4024" w:rsidP="006C67AC">
            <w:pPr>
              <w:pStyle w:val="ExhibitText"/>
            </w:pPr>
          </w:p>
        </w:tc>
      </w:tr>
      <w:tr w:rsidR="00DE5E88" w:rsidRPr="00E556D3" w:rsidTr="00550F8A">
        <w:trPr>
          <w:cantSplit/>
        </w:trPr>
        <w:tc>
          <w:tcPr>
            <w:tcW w:w="485" w:type="pct"/>
          </w:tcPr>
          <w:p w:rsidR="003D4024" w:rsidRPr="00044B23" w:rsidRDefault="00044B23" w:rsidP="002A08FA">
            <w:pPr>
              <w:pStyle w:val="ExhibitText"/>
            </w:pPr>
            <w:r w:rsidRPr="00044B23">
              <w:t>5.4 – 5.6</w:t>
            </w:r>
          </w:p>
        </w:tc>
        <w:tc>
          <w:tcPr>
            <w:tcW w:w="460" w:type="pct"/>
          </w:tcPr>
          <w:p w:rsidR="003D4024" w:rsidRPr="006C67AC" w:rsidRDefault="003D4024" w:rsidP="006C67AC">
            <w:pPr>
              <w:pStyle w:val="ExhibitText"/>
            </w:pPr>
            <w:r>
              <w:t>5.4 – 5.6</w:t>
            </w:r>
          </w:p>
        </w:tc>
        <w:tc>
          <w:tcPr>
            <w:tcW w:w="1276" w:type="pct"/>
          </w:tcPr>
          <w:p w:rsidR="003D4024" w:rsidRPr="006C67AC" w:rsidRDefault="003D4024" w:rsidP="006C67AC">
            <w:pPr>
              <w:pStyle w:val="ExhibitText"/>
            </w:pPr>
            <w:r w:rsidRPr="006C67AC">
              <w:t>STDs</w:t>
            </w:r>
          </w:p>
        </w:tc>
        <w:tc>
          <w:tcPr>
            <w:tcW w:w="213" w:type="pct"/>
          </w:tcPr>
          <w:p w:rsidR="003D4024" w:rsidRPr="006C67AC" w:rsidRDefault="003D4024" w:rsidP="006C67AC">
            <w:pPr>
              <w:pStyle w:val="ExhibitText"/>
              <w:jc w:val="center"/>
            </w:pPr>
          </w:p>
        </w:tc>
        <w:tc>
          <w:tcPr>
            <w:tcW w:w="217" w:type="pct"/>
          </w:tcPr>
          <w:p w:rsidR="003D4024" w:rsidRPr="006C67AC" w:rsidRDefault="003D4024" w:rsidP="006C67AC">
            <w:pPr>
              <w:pStyle w:val="ExhibitText"/>
              <w:jc w:val="center"/>
            </w:pPr>
          </w:p>
        </w:tc>
        <w:tc>
          <w:tcPr>
            <w:tcW w:w="249" w:type="pct"/>
          </w:tcPr>
          <w:p w:rsidR="003D4024" w:rsidRPr="006C67AC" w:rsidRDefault="003D4024" w:rsidP="006C67AC">
            <w:pPr>
              <w:pStyle w:val="ExhibitText"/>
              <w:jc w:val="center"/>
            </w:pPr>
          </w:p>
        </w:tc>
        <w:tc>
          <w:tcPr>
            <w:tcW w:w="249" w:type="pct"/>
            <w:gridSpan w:val="2"/>
          </w:tcPr>
          <w:p w:rsidR="003D4024" w:rsidRPr="006C67AC" w:rsidRDefault="003D4024" w:rsidP="006C67AC">
            <w:pPr>
              <w:pStyle w:val="ExhibitText"/>
              <w:jc w:val="center"/>
            </w:pPr>
          </w:p>
        </w:tc>
        <w:tc>
          <w:tcPr>
            <w:tcW w:w="248" w:type="pct"/>
            <w:gridSpan w:val="2"/>
          </w:tcPr>
          <w:p w:rsidR="003D4024" w:rsidRPr="006C67AC" w:rsidRDefault="003D4024" w:rsidP="006C67AC">
            <w:pPr>
              <w:pStyle w:val="ExhibitText"/>
              <w:jc w:val="center"/>
            </w:pPr>
            <w:r w:rsidRPr="006C67AC">
              <w:sym w:font="Wingdings 2" w:char="F050"/>
            </w:r>
          </w:p>
        </w:tc>
        <w:tc>
          <w:tcPr>
            <w:tcW w:w="235" w:type="pct"/>
            <w:gridSpan w:val="2"/>
          </w:tcPr>
          <w:p w:rsidR="003D4024" w:rsidRPr="006C67AC" w:rsidRDefault="003D4024" w:rsidP="006C67AC">
            <w:pPr>
              <w:pStyle w:val="ExhibitText"/>
              <w:jc w:val="center"/>
            </w:pPr>
          </w:p>
        </w:tc>
        <w:tc>
          <w:tcPr>
            <w:tcW w:w="1368" w:type="pct"/>
            <w:vMerge/>
          </w:tcPr>
          <w:p w:rsidR="003D4024" w:rsidRPr="006C67AC" w:rsidRDefault="003D4024" w:rsidP="006C67AC">
            <w:pPr>
              <w:pStyle w:val="ExhibitText"/>
            </w:pPr>
          </w:p>
        </w:tc>
      </w:tr>
      <w:tr w:rsidR="00DE5E88" w:rsidRPr="00E556D3" w:rsidTr="00550F8A">
        <w:trPr>
          <w:cantSplit/>
        </w:trPr>
        <w:tc>
          <w:tcPr>
            <w:tcW w:w="485" w:type="pct"/>
          </w:tcPr>
          <w:p w:rsidR="003D4024" w:rsidRPr="00EE33FE" w:rsidRDefault="00044B23" w:rsidP="006C67AC">
            <w:pPr>
              <w:pStyle w:val="ExhibitText"/>
              <w:rPr>
                <w:highlight w:val="yellow"/>
              </w:rPr>
            </w:pPr>
            <w:r w:rsidRPr="00044B23">
              <w:t>6.1 – 6.</w:t>
            </w:r>
            <w:r>
              <w:t>3</w:t>
            </w:r>
          </w:p>
        </w:tc>
        <w:tc>
          <w:tcPr>
            <w:tcW w:w="460" w:type="pct"/>
          </w:tcPr>
          <w:p w:rsidR="003D4024" w:rsidRPr="006C67AC" w:rsidDel="00EE33FE" w:rsidRDefault="00044B23" w:rsidP="006C67AC">
            <w:pPr>
              <w:pStyle w:val="ExhibitText"/>
            </w:pPr>
            <w:r>
              <w:t>6.1 – 6.3</w:t>
            </w:r>
          </w:p>
        </w:tc>
        <w:tc>
          <w:tcPr>
            <w:tcW w:w="1276" w:type="pct"/>
          </w:tcPr>
          <w:p w:rsidR="003D4024" w:rsidRPr="006C67AC" w:rsidRDefault="003D4024" w:rsidP="006C67AC">
            <w:pPr>
              <w:pStyle w:val="ExhibitText"/>
            </w:pPr>
            <w:r>
              <w:t>A</w:t>
            </w:r>
            <w:r w:rsidRPr="006C67AC">
              <w:t>lcohol use</w:t>
            </w:r>
          </w:p>
        </w:tc>
        <w:tc>
          <w:tcPr>
            <w:tcW w:w="213" w:type="pct"/>
          </w:tcPr>
          <w:p w:rsidR="003D4024" w:rsidRPr="006C67AC" w:rsidRDefault="003D4024" w:rsidP="006C67AC">
            <w:pPr>
              <w:pStyle w:val="ExhibitText"/>
              <w:jc w:val="center"/>
            </w:pPr>
          </w:p>
        </w:tc>
        <w:tc>
          <w:tcPr>
            <w:tcW w:w="217" w:type="pct"/>
          </w:tcPr>
          <w:p w:rsidR="003D4024" w:rsidRPr="006C67AC" w:rsidRDefault="003D4024" w:rsidP="006C67AC">
            <w:pPr>
              <w:pStyle w:val="ExhibitText"/>
              <w:jc w:val="center"/>
            </w:pPr>
          </w:p>
        </w:tc>
        <w:tc>
          <w:tcPr>
            <w:tcW w:w="249" w:type="pct"/>
          </w:tcPr>
          <w:p w:rsidR="003D4024" w:rsidRPr="006C67AC" w:rsidRDefault="003D4024" w:rsidP="006C67AC">
            <w:pPr>
              <w:pStyle w:val="ExhibitText"/>
              <w:jc w:val="center"/>
            </w:pPr>
          </w:p>
        </w:tc>
        <w:tc>
          <w:tcPr>
            <w:tcW w:w="249" w:type="pct"/>
            <w:gridSpan w:val="2"/>
          </w:tcPr>
          <w:p w:rsidR="003D4024" w:rsidRPr="006C67AC" w:rsidRDefault="003D4024" w:rsidP="006C67AC">
            <w:pPr>
              <w:pStyle w:val="ExhibitText"/>
              <w:jc w:val="center"/>
            </w:pPr>
            <w:r w:rsidRPr="006C67AC">
              <w:sym w:font="Wingdings 2" w:char="F050"/>
            </w:r>
          </w:p>
        </w:tc>
        <w:tc>
          <w:tcPr>
            <w:tcW w:w="248" w:type="pct"/>
            <w:gridSpan w:val="2"/>
          </w:tcPr>
          <w:p w:rsidR="003D4024" w:rsidRPr="006C67AC" w:rsidRDefault="003D4024" w:rsidP="006C67AC">
            <w:pPr>
              <w:pStyle w:val="ExhibitText"/>
              <w:jc w:val="center"/>
            </w:pPr>
          </w:p>
        </w:tc>
        <w:tc>
          <w:tcPr>
            <w:tcW w:w="235" w:type="pct"/>
            <w:gridSpan w:val="2"/>
          </w:tcPr>
          <w:p w:rsidR="003D4024" w:rsidRPr="006C67AC" w:rsidRDefault="003D4024" w:rsidP="006C67AC">
            <w:pPr>
              <w:pStyle w:val="ExhibitText"/>
              <w:jc w:val="center"/>
            </w:pPr>
          </w:p>
        </w:tc>
        <w:tc>
          <w:tcPr>
            <w:tcW w:w="1368" w:type="pct"/>
            <w:vMerge w:val="restart"/>
          </w:tcPr>
          <w:p w:rsidR="003D4024" w:rsidRPr="006C67AC" w:rsidRDefault="003D4024" w:rsidP="006C67AC">
            <w:pPr>
              <w:pStyle w:val="ExhibitText"/>
            </w:pPr>
            <w:r w:rsidRPr="006C67AC">
              <w:t xml:space="preserve">The consumption of alcohol and </w:t>
            </w:r>
            <w:r>
              <w:t xml:space="preserve">other </w:t>
            </w:r>
            <w:r w:rsidRPr="006C67AC">
              <w:t>drug use among adolescents is associated with early initiation of sexual activity as well as sexual risk taking. While much of the association can be explained by common risk factors that predispose teens to both alcohol misuse and risky sexual behavior, there exists a direct link between alcohol consumption and post-drinking risky sexual behavior. This direct link is strongest among teens who expect alcohol consumption to lead to risky sex. (Tapert et al. 2001, Li et al. 2001, Boyer et al. 1999; Fergusson and Lynskey 1996; Sen 2002; Dermen 1998 et al.; Santelli et al. 2001)</w:t>
            </w:r>
          </w:p>
        </w:tc>
      </w:tr>
      <w:tr w:rsidR="00DE5E88" w:rsidRPr="00E556D3" w:rsidTr="00550F8A">
        <w:trPr>
          <w:cantSplit/>
        </w:trPr>
        <w:tc>
          <w:tcPr>
            <w:tcW w:w="485" w:type="pct"/>
          </w:tcPr>
          <w:p w:rsidR="003D4024" w:rsidRPr="00EE33FE" w:rsidRDefault="00044B23" w:rsidP="006C67AC">
            <w:pPr>
              <w:pStyle w:val="ExhibitText"/>
              <w:rPr>
                <w:highlight w:val="yellow"/>
              </w:rPr>
            </w:pPr>
            <w:r w:rsidRPr="00044B23">
              <w:t>6.4, 6.5</w:t>
            </w:r>
          </w:p>
        </w:tc>
        <w:tc>
          <w:tcPr>
            <w:tcW w:w="460" w:type="pct"/>
          </w:tcPr>
          <w:p w:rsidR="003D4024" w:rsidRDefault="00044B23" w:rsidP="00EE33FE">
            <w:pPr>
              <w:pStyle w:val="ExhibitText"/>
            </w:pPr>
            <w:r>
              <w:t>6.4, 6.5</w:t>
            </w:r>
          </w:p>
        </w:tc>
        <w:tc>
          <w:tcPr>
            <w:tcW w:w="1276" w:type="pct"/>
          </w:tcPr>
          <w:p w:rsidR="003D4024" w:rsidRPr="006C67AC" w:rsidRDefault="003D4024" w:rsidP="00EE33FE">
            <w:pPr>
              <w:pStyle w:val="ExhibitText"/>
            </w:pPr>
            <w:r>
              <w:t>Other d</w:t>
            </w:r>
            <w:r w:rsidRPr="006C67AC">
              <w:t>rug use</w:t>
            </w:r>
          </w:p>
        </w:tc>
        <w:tc>
          <w:tcPr>
            <w:tcW w:w="213" w:type="pct"/>
          </w:tcPr>
          <w:p w:rsidR="003D4024" w:rsidRPr="006C67AC" w:rsidRDefault="003D4024" w:rsidP="006C67AC">
            <w:pPr>
              <w:pStyle w:val="ExhibitText"/>
              <w:jc w:val="center"/>
            </w:pPr>
          </w:p>
        </w:tc>
        <w:tc>
          <w:tcPr>
            <w:tcW w:w="217" w:type="pct"/>
          </w:tcPr>
          <w:p w:rsidR="003D4024" w:rsidRPr="006C67AC" w:rsidRDefault="003D4024" w:rsidP="006C67AC">
            <w:pPr>
              <w:pStyle w:val="ExhibitText"/>
              <w:jc w:val="center"/>
            </w:pPr>
          </w:p>
        </w:tc>
        <w:tc>
          <w:tcPr>
            <w:tcW w:w="249" w:type="pct"/>
          </w:tcPr>
          <w:p w:rsidR="003D4024" w:rsidRPr="006C67AC" w:rsidRDefault="003D4024" w:rsidP="006C67AC">
            <w:pPr>
              <w:pStyle w:val="ExhibitText"/>
              <w:jc w:val="center"/>
            </w:pPr>
          </w:p>
        </w:tc>
        <w:tc>
          <w:tcPr>
            <w:tcW w:w="249" w:type="pct"/>
            <w:gridSpan w:val="2"/>
          </w:tcPr>
          <w:p w:rsidR="003D4024" w:rsidRPr="006C67AC" w:rsidRDefault="003D4024" w:rsidP="006C67AC">
            <w:pPr>
              <w:pStyle w:val="ExhibitText"/>
              <w:jc w:val="center"/>
            </w:pPr>
            <w:r w:rsidRPr="006C67AC">
              <w:sym w:font="Wingdings 2" w:char="F050"/>
            </w:r>
          </w:p>
        </w:tc>
        <w:tc>
          <w:tcPr>
            <w:tcW w:w="248" w:type="pct"/>
            <w:gridSpan w:val="2"/>
          </w:tcPr>
          <w:p w:rsidR="003D4024" w:rsidRPr="006C67AC" w:rsidRDefault="003D4024" w:rsidP="006C67AC">
            <w:pPr>
              <w:pStyle w:val="ExhibitText"/>
              <w:jc w:val="center"/>
            </w:pPr>
          </w:p>
        </w:tc>
        <w:tc>
          <w:tcPr>
            <w:tcW w:w="235" w:type="pct"/>
            <w:gridSpan w:val="2"/>
          </w:tcPr>
          <w:p w:rsidR="003D4024" w:rsidRPr="006C67AC" w:rsidRDefault="003D4024" w:rsidP="006C67AC">
            <w:pPr>
              <w:pStyle w:val="ExhibitText"/>
              <w:jc w:val="center"/>
            </w:pPr>
          </w:p>
        </w:tc>
        <w:tc>
          <w:tcPr>
            <w:tcW w:w="1368" w:type="pct"/>
            <w:vMerge/>
          </w:tcPr>
          <w:p w:rsidR="003D4024" w:rsidRPr="006C67AC" w:rsidRDefault="003D4024" w:rsidP="006C67AC">
            <w:pPr>
              <w:pStyle w:val="ExhibitText"/>
            </w:pPr>
          </w:p>
        </w:tc>
      </w:tr>
      <w:tr w:rsidR="00DE5E88" w:rsidRPr="00E556D3" w:rsidTr="00550F8A">
        <w:trPr>
          <w:cantSplit/>
        </w:trPr>
        <w:tc>
          <w:tcPr>
            <w:tcW w:w="485" w:type="pct"/>
          </w:tcPr>
          <w:p w:rsidR="003D4024" w:rsidRPr="00EE33FE" w:rsidRDefault="00044B23" w:rsidP="006C67AC">
            <w:pPr>
              <w:pStyle w:val="ExhibitText"/>
              <w:rPr>
                <w:highlight w:val="yellow"/>
              </w:rPr>
            </w:pPr>
            <w:r w:rsidRPr="00044B23">
              <w:t>7.1, 7.2</w:t>
            </w:r>
          </w:p>
        </w:tc>
        <w:tc>
          <w:tcPr>
            <w:tcW w:w="460" w:type="pct"/>
          </w:tcPr>
          <w:p w:rsidR="003D4024" w:rsidRPr="006C67AC" w:rsidRDefault="00044B23" w:rsidP="006C67AC">
            <w:pPr>
              <w:pStyle w:val="ExhibitText"/>
            </w:pPr>
            <w:r>
              <w:t>7.1, 7.2</w:t>
            </w:r>
          </w:p>
        </w:tc>
        <w:tc>
          <w:tcPr>
            <w:tcW w:w="1276" w:type="pct"/>
          </w:tcPr>
          <w:p w:rsidR="003D4024" w:rsidRPr="006C67AC" w:rsidRDefault="00B617D5" w:rsidP="006C67AC">
            <w:pPr>
              <w:pStyle w:val="ExhibitText"/>
            </w:pPr>
            <w:r>
              <w:t>Peer Pressure and Support</w:t>
            </w:r>
            <w:bookmarkStart w:id="0" w:name="_GoBack"/>
            <w:bookmarkEnd w:id="0"/>
          </w:p>
        </w:tc>
        <w:tc>
          <w:tcPr>
            <w:tcW w:w="213" w:type="pct"/>
          </w:tcPr>
          <w:p w:rsidR="003D4024" w:rsidRPr="006C67AC" w:rsidRDefault="003D4024" w:rsidP="006C67AC">
            <w:pPr>
              <w:pStyle w:val="ExhibitText"/>
              <w:jc w:val="center"/>
            </w:pPr>
          </w:p>
        </w:tc>
        <w:tc>
          <w:tcPr>
            <w:tcW w:w="217" w:type="pct"/>
          </w:tcPr>
          <w:p w:rsidR="003D4024" w:rsidRPr="006C67AC" w:rsidRDefault="003D4024" w:rsidP="006C67AC">
            <w:pPr>
              <w:pStyle w:val="ExhibitText"/>
              <w:jc w:val="center"/>
            </w:pPr>
          </w:p>
        </w:tc>
        <w:tc>
          <w:tcPr>
            <w:tcW w:w="249" w:type="pct"/>
          </w:tcPr>
          <w:p w:rsidR="003D4024" w:rsidRPr="006C67AC" w:rsidRDefault="003D4024" w:rsidP="006C67AC">
            <w:pPr>
              <w:pStyle w:val="ExhibitText"/>
              <w:jc w:val="center"/>
            </w:pPr>
          </w:p>
        </w:tc>
        <w:tc>
          <w:tcPr>
            <w:tcW w:w="249" w:type="pct"/>
            <w:gridSpan w:val="2"/>
          </w:tcPr>
          <w:p w:rsidR="003D4024" w:rsidRPr="006C67AC" w:rsidRDefault="003D4024" w:rsidP="006C67AC">
            <w:pPr>
              <w:pStyle w:val="ExhibitText"/>
              <w:jc w:val="center"/>
            </w:pPr>
            <w:r w:rsidRPr="006C67AC">
              <w:sym w:font="Wingdings 2" w:char="F050"/>
            </w:r>
          </w:p>
        </w:tc>
        <w:tc>
          <w:tcPr>
            <w:tcW w:w="248" w:type="pct"/>
            <w:gridSpan w:val="2"/>
          </w:tcPr>
          <w:p w:rsidR="003D4024" w:rsidRPr="006C67AC" w:rsidRDefault="003D4024" w:rsidP="006C67AC">
            <w:pPr>
              <w:pStyle w:val="ExhibitText"/>
              <w:jc w:val="center"/>
            </w:pPr>
          </w:p>
        </w:tc>
        <w:tc>
          <w:tcPr>
            <w:tcW w:w="235" w:type="pct"/>
            <w:gridSpan w:val="2"/>
          </w:tcPr>
          <w:p w:rsidR="003D4024" w:rsidRPr="006C67AC" w:rsidRDefault="003D4024" w:rsidP="006C67AC">
            <w:pPr>
              <w:pStyle w:val="ExhibitText"/>
              <w:jc w:val="center"/>
            </w:pPr>
          </w:p>
        </w:tc>
        <w:tc>
          <w:tcPr>
            <w:tcW w:w="1368" w:type="pct"/>
            <w:vMerge w:val="restart"/>
          </w:tcPr>
          <w:p w:rsidR="003D4024" w:rsidRPr="006C67AC" w:rsidRDefault="003D4024" w:rsidP="006C67AC">
            <w:pPr>
              <w:pStyle w:val="ExhibitText"/>
            </w:pPr>
            <w:r w:rsidRPr="006C67AC">
              <w:t>There is a rich body of research pointing to a strong association between teens’ behavior and the behavior of or the perceived norms of their peers. While some of this observed relationship is the result of teens selecting peers who have similar values, a weaker, but stable relationship remains after taking into account the selection process. These questions will allow us to identify teens under a possible positive or negative influence of their peers as well as the level of involvement with friends. (Jaccard et al. 2005; Buhi and Goodson 2007; Kinsman et al. 1998; Sieving et al. 2006)</w:t>
            </w:r>
          </w:p>
        </w:tc>
      </w:tr>
      <w:tr w:rsidR="00DE5E88" w:rsidRPr="00E556D3" w:rsidTr="00550F8A">
        <w:trPr>
          <w:cantSplit/>
        </w:trPr>
        <w:tc>
          <w:tcPr>
            <w:tcW w:w="485" w:type="pct"/>
          </w:tcPr>
          <w:p w:rsidR="003D4024" w:rsidRPr="00047985" w:rsidRDefault="003D4024" w:rsidP="006C67AC">
            <w:pPr>
              <w:pStyle w:val="ExhibitText"/>
            </w:pPr>
            <w:r>
              <w:t>NA</w:t>
            </w:r>
          </w:p>
        </w:tc>
        <w:tc>
          <w:tcPr>
            <w:tcW w:w="460" w:type="pct"/>
          </w:tcPr>
          <w:p w:rsidR="003D4024" w:rsidRPr="00047985" w:rsidRDefault="003D4024" w:rsidP="006C67AC">
            <w:pPr>
              <w:pStyle w:val="ExhibitText"/>
            </w:pPr>
            <w:r>
              <w:t>3.14a</w:t>
            </w:r>
          </w:p>
        </w:tc>
        <w:tc>
          <w:tcPr>
            <w:tcW w:w="1276" w:type="pct"/>
          </w:tcPr>
          <w:p w:rsidR="003D4024" w:rsidRPr="00047985" w:rsidRDefault="003D4024" w:rsidP="006C67AC">
            <w:pPr>
              <w:pStyle w:val="ExhibitText"/>
            </w:pPr>
            <w:r w:rsidRPr="00047985">
              <w:t>Peer Norms</w:t>
            </w:r>
          </w:p>
        </w:tc>
        <w:tc>
          <w:tcPr>
            <w:tcW w:w="213" w:type="pct"/>
          </w:tcPr>
          <w:p w:rsidR="003D4024" w:rsidRPr="00047985" w:rsidRDefault="003D4024" w:rsidP="006C67AC">
            <w:pPr>
              <w:pStyle w:val="ExhibitText"/>
              <w:jc w:val="center"/>
            </w:pPr>
          </w:p>
        </w:tc>
        <w:tc>
          <w:tcPr>
            <w:tcW w:w="217" w:type="pct"/>
          </w:tcPr>
          <w:p w:rsidR="003D4024" w:rsidRPr="00047985" w:rsidRDefault="003D4024" w:rsidP="006C67AC">
            <w:pPr>
              <w:pStyle w:val="ExhibitText"/>
              <w:jc w:val="center"/>
            </w:pPr>
          </w:p>
        </w:tc>
        <w:tc>
          <w:tcPr>
            <w:tcW w:w="249" w:type="pct"/>
          </w:tcPr>
          <w:p w:rsidR="003D4024" w:rsidRPr="00047985" w:rsidRDefault="003D4024" w:rsidP="006C67AC">
            <w:pPr>
              <w:pStyle w:val="ExhibitText"/>
              <w:jc w:val="center"/>
            </w:pPr>
          </w:p>
        </w:tc>
        <w:tc>
          <w:tcPr>
            <w:tcW w:w="249" w:type="pct"/>
            <w:gridSpan w:val="2"/>
          </w:tcPr>
          <w:p w:rsidR="003D4024" w:rsidRPr="00047985" w:rsidRDefault="003D4024" w:rsidP="006C67AC">
            <w:pPr>
              <w:pStyle w:val="ExhibitText"/>
              <w:jc w:val="center"/>
            </w:pPr>
            <w:r w:rsidRPr="006C67AC">
              <w:sym w:font="Wingdings 2" w:char="F050"/>
            </w:r>
          </w:p>
        </w:tc>
        <w:tc>
          <w:tcPr>
            <w:tcW w:w="248" w:type="pct"/>
            <w:gridSpan w:val="2"/>
          </w:tcPr>
          <w:p w:rsidR="003D4024" w:rsidRPr="00047985" w:rsidRDefault="003D4024" w:rsidP="006C67AC">
            <w:pPr>
              <w:pStyle w:val="ExhibitText"/>
              <w:jc w:val="center"/>
            </w:pPr>
          </w:p>
        </w:tc>
        <w:tc>
          <w:tcPr>
            <w:tcW w:w="235" w:type="pct"/>
            <w:gridSpan w:val="2"/>
          </w:tcPr>
          <w:p w:rsidR="003D4024" w:rsidRPr="00047985" w:rsidRDefault="003D4024" w:rsidP="006C67AC">
            <w:pPr>
              <w:pStyle w:val="ExhibitText"/>
              <w:jc w:val="center"/>
            </w:pPr>
          </w:p>
        </w:tc>
        <w:tc>
          <w:tcPr>
            <w:tcW w:w="1368" w:type="pct"/>
            <w:vMerge/>
          </w:tcPr>
          <w:p w:rsidR="003D4024" w:rsidRPr="006C67AC" w:rsidRDefault="003D4024" w:rsidP="006C67AC">
            <w:pPr>
              <w:pStyle w:val="ExhibitText"/>
            </w:pPr>
          </w:p>
        </w:tc>
      </w:tr>
      <w:tr w:rsidR="00DE5E88" w:rsidRPr="00E556D3" w:rsidTr="00550F8A">
        <w:trPr>
          <w:cantSplit/>
        </w:trPr>
        <w:tc>
          <w:tcPr>
            <w:tcW w:w="485" w:type="pct"/>
          </w:tcPr>
          <w:p w:rsidR="003D4024" w:rsidRPr="00044B23" w:rsidRDefault="00044B23" w:rsidP="006C67AC">
            <w:pPr>
              <w:pStyle w:val="ExhibitText"/>
            </w:pPr>
            <w:r w:rsidRPr="00044B23">
              <w:t>7.3, 7.4</w:t>
            </w:r>
            <w:r>
              <w:t>, 7.6, 7.7</w:t>
            </w:r>
          </w:p>
        </w:tc>
        <w:tc>
          <w:tcPr>
            <w:tcW w:w="460" w:type="pct"/>
          </w:tcPr>
          <w:p w:rsidR="003D4024" w:rsidRPr="006C67AC" w:rsidRDefault="00044B23" w:rsidP="006C67AC">
            <w:pPr>
              <w:pStyle w:val="ExhibitText"/>
            </w:pPr>
            <w:r>
              <w:t>7.3, 7.4, 7.6, 7.7</w:t>
            </w:r>
          </w:p>
        </w:tc>
        <w:tc>
          <w:tcPr>
            <w:tcW w:w="1276" w:type="pct"/>
          </w:tcPr>
          <w:p w:rsidR="003D4024" w:rsidRPr="006C67AC" w:rsidRDefault="003D4024" w:rsidP="00044B23">
            <w:pPr>
              <w:pStyle w:val="ExhibitText"/>
            </w:pPr>
            <w:r w:rsidRPr="006C67AC">
              <w:t>Parents’ Employment Status</w:t>
            </w:r>
          </w:p>
        </w:tc>
        <w:tc>
          <w:tcPr>
            <w:tcW w:w="213" w:type="pct"/>
          </w:tcPr>
          <w:p w:rsidR="003D4024" w:rsidRPr="006C67AC" w:rsidRDefault="003D4024" w:rsidP="006C67AC">
            <w:pPr>
              <w:pStyle w:val="ExhibitText"/>
              <w:jc w:val="center"/>
            </w:pPr>
          </w:p>
        </w:tc>
        <w:tc>
          <w:tcPr>
            <w:tcW w:w="217" w:type="pct"/>
          </w:tcPr>
          <w:p w:rsidR="003D4024" w:rsidRPr="006C67AC" w:rsidRDefault="003D4024" w:rsidP="006C67AC">
            <w:pPr>
              <w:pStyle w:val="ExhibitText"/>
              <w:jc w:val="center"/>
            </w:pPr>
            <w:r w:rsidRPr="006C67AC">
              <w:sym w:font="Wingdings 2" w:char="F050"/>
            </w:r>
          </w:p>
        </w:tc>
        <w:tc>
          <w:tcPr>
            <w:tcW w:w="249" w:type="pct"/>
          </w:tcPr>
          <w:p w:rsidR="003D4024" w:rsidRPr="006C67AC" w:rsidRDefault="003D4024" w:rsidP="006C67AC">
            <w:pPr>
              <w:pStyle w:val="ExhibitText"/>
              <w:jc w:val="center"/>
            </w:pPr>
          </w:p>
        </w:tc>
        <w:tc>
          <w:tcPr>
            <w:tcW w:w="249" w:type="pct"/>
            <w:gridSpan w:val="2"/>
          </w:tcPr>
          <w:p w:rsidR="003D4024" w:rsidRPr="006C67AC" w:rsidRDefault="003D4024" w:rsidP="006C67AC">
            <w:pPr>
              <w:pStyle w:val="ExhibitText"/>
              <w:jc w:val="center"/>
            </w:pPr>
          </w:p>
        </w:tc>
        <w:tc>
          <w:tcPr>
            <w:tcW w:w="248" w:type="pct"/>
            <w:gridSpan w:val="2"/>
          </w:tcPr>
          <w:p w:rsidR="003D4024" w:rsidRPr="006C67AC" w:rsidRDefault="003D4024" w:rsidP="006C67AC">
            <w:pPr>
              <w:pStyle w:val="ExhibitText"/>
              <w:jc w:val="center"/>
            </w:pPr>
          </w:p>
        </w:tc>
        <w:tc>
          <w:tcPr>
            <w:tcW w:w="235" w:type="pct"/>
            <w:gridSpan w:val="2"/>
          </w:tcPr>
          <w:p w:rsidR="003D4024" w:rsidRPr="006C67AC" w:rsidRDefault="003D4024" w:rsidP="006C67AC">
            <w:pPr>
              <w:pStyle w:val="ExhibitText"/>
              <w:jc w:val="center"/>
            </w:pPr>
          </w:p>
        </w:tc>
        <w:tc>
          <w:tcPr>
            <w:tcW w:w="1368" w:type="pct"/>
          </w:tcPr>
          <w:p w:rsidR="003D4024" w:rsidRPr="006C67AC" w:rsidRDefault="003D4024" w:rsidP="0095310F">
            <w:pPr>
              <w:pStyle w:val="ExhibitText"/>
            </w:pPr>
            <w:r w:rsidRPr="006C67AC">
              <w:t>These questions will be used to construct indicators of socioeconomic status, which will serve as control variables. Socioeconomic status is correlated with the probability that youth will engage in sexual and other high-risk behaviors.</w:t>
            </w:r>
            <w:r>
              <w:t xml:space="preserve"> </w:t>
            </w:r>
            <w:r w:rsidRPr="006C67AC">
              <w:t>(Forste and Haas 2002; Santelli et al. 2000; Miller et al. 2001)</w:t>
            </w:r>
          </w:p>
        </w:tc>
      </w:tr>
      <w:tr w:rsidR="00DE5E88" w:rsidRPr="00E556D3" w:rsidTr="00550F8A">
        <w:trPr>
          <w:cantSplit/>
        </w:trPr>
        <w:tc>
          <w:tcPr>
            <w:tcW w:w="485" w:type="pct"/>
          </w:tcPr>
          <w:p w:rsidR="003D4024" w:rsidRPr="00044B23" w:rsidRDefault="00044B23" w:rsidP="006C67AC">
            <w:pPr>
              <w:pStyle w:val="ExhibitText"/>
            </w:pPr>
            <w:r w:rsidRPr="00044B23">
              <w:t>7.10 – 7.13</w:t>
            </w:r>
          </w:p>
        </w:tc>
        <w:tc>
          <w:tcPr>
            <w:tcW w:w="460" w:type="pct"/>
          </w:tcPr>
          <w:p w:rsidR="003D4024" w:rsidRPr="006C67AC" w:rsidRDefault="00044B23" w:rsidP="006C67AC">
            <w:pPr>
              <w:pStyle w:val="ExhibitText"/>
            </w:pPr>
            <w:r>
              <w:t>7.10 – 7.13</w:t>
            </w:r>
          </w:p>
        </w:tc>
        <w:tc>
          <w:tcPr>
            <w:tcW w:w="1276" w:type="pct"/>
          </w:tcPr>
          <w:p w:rsidR="003D4024" w:rsidRPr="006C67AC" w:rsidRDefault="003D4024" w:rsidP="006C67AC">
            <w:pPr>
              <w:pStyle w:val="ExhibitText"/>
            </w:pPr>
            <w:r w:rsidRPr="006C67AC">
              <w:t>Household structure/living situation/marital status of parents</w:t>
            </w:r>
          </w:p>
        </w:tc>
        <w:tc>
          <w:tcPr>
            <w:tcW w:w="213" w:type="pct"/>
          </w:tcPr>
          <w:p w:rsidR="003D4024" w:rsidRPr="006C67AC" w:rsidRDefault="003D4024" w:rsidP="006C67AC">
            <w:pPr>
              <w:pStyle w:val="ExhibitText"/>
              <w:jc w:val="center"/>
            </w:pPr>
          </w:p>
        </w:tc>
        <w:tc>
          <w:tcPr>
            <w:tcW w:w="217" w:type="pct"/>
          </w:tcPr>
          <w:p w:rsidR="003D4024" w:rsidRPr="006C67AC" w:rsidRDefault="003D4024" w:rsidP="006C67AC">
            <w:pPr>
              <w:pStyle w:val="ExhibitText"/>
              <w:jc w:val="center"/>
            </w:pPr>
            <w:r w:rsidRPr="006C67AC">
              <w:sym w:font="Wingdings 2" w:char="F050"/>
            </w:r>
          </w:p>
        </w:tc>
        <w:tc>
          <w:tcPr>
            <w:tcW w:w="249" w:type="pct"/>
          </w:tcPr>
          <w:p w:rsidR="003D4024" w:rsidRPr="006C67AC" w:rsidRDefault="003D4024" w:rsidP="006C67AC">
            <w:pPr>
              <w:pStyle w:val="ExhibitText"/>
              <w:jc w:val="center"/>
            </w:pPr>
          </w:p>
        </w:tc>
        <w:tc>
          <w:tcPr>
            <w:tcW w:w="249" w:type="pct"/>
            <w:gridSpan w:val="2"/>
          </w:tcPr>
          <w:p w:rsidR="003D4024" w:rsidRPr="006C67AC" w:rsidRDefault="003D4024" w:rsidP="006C67AC">
            <w:pPr>
              <w:pStyle w:val="ExhibitText"/>
              <w:jc w:val="center"/>
            </w:pPr>
          </w:p>
        </w:tc>
        <w:tc>
          <w:tcPr>
            <w:tcW w:w="248" w:type="pct"/>
            <w:gridSpan w:val="2"/>
          </w:tcPr>
          <w:p w:rsidR="003D4024" w:rsidRPr="006C67AC" w:rsidRDefault="003D4024" w:rsidP="006C67AC">
            <w:pPr>
              <w:pStyle w:val="ExhibitText"/>
              <w:jc w:val="center"/>
            </w:pPr>
          </w:p>
        </w:tc>
        <w:tc>
          <w:tcPr>
            <w:tcW w:w="235" w:type="pct"/>
            <w:gridSpan w:val="2"/>
          </w:tcPr>
          <w:p w:rsidR="003D4024" w:rsidRPr="006C67AC" w:rsidRDefault="003D4024" w:rsidP="006C67AC">
            <w:pPr>
              <w:pStyle w:val="ExhibitText"/>
              <w:jc w:val="center"/>
            </w:pPr>
          </w:p>
        </w:tc>
        <w:tc>
          <w:tcPr>
            <w:tcW w:w="1368" w:type="pct"/>
          </w:tcPr>
          <w:p w:rsidR="003D4024" w:rsidRPr="006C67AC" w:rsidRDefault="003D4024" w:rsidP="006C67AC">
            <w:pPr>
              <w:pStyle w:val="ExhibitText"/>
            </w:pPr>
            <w:r w:rsidRPr="006C67AC">
              <w:t>There is a well established link between family structure and the probability that youth will engage in sexual activity. While some researches argue that this relationship can be explained by mediating factors such as mother-child relationship and mother's attitude toward sex, others argue that there is a direct link, independent of such mediating factors. (Sturgeon 2008; Davis and Friel 2001; Pearson et al. 2006)</w:t>
            </w:r>
          </w:p>
        </w:tc>
      </w:tr>
      <w:tr w:rsidR="000A5460" w:rsidRPr="00E556D3" w:rsidTr="00550F8A">
        <w:trPr>
          <w:cantSplit/>
        </w:trPr>
        <w:tc>
          <w:tcPr>
            <w:tcW w:w="5000" w:type="pct"/>
            <w:gridSpan w:val="13"/>
          </w:tcPr>
          <w:p w:rsidR="000A5460" w:rsidRPr="000A5460" w:rsidRDefault="00FF5178" w:rsidP="000A5460">
            <w:pPr>
              <w:pStyle w:val="Default"/>
              <w:rPr>
                <w:sz w:val="20"/>
              </w:rPr>
            </w:pPr>
            <w:r>
              <w:rPr>
                <w:b/>
                <w:bCs/>
                <w:sz w:val="20"/>
                <w:szCs w:val="20"/>
              </w:rPr>
              <w:t xml:space="preserve">QUESTIONS </w:t>
            </w:r>
            <w:r w:rsidR="000A5460">
              <w:rPr>
                <w:b/>
                <w:bCs/>
                <w:sz w:val="20"/>
                <w:szCs w:val="20"/>
              </w:rPr>
              <w:t xml:space="preserve">FOR NON-SEXUALLY ACTIVE YOUTH (only questions that do not appear in the version for sexually active teens are listed below) </w:t>
            </w:r>
          </w:p>
        </w:tc>
      </w:tr>
      <w:tr w:rsidR="00DE5E88" w:rsidRPr="00E556D3" w:rsidTr="00550F8A">
        <w:trPr>
          <w:cantSplit/>
        </w:trPr>
        <w:tc>
          <w:tcPr>
            <w:tcW w:w="485" w:type="pct"/>
          </w:tcPr>
          <w:p w:rsidR="000A5460" w:rsidRPr="00FF5178" w:rsidRDefault="0022604A" w:rsidP="006C67AC">
            <w:pPr>
              <w:pStyle w:val="ExhibitText"/>
              <w:rPr>
                <w:szCs w:val="18"/>
              </w:rPr>
            </w:pPr>
            <w:r w:rsidRPr="00FF5178">
              <w:rPr>
                <w:szCs w:val="18"/>
              </w:rPr>
              <w:t>NA</w:t>
            </w:r>
          </w:p>
        </w:tc>
        <w:tc>
          <w:tcPr>
            <w:tcW w:w="460" w:type="pct"/>
          </w:tcPr>
          <w:p w:rsidR="000A5460" w:rsidRPr="00FF5178" w:rsidRDefault="000A5460" w:rsidP="00F40C00">
            <w:pPr>
              <w:pStyle w:val="Default"/>
              <w:rPr>
                <w:rFonts w:ascii="Arial" w:hAnsi="Arial" w:cs="Arial"/>
                <w:sz w:val="18"/>
                <w:szCs w:val="18"/>
              </w:rPr>
            </w:pPr>
            <w:r w:rsidRPr="00FF5178">
              <w:rPr>
                <w:rFonts w:ascii="Arial" w:hAnsi="Arial" w:cs="Arial"/>
                <w:sz w:val="18"/>
                <w:szCs w:val="18"/>
              </w:rPr>
              <w:t xml:space="preserve">4.2, 4.3 </w:t>
            </w:r>
          </w:p>
        </w:tc>
        <w:tc>
          <w:tcPr>
            <w:tcW w:w="1276" w:type="pct"/>
          </w:tcPr>
          <w:p w:rsidR="000A5460" w:rsidRPr="00FF5178" w:rsidRDefault="000A5460" w:rsidP="00F40C00">
            <w:pPr>
              <w:pStyle w:val="Default"/>
              <w:rPr>
                <w:rFonts w:ascii="Arial" w:hAnsi="Arial" w:cs="Arial"/>
                <w:sz w:val="18"/>
                <w:szCs w:val="18"/>
              </w:rPr>
            </w:pPr>
            <w:r w:rsidRPr="00FF5178">
              <w:rPr>
                <w:rFonts w:ascii="Arial" w:hAnsi="Arial" w:cs="Arial"/>
                <w:sz w:val="18"/>
                <w:szCs w:val="18"/>
              </w:rPr>
              <w:t xml:space="preserve">Graduation Expectations </w:t>
            </w:r>
          </w:p>
        </w:tc>
        <w:tc>
          <w:tcPr>
            <w:tcW w:w="213" w:type="pct"/>
          </w:tcPr>
          <w:p w:rsidR="000A5460" w:rsidRPr="00FF5178" w:rsidRDefault="000A5460" w:rsidP="00F40C00">
            <w:pPr>
              <w:pStyle w:val="Default"/>
              <w:rPr>
                <w:rFonts w:ascii="Arial" w:hAnsi="Arial" w:cs="Arial"/>
                <w:sz w:val="18"/>
                <w:szCs w:val="18"/>
              </w:rPr>
            </w:pPr>
          </w:p>
        </w:tc>
        <w:tc>
          <w:tcPr>
            <w:tcW w:w="537" w:type="pct"/>
            <w:gridSpan w:val="3"/>
          </w:tcPr>
          <w:p w:rsidR="000A5460" w:rsidRPr="00FF5178" w:rsidRDefault="000A5460" w:rsidP="00F40C00">
            <w:pPr>
              <w:pStyle w:val="Default"/>
              <w:rPr>
                <w:rFonts w:ascii="Arial" w:hAnsi="Arial" w:cs="Arial"/>
                <w:sz w:val="18"/>
                <w:szCs w:val="18"/>
              </w:rPr>
            </w:pPr>
          </w:p>
        </w:tc>
        <w:tc>
          <w:tcPr>
            <w:tcW w:w="178" w:type="pct"/>
          </w:tcPr>
          <w:p w:rsidR="000A5460" w:rsidRPr="00FF5178" w:rsidRDefault="000A5460" w:rsidP="006C67AC">
            <w:pPr>
              <w:pStyle w:val="ExhibitText"/>
              <w:jc w:val="center"/>
              <w:rPr>
                <w:szCs w:val="18"/>
              </w:rPr>
            </w:pPr>
          </w:p>
        </w:tc>
        <w:tc>
          <w:tcPr>
            <w:tcW w:w="217" w:type="pct"/>
          </w:tcPr>
          <w:p w:rsidR="000A5460" w:rsidRPr="00FF5178" w:rsidRDefault="000A5460" w:rsidP="006C67AC">
            <w:pPr>
              <w:pStyle w:val="ExhibitText"/>
              <w:jc w:val="center"/>
              <w:rPr>
                <w:szCs w:val="18"/>
              </w:rPr>
            </w:pPr>
          </w:p>
        </w:tc>
        <w:tc>
          <w:tcPr>
            <w:tcW w:w="123" w:type="pct"/>
            <w:gridSpan w:val="2"/>
          </w:tcPr>
          <w:p w:rsidR="000A5460" w:rsidRPr="00FF5178" w:rsidRDefault="000A5460" w:rsidP="006C67AC">
            <w:pPr>
              <w:pStyle w:val="ExhibitText"/>
              <w:jc w:val="center"/>
              <w:rPr>
                <w:szCs w:val="18"/>
              </w:rPr>
            </w:pPr>
          </w:p>
        </w:tc>
        <w:tc>
          <w:tcPr>
            <w:tcW w:w="143" w:type="pct"/>
          </w:tcPr>
          <w:p w:rsidR="000A5460" w:rsidRPr="00FF5178" w:rsidRDefault="000A5460" w:rsidP="006C67AC">
            <w:pPr>
              <w:pStyle w:val="ExhibitText"/>
              <w:jc w:val="center"/>
              <w:rPr>
                <w:szCs w:val="18"/>
              </w:rPr>
            </w:pPr>
            <w:r w:rsidRPr="00FF5178">
              <w:rPr>
                <w:szCs w:val="18"/>
              </w:rPr>
              <w:sym w:font="Wingdings 2" w:char="F050"/>
            </w:r>
          </w:p>
        </w:tc>
        <w:tc>
          <w:tcPr>
            <w:tcW w:w="1368" w:type="pct"/>
          </w:tcPr>
          <w:p w:rsidR="000A5460" w:rsidRPr="00FF5178" w:rsidRDefault="000A5460" w:rsidP="00F40C00">
            <w:pPr>
              <w:pStyle w:val="Default"/>
              <w:rPr>
                <w:rFonts w:ascii="Arial" w:hAnsi="Arial" w:cs="Arial"/>
                <w:sz w:val="18"/>
                <w:szCs w:val="18"/>
              </w:rPr>
            </w:pPr>
            <w:r w:rsidRPr="00FF5178">
              <w:rPr>
                <w:rFonts w:ascii="Arial" w:hAnsi="Arial" w:cs="Arial"/>
                <w:sz w:val="18"/>
                <w:szCs w:val="18"/>
              </w:rPr>
              <w:t xml:space="preserve">This measure will be used to provide additional information on the characteristics of youth who remain abstinent. </w:t>
            </w:r>
          </w:p>
        </w:tc>
      </w:tr>
      <w:tr w:rsidR="00DE5E88" w:rsidRPr="00E556D3" w:rsidTr="00550F8A">
        <w:trPr>
          <w:cantSplit/>
        </w:trPr>
        <w:tc>
          <w:tcPr>
            <w:tcW w:w="485" w:type="pct"/>
          </w:tcPr>
          <w:p w:rsidR="0022604A" w:rsidRPr="00FF5178" w:rsidRDefault="0022604A">
            <w:pPr>
              <w:rPr>
                <w:rFonts w:ascii="Arial" w:hAnsi="Arial" w:cs="Arial"/>
                <w:sz w:val="18"/>
                <w:szCs w:val="18"/>
              </w:rPr>
            </w:pPr>
            <w:r w:rsidRPr="00FF5178">
              <w:rPr>
                <w:rFonts w:ascii="Arial" w:hAnsi="Arial" w:cs="Arial"/>
                <w:sz w:val="18"/>
                <w:szCs w:val="18"/>
              </w:rPr>
              <w:t>NA</w:t>
            </w:r>
          </w:p>
        </w:tc>
        <w:tc>
          <w:tcPr>
            <w:tcW w:w="460" w:type="pct"/>
          </w:tcPr>
          <w:p w:rsidR="0022604A" w:rsidRPr="00FF5178" w:rsidRDefault="0022604A" w:rsidP="00F40C00">
            <w:pPr>
              <w:pStyle w:val="Default"/>
              <w:rPr>
                <w:rFonts w:ascii="Arial" w:hAnsi="Arial" w:cs="Arial"/>
                <w:sz w:val="18"/>
                <w:szCs w:val="18"/>
              </w:rPr>
            </w:pPr>
            <w:r w:rsidRPr="00FF5178">
              <w:rPr>
                <w:rFonts w:ascii="Arial" w:hAnsi="Arial" w:cs="Arial"/>
                <w:sz w:val="18"/>
                <w:szCs w:val="18"/>
              </w:rPr>
              <w:t xml:space="preserve">4.4, 4.5 </w:t>
            </w:r>
          </w:p>
        </w:tc>
        <w:tc>
          <w:tcPr>
            <w:tcW w:w="1276" w:type="pct"/>
          </w:tcPr>
          <w:p w:rsidR="0022604A" w:rsidRPr="00FF5178" w:rsidRDefault="0022604A" w:rsidP="00F40C00">
            <w:pPr>
              <w:pStyle w:val="Default"/>
              <w:rPr>
                <w:rFonts w:ascii="Arial" w:hAnsi="Arial" w:cs="Arial"/>
                <w:sz w:val="18"/>
                <w:szCs w:val="18"/>
              </w:rPr>
            </w:pPr>
            <w:r w:rsidRPr="00FF5178">
              <w:rPr>
                <w:rFonts w:ascii="Arial" w:hAnsi="Arial" w:cs="Arial"/>
                <w:sz w:val="18"/>
                <w:szCs w:val="18"/>
              </w:rPr>
              <w:t xml:space="preserve">Reasons Not to Have Sex </w:t>
            </w:r>
          </w:p>
        </w:tc>
        <w:tc>
          <w:tcPr>
            <w:tcW w:w="213" w:type="pct"/>
          </w:tcPr>
          <w:p w:rsidR="0022604A" w:rsidRPr="00FF5178" w:rsidRDefault="0022604A" w:rsidP="00F40C00">
            <w:pPr>
              <w:pStyle w:val="Default"/>
              <w:rPr>
                <w:rFonts w:ascii="Arial" w:hAnsi="Arial" w:cs="Arial"/>
                <w:sz w:val="18"/>
                <w:szCs w:val="18"/>
              </w:rPr>
            </w:pPr>
          </w:p>
        </w:tc>
        <w:tc>
          <w:tcPr>
            <w:tcW w:w="537" w:type="pct"/>
            <w:gridSpan w:val="3"/>
          </w:tcPr>
          <w:p w:rsidR="0022604A" w:rsidRPr="00FF5178" w:rsidRDefault="0022604A" w:rsidP="00F40C00">
            <w:pPr>
              <w:pStyle w:val="Default"/>
              <w:rPr>
                <w:rFonts w:ascii="Arial" w:hAnsi="Arial" w:cs="Arial"/>
                <w:sz w:val="18"/>
                <w:szCs w:val="18"/>
              </w:rPr>
            </w:pPr>
          </w:p>
        </w:tc>
        <w:tc>
          <w:tcPr>
            <w:tcW w:w="178" w:type="pct"/>
          </w:tcPr>
          <w:p w:rsidR="0022604A" w:rsidRPr="00FF5178" w:rsidRDefault="0022604A" w:rsidP="006C67AC">
            <w:pPr>
              <w:pStyle w:val="ExhibitText"/>
              <w:jc w:val="center"/>
              <w:rPr>
                <w:szCs w:val="18"/>
              </w:rPr>
            </w:pPr>
          </w:p>
        </w:tc>
        <w:tc>
          <w:tcPr>
            <w:tcW w:w="217" w:type="pct"/>
          </w:tcPr>
          <w:p w:rsidR="0022604A" w:rsidRPr="00FF5178" w:rsidRDefault="0022604A" w:rsidP="006C67AC">
            <w:pPr>
              <w:pStyle w:val="ExhibitText"/>
              <w:jc w:val="center"/>
              <w:rPr>
                <w:szCs w:val="18"/>
              </w:rPr>
            </w:pPr>
          </w:p>
        </w:tc>
        <w:tc>
          <w:tcPr>
            <w:tcW w:w="123" w:type="pct"/>
            <w:gridSpan w:val="2"/>
          </w:tcPr>
          <w:p w:rsidR="0022604A" w:rsidRPr="00FF5178" w:rsidRDefault="0022604A" w:rsidP="006C67AC">
            <w:pPr>
              <w:pStyle w:val="ExhibitText"/>
              <w:jc w:val="center"/>
              <w:rPr>
                <w:szCs w:val="18"/>
              </w:rPr>
            </w:pPr>
          </w:p>
        </w:tc>
        <w:tc>
          <w:tcPr>
            <w:tcW w:w="143" w:type="pct"/>
          </w:tcPr>
          <w:p w:rsidR="0022604A" w:rsidRPr="00FF5178" w:rsidRDefault="0022604A" w:rsidP="006C67AC">
            <w:pPr>
              <w:pStyle w:val="ExhibitText"/>
              <w:jc w:val="center"/>
              <w:rPr>
                <w:szCs w:val="18"/>
              </w:rPr>
            </w:pPr>
            <w:r w:rsidRPr="00FF5178">
              <w:rPr>
                <w:szCs w:val="18"/>
              </w:rPr>
              <w:sym w:font="Wingdings 2" w:char="F050"/>
            </w:r>
          </w:p>
        </w:tc>
        <w:tc>
          <w:tcPr>
            <w:tcW w:w="1368" w:type="pct"/>
          </w:tcPr>
          <w:p w:rsidR="0022604A" w:rsidRPr="00FF5178" w:rsidRDefault="0022604A" w:rsidP="00F40C00">
            <w:pPr>
              <w:pStyle w:val="Default"/>
              <w:rPr>
                <w:rFonts w:ascii="Arial" w:hAnsi="Arial" w:cs="Arial"/>
                <w:sz w:val="18"/>
                <w:szCs w:val="18"/>
              </w:rPr>
            </w:pPr>
            <w:r w:rsidRPr="00FF5178">
              <w:rPr>
                <w:rFonts w:ascii="Arial" w:hAnsi="Arial" w:cs="Arial"/>
                <w:sz w:val="18"/>
                <w:szCs w:val="18"/>
              </w:rPr>
              <w:t xml:space="preserve">These measures will be used to provide additional information on the characteristics of youth who remain abstinent. </w:t>
            </w:r>
          </w:p>
        </w:tc>
      </w:tr>
      <w:tr w:rsidR="00DE5E88" w:rsidRPr="00E556D3" w:rsidTr="00550F8A">
        <w:trPr>
          <w:cantSplit/>
        </w:trPr>
        <w:tc>
          <w:tcPr>
            <w:tcW w:w="485" w:type="pct"/>
          </w:tcPr>
          <w:p w:rsidR="0022604A" w:rsidRPr="00FF5178" w:rsidRDefault="0022604A">
            <w:pPr>
              <w:rPr>
                <w:rFonts w:ascii="Arial" w:hAnsi="Arial" w:cs="Arial"/>
                <w:sz w:val="18"/>
                <w:szCs w:val="18"/>
              </w:rPr>
            </w:pPr>
            <w:r w:rsidRPr="00FF5178">
              <w:rPr>
                <w:rFonts w:ascii="Arial" w:hAnsi="Arial" w:cs="Arial"/>
                <w:sz w:val="18"/>
                <w:szCs w:val="18"/>
              </w:rPr>
              <w:t>NA</w:t>
            </w:r>
          </w:p>
        </w:tc>
        <w:tc>
          <w:tcPr>
            <w:tcW w:w="460" w:type="pct"/>
          </w:tcPr>
          <w:p w:rsidR="0022604A" w:rsidRPr="00FF5178" w:rsidRDefault="0022604A" w:rsidP="00F40C00">
            <w:pPr>
              <w:pStyle w:val="Default"/>
              <w:rPr>
                <w:rFonts w:ascii="Arial" w:hAnsi="Arial" w:cs="Arial"/>
                <w:sz w:val="18"/>
                <w:szCs w:val="18"/>
              </w:rPr>
            </w:pPr>
            <w:r w:rsidRPr="00FF5178">
              <w:rPr>
                <w:rFonts w:ascii="Arial" w:hAnsi="Arial" w:cs="Arial"/>
                <w:sz w:val="18"/>
                <w:szCs w:val="18"/>
              </w:rPr>
              <w:t xml:space="preserve">4.6-4.8 </w:t>
            </w:r>
          </w:p>
        </w:tc>
        <w:tc>
          <w:tcPr>
            <w:tcW w:w="1276" w:type="pct"/>
          </w:tcPr>
          <w:p w:rsidR="0022604A" w:rsidRPr="00FF5178" w:rsidRDefault="0022604A" w:rsidP="00F40C00">
            <w:pPr>
              <w:pStyle w:val="Default"/>
              <w:rPr>
                <w:rFonts w:ascii="Arial" w:hAnsi="Arial" w:cs="Arial"/>
                <w:sz w:val="18"/>
                <w:szCs w:val="18"/>
              </w:rPr>
            </w:pPr>
            <w:r w:rsidRPr="00FF5178">
              <w:rPr>
                <w:rFonts w:ascii="Arial" w:hAnsi="Arial" w:cs="Arial"/>
                <w:sz w:val="18"/>
                <w:szCs w:val="18"/>
              </w:rPr>
              <w:t xml:space="preserve">Religious Beliefs </w:t>
            </w:r>
          </w:p>
        </w:tc>
        <w:tc>
          <w:tcPr>
            <w:tcW w:w="213" w:type="pct"/>
          </w:tcPr>
          <w:p w:rsidR="0022604A" w:rsidRPr="00FF5178" w:rsidRDefault="0022604A" w:rsidP="00F40C00">
            <w:pPr>
              <w:pStyle w:val="Default"/>
              <w:rPr>
                <w:rFonts w:ascii="Arial" w:hAnsi="Arial" w:cs="Arial"/>
                <w:sz w:val="18"/>
                <w:szCs w:val="18"/>
              </w:rPr>
            </w:pPr>
          </w:p>
        </w:tc>
        <w:tc>
          <w:tcPr>
            <w:tcW w:w="537" w:type="pct"/>
            <w:gridSpan w:val="3"/>
          </w:tcPr>
          <w:p w:rsidR="0022604A" w:rsidRPr="00FF5178" w:rsidRDefault="0022604A" w:rsidP="00F40C00">
            <w:pPr>
              <w:pStyle w:val="Default"/>
              <w:rPr>
                <w:rFonts w:ascii="Arial" w:hAnsi="Arial" w:cs="Arial"/>
                <w:sz w:val="18"/>
                <w:szCs w:val="18"/>
              </w:rPr>
            </w:pPr>
          </w:p>
        </w:tc>
        <w:tc>
          <w:tcPr>
            <w:tcW w:w="178" w:type="pct"/>
          </w:tcPr>
          <w:p w:rsidR="0022604A" w:rsidRPr="00FF5178" w:rsidRDefault="0022604A" w:rsidP="006C67AC">
            <w:pPr>
              <w:pStyle w:val="ExhibitText"/>
              <w:jc w:val="center"/>
              <w:rPr>
                <w:szCs w:val="18"/>
              </w:rPr>
            </w:pPr>
          </w:p>
        </w:tc>
        <w:tc>
          <w:tcPr>
            <w:tcW w:w="217" w:type="pct"/>
          </w:tcPr>
          <w:p w:rsidR="0022604A" w:rsidRPr="00FF5178" w:rsidRDefault="0022604A" w:rsidP="006C67AC">
            <w:pPr>
              <w:pStyle w:val="ExhibitText"/>
              <w:jc w:val="center"/>
              <w:rPr>
                <w:szCs w:val="18"/>
              </w:rPr>
            </w:pPr>
          </w:p>
        </w:tc>
        <w:tc>
          <w:tcPr>
            <w:tcW w:w="123" w:type="pct"/>
            <w:gridSpan w:val="2"/>
          </w:tcPr>
          <w:p w:rsidR="0022604A" w:rsidRPr="00FF5178" w:rsidRDefault="0022604A" w:rsidP="006C67AC">
            <w:pPr>
              <w:pStyle w:val="ExhibitText"/>
              <w:jc w:val="center"/>
              <w:rPr>
                <w:szCs w:val="18"/>
              </w:rPr>
            </w:pPr>
          </w:p>
        </w:tc>
        <w:tc>
          <w:tcPr>
            <w:tcW w:w="143" w:type="pct"/>
          </w:tcPr>
          <w:p w:rsidR="0022604A" w:rsidRPr="00FF5178" w:rsidRDefault="0022604A" w:rsidP="006C67AC">
            <w:pPr>
              <w:pStyle w:val="ExhibitText"/>
              <w:jc w:val="center"/>
              <w:rPr>
                <w:szCs w:val="18"/>
              </w:rPr>
            </w:pPr>
            <w:r w:rsidRPr="00FF5178">
              <w:rPr>
                <w:szCs w:val="18"/>
              </w:rPr>
              <w:sym w:font="Wingdings 2" w:char="F050"/>
            </w:r>
          </w:p>
        </w:tc>
        <w:tc>
          <w:tcPr>
            <w:tcW w:w="1368" w:type="pct"/>
          </w:tcPr>
          <w:p w:rsidR="0022604A" w:rsidRPr="00FF5178" w:rsidRDefault="0022604A" w:rsidP="00F40C00">
            <w:pPr>
              <w:pStyle w:val="Default"/>
              <w:rPr>
                <w:rFonts w:ascii="Arial" w:hAnsi="Arial" w:cs="Arial"/>
                <w:sz w:val="18"/>
                <w:szCs w:val="18"/>
              </w:rPr>
            </w:pPr>
            <w:r w:rsidRPr="00FF5178">
              <w:rPr>
                <w:rFonts w:ascii="Arial" w:hAnsi="Arial" w:cs="Arial"/>
                <w:sz w:val="18"/>
                <w:szCs w:val="18"/>
              </w:rPr>
              <w:t xml:space="preserve">These measures will be used to provide additional information on the characteristics of youth who remain abstinent. </w:t>
            </w:r>
          </w:p>
        </w:tc>
      </w:tr>
      <w:tr w:rsidR="00DE5E88" w:rsidRPr="00E556D3" w:rsidTr="00550F8A">
        <w:trPr>
          <w:cantSplit/>
        </w:trPr>
        <w:tc>
          <w:tcPr>
            <w:tcW w:w="485" w:type="pct"/>
          </w:tcPr>
          <w:p w:rsidR="0022604A" w:rsidRPr="00FF5178" w:rsidRDefault="0022604A">
            <w:pPr>
              <w:rPr>
                <w:rFonts w:ascii="Arial" w:hAnsi="Arial" w:cs="Arial"/>
                <w:sz w:val="18"/>
                <w:szCs w:val="18"/>
              </w:rPr>
            </w:pPr>
            <w:r w:rsidRPr="00FF5178">
              <w:rPr>
                <w:rFonts w:ascii="Arial" w:hAnsi="Arial" w:cs="Arial"/>
                <w:sz w:val="18"/>
                <w:szCs w:val="18"/>
              </w:rPr>
              <w:t>NA</w:t>
            </w:r>
          </w:p>
        </w:tc>
        <w:tc>
          <w:tcPr>
            <w:tcW w:w="460" w:type="pct"/>
          </w:tcPr>
          <w:p w:rsidR="0022604A" w:rsidRPr="00FF5178" w:rsidRDefault="0022604A" w:rsidP="00F40C00">
            <w:pPr>
              <w:pStyle w:val="Default"/>
              <w:rPr>
                <w:rFonts w:ascii="Arial" w:hAnsi="Arial" w:cs="Arial"/>
                <w:sz w:val="18"/>
                <w:szCs w:val="18"/>
              </w:rPr>
            </w:pPr>
            <w:r w:rsidRPr="00FF5178">
              <w:rPr>
                <w:rFonts w:ascii="Arial" w:hAnsi="Arial" w:cs="Arial"/>
                <w:sz w:val="18"/>
                <w:szCs w:val="18"/>
              </w:rPr>
              <w:t xml:space="preserve">4.9-4.10 </w:t>
            </w:r>
          </w:p>
        </w:tc>
        <w:tc>
          <w:tcPr>
            <w:tcW w:w="1276" w:type="pct"/>
          </w:tcPr>
          <w:p w:rsidR="0022604A" w:rsidRPr="00FF5178" w:rsidRDefault="0022604A" w:rsidP="00F40C00">
            <w:pPr>
              <w:pStyle w:val="Default"/>
              <w:rPr>
                <w:rFonts w:ascii="Arial" w:hAnsi="Arial" w:cs="Arial"/>
                <w:sz w:val="18"/>
                <w:szCs w:val="18"/>
              </w:rPr>
            </w:pPr>
            <w:r w:rsidRPr="00FF5178">
              <w:rPr>
                <w:rFonts w:ascii="Arial" w:hAnsi="Arial" w:cs="Arial"/>
                <w:sz w:val="18"/>
                <w:szCs w:val="18"/>
              </w:rPr>
              <w:t xml:space="preserve">Perceived Embarrassment for Teen Virgins/Teen Pregnancy </w:t>
            </w:r>
          </w:p>
        </w:tc>
        <w:tc>
          <w:tcPr>
            <w:tcW w:w="213" w:type="pct"/>
          </w:tcPr>
          <w:p w:rsidR="0022604A" w:rsidRPr="00FF5178" w:rsidRDefault="0022604A" w:rsidP="00F40C00">
            <w:pPr>
              <w:pStyle w:val="Default"/>
              <w:rPr>
                <w:rFonts w:ascii="Arial" w:hAnsi="Arial" w:cs="Arial"/>
                <w:sz w:val="18"/>
                <w:szCs w:val="18"/>
              </w:rPr>
            </w:pPr>
          </w:p>
        </w:tc>
        <w:tc>
          <w:tcPr>
            <w:tcW w:w="537" w:type="pct"/>
            <w:gridSpan w:val="3"/>
          </w:tcPr>
          <w:p w:rsidR="0022604A" w:rsidRPr="00FF5178" w:rsidRDefault="0022604A" w:rsidP="00F40C00">
            <w:pPr>
              <w:pStyle w:val="Default"/>
              <w:rPr>
                <w:rFonts w:ascii="Arial" w:hAnsi="Arial" w:cs="Arial"/>
                <w:sz w:val="18"/>
                <w:szCs w:val="18"/>
              </w:rPr>
            </w:pPr>
          </w:p>
        </w:tc>
        <w:tc>
          <w:tcPr>
            <w:tcW w:w="178" w:type="pct"/>
          </w:tcPr>
          <w:p w:rsidR="0022604A" w:rsidRPr="00FF5178" w:rsidRDefault="0022604A" w:rsidP="006C67AC">
            <w:pPr>
              <w:pStyle w:val="ExhibitText"/>
              <w:jc w:val="center"/>
              <w:rPr>
                <w:szCs w:val="18"/>
              </w:rPr>
            </w:pPr>
          </w:p>
        </w:tc>
        <w:tc>
          <w:tcPr>
            <w:tcW w:w="217" w:type="pct"/>
          </w:tcPr>
          <w:p w:rsidR="0022604A" w:rsidRPr="00FF5178" w:rsidRDefault="0022604A" w:rsidP="006C67AC">
            <w:pPr>
              <w:pStyle w:val="ExhibitText"/>
              <w:jc w:val="center"/>
              <w:rPr>
                <w:szCs w:val="18"/>
              </w:rPr>
            </w:pPr>
          </w:p>
        </w:tc>
        <w:tc>
          <w:tcPr>
            <w:tcW w:w="123" w:type="pct"/>
            <w:gridSpan w:val="2"/>
          </w:tcPr>
          <w:p w:rsidR="0022604A" w:rsidRPr="00FF5178" w:rsidRDefault="0022604A" w:rsidP="006C67AC">
            <w:pPr>
              <w:pStyle w:val="ExhibitText"/>
              <w:jc w:val="center"/>
              <w:rPr>
                <w:szCs w:val="18"/>
              </w:rPr>
            </w:pPr>
          </w:p>
        </w:tc>
        <w:tc>
          <w:tcPr>
            <w:tcW w:w="143" w:type="pct"/>
          </w:tcPr>
          <w:p w:rsidR="0022604A" w:rsidRPr="00FF5178" w:rsidRDefault="0022604A" w:rsidP="006C67AC">
            <w:pPr>
              <w:pStyle w:val="ExhibitText"/>
              <w:jc w:val="center"/>
              <w:rPr>
                <w:szCs w:val="18"/>
              </w:rPr>
            </w:pPr>
            <w:r w:rsidRPr="00FF5178">
              <w:rPr>
                <w:szCs w:val="18"/>
              </w:rPr>
              <w:sym w:font="Wingdings 2" w:char="F050"/>
            </w:r>
          </w:p>
        </w:tc>
        <w:tc>
          <w:tcPr>
            <w:tcW w:w="1368" w:type="pct"/>
          </w:tcPr>
          <w:p w:rsidR="0022604A" w:rsidRPr="00FF5178" w:rsidRDefault="0022604A" w:rsidP="00F40C00">
            <w:pPr>
              <w:pStyle w:val="Default"/>
              <w:rPr>
                <w:rFonts w:ascii="Arial" w:hAnsi="Arial" w:cs="Arial"/>
                <w:sz w:val="18"/>
                <w:szCs w:val="18"/>
              </w:rPr>
            </w:pPr>
            <w:r w:rsidRPr="00FF5178">
              <w:rPr>
                <w:rFonts w:ascii="Arial" w:hAnsi="Arial" w:cs="Arial"/>
                <w:sz w:val="18"/>
                <w:szCs w:val="18"/>
              </w:rPr>
              <w:t xml:space="preserve">These measures will be used to provide additional information on the characteristics of youth who remain abstinent. </w:t>
            </w:r>
          </w:p>
        </w:tc>
      </w:tr>
      <w:tr w:rsidR="00DE5E88" w:rsidRPr="00E556D3" w:rsidTr="00550F8A">
        <w:trPr>
          <w:cantSplit/>
        </w:trPr>
        <w:tc>
          <w:tcPr>
            <w:tcW w:w="485" w:type="pct"/>
          </w:tcPr>
          <w:p w:rsidR="0022604A" w:rsidRPr="00FF5178" w:rsidRDefault="0022604A">
            <w:pPr>
              <w:rPr>
                <w:rFonts w:ascii="Arial" w:hAnsi="Arial" w:cs="Arial"/>
                <w:sz w:val="18"/>
                <w:szCs w:val="18"/>
              </w:rPr>
            </w:pPr>
            <w:r w:rsidRPr="00FF5178">
              <w:rPr>
                <w:rFonts w:ascii="Arial" w:hAnsi="Arial" w:cs="Arial"/>
                <w:sz w:val="18"/>
                <w:szCs w:val="18"/>
              </w:rPr>
              <w:t>NA</w:t>
            </w:r>
          </w:p>
        </w:tc>
        <w:tc>
          <w:tcPr>
            <w:tcW w:w="460" w:type="pct"/>
          </w:tcPr>
          <w:p w:rsidR="0022604A" w:rsidRPr="00FF5178" w:rsidRDefault="0022604A" w:rsidP="00F40C00">
            <w:pPr>
              <w:pStyle w:val="Default"/>
              <w:rPr>
                <w:rFonts w:ascii="Arial" w:hAnsi="Arial" w:cs="Arial"/>
                <w:sz w:val="18"/>
                <w:szCs w:val="18"/>
              </w:rPr>
            </w:pPr>
            <w:r w:rsidRPr="00FF5178">
              <w:rPr>
                <w:rFonts w:ascii="Arial" w:hAnsi="Arial" w:cs="Arial"/>
                <w:sz w:val="18"/>
                <w:szCs w:val="18"/>
              </w:rPr>
              <w:t xml:space="preserve">4.11 </w:t>
            </w:r>
          </w:p>
        </w:tc>
        <w:tc>
          <w:tcPr>
            <w:tcW w:w="1276" w:type="pct"/>
          </w:tcPr>
          <w:p w:rsidR="0022604A" w:rsidRPr="00FF5178" w:rsidRDefault="0022604A" w:rsidP="00F40C00">
            <w:pPr>
              <w:pStyle w:val="Default"/>
              <w:rPr>
                <w:rFonts w:ascii="Arial" w:hAnsi="Arial" w:cs="Arial"/>
                <w:sz w:val="18"/>
                <w:szCs w:val="18"/>
              </w:rPr>
            </w:pPr>
            <w:r w:rsidRPr="00FF5178">
              <w:rPr>
                <w:rFonts w:ascii="Arial" w:hAnsi="Arial" w:cs="Arial"/>
                <w:sz w:val="18"/>
                <w:szCs w:val="18"/>
              </w:rPr>
              <w:t xml:space="preserve">Importance of Boyfriend/Girlfriend with Peers </w:t>
            </w:r>
          </w:p>
        </w:tc>
        <w:tc>
          <w:tcPr>
            <w:tcW w:w="213" w:type="pct"/>
          </w:tcPr>
          <w:p w:rsidR="0022604A" w:rsidRPr="00FF5178" w:rsidRDefault="0022604A" w:rsidP="00F40C00">
            <w:pPr>
              <w:pStyle w:val="Default"/>
              <w:rPr>
                <w:rFonts w:ascii="Arial" w:hAnsi="Arial" w:cs="Arial"/>
                <w:sz w:val="18"/>
                <w:szCs w:val="18"/>
              </w:rPr>
            </w:pPr>
          </w:p>
        </w:tc>
        <w:tc>
          <w:tcPr>
            <w:tcW w:w="537" w:type="pct"/>
            <w:gridSpan w:val="3"/>
          </w:tcPr>
          <w:p w:rsidR="0022604A" w:rsidRPr="00FF5178" w:rsidRDefault="0022604A" w:rsidP="00F40C00">
            <w:pPr>
              <w:pStyle w:val="Default"/>
              <w:rPr>
                <w:rFonts w:ascii="Arial" w:hAnsi="Arial" w:cs="Arial"/>
                <w:sz w:val="18"/>
                <w:szCs w:val="18"/>
              </w:rPr>
            </w:pPr>
          </w:p>
        </w:tc>
        <w:tc>
          <w:tcPr>
            <w:tcW w:w="178" w:type="pct"/>
          </w:tcPr>
          <w:p w:rsidR="0022604A" w:rsidRPr="00FF5178" w:rsidRDefault="0022604A" w:rsidP="006C67AC">
            <w:pPr>
              <w:pStyle w:val="ExhibitText"/>
              <w:jc w:val="center"/>
              <w:rPr>
                <w:szCs w:val="18"/>
              </w:rPr>
            </w:pPr>
          </w:p>
        </w:tc>
        <w:tc>
          <w:tcPr>
            <w:tcW w:w="217" w:type="pct"/>
          </w:tcPr>
          <w:p w:rsidR="0022604A" w:rsidRPr="00FF5178" w:rsidRDefault="0022604A" w:rsidP="006C67AC">
            <w:pPr>
              <w:pStyle w:val="ExhibitText"/>
              <w:jc w:val="center"/>
              <w:rPr>
                <w:szCs w:val="18"/>
              </w:rPr>
            </w:pPr>
          </w:p>
        </w:tc>
        <w:tc>
          <w:tcPr>
            <w:tcW w:w="123" w:type="pct"/>
            <w:gridSpan w:val="2"/>
          </w:tcPr>
          <w:p w:rsidR="0022604A" w:rsidRPr="00FF5178" w:rsidRDefault="0022604A" w:rsidP="006C67AC">
            <w:pPr>
              <w:pStyle w:val="ExhibitText"/>
              <w:jc w:val="center"/>
              <w:rPr>
                <w:szCs w:val="18"/>
              </w:rPr>
            </w:pPr>
          </w:p>
        </w:tc>
        <w:tc>
          <w:tcPr>
            <w:tcW w:w="143" w:type="pct"/>
          </w:tcPr>
          <w:p w:rsidR="0022604A" w:rsidRPr="00FF5178" w:rsidRDefault="0022604A" w:rsidP="006C67AC">
            <w:pPr>
              <w:pStyle w:val="ExhibitText"/>
              <w:jc w:val="center"/>
              <w:rPr>
                <w:szCs w:val="18"/>
              </w:rPr>
            </w:pPr>
            <w:r w:rsidRPr="00FF5178">
              <w:rPr>
                <w:szCs w:val="18"/>
              </w:rPr>
              <w:sym w:font="Wingdings 2" w:char="F050"/>
            </w:r>
          </w:p>
        </w:tc>
        <w:tc>
          <w:tcPr>
            <w:tcW w:w="1368" w:type="pct"/>
          </w:tcPr>
          <w:p w:rsidR="0022604A" w:rsidRPr="00FF5178" w:rsidRDefault="0022604A" w:rsidP="00F40C00">
            <w:pPr>
              <w:pStyle w:val="Default"/>
              <w:rPr>
                <w:rFonts w:ascii="Arial" w:hAnsi="Arial" w:cs="Arial"/>
                <w:sz w:val="18"/>
                <w:szCs w:val="18"/>
              </w:rPr>
            </w:pPr>
            <w:r w:rsidRPr="00FF5178">
              <w:rPr>
                <w:rFonts w:ascii="Arial" w:hAnsi="Arial" w:cs="Arial"/>
                <w:sz w:val="18"/>
                <w:szCs w:val="18"/>
              </w:rPr>
              <w:t xml:space="preserve">This measure will be used to provide additional information on the characteristics of youth who remain abstinent. </w:t>
            </w:r>
          </w:p>
        </w:tc>
      </w:tr>
      <w:tr w:rsidR="00DE5E88" w:rsidRPr="00E556D3" w:rsidTr="00550F8A">
        <w:trPr>
          <w:cantSplit/>
        </w:trPr>
        <w:tc>
          <w:tcPr>
            <w:tcW w:w="485" w:type="pct"/>
          </w:tcPr>
          <w:p w:rsidR="0022604A" w:rsidRPr="00FF5178" w:rsidRDefault="0022604A">
            <w:pPr>
              <w:rPr>
                <w:rFonts w:ascii="Arial" w:hAnsi="Arial" w:cs="Arial"/>
                <w:sz w:val="18"/>
                <w:szCs w:val="18"/>
              </w:rPr>
            </w:pPr>
            <w:r w:rsidRPr="00FF5178">
              <w:rPr>
                <w:rFonts w:ascii="Arial" w:hAnsi="Arial" w:cs="Arial"/>
                <w:sz w:val="18"/>
                <w:szCs w:val="18"/>
              </w:rPr>
              <w:t>NA</w:t>
            </w:r>
          </w:p>
        </w:tc>
        <w:tc>
          <w:tcPr>
            <w:tcW w:w="460" w:type="pct"/>
          </w:tcPr>
          <w:p w:rsidR="0022604A" w:rsidRPr="00FF5178" w:rsidRDefault="0022604A" w:rsidP="00F40C00">
            <w:pPr>
              <w:pStyle w:val="Default"/>
              <w:rPr>
                <w:rFonts w:ascii="Arial" w:hAnsi="Arial" w:cs="Arial"/>
                <w:sz w:val="18"/>
                <w:szCs w:val="18"/>
              </w:rPr>
            </w:pPr>
            <w:r w:rsidRPr="00FF5178">
              <w:rPr>
                <w:rFonts w:ascii="Arial" w:hAnsi="Arial" w:cs="Arial"/>
                <w:sz w:val="18"/>
                <w:szCs w:val="18"/>
              </w:rPr>
              <w:t xml:space="preserve">4.12 </w:t>
            </w:r>
          </w:p>
        </w:tc>
        <w:tc>
          <w:tcPr>
            <w:tcW w:w="1276" w:type="pct"/>
          </w:tcPr>
          <w:p w:rsidR="0022604A" w:rsidRPr="00FF5178" w:rsidRDefault="0022604A" w:rsidP="00F40C00">
            <w:pPr>
              <w:pStyle w:val="Default"/>
              <w:rPr>
                <w:rFonts w:ascii="Arial" w:hAnsi="Arial" w:cs="Arial"/>
                <w:sz w:val="18"/>
                <w:szCs w:val="18"/>
              </w:rPr>
            </w:pPr>
            <w:r w:rsidRPr="00FF5178">
              <w:rPr>
                <w:rFonts w:ascii="Arial" w:hAnsi="Arial" w:cs="Arial"/>
                <w:sz w:val="18"/>
                <w:szCs w:val="18"/>
              </w:rPr>
              <w:t xml:space="preserve">Access to Electronic Media </w:t>
            </w:r>
          </w:p>
        </w:tc>
        <w:tc>
          <w:tcPr>
            <w:tcW w:w="213" w:type="pct"/>
          </w:tcPr>
          <w:p w:rsidR="0022604A" w:rsidRPr="00FF5178" w:rsidRDefault="0022604A" w:rsidP="00F40C00">
            <w:pPr>
              <w:pStyle w:val="Default"/>
              <w:rPr>
                <w:rFonts w:ascii="Arial" w:hAnsi="Arial" w:cs="Arial"/>
                <w:sz w:val="18"/>
                <w:szCs w:val="18"/>
              </w:rPr>
            </w:pPr>
          </w:p>
        </w:tc>
        <w:tc>
          <w:tcPr>
            <w:tcW w:w="537" w:type="pct"/>
            <w:gridSpan w:val="3"/>
          </w:tcPr>
          <w:p w:rsidR="0022604A" w:rsidRPr="00FF5178" w:rsidRDefault="0022604A" w:rsidP="00F40C00">
            <w:pPr>
              <w:pStyle w:val="Default"/>
              <w:rPr>
                <w:rFonts w:ascii="Arial" w:hAnsi="Arial" w:cs="Arial"/>
                <w:sz w:val="18"/>
                <w:szCs w:val="18"/>
              </w:rPr>
            </w:pPr>
          </w:p>
        </w:tc>
        <w:tc>
          <w:tcPr>
            <w:tcW w:w="178" w:type="pct"/>
          </w:tcPr>
          <w:p w:rsidR="0022604A" w:rsidRPr="00FF5178" w:rsidRDefault="0022604A" w:rsidP="006C67AC">
            <w:pPr>
              <w:pStyle w:val="ExhibitText"/>
              <w:jc w:val="center"/>
              <w:rPr>
                <w:szCs w:val="18"/>
              </w:rPr>
            </w:pPr>
          </w:p>
        </w:tc>
        <w:tc>
          <w:tcPr>
            <w:tcW w:w="217" w:type="pct"/>
          </w:tcPr>
          <w:p w:rsidR="0022604A" w:rsidRPr="00FF5178" w:rsidRDefault="0022604A" w:rsidP="006C67AC">
            <w:pPr>
              <w:pStyle w:val="ExhibitText"/>
              <w:jc w:val="center"/>
              <w:rPr>
                <w:szCs w:val="18"/>
              </w:rPr>
            </w:pPr>
          </w:p>
        </w:tc>
        <w:tc>
          <w:tcPr>
            <w:tcW w:w="123" w:type="pct"/>
            <w:gridSpan w:val="2"/>
          </w:tcPr>
          <w:p w:rsidR="0022604A" w:rsidRPr="00FF5178" w:rsidRDefault="0022604A" w:rsidP="006C67AC">
            <w:pPr>
              <w:pStyle w:val="ExhibitText"/>
              <w:jc w:val="center"/>
              <w:rPr>
                <w:szCs w:val="18"/>
              </w:rPr>
            </w:pPr>
          </w:p>
        </w:tc>
        <w:tc>
          <w:tcPr>
            <w:tcW w:w="143" w:type="pct"/>
          </w:tcPr>
          <w:p w:rsidR="0022604A" w:rsidRPr="00FF5178" w:rsidRDefault="0022604A" w:rsidP="006C67AC">
            <w:pPr>
              <w:pStyle w:val="ExhibitText"/>
              <w:jc w:val="center"/>
              <w:rPr>
                <w:szCs w:val="18"/>
              </w:rPr>
            </w:pPr>
            <w:r w:rsidRPr="00FF5178">
              <w:rPr>
                <w:szCs w:val="18"/>
              </w:rPr>
              <w:sym w:font="Wingdings 2" w:char="F050"/>
            </w:r>
          </w:p>
        </w:tc>
        <w:tc>
          <w:tcPr>
            <w:tcW w:w="1368" w:type="pct"/>
          </w:tcPr>
          <w:p w:rsidR="0022604A" w:rsidRPr="00FF5178" w:rsidRDefault="0022604A" w:rsidP="00F40C00">
            <w:pPr>
              <w:pStyle w:val="Default"/>
              <w:rPr>
                <w:rFonts w:ascii="Arial" w:hAnsi="Arial" w:cs="Arial"/>
                <w:sz w:val="18"/>
                <w:szCs w:val="18"/>
              </w:rPr>
            </w:pPr>
            <w:r w:rsidRPr="00FF5178">
              <w:rPr>
                <w:rFonts w:ascii="Arial" w:hAnsi="Arial" w:cs="Arial"/>
                <w:sz w:val="18"/>
                <w:szCs w:val="18"/>
              </w:rPr>
              <w:t xml:space="preserve">This measure will be used to provide additional information on the characteristics of youth who remain abstinent. </w:t>
            </w:r>
          </w:p>
        </w:tc>
      </w:tr>
      <w:tr w:rsidR="00DE5E88" w:rsidRPr="00E556D3" w:rsidTr="00550F8A">
        <w:trPr>
          <w:cantSplit/>
        </w:trPr>
        <w:tc>
          <w:tcPr>
            <w:tcW w:w="485" w:type="pct"/>
          </w:tcPr>
          <w:p w:rsidR="0022604A" w:rsidRPr="00FF5178" w:rsidRDefault="0022604A">
            <w:pPr>
              <w:rPr>
                <w:rFonts w:ascii="Arial" w:hAnsi="Arial" w:cs="Arial"/>
                <w:sz w:val="18"/>
                <w:szCs w:val="18"/>
              </w:rPr>
            </w:pPr>
            <w:r w:rsidRPr="00FF5178">
              <w:rPr>
                <w:rFonts w:ascii="Arial" w:hAnsi="Arial" w:cs="Arial"/>
                <w:sz w:val="18"/>
                <w:szCs w:val="18"/>
              </w:rPr>
              <w:t>NA</w:t>
            </w:r>
          </w:p>
        </w:tc>
        <w:tc>
          <w:tcPr>
            <w:tcW w:w="460" w:type="pct"/>
          </w:tcPr>
          <w:p w:rsidR="0022604A" w:rsidRPr="00FF5178" w:rsidRDefault="0022604A" w:rsidP="00F40C00">
            <w:pPr>
              <w:pStyle w:val="Default"/>
              <w:rPr>
                <w:rFonts w:ascii="Arial" w:hAnsi="Arial" w:cs="Arial"/>
                <w:sz w:val="18"/>
                <w:szCs w:val="18"/>
              </w:rPr>
            </w:pPr>
            <w:r w:rsidRPr="00FF5178">
              <w:rPr>
                <w:rFonts w:ascii="Arial" w:hAnsi="Arial" w:cs="Arial"/>
                <w:sz w:val="18"/>
                <w:szCs w:val="18"/>
              </w:rPr>
              <w:t xml:space="preserve">4.13-4.15 </w:t>
            </w:r>
          </w:p>
        </w:tc>
        <w:tc>
          <w:tcPr>
            <w:tcW w:w="1276" w:type="pct"/>
          </w:tcPr>
          <w:p w:rsidR="0022604A" w:rsidRPr="00FF5178" w:rsidRDefault="0022604A" w:rsidP="00F40C00">
            <w:pPr>
              <w:pStyle w:val="Default"/>
              <w:rPr>
                <w:rFonts w:ascii="Arial" w:hAnsi="Arial" w:cs="Arial"/>
                <w:sz w:val="18"/>
                <w:szCs w:val="18"/>
              </w:rPr>
            </w:pPr>
            <w:r w:rsidRPr="00FF5178">
              <w:rPr>
                <w:rFonts w:ascii="Arial" w:hAnsi="Arial" w:cs="Arial"/>
                <w:sz w:val="18"/>
                <w:szCs w:val="18"/>
              </w:rPr>
              <w:t xml:space="preserve">Parental Monitoring of Use of Electronic Media </w:t>
            </w:r>
          </w:p>
        </w:tc>
        <w:tc>
          <w:tcPr>
            <w:tcW w:w="213" w:type="pct"/>
          </w:tcPr>
          <w:p w:rsidR="0022604A" w:rsidRPr="00FF5178" w:rsidRDefault="0022604A" w:rsidP="00F40C00">
            <w:pPr>
              <w:pStyle w:val="Default"/>
              <w:rPr>
                <w:rFonts w:ascii="Arial" w:hAnsi="Arial" w:cs="Arial"/>
                <w:sz w:val="18"/>
                <w:szCs w:val="18"/>
              </w:rPr>
            </w:pPr>
          </w:p>
        </w:tc>
        <w:tc>
          <w:tcPr>
            <w:tcW w:w="537" w:type="pct"/>
            <w:gridSpan w:val="3"/>
          </w:tcPr>
          <w:p w:rsidR="0022604A" w:rsidRPr="00FF5178" w:rsidRDefault="0022604A" w:rsidP="00F40C00">
            <w:pPr>
              <w:pStyle w:val="Default"/>
              <w:rPr>
                <w:rFonts w:ascii="Arial" w:hAnsi="Arial" w:cs="Arial"/>
                <w:sz w:val="18"/>
                <w:szCs w:val="18"/>
              </w:rPr>
            </w:pPr>
          </w:p>
        </w:tc>
        <w:tc>
          <w:tcPr>
            <w:tcW w:w="178" w:type="pct"/>
          </w:tcPr>
          <w:p w:rsidR="0022604A" w:rsidRPr="00FF5178" w:rsidRDefault="0022604A" w:rsidP="006C67AC">
            <w:pPr>
              <w:pStyle w:val="ExhibitText"/>
              <w:jc w:val="center"/>
              <w:rPr>
                <w:szCs w:val="18"/>
              </w:rPr>
            </w:pPr>
          </w:p>
        </w:tc>
        <w:tc>
          <w:tcPr>
            <w:tcW w:w="217" w:type="pct"/>
          </w:tcPr>
          <w:p w:rsidR="0022604A" w:rsidRPr="00FF5178" w:rsidRDefault="0022604A" w:rsidP="006C67AC">
            <w:pPr>
              <w:pStyle w:val="ExhibitText"/>
              <w:jc w:val="center"/>
              <w:rPr>
                <w:szCs w:val="18"/>
              </w:rPr>
            </w:pPr>
          </w:p>
        </w:tc>
        <w:tc>
          <w:tcPr>
            <w:tcW w:w="123" w:type="pct"/>
            <w:gridSpan w:val="2"/>
          </w:tcPr>
          <w:p w:rsidR="0022604A" w:rsidRPr="00FF5178" w:rsidRDefault="0022604A" w:rsidP="006C67AC">
            <w:pPr>
              <w:pStyle w:val="ExhibitText"/>
              <w:jc w:val="center"/>
              <w:rPr>
                <w:szCs w:val="18"/>
              </w:rPr>
            </w:pPr>
          </w:p>
        </w:tc>
        <w:tc>
          <w:tcPr>
            <w:tcW w:w="143" w:type="pct"/>
          </w:tcPr>
          <w:p w:rsidR="0022604A" w:rsidRPr="00FF5178" w:rsidRDefault="0022604A" w:rsidP="006C67AC">
            <w:pPr>
              <w:pStyle w:val="ExhibitText"/>
              <w:jc w:val="center"/>
              <w:rPr>
                <w:szCs w:val="18"/>
              </w:rPr>
            </w:pPr>
            <w:r w:rsidRPr="00FF5178">
              <w:rPr>
                <w:szCs w:val="18"/>
              </w:rPr>
              <w:sym w:font="Wingdings 2" w:char="F050"/>
            </w:r>
          </w:p>
        </w:tc>
        <w:tc>
          <w:tcPr>
            <w:tcW w:w="1368" w:type="pct"/>
          </w:tcPr>
          <w:p w:rsidR="0022604A" w:rsidRPr="00FF5178" w:rsidRDefault="0022604A" w:rsidP="00F40C00">
            <w:pPr>
              <w:pStyle w:val="Default"/>
              <w:rPr>
                <w:rFonts w:ascii="Arial" w:hAnsi="Arial" w:cs="Arial"/>
                <w:sz w:val="18"/>
                <w:szCs w:val="18"/>
              </w:rPr>
            </w:pPr>
            <w:r w:rsidRPr="00FF5178">
              <w:rPr>
                <w:rFonts w:ascii="Arial" w:hAnsi="Arial" w:cs="Arial"/>
                <w:sz w:val="18"/>
                <w:szCs w:val="18"/>
              </w:rPr>
              <w:t xml:space="preserve">These measures will be used to provide additional information on the characteristics of youth who remain abstinent. </w:t>
            </w:r>
          </w:p>
        </w:tc>
      </w:tr>
      <w:tr w:rsidR="00DE5E88" w:rsidRPr="00E556D3" w:rsidTr="00550F8A">
        <w:trPr>
          <w:cantSplit/>
        </w:trPr>
        <w:tc>
          <w:tcPr>
            <w:tcW w:w="485" w:type="pct"/>
          </w:tcPr>
          <w:p w:rsidR="0022604A" w:rsidRPr="00FF5178" w:rsidRDefault="0022604A">
            <w:pPr>
              <w:rPr>
                <w:rFonts w:ascii="Arial" w:hAnsi="Arial" w:cs="Arial"/>
                <w:sz w:val="18"/>
                <w:szCs w:val="18"/>
              </w:rPr>
            </w:pPr>
            <w:r w:rsidRPr="00FF5178">
              <w:rPr>
                <w:rFonts w:ascii="Arial" w:hAnsi="Arial" w:cs="Arial"/>
                <w:sz w:val="18"/>
                <w:szCs w:val="18"/>
              </w:rPr>
              <w:t>NA</w:t>
            </w:r>
          </w:p>
        </w:tc>
        <w:tc>
          <w:tcPr>
            <w:tcW w:w="460" w:type="pct"/>
          </w:tcPr>
          <w:p w:rsidR="0022604A" w:rsidRPr="00FF5178" w:rsidRDefault="0022604A" w:rsidP="00F40C00">
            <w:pPr>
              <w:pStyle w:val="Default"/>
              <w:rPr>
                <w:rFonts w:ascii="Arial" w:hAnsi="Arial" w:cs="Arial"/>
                <w:sz w:val="18"/>
                <w:szCs w:val="18"/>
              </w:rPr>
            </w:pPr>
            <w:r w:rsidRPr="00FF5178">
              <w:rPr>
                <w:rFonts w:ascii="Arial" w:hAnsi="Arial" w:cs="Arial"/>
                <w:sz w:val="18"/>
                <w:szCs w:val="18"/>
              </w:rPr>
              <w:t xml:space="preserve">4.16 </w:t>
            </w:r>
          </w:p>
        </w:tc>
        <w:tc>
          <w:tcPr>
            <w:tcW w:w="1276" w:type="pct"/>
          </w:tcPr>
          <w:p w:rsidR="0022604A" w:rsidRPr="00FF5178" w:rsidRDefault="0022604A" w:rsidP="00F40C00">
            <w:pPr>
              <w:pStyle w:val="Default"/>
              <w:rPr>
                <w:rFonts w:ascii="Arial" w:hAnsi="Arial" w:cs="Arial"/>
                <w:sz w:val="18"/>
                <w:szCs w:val="18"/>
              </w:rPr>
            </w:pPr>
            <w:r w:rsidRPr="00FF5178">
              <w:rPr>
                <w:rFonts w:ascii="Arial" w:hAnsi="Arial" w:cs="Arial"/>
                <w:sz w:val="18"/>
                <w:szCs w:val="18"/>
              </w:rPr>
              <w:t xml:space="preserve">Perceived Frequency of Sexting Among Teens </w:t>
            </w:r>
          </w:p>
        </w:tc>
        <w:tc>
          <w:tcPr>
            <w:tcW w:w="213" w:type="pct"/>
          </w:tcPr>
          <w:p w:rsidR="0022604A" w:rsidRPr="00FF5178" w:rsidRDefault="0022604A" w:rsidP="00F40C00">
            <w:pPr>
              <w:pStyle w:val="Default"/>
              <w:rPr>
                <w:rFonts w:ascii="Arial" w:hAnsi="Arial" w:cs="Arial"/>
                <w:sz w:val="18"/>
                <w:szCs w:val="18"/>
              </w:rPr>
            </w:pPr>
          </w:p>
        </w:tc>
        <w:tc>
          <w:tcPr>
            <w:tcW w:w="537" w:type="pct"/>
            <w:gridSpan w:val="3"/>
          </w:tcPr>
          <w:p w:rsidR="0022604A" w:rsidRPr="00FF5178" w:rsidRDefault="0022604A" w:rsidP="00F40C00">
            <w:pPr>
              <w:pStyle w:val="Default"/>
              <w:rPr>
                <w:rFonts w:ascii="Arial" w:hAnsi="Arial" w:cs="Arial"/>
                <w:sz w:val="18"/>
                <w:szCs w:val="18"/>
              </w:rPr>
            </w:pPr>
          </w:p>
        </w:tc>
        <w:tc>
          <w:tcPr>
            <w:tcW w:w="178" w:type="pct"/>
          </w:tcPr>
          <w:p w:rsidR="0022604A" w:rsidRPr="00FF5178" w:rsidRDefault="0022604A" w:rsidP="006C67AC">
            <w:pPr>
              <w:pStyle w:val="ExhibitText"/>
              <w:jc w:val="center"/>
              <w:rPr>
                <w:szCs w:val="18"/>
              </w:rPr>
            </w:pPr>
          </w:p>
        </w:tc>
        <w:tc>
          <w:tcPr>
            <w:tcW w:w="217" w:type="pct"/>
          </w:tcPr>
          <w:p w:rsidR="0022604A" w:rsidRPr="00FF5178" w:rsidRDefault="0022604A" w:rsidP="006C67AC">
            <w:pPr>
              <w:pStyle w:val="ExhibitText"/>
              <w:jc w:val="center"/>
              <w:rPr>
                <w:szCs w:val="18"/>
              </w:rPr>
            </w:pPr>
          </w:p>
        </w:tc>
        <w:tc>
          <w:tcPr>
            <w:tcW w:w="123" w:type="pct"/>
            <w:gridSpan w:val="2"/>
          </w:tcPr>
          <w:p w:rsidR="0022604A" w:rsidRPr="00FF5178" w:rsidRDefault="0022604A" w:rsidP="006C67AC">
            <w:pPr>
              <w:pStyle w:val="ExhibitText"/>
              <w:jc w:val="center"/>
              <w:rPr>
                <w:szCs w:val="18"/>
              </w:rPr>
            </w:pPr>
          </w:p>
        </w:tc>
        <w:tc>
          <w:tcPr>
            <w:tcW w:w="143" w:type="pct"/>
          </w:tcPr>
          <w:p w:rsidR="0022604A" w:rsidRPr="00FF5178" w:rsidRDefault="0022604A" w:rsidP="006C67AC">
            <w:pPr>
              <w:pStyle w:val="ExhibitText"/>
              <w:jc w:val="center"/>
              <w:rPr>
                <w:szCs w:val="18"/>
              </w:rPr>
            </w:pPr>
            <w:r w:rsidRPr="00FF5178">
              <w:rPr>
                <w:szCs w:val="18"/>
              </w:rPr>
              <w:sym w:font="Wingdings 2" w:char="F050"/>
            </w:r>
          </w:p>
        </w:tc>
        <w:tc>
          <w:tcPr>
            <w:tcW w:w="1368" w:type="pct"/>
          </w:tcPr>
          <w:p w:rsidR="0022604A" w:rsidRPr="00FF5178" w:rsidRDefault="0022604A" w:rsidP="00F40C00">
            <w:pPr>
              <w:pStyle w:val="Default"/>
              <w:rPr>
                <w:rFonts w:ascii="Arial" w:hAnsi="Arial" w:cs="Arial"/>
                <w:sz w:val="18"/>
                <w:szCs w:val="18"/>
              </w:rPr>
            </w:pPr>
            <w:r w:rsidRPr="00FF5178">
              <w:rPr>
                <w:rFonts w:ascii="Arial" w:hAnsi="Arial" w:cs="Arial"/>
                <w:sz w:val="18"/>
                <w:szCs w:val="18"/>
              </w:rPr>
              <w:t xml:space="preserve">There is a rich body of research pointing to a strong association between teens’ behavior and the behavior or the perceived norms of their peers. </w:t>
            </w:r>
          </w:p>
        </w:tc>
      </w:tr>
      <w:tr w:rsidR="00DE5E88" w:rsidRPr="00E556D3" w:rsidTr="00550F8A">
        <w:trPr>
          <w:cantSplit/>
        </w:trPr>
        <w:tc>
          <w:tcPr>
            <w:tcW w:w="485" w:type="pct"/>
          </w:tcPr>
          <w:p w:rsidR="0022604A" w:rsidRPr="00FF5178" w:rsidRDefault="0022604A">
            <w:pPr>
              <w:rPr>
                <w:rFonts w:ascii="Arial" w:hAnsi="Arial" w:cs="Arial"/>
                <w:sz w:val="18"/>
                <w:szCs w:val="18"/>
              </w:rPr>
            </w:pPr>
            <w:r w:rsidRPr="00FF5178">
              <w:rPr>
                <w:rFonts w:ascii="Arial" w:hAnsi="Arial" w:cs="Arial"/>
                <w:sz w:val="18"/>
                <w:szCs w:val="18"/>
              </w:rPr>
              <w:t>NA</w:t>
            </w:r>
          </w:p>
        </w:tc>
        <w:tc>
          <w:tcPr>
            <w:tcW w:w="460" w:type="pct"/>
          </w:tcPr>
          <w:p w:rsidR="0022604A" w:rsidRPr="00FF5178" w:rsidRDefault="0022604A" w:rsidP="00F40C00">
            <w:pPr>
              <w:pStyle w:val="Default"/>
              <w:rPr>
                <w:rFonts w:ascii="Arial" w:hAnsi="Arial" w:cs="Arial"/>
                <w:sz w:val="18"/>
                <w:szCs w:val="18"/>
              </w:rPr>
            </w:pPr>
            <w:r w:rsidRPr="00FF5178">
              <w:rPr>
                <w:rFonts w:ascii="Arial" w:hAnsi="Arial" w:cs="Arial"/>
                <w:sz w:val="18"/>
                <w:szCs w:val="18"/>
              </w:rPr>
              <w:t xml:space="preserve">4.17- 4.20 </w:t>
            </w:r>
          </w:p>
        </w:tc>
        <w:tc>
          <w:tcPr>
            <w:tcW w:w="1276" w:type="pct"/>
          </w:tcPr>
          <w:p w:rsidR="0022604A" w:rsidRPr="00FF5178" w:rsidRDefault="0022604A" w:rsidP="00F40C00">
            <w:pPr>
              <w:pStyle w:val="Default"/>
              <w:rPr>
                <w:rFonts w:ascii="Arial" w:hAnsi="Arial" w:cs="Arial"/>
                <w:sz w:val="18"/>
                <w:szCs w:val="18"/>
              </w:rPr>
            </w:pPr>
            <w:r w:rsidRPr="00FF5178">
              <w:rPr>
                <w:rFonts w:ascii="Arial" w:hAnsi="Arial" w:cs="Arial"/>
                <w:sz w:val="18"/>
                <w:szCs w:val="18"/>
              </w:rPr>
              <w:t xml:space="preserve">Frequency of and Reasons For Sexting </w:t>
            </w:r>
          </w:p>
        </w:tc>
        <w:tc>
          <w:tcPr>
            <w:tcW w:w="213" w:type="pct"/>
          </w:tcPr>
          <w:p w:rsidR="0022604A" w:rsidRPr="00FF5178" w:rsidRDefault="0022604A" w:rsidP="00F40C00">
            <w:pPr>
              <w:pStyle w:val="Default"/>
              <w:rPr>
                <w:rFonts w:ascii="Arial" w:hAnsi="Arial" w:cs="Arial"/>
                <w:sz w:val="18"/>
                <w:szCs w:val="18"/>
              </w:rPr>
            </w:pPr>
          </w:p>
        </w:tc>
        <w:tc>
          <w:tcPr>
            <w:tcW w:w="537" w:type="pct"/>
            <w:gridSpan w:val="3"/>
          </w:tcPr>
          <w:p w:rsidR="0022604A" w:rsidRPr="00FF5178" w:rsidRDefault="0022604A" w:rsidP="00F40C00">
            <w:pPr>
              <w:pStyle w:val="Default"/>
              <w:rPr>
                <w:rFonts w:ascii="Arial" w:hAnsi="Arial" w:cs="Arial"/>
                <w:sz w:val="18"/>
                <w:szCs w:val="18"/>
              </w:rPr>
            </w:pPr>
          </w:p>
        </w:tc>
        <w:tc>
          <w:tcPr>
            <w:tcW w:w="178" w:type="pct"/>
          </w:tcPr>
          <w:p w:rsidR="0022604A" w:rsidRPr="00FF5178" w:rsidRDefault="0022604A" w:rsidP="006C67AC">
            <w:pPr>
              <w:pStyle w:val="ExhibitText"/>
              <w:jc w:val="center"/>
              <w:rPr>
                <w:szCs w:val="18"/>
              </w:rPr>
            </w:pPr>
          </w:p>
        </w:tc>
        <w:tc>
          <w:tcPr>
            <w:tcW w:w="217" w:type="pct"/>
          </w:tcPr>
          <w:p w:rsidR="0022604A" w:rsidRPr="00FF5178" w:rsidRDefault="0022604A" w:rsidP="006C67AC">
            <w:pPr>
              <w:pStyle w:val="ExhibitText"/>
              <w:jc w:val="center"/>
              <w:rPr>
                <w:szCs w:val="18"/>
              </w:rPr>
            </w:pPr>
          </w:p>
        </w:tc>
        <w:tc>
          <w:tcPr>
            <w:tcW w:w="123" w:type="pct"/>
            <w:gridSpan w:val="2"/>
          </w:tcPr>
          <w:p w:rsidR="0022604A" w:rsidRPr="00FF5178" w:rsidRDefault="0022604A" w:rsidP="006C67AC">
            <w:pPr>
              <w:pStyle w:val="ExhibitText"/>
              <w:jc w:val="center"/>
              <w:rPr>
                <w:szCs w:val="18"/>
              </w:rPr>
            </w:pPr>
          </w:p>
        </w:tc>
        <w:tc>
          <w:tcPr>
            <w:tcW w:w="143" w:type="pct"/>
          </w:tcPr>
          <w:p w:rsidR="0022604A" w:rsidRPr="00FF5178" w:rsidRDefault="0022604A" w:rsidP="006C67AC">
            <w:pPr>
              <w:pStyle w:val="ExhibitText"/>
              <w:jc w:val="center"/>
              <w:rPr>
                <w:szCs w:val="18"/>
              </w:rPr>
            </w:pPr>
            <w:r w:rsidRPr="00FF5178">
              <w:rPr>
                <w:szCs w:val="18"/>
              </w:rPr>
              <w:sym w:font="Wingdings 2" w:char="F050"/>
            </w:r>
          </w:p>
        </w:tc>
        <w:tc>
          <w:tcPr>
            <w:tcW w:w="1368" w:type="pct"/>
          </w:tcPr>
          <w:p w:rsidR="0022604A" w:rsidRPr="00FF5178" w:rsidRDefault="0022604A" w:rsidP="00F40C00">
            <w:pPr>
              <w:pStyle w:val="Default"/>
              <w:rPr>
                <w:rFonts w:ascii="Arial" w:hAnsi="Arial" w:cs="Arial"/>
                <w:sz w:val="18"/>
                <w:szCs w:val="18"/>
              </w:rPr>
            </w:pPr>
            <w:r w:rsidRPr="00FF5178">
              <w:rPr>
                <w:rFonts w:ascii="Arial" w:hAnsi="Arial" w:cs="Arial"/>
                <w:sz w:val="18"/>
                <w:szCs w:val="18"/>
              </w:rPr>
              <w:t xml:space="preserve">The relationship between the use of technology among youth and sexual behavior is an emerging topic of interest that has not yet been heavily researched. Questions will be asked of non-sexually active youth to examine this relationship, and identify potential pathways leading to the transition from non-sexually active to sexually active, and factors affecting the rate of that transition. </w:t>
            </w:r>
          </w:p>
        </w:tc>
      </w:tr>
      <w:tr w:rsidR="00DE5E88" w:rsidRPr="00E556D3" w:rsidTr="00550F8A">
        <w:trPr>
          <w:cantSplit/>
        </w:trPr>
        <w:tc>
          <w:tcPr>
            <w:tcW w:w="485" w:type="pct"/>
          </w:tcPr>
          <w:p w:rsidR="0022604A" w:rsidRPr="00FF5178" w:rsidRDefault="0022604A">
            <w:pPr>
              <w:rPr>
                <w:rFonts w:ascii="Arial" w:hAnsi="Arial" w:cs="Arial"/>
                <w:sz w:val="18"/>
                <w:szCs w:val="18"/>
              </w:rPr>
            </w:pPr>
            <w:r w:rsidRPr="00FF5178">
              <w:rPr>
                <w:rFonts w:ascii="Arial" w:hAnsi="Arial" w:cs="Arial"/>
                <w:sz w:val="18"/>
                <w:szCs w:val="18"/>
              </w:rPr>
              <w:t>NA</w:t>
            </w:r>
          </w:p>
        </w:tc>
        <w:tc>
          <w:tcPr>
            <w:tcW w:w="460" w:type="pct"/>
          </w:tcPr>
          <w:p w:rsidR="0022604A" w:rsidRPr="00FF5178" w:rsidRDefault="0022604A" w:rsidP="00F40C00">
            <w:pPr>
              <w:pStyle w:val="Default"/>
              <w:rPr>
                <w:rFonts w:ascii="Arial" w:hAnsi="Arial" w:cs="Arial"/>
                <w:sz w:val="18"/>
                <w:szCs w:val="18"/>
              </w:rPr>
            </w:pPr>
            <w:r w:rsidRPr="00FF5178">
              <w:rPr>
                <w:rFonts w:ascii="Arial" w:hAnsi="Arial" w:cs="Arial"/>
                <w:sz w:val="18"/>
                <w:szCs w:val="18"/>
              </w:rPr>
              <w:t xml:space="preserve">5.1, 5.2 </w:t>
            </w:r>
          </w:p>
        </w:tc>
        <w:tc>
          <w:tcPr>
            <w:tcW w:w="1276" w:type="pct"/>
          </w:tcPr>
          <w:p w:rsidR="0022604A" w:rsidRPr="00FF5178" w:rsidRDefault="0022604A" w:rsidP="00F40C00">
            <w:pPr>
              <w:pStyle w:val="Default"/>
              <w:rPr>
                <w:rFonts w:ascii="Arial" w:hAnsi="Arial" w:cs="Arial"/>
                <w:sz w:val="18"/>
                <w:szCs w:val="18"/>
              </w:rPr>
            </w:pPr>
            <w:r w:rsidRPr="00FF5178">
              <w:rPr>
                <w:rFonts w:ascii="Arial" w:hAnsi="Arial" w:cs="Arial"/>
                <w:sz w:val="18"/>
                <w:szCs w:val="18"/>
              </w:rPr>
              <w:t xml:space="preserve">Perception of Adult Caring </w:t>
            </w:r>
          </w:p>
        </w:tc>
        <w:tc>
          <w:tcPr>
            <w:tcW w:w="213" w:type="pct"/>
          </w:tcPr>
          <w:p w:rsidR="0022604A" w:rsidRPr="00FF5178" w:rsidRDefault="0022604A" w:rsidP="00F40C00">
            <w:pPr>
              <w:pStyle w:val="Default"/>
              <w:rPr>
                <w:rFonts w:ascii="Arial" w:hAnsi="Arial" w:cs="Arial"/>
                <w:sz w:val="18"/>
                <w:szCs w:val="18"/>
              </w:rPr>
            </w:pPr>
          </w:p>
        </w:tc>
        <w:tc>
          <w:tcPr>
            <w:tcW w:w="537" w:type="pct"/>
            <w:gridSpan w:val="3"/>
          </w:tcPr>
          <w:p w:rsidR="0022604A" w:rsidRPr="00FF5178" w:rsidRDefault="0022604A" w:rsidP="00F40C00">
            <w:pPr>
              <w:pStyle w:val="Default"/>
              <w:rPr>
                <w:rFonts w:ascii="Arial" w:hAnsi="Arial" w:cs="Arial"/>
                <w:sz w:val="18"/>
                <w:szCs w:val="18"/>
              </w:rPr>
            </w:pPr>
          </w:p>
        </w:tc>
        <w:tc>
          <w:tcPr>
            <w:tcW w:w="178" w:type="pct"/>
          </w:tcPr>
          <w:p w:rsidR="0022604A" w:rsidRPr="00FF5178" w:rsidRDefault="0022604A" w:rsidP="006C67AC">
            <w:pPr>
              <w:pStyle w:val="ExhibitText"/>
              <w:jc w:val="center"/>
              <w:rPr>
                <w:szCs w:val="18"/>
              </w:rPr>
            </w:pPr>
          </w:p>
        </w:tc>
        <w:tc>
          <w:tcPr>
            <w:tcW w:w="217" w:type="pct"/>
          </w:tcPr>
          <w:p w:rsidR="0022604A" w:rsidRPr="00FF5178" w:rsidRDefault="0022604A" w:rsidP="006C67AC">
            <w:pPr>
              <w:pStyle w:val="ExhibitText"/>
              <w:jc w:val="center"/>
              <w:rPr>
                <w:szCs w:val="18"/>
              </w:rPr>
            </w:pPr>
          </w:p>
        </w:tc>
        <w:tc>
          <w:tcPr>
            <w:tcW w:w="123" w:type="pct"/>
            <w:gridSpan w:val="2"/>
          </w:tcPr>
          <w:p w:rsidR="0022604A" w:rsidRPr="00FF5178" w:rsidRDefault="0022604A" w:rsidP="006C67AC">
            <w:pPr>
              <w:pStyle w:val="ExhibitText"/>
              <w:jc w:val="center"/>
              <w:rPr>
                <w:szCs w:val="18"/>
              </w:rPr>
            </w:pPr>
          </w:p>
        </w:tc>
        <w:tc>
          <w:tcPr>
            <w:tcW w:w="143" w:type="pct"/>
          </w:tcPr>
          <w:p w:rsidR="0022604A" w:rsidRPr="00FF5178" w:rsidRDefault="0022604A" w:rsidP="006C67AC">
            <w:pPr>
              <w:pStyle w:val="ExhibitText"/>
              <w:jc w:val="center"/>
              <w:rPr>
                <w:szCs w:val="18"/>
              </w:rPr>
            </w:pPr>
            <w:r w:rsidRPr="00FF5178">
              <w:rPr>
                <w:szCs w:val="18"/>
              </w:rPr>
              <w:sym w:font="Wingdings 2" w:char="F050"/>
            </w:r>
          </w:p>
        </w:tc>
        <w:tc>
          <w:tcPr>
            <w:tcW w:w="1368" w:type="pct"/>
          </w:tcPr>
          <w:p w:rsidR="0022604A" w:rsidRPr="00FF5178" w:rsidRDefault="0022604A" w:rsidP="006C67AC">
            <w:pPr>
              <w:pStyle w:val="ExhibitText"/>
              <w:rPr>
                <w:szCs w:val="18"/>
              </w:rPr>
            </w:pPr>
            <w:r w:rsidRPr="00FF5178">
              <w:rPr>
                <w:szCs w:val="18"/>
              </w:rPr>
              <w:t>These measures will be used to provide additional information on the characteristics of youth who remain abstinent.</w:t>
            </w:r>
          </w:p>
        </w:tc>
      </w:tr>
      <w:tr w:rsidR="00DE5E88" w:rsidRPr="00E556D3" w:rsidTr="00550F8A">
        <w:trPr>
          <w:cantSplit/>
        </w:trPr>
        <w:tc>
          <w:tcPr>
            <w:tcW w:w="485" w:type="pct"/>
          </w:tcPr>
          <w:p w:rsidR="0022604A" w:rsidRPr="00FF5178" w:rsidRDefault="0022604A">
            <w:pPr>
              <w:rPr>
                <w:rFonts w:ascii="Arial" w:hAnsi="Arial" w:cs="Arial"/>
                <w:sz w:val="18"/>
                <w:szCs w:val="18"/>
              </w:rPr>
            </w:pPr>
            <w:r w:rsidRPr="00FF5178">
              <w:rPr>
                <w:rFonts w:ascii="Arial" w:hAnsi="Arial" w:cs="Arial"/>
                <w:sz w:val="18"/>
                <w:szCs w:val="18"/>
              </w:rPr>
              <w:t>NA</w:t>
            </w:r>
          </w:p>
        </w:tc>
        <w:tc>
          <w:tcPr>
            <w:tcW w:w="460" w:type="pct"/>
          </w:tcPr>
          <w:p w:rsidR="0022604A" w:rsidRPr="00FF5178" w:rsidRDefault="0022604A" w:rsidP="00F40C00">
            <w:pPr>
              <w:pStyle w:val="Default"/>
              <w:rPr>
                <w:rFonts w:ascii="Arial" w:hAnsi="Arial" w:cs="Arial"/>
                <w:sz w:val="18"/>
                <w:szCs w:val="18"/>
              </w:rPr>
            </w:pPr>
            <w:r w:rsidRPr="00FF5178">
              <w:rPr>
                <w:rFonts w:ascii="Arial" w:hAnsi="Arial" w:cs="Arial"/>
                <w:sz w:val="18"/>
                <w:szCs w:val="18"/>
              </w:rPr>
              <w:t xml:space="preserve">5.3-5.5 </w:t>
            </w:r>
          </w:p>
        </w:tc>
        <w:tc>
          <w:tcPr>
            <w:tcW w:w="1276" w:type="pct"/>
          </w:tcPr>
          <w:p w:rsidR="0022604A" w:rsidRPr="00FF5178" w:rsidRDefault="0022604A" w:rsidP="00F40C00">
            <w:pPr>
              <w:pStyle w:val="Default"/>
              <w:rPr>
                <w:rFonts w:ascii="Arial" w:hAnsi="Arial" w:cs="Arial"/>
                <w:sz w:val="18"/>
                <w:szCs w:val="18"/>
              </w:rPr>
            </w:pPr>
            <w:r w:rsidRPr="00FF5178">
              <w:rPr>
                <w:rFonts w:ascii="Arial" w:hAnsi="Arial" w:cs="Arial"/>
                <w:sz w:val="18"/>
                <w:szCs w:val="18"/>
              </w:rPr>
              <w:t xml:space="preserve">Physical Safety </w:t>
            </w:r>
          </w:p>
        </w:tc>
        <w:tc>
          <w:tcPr>
            <w:tcW w:w="213" w:type="pct"/>
          </w:tcPr>
          <w:p w:rsidR="0022604A" w:rsidRPr="00FF5178" w:rsidRDefault="0022604A" w:rsidP="006C67AC">
            <w:pPr>
              <w:pStyle w:val="ExhibitText"/>
              <w:jc w:val="center"/>
              <w:rPr>
                <w:szCs w:val="18"/>
              </w:rPr>
            </w:pPr>
          </w:p>
        </w:tc>
        <w:tc>
          <w:tcPr>
            <w:tcW w:w="537" w:type="pct"/>
            <w:gridSpan w:val="3"/>
          </w:tcPr>
          <w:p w:rsidR="0022604A" w:rsidRPr="00FF5178" w:rsidRDefault="0022604A" w:rsidP="006C67AC">
            <w:pPr>
              <w:pStyle w:val="ExhibitText"/>
              <w:jc w:val="center"/>
              <w:rPr>
                <w:szCs w:val="18"/>
              </w:rPr>
            </w:pPr>
          </w:p>
        </w:tc>
        <w:tc>
          <w:tcPr>
            <w:tcW w:w="178" w:type="pct"/>
          </w:tcPr>
          <w:p w:rsidR="0022604A" w:rsidRPr="00FF5178" w:rsidRDefault="0022604A" w:rsidP="006C67AC">
            <w:pPr>
              <w:pStyle w:val="ExhibitText"/>
              <w:jc w:val="center"/>
              <w:rPr>
                <w:szCs w:val="18"/>
              </w:rPr>
            </w:pPr>
          </w:p>
        </w:tc>
        <w:tc>
          <w:tcPr>
            <w:tcW w:w="217" w:type="pct"/>
          </w:tcPr>
          <w:p w:rsidR="0022604A" w:rsidRPr="00FF5178" w:rsidRDefault="0022604A" w:rsidP="006C67AC">
            <w:pPr>
              <w:pStyle w:val="ExhibitText"/>
              <w:jc w:val="center"/>
              <w:rPr>
                <w:szCs w:val="18"/>
              </w:rPr>
            </w:pPr>
          </w:p>
        </w:tc>
        <w:tc>
          <w:tcPr>
            <w:tcW w:w="123" w:type="pct"/>
            <w:gridSpan w:val="2"/>
          </w:tcPr>
          <w:p w:rsidR="0022604A" w:rsidRPr="00FF5178" w:rsidRDefault="0022604A" w:rsidP="006C67AC">
            <w:pPr>
              <w:pStyle w:val="ExhibitText"/>
              <w:jc w:val="center"/>
              <w:rPr>
                <w:szCs w:val="18"/>
              </w:rPr>
            </w:pPr>
          </w:p>
        </w:tc>
        <w:tc>
          <w:tcPr>
            <w:tcW w:w="143" w:type="pct"/>
          </w:tcPr>
          <w:p w:rsidR="0022604A" w:rsidRPr="00FF5178" w:rsidRDefault="0022604A" w:rsidP="006C67AC">
            <w:pPr>
              <w:pStyle w:val="ExhibitText"/>
              <w:jc w:val="center"/>
              <w:rPr>
                <w:szCs w:val="18"/>
              </w:rPr>
            </w:pPr>
          </w:p>
        </w:tc>
        <w:tc>
          <w:tcPr>
            <w:tcW w:w="1368" w:type="pct"/>
          </w:tcPr>
          <w:p w:rsidR="0022604A" w:rsidRPr="00FF5178" w:rsidRDefault="0022604A" w:rsidP="00F40C00">
            <w:pPr>
              <w:pStyle w:val="Default"/>
              <w:rPr>
                <w:rFonts w:ascii="Arial" w:hAnsi="Arial" w:cs="Arial"/>
                <w:sz w:val="18"/>
                <w:szCs w:val="18"/>
              </w:rPr>
            </w:pPr>
            <w:r w:rsidRPr="00FF5178">
              <w:rPr>
                <w:rFonts w:ascii="Arial" w:hAnsi="Arial" w:cs="Arial"/>
                <w:sz w:val="18"/>
                <w:szCs w:val="18"/>
              </w:rPr>
              <w:t xml:space="preserve">These measures will be used to provide additional information on the characteristics of youth who remain abstinent. </w:t>
            </w:r>
          </w:p>
        </w:tc>
      </w:tr>
      <w:tr w:rsidR="00DE5E88" w:rsidRPr="00E556D3" w:rsidTr="00550F8A">
        <w:trPr>
          <w:cantSplit/>
        </w:trPr>
        <w:tc>
          <w:tcPr>
            <w:tcW w:w="485" w:type="pct"/>
          </w:tcPr>
          <w:p w:rsidR="0022604A" w:rsidRPr="00FF5178" w:rsidRDefault="0022604A">
            <w:pPr>
              <w:rPr>
                <w:rFonts w:ascii="Arial" w:hAnsi="Arial" w:cs="Arial"/>
                <w:sz w:val="18"/>
                <w:szCs w:val="18"/>
              </w:rPr>
            </w:pPr>
            <w:r w:rsidRPr="00FF5178">
              <w:rPr>
                <w:rFonts w:ascii="Arial" w:hAnsi="Arial" w:cs="Arial"/>
                <w:sz w:val="18"/>
                <w:szCs w:val="18"/>
              </w:rPr>
              <w:t>NA</w:t>
            </w:r>
          </w:p>
        </w:tc>
        <w:tc>
          <w:tcPr>
            <w:tcW w:w="460" w:type="pct"/>
          </w:tcPr>
          <w:p w:rsidR="0022604A" w:rsidRPr="00FF5178" w:rsidRDefault="0022604A" w:rsidP="00F40C00">
            <w:pPr>
              <w:pStyle w:val="Default"/>
              <w:rPr>
                <w:rFonts w:ascii="Arial" w:hAnsi="Arial" w:cs="Arial"/>
                <w:sz w:val="18"/>
                <w:szCs w:val="18"/>
              </w:rPr>
            </w:pPr>
            <w:r w:rsidRPr="00FF5178">
              <w:rPr>
                <w:rFonts w:ascii="Arial" w:hAnsi="Arial" w:cs="Arial"/>
                <w:sz w:val="18"/>
                <w:szCs w:val="18"/>
              </w:rPr>
              <w:t xml:space="preserve">5.6-5.7 </w:t>
            </w:r>
          </w:p>
        </w:tc>
        <w:tc>
          <w:tcPr>
            <w:tcW w:w="1276" w:type="pct"/>
          </w:tcPr>
          <w:p w:rsidR="0022604A" w:rsidRPr="00FF5178" w:rsidRDefault="0022604A" w:rsidP="00F40C00">
            <w:pPr>
              <w:pStyle w:val="Default"/>
              <w:rPr>
                <w:rFonts w:ascii="Arial" w:hAnsi="Arial" w:cs="Arial"/>
                <w:sz w:val="18"/>
                <w:szCs w:val="18"/>
              </w:rPr>
            </w:pPr>
            <w:r w:rsidRPr="00FF5178">
              <w:rPr>
                <w:rFonts w:ascii="Arial" w:hAnsi="Arial" w:cs="Arial"/>
                <w:sz w:val="18"/>
                <w:szCs w:val="18"/>
              </w:rPr>
              <w:t xml:space="preserve">Involvement in Extracurricular Activities </w:t>
            </w:r>
          </w:p>
        </w:tc>
        <w:tc>
          <w:tcPr>
            <w:tcW w:w="213" w:type="pct"/>
          </w:tcPr>
          <w:p w:rsidR="0022604A" w:rsidRPr="00FF5178" w:rsidRDefault="0022604A" w:rsidP="006C67AC">
            <w:pPr>
              <w:pStyle w:val="ExhibitText"/>
              <w:jc w:val="center"/>
              <w:rPr>
                <w:szCs w:val="18"/>
              </w:rPr>
            </w:pPr>
          </w:p>
        </w:tc>
        <w:tc>
          <w:tcPr>
            <w:tcW w:w="537" w:type="pct"/>
            <w:gridSpan w:val="3"/>
          </w:tcPr>
          <w:p w:rsidR="0022604A" w:rsidRPr="00FF5178" w:rsidRDefault="0022604A" w:rsidP="006C67AC">
            <w:pPr>
              <w:pStyle w:val="ExhibitText"/>
              <w:jc w:val="center"/>
              <w:rPr>
                <w:szCs w:val="18"/>
              </w:rPr>
            </w:pPr>
          </w:p>
        </w:tc>
        <w:tc>
          <w:tcPr>
            <w:tcW w:w="178" w:type="pct"/>
          </w:tcPr>
          <w:p w:rsidR="0022604A" w:rsidRPr="00FF5178" w:rsidRDefault="0022604A" w:rsidP="006C67AC">
            <w:pPr>
              <w:pStyle w:val="ExhibitText"/>
              <w:jc w:val="center"/>
              <w:rPr>
                <w:szCs w:val="18"/>
              </w:rPr>
            </w:pPr>
          </w:p>
        </w:tc>
        <w:tc>
          <w:tcPr>
            <w:tcW w:w="217" w:type="pct"/>
          </w:tcPr>
          <w:p w:rsidR="0022604A" w:rsidRPr="00FF5178" w:rsidRDefault="0022604A" w:rsidP="006C67AC">
            <w:pPr>
              <w:pStyle w:val="ExhibitText"/>
              <w:jc w:val="center"/>
              <w:rPr>
                <w:szCs w:val="18"/>
              </w:rPr>
            </w:pPr>
          </w:p>
        </w:tc>
        <w:tc>
          <w:tcPr>
            <w:tcW w:w="123" w:type="pct"/>
            <w:gridSpan w:val="2"/>
          </w:tcPr>
          <w:p w:rsidR="0022604A" w:rsidRPr="00FF5178" w:rsidRDefault="0022604A" w:rsidP="006C67AC">
            <w:pPr>
              <w:pStyle w:val="ExhibitText"/>
              <w:jc w:val="center"/>
              <w:rPr>
                <w:szCs w:val="18"/>
              </w:rPr>
            </w:pPr>
          </w:p>
        </w:tc>
        <w:tc>
          <w:tcPr>
            <w:tcW w:w="143" w:type="pct"/>
          </w:tcPr>
          <w:p w:rsidR="0022604A" w:rsidRPr="00FF5178" w:rsidRDefault="0022604A" w:rsidP="006C67AC">
            <w:pPr>
              <w:pStyle w:val="ExhibitText"/>
              <w:jc w:val="center"/>
              <w:rPr>
                <w:szCs w:val="18"/>
              </w:rPr>
            </w:pPr>
          </w:p>
        </w:tc>
        <w:tc>
          <w:tcPr>
            <w:tcW w:w="1368" w:type="pct"/>
          </w:tcPr>
          <w:p w:rsidR="0022604A" w:rsidRPr="00FF5178" w:rsidRDefault="0022604A" w:rsidP="00F40C00">
            <w:pPr>
              <w:pStyle w:val="Default"/>
              <w:rPr>
                <w:rFonts w:ascii="Arial" w:hAnsi="Arial" w:cs="Arial"/>
                <w:sz w:val="18"/>
                <w:szCs w:val="18"/>
              </w:rPr>
            </w:pPr>
            <w:r w:rsidRPr="00FF5178">
              <w:rPr>
                <w:rFonts w:ascii="Arial" w:hAnsi="Arial" w:cs="Arial"/>
                <w:sz w:val="18"/>
                <w:szCs w:val="18"/>
              </w:rPr>
              <w:t xml:space="preserve">These measures will be used to provide additional information on the characteristics of youth who remain abstinent. </w:t>
            </w:r>
          </w:p>
        </w:tc>
      </w:tr>
    </w:tbl>
    <w:p w:rsidR="00D979EA" w:rsidRDefault="00D979EA" w:rsidP="006C67AC"/>
    <w:p w:rsidR="001E62D8" w:rsidRDefault="001E62D8" w:rsidP="006C67AC"/>
    <w:p w:rsidR="001E62D8" w:rsidRDefault="001E62D8" w:rsidP="006C67AC"/>
    <w:p w:rsidR="00F40C00" w:rsidRDefault="00F40C00" w:rsidP="001E62D8">
      <w:pPr>
        <w:sectPr w:rsidR="00F40C00" w:rsidSect="00CE03F0">
          <w:pgSz w:w="15840" w:h="12240" w:orient="landscape" w:code="1"/>
          <w:pgMar w:top="1440" w:right="1440" w:bottom="1440" w:left="1440" w:header="1080" w:footer="720" w:gutter="0"/>
          <w:pgNumType w:start="1" w:chapStyle="1"/>
          <w:cols w:space="720"/>
          <w:docGrid w:linePitch="299"/>
        </w:sectPr>
      </w:pPr>
    </w:p>
    <w:p w:rsidR="00F40C00" w:rsidRDefault="00F40C00" w:rsidP="00F40C00">
      <w:pPr>
        <w:pStyle w:val="Default"/>
        <w:rPr>
          <w:sz w:val="23"/>
          <w:szCs w:val="23"/>
        </w:rPr>
      </w:pPr>
      <w:r>
        <w:rPr>
          <w:b/>
          <w:bCs/>
          <w:sz w:val="23"/>
          <w:szCs w:val="23"/>
        </w:rPr>
        <w:t xml:space="preserve">SUPPORTING REFERENCES FOR INCLUSION OF SPECIFIC QUESTIONS </w:t>
      </w:r>
    </w:p>
    <w:p w:rsidR="00F40C00" w:rsidRDefault="00F40C00" w:rsidP="00F40C00">
      <w:pPr>
        <w:pStyle w:val="Default"/>
        <w:rPr>
          <w:b/>
          <w:bCs/>
          <w:sz w:val="23"/>
          <w:szCs w:val="23"/>
        </w:rPr>
      </w:pPr>
      <w:r>
        <w:rPr>
          <w:b/>
          <w:bCs/>
          <w:sz w:val="23"/>
          <w:szCs w:val="23"/>
        </w:rPr>
        <w:t xml:space="preserve">OR GROUPS OF QUESTIONS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Abma, Joyce C. and National Center for Health Statistics (U.S.). </w:t>
      </w:r>
      <w:r>
        <w:rPr>
          <w:i/>
          <w:iCs/>
          <w:sz w:val="23"/>
          <w:szCs w:val="23"/>
        </w:rPr>
        <w:t xml:space="preserve">Teenagers in the United States: Sexual Activity, Contraceptive use, and Childbearing, 2002. </w:t>
      </w:r>
      <w:r>
        <w:rPr>
          <w:sz w:val="23"/>
          <w:szCs w:val="23"/>
        </w:rPr>
        <w:t xml:space="preserve">Hyattsville, Md.; Washington, DC: U.S.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Dept. of Health and Human Services, Centers for Disease Control and Prevention, National Center for Health Statistics ; For sale by the U.S. GPO, Supt. of Documents, 2004.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Adam, Mary B., Jenifer K. McGuire, Michele Walsh, Joanne Basta, and Craig Lecroy. "Acculturation as a Predictor of the Onset of Sexual Intercourse among Hispanic and White Teens." </w:t>
      </w:r>
      <w:r>
        <w:rPr>
          <w:i/>
          <w:iCs/>
          <w:sz w:val="23"/>
          <w:szCs w:val="23"/>
        </w:rPr>
        <w:t xml:space="preserve">Archives of Pediatrics &amp; Adolescent Medicine, </w:t>
      </w:r>
      <w:r>
        <w:rPr>
          <w:sz w:val="23"/>
          <w:szCs w:val="23"/>
        </w:rPr>
        <w:t xml:space="preserve">vol. 159, no. 3, 2005, pp. 261.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Afable-Munsuz, Aimee and Claire D. Brindis. "Acculturation and the Sexual and Reproductive Health of Latino Youth in the United States: A Literature Review." </w:t>
      </w:r>
      <w:r>
        <w:rPr>
          <w:i/>
          <w:iCs/>
          <w:sz w:val="23"/>
          <w:szCs w:val="23"/>
        </w:rPr>
        <w:t xml:space="preserve">Perspectives on Sexual and Reproductive Health, </w:t>
      </w:r>
      <w:r>
        <w:rPr>
          <w:sz w:val="23"/>
          <w:szCs w:val="23"/>
        </w:rPr>
        <w:t xml:space="preserve">vol. 38, no. 4, 2006, pp. 208-219.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Aneshensel, Carol S. "Onset of Fertility-Related Events during Adolescence: A Prospective Comparison of Mexican American and Non-Hispanic White Females." </w:t>
      </w:r>
      <w:r>
        <w:rPr>
          <w:i/>
          <w:iCs/>
          <w:sz w:val="23"/>
          <w:szCs w:val="23"/>
        </w:rPr>
        <w:t xml:space="preserve">American Journal of Public Health, </w:t>
      </w:r>
      <w:r>
        <w:rPr>
          <w:sz w:val="23"/>
          <w:szCs w:val="23"/>
        </w:rPr>
        <w:t xml:space="preserve">vol. 80, no. 8, 1990, pp. 959-63.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Beuhring, Trisha, Robert W. Blum, Peggy M. Rinehart, and University of Minnesota. Center for Adolescent Health. </w:t>
      </w:r>
      <w:r>
        <w:rPr>
          <w:i/>
          <w:iCs/>
          <w:sz w:val="23"/>
          <w:szCs w:val="23"/>
        </w:rPr>
        <w:t xml:space="preserve">Protecting Teens: Beyond Race, Income and Family Structure. </w:t>
      </w:r>
      <w:r>
        <w:rPr>
          <w:sz w:val="23"/>
          <w:szCs w:val="23"/>
        </w:rPr>
        <w:t xml:space="preserve">Minneapolis, MN: Center for Adolescent Health, University of Minnesota, 2000.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Blake, Susan M., Rebecca Ledsky, Thomas Lehman, Carol Goodenow, Richard Sawyer, and Tim Hack. "Preventing Sexual Risk Behaviors among Gay, Lesbian, and Bisexual Adolescents: The Benefits of Gay-Sensitive HIV Instruction in Schools." </w:t>
      </w:r>
      <w:r>
        <w:rPr>
          <w:i/>
          <w:iCs/>
          <w:sz w:val="23"/>
          <w:szCs w:val="23"/>
        </w:rPr>
        <w:t xml:space="preserve">American Journal of Public Health, </w:t>
      </w:r>
      <w:r>
        <w:rPr>
          <w:sz w:val="23"/>
          <w:szCs w:val="23"/>
        </w:rPr>
        <w:t xml:space="preserve">vol. 91, no. 6, 2001, pp. 940-46.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Blinn-Pike, Lynn. "Why Abstinent Adolescents Report they have Not had Sex: Understanding Sexually Resilient Youth." </w:t>
      </w:r>
      <w:r>
        <w:rPr>
          <w:i/>
          <w:iCs/>
          <w:sz w:val="23"/>
          <w:szCs w:val="23"/>
        </w:rPr>
        <w:t xml:space="preserve">Family Relations, </w:t>
      </w:r>
      <w:r>
        <w:rPr>
          <w:sz w:val="23"/>
          <w:szCs w:val="23"/>
        </w:rPr>
        <w:t xml:space="preserve">vol. 48, no. 3, 1999, pp. 295-301.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Boyer, Cherrie B., Jeanne M. Tschann, and Mary-Ann Shafer. "Predictors of Risk for Sexually Transmitted Diseases in Ninth Grade Urban High School Students." </w:t>
      </w:r>
      <w:r>
        <w:rPr>
          <w:i/>
          <w:iCs/>
          <w:sz w:val="23"/>
          <w:szCs w:val="23"/>
        </w:rPr>
        <w:t xml:space="preserve">Journal of Adolescent Research, </w:t>
      </w:r>
      <w:r>
        <w:rPr>
          <w:sz w:val="23"/>
          <w:szCs w:val="23"/>
        </w:rPr>
        <w:t xml:space="preserve">vol. 14, no. 4, 1999, pp. 448-65.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Browning, Christopher R., Tama Leventhal, and Jeanne Brooks-Gunn. "Neighborhood Context and Racial Differences in Early Adolescent Sexual Activity." </w:t>
      </w:r>
      <w:r>
        <w:rPr>
          <w:i/>
          <w:iCs/>
          <w:sz w:val="23"/>
          <w:szCs w:val="23"/>
        </w:rPr>
        <w:t xml:space="preserve">Demography, </w:t>
      </w:r>
      <w:r>
        <w:rPr>
          <w:sz w:val="23"/>
          <w:szCs w:val="23"/>
        </w:rPr>
        <w:t xml:space="preserve">vol. 41, no. 4, 2004, pp. 697-720.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Brückner, Hannah, Anne Martin, and Peter S. Bearman. "Ambivalence and Pregnancy: Adolescents' Attitudes, Contraceptive use and Pregnancy." </w:t>
      </w:r>
      <w:r>
        <w:rPr>
          <w:i/>
          <w:iCs/>
          <w:sz w:val="23"/>
          <w:szCs w:val="23"/>
        </w:rPr>
        <w:t xml:space="preserve">Perspectives on Sexual and Reproductive Health, </w:t>
      </w:r>
      <w:r>
        <w:rPr>
          <w:sz w:val="23"/>
          <w:szCs w:val="23"/>
        </w:rPr>
        <w:t>vol. 36,</w:t>
      </w:r>
      <w:r w:rsidR="00CE03F0">
        <w:rPr>
          <w:sz w:val="23"/>
          <w:szCs w:val="23"/>
        </w:rPr>
        <w:t xml:space="preserve"> no. 6, 2004, pp. 248-257. </w:t>
      </w:r>
    </w:p>
    <w:p w:rsidR="00F40C00" w:rsidRDefault="00F40C00" w:rsidP="00F40C00">
      <w:pPr>
        <w:pStyle w:val="Default"/>
        <w:pageBreakBefore/>
        <w:rPr>
          <w:sz w:val="23"/>
          <w:szCs w:val="23"/>
        </w:rPr>
      </w:pPr>
      <w:r>
        <w:rPr>
          <w:sz w:val="23"/>
          <w:szCs w:val="23"/>
        </w:rPr>
        <w:t xml:space="preserve">Buhi, Eric R. and Patricia Goodson. "Predictors of Adolescent Sexual Behavior and Intention: A Theory-Guided Systematic Review." </w:t>
      </w:r>
      <w:r>
        <w:rPr>
          <w:i/>
          <w:iCs/>
          <w:sz w:val="23"/>
          <w:szCs w:val="23"/>
        </w:rPr>
        <w:t xml:space="preserve">Journal of Adolescent Health: Official Publication of the Society for Adolescent Medicine, </w:t>
      </w:r>
      <w:r>
        <w:rPr>
          <w:sz w:val="23"/>
          <w:szCs w:val="23"/>
        </w:rPr>
        <w:t xml:space="preserve">vol. 40, no. 1, 2007, pp. 4.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Carvajal, Scott C., Guy S. Parcel, Karen Basen-Engquist, Stephen W. Banspach, Karin K. Coyle, Douglas Kirby, and Wenyaw Chan. "Empirical Articles - Psychosocial Predictors of Delay of First Sexual Intercourse by Adolescents." </w:t>
      </w:r>
      <w:r>
        <w:rPr>
          <w:i/>
          <w:iCs/>
          <w:sz w:val="23"/>
          <w:szCs w:val="23"/>
        </w:rPr>
        <w:t xml:space="preserve">Health Psychology: The Official Journal of the Division of Health Psychology, American Psychological Association, </w:t>
      </w:r>
      <w:r>
        <w:rPr>
          <w:sz w:val="23"/>
          <w:szCs w:val="23"/>
        </w:rPr>
        <w:t xml:space="preserve">vol. 18, no. 5, 1999, pp. 443.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Catania, Joseph A., Thomas J. Coates, Ruth M. Greenblatt, M. Margaret Dolcini, Susan M. K</w:t>
      </w:r>
      <w:r w:rsidR="006E086A">
        <w:rPr>
          <w:sz w:val="23"/>
          <w:szCs w:val="23"/>
        </w:rPr>
        <w:t xml:space="preserve">egeles, Sam Puckett, Meg Corman, and Joel Miller. Predictors of condom use and multiple partnered sex among sexually-active adolescent women: Implications for AIDS-related health intervention. </w:t>
      </w:r>
      <w:r w:rsidR="006E086A" w:rsidRPr="00600029">
        <w:rPr>
          <w:i/>
          <w:sz w:val="23"/>
          <w:szCs w:val="23"/>
        </w:rPr>
        <w:t>Journal of Sex Research</w:t>
      </w:r>
      <w:r w:rsidR="006E086A">
        <w:rPr>
          <w:sz w:val="23"/>
          <w:szCs w:val="23"/>
        </w:rPr>
        <w:t>, vol. 26, Issue 4, 1989, pp. 514-524.</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Cleveland, Harrington H. "The Influence of Female and Male Risk on the Occurrence of Sexual Intercourse within Adolescent Relationships." </w:t>
      </w:r>
      <w:r>
        <w:rPr>
          <w:i/>
          <w:iCs/>
          <w:sz w:val="23"/>
          <w:szCs w:val="23"/>
        </w:rPr>
        <w:t xml:space="preserve">Journal of Research on Adolescence, </w:t>
      </w:r>
      <w:r>
        <w:rPr>
          <w:sz w:val="23"/>
          <w:szCs w:val="23"/>
        </w:rPr>
        <w:t xml:space="preserve">vol. 13, no. 1, 2003, pp. 81-112.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Cooksey, Elizabeth C., Frank L. Mott, and Stefanie A. Neubauer. "Friendships and Early Relationships: Links to Sexual Initiation among American Adolescents Born to Young Mothers." </w:t>
      </w:r>
      <w:r>
        <w:rPr>
          <w:i/>
          <w:iCs/>
          <w:sz w:val="23"/>
          <w:szCs w:val="23"/>
        </w:rPr>
        <w:t xml:space="preserve">Perspectives on Sexual and Reproductive Health, </w:t>
      </w:r>
      <w:r>
        <w:rPr>
          <w:sz w:val="23"/>
          <w:szCs w:val="23"/>
        </w:rPr>
        <w:t xml:space="preserve">vol. 34, no. 3, 2002, pp. 118-126.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Davis, Erin C. and Lisa V. Friel. "Adolescent Sexuality: Disentangling the Effects of Family Structure and Family Context." </w:t>
      </w:r>
      <w:r>
        <w:rPr>
          <w:i/>
          <w:iCs/>
          <w:sz w:val="23"/>
          <w:szCs w:val="23"/>
        </w:rPr>
        <w:t xml:space="preserve">Journal of Marriage and the Family, </w:t>
      </w:r>
      <w:r>
        <w:rPr>
          <w:sz w:val="23"/>
          <w:szCs w:val="23"/>
        </w:rPr>
        <w:t xml:space="preserve">vol. 63, no. 3, 2001, pp. 669-681.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Dermen, K. H., M. L. Cooper, and V. B. Agocha. "Sex-Related Alcohol Expectancies as Moderators of the Relationship between Alcohol use and Risky Sex in Adolescents." </w:t>
      </w:r>
      <w:r>
        <w:rPr>
          <w:i/>
          <w:iCs/>
          <w:sz w:val="23"/>
          <w:szCs w:val="23"/>
        </w:rPr>
        <w:t xml:space="preserve">Journal of Studies on Alcohol, </w:t>
      </w:r>
      <w:r>
        <w:rPr>
          <w:sz w:val="23"/>
          <w:szCs w:val="23"/>
        </w:rPr>
        <w:t xml:space="preserve">vol. 59, no. 1, 1998, pp. 71.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DiClemente RJ, Durbin M, Siegel D, Krasnovsky F, Lazarus N, and Comacho T. "Determinants of Condom use among Junior High School Students in a Minority, Inner-City School District." </w:t>
      </w:r>
      <w:r>
        <w:rPr>
          <w:i/>
          <w:iCs/>
          <w:sz w:val="23"/>
          <w:szCs w:val="23"/>
        </w:rPr>
        <w:t xml:space="preserve">Pediatrics, </w:t>
      </w:r>
      <w:r>
        <w:rPr>
          <w:sz w:val="23"/>
          <w:szCs w:val="23"/>
        </w:rPr>
        <w:t xml:space="preserve">vol. 89, no. 2, 1992, pp. 197-202.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DiClemente RJ, Lodico M, Grinstead OA, Harper G, Rickman RL, Evans PE, and Coates TJ. "African-American Adolescents Residing in High-Risk Urban Environments do use Condoms: Correlates and Predictors of Condom use among Adolescents in Public Housing Developments." </w:t>
      </w:r>
      <w:r>
        <w:rPr>
          <w:i/>
          <w:iCs/>
          <w:sz w:val="23"/>
          <w:szCs w:val="23"/>
        </w:rPr>
        <w:t xml:space="preserve">Pediatrics, </w:t>
      </w:r>
      <w:r>
        <w:rPr>
          <w:sz w:val="23"/>
          <w:szCs w:val="23"/>
        </w:rPr>
        <w:t xml:space="preserve">vol. 98, no. 2, 1996, pp. 269-78.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DiIorio, Colleen, William N. Dudley, Johanna E. Soet, and Frances McCarty. "Sexual Possibility Situations and Sexual Behaviors among Young Adolescents: The Moderating Role of Protective Factors." </w:t>
      </w:r>
      <w:r>
        <w:rPr>
          <w:i/>
          <w:iCs/>
          <w:sz w:val="23"/>
          <w:szCs w:val="23"/>
        </w:rPr>
        <w:t xml:space="preserve">Journal of Adolescent Health: Official Publication of the Society for Adolescent Medicine, </w:t>
      </w:r>
      <w:r>
        <w:rPr>
          <w:sz w:val="23"/>
          <w:szCs w:val="23"/>
        </w:rPr>
        <w:t xml:space="preserve">vol. 35, no. 6, 2004, pp. 528. </w:t>
      </w:r>
    </w:p>
    <w:p w:rsidR="00F40C00" w:rsidRDefault="00F40C00" w:rsidP="00F40C00">
      <w:pPr>
        <w:pStyle w:val="Default"/>
        <w:rPr>
          <w:sz w:val="23"/>
          <w:szCs w:val="23"/>
        </w:rPr>
      </w:pPr>
    </w:p>
    <w:p w:rsidR="00600029" w:rsidRDefault="00600029" w:rsidP="00600029">
      <w:pPr>
        <w:rPr>
          <w:sz w:val="24"/>
          <w:szCs w:val="24"/>
        </w:rPr>
      </w:pPr>
      <w:r>
        <w:rPr>
          <w:sz w:val="24"/>
          <w:szCs w:val="24"/>
        </w:rPr>
        <w:t>DiIorio, Colleen,</w:t>
      </w:r>
      <w:r>
        <w:rPr>
          <w:sz w:val="24"/>
          <w:szCs w:val="24"/>
        </w:rPr>
        <w:t xml:space="preserve"> </w:t>
      </w:r>
      <w:r>
        <w:rPr>
          <w:sz w:val="24"/>
          <w:szCs w:val="24"/>
        </w:rPr>
        <w:t xml:space="preserve">Erika </w:t>
      </w:r>
      <w:r>
        <w:rPr>
          <w:sz w:val="24"/>
          <w:szCs w:val="24"/>
        </w:rPr>
        <w:t xml:space="preserve">Pluhar, </w:t>
      </w:r>
      <w:r>
        <w:rPr>
          <w:sz w:val="24"/>
          <w:szCs w:val="24"/>
        </w:rPr>
        <w:t xml:space="preserve">and Lisa </w:t>
      </w:r>
      <w:r>
        <w:rPr>
          <w:sz w:val="24"/>
          <w:szCs w:val="24"/>
        </w:rPr>
        <w:t>Belcher</w:t>
      </w:r>
      <w:r>
        <w:rPr>
          <w:sz w:val="24"/>
          <w:szCs w:val="24"/>
        </w:rPr>
        <w:t>.</w:t>
      </w:r>
      <w:r>
        <w:rPr>
          <w:sz w:val="24"/>
          <w:szCs w:val="24"/>
        </w:rPr>
        <w:t xml:space="preserve"> Parent-Child Communication About Sexuality: A Review of the Literature from 1980-2002. </w:t>
      </w:r>
      <w:r w:rsidRPr="00600029">
        <w:rPr>
          <w:i/>
          <w:sz w:val="24"/>
          <w:szCs w:val="24"/>
        </w:rPr>
        <w:t>Journal of HIV/AIDS Prevention &amp; Education for Adolescents &amp; Children</w:t>
      </w:r>
      <w:r>
        <w:rPr>
          <w:sz w:val="24"/>
          <w:szCs w:val="24"/>
        </w:rPr>
        <w:t xml:space="preserve">, Vol 5(3-4), 2003, </w:t>
      </w:r>
      <w:r>
        <w:rPr>
          <w:sz w:val="24"/>
          <w:szCs w:val="24"/>
        </w:rPr>
        <w:t xml:space="preserve">pp. </w:t>
      </w:r>
      <w:r>
        <w:rPr>
          <w:sz w:val="24"/>
          <w:szCs w:val="24"/>
        </w:rPr>
        <w:t>7-32.</w:t>
      </w:r>
    </w:p>
    <w:p w:rsidR="00600029" w:rsidRDefault="00600029" w:rsidP="00F40C00">
      <w:pPr>
        <w:pStyle w:val="Default"/>
        <w:rPr>
          <w:sz w:val="23"/>
          <w:szCs w:val="23"/>
        </w:rPr>
      </w:pPr>
    </w:p>
    <w:p w:rsidR="00CE03F0" w:rsidRDefault="00F40C00" w:rsidP="00CE03F0">
      <w:pPr>
        <w:pStyle w:val="Default"/>
        <w:rPr>
          <w:sz w:val="23"/>
          <w:szCs w:val="23"/>
        </w:rPr>
      </w:pPr>
      <w:r>
        <w:rPr>
          <w:sz w:val="23"/>
          <w:szCs w:val="23"/>
        </w:rPr>
        <w:t xml:space="preserve">Dittus PJ and Jaccard J. "Adolescents' Perceptions of Maternal Disapproval of Sex: Relationship to Sexual Outcomes." </w:t>
      </w:r>
      <w:r>
        <w:rPr>
          <w:i/>
          <w:iCs/>
          <w:sz w:val="23"/>
          <w:szCs w:val="23"/>
        </w:rPr>
        <w:t xml:space="preserve">The Journal of Adolescent Health: Official Publication of the Society for Adolescent Medicine, </w:t>
      </w:r>
      <w:r>
        <w:rPr>
          <w:sz w:val="23"/>
          <w:szCs w:val="23"/>
        </w:rPr>
        <w:t>vol. 2</w:t>
      </w:r>
      <w:r w:rsidR="00CE03F0">
        <w:rPr>
          <w:sz w:val="23"/>
          <w:szCs w:val="23"/>
        </w:rPr>
        <w:t>6, no. 4, 2000, pp. 268-78.</w:t>
      </w:r>
    </w:p>
    <w:p w:rsidR="00CE03F0" w:rsidRDefault="00CE03F0" w:rsidP="00CE03F0">
      <w:pPr>
        <w:pStyle w:val="Default"/>
        <w:rPr>
          <w:sz w:val="23"/>
          <w:szCs w:val="23"/>
        </w:rPr>
      </w:pPr>
    </w:p>
    <w:p w:rsidR="00F40C00" w:rsidRDefault="00F40C00" w:rsidP="00CE03F0">
      <w:pPr>
        <w:pStyle w:val="Default"/>
        <w:rPr>
          <w:sz w:val="23"/>
          <w:szCs w:val="23"/>
        </w:rPr>
      </w:pPr>
      <w:r>
        <w:rPr>
          <w:sz w:val="23"/>
          <w:szCs w:val="23"/>
        </w:rPr>
        <w:t xml:space="preserve">Feldman, Amy F. and Jennifer L. Matjasko. "The Role of School-Based Extracurricular Activities in Adolescent Development: A Comprehensive Review and Future Directions." </w:t>
      </w:r>
      <w:r>
        <w:rPr>
          <w:i/>
          <w:iCs/>
          <w:sz w:val="23"/>
          <w:szCs w:val="23"/>
        </w:rPr>
        <w:t xml:space="preserve">Review of Educational Research, </w:t>
      </w:r>
      <w:r>
        <w:rPr>
          <w:sz w:val="23"/>
          <w:szCs w:val="23"/>
        </w:rPr>
        <w:t xml:space="preserve">vol. 75, no. 2, 2005, pp. 159.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Fergusson, David M. and Michael T. Lynskey. "Alcohol Misuse and Adolescent Sexual Behaviors and Risk Taking." </w:t>
      </w:r>
      <w:r>
        <w:rPr>
          <w:i/>
          <w:iCs/>
          <w:sz w:val="23"/>
          <w:szCs w:val="23"/>
        </w:rPr>
        <w:t xml:space="preserve">Pediatrics, </w:t>
      </w:r>
      <w:r>
        <w:rPr>
          <w:sz w:val="23"/>
          <w:szCs w:val="23"/>
        </w:rPr>
        <w:t xml:space="preserve">vol. 98, no. 1, 1996, pp. 91.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Forste, Renata and David W. Haas. "The Transition of Adolescent Males to First Sexual Intercourse: Anticipated Or Delayed?" </w:t>
      </w:r>
      <w:r>
        <w:rPr>
          <w:i/>
          <w:iCs/>
          <w:sz w:val="23"/>
          <w:szCs w:val="23"/>
        </w:rPr>
        <w:t xml:space="preserve">Perspectives on Sexual and Reproductive Health, </w:t>
      </w:r>
      <w:r>
        <w:rPr>
          <w:sz w:val="23"/>
          <w:szCs w:val="23"/>
        </w:rPr>
        <w:t xml:space="preserve">vol. 34, no. 4, 2002, pp. 184-190.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Gillmore, Mary R., Matthew E. Archibald, Diane M. Morrison, Anthony Wilsdon, Elizabeth A. Wells, Marilyn J. Hoppe, Deborah Nahom, and Elise Murowchick. "Teen Sexual Behavior: Applicability of the Theory of Reasoned Action." </w:t>
      </w:r>
      <w:r>
        <w:rPr>
          <w:i/>
          <w:iCs/>
          <w:sz w:val="23"/>
          <w:szCs w:val="23"/>
        </w:rPr>
        <w:t xml:space="preserve">Journal of Marriage and the Family, </w:t>
      </w:r>
      <w:r>
        <w:rPr>
          <w:sz w:val="23"/>
          <w:szCs w:val="23"/>
        </w:rPr>
        <w:t xml:space="preserve">vol. 64, no. 4, 2002, pp. 885-897.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Goodenow, C., J. Netherland, and L. Szalacha. "AIDS-Related Risk among Adolescent Males Who have Sex with Males, Females, Or both: Evidence from a Statewide Survey." </w:t>
      </w:r>
      <w:r>
        <w:rPr>
          <w:i/>
          <w:iCs/>
          <w:sz w:val="23"/>
          <w:szCs w:val="23"/>
        </w:rPr>
        <w:t xml:space="preserve">American Journal of Public Health, </w:t>
      </w:r>
      <w:r>
        <w:rPr>
          <w:sz w:val="23"/>
          <w:szCs w:val="23"/>
        </w:rPr>
        <w:t xml:space="preserve">vol. 92, 2002, pp. 203-210.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Guttmacher Institute. </w:t>
      </w:r>
      <w:r>
        <w:rPr>
          <w:i/>
          <w:iCs/>
          <w:sz w:val="23"/>
          <w:szCs w:val="23"/>
        </w:rPr>
        <w:t xml:space="preserve">U.S. Teenage Pregnancy Statistics: National and State Trends and Trends Race and Ethnicity. </w:t>
      </w:r>
      <w:r>
        <w:rPr>
          <w:sz w:val="23"/>
          <w:szCs w:val="23"/>
        </w:rPr>
        <w:t xml:space="preserve">New York: Alan Guttmacher Institute, 2006.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Halpern CT, Joyner K, Udry JR, and Suchindran C. "Smart Teens Don't have Sex (Or Kiss Much either)." </w:t>
      </w:r>
      <w:r>
        <w:rPr>
          <w:i/>
          <w:iCs/>
          <w:sz w:val="23"/>
          <w:szCs w:val="23"/>
        </w:rPr>
        <w:t xml:space="preserve">The Journal of Adolescent Health: Official Publication of the Society for Adolescent Medicine, </w:t>
      </w:r>
      <w:r>
        <w:rPr>
          <w:sz w:val="23"/>
          <w:szCs w:val="23"/>
        </w:rPr>
        <w:t xml:space="preserve">vol. 26, no. 3, 2000, pp. 213-25.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Jaccard, James, Hart Blanton, and Tonya Dodge. "Peer Influences on Risk Behavior: An Analysis of the Effects of a Close Friend." </w:t>
      </w:r>
      <w:r>
        <w:rPr>
          <w:i/>
          <w:iCs/>
          <w:sz w:val="23"/>
          <w:szCs w:val="23"/>
        </w:rPr>
        <w:t xml:space="preserve">Developmental Psychology, </w:t>
      </w:r>
      <w:r>
        <w:rPr>
          <w:sz w:val="23"/>
          <w:szCs w:val="23"/>
        </w:rPr>
        <w:t xml:space="preserve">vol. 41, no. 1, 2005, pp. 135.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Jaccard, James, Tonya Dodge, and Patricia Dittus. "Do Adolescents Want to Avoid Pregnancy? Attitudes Toward Pregnancy as Predictors of Pregnancy." </w:t>
      </w:r>
      <w:r>
        <w:rPr>
          <w:i/>
          <w:iCs/>
          <w:sz w:val="23"/>
          <w:szCs w:val="23"/>
        </w:rPr>
        <w:t xml:space="preserve">Journal of Adolescent Health: Official Publication of the Society for Adolescent Medicine, </w:t>
      </w:r>
      <w:r>
        <w:rPr>
          <w:sz w:val="23"/>
          <w:szCs w:val="23"/>
        </w:rPr>
        <w:t xml:space="preserve">vol. 33, no. 2, 2003, pp. 79.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Kinsman SB, Romer D, Furstenberg FF, and Schwarz DF. "Early Sexual Initiation: The Role of Peer Norms." </w:t>
      </w:r>
      <w:r>
        <w:rPr>
          <w:i/>
          <w:iCs/>
          <w:sz w:val="23"/>
          <w:szCs w:val="23"/>
        </w:rPr>
        <w:t xml:space="preserve">Pediatrics, </w:t>
      </w:r>
      <w:r>
        <w:rPr>
          <w:sz w:val="23"/>
          <w:szCs w:val="23"/>
        </w:rPr>
        <w:t xml:space="preserve">vol. 102, no. 5, 1998, pp. 1185-92.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Ku, Leighton C., Freya L. Sonenstein, and Joseph H. Pleck. "The Association of AIDS Education and Sex Education with Sexual Behavior and Condom use among Teenage Men." </w:t>
      </w:r>
      <w:r>
        <w:rPr>
          <w:i/>
          <w:iCs/>
          <w:sz w:val="23"/>
          <w:szCs w:val="23"/>
        </w:rPr>
        <w:t xml:space="preserve">Family Planning Perspectives, </w:t>
      </w:r>
      <w:r>
        <w:rPr>
          <w:sz w:val="23"/>
          <w:szCs w:val="23"/>
        </w:rPr>
        <w:t xml:space="preserve">vol. 24, no. 3, 1992, pp. 100-106.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Lanctot, Nadine and Carolyn A. Smith. "Sexual Activity, Pregnancy, and Deviance in a Representative Urban Sample of African American Girls." </w:t>
      </w:r>
      <w:r>
        <w:rPr>
          <w:i/>
          <w:iCs/>
          <w:sz w:val="23"/>
          <w:szCs w:val="23"/>
        </w:rPr>
        <w:t xml:space="preserve">Journal of Youth and Adolescence, </w:t>
      </w:r>
      <w:r>
        <w:rPr>
          <w:sz w:val="23"/>
          <w:szCs w:val="23"/>
        </w:rPr>
        <w:t>vol. 30</w:t>
      </w:r>
      <w:r w:rsidR="00CE03F0">
        <w:rPr>
          <w:sz w:val="23"/>
          <w:szCs w:val="23"/>
        </w:rPr>
        <w:t xml:space="preserve">, no. 3, 2001, pp. 349-72. </w:t>
      </w:r>
    </w:p>
    <w:p w:rsidR="00F40C00" w:rsidRDefault="00F40C00" w:rsidP="00F40C00">
      <w:pPr>
        <w:pStyle w:val="Default"/>
        <w:pageBreakBefore/>
        <w:rPr>
          <w:sz w:val="23"/>
          <w:szCs w:val="23"/>
        </w:rPr>
      </w:pPr>
      <w:r>
        <w:rPr>
          <w:sz w:val="23"/>
          <w:szCs w:val="23"/>
        </w:rPr>
        <w:t xml:space="preserve">Li, Xiaoming, Susan Feigelman, and Bonita Stanton. "Impact of Perceived Parental Monitoring on Adolescent Risk Behavior Over 4 Years." </w:t>
      </w:r>
      <w:r>
        <w:rPr>
          <w:i/>
          <w:iCs/>
          <w:sz w:val="23"/>
          <w:szCs w:val="23"/>
        </w:rPr>
        <w:t xml:space="preserve">Journal Adolescent Health, </w:t>
      </w:r>
      <w:r>
        <w:rPr>
          <w:sz w:val="23"/>
          <w:szCs w:val="23"/>
        </w:rPr>
        <w:t>vol. 27, no. 1, 2000.</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Li, Xiaoming, Bonita Stanton, Lesley Cottrell, James Burns, Robert Pack, and Linda Kaljee. "Patterns of Initiation of Sex and Drug-Related Activities among Urban Low-Income African-American Adolescents." </w:t>
      </w:r>
      <w:r>
        <w:rPr>
          <w:i/>
          <w:iCs/>
          <w:sz w:val="23"/>
          <w:szCs w:val="23"/>
        </w:rPr>
        <w:t xml:space="preserve">Journal of Adolescent Health: Official Publication of the Society for Adolescent Medicine, </w:t>
      </w:r>
      <w:r>
        <w:rPr>
          <w:sz w:val="23"/>
          <w:szCs w:val="23"/>
        </w:rPr>
        <w:t xml:space="preserve">vol. 28, no. 1, 2001, pp. 46.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Lohman, Brenda J. and Amanda Billings. "Protective and Risk Factors Associated with Adolescent Boys' Early Sexual Debut and Risky Sexual Behaviors." </w:t>
      </w:r>
      <w:r>
        <w:rPr>
          <w:i/>
          <w:iCs/>
          <w:sz w:val="23"/>
          <w:szCs w:val="23"/>
        </w:rPr>
        <w:t xml:space="preserve">Journal of Youth and Adolescence, </w:t>
      </w:r>
      <w:r>
        <w:rPr>
          <w:sz w:val="23"/>
          <w:szCs w:val="23"/>
        </w:rPr>
        <w:t xml:space="preserve">vol. 37, no. 6, 2008, pp. 723-735.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Magura, S., J. L. Shapiro, and S. -. Kang. "Condom use among Criminally-Involved Adolescents." </w:t>
      </w:r>
      <w:r>
        <w:rPr>
          <w:i/>
          <w:iCs/>
          <w:sz w:val="23"/>
          <w:szCs w:val="23"/>
        </w:rPr>
        <w:t xml:space="preserve">AIDS Care, </w:t>
      </w:r>
      <w:r>
        <w:rPr>
          <w:sz w:val="23"/>
          <w:szCs w:val="23"/>
        </w:rPr>
        <w:t xml:space="preserve">vol. 6, no. 5, 1994, pp. 595.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Manlove, Jennifer, Suzanne Ryan, and Kerry Franzetta. "Contraceptive use and Consistency in U.S. Teenagers' most Recent Sexual Relationships." </w:t>
      </w:r>
      <w:r>
        <w:rPr>
          <w:i/>
          <w:iCs/>
          <w:sz w:val="23"/>
          <w:szCs w:val="23"/>
        </w:rPr>
        <w:t xml:space="preserve">Perspectives on Sexual and Reproductive Health, </w:t>
      </w:r>
      <w:r>
        <w:rPr>
          <w:sz w:val="23"/>
          <w:szCs w:val="23"/>
        </w:rPr>
        <w:t xml:space="preserve">vol. 36, no. 6, 2004, pp. 265-275.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Manlove, Jennifer, Suzanne Ryan, and Kerry Franzetta. "Patterns of Contraceptive use within Teenagers' First Sexual Relationships." </w:t>
      </w:r>
      <w:r>
        <w:rPr>
          <w:i/>
          <w:iCs/>
          <w:sz w:val="23"/>
          <w:szCs w:val="23"/>
        </w:rPr>
        <w:t xml:space="preserve">Perspectives on Sexual and Reproductive Health, </w:t>
      </w:r>
      <w:r>
        <w:rPr>
          <w:sz w:val="23"/>
          <w:szCs w:val="23"/>
        </w:rPr>
        <w:t xml:space="preserve">vol. 35, no. 6, 2003, pp. 246-255.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Manning, W. D., M. A. Longmore, and P. C. Giordano. "Adolescents' Involvement in Non-Romantic Sexual Activity." </w:t>
      </w:r>
      <w:r>
        <w:rPr>
          <w:i/>
          <w:iCs/>
          <w:sz w:val="23"/>
          <w:szCs w:val="23"/>
        </w:rPr>
        <w:t xml:space="preserve">Social Science Research, </w:t>
      </w:r>
      <w:r>
        <w:rPr>
          <w:sz w:val="23"/>
          <w:szCs w:val="23"/>
        </w:rPr>
        <w:t xml:space="preserve">vol. 34, no. 2, 2005, pp. 384-407.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Meier, Ann M. "Adolescents' Transition to First Intercourse, Religiosity, and Attitudes about Sex." </w:t>
      </w:r>
      <w:r>
        <w:rPr>
          <w:i/>
          <w:iCs/>
          <w:sz w:val="23"/>
          <w:szCs w:val="23"/>
        </w:rPr>
        <w:t xml:space="preserve">Social Forces, </w:t>
      </w:r>
      <w:r>
        <w:rPr>
          <w:sz w:val="23"/>
          <w:szCs w:val="23"/>
        </w:rPr>
        <w:t xml:space="preserve">vol. 81, no. 3, 2003, pp. 1031-52.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Miller, Brent C., Brad Benson, and Kevin A. Galbraith. "Family Relationships and Adolescent Pregnancy Risk: A Research Synthesis." </w:t>
      </w:r>
      <w:r>
        <w:rPr>
          <w:i/>
          <w:iCs/>
          <w:sz w:val="23"/>
          <w:szCs w:val="23"/>
        </w:rPr>
        <w:t xml:space="preserve">Developmental Review, </w:t>
      </w:r>
      <w:r>
        <w:rPr>
          <w:sz w:val="23"/>
          <w:szCs w:val="23"/>
        </w:rPr>
        <w:t xml:space="preserve">vol. 21, no. 1, 2001, pp. 1-38.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Moore, Kristin A. </w:t>
      </w:r>
      <w:r>
        <w:rPr>
          <w:i/>
          <w:iCs/>
          <w:sz w:val="23"/>
          <w:szCs w:val="23"/>
        </w:rPr>
        <w:t xml:space="preserve">Adolescent Pregnancy Prevention Programs: Interventions and Evaluations. </w:t>
      </w:r>
      <w:r>
        <w:rPr>
          <w:sz w:val="23"/>
          <w:szCs w:val="23"/>
        </w:rPr>
        <w:t xml:space="preserve">Washington, D.C.: Child Trends, Inc., 1995.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Moore, Kristin A. </w:t>
      </w:r>
      <w:r>
        <w:rPr>
          <w:i/>
          <w:iCs/>
          <w:sz w:val="23"/>
          <w:szCs w:val="23"/>
        </w:rPr>
        <w:t xml:space="preserve">Adolescent Sex, Contraception, and Childbearing: A Review of Recent Research. </w:t>
      </w:r>
      <w:r>
        <w:rPr>
          <w:sz w:val="23"/>
          <w:szCs w:val="23"/>
        </w:rPr>
        <w:t xml:space="preserve">Washington, D.C.: Child Trends, Inc., 1995.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Moore, Kristin A., Jennifer Manlove, Dana A. Glei, and Donna R. Morrison. "Nonmarital School-Age Motherhood: Family, Individual, and School Characteristics." </w:t>
      </w:r>
      <w:r>
        <w:rPr>
          <w:i/>
          <w:iCs/>
          <w:sz w:val="23"/>
          <w:szCs w:val="23"/>
        </w:rPr>
        <w:t xml:space="preserve">Journal of Adolescent Research, </w:t>
      </w:r>
      <w:r>
        <w:rPr>
          <w:sz w:val="23"/>
          <w:szCs w:val="23"/>
        </w:rPr>
        <w:t>vol. 13</w:t>
      </w:r>
      <w:r w:rsidR="00CE03F0">
        <w:rPr>
          <w:sz w:val="23"/>
          <w:szCs w:val="23"/>
        </w:rPr>
        <w:t xml:space="preserve">, no. 4, 1998, pp. 433-57. </w:t>
      </w:r>
    </w:p>
    <w:p w:rsidR="00F40C00" w:rsidRDefault="00F40C00" w:rsidP="00F40C00">
      <w:pPr>
        <w:pStyle w:val="Default"/>
        <w:pageBreakBefore/>
        <w:rPr>
          <w:sz w:val="23"/>
          <w:szCs w:val="23"/>
        </w:rPr>
      </w:pPr>
      <w:r>
        <w:rPr>
          <w:sz w:val="23"/>
          <w:szCs w:val="23"/>
        </w:rPr>
        <w:t xml:space="preserve">Olsen JA, Weed SE, Ritz GM, and Jensen LC. "The Effects of Three Abstinence Sex Education Programs on Student Attitudes Toward Sexual Activity." </w:t>
      </w:r>
      <w:r>
        <w:rPr>
          <w:i/>
          <w:iCs/>
          <w:sz w:val="23"/>
          <w:szCs w:val="23"/>
        </w:rPr>
        <w:t xml:space="preserve">Adolescence, </w:t>
      </w:r>
      <w:r>
        <w:rPr>
          <w:sz w:val="23"/>
          <w:szCs w:val="23"/>
        </w:rPr>
        <w:t xml:space="preserve">vol. 26, no. 103, 1991, pp. 631-41.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Olsen, Randall J. and George Farkas. "The Effect of Economic Opportunity and Family Background on Adolescent Cohabitation on Adolescent Cohabitation and Childbearing among Low-Income Blacks." </w:t>
      </w:r>
      <w:r>
        <w:rPr>
          <w:i/>
          <w:iCs/>
          <w:sz w:val="23"/>
          <w:szCs w:val="23"/>
        </w:rPr>
        <w:t xml:space="preserve">Journal of Labor Economics, </w:t>
      </w:r>
      <w:r>
        <w:rPr>
          <w:sz w:val="23"/>
          <w:szCs w:val="23"/>
        </w:rPr>
        <w:t xml:space="preserve">vol. 8, no. 3, 1990, pp. 341-362. </w:t>
      </w:r>
    </w:p>
    <w:p w:rsidR="00F40C00" w:rsidRDefault="00F40C00" w:rsidP="00F40C00">
      <w:pPr>
        <w:pStyle w:val="Default"/>
        <w:rPr>
          <w:sz w:val="23"/>
          <w:szCs w:val="23"/>
        </w:rPr>
      </w:pPr>
    </w:p>
    <w:p w:rsidR="00F40C00" w:rsidRPr="00F40C00" w:rsidRDefault="00F40C00" w:rsidP="00F40C00">
      <w:pPr>
        <w:pStyle w:val="Default"/>
        <w:rPr>
          <w:sz w:val="23"/>
          <w:szCs w:val="23"/>
          <w:lang w:val="es-US"/>
        </w:rPr>
      </w:pPr>
      <w:r>
        <w:rPr>
          <w:sz w:val="23"/>
          <w:szCs w:val="23"/>
        </w:rPr>
        <w:t xml:space="preserve">Pearson, Jennifer, Chandra Muller, and Michelle L. Frisco. "Parental Involvement, Family Structure, and Adolescent Sexual Decision Making." </w:t>
      </w:r>
      <w:r w:rsidRPr="00F40C00">
        <w:rPr>
          <w:i/>
          <w:iCs/>
          <w:sz w:val="23"/>
          <w:szCs w:val="23"/>
          <w:lang w:val="es-US"/>
        </w:rPr>
        <w:t xml:space="preserve">Sociological Perspectives, </w:t>
      </w:r>
      <w:r w:rsidRPr="00F40C00">
        <w:rPr>
          <w:sz w:val="23"/>
          <w:szCs w:val="23"/>
          <w:lang w:val="es-US"/>
        </w:rPr>
        <w:t xml:space="preserve">vol. 49, no. 1, 2006, pp. 67-90. </w:t>
      </w:r>
    </w:p>
    <w:p w:rsidR="00F40C00" w:rsidRDefault="00F40C00" w:rsidP="00F40C00">
      <w:pPr>
        <w:pStyle w:val="Default"/>
        <w:rPr>
          <w:sz w:val="23"/>
          <w:szCs w:val="23"/>
          <w:lang w:val="es-US"/>
        </w:rPr>
      </w:pPr>
    </w:p>
    <w:p w:rsidR="00F40C00" w:rsidRDefault="00F40C00" w:rsidP="00F40C00">
      <w:pPr>
        <w:pStyle w:val="Default"/>
        <w:rPr>
          <w:sz w:val="23"/>
          <w:szCs w:val="23"/>
        </w:rPr>
      </w:pPr>
      <w:r w:rsidRPr="00F40C00">
        <w:rPr>
          <w:sz w:val="23"/>
          <w:szCs w:val="23"/>
          <w:lang w:val="es-US"/>
        </w:rPr>
        <w:t xml:space="preserve">Raj, Anita, Jay G. Silverman, and Hortensia Amaro. </w:t>
      </w:r>
      <w:r>
        <w:rPr>
          <w:sz w:val="23"/>
          <w:szCs w:val="23"/>
        </w:rPr>
        <w:t xml:space="preserve">"The Relationship between Sexual Abuse and Sexual Risk among High School Students: Findings from the 1997 Massachusetts Youth Risk Behavior Survey." </w:t>
      </w:r>
      <w:r>
        <w:rPr>
          <w:i/>
          <w:iCs/>
          <w:sz w:val="23"/>
          <w:szCs w:val="23"/>
        </w:rPr>
        <w:t xml:space="preserve">Maternal and Child Health Journal, </w:t>
      </w:r>
      <w:r>
        <w:rPr>
          <w:sz w:val="23"/>
          <w:szCs w:val="23"/>
        </w:rPr>
        <w:t xml:space="preserve">vol. 4, no. 2, 2000, pp. 125-134.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Resnick, M. D., P. S. Bearman, R. W. Blum, K. E. Bauman, K. M. Harris, J. Jones, J. Tabor, T. Beuhring, R. Sieving, M. Shew, L. H. Bearinger, and J. R. Udry. "Protecting Adolescents from Harm: Findings from the National Longitudinal Study on Adolescent Health." </w:t>
      </w:r>
      <w:r>
        <w:rPr>
          <w:i/>
          <w:iCs/>
          <w:sz w:val="23"/>
          <w:szCs w:val="23"/>
        </w:rPr>
        <w:t xml:space="preserve">JAMA: The Journal of the American Medical Association, </w:t>
      </w:r>
      <w:r>
        <w:rPr>
          <w:sz w:val="23"/>
          <w:szCs w:val="23"/>
        </w:rPr>
        <w:t xml:space="preserve">vol. 278, no. 10, 1997, pp. 823.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Rock, Ellen M., Marjorie Ireland, Michael D. Resnick, and Clea A. Mcneely. "A Rose by any Other Name? Objective Knowledge, Perceived Knowledge, and Adolescent Male Condom use." </w:t>
      </w:r>
      <w:r>
        <w:rPr>
          <w:i/>
          <w:iCs/>
          <w:sz w:val="23"/>
          <w:szCs w:val="23"/>
        </w:rPr>
        <w:t xml:space="preserve">Pediatrics, </w:t>
      </w:r>
      <w:r>
        <w:rPr>
          <w:sz w:val="23"/>
          <w:szCs w:val="23"/>
        </w:rPr>
        <w:t xml:space="preserve">vol. 115, no. 3, 2005, pp. 667.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Rodgers, Kathleen B. "Parenting Processes Related to Sexual Risk-Taking Behaviors of Adolescent Males and Females." </w:t>
      </w:r>
      <w:r>
        <w:rPr>
          <w:i/>
          <w:iCs/>
          <w:sz w:val="23"/>
          <w:szCs w:val="23"/>
        </w:rPr>
        <w:t xml:space="preserve">Journal of Marriage and the Family, </w:t>
      </w:r>
      <w:r>
        <w:rPr>
          <w:sz w:val="23"/>
          <w:szCs w:val="23"/>
        </w:rPr>
        <w:t xml:space="preserve">vol. 61, no. 1, 1999, pp. 99-109.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Rosenbaum, Janet E. "Patient Teenagers? A Comparison of the Sexual Behavior of Virginity Pledgers and Matched Nonpledgers." </w:t>
      </w:r>
      <w:r>
        <w:rPr>
          <w:i/>
          <w:iCs/>
          <w:sz w:val="23"/>
          <w:szCs w:val="23"/>
        </w:rPr>
        <w:t xml:space="preserve">Pediatrics, </w:t>
      </w:r>
      <w:r>
        <w:rPr>
          <w:sz w:val="23"/>
          <w:szCs w:val="23"/>
        </w:rPr>
        <w:t xml:space="preserve">vol. 123, no. 1, 2009, pp. 110.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Rostosky, Sharon S., Mark D. Regnerus, and Margaret L. C. Wright. "Coital Debut: The Role of Religiosity and Sex Attitudes in the Add Health Survey." </w:t>
      </w:r>
      <w:r>
        <w:rPr>
          <w:i/>
          <w:iCs/>
          <w:sz w:val="23"/>
          <w:szCs w:val="23"/>
        </w:rPr>
        <w:t xml:space="preserve">The Journal of Sex Research, </w:t>
      </w:r>
      <w:r>
        <w:rPr>
          <w:sz w:val="23"/>
          <w:szCs w:val="23"/>
        </w:rPr>
        <w:t xml:space="preserve">vol. 40, no. 4, 2003, pp. 358-367.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Rostosky, Sharon S., Brian L. Wilcox, Margaret L. C. Wright, and Brandy A. Randall. "The Impact of Religiosity on Adolescent Sexual Behavior: A Review of the Evidence." </w:t>
      </w:r>
      <w:r>
        <w:rPr>
          <w:i/>
          <w:iCs/>
          <w:sz w:val="23"/>
          <w:szCs w:val="23"/>
        </w:rPr>
        <w:t xml:space="preserve">Journal of Adolescent Research, </w:t>
      </w:r>
      <w:r>
        <w:rPr>
          <w:sz w:val="23"/>
          <w:szCs w:val="23"/>
        </w:rPr>
        <w:t xml:space="preserve">vol. 19, no. 6, 2004, pp. 677-697.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Ryan, Suzanne, Kerry Franzetta, and Jennifer Manlove. "Knowledge, Perceptions, and Motivations for Contraception: Influence on Teens' Contraceptive Consistency." </w:t>
      </w:r>
      <w:r>
        <w:rPr>
          <w:i/>
          <w:iCs/>
          <w:sz w:val="23"/>
          <w:szCs w:val="23"/>
        </w:rPr>
        <w:t xml:space="preserve">Youth &amp; Society, </w:t>
      </w:r>
      <w:r>
        <w:rPr>
          <w:sz w:val="23"/>
          <w:szCs w:val="23"/>
        </w:rPr>
        <w:t>vol. 39,</w:t>
      </w:r>
      <w:r w:rsidR="00CE03F0">
        <w:rPr>
          <w:sz w:val="23"/>
          <w:szCs w:val="23"/>
        </w:rPr>
        <w:t xml:space="preserve"> no. 2, 2007, pp. 182-208. </w:t>
      </w:r>
    </w:p>
    <w:p w:rsidR="00F40C00" w:rsidRDefault="00F40C00" w:rsidP="00F40C00">
      <w:pPr>
        <w:pStyle w:val="Default"/>
        <w:pageBreakBefore/>
        <w:rPr>
          <w:sz w:val="23"/>
          <w:szCs w:val="23"/>
        </w:rPr>
      </w:pPr>
      <w:r>
        <w:rPr>
          <w:sz w:val="23"/>
          <w:szCs w:val="23"/>
        </w:rPr>
        <w:t xml:space="preserve">Santelli, J. S., R. Lowry, N. D. Brener, and L. Robin. "Articles - VARIOUS TOPICS - the Association of Sexual Behaviors with Socioeconomic Status, Family Structure, and Race/Ethnicity among US Adolescents." </w:t>
      </w:r>
      <w:r>
        <w:rPr>
          <w:i/>
          <w:iCs/>
          <w:sz w:val="23"/>
          <w:szCs w:val="23"/>
        </w:rPr>
        <w:t xml:space="preserve">American Journal of Public Health, </w:t>
      </w:r>
      <w:r>
        <w:rPr>
          <w:sz w:val="23"/>
          <w:szCs w:val="23"/>
        </w:rPr>
        <w:t xml:space="preserve">vol. 90, no. 10, 2000, pp. 1582.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Santelli, John S., Leah Robin, Nancy D. Brener, and Richard Lowry. "Timing of Alcohol and Other Drug use and Sexual Risk Behaviors among Unmarried Adolescents and Young Adults." </w:t>
      </w:r>
      <w:r>
        <w:rPr>
          <w:i/>
          <w:iCs/>
          <w:sz w:val="23"/>
          <w:szCs w:val="23"/>
        </w:rPr>
        <w:t xml:space="preserve">Family Planning Perspectives, </w:t>
      </w:r>
      <w:r>
        <w:rPr>
          <w:sz w:val="23"/>
          <w:szCs w:val="23"/>
        </w:rPr>
        <w:t xml:space="preserve">vol. 33, no. 5, 2001.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Sen, Bisakha. "Does Alcohol-use Increase the Risk of Sexual Intercourse among Adolescents? Evidence from the NLSY97." </w:t>
      </w:r>
      <w:r>
        <w:rPr>
          <w:i/>
          <w:iCs/>
          <w:sz w:val="23"/>
          <w:szCs w:val="23"/>
        </w:rPr>
        <w:t xml:space="preserve">Journal of Health Economics, </w:t>
      </w:r>
      <w:r>
        <w:rPr>
          <w:sz w:val="23"/>
          <w:szCs w:val="23"/>
        </w:rPr>
        <w:t xml:space="preserve">vol. 21, no. 6, 2002, pp. 1085.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Sheeran P, Abraham C, and Orbell S. "Psychosocial Correlates of Heterosexual Condom use: A Meta-Analysis." </w:t>
      </w:r>
      <w:r>
        <w:rPr>
          <w:i/>
          <w:iCs/>
          <w:sz w:val="23"/>
          <w:szCs w:val="23"/>
        </w:rPr>
        <w:t xml:space="preserve">Psychological Bulletin, </w:t>
      </w:r>
      <w:r>
        <w:rPr>
          <w:sz w:val="23"/>
          <w:szCs w:val="23"/>
        </w:rPr>
        <w:t xml:space="preserve">vol. 125, no. 1, 1999, pp. 90-132.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Sieverding, John A., Nancy Adler, Stephanie Witt, and Jonathan Ellen. "The Influence of Parental Monitoring on Adolescent Sexual Initiation." </w:t>
      </w:r>
      <w:r>
        <w:rPr>
          <w:i/>
          <w:iCs/>
          <w:sz w:val="23"/>
          <w:szCs w:val="23"/>
        </w:rPr>
        <w:t xml:space="preserve">Archives of Pediatrics &amp; Adolescent Medicine, </w:t>
      </w:r>
      <w:r>
        <w:rPr>
          <w:sz w:val="23"/>
          <w:szCs w:val="23"/>
        </w:rPr>
        <w:t xml:space="preserve">vol. 159, no. 8, 2005, pp. 724.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Sieving, Renee E., Marla E. Eisenberg, Sandra Pettingell, and Carol Skay. "Friends' Influence on Adolescents' First Sexual Intercourse." </w:t>
      </w:r>
      <w:r>
        <w:rPr>
          <w:i/>
          <w:iCs/>
          <w:sz w:val="23"/>
          <w:szCs w:val="23"/>
        </w:rPr>
        <w:t xml:space="preserve">Perspectives on Sexual and Reproductive Health, </w:t>
      </w:r>
      <w:r>
        <w:rPr>
          <w:sz w:val="23"/>
          <w:szCs w:val="23"/>
        </w:rPr>
        <w:t xml:space="preserve">vol. 38, no. 1, 2006, pp. 13-19.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Silverman JG, Raj A, and Clements K. "Dating Violence and Associated Sexual Risk and Pregnancy among Adolescent Girls in the United States." </w:t>
      </w:r>
      <w:r>
        <w:rPr>
          <w:i/>
          <w:iCs/>
          <w:sz w:val="23"/>
          <w:szCs w:val="23"/>
        </w:rPr>
        <w:t xml:space="preserve">Pediatrics, </w:t>
      </w:r>
      <w:r>
        <w:rPr>
          <w:sz w:val="23"/>
          <w:szCs w:val="23"/>
        </w:rPr>
        <w:t xml:space="preserve">vol. 114, no. 2, 2004, pp. 220-5.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Small, Stephen A. and Tom Luster. “Adolescent Sexual Activity: An Ecological, Risk-Factor Approach.” </w:t>
      </w:r>
      <w:r>
        <w:rPr>
          <w:i/>
          <w:iCs/>
          <w:sz w:val="23"/>
          <w:szCs w:val="23"/>
        </w:rPr>
        <w:t xml:space="preserve">Journal of Marriage and the Family, </w:t>
      </w:r>
      <w:r>
        <w:rPr>
          <w:sz w:val="23"/>
          <w:szCs w:val="23"/>
        </w:rPr>
        <w:t xml:space="preserve">vol. 56, no.1, 1994, pp. 181-182.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Sturgeon, Samuel W. "The Relationship between Family Structure and Adolescent Sexual Activity." Washington, DC: The Heritage Foundation, 2008.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Tapert, Susan F., Gregory A. Aarons, Georganna R. Sedlar, and Sandra A. Brown. "Adolescent Substance use and Sexual Risk-Taking Behavior." </w:t>
      </w:r>
      <w:r>
        <w:rPr>
          <w:i/>
          <w:iCs/>
          <w:sz w:val="23"/>
          <w:szCs w:val="23"/>
        </w:rPr>
        <w:t xml:space="preserve">Journal of Adolescent Health: Official Publication of the Society for Adolescent Medicine, </w:t>
      </w:r>
      <w:r>
        <w:rPr>
          <w:sz w:val="23"/>
          <w:szCs w:val="23"/>
        </w:rPr>
        <w:t xml:space="preserve">vol. 28, no. 3, 2001, pp. 181.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Thornton, Arland. "The Courtship Process and Adolescent Sexuality." </w:t>
      </w:r>
      <w:r>
        <w:rPr>
          <w:i/>
          <w:iCs/>
          <w:sz w:val="23"/>
          <w:szCs w:val="23"/>
        </w:rPr>
        <w:t xml:space="preserve">Journal of Family Issues, </w:t>
      </w:r>
      <w:r>
        <w:rPr>
          <w:sz w:val="23"/>
          <w:szCs w:val="23"/>
        </w:rPr>
        <w:t xml:space="preserve">vol. 11, no. 3, 1990, pp. 239-73. </w:t>
      </w:r>
    </w:p>
    <w:p w:rsidR="00F40C00" w:rsidRDefault="00F40C00" w:rsidP="00F40C00">
      <w:pPr>
        <w:pStyle w:val="Default"/>
        <w:rPr>
          <w:sz w:val="23"/>
          <w:szCs w:val="23"/>
        </w:rPr>
      </w:pPr>
    </w:p>
    <w:p w:rsidR="00F40C00" w:rsidRDefault="00F40C00" w:rsidP="00F40C00">
      <w:pPr>
        <w:pStyle w:val="Default"/>
        <w:rPr>
          <w:sz w:val="23"/>
          <w:szCs w:val="23"/>
        </w:rPr>
      </w:pPr>
      <w:r>
        <w:rPr>
          <w:sz w:val="23"/>
          <w:szCs w:val="23"/>
        </w:rPr>
        <w:t xml:space="preserve">Upchurch DM and Kusunoki Y. "Associations between Forced Sex, Sexual and Protective Practices, and Sexually Transmitted Diseases among a National Sample of Adolescent Girls." </w:t>
      </w:r>
      <w:r>
        <w:rPr>
          <w:i/>
          <w:iCs/>
          <w:sz w:val="23"/>
          <w:szCs w:val="23"/>
        </w:rPr>
        <w:t xml:space="preserve">Women's Health Issues: Official Publication of the Jacobs Institute of Women's Health, </w:t>
      </w:r>
      <w:r w:rsidR="00CE03F0">
        <w:rPr>
          <w:sz w:val="23"/>
          <w:szCs w:val="23"/>
        </w:rPr>
        <w:t xml:space="preserve">vol. 14, no. 3, 2004. </w:t>
      </w:r>
    </w:p>
    <w:p w:rsidR="00F40C00" w:rsidRDefault="00F40C00" w:rsidP="00F40C00">
      <w:pPr>
        <w:pStyle w:val="Default"/>
        <w:pageBreakBefore/>
        <w:rPr>
          <w:sz w:val="23"/>
          <w:szCs w:val="23"/>
        </w:rPr>
      </w:pPr>
      <w:r>
        <w:rPr>
          <w:sz w:val="23"/>
          <w:szCs w:val="23"/>
        </w:rPr>
        <w:t xml:space="preserve">Watts, G. F. and S. Nagy. "Sociodemographic Factors, Attitudes, and Expectations Toward Adolescent Coitus." </w:t>
      </w:r>
      <w:r>
        <w:rPr>
          <w:i/>
          <w:iCs/>
          <w:sz w:val="23"/>
          <w:szCs w:val="23"/>
        </w:rPr>
        <w:t xml:space="preserve">American Journal of Health Behavior, </w:t>
      </w:r>
      <w:r>
        <w:rPr>
          <w:sz w:val="23"/>
          <w:szCs w:val="23"/>
        </w:rPr>
        <w:t xml:space="preserve">vol. 24, 2000, pp. 309-317. </w:t>
      </w:r>
    </w:p>
    <w:p w:rsidR="00F40C00" w:rsidRDefault="00F40C00" w:rsidP="00F40C00">
      <w:pPr>
        <w:rPr>
          <w:sz w:val="23"/>
          <w:szCs w:val="23"/>
        </w:rPr>
      </w:pPr>
    </w:p>
    <w:p w:rsidR="001E62D8" w:rsidRPr="006C67AC" w:rsidRDefault="00F40C00" w:rsidP="00F40C00">
      <w:r>
        <w:rPr>
          <w:sz w:val="23"/>
          <w:szCs w:val="23"/>
        </w:rPr>
        <w:t xml:space="preserve">Yarber, William L., Robin Milhausen, Richard A. Crosby, and Ralph J. DiClemente. "Selected Risk and Protective Factors Associated with Two Or More Lifetime Sexual Intercourse Partners and Non-Condom use during Last Coitus among U.S. Rural High School Students." </w:t>
      </w:r>
      <w:r>
        <w:rPr>
          <w:i/>
          <w:iCs/>
          <w:sz w:val="23"/>
          <w:szCs w:val="23"/>
        </w:rPr>
        <w:t xml:space="preserve">American Journal of Health Education, </w:t>
      </w:r>
      <w:r>
        <w:rPr>
          <w:sz w:val="23"/>
          <w:szCs w:val="23"/>
        </w:rPr>
        <w:t>vol. 33, no. 4, 2002, pp. 206-213.</w:t>
      </w:r>
    </w:p>
    <w:sectPr w:rsidR="001E62D8" w:rsidRPr="006C67AC" w:rsidSect="00CE03F0">
      <w:pgSz w:w="12240" w:h="15840" w:code="1"/>
      <w:pgMar w:top="1440" w:right="1440" w:bottom="1440" w:left="1440" w:header="1080" w:footer="720"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C00" w:rsidRDefault="00F40C00" w:rsidP="00D979EA">
      <w:r>
        <w:separator/>
      </w:r>
    </w:p>
  </w:endnote>
  <w:endnote w:type="continuationSeparator" w:id="0">
    <w:p w:rsidR="00F40C00" w:rsidRDefault="00F40C00"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C00" w:rsidRPr="0066134E" w:rsidRDefault="00F40C00" w:rsidP="00D979EA">
    <w:pPr>
      <w:pStyle w:val="Footer"/>
    </w:pPr>
    <w:r w:rsidRPr="00967D7C">
      <w:rPr>
        <w:color w:val="DA291C"/>
      </w:rPr>
      <w:t>Abt Associates Inc.</w:t>
    </w:r>
    <w:r w:rsidRPr="0066134E">
      <w:tab/>
    </w:r>
    <w:r w:rsidRPr="0066134E">
      <w:rPr>
        <w:rStyle w:val="PageNumber"/>
        <w:b/>
      </w:rPr>
      <w:tab/>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B617D5">
      <w:rPr>
        <w:rStyle w:val="PageNumber"/>
        <w:b/>
        <w:noProof/>
        <w:color w:val="DA291C"/>
      </w:rPr>
      <w:t>7</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C00" w:rsidRDefault="00F40C00" w:rsidP="00D979EA">
      <w:r>
        <w:separator/>
      </w:r>
    </w:p>
  </w:footnote>
  <w:footnote w:type="continuationSeparator" w:id="0">
    <w:p w:rsidR="00F40C00" w:rsidRDefault="00F40C00" w:rsidP="00D97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7E3"/>
    <w:multiLevelType w:val="hybridMultilevel"/>
    <w:tmpl w:val="E236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F37488"/>
    <w:multiLevelType w:val="hybridMultilevel"/>
    <w:tmpl w:val="C178C81C"/>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3">
    <w:nsid w:val="07016FA1"/>
    <w:multiLevelType w:val="hybridMultilevel"/>
    <w:tmpl w:val="08922804"/>
    <w:lvl w:ilvl="0" w:tplc="A1327D78">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AD23BE"/>
    <w:multiLevelType w:val="hybridMultilevel"/>
    <w:tmpl w:val="458C9A44"/>
    <w:lvl w:ilvl="0" w:tplc="418CF0D2">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22D578FF"/>
    <w:multiLevelType w:val="multilevel"/>
    <w:tmpl w:val="62D86C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86D2724"/>
    <w:multiLevelType w:val="hybridMultilevel"/>
    <w:tmpl w:val="DC928918"/>
    <w:lvl w:ilvl="0" w:tplc="07A82C04">
      <w:start w:val="21"/>
      <w:numFmt w:val="upperLetter"/>
      <w:lvlText w:val="%1.."/>
      <w:lvlJc w:val="left"/>
      <w:pPr>
        <w:tabs>
          <w:tab w:val="num" w:pos="900"/>
        </w:tabs>
        <w:ind w:left="900" w:hanging="720"/>
      </w:pPr>
      <w:rPr>
        <w:rFonts w:ascii="Arial Narrow" w:hAnsi="Arial Narrow" w:cs="Arial" w:hint="default"/>
        <w:b w:val="0"/>
        <w:color w:val="000000"/>
        <w:sz w:val="2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28ED429C"/>
    <w:multiLevelType w:val="hybridMultilevel"/>
    <w:tmpl w:val="2F50602C"/>
    <w:lvl w:ilvl="0" w:tplc="E4D41808">
      <w:start w:val="1"/>
      <w:numFmt w:val="bullet"/>
      <w:lvlText w:val=""/>
      <w:lvlJc w:val="left"/>
      <w:pPr>
        <w:tabs>
          <w:tab w:val="num" w:pos="720"/>
        </w:tabs>
        <w:ind w:left="720" w:hanging="360"/>
      </w:pPr>
      <w:rPr>
        <w:rFonts w:ascii="Symbol" w:hAnsi="Symbol" w:hint="default"/>
        <w:b/>
        <w:bCs/>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6A11C1"/>
    <w:multiLevelType w:val="multilevel"/>
    <w:tmpl w:val="AA8094A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11">
    <w:nsid w:val="2E273932"/>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31DD176F"/>
    <w:multiLevelType w:val="hybridMultilevel"/>
    <w:tmpl w:val="62D86C48"/>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3EB6C29"/>
    <w:multiLevelType w:val="hybridMultilevel"/>
    <w:tmpl w:val="5C1AE820"/>
    <w:lvl w:ilvl="0" w:tplc="27DEBE0C">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57456EA"/>
    <w:multiLevelType w:val="singleLevel"/>
    <w:tmpl w:val="FF18F624"/>
    <w:lvl w:ilvl="0">
      <w:start w:val="1"/>
      <w:numFmt w:val="decimal"/>
      <w:lvlText w:val="%1."/>
      <w:lvlJc w:val="left"/>
      <w:pPr>
        <w:tabs>
          <w:tab w:val="num" w:pos="432"/>
        </w:tabs>
        <w:ind w:left="360" w:hanging="288"/>
      </w:pPr>
    </w:lvl>
  </w:abstractNum>
  <w:abstractNum w:abstractNumId="15">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B9220D6"/>
    <w:multiLevelType w:val="hybridMultilevel"/>
    <w:tmpl w:val="D2963CA6"/>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BAE3DE4"/>
    <w:multiLevelType w:val="hybridMultilevel"/>
    <w:tmpl w:val="0502797E"/>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9">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0">
    <w:nsid w:val="418A190A"/>
    <w:multiLevelType w:val="multilevel"/>
    <w:tmpl w:val="2EC83F1C"/>
    <w:lvl w:ilvl="0">
      <w:start w:val="1"/>
      <w:numFmt w:val="bullet"/>
      <w:lvlText w:val=""/>
      <w:lvlJc w:val="left"/>
      <w:pPr>
        <w:tabs>
          <w:tab w:val="num" w:pos="720"/>
        </w:tabs>
        <w:ind w:left="720" w:hanging="360"/>
      </w:pPr>
      <w:rPr>
        <w:rFonts w:ascii="Symbol" w:hAnsi="Symbol" w:hint="default"/>
        <w:b/>
        <w:bCs/>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2481441"/>
    <w:multiLevelType w:val="hybridMultilevel"/>
    <w:tmpl w:val="4D763F48"/>
    <w:lvl w:ilvl="0" w:tplc="27DEBE0C">
      <w:start w:val="1"/>
      <w:numFmt w:val="bullet"/>
      <w:lvlText w:val=""/>
      <w:lvlJc w:val="left"/>
      <w:pPr>
        <w:tabs>
          <w:tab w:val="num" w:pos="720"/>
        </w:tabs>
        <w:ind w:left="720" w:hanging="360"/>
      </w:pPr>
      <w:rPr>
        <w:rFonts w:ascii="Symbol" w:hAnsi="Symbol" w:hint="default"/>
        <w:b/>
        <w:bCs/>
        <w:color w:val="00008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7C5625"/>
    <w:multiLevelType w:val="multilevel"/>
    <w:tmpl w:val="16E81AB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800"/>
        </w:tabs>
        <w:ind w:left="1800" w:hanging="1800"/>
      </w:pPr>
      <w:rPr>
        <w:rFonts w:ascii="Arial Narrow" w:hAnsi="Arial Narrow" w:cs="Arial" w:hint="default"/>
        <w:b w:val="0"/>
        <w:color w:val="000000"/>
        <w:sz w:val="20"/>
      </w:rPr>
    </w:lvl>
  </w:abstractNum>
  <w:abstractNum w:abstractNumId="23">
    <w:nsid w:val="4A0E370F"/>
    <w:multiLevelType w:val="singleLevel"/>
    <w:tmpl w:val="B20018D2"/>
    <w:lvl w:ilvl="0">
      <w:start w:val="1"/>
      <w:numFmt w:val="decimal"/>
      <w:lvlText w:val="%1."/>
      <w:lvlJc w:val="left"/>
      <w:pPr>
        <w:tabs>
          <w:tab w:val="num" w:pos="1080"/>
        </w:tabs>
        <w:ind w:left="1080" w:hanging="360"/>
      </w:pPr>
    </w:lvl>
  </w:abstractNum>
  <w:abstractNum w:abstractNumId="24">
    <w:nsid w:val="4E9C69DD"/>
    <w:multiLevelType w:val="multilevel"/>
    <w:tmpl w:val="3E6ABEB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6">
    <w:nsid w:val="5407582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27">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8">
    <w:nsid w:val="5CC655C1"/>
    <w:multiLevelType w:val="hybridMultilevel"/>
    <w:tmpl w:val="2EC83F1C"/>
    <w:lvl w:ilvl="0" w:tplc="E4D41808">
      <w:start w:val="1"/>
      <w:numFmt w:val="bullet"/>
      <w:lvlText w:val=""/>
      <w:lvlJc w:val="left"/>
      <w:pPr>
        <w:tabs>
          <w:tab w:val="num" w:pos="720"/>
        </w:tabs>
        <w:ind w:left="720" w:hanging="360"/>
      </w:pPr>
      <w:rPr>
        <w:rFonts w:ascii="Symbol" w:hAnsi="Symbol" w:hint="default"/>
        <w:b/>
        <w:bCs/>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E4664DA"/>
    <w:multiLevelType w:val="hybridMultilevel"/>
    <w:tmpl w:val="789C5EFC"/>
    <w:lvl w:ilvl="0" w:tplc="27DEBE0C">
      <w:start w:val="1"/>
      <w:numFmt w:val="bullet"/>
      <w:lvlText w:val=""/>
      <w:lvlJc w:val="left"/>
      <w:pPr>
        <w:tabs>
          <w:tab w:val="num" w:pos="720"/>
        </w:tabs>
        <w:ind w:left="720" w:hanging="360"/>
      </w:pPr>
      <w:rPr>
        <w:rFonts w:ascii="Symbol" w:hAnsi="Symbol" w:hint="default"/>
        <w:b/>
        <w:bCs/>
        <w:color w:val="00008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2232C9E"/>
    <w:multiLevelType w:val="multilevel"/>
    <w:tmpl w:val="AA0ADFC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1">
    <w:nsid w:val="641C4989"/>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nsid w:val="645F586D"/>
    <w:multiLevelType w:val="multilevel"/>
    <w:tmpl w:val="2A2C27A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3">
    <w:nsid w:val="6EE804F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5">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36">
    <w:nsid w:val="73054D1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7">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38">
    <w:nsid w:val="777769B3"/>
    <w:multiLevelType w:val="singleLevel"/>
    <w:tmpl w:val="0409000F"/>
    <w:lvl w:ilvl="0">
      <w:start w:val="1"/>
      <w:numFmt w:val="decimal"/>
      <w:lvlText w:val="%1."/>
      <w:lvlJc w:val="left"/>
      <w:pPr>
        <w:tabs>
          <w:tab w:val="num" w:pos="360"/>
        </w:tabs>
        <w:ind w:left="360" w:hanging="360"/>
      </w:pPr>
    </w:lvl>
  </w:abstractNum>
  <w:abstractNum w:abstractNumId="39">
    <w:nsid w:val="793F3B44"/>
    <w:multiLevelType w:val="hybridMultilevel"/>
    <w:tmpl w:val="AD66C504"/>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A05703F"/>
    <w:multiLevelType w:val="multilevel"/>
    <w:tmpl w:val="2F50602C"/>
    <w:lvl w:ilvl="0">
      <w:start w:val="1"/>
      <w:numFmt w:val="bullet"/>
      <w:lvlText w:val=""/>
      <w:lvlJc w:val="left"/>
      <w:pPr>
        <w:tabs>
          <w:tab w:val="num" w:pos="720"/>
        </w:tabs>
        <w:ind w:left="720" w:hanging="360"/>
      </w:pPr>
      <w:rPr>
        <w:rFonts w:ascii="Symbol" w:hAnsi="Symbol" w:hint="default"/>
        <w:b/>
        <w:bCs/>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A167ECB"/>
    <w:multiLevelType w:val="multilevel"/>
    <w:tmpl w:val="AD66C504"/>
    <w:lvl w:ilvl="0">
      <w:start w:val="1"/>
      <w:numFmt w:val="bullet"/>
      <w:lvlText w:val=""/>
      <w:lvlJc w:val="left"/>
      <w:pPr>
        <w:tabs>
          <w:tab w:val="num" w:pos="720"/>
        </w:tabs>
        <w:ind w:left="720" w:hanging="360"/>
      </w:pPr>
      <w:rPr>
        <w:rFonts w:ascii="Symbol" w:hAnsi="Symbol" w:hint="default"/>
        <w:color w:val="000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3">
    <w:nsid w:val="7B775495"/>
    <w:multiLevelType w:val="multilevel"/>
    <w:tmpl w:val="8D2EA8EC"/>
    <w:lvl w:ilvl="0">
      <w:start w:val="1"/>
      <w:numFmt w:val="bullet"/>
      <w:lvlText w:val=""/>
      <w:lvlJc w:val="left"/>
      <w:pPr>
        <w:tabs>
          <w:tab w:val="num" w:pos="720"/>
        </w:tabs>
        <w:ind w:left="720" w:hanging="360"/>
      </w:pPr>
      <w:rPr>
        <w:rFonts w:ascii="Symbol" w:hAnsi="Symbol" w:hint="default"/>
        <w:color w:val="00669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CB041E7"/>
    <w:multiLevelType w:val="singleLevel"/>
    <w:tmpl w:val="0ADE279C"/>
    <w:lvl w:ilvl="0">
      <w:start w:val="1"/>
      <w:numFmt w:val="decimal"/>
      <w:lvlText w:val="%1."/>
      <w:lvlJc w:val="left"/>
      <w:pPr>
        <w:tabs>
          <w:tab w:val="num" w:pos="720"/>
        </w:tabs>
        <w:ind w:left="720" w:hanging="360"/>
      </w:pPr>
    </w:lvl>
  </w:abstractNum>
  <w:abstractNum w:abstractNumId="45">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27"/>
  </w:num>
  <w:num w:numId="4">
    <w:abstractNumId w:val="18"/>
  </w:num>
  <w:num w:numId="5">
    <w:abstractNumId w:val="35"/>
  </w:num>
  <w:num w:numId="6">
    <w:abstractNumId w:val="44"/>
  </w:num>
  <w:num w:numId="7">
    <w:abstractNumId w:val="37"/>
  </w:num>
  <w:num w:numId="8">
    <w:abstractNumId w:val="23"/>
  </w:num>
  <w:num w:numId="9">
    <w:abstractNumId w:val="2"/>
  </w:num>
  <w:num w:numId="10">
    <w:abstractNumId w:val="38"/>
  </w:num>
  <w:num w:numId="11">
    <w:abstractNumId w:val="25"/>
  </w:num>
  <w:num w:numId="12">
    <w:abstractNumId w:val="5"/>
  </w:num>
  <w:num w:numId="13">
    <w:abstractNumId w:val="5"/>
  </w:num>
  <w:num w:numId="14">
    <w:abstractNumId w:val="7"/>
  </w:num>
  <w:num w:numId="15">
    <w:abstractNumId w:val="34"/>
  </w:num>
  <w:num w:numId="16">
    <w:abstractNumId w:val="42"/>
  </w:num>
  <w:num w:numId="17">
    <w:abstractNumId w:val="31"/>
  </w:num>
  <w:num w:numId="18">
    <w:abstractNumId w:val="0"/>
  </w:num>
  <w:num w:numId="19">
    <w:abstractNumId w:val="28"/>
  </w:num>
  <w:num w:numId="20">
    <w:abstractNumId w:val="9"/>
  </w:num>
  <w:num w:numId="21">
    <w:abstractNumId w:val="12"/>
  </w:num>
  <w:num w:numId="22">
    <w:abstractNumId w:val="16"/>
  </w:num>
  <w:num w:numId="23">
    <w:abstractNumId w:val="6"/>
  </w:num>
  <w:num w:numId="24">
    <w:abstractNumId w:val="13"/>
  </w:num>
  <w:num w:numId="25">
    <w:abstractNumId w:val="20"/>
  </w:num>
  <w:num w:numId="26">
    <w:abstractNumId w:val="21"/>
  </w:num>
  <w:num w:numId="27">
    <w:abstractNumId w:val="40"/>
  </w:num>
  <w:num w:numId="28">
    <w:abstractNumId w:val="29"/>
  </w:num>
  <w:num w:numId="29">
    <w:abstractNumId w:val="3"/>
  </w:num>
  <w:num w:numId="30">
    <w:abstractNumId w:val="22"/>
  </w:num>
  <w:num w:numId="31">
    <w:abstractNumId w:val="39"/>
  </w:num>
  <w:num w:numId="32">
    <w:abstractNumId w:val="41"/>
  </w:num>
  <w:num w:numId="33">
    <w:abstractNumId w:val="1"/>
  </w:num>
  <w:num w:numId="34">
    <w:abstractNumId w:val="17"/>
  </w:num>
  <w:num w:numId="35">
    <w:abstractNumId w:val="10"/>
  </w:num>
  <w:num w:numId="36">
    <w:abstractNumId w:val="8"/>
  </w:num>
  <w:num w:numId="37">
    <w:abstractNumId w:val="30"/>
  </w:num>
  <w:num w:numId="38">
    <w:abstractNumId w:val="36"/>
  </w:num>
  <w:num w:numId="39">
    <w:abstractNumId w:val="4"/>
  </w:num>
  <w:num w:numId="40">
    <w:abstractNumId w:val="32"/>
  </w:num>
  <w:num w:numId="41">
    <w:abstractNumId w:val="24"/>
  </w:num>
  <w:num w:numId="42">
    <w:abstractNumId w:val="26"/>
  </w:num>
  <w:num w:numId="43">
    <w:abstractNumId w:val="33"/>
  </w:num>
  <w:num w:numId="44">
    <w:abstractNumId w:val="19"/>
  </w:num>
  <w:num w:numId="45">
    <w:abstractNumId w:val="11"/>
  </w:num>
  <w:num w:numId="46">
    <w:abstractNumId w:val="45"/>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8433">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2"/>
  </w:compat>
  <w:rsids>
    <w:rsidRoot w:val="006C67AC"/>
    <w:rsid w:val="00003A2C"/>
    <w:rsid w:val="00006B3A"/>
    <w:rsid w:val="000136F3"/>
    <w:rsid w:val="00016E17"/>
    <w:rsid w:val="00021451"/>
    <w:rsid w:val="0002216E"/>
    <w:rsid w:val="00040E00"/>
    <w:rsid w:val="00044B23"/>
    <w:rsid w:val="00046728"/>
    <w:rsid w:val="00047985"/>
    <w:rsid w:val="000525E0"/>
    <w:rsid w:val="00053EEF"/>
    <w:rsid w:val="000543DC"/>
    <w:rsid w:val="00055022"/>
    <w:rsid w:val="0005750B"/>
    <w:rsid w:val="0006045E"/>
    <w:rsid w:val="0006587B"/>
    <w:rsid w:val="00070322"/>
    <w:rsid w:val="00082D01"/>
    <w:rsid w:val="00087856"/>
    <w:rsid w:val="000902AA"/>
    <w:rsid w:val="00095D40"/>
    <w:rsid w:val="000A00A2"/>
    <w:rsid w:val="000A1C6D"/>
    <w:rsid w:val="000A5460"/>
    <w:rsid w:val="000A7D69"/>
    <w:rsid w:val="000B33D1"/>
    <w:rsid w:val="000C0A39"/>
    <w:rsid w:val="000C3040"/>
    <w:rsid w:val="000D53F1"/>
    <w:rsid w:val="000D5777"/>
    <w:rsid w:val="000E6B75"/>
    <w:rsid w:val="000F27CC"/>
    <w:rsid w:val="000F53F4"/>
    <w:rsid w:val="001034D7"/>
    <w:rsid w:val="00104F2A"/>
    <w:rsid w:val="00107A04"/>
    <w:rsid w:val="0011170B"/>
    <w:rsid w:val="001178CA"/>
    <w:rsid w:val="001307A5"/>
    <w:rsid w:val="00152153"/>
    <w:rsid w:val="00157E04"/>
    <w:rsid w:val="00160657"/>
    <w:rsid w:val="00160B87"/>
    <w:rsid w:val="001677DC"/>
    <w:rsid w:val="00172119"/>
    <w:rsid w:val="001A04CE"/>
    <w:rsid w:val="001A0E0A"/>
    <w:rsid w:val="001A23B5"/>
    <w:rsid w:val="001A403F"/>
    <w:rsid w:val="001A4633"/>
    <w:rsid w:val="001B4509"/>
    <w:rsid w:val="001C0891"/>
    <w:rsid w:val="001C10AF"/>
    <w:rsid w:val="001D4FDD"/>
    <w:rsid w:val="001E2CF1"/>
    <w:rsid w:val="001E62D8"/>
    <w:rsid w:val="001E6947"/>
    <w:rsid w:val="00200E58"/>
    <w:rsid w:val="002064D3"/>
    <w:rsid w:val="002106BF"/>
    <w:rsid w:val="002176B8"/>
    <w:rsid w:val="002216AD"/>
    <w:rsid w:val="00221D99"/>
    <w:rsid w:val="00223A9F"/>
    <w:rsid w:val="0022604A"/>
    <w:rsid w:val="0022674D"/>
    <w:rsid w:val="00227977"/>
    <w:rsid w:val="0023449A"/>
    <w:rsid w:val="00235F88"/>
    <w:rsid w:val="00255975"/>
    <w:rsid w:val="002702F7"/>
    <w:rsid w:val="00273EAA"/>
    <w:rsid w:val="00276702"/>
    <w:rsid w:val="0028328D"/>
    <w:rsid w:val="002838F5"/>
    <w:rsid w:val="00285BB6"/>
    <w:rsid w:val="0029491C"/>
    <w:rsid w:val="002A08FA"/>
    <w:rsid w:val="002A4078"/>
    <w:rsid w:val="002A5CE0"/>
    <w:rsid w:val="002B2F3C"/>
    <w:rsid w:val="002C32AB"/>
    <w:rsid w:val="002C41F9"/>
    <w:rsid w:val="002C4495"/>
    <w:rsid w:val="002C5AC8"/>
    <w:rsid w:val="002C76AB"/>
    <w:rsid w:val="002D4536"/>
    <w:rsid w:val="002F48C8"/>
    <w:rsid w:val="002F55CE"/>
    <w:rsid w:val="002F76F5"/>
    <w:rsid w:val="00314A8A"/>
    <w:rsid w:val="00324EC2"/>
    <w:rsid w:val="003279F2"/>
    <w:rsid w:val="00342BA9"/>
    <w:rsid w:val="003455BC"/>
    <w:rsid w:val="00354503"/>
    <w:rsid w:val="003623F0"/>
    <w:rsid w:val="00370164"/>
    <w:rsid w:val="003711CD"/>
    <w:rsid w:val="00380DB1"/>
    <w:rsid w:val="00383BFC"/>
    <w:rsid w:val="00384611"/>
    <w:rsid w:val="00384CA0"/>
    <w:rsid w:val="003870BA"/>
    <w:rsid w:val="00395A89"/>
    <w:rsid w:val="003A2FA8"/>
    <w:rsid w:val="003A3403"/>
    <w:rsid w:val="003B4770"/>
    <w:rsid w:val="003C20BF"/>
    <w:rsid w:val="003D1307"/>
    <w:rsid w:val="003D4024"/>
    <w:rsid w:val="003D5616"/>
    <w:rsid w:val="003E666B"/>
    <w:rsid w:val="003F3E19"/>
    <w:rsid w:val="00423092"/>
    <w:rsid w:val="004253E8"/>
    <w:rsid w:val="00427EA9"/>
    <w:rsid w:val="004319BC"/>
    <w:rsid w:val="004350B0"/>
    <w:rsid w:val="00436CE5"/>
    <w:rsid w:val="00470AB4"/>
    <w:rsid w:val="00472E16"/>
    <w:rsid w:val="004734DF"/>
    <w:rsid w:val="00486943"/>
    <w:rsid w:val="00495B91"/>
    <w:rsid w:val="004A5408"/>
    <w:rsid w:val="004C18DF"/>
    <w:rsid w:val="004C29E5"/>
    <w:rsid w:val="004C2B46"/>
    <w:rsid w:val="004D4C6D"/>
    <w:rsid w:val="004E01A4"/>
    <w:rsid w:val="004F6742"/>
    <w:rsid w:val="004F709B"/>
    <w:rsid w:val="00503049"/>
    <w:rsid w:val="00534B03"/>
    <w:rsid w:val="00534C33"/>
    <w:rsid w:val="00536DB4"/>
    <w:rsid w:val="0054025D"/>
    <w:rsid w:val="00550F8A"/>
    <w:rsid w:val="0055123E"/>
    <w:rsid w:val="00566495"/>
    <w:rsid w:val="00574572"/>
    <w:rsid w:val="00585CA4"/>
    <w:rsid w:val="00597948"/>
    <w:rsid w:val="005B1AC5"/>
    <w:rsid w:val="005B6A25"/>
    <w:rsid w:val="005C4647"/>
    <w:rsid w:val="005E0CF2"/>
    <w:rsid w:val="005E2AEA"/>
    <w:rsid w:val="005E6B70"/>
    <w:rsid w:val="00600029"/>
    <w:rsid w:val="006122D8"/>
    <w:rsid w:val="0061247A"/>
    <w:rsid w:val="00615938"/>
    <w:rsid w:val="0063014E"/>
    <w:rsid w:val="0064596C"/>
    <w:rsid w:val="0065112D"/>
    <w:rsid w:val="0066134E"/>
    <w:rsid w:val="006739F6"/>
    <w:rsid w:val="006814BB"/>
    <w:rsid w:val="006840EB"/>
    <w:rsid w:val="0069342C"/>
    <w:rsid w:val="006A541C"/>
    <w:rsid w:val="006A5B3B"/>
    <w:rsid w:val="006A684A"/>
    <w:rsid w:val="006B1DA6"/>
    <w:rsid w:val="006C67AC"/>
    <w:rsid w:val="006C7A4C"/>
    <w:rsid w:val="006D406B"/>
    <w:rsid w:val="006E086A"/>
    <w:rsid w:val="006E2B32"/>
    <w:rsid w:val="006F2B34"/>
    <w:rsid w:val="007057ED"/>
    <w:rsid w:val="0070672F"/>
    <w:rsid w:val="00706E95"/>
    <w:rsid w:val="007105A6"/>
    <w:rsid w:val="00715417"/>
    <w:rsid w:val="00726DD4"/>
    <w:rsid w:val="00730F56"/>
    <w:rsid w:val="00744E2C"/>
    <w:rsid w:val="00752119"/>
    <w:rsid w:val="00754408"/>
    <w:rsid w:val="007631C7"/>
    <w:rsid w:val="00763CCC"/>
    <w:rsid w:val="00776C72"/>
    <w:rsid w:val="0078258F"/>
    <w:rsid w:val="007846BC"/>
    <w:rsid w:val="00794B6E"/>
    <w:rsid w:val="007969A4"/>
    <w:rsid w:val="007A0114"/>
    <w:rsid w:val="007B1321"/>
    <w:rsid w:val="007B1904"/>
    <w:rsid w:val="007D6370"/>
    <w:rsid w:val="007E092F"/>
    <w:rsid w:val="007E5EC0"/>
    <w:rsid w:val="0080098A"/>
    <w:rsid w:val="00801761"/>
    <w:rsid w:val="008111EB"/>
    <w:rsid w:val="008130C9"/>
    <w:rsid w:val="00813D02"/>
    <w:rsid w:val="00814833"/>
    <w:rsid w:val="0082033D"/>
    <w:rsid w:val="008222AD"/>
    <w:rsid w:val="0083104D"/>
    <w:rsid w:val="008349AE"/>
    <w:rsid w:val="00846D77"/>
    <w:rsid w:val="00852480"/>
    <w:rsid w:val="00856632"/>
    <w:rsid w:val="00867308"/>
    <w:rsid w:val="0086788E"/>
    <w:rsid w:val="008B0543"/>
    <w:rsid w:val="008C0888"/>
    <w:rsid w:val="008C3505"/>
    <w:rsid w:val="008D30EA"/>
    <w:rsid w:val="008D55C8"/>
    <w:rsid w:val="008E20DE"/>
    <w:rsid w:val="008E524D"/>
    <w:rsid w:val="008F1770"/>
    <w:rsid w:val="008F7F9A"/>
    <w:rsid w:val="009013C5"/>
    <w:rsid w:val="00904EAF"/>
    <w:rsid w:val="009061A4"/>
    <w:rsid w:val="00912E02"/>
    <w:rsid w:val="00942024"/>
    <w:rsid w:val="00944550"/>
    <w:rsid w:val="0095310F"/>
    <w:rsid w:val="009550AD"/>
    <w:rsid w:val="009565D4"/>
    <w:rsid w:val="00967D7C"/>
    <w:rsid w:val="00977D73"/>
    <w:rsid w:val="0099262A"/>
    <w:rsid w:val="009A05F3"/>
    <w:rsid w:val="009B56DA"/>
    <w:rsid w:val="009D13BB"/>
    <w:rsid w:val="009D50EB"/>
    <w:rsid w:val="009E32F5"/>
    <w:rsid w:val="009E6279"/>
    <w:rsid w:val="009F2649"/>
    <w:rsid w:val="009F704C"/>
    <w:rsid w:val="00A0215D"/>
    <w:rsid w:val="00A06666"/>
    <w:rsid w:val="00A105E0"/>
    <w:rsid w:val="00A3018B"/>
    <w:rsid w:val="00A3128D"/>
    <w:rsid w:val="00A324EA"/>
    <w:rsid w:val="00A33A46"/>
    <w:rsid w:val="00A45B43"/>
    <w:rsid w:val="00A4794A"/>
    <w:rsid w:val="00A533DE"/>
    <w:rsid w:val="00A53E2B"/>
    <w:rsid w:val="00A5790F"/>
    <w:rsid w:val="00A817CE"/>
    <w:rsid w:val="00A8195F"/>
    <w:rsid w:val="00A928FA"/>
    <w:rsid w:val="00AA7B0B"/>
    <w:rsid w:val="00AB32CF"/>
    <w:rsid w:val="00AB5351"/>
    <w:rsid w:val="00AC59EB"/>
    <w:rsid w:val="00AD2235"/>
    <w:rsid w:val="00AE2D4C"/>
    <w:rsid w:val="00AE67F1"/>
    <w:rsid w:val="00B02599"/>
    <w:rsid w:val="00B14060"/>
    <w:rsid w:val="00B16B3C"/>
    <w:rsid w:val="00B25EE3"/>
    <w:rsid w:val="00B269D4"/>
    <w:rsid w:val="00B3357C"/>
    <w:rsid w:val="00B617D5"/>
    <w:rsid w:val="00B61C4A"/>
    <w:rsid w:val="00B61EC9"/>
    <w:rsid w:val="00B679AD"/>
    <w:rsid w:val="00B7744A"/>
    <w:rsid w:val="00B82D4D"/>
    <w:rsid w:val="00B87EE6"/>
    <w:rsid w:val="00B9014F"/>
    <w:rsid w:val="00B9260A"/>
    <w:rsid w:val="00B96ABD"/>
    <w:rsid w:val="00BF18DC"/>
    <w:rsid w:val="00C04B4F"/>
    <w:rsid w:val="00C13DE2"/>
    <w:rsid w:val="00C14408"/>
    <w:rsid w:val="00C14776"/>
    <w:rsid w:val="00C17F58"/>
    <w:rsid w:val="00C307E7"/>
    <w:rsid w:val="00C34A92"/>
    <w:rsid w:val="00C35829"/>
    <w:rsid w:val="00C370A7"/>
    <w:rsid w:val="00C57E90"/>
    <w:rsid w:val="00C62F1C"/>
    <w:rsid w:val="00C6380F"/>
    <w:rsid w:val="00C744A3"/>
    <w:rsid w:val="00C81DB5"/>
    <w:rsid w:val="00C900FF"/>
    <w:rsid w:val="00CB3FC8"/>
    <w:rsid w:val="00CB442A"/>
    <w:rsid w:val="00CD4B2E"/>
    <w:rsid w:val="00CD4DE4"/>
    <w:rsid w:val="00CD6527"/>
    <w:rsid w:val="00CD6B3F"/>
    <w:rsid w:val="00CE03F0"/>
    <w:rsid w:val="00CE3EA3"/>
    <w:rsid w:val="00CF3E63"/>
    <w:rsid w:val="00CF561E"/>
    <w:rsid w:val="00D143BA"/>
    <w:rsid w:val="00D20DD2"/>
    <w:rsid w:val="00D34EEE"/>
    <w:rsid w:val="00D37BAF"/>
    <w:rsid w:val="00D51B1E"/>
    <w:rsid w:val="00D96598"/>
    <w:rsid w:val="00D979EA"/>
    <w:rsid w:val="00DA02B9"/>
    <w:rsid w:val="00DA42EA"/>
    <w:rsid w:val="00DA7FEA"/>
    <w:rsid w:val="00DB269B"/>
    <w:rsid w:val="00DC02B5"/>
    <w:rsid w:val="00DD27D1"/>
    <w:rsid w:val="00DE221A"/>
    <w:rsid w:val="00DE2334"/>
    <w:rsid w:val="00DE5C1E"/>
    <w:rsid w:val="00DE5E88"/>
    <w:rsid w:val="00DF68F0"/>
    <w:rsid w:val="00DF6CDE"/>
    <w:rsid w:val="00E0113D"/>
    <w:rsid w:val="00E039CB"/>
    <w:rsid w:val="00E1423B"/>
    <w:rsid w:val="00E317E1"/>
    <w:rsid w:val="00E33231"/>
    <w:rsid w:val="00E5069C"/>
    <w:rsid w:val="00E6186E"/>
    <w:rsid w:val="00E72F03"/>
    <w:rsid w:val="00E7429A"/>
    <w:rsid w:val="00E75D89"/>
    <w:rsid w:val="00E84434"/>
    <w:rsid w:val="00EA0512"/>
    <w:rsid w:val="00EB30F5"/>
    <w:rsid w:val="00EB5C8B"/>
    <w:rsid w:val="00EC3CC1"/>
    <w:rsid w:val="00EC47CA"/>
    <w:rsid w:val="00ED263C"/>
    <w:rsid w:val="00ED2A92"/>
    <w:rsid w:val="00ED503D"/>
    <w:rsid w:val="00EE11FD"/>
    <w:rsid w:val="00EE1D07"/>
    <w:rsid w:val="00EE2206"/>
    <w:rsid w:val="00EE33FE"/>
    <w:rsid w:val="00F13235"/>
    <w:rsid w:val="00F1494E"/>
    <w:rsid w:val="00F23798"/>
    <w:rsid w:val="00F260AC"/>
    <w:rsid w:val="00F26DFB"/>
    <w:rsid w:val="00F27043"/>
    <w:rsid w:val="00F32C54"/>
    <w:rsid w:val="00F32E6E"/>
    <w:rsid w:val="00F369E1"/>
    <w:rsid w:val="00F40C00"/>
    <w:rsid w:val="00F4263A"/>
    <w:rsid w:val="00F47E96"/>
    <w:rsid w:val="00F50A3A"/>
    <w:rsid w:val="00F62A1E"/>
    <w:rsid w:val="00F64DB9"/>
    <w:rsid w:val="00F65513"/>
    <w:rsid w:val="00F85399"/>
    <w:rsid w:val="00F93183"/>
    <w:rsid w:val="00FA035F"/>
    <w:rsid w:val="00FA686C"/>
    <w:rsid w:val="00FA6932"/>
    <w:rsid w:val="00FB152D"/>
    <w:rsid w:val="00FB3972"/>
    <w:rsid w:val="00FB70DE"/>
    <w:rsid w:val="00FC2BD1"/>
    <w:rsid w:val="00FC7055"/>
    <w:rsid w:val="00FD17C2"/>
    <w:rsid w:val="00FD634F"/>
    <w:rsid w:val="00FE0A7C"/>
    <w:rsid w:val="00FE2611"/>
    <w:rsid w:val="00FF2067"/>
    <w:rsid w:val="00FF3FFA"/>
    <w:rsid w:val="00FF5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
    <w:qFormat/>
    <w:rsid w:val="00574572"/>
    <w:pPr>
      <w:keepNext/>
      <w:numPr>
        <w:ilvl w:val="1"/>
        <w:numId w:val="4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rsid w:val="000F27CC"/>
    <w:pPr>
      <w:numPr>
        <w:numId w:val="15"/>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0F27CC"/>
    <w:pPr>
      <w:spacing w:before="240"/>
    </w:pPr>
    <w:rPr>
      <w:b/>
    </w:rPr>
  </w:style>
  <w:style w:type="character" w:styleId="CommentReference">
    <w:name w:val="annotation reference"/>
    <w:basedOn w:val="DefaultParagraphFont"/>
    <w:semiHidden/>
    <w:rsid w:val="000F27CC"/>
    <w:rPr>
      <w:sz w:val="16"/>
    </w:rPr>
  </w:style>
  <w:style w:type="paragraph" w:styleId="TOC2">
    <w:name w:val="toc 2"/>
    <w:basedOn w:val="BodyText"/>
    <w:next w:val="BodyText"/>
    <w:uiPriority w:val="39"/>
    <w:rsid w:val="000F27CC"/>
    <w:pPr>
      <w:ind w:left="576"/>
    </w:pPr>
  </w:style>
  <w:style w:type="paragraph" w:styleId="TOC3">
    <w:name w:val="toc 3"/>
    <w:basedOn w:val="BodyText"/>
    <w:next w:val="BodyText"/>
    <w:uiPriority w:val="39"/>
    <w:rsid w:val="000F27CC"/>
    <w:pPr>
      <w:ind w:left="1152"/>
    </w:pPr>
  </w:style>
  <w:style w:type="paragraph" w:styleId="TOC4">
    <w:name w:val="toc 4"/>
    <w:basedOn w:val="BodyText"/>
    <w:next w:val="BodyText"/>
    <w:semiHidden/>
    <w:rsid w:val="000F27CC"/>
    <w:pPr>
      <w:ind w:left="1728"/>
    </w:pPr>
  </w:style>
  <w:style w:type="paragraph" w:styleId="TOC5">
    <w:name w:val="toc 5"/>
    <w:basedOn w:val="Normal"/>
    <w:next w:val="Normal"/>
    <w:autoRedefine/>
    <w:semiHidden/>
    <w:rsid w:val="000F27CC"/>
    <w:pPr>
      <w:ind w:left="960"/>
    </w:pPr>
  </w:style>
  <w:style w:type="paragraph" w:styleId="TOC6">
    <w:name w:val="toc 6"/>
    <w:basedOn w:val="Normal"/>
    <w:next w:val="Normal"/>
    <w:autoRedefine/>
    <w:semiHidden/>
    <w:rsid w:val="000F27CC"/>
    <w:pPr>
      <w:ind w:left="1200"/>
    </w:pPr>
  </w:style>
  <w:style w:type="paragraph" w:styleId="TOC7">
    <w:name w:val="toc 7"/>
    <w:basedOn w:val="Normal"/>
    <w:next w:val="Normal"/>
    <w:autoRedefine/>
    <w:semiHidden/>
    <w:rsid w:val="000F27CC"/>
    <w:pPr>
      <w:ind w:left="1440"/>
    </w:pPr>
  </w:style>
  <w:style w:type="paragraph" w:styleId="TOC8">
    <w:name w:val="toc 8"/>
    <w:basedOn w:val="Normal"/>
    <w:next w:val="Normal"/>
    <w:autoRedefine/>
    <w:semiHidden/>
    <w:rsid w:val="000F27CC"/>
    <w:pPr>
      <w:ind w:left="1680"/>
    </w:pPr>
  </w:style>
  <w:style w:type="paragraph" w:styleId="TOC9">
    <w:name w:val="toc 9"/>
    <w:basedOn w:val="Normal"/>
    <w:next w:val="Normal"/>
    <w:autoRedefine/>
    <w:semiHidden/>
    <w:rsid w:val="000F27CC"/>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rsid w:val="000F27CC"/>
    <w:pPr>
      <w:spacing w:after="120"/>
      <w:ind w:left="360" w:hanging="360"/>
    </w:pPr>
    <w:rPr>
      <w:sz w:val="20"/>
    </w:rPr>
  </w:style>
  <w:style w:type="paragraph" w:styleId="Index1">
    <w:name w:val="index 1"/>
    <w:basedOn w:val="Normal"/>
    <w:next w:val="Normal"/>
    <w:autoRedefine/>
    <w:semiHidden/>
    <w:rsid w:val="000F27CC"/>
    <w:pPr>
      <w:ind w:left="220" w:hanging="220"/>
    </w:pPr>
    <w:rPr>
      <w:sz w:val="20"/>
    </w:rPr>
  </w:style>
  <w:style w:type="paragraph" w:styleId="Index2">
    <w:name w:val="index 2"/>
    <w:basedOn w:val="Normal"/>
    <w:next w:val="Normal"/>
    <w:autoRedefine/>
    <w:semiHidden/>
    <w:rsid w:val="000F27CC"/>
    <w:pPr>
      <w:ind w:left="440" w:hanging="220"/>
    </w:pPr>
    <w:rPr>
      <w:sz w:val="20"/>
    </w:rPr>
  </w:style>
  <w:style w:type="paragraph" w:styleId="Index3">
    <w:name w:val="index 3"/>
    <w:basedOn w:val="Normal"/>
    <w:next w:val="Normal"/>
    <w:autoRedefine/>
    <w:semiHidden/>
    <w:rsid w:val="000F27CC"/>
    <w:pPr>
      <w:ind w:left="660" w:hanging="220"/>
    </w:pPr>
    <w:rPr>
      <w:sz w:val="20"/>
    </w:rPr>
  </w:style>
  <w:style w:type="paragraph" w:customStyle="1" w:styleId="Numbers">
    <w:name w:val="Numbers"/>
    <w:basedOn w:val="BodyText"/>
    <w:rsid w:val="000F27CC"/>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6C67AC"/>
    <w:rPr>
      <w:sz w:val="18"/>
    </w:rPr>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Default">
    <w:name w:val="Default"/>
    <w:rsid w:val="00F369E1"/>
    <w:pPr>
      <w:autoSpaceDE w:val="0"/>
      <w:autoSpaceDN w:val="0"/>
      <w:adjustRightInd w:val="0"/>
    </w:pPr>
    <w:rPr>
      <w:color w:val="000000"/>
      <w:sz w:val="24"/>
      <w:szCs w:val="24"/>
    </w:rPr>
  </w:style>
  <w:style w:type="character" w:customStyle="1" w:styleId="Heading2Char">
    <w:name w:val="Heading 2 Char"/>
    <w:basedOn w:val="DefaultParagraphFont"/>
    <w:link w:val="Heading2"/>
    <w:uiPriority w:val="9"/>
    <w:rsid w:val="00F40C00"/>
    <w:rPr>
      <w:rFonts w:ascii="Arial" w:hAnsi="Arial" w:cs="Arial"/>
      <w:b/>
      <w:bCs/>
      <w:iCs/>
      <w:color w:val="000000" w:themeColor="text1"/>
      <w:sz w:val="24"/>
      <w:szCs w:val="28"/>
      <w:shd w:val="clear" w:color="auto" w:fill="D0D3D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6C67AC"/>
    <w:rPr>
      <w:sz w:val="18"/>
    </w:rPr>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34616">
      <w:bodyDiv w:val="1"/>
      <w:marLeft w:val="0"/>
      <w:marRight w:val="0"/>
      <w:marTop w:val="0"/>
      <w:marBottom w:val="0"/>
      <w:divBdr>
        <w:top w:val="none" w:sz="0" w:space="0" w:color="auto"/>
        <w:left w:val="none" w:sz="0" w:space="0" w:color="auto"/>
        <w:bottom w:val="none" w:sz="0" w:space="0" w:color="auto"/>
        <w:right w:val="none" w:sz="0" w:space="0" w:color="auto"/>
      </w:divBdr>
    </w:div>
    <w:div w:id="1227187103">
      <w:bodyDiv w:val="1"/>
      <w:marLeft w:val="0"/>
      <w:marRight w:val="0"/>
      <w:marTop w:val="0"/>
      <w:marBottom w:val="0"/>
      <w:divBdr>
        <w:top w:val="none" w:sz="0" w:space="0" w:color="auto"/>
        <w:left w:val="none" w:sz="0" w:space="0" w:color="auto"/>
        <w:bottom w:val="none" w:sz="0" w:space="0" w:color="auto"/>
        <w:right w:val="none" w:sz="0" w:space="0" w:color="auto"/>
      </w:divBdr>
    </w:div>
    <w:div w:id="1453404919">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Report 7-15-2011</Template>
  <TotalTime>237</TotalTime>
  <Pages>18</Pages>
  <Words>4279</Words>
  <Characters>24392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28614</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Kimberly Francis</cp:lastModifiedBy>
  <cp:revision>19</cp:revision>
  <cp:lastPrinted>2011-10-27T18:46:00Z</cp:lastPrinted>
  <dcterms:created xsi:type="dcterms:W3CDTF">2011-12-10T01:12:00Z</dcterms:created>
  <dcterms:modified xsi:type="dcterms:W3CDTF">2011-12-10T22:28:00Z</dcterms:modified>
  <cp:category>Templates</cp:category>
</cp:coreProperties>
</file>