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30" w:rsidRPr="005F0BB0" w:rsidRDefault="00776830" w:rsidP="00776830">
      <w:pPr>
        <w:pageBreakBefore/>
        <w:jc w:val="center"/>
        <w:rPr>
          <w:b/>
        </w:rPr>
      </w:pPr>
      <w:r w:rsidRPr="005F0BB0">
        <w:rPr>
          <w:b/>
        </w:rPr>
        <w:t>SUPPORTING STATEMENT</w:t>
      </w:r>
    </w:p>
    <w:p w:rsidR="00776830" w:rsidRPr="005F0BB0" w:rsidRDefault="0044454A" w:rsidP="00776830">
      <w:pPr>
        <w:jc w:val="center"/>
        <w:rPr>
          <w:b/>
        </w:rPr>
      </w:pPr>
      <w:r w:rsidRPr="005F0BB0">
        <w:rPr>
          <w:b/>
        </w:rPr>
        <w:t xml:space="preserve">PRETEST OF THE </w:t>
      </w:r>
      <w:r w:rsidR="00776830" w:rsidRPr="005F0BB0">
        <w:rPr>
          <w:b/>
        </w:rPr>
        <w:t xml:space="preserve">ELWHA RIVER DAM REMOVAL AND FLOODPLAIN RESTORATION ECOSYSTEM SERVICE VALUATION PILOT </w:t>
      </w:r>
      <w:r w:rsidR="00400CA5" w:rsidRPr="005F0BB0">
        <w:rPr>
          <w:b/>
        </w:rPr>
        <w:t xml:space="preserve">PROJECT </w:t>
      </w:r>
      <w:r w:rsidR="00094690" w:rsidRPr="005F0BB0">
        <w:rPr>
          <w:b/>
        </w:rPr>
        <w:t>SURVEY</w:t>
      </w:r>
    </w:p>
    <w:p w:rsidR="00776830" w:rsidRPr="005F0BB0" w:rsidRDefault="00776830" w:rsidP="00776830">
      <w:pPr>
        <w:pStyle w:val="Heading7"/>
      </w:pPr>
      <w:r w:rsidRPr="005F0BB0">
        <w:t xml:space="preserve">OMB CONTROL NO. </w:t>
      </w:r>
      <w:r w:rsidR="00631FFE" w:rsidRPr="005F0BB0">
        <w:t>xxxx</w:t>
      </w:r>
      <w:r w:rsidRPr="005F0BB0">
        <w:t>-xxxx</w:t>
      </w:r>
    </w:p>
    <w:p w:rsidR="00776830" w:rsidRPr="005F0BB0" w:rsidRDefault="008E0A35" w:rsidP="00776830">
      <w:pPr>
        <w:pStyle w:val="TableTitle"/>
        <w:spacing w:after="240"/>
      </w:pPr>
      <w:r w:rsidRPr="005F0BB0">
        <w:t>B.</w:t>
      </w:r>
      <w:r w:rsidRPr="005F0BB0">
        <w:tab/>
      </w:r>
      <w:r w:rsidR="00776830" w:rsidRPr="005F0BB0">
        <w:t>COLLECTIONS OF INFORMATION EMPLOYING STATISTICAL METHODS</w:t>
      </w:r>
    </w:p>
    <w:p w:rsidR="00776830" w:rsidRPr="005F0BB0" w:rsidRDefault="00776830" w:rsidP="00707D9E">
      <w:pPr>
        <w:tabs>
          <w:tab w:val="left" w:pos="0"/>
        </w:tabs>
        <w:ind w:left="90" w:hanging="90"/>
        <w:rPr>
          <w:b/>
        </w:rPr>
      </w:pPr>
      <w:r w:rsidRPr="005F0BB0">
        <w:rPr>
          <w:b/>
        </w:rPr>
        <w:t>1.</w:t>
      </w:r>
      <w:r w:rsidRPr="005F0BB0">
        <w:rPr>
          <w:b/>
        </w:rPr>
        <w:tab/>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483007" w:rsidRPr="005F0BB0" w:rsidRDefault="00483007" w:rsidP="00483007">
      <w:r w:rsidRPr="005F0BB0">
        <w:t>The eligible study population is defined as follows: U.S., non-institutionalized adults age 18 and older</w:t>
      </w:r>
      <w:r w:rsidR="00675835" w:rsidRPr="005F0BB0">
        <w:t>;</w:t>
      </w:r>
      <w:r w:rsidRPr="005F0BB0">
        <w:t xml:space="preserve"> limited to residents of Washington and Oregon.</w:t>
      </w:r>
      <w:r w:rsidR="00BD7A36" w:rsidRPr="005F0BB0">
        <w:t xml:space="preserve"> However, for the pretest requested in this ICR, we do not expect to extrapolate any conclusions of the pretest to the sample frame.</w:t>
      </w:r>
      <w:r w:rsidR="00400CA5" w:rsidRPr="005F0BB0">
        <w:t xml:space="preserve"> </w:t>
      </w:r>
      <w:r w:rsidR="00BD7A36" w:rsidRPr="005F0BB0">
        <w:t xml:space="preserve">This pretest if for methods testing only. </w:t>
      </w:r>
    </w:p>
    <w:p w:rsidR="00483007" w:rsidRPr="005F0BB0" w:rsidRDefault="00483007" w:rsidP="00483007">
      <w:pPr>
        <w:rPr>
          <w:b/>
        </w:rPr>
      </w:pPr>
      <w:r w:rsidRPr="005F0BB0">
        <w:rPr>
          <w:b/>
        </w:rPr>
        <w:t>Sample size</w:t>
      </w:r>
      <w:r w:rsidR="00BA7B5C" w:rsidRPr="005F0BB0">
        <w:rPr>
          <w:b/>
        </w:rPr>
        <w:t xml:space="preserve"> and response rates</w:t>
      </w:r>
    </w:p>
    <w:p w:rsidR="00483007" w:rsidRPr="005F0BB0" w:rsidRDefault="00483007" w:rsidP="00483007">
      <w:r w:rsidRPr="005F0BB0">
        <w:t xml:space="preserve">For the first wave of the pretest, KN will send the survey to </w:t>
      </w:r>
      <w:r w:rsidR="00364542">
        <w:t>a</w:t>
      </w:r>
      <w:r w:rsidRPr="005F0BB0">
        <w:t xml:space="preserve"> sample of </w:t>
      </w:r>
      <w:r w:rsidR="00364542">
        <w:t>2,188</w:t>
      </w:r>
      <w:r w:rsidR="00636180" w:rsidRPr="005F0BB0">
        <w:t xml:space="preserve"> </w:t>
      </w:r>
      <w:r w:rsidRPr="005F0BB0">
        <w:t>panel members in Oregon and Washington</w:t>
      </w:r>
      <w:r w:rsidR="00636180" w:rsidRPr="005F0BB0">
        <w:t>. It is anticipated that KN will achieve approximately a 60%</w:t>
      </w:r>
      <w:r w:rsidR="00400CA5" w:rsidRPr="005F0BB0">
        <w:t xml:space="preserve"> participation</w:t>
      </w:r>
      <w:r w:rsidR="00636180" w:rsidRPr="005F0BB0">
        <w:t xml:space="preserve"> rate for </w:t>
      </w:r>
      <w:r w:rsidRPr="005F0BB0">
        <w:t>a</w:t>
      </w:r>
      <w:r w:rsidR="00675835" w:rsidRPr="005F0BB0">
        <w:t>pproximately</w:t>
      </w:r>
      <w:r w:rsidR="008E0A35" w:rsidRPr="005F0BB0">
        <w:t xml:space="preserve"> 1</w:t>
      </w:r>
      <w:r w:rsidR="00364542">
        <w:t>,313</w:t>
      </w:r>
      <w:r w:rsidR="008E0A35" w:rsidRPr="005F0BB0">
        <w:t> </w:t>
      </w:r>
      <w:r w:rsidRPr="005F0BB0">
        <w:t xml:space="preserve">completed surveys. </w:t>
      </w:r>
    </w:p>
    <w:p w:rsidR="005A483F" w:rsidRPr="005F0BB0" w:rsidRDefault="005A483F" w:rsidP="005A483F">
      <w:pPr>
        <w:pStyle w:val="NormalWeb"/>
        <w:spacing w:before="240" w:beforeAutospacing="0" w:after="120" w:afterAutospacing="0"/>
        <w:rPr>
          <w:szCs w:val="20"/>
        </w:rPr>
      </w:pPr>
      <w:r w:rsidRPr="005F0BB0">
        <w:rPr>
          <w:szCs w:val="20"/>
        </w:rPr>
        <w:t>The sample size for the pilot study must be sufficiently large to allow us to address the following questions:</w:t>
      </w:r>
    </w:p>
    <w:p w:rsidR="005A483F" w:rsidRPr="005F0BB0" w:rsidRDefault="005A483F" w:rsidP="005A483F">
      <w:pPr>
        <w:pStyle w:val="NormalWeb"/>
        <w:numPr>
          <w:ilvl w:val="0"/>
          <w:numId w:val="21"/>
        </w:numPr>
        <w:spacing w:before="240" w:beforeAutospacing="0" w:after="120" w:afterAutospacing="0"/>
        <w:ind w:left="720"/>
        <w:rPr>
          <w:szCs w:val="20"/>
        </w:rPr>
      </w:pPr>
      <w:r w:rsidRPr="005F0BB0">
        <w:rPr>
          <w:szCs w:val="20"/>
        </w:rPr>
        <w:t>Can statistical efficiency be improved by using the independent choice question format while providing WTP estimates consistent with the traditional format?</w:t>
      </w:r>
    </w:p>
    <w:p w:rsidR="005A483F" w:rsidRPr="005F0BB0" w:rsidRDefault="005A483F" w:rsidP="005A483F">
      <w:pPr>
        <w:pStyle w:val="NormalWeb"/>
        <w:numPr>
          <w:ilvl w:val="0"/>
          <w:numId w:val="21"/>
        </w:numPr>
        <w:spacing w:before="240" w:beforeAutospacing="0" w:after="120" w:afterAutospacing="0"/>
        <w:ind w:left="720"/>
        <w:rPr>
          <w:szCs w:val="20"/>
        </w:rPr>
      </w:pPr>
      <w:r w:rsidRPr="005F0BB0">
        <w:rPr>
          <w:szCs w:val="20"/>
        </w:rPr>
        <w:t>Does the market for restoration of ecosystem services on the Elwha River extend beyond Western Washington, i.e., into Eastern Washington and Oregon? How do responses differ among these regions?</w:t>
      </w:r>
    </w:p>
    <w:p w:rsidR="005A483F" w:rsidRPr="005F0BB0" w:rsidRDefault="005A483F" w:rsidP="005A483F">
      <w:pPr>
        <w:pStyle w:val="NormalWeb"/>
        <w:numPr>
          <w:ilvl w:val="0"/>
          <w:numId w:val="21"/>
        </w:numPr>
        <w:spacing w:before="240" w:beforeAutospacing="0" w:after="120" w:afterAutospacing="0"/>
        <w:ind w:left="720"/>
        <w:rPr>
          <w:szCs w:val="20"/>
        </w:rPr>
      </w:pPr>
      <w:r w:rsidRPr="005F0BB0">
        <w:rPr>
          <w:szCs w:val="20"/>
        </w:rPr>
        <w:t xml:space="preserve">Are the bid amounts appropriate for this policy question? Is the maximum sufficiently high to return relatively few positive votes, and are the midpoints of the range receiving an expected number of votes? </w:t>
      </w:r>
    </w:p>
    <w:p w:rsidR="005A483F" w:rsidRPr="005F0BB0" w:rsidRDefault="005A483F" w:rsidP="005A483F">
      <w:pPr>
        <w:pStyle w:val="NormalWeb"/>
        <w:spacing w:before="240" w:beforeAutospacing="0" w:after="120" w:afterAutospacing="0"/>
        <w:rPr>
          <w:szCs w:val="20"/>
        </w:rPr>
      </w:pPr>
      <w:r w:rsidRPr="005F0BB0">
        <w:rPr>
          <w:szCs w:val="20"/>
        </w:rPr>
        <w:t xml:space="preserve">The pilot study will be stratified in two dimensions – geography and choice question format – leaving approximately 394 responses per choice question format in Washington and 130 responses per choice question format in Oregon per the sample allocation as described in Section B2. The traditional choice question format has four versions to cover all combinations for a main effects orthogonal design, asking respondents three choice questions apiece. </w:t>
      </w:r>
      <w:r w:rsidR="00364542">
        <w:rPr>
          <w:szCs w:val="20"/>
        </w:rPr>
        <w:t>The survey versions are structured so that no respondent will receive the same scenarios back to back.</w:t>
      </w:r>
    </w:p>
    <w:p w:rsidR="002E3BE4" w:rsidRPr="005F0BB0" w:rsidRDefault="005A483F" w:rsidP="005A483F">
      <w:pPr>
        <w:pStyle w:val="NormalWeb"/>
        <w:spacing w:before="240" w:beforeAutospacing="0" w:after="120" w:afterAutospacing="0"/>
        <w:rPr>
          <w:szCs w:val="20"/>
        </w:rPr>
      </w:pPr>
      <w:r w:rsidRPr="005F0BB0">
        <w:rPr>
          <w:szCs w:val="20"/>
        </w:rPr>
        <w:lastRenderedPageBreak/>
        <w:t>From the pilot study, we want to understand WTP for the salmon program and forest program, and identify whether the geography or choice question formats yield different WTP estimates. We conducted a power analysis assuming a simple conditional logit model with no covariates other than the level of salmon restoration, forest restoration, and cost. The following table summarizes the expected power to detect differences in WTP values between the two choice question formats over a range of sample sizes, at an alpha of 5%. Because we are interested in generating robust WTP estimates at the state level, the results presented in this table should be compared to the sample allocation within each state.</w:t>
      </w:r>
    </w:p>
    <w:tbl>
      <w:tblPr>
        <w:tblStyle w:val="TableGrid"/>
        <w:tblW w:w="0" w:type="auto"/>
        <w:tblInd w:w="720" w:type="dxa"/>
        <w:tblLook w:val="04A0" w:firstRow="1" w:lastRow="0" w:firstColumn="1" w:lastColumn="0" w:noHBand="0" w:noVBand="1"/>
      </w:tblPr>
      <w:tblGrid>
        <w:gridCol w:w="2702"/>
        <w:gridCol w:w="2717"/>
        <w:gridCol w:w="2717"/>
      </w:tblGrid>
      <w:tr w:rsidR="002E3BE4" w:rsidRPr="005F0BB0" w:rsidTr="00CF6713">
        <w:tc>
          <w:tcPr>
            <w:tcW w:w="8136" w:type="dxa"/>
            <w:gridSpan w:val="3"/>
          </w:tcPr>
          <w:p w:rsidR="002E3BE4" w:rsidRPr="005F0BB0" w:rsidRDefault="002E3BE4" w:rsidP="00364542">
            <w:pPr>
              <w:pStyle w:val="NormalWeb"/>
              <w:spacing w:before="0" w:beforeAutospacing="0" w:after="0" w:afterAutospacing="0"/>
            </w:pPr>
            <w:r w:rsidRPr="005F0BB0">
              <w:t xml:space="preserve">Table </w:t>
            </w:r>
            <w:r w:rsidR="00364542">
              <w:t>1</w:t>
            </w:r>
            <w:r w:rsidRPr="005F0BB0">
              <w:t>. Predicted power of detecting a difference in WTP estimates between choice question formats, by sample size.</w:t>
            </w:r>
          </w:p>
        </w:tc>
      </w:tr>
      <w:tr w:rsidR="002E3BE4" w:rsidRPr="005F0BB0" w:rsidTr="00CF6713">
        <w:tc>
          <w:tcPr>
            <w:tcW w:w="2702" w:type="dxa"/>
          </w:tcPr>
          <w:p w:rsidR="002E3BE4" w:rsidRPr="005F0BB0" w:rsidRDefault="002E3BE4" w:rsidP="005F0BB0">
            <w:pPr>
              <w:pStyle w:val="NormalWeb"/>
              <w:spacing w:before="0" w:beforeAutospacing="0" w:after="0" w:afterAutospacing="0"/>
              <w:jc w:val="center"/>
            </w:pPr>
            <w:r w:rsidRPr="005F0BB0">
              <w:t>Number of responses for each choice format</w:t>
            </w:r>
          </w:p>
        </w:tc>
        <w:tc>
          <w:tcPr>
            <w:tcW w:w="2717" w:type="dxa"/>
          </w:tcPr>
          <w:p w:rsidR="002E3BE4" w:rsidRPr="005F0BB0" w:rsidRDefault="002E3BE4" w:rsidP="005F0BB0">
            <w:pPr>
              <w:pStyle w:val="NormalWeb"/>
              <w:spacing w:before="0" w:beforeAutospacing="0" w:after="0" w:afterAutospacing="0"/>
              <w:jc w:val="center"/>
            </w:pPr>
            <w:r w:rsidRPr="005F0BB0">
              <w:t>Power to estimate WTP for forest restoration</w:t>
            </w:r>
          </w:p>
        </w:tc>
        <w:tc>
          <w:tcPr>
            <w:tcW w:w="2717" w:type="dxa"/>
          </w:tcPr>
          <w:p w:rsidR="002E3BE4" w:rsidRPr="005F0BB0" w:rsidRDefault="002E3BE4" w:rsidP="005F0BB0">
            <w:pPr>
              <w:pStyle w:val="NormalWeb"/>
              <w:spacing w:before="0" w:beforeAutospacing="0" w:after="0" w:afterAutospacing="0"/>
              <w:jc w:val="center"/>
            </w:pPr>
            <w:r w:rsidRPr="005F0BB0">
              <w:t>Power to estimate WTP for salmon restoration</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20</w:t>
            </w:r>
          </w:p>
        </w:tc>
        <w:tc>
          <w:tcPr>
            <w:tcW w:w="2717" w:type="dxa"/>
            <w:vAlign w:val="bottom"/>
          </w:tcPr>
          <w:p w:rsidR="00AA1C93" w:rsidRPr="005F0BB0" w:rsidRDefault="00AA1C93" w:rsidP="005F0BB0">
            <w:pPr>
              <w:spacing w:after="0"/>
              <w:jc w:val="center"/>
              <w:rPr>
                <w:sz w:val="22"/>
                <w:szCs w:val="22"/>
              </w:rPr>
            </w:pPr>
            <w:r w:rsidRPr="005F0BB0">
              <w:rPr>
                <w:sz w:val="22"/>
                <w:szCs w:val="22"/>
              </w:rPr>
              <w:t>45%</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69%</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40</w:t>
            </w:r>
          </w:p>
        </w:tc>
        <w:tc>
          <w:tcPr>
            <w:tcW w:w="2717" w:type="dxa"/>
            <w:vAlign w:val="bottom"/>
          </w:tcPr>
          <w:p w:rsidR="00AA1C93" w:rsidRPr="005F0BB0" w:rsidRDefault="00AA1C93" w:rsidP="005F0BB0">
            <w:pPr>
              <w:spacing w:after="0"/>
              <w:jc w:val="center"/>
              <w:rPr>
                <w:sz w:val="22"/>
                <w:szCs w:val="22"/>
              </w:rPr>
            </w:pPr>
            <w:r w:rsidRPr="005F0BB0">
              <w:rPr>
                <w:sz w:val="22"/>
                <w:szCs w:val="22"/>
              </w:rPr>
              <w:t>55%</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74%</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60</w:t>
            </w:r>
          </w:p>
        </w:tc>
        <w:tc>
          <w:tcPr>
            <w:tcW w:w="2717" w:type="dxa"/>
            <w:vAlign w:val="bottom"/>
          </w:tcPr>
          <w:p w:rsidR="00AA1C93" w:rsidRPr="005F0BB0" w:rsidRDefault="00AA1C93" w:rsidP="005F0BB0">
            <w:pPr>
              <w:spacing w:after="0"/>
              <w:jc w:val="center"/>
              <w:rPr>
                <w:sz w:val="22"/>
                <w:szCs w:val="22"/>
              </w:rPr>
            </w:pPr>
            <w:r w:rsidRPr="005F0BB0">
              <w:rPr>
                <w:sz w:val="22"/>
                <w:szCs w:val="22"/>
              </w:rPr>
              <w:t>61%</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77%</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80</w:t>
            </w:r>
          </w:p>
        </w:tc>
        <w:tc>
          <w:tcPr>
            <w:tcW w:w="2717" w:type="dxa"/>
            <w:vAlign w:val="bottom"/>
          </w:tcPr>
          <w:p w:rsidR="00AA1C93" w:rsidRPr="005F0BB0" w:rsidRDefault="00AA1C93" w:rsidP="005F0BB0">
            <w:pPr>
              <w:spacing w:after="0"/>
              <w:jc w:val="center"/>
              <w:rPr>
                <w:sz w:val="22"/>
                <w:szCs w:val="22"/>
              </w:rPr>
            </w:pPr>
            <w:r w:rsidRPr="005F0BB0">
              <w:rPr>
                <w:sz w:val="22"/>
                <w:szCs w:val="22"/>
              </w:rPr>
              <w:t>65%</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79%</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100</w:t>
            </w:r>
          </w:p>
        </w:tc>
        <w:tc>
          <w:tcPr>
            <w:tcW w:w="2717" w:type="dxa"/>
            <w:vAlign w:val="bottom"/>
          </w:tcPr>
          <w:p w:rsidR="00AA1C93" w:rsidRPr="005F0BB0" w:rsidRDefault="00AA1C93" w:rsidP="005F0BB0">
            <w:pPr>
              <w:spacing w:after="0"/>
              <w:jc w:val="center"/>
              <w:rPr>
                <w:sz w:val="22"/>
                <w:szCs w:val="22"/>
              </w:rPr>
            </w:pPr>
            <w:r w:rsidRPr="005F0BB0">
              <w:rPr>
                <w:sz w:val="22"/>
                <w:szCs w:val="22"/>
              </w:rPr>
              <w:t>68%</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81%</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120</w:t>
            </w:r>
          </w:p>
        </w:tc>
        <w:tc>
          <w:tcPr>
            <w:tcW w:w="2717" w:type="dxa"/>
            <w:vAlign w:val="bottom"/>
          </w:tcPr>
          <w:p w:rsidR="00AA1C93" w:rsidRPr="005F0BB0" w:rsidRDefault="00AA1C93" w:rsidP="005F0BB0">
            <w:pPr>
              <w:spacing w:after="0"/>
              <w:jc w:val="center"/>
              <w:rPr>
                <w:sz w:val="22"/>
                <w:szCs w:val="22"/>
              </w:rPr>
            </w:pPr>
            <w:r w:rsidRPr="005F0BB0">
              <w:rPr>
                <w:sz w:val="22"/>
                <w:szCs w:val="22"/>
              </w:rPr>
              <w:t>70%</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82%</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140</w:t>
            </w:r>
          </w:p>
        </w:tc>
        <w:tc>
          <w:tcPr>
            <w:tcW w:w="2717" w:type="dxa"/>
            <w:vAlign w:val="bottom"/>
          </w:tcPr>
          <w:p w:rsidR="00AA1C93" w:rsidRPr="005F0BB0" w:rsidRDefault="00AA1C93" w:rsidP="005F0BB0">
            <w:pPr>
              <w:spacing w:after="0"/>
              <w:jc w:val="center"/>
              <w:rPr>
                <w:sz w:val="22"/>
                <w:szCs w:val="22"/>
              </w:rPr>
            </w:pPr>
            <w:r w:rsidRPr="005F0BB0">
              <w:rPr>
                <w:sz w:val="22"/>
                <w:szCs w:val="22"/>
              </w:rPr>
              <w:t>72%</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83%</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160</w:t>
            </w:r>
          </w:p>
        </w:tc>
        <w:tc>
          <w:tcPr>
            <w:tcW w:w="2717" w:type="dxa"/>
            <w:vAlign w:val="bottom"/>
          </w:tcPr>
          <w:p w:rsidR="00AA1C93" w:rsidRPr="005F0BB0" w:rsidRDefault="00AA1C93" w:rsidP="005F0BB0">
            <w:pPr>
              <w:spacing w:after="0"/>
              <w:jc w:val="center"/>
              <w:rPr>
                <w:sz w:val="22"/>
                <w:szCs w:val="22"/>
              </w:rPr>
            </w:pPr>
            <w:r w:rsidRPr="005F0BB0">
              <w:rPr>
                <w:sz w:val="22"/>
                <w:szCs w:val="22"/>
              </w:rPr>
              <w:t>74%</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84%</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180</w:t>
            </w:r>
          </w:p>
        </w:tc>
        <w:tc>
          <w:tcPr>
            <w:tcW w:w="2717" w:type="dxa"/>
            <w:vAlign w:val="bottom"/>
          </w:tcPr>
          <w:p w:rsidR="00AA1C93" w:rsidRPr="005F0BB0" w:rsidRDefault="00AA1C93" w:rsidP="005F0BB0">
            <w:pPr>
              <w:spacing w:after="0"/>
              <w:jc w:val="center"/>
              <w:rPr>
                <w:sz w:val="22"/>
                <w:szCs w:val="22"/>
              </w:rPr>
            </w:pPr>
            <w:r w:rsidRPr="005F0BB0">
              <w:rPr>
                <w:sz w:val="22"/>
                <w:szCs w:val="22"/>
              </w:rPr>
              <w:t>75%</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85%</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200</w:t>
            </w:r>
          </w:p>
        </w:tc>
        <w:tc>
          <w:tcPr>
            <w:tcW w:w="2717" w:type="dxa"/>
            <w:vAlign w:val="bottom"/>
          </w:tcPr>
          <w:p w:rsidR="00AA1C93" w:rsidRPr="005F0BB0" w:rsidRDefault="00AA1C93" w:rsidP="005F0BB0">
            <w:pPr>
              <w:spacing w:after="0"/>
              <w:jc w:val="center"/>
              <w:rPr>
                <w:sz w:val="22"/>
                <w:szCs w:val="22"/>
              </w:rPr>
            </w:pPr>
            <w:r w:rsidRPr="005F0BB0">
              <w:rPr>
                <w:sz w:val="22"/>
                <w:szCs w:val="22"/>
              </w:rPr>
              <w:t>77%</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86%</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220</w:t>
            </w:r>
          </w:p>
        </w:tc>
        <w:tc>
          <w:tcPr>
            <w:tcW w:w="2717" w:type="dxa"/>
            <w:vAlign w:val="bottom"/>
          </w:tcPr>
          <w:p w:rsidR="00AA1C93" w:rsidRPr="005F0BB0" w:rsidRDefault="00AA1C93" w:rsidP="005F0BB0">
            <w:pPr>
              <w:spacing w:after="0"/>
              <w:jc w:val="center"/>
              <w:rPr>
                <w:sz w:val="22"/>
                <w:szCs w:val="22"/>
              </w:rPr>
            </w:pPr>
            <w:r w:rsidRPr="005F0BB0">
              <w:rPr>
                <w:sz w:val="22"/>
                <w:szCs w:val="22"/>
              </w:rPr>
              <w:t>78%</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86%</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240</w:t>
            </w:r>
          </w:p>
        </w:tc>
        <w:tc>
          <w:tcPr>
            <w:tcW w:w="2717" w:type="dxa"/>
            <w:vAlign w:val="bottom"/>
          </w:tcPr>
          <w:p w:rsidR="00AA1C93" w:rsidRPr="005F0BB0" w:rsidRDefault="00AA1C93" w:rsidP="005F0BB0">
            <w:pPr>
              <w:spacing w:after="0"/>
              <w:jc w:val="center"/>
              <w:rPr>
                <w:sz w:val="22"/>
                <w:szCs w:val="22"/>
              </w:rPr>
            </w:pPr>
            <w:r w:rsidRPr="005F0BB0">
              <w:rPr>
                <w:sz w:val="22"/>
                <w:szCs w:val="22"/>
              </w:rPr>
              <w:t>79%</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87%</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260</w:t>
            </w:r>
          </w:p>
        </w:tc>
        <w:tc>
          <w:tcPr>
            <w:tcW w:w="2717" w:type="dxa"/>
            <w:vAlign w:val="bottom"/>
          </w:tcPr>
          <w:p w:rsidR="00AA1C93" w:rsidRPr="005F0BB0" w:rsidRDefault="00AA1C93" w:rsidP="005F0BB0">
            <w:pPr>
              <w:spacing w:after="0"/>
              <w:jc w:val="center"/>
              <w:rPr>
                <w:sz w:val="22"/>
                <w:szCs w:val="22"/>
              </w:rPr>
            </w:pPr>
            <w:r w:rsidRPr="005F0BB0">
              <w:rPr>
                <w:sz w:val="22"/>
                <w:szCs w:val="22"/>
              </w:rPr>
              <w:t>80%</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88%</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280</w:t>
            </w:r>
          </w:p>
        </w:tc>
        <w:tc>
          <w:tcPr>
            <w:tcW w:w="2717" w:type="dxa"/>
            <w:vAlign w:val="bottom"/>
          </w:tcPr>
          <w:p w:rsidR="00AA1C93" w:rsidRPr="005F0BB0" w:rsidRDefault="00AA1C93" w:rsidP="005F0BB0">
            <w:pPr>
              <w:spacing w:after="0"/>
              <w:jc w:val="center"/>
              <w:rPr>
                <w:sz w:val="22"/>
                <w:szCs w:val="22"/>
              </w:rPr>
            </w:pPr>
            <w:r w:rsidRPr="005F0BB0">
              <w:rPr>
                <w:sz w:val="22"/>
                <w:szCs w:val="22"/>
              </w:rPr>
              <w:t>81%</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88%</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300</w:t>
            </w:r>
          </w:p>
        </w:tc>
        <w:tc>
          <w:tcPr>
            <w:tcW w:w="2717" w:type="dxa"/>
            <w:vAlign w:val="bottom"/>
          </w:tcPr>
          <w:p w:rsidR="00AA1C93" w:rsidRPr="005F0BB0" w:rsidRDefault="00AA1C93" w:rsidP="005F0BB0">
            <w:pPr>
              <w:spacing w:after="0"/>
              <w:jc w:val="center"/>
              <w:rPr>
                <w:sz w:val="22"/>
                <w:szCs w:val="22"/>
              </w:rPr>
            </w:pPr>
            <w:r w:rsidRPr="005F0BB0">
              <w:rPr>
                <w:sz w:val="22"/>
                <w:szCs w:val="22"/>
              </w:rPr>
              <w:t>81%</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89%</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320</w:t>
            </w:r>
          </w:p>
        </w:tc>
        <w:tc>
          <w:tcPr>
            <w:tcW w:w="2717" w:type="dxa"/>
            <w:vAlign w:val="bottom"/>
          </w:tcPr>
          <w:p w:rsidR="00AA1C93" w:rsidRPr="005F0BB0" w:rsidRDefault="00AA1C93" w:rsidP="005F0BB0">
            <w:pPr>
              <w:spacing w:after="0"/>
              <w:jc w:val="center"/>
              <w:rPr>
                <w:sz w:val="22"/>
                <w:szCs w:val="22"/>
              </w:rPr>
            </w:pPr>
            <w:r w:rsidRPr="005F0BB0">
              <w:rPr>
                <w:sz w:val="22"/>
                <w:szCs w:val="22"/>
              </w:rPr>
              <w:t>82%</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89%</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340</w:t>
            </w:r>
          </w:p>
        </w:tc>
        <w:tc>
          <w:tcPr>
            <w:tcW w:w="2717" w:type="dxa"/>
            <w:vAlign w:val="bottom"/>
          </w:tcPr>
          <w:p w:rsidR="00AA1C93" w:rsidRPr="005F0BB0" w:rsidRDefault="00AA1C93" w:rsidP="005F0BB0">
            <w:pPr>
              <w:spacing w:after="0"/>
              <w:jc w:val="center"/>
              <w:rPr>
                <w:sz w:val="22"/>
                <w:szCs w:val="22"/>
              </w:rPr>
            </w:pPr>
            <w:r w:rsidRPr="005F0BB0">
              <w:rPr>
                <w:sz w:val="22"/>
                <w:szCs w:val="22"/>
              </w:rPr>
              <w:t>82%</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90%</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360</w:t>
            </w:r>
          </w:p>
        </w:tc>
        <w:tc>
          <w:tcPr>
            <w:tcW w:w="2717" w:type="dxa"/>
            <w:vAlign w:val="bottom"/>
          </w:tcPr>
          <w:p w:rsidR="00AA1C93" w:rsidRPr="005F0BB0" w:rsidRDefault="00AA1C93" w:rsidP="005F0BB0">
            <w:pPr>
              <w:spacing w:after="0"/>
              <w:jc w:val="center"/>
              <w:rPr>
                <w:sz w:val="22"/>
                <w:szCs w:val="22"/>
              </w:rPr>
            </w:pPr>
            <w:r w:rsidRPr="005F0BB0">
              <w:rPr>
                <w:sz w:val="22"/>
                <w:szCs w:val="22"/>
              </w:rPr>
              <w:t>83%</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90%</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380</w:t>
            </w:r>
          </w:p>
        </w:tc>
        <w:tc>
          <w:tcPr>
            <w:tcW w:w="2717" w:type="dxa"/>
            <w:vAlign w:val="bottom"/>
          </w:tcPr>
          <w:p w:rsidR="00AA1C93" w:rsidRPr="005F0BB0" w:rsidRDefault="00AA1C93" w:rsidP="005F0BB0">
            <w:pPr>
              <w:spacing w:after="0"/>
              <w:jc w:val="center"/>
              <w:rPr>
                <w:sz w:val="22"/>
                <w:szCs w:val="22"/>
              </w:rPr>
            </w:pPr>
            <w:r w:rsidRPr="005F0BB0">
              <w:rPr>
                <w:sz w:val="22"/>
                <w:szCs w:val="22"/>
              </w:rPr>
              <w:t>84%</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90%</w:t>
            </w:r>
          </w:p>
        </w:tc>
      </w:tr>
      <w:tr w:rsidR="00AA1C93" w:rsidRPr="005F0BB0" w:rsidTr="00CF6713">
        <w:tc>
          <w:tcPr>
            <w:tcW w:w="2702" w:type="dxa"/>
            <w:vAlign w:val="bottom"/>
          </w:tcPr>
          <w:p w:rsidR="00AA1C93" w:rsidRPr="005F0BB0" w:rsidRDefault="00AA1C93" w:rsidP="005F0BB0">
            <w:pPr>
              <w:spacing w:after="0"/>
              <w:jc w:val="center"/>
              <w:rPr>
                <w:sz w:val="22"/>
                <w:szCs w:val="22"/>
              </w:rPr>
            </w:pPr>
            <w:r w:rsidRPr="005F0BB0">
              <w:rPr>
                <w:sz w:val="22"/>
                <w:szCs w:val="22"/>
              </w:rPr>
              <w:t>400</w:t>
            </w:r>
          </w:p>
        </w:tc>
        <w:tc>
          <w:tcPr>
            <w:tcW w:w="2717" w:type="dxa"/>
            <w:vAlign w:val="bottom"/>
          </w:tcPr>
          <w:p w:rsidR="00AA1C93" w:rsidRPr="005F0BB0" w:rsidRDefault="00AA1C93" w:rsidP="005F0BB0">
            <w:pPr>
              <w:spacing w:after="0"/>
              <w:jc w:val="center"/>
              <w:rPr>
                <w:sz w:val="22"/>
                <w:szCs w:val="22"/>
              </w:rPr>
            </w:pPr>
            <w:r w:rsidRPr="005F0BB0">
              <w:rPr>
                <w:sz w:val="22"/>
                <w:szCs w:val="22"/>
              </w:rPr>
              <w:t>84%</w:t>
            </w:r>
          </w:p>
        </w:tc>
        <w:tc>
          <w:tcPr>
            <w:tcW w:w="2717" w:type="dxa"/>
            <w:vAlign w:val="bottom"/>
          </w:tcPr>
          <w:p w:rsidR="00AA1C93" w:rsidRPr="005F0BB0" w:rsidRDefault="00AA1C93" w:rsidP="005F0BB0">
            <w:pPr>
              <w:spacing w:after="0"/>
              <w:jc w:val="center"/>
              <w:rPr>
                <w:sz w:val="22"/>
                <w:szCs w:val="22"/>
              </w:rPr>
            </w:pPr>
            <w:r>
              <w:rPr>
                <w:rFonts w:ascii="Calibri" w:hAnsi="Calibri"/>
                <w:color w:val="000000"/>
                <w:sz w:val="22"/>
                <w:szCs w:val="22"/>
              </w:rPr>
              <w:t>91%</w:t>
            </w:r>
          </w:p>
        </w:tc>
      </w:tr>
    </w:tbl>
    <w:p w:rsidR="005A483F" w:rsidRPr="005F0BB0" w:rsidRDefault="005A483F" w:rsidP="005F0BB0">
      <w:pPr>
        <w:pStyle w:val="NormalWeb"/>
        <w:spacing w:before="240" w:beforeAutospacing="0" w:after="120" w:afterAutospacing="0"/>
        <w:rPr>
          <w:szCs w:val="20"/>
        </w:rPr>
      </w:pPr>
      <w:r w:rsidRPr="005F0BB0">
        <w:rPr>
          <w:szCs w:val="20"/>
        </w:rPr>
        <w:t xml:space="preserve">We expect to achieve 80% power at approximately 260 responses for forests and approximately </w:t>
      </w:r>
      <w:r w:rsidR="001D6EE1">
        <w:rPr>
          <w:szCs w:val="20"/>
        </w:rPr>
        <w:t>90</w:t>
      </w:r>
      <w:r w:rsidR="001D6EE1" w:rsidRPr="005F0BB0">
        <w:rPr>
          <w:szCs w:val="20"/>
        </w:rPr>
        <w:t xml:space="preserve"> </w:t>
      </w:r>
      <w:r w:rsidRPr="005F0BB0">
        <w:rPr>
          <w:szCs w:val="20"/>
        </w:rPr>
        <w:t xml:space="preserve">responses for salmon. This indicates that we will likely be able to independently compare salmon WTP estimates for each choice format within each state, but will have to pool the responses across states to compare forest WTP estimates. </w:t>
      </w:r>
    </w:p>
    <w:p w:rsidR="002E3BE4" w:rsidRPr="005F0BB0" w:rsidRDefault="005A483F" w:rsidP="002E3BE4">
      <w:r w:rsidRPr="005F0BB0">
        <w:t xml:space="preserve">Given these power analysis results, plus our interest in evaluating the effectiveness of our bid design within geographic strata and choice question format, we anticipate that the </w:t>
      </w:r>
      <w:r w:rsidR="00AA1C93">
        <w:t>1,313</w:t>
      </w:r>
      <w:r w:rsidRPr="005F0BB0">
        <w:t xml:space="preserve"> responses for the pilot will be sufficient. A smaller sample size would reduce our ability to robustly compare WTP estimates across the different strata.</w:t>
      </w:r>
    </w:p>
    <w:p w:rsidR="00A159B7" w:rsidRPr="005F0BB0" w:rsidRDefault="00483007" w:rsidP="00483007">
      <w:r w:rsidRPr="005F0BB0">
        <w:t xml:space="preserve">For the second wave of the pretest, about </w:t>
      </w:r>
      <w:r w:rsidR="00AA1C93">
        <w:t>1,042</w:t>
      </w:r>
      <w:r w:rsidR="00AA1C93" w:rsidRPr="005F0BB0">
        <w:t xml:space="preserve"> </w:t>
      </w:r>
      <w:r w:rsidRPr="005F0BB0">
        <w:t xml:space="preserve">survey instruments will be sent out to </w:t>
      </w:r>
      <w:r w:rsidR="00636180" w:rsidRPr="005F0BB0">
        <w:t>households in</w:t>
      </w:r>
      <w:r w:rsidR="00400CA5" w:rsidRPr="005F0BB0">
        <w:t xml:space="preserve"> </w:t>
      </w:r>
      <w:r w:rsidRPr="005F0BB0">
        <w:t xml:space="preserve">Washington and Oregon in order to get </w:t>
      </w:r>
      <w:r w:rsidR="00AA1C93">
        <w:t>312</w:t>
      </w:r>
      <w:r w:rsidR="00AA1C93" w:rsidRPr="005F0BB0">
        <w:t xml:space="preserve"> </w:t>
      </w:r>
      <w:r w:rsidRPr="005F0BB0">
        <w:t xml:space="preserve">completed surveys. </w:t>
      </w:r>
    </w:p>
    <w:p w:rsidR="00483007" w:rsidRPr="005F0BB0" w:rsidRDefault="00483007" w:rsidP="00483007">
      <w:r w:rsidRPr="005F0BB0">
        <w:t>This number is sufficient for refining, if necessary, the experimental design for the final survey.</w:t>
      </w:r>
      <w:r w:rsidR="00A159B7" w:rsidRPr="005F0BB0">
        <w:t xml:space="preserve"> </w:t>
      </w:r>
    </w:p>
    <w:p w:rsidR="00483007" w:rsidRPr="005F0BB0" w:rsidRDefault="00483007" w:rsidP="00483007">
      <w:r w:rsidRPr="005F0BB0">
        <w:lastRenderedPageBreak/>
        <w:t xml:space="preserve">A table summarizing the sampling universe for both waves of the pretest is </w:t>
      </w:r>
      <w:r w:rsidR="00675835" w:rsidRPr="005F0BB0">
        <w:t xml:space="preserve">shown </w:t>
      </w:r>
      <w:r w:rsidRPr="005F0BB0">
        <w:t>below.</w:t>
      </w:r>
    </w:p>
    <w:tbl>
      <w:tblPr>
        <w:tblW w:w="9378" w:type="dxa"/>
        <w:jc w:val="center"/>
        <w:tblInd w:w="198" w:type="dxa"/>
        <w:tblLayout w:type="fixed"/>
        <w:tblCellMar>
          <w:left w:w="43" w:type="dxa"/>
          <w:right w:w="43" w:type="dxa"/>
        </w:tblCellMar>
        <w:tblLook w:val="0000" w:firstRow="0" w:lastRow="0" w:firstColumn="0" w:lastColumn="0" w:noHBand="0" w:noVBand="0"/>
      </w:tblPr>
      <w:tblGrid>
        <w:gridCol w:w="2439"/>
        <w:gridCol w:w="2151"/>
        <w:gridCol w:w="2394"/>
        <w:gridCol w:w="2394"/>
      </w:tblGrid>
      <w:tr w:rsidR="00483007" w:rsidRPr="005F0BB0" w:rsidTr="008E0A35">
        <w:trPr>
          <w:cantSplit/>
          <w:jc w:val="center"/>
        </w:trPr>
        <w:tc>
          <w:tcPr>
            <w:tcW w:w="9378" w:type="dxa"/>
            <w:gridSpan w:val="4"/>
            <w:tcBorders>
              <w:bottom w:val="single" w:sz="6" w:space="0" w:color="auto"/>
            </w:tcBorders>
            <w:shd w:val="clear" w:color="auto" w:fill="auto"/>
          </w:tcPr>
          <w:p w:rsidR="00483007" w:rsidRPr="005F0BB0" w:rsidRDefault="00483007" w:rsidP="00364542">
            <w:pPr>
              <w:pStyle w:val="TableTitle"/>
              <w:spacing w:before="40" w:after="40"/>
            </w:pPr>
            <w:r w:rsidRPr="005F0BB0">
              <w:t xml:space="preserve">Table </w:t>
            </w:r>
            <w:r w:rsidR="00364542">
              <w:t>2</w:t>
            </w:r>
            <w:r w:rsidRPr="005F0BB0">
              <w:t>. Pretest sample size and response rate</w:t>
            </w:r>
          </w:p>
        </w:tc>
      </w:tr>
      <w:tr w:rsidR="00483007" w:rsidRPr="005F0BB0" w:rsidTr="008E0A35">
        <w:trPr>
          <w:cantSplit/>
          <w:jc w:val="center"/>
        </w:trPr>
        <w:tc>
          <w:tcPr>
            <w:tcW w:w="2439" w:type="dxa"/>
            <w:tcBorders>
              <w:top w:val="single" w:sz="6" w:space="0" w:color="auto"/>
              <w:bottom w:val="single" w:sz="6" w:space="0" w:color="auto"/>
            </w:tcBorders>
            <w:shd w:val="clear" w:color="auto" w:fill="auto"/>
          </w:tcPr>
          <w:p w:rsidR="00483007" w:rsidRPr="005F0BB0" w:rsidRDefault="009B431A" w:rsidP="008E0A35">
            <w:pPr>
              <w:spacing w:before="40" w:after="40"/>
              <w:rPr>
                <w:b/>
                <w:sz w:val="21"/>
              </w:rPr>
            </w:pPr>
            <w:r w:rsidRPr="005F0BB0">
              <w:rPr>
                <w:b/>
                <w:sz w:val="21"/>
              </w:rPr>
              <w:t>Mode of data collection</w:t>
            </w:r>
          </w:p>
        </w:tc>
        <w:tc>
          <w:tcPr>
            <w:tcW w:w="2151" w:type="dxa"/>
            <w:tcBorders>
              <w:top w:val="single" w:sz="6" w:space="0" w:color="auto"/>
              <w:bottom w:val="single" w:sz="6" w:space="0" w:color="auto"/>
            </w:tcBorders>
            <w:shd w:val="clear" w:color="auto" w:fill="auto"/>
          </w:tcPr>
          <w:p w:rsidR="00483007" w:rsidRPr="005F0BB0" w:rsidRDefault="009B431A" w:rsidP="008E0A35">
            <w:pPr>
              <w:spacing w:before="40" w:after="40"/>
              <w:jc w:val="center"/>
              <w:rPr>
                <w:b/>
                <w:sz w:val="21"/>
              </w:rPr>
            </w:pPr>
            <w:r w:rsidRPr="005F0BB0">
              <w:rPr>
                <w:b/>
                <w:sz w:val="21"/>
              </w:rPr>
              <w:t>Sample size</w:t>
            </w:r>
          </w:p>
        </w:tc>
        <w:tc>
          <w:tcPr>
            <w:tcW w:w="2394" w:type="dxa"/>
            <w:tcBorders>
              <w:top w:val="single" w:sz="6" w:space="0" w:color="auto"/>
              <w:bottom w:val="single" w:sz="6" w:space="0" w:color="auto"/>
            </w:tcBorders>
            <w:shd w:val="clear" w:color="auto" w:fill="auto"/>
          </w:tcPr>
          <w:p w:rsidR="00483007" w:rsidRPr="005F0BB0" w:rsidRDefault="00C91EEC" w:rsidP="008E0A35">
            <w:pPr>
              <w:spacing w:before="40" w:after="40"/>
              <w:jc w:val="center"/>
              <w:rPr>
                <w:b/>
                <w:sz w:val="21"/>
              </w:rPr>
            </w:pPr>
            <w:r w:rsidRPr="005F0BB0">
              <w:rPr>
                <w:b/>
                <w:sz w:val="21"/>
              </w:rPr>
              <w:t>Completed surveys</w:t>
            </w:r>
          </w:p>
        </w:tc>
        <w:tc>
          <w:tcPr>
            <w:tcW w:w="2394" w:type="dxa"/>
            <w:tcBorders>
              <w:top w:val="single" w:sz="6" w:space="0" w:color="auto"/>
              <w:bottom w:val="single" w:sz="6" w:space="0" w:color="auto"/>
            </w:tcBorders>
            <w:shd w:val="clear" w:color="auto" w:fill="auto"/>
          </w:tcPr>
          <w:p w:rsidR="00483007" w:rsidRPr="005F0BB0" w:rsidRDefault="00C91EEC" w:rsidP="008E0A35">
            <w:pPr>
              <w:spacing w:before="40" w:after="40"/>
              <w:jc w:val="center"/>
              <w:rPr>
                <w:b/>
                <w:sz w:val="21"/>
              </w:rPr>
            </w:pPr>
            <w:r w:rsidRPr="005F0BB0">
              <w:rPr>
                <w:b/>
                <w:sz w:val="21"/>
              </w:rPr>
              <w:t>Overall response rate</w:t>
            </w:r>
          </w:p>
        </w:tc>
      </w:tr>
      <w:tr w:rsidR="00483007" w:rsidRPr="005F0BB0" w:rsidTr="008E0A35">
        <w:trPr>
          <w:cantSplit/>
          <w:jc w:val="center"/>
        </w:trPr>
        <w:tc>
          <w:tcPr>
            <w:tcW w:w="2439" w:type="dxa"/>
            <w:tcBorders>
              <w:top w:val="single" w:sz="6" w:space="0" w:color="auto"/>
            </w:tcBorders>
            <w:shd w:val="clear" w:color="auto" w:fill="auto"/>
          </w:tcPr>
          <w:p w:rsidR="00483007" w:rsidRPr="005F0BB0" w:rsidRDefault="009B431A" w:rsidP="008E0A35">
            <w:pPr>
              <w:spacing w:before="40" w:after="40"/>
              <w:rPr>
                <w:sz w:val="21"/>
              </w:rPr>
            </w:pPr>
            <w:r w:rsidRPr="005F0BB0">
              <w:rPr>
                <w:sz w:val="21"/>
              </w:rPr>
              <w:t>Internet (wave 1)</w:t>
            </w:r>
          </w:p>
        </w:tc>
        <w:tc>
          <w:tcPr>
            <w:tcW w:w="2151" w:type="dxa"/>
            <w:tcBorders>
              <w:top w:val="single" w:sz="6" w:space="0" w:color="auto"/>
            </w:tcBorders>
            <w:shd w:val="clear" w:color="auto" w:fill="auto"/>
          </w:tcPr>
          <w:p w:rsidR="00483007" w:rsidRPr="005F0BB0" w:rsidRDefault="00AA1C93" w:rsidP="008E0A35">
            <w:pPr>
              <w:spacing w:before="40" w:after="40"/>
              <w:jc w:val="center"/>
              <w:rPr>
                <w:sz w:val="21"/>
              </w:rPr>
            </w:pPr>
            <w:r>
              <w:rPr>
                <w:sz w:val="21"/>
              </w:rPr>
              <w:t>2,188</w:t>
            </w:r>
          </w:p>
        </w:tc>
        <w:tc>
          <w:tcPr>
            <w:tcW w:w="2394" w:type="dxa"/>
            <w:tcBorders>
              <w:top w:val="single" w:sz="6" w:space="0" w:color="auto"/>
            </w:tcBorders>
            <w:shd w:val="clear" w:color="auto" w:fill="auto"/>
          </w:tcPr>
          <w:p w:rsidR="00483007" w:rsidRPr="005F0BB0" w:rsidRDefault="00AA1C93" w:rsidP="008E0A35">
            <w:pPr>
              <w:spacing w:before="40" w:after="40"/>
              <w:jc w:val="center"/>
              <w:rPr>
                <w:sz w:val="21"/>
              </w:rPr>
            </w:pPr>
            <w:r>
              <w:rPr>
                <w:sz w:val="21"/>
              </w:rPr>
              <w:t>1,313</w:t>
            </w:r>
          </w:p>
        </w:tc>
        <w:tc>
          <w:tcPr>
            <w:tcW w:w="2394" w:type="dxa"/>
            <w:tcBorders>
              <w:top w:val="single" w:sz="6" w:space="0" w:color="auto"/>
            </w:tcBorders>
            <w:shd w:val="clear" w:color="auto" w:fill="auto"/>
          </w:tcPr>
          <w:p w:rsidR="00483007" w:rsidRPr="005F0BB0" w:rsidRDefault="00C91EEC" w:rsidP="008E0A35">
            <w:pPr>
              <w:spacing w:before="40" w:after="40"/>
              <w:jc w:val="center"/>
              <w:rPr>
                <w:sz w:val="21"/>
              </w:rPr>
            </w:pPr>
            <w:r w:rsidRPr="005F0BB0">
              <w:rPr>
                <w:sz w:val="21"/>
              </w:rPr>
              <w:t>20%</w:t>
            </w:r>
            <w:r w:rsidRPr="005F0BB0">
              <w:rPr>
                <w:sz w:val="21"/>
                <w:vertAlign w:val="superscript"/>
              </w:rPr>
              <w:t>a</w:t>
            </w:r>
          </w:p>
        </w:tc>
      </w:tr>
      <w:tr w:rsidR="00483007" w:rsidRPr="005F0BB0" w:rsidTr="008E0A35">
        <w:trPr>
          <w:cantSplit/>
          <w:jc w:val="center"/>
        </w:trPr>
        <w:tc>
          <w:tcPr>
            <w:tcW w:w="2439" w:type="dxa"/>
            <w:tcBorders>
              <w:bottom w:val="single" w:sz="2" w:space="0" w:color="auto"/>
            </w:tcBorders>
            <w:shd w:val="clear" w:color="auto" w:fill="auto"/>
          </w:tcPr>
          <w:p w:rsidR="00483007" w:rsidRPr="005F0BB0" w:rsidRDefault="009B431A" w:rsidP="008E0A35">
            <w:pPr>
              <w:spacing w:before="40" w:after="40"/>
              <w:rPr>
                <w:sz w:val="21"/>
              </w:rPr>
            </w:pPr>
            <w:r w:rsidRPr="005F0BB0">
              <w:rPr>
                <w:sz w:val="21"/>
              </w:rPr>
              <w:t>Mail (wave 2)</w:t>
            </w:r>
          </w:p>
        </w:tc>
        <w:tc>
          <w:tcPr>
            <w:tcW w:w="2151" w:type="dxa"/>
            <w:tcBorders>
              <w:bottom w:val="single" w:sz="2" w:space="0" w:color="auto"/>
            </w:tcBorders>
            <w:shd w:val="clear" w:color="auto" w:fill="auto"/>
          </w:tcPr>
          <w:p w:rsidR="00483007" w:rsidRPr="005F0BB0" w:rsidRDefault="00AA1C93" w:rsidP="008E0A35">
            <w:pPr>
              <w:spacing w:before="40" w:after="40"/>
              <w:jc w:val="center"/>
              <w:rPr>
                <w:sz w:val="21"/>
              </w:rPr>
            </w:pPr>
            <w:r>
              <w:rPr>
                <w:sz w:val="21"/>
              </w:rPr>
              <w:t>1,042</w:t>
            </w:r>
          </w:p>
        </w:tc>
        <w:tc>
          <w:tcPr>
            <w:tcW w:w="2394" w:type="dxa"/>
            <w:tcBorders>
              <w:bottom w:val="single" w:sz="2" w:space="0" w:color="auto"/>
            </w:tcBorders>
            <w:shd w:val="clear" w:color="auto" w:fill="auto"/>
          </w:tcPr>
          <w:p w:rsidR="00483007" w:rsidRPr="005F0BB0" w:rsidRDefault="00AA1C93" w:rsidP="008E0A35">
            <w:pPr>
              <w:spacing w:before="40" w:after="40"/>
              <w:jc w:val="center"/>
              <w:rPr>
                <w:sz w:val="21"/>
              </w:rPr>
            </w:pPr>
            <w:r>
              <w:rPr>
                <w:sz w:val="21"/>
              </w:rPr>
              <w:t>312</w:t>
            </w:r>
          </w:p>
        </w:tc>
        <w:tc>
          <w:tcPr>
            <w:tcW w:w="2394" w:type="dxa"/>
            <w:tcBorders>
              <w:bottom w:val="single" w:sz="2" w:space="0" w:color="auto"/>
            </w:tcBorders>
            <w:shd w:val="clear" w:color="auto" w:fill="auto"/>
          </w:tcPr>
          <w:p w:rsidR="00483007" w:rsidRPr="005F0BB0" w:rsidRDefault="00C91EEC" w:rsidP="008E0A35">
            <w:pPr>
              <w:spacing w:before="40" w:after="40"/>
              <w:jc w:val="center"/>
              <w:rPr>
                <w:sz w:val="21"/>
              </w:rPr>
            </w:pPr>
            <w:r w:rsidRPr="005F0BB0">
              <w:rPr>
                <w:sz w:val="21"/>
              </w:rPr>
              <w:t>30%</w:t>
            </w:r>
          </w:p>
        </w:tc>
      </w:tr>
      <w:tr w:rsidR="00C91EEC" w:rsidRPr="005F0BB0" w:rsidTr="008E0A35">
        <w:trPr>
          <w:cantSplit/>
          <w:jc w:val="center"/>
        </w:trPr>
        <w:tc>
          <w:tcPr>
            <w:tcW w:w="9378" w:type="dxa"/>
            <w:gridSpan w:val="4"/>
            <w:tcBorders>
              <w:top w:val="single" w:sz="2" w:space="0" w:color="auto"/>
              <w:bottom w:val="single" w:sz="6" w:space="0" w:color="auto"/>
            </w:tcBorders>
            <w:shd w:val="clear" w:color="auto" w:fill="auto"/>
          </w:tcPr>
          <w:p w:rsidR="00C91EEC" w:rsidRPr="005F0BB0" w:rsidRDefault="00C91EEC" w:rsidP="00636180">
            <w:pPr>
              <w:spacing w:before="40" w:after="40"/>
              <w:jc w:val="both"/>
              <w:rPr>
                <w:sz w:val="21"/>
              </w:rPr>
            </w:pPr>
            <w:r w:rsidRPr="005F0BB0">
              <w:rPr>
                <w:sz w:val="21"/>
              </w:rPr>
              <w:t xml:space="preserve">a. The completion rate for the Internet wave is 60%, but the overall response rate is </w:t>
            </w:r>
            <w:r w:rsidR="00636180" w:rsidRPr="005F0BB0">
              <w:rPr>
                <w:sz w:val="21"/>
              </w:rPr>
              <w:t xml:space="preserve">approximately </w:t>
            </w:r>
            <w:r w:rsidRPr="005F0BB0">
              <w:rPr>
                <w:sz w:val="21"/>
              </w:rPr>
              <w:t>20%.</w:t>
            </w:r>
            <w:r w:rsidR="00E131E8" w:rsidRPr="005F0BB0">
              <w:rPr>
                <w:sz w:val="21"/>
              </w:rPr>
              <w:t xml:space="preserve"> The lower overall response rate results from the steps involved in the initial recruitment of participants into the sample (e.g., phone calls, administration of a screener), during which potential panelists are lost before becoming part of the sampled group.</w:t>
            </w:r>
          </w:p>
        </w:tc>
      </w:tr>
    </w:tbl>
    <w:p w:rsidR="00573D69" w:rsidRPr="005F0BB0" w:rsidRDefault="00573D69" w:rsidP="00483007"/>
    <w:p w:rsidR="00776830" w:rsidRPr="005F0BB0" w:rsidRDefault="00776830" w:rsidP="008E0A35">
      <w:pPr>
        <w:keepNext/>
        <w:tabs>
          <w:tab w:val="left" w:pos="0"/>
        </w:tabs>
        <w:ind w:left="720" w:hanging="720"/>
        <w:rPr>
          <w:b/>
        </w:rPr>
      </w:pPr>
      <w:r w:rsidRPr="005F0BB0">
        <w:rPr>
          <w:b/>
        </w:rPr>
        <w:t>2.</w:t>
      </w:r>
      <w:r w:rsidRPr="005F0BB0">
        <w:rPr>
          <w:b/>
        </w:rPr>
        <w:tab/>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76830" w:rsidRPr="005F0BB0" w:rsidRDefault="00776830" w:rsidP="008E0A35">
      <w:pPr>
        <w:keepNext/>
        <w:ind w:left="720" w:hanging="720"/>
        <w:rPr>
          <w:b/>
        </w:rPr>
      </w:pPr>
      <w:r w:rsidRPr="005F0BB0">
        <w:rPr>
          <w:b/>
        </w:rPr>
        <w:t>Sample frame and sample selection</w:t>
      </w:r>
    </w:p>
    <w:p w:rsidR="005A483F" w:rsidRPr="005F0BB0" w:rsidRDefault="005A483F" w:rsidP="005F0BB0">
      <w:pPr>
        <w:pStyle w:val="NormalWeb"/>
        <w:spacing w:before="240" w:after="120"/>
        <w:rPr>
          <w:szCs w:val="20"/>
        </w:rPr>
      </w:pPr>
      <w:r w:rsidRPr="005F0BB0">
        <w:rPr>
          <w:szCs w:val="20"/>
        </w:rPr>
        <w:t>Knowledge Network’s (KN’s) established Web panel sample, KnowledgePanel®, The Web-enabled panel comprises both Internet and non-Internet households prior to panel participation; KN supplies the non-Internet households with an Internet appliance and Internet connection. It also includes households with both listed and unlisted telephone numbers, cell-phone-only households, and no-phone households. The panel does not accept self-selected volunteers.</w:t>
      </w:r>
    </w:p>
    <w:p w:rsidR="005A483F" w:rsidRPr="005F0BB0" w:rsidRDefault="005A483F" w:rsidP="005F0BB0">
      <w:pPr>
        <w:pStyle w:val="NormalWeb"/>
        <w:spacing w:before="240" w:after="120"/>
        <w:rPr>
          <w:szCs w:val="20"/>
        </w:rPr>
      </w:pPr>
      <w:r w:rsidRPr="005F0BB0">
        <w:rPr>
          <w:szCs w:val="20"/>
        </w:rPr>
        <w:t>Originally, the panel’s probability-based recruitment had been based exclusively on a national random digit dialing (RDD) frame. In April 2009, KN used an address-based sample (ABS) frame (to supplement the RDD frame) in response to the growing number of cell-phone-only households (CPOHHs) that are outside of the RDD frame. In 2010, KnowledgePanel® transitioned completely to ABS-sourced panel recruitment, ending recruitment using RDD and telephone methods, with the exception of some targeted Spanish-language telephone-based recruitment to support KnowledgePanel Latino.</w:t>
      </w:r>
    </w:p>
    <w:p w:rsidR="005A483F" w:rsidRPr="005F0BB0" w:rsidRDefault="005A483F" w:rsidP="005F0BB0">
      <w:pPr>
        <w:pStyle w:val="NormalWeb"/>
        <w:spacing w:before="240" w:after="120"/>
        <w:rPr>
          <w:szCs w:val="20"/>
        </w:rPr>
      </w:pPr>
      <w:r w:rsidRPr="005F0BB0">
        <w:rPr>
          <w:szCs w:val="20"/>
        </w:rPr>
        <w:t xml:space="preserve">ABS involves probability-based sampling of addresses from the U.S. Postal Service’s (USPS’s) Computerized Delivery Sequence File (CDSF). Randomly sampled addresses are invited to join KnowledgePanel® through an initial mailing (with a $2 non-contingent incentive included), followed a week later by a postcard reminder and three weeks later by a final letter mailed to all non-responders. Telephone follow-up calls are made to those non-responders for whom a telephone number can be matched to their address. </w:t>
      </w:r>
    </w:p>
    <w:p w:rsidR="005A483F" w:rsidRPr="005F0BB0" w:rsidRDefault="005A483F" w:rsidP="005F0BB0">
      <w:pPr>
        <w:pStyle w:val="NormalWeb"/>
        <w:spacing w:before="240" w:after="120"/>
        <w:rPr>
          <w:szCs w:val="20"/>
        </w:rPr>
      </w:pPr>
      <w:r w:rsidRPr="005F0BB0">
        <w:rPr>
          <w:szCs w:val="20"/>
        </w:rPr>
        <w:t xml:space="preserve">The key advantage of the ABS sample frame is that it allows sampling of virtually all U.S. households. In sampling nomenclature, an estimated 97% of households are “covered” in this frame. Because the frame is address based, household telephone status is not a limiting factor, as residents can be contacted through the mail. KN’s ABS experience has also revealed some advantages beyond the expected improvement in recruiting young adults and CPOHHs. There is </w:t>
      </w:r>
      <w:r w:rsidRPr="005F0BB0">
        <w:rPr>
          <w:szCs w:val="20"/>
        </w:rPr>
        <w:lastRenderedPageBreak/>
        <w:t>also a marked improvement in sample representativeness of minority racial and ethnic groups, as well as improved recruitment of households with less education and low incomes.</w:t>
      </w:r>
    </w:p>
    <w:p w:rsidR="005A483F" w:rsidRPr="005F0BB0" w:rsidRDefault="005A483F" w:rsidP="005F0BB0">
      <w:pPr>
        <w:pStyle w:val="NormalWeb"/>
        <w:spacing w:before="240" w:after="120"/>
        <w:rPr>
          <w:szCs w:val="20"/>
        </w:rPr>
      </w:pPr>
      <w:r w:rsidRPr="005F0BB0">
        <w:rPr>
          <w:szCs w:val="20"/>
        </w:rPr>
        <w:t xml:space="preserve">Currently, about 55% of KnowledgePanel® members are sourced from the more recent ABS recruitment samples. The balance is the more tenured, RDD-sourced members. The methodologies used to recruit this panel have been shown to achieve the same or similar quality standards established by prominent surveys conducted for Federal Government agencies that also use ABS, RDD, or area probability methods. </w:t>
      </w:r>
    </w:p>
    <w:p w:rsidR="005A483F" w:rsidRPr="005F0BB0" w:rsidRDefault="005A483F" w:rsidP="005F0BB0">
      <w:pPr>
        <w:pStyle w:val="NormalWeb"/>
        <w:spacing w:before="240" w:after="120"/>
        <w:rPr>
          <w:szCs w:val="20"/>
        </w:rPr>
      </w:pPr>
      <w:r w:rsidRPr="005F0BB0">
        <w:rPr>
          <w:szCs w:val="20"/>
        </w:rPr>
        <w:t xml:space="preserve">Response rates for different stages of the KnowledgePanel® are summarized in Table </w:t>
      </w:r>
      <w:r w:rsidR="00364542">
        <w:rPr>
          <w:szCs w:val="20"/>
        </w:rPr>
        <w:t>3</w:t>
      </w:r>
      <w:r w:rsidRPr="005F0BB0">
        <w:rPr>
          <w:szCs w:val="20"/>
        </w:rPr>
        <w:t>. Any measure of recruitment rate, profile, survey completion rate, and survey breakoff rate is specific to the study being evaluated. Thus the values listed below are a representative of a typical study implemented by KN. The final response rates for this study will vary.</w:t>
      </w:r>
    </w:p>
    <w:tbl>
      <w:tblPr>
        <w:tblW w:w="4876" w:type="dxa"/>
        <w:jc w:val="center"/>
        <w:tblInd w:w="49" w:type="dxa"/>
        <w:tblLook w:val="04A0" w:firstRow="1" w:lastRow="0" w:firstColumn="1" w:lastColumn="0" w:noHBand="0" w:noVBand="1"/>
      </w:tblPr>
      <w:tblGrid>
        <w:gridCol w:w="3760"/>
        <w:gridCol w:w="1116"/>
      </w:tblGrid>
      <w:tr w:rsidR="005A483F" w:rsidRPr="005F0BB0" w:rsidTr="001D6EE1">
        <w:trPr>
          <w:trHeight w:val="315"/>
          <w:jc w:val="center"/>
        </w:trPr>
        <w:tc>
          <w:tcPr>
            <w:tcW w:w="37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5A483F" w:rsidRPr="005F0BB0" w:rsidRDefault="005A483F" w:rsidP="0079719D">
            <w:r w:rsidRPr="005F0BB0">
              <w:t>Mean Recruitment Rate</w:t>
            </w:r>
          </w:p>
        </w:tc>
        <w:tc>
          <w:tcPr>
            <w:tcW w:w="1116" w:type="dxa"/>
            <w:tcBorders>
              <w:top w:val="single" w:sz="12" w:space="0" w:color="auto"/>
              <w:left w:val="nil"/>
              <w:bottom w:val="single" w:sz="4" w:space="0" w:color="auto"/>
              <w:right w:val="single" w:sz="12" w:space="0" w:color="auto"/>
            </w:tcBorders>
            <w:shd w:val="clear" w:color="auto" w:fill="auto"/>
            <w:noWrap/>
            <w:vAlign w:val="bottom"/>
            <w:hideMark/>
          </w:tcPr>
          <w:p w:rsidR="005A483F" w:rsidRPr="005F0BB0" w:rsidRDefault="005A483F" w:rsidP="0079719D">
            <w:pPr>
              <w:jc w:val="right"/>
            </w:pPr>
            <w:r w:rsidRPr="005F0BB0">
              <w:t>0.144321</w:t>
            </w:r>
          </w:p>
        </w:tc>
      </w:tr>
      <w:tr w:rsidR="005A483F" w:rsidRPr="005F0BB0" w:rsidTr="001D6EE1">
        <w:trPr>
          <w:trHeight w:val="300"/>
          <w:jc w:val="center"/>
        </w:trPr>
        <w:tc>
          <w:tcPr>
            <w:tcW w:w="3760" w:type="dxa"/>
            <w:tcBorders>
              <w:top w:val="nil"/>
              <w:left w:val="single" w:sz="12" w:space="0" w:color="auto"/>
              <w:bottom w:val="single" w:sz="4" w:space="0" w:color="auto"/>
              <w:right w:val="single" w:sz="4" w:space="0" w:color="auto"/>
            </w:tcBorders>
            <w:shd w:val="clear" w:color="auto" w:fill="auto"/>
            <w:noWrap/>
            <w:vAlign w:val="bottom"/>
            <w:hideMark/>
          </w:tcPr>
          <w:p w:rsidR="005A483F" w:rsidRPr="005F0BB0" w:rsidRDefault="005A483F" w:rsidP="0079719D">
            <w:r w:rsidRPr="005F0BB0">
              <w:t>Weighted Profile Rate</w:t>
            </w:r>
          </w:p>
        </w:tc>
        <w:tc>
          <w:tcPr>
            <w:tcW w:w="1116" w:type="dxa"/>
            <w:tcBorders>
              <w:top w:val="nil"/>
              <w:left w:val="nil"/>
              <w:bottom w:val="single" w:sz="4" w:space="0" w:color="auto"/>
              <w:right w:val="single" w:sz="12" w:space="0" w:color="auto"/>
            </w:tcBorders>
            <w:shd w:val="clear" w:color="auto" w:fill="auto"/>
            <w:noWrap/>
            <w:vAlign w:val="bottom"/>
            <w:hideMark/>
          </w:tcPr>
          <w:p w:rsidR="005A483F" w:rsidRPr="005F0BB0" w:rsidRDefault="005A483F" w:rsidP="0079719D">
            <w:pPr>
              <w:jc w:val="right"/>
            </w:pPr>
            <w:r w:rsidRPr="005F0BB0">
              <w:t>0.657956</w:t>
            </w:r>
          </w:p>
        </w:tc>
      </w:tr>
      <w:tr w:rsidR="005A483F" w:rsidRPr="005F0BB0" w:rsidTr="001D6EE1">
        <w:trPr>
          <w:trHeight w:val="300"/>
          <w:jc w:val="center"/>
        </w:trPr>
        <w:tc>
          <w:tcPr>
            <w:tcW w:w="3760" w:type="dxa"/>
            <w:tcBorders>
              <w:top w:val="nil"/>
              <w:left w:val="single" w:sz="12" w:space="0" w:color="auto"/>
              <w:bottom w:val="single" w:sz="4" w:space="0" w:color="auto"/>
              <w:right w:val="single" w:sz="4" w:space="0" w:color="auto"/>
            </w:tcBorders>
            <w:shd w:val="clear" w:color="auto" w:fill="auto"/>
            <w:noWrap/>
            <w:vAlign w:val="bottom"/>
            <w:hideMark/>
          </w:tcPr>
          <w:p w:rsidR="005A483F" w:rsidRPr="005F0BB0" w:rsidRDefault="005A483F" w:rsidP="0079719D">
            <w:r w:rsidRPr="005F0BB0">
              <w:t>Survey Completion Rate</w:t>
            </w:r>
          </w:p>
        </w:tc>
        <w:tc>
          <w:tcPr>
            <w:tcW w:w="1116" w:type="dxa"/>
            <w:tcBorders>
              <w:top w:val="nil"/>
              <w:left w:val="nil"/>
              <w:bottom w:val="single" w:sz="4" w:space="0" w:color="auto"/>
              <w:right w:val="single" w:sz="12" w:space="0" w:color="auto"/>
            </w:tcBorders>
            <w:shd w:val="clear" w:color="auto" w:fill="auto"/>
            <w:noWrap/>
            <w:vAlign w:val="bottom"/>
            <w:hideMark/>
          </w:tcPr>
          <w:p w:rsidR="005A483F" w:rsidRPr="005F0BB0" w:rsidRDefault="005A483F" w:rsidP="0079719D">
            <w:pPr>
              <w:jc w:val="right"/>
            </w:pPr>
            <w:r w:rsidRPr="005F0BB0">
              <w:t>0.618103</w:t>
            </w:r>
          </w:p>
        </w:tc>
      </w:tr>
      <w:tr w:rsidR="005A483F" w:rsidRPr="005F0BB0" w:rsidTr="001D6EE1">
        <w:trPr>
          <w:trHeight w:val="300"/>
          <w:jc w:val="center"/>
        </w:trPr>
        <w:tc>
          <w:tcPr>
            <w:tcW w:w="3760" w:type="dxa"/>
            <w:tcBorders>
              <w:top w:val="nil"/>
              <w:left w:val="single" w:sz="12" w:space="0" w:color="auto"/>
              <w:bottom w:val="single" w:sz="4" w:space="0" w:color="auto"/>
              <w:right w:val="single" w:sz="4" w:space="0" w:color="auto"/>
            </w:tcBorders>
            <w:shd w:val="clear" w:color="auto" w:fill="auto"/>
            <w:noWrap/>
            <w:vAlign w:val="bottom"/>
            <w:hideMark/>
          </w:tcPr>
          <w:p w:rsidR="005A483F" w:rsidRPr="005F0BB0" w:rsidRDefault="005A483F" w:rsidP="0079719D">
            <w:r w:rsidRPr="005F0BB0">
              <w:t>Survey Breakoff Rate (out of Assigned)</w:t>
            </w:r>
          </w:p>
        </w:tc>
        <w:tc>
          <w:tcPr>
            <w:tcW w:w="1116" w:type="dxa"/>
            <w:tcBorders>
              <w:top w:val="nil"/>
              <w:left w:val="nil"/>
              <w:bottom w:val="single" w:sz="4" w:space="0" w:color="auto"/>
              <w:right w:val="single" w:sz="12" w:space="0" w:color="auto"/>
            </w:tcBorders>
            <w:shd w:val="clear" w:color="auto" w:fill="auto"/>
            <w:noWrap/>
            <w:vAlign w:val="bottom"/>
            <w:hideMark/>
          </w:tcPr>
          <w:p w:rsidR="005A483F" w:rsidRPr="005F0BB0" w:rsidRDefault="005A483F" w:rsidP="0079719D">
            <w:pPr>
              <w:jc w:val="right"/>
            </w:pPr>
            <w:r w:rsidRPr="005F0BB0">
              <w:t>0.052155</w:t>
            </w:r>
          </w:p>
        </w:tc>
      </w:tr>
      <w:tr w:rsidR="005A483F" w:rsidRPr="005F0BB0" w:rsidTr="001D6EE1">
        <w:trPr>
          <w:trHeight w:val="315"/>
          <w:jc w:val="center"/>
        </w:trPr>
        <w:tc>
          <w:tcPr>
            <w:tcW w:w="3760" w:type="dxa"/>
            <w:tcBorders>
              <w:top w:val="nil"/>
              <w:left w:val="single" w:sz="12" w:space="0" w:color="auto"/>
              <w:bottom w:val="single" w:sz="12" w:space="0" w:color="auto"/>
              <w:right w:val="single" w:sz="4" w:space="0" w:color="auto"/>
            </w:tcBorders>
            <w:shd w:val="clear" w:color="auto" w:fill="auto"/>
            <w:noWrap/>
            <w:vAlign w:val="bottom"/>
            <w:hideMark/>
          </w:tcPr>
          <w:p w:rsidR="005A483F" w:rsidRPr="005F0BB0" w:rsidRDefault="005A483F" w:rsidP="0079719D">
            <w:r w:rsidRPr="005F0BB0">
              <w:t>Cumulative Response Rate</w:t>
            </w:r>
          </w:p>
        </w:tc>
        <w:tc>
          <w:tcPr>
            <w:tcW w:w="1116" w:type="dxa"/>
            <w:tcBorders>
              <w:top w:val="nil"/>
              <w:left w:val="nil"/>
              <w:bottom w:val="single" w:sz="12" w:space="0" w:color="auto"/>
              <w:right w:val="single" w:sz="12" w:space="0" w:color="auto"/>
            </w:tcBorders>
            <w:shd w:val="clear" w:color="auto" w:fill="auto"/>
            <w:noWrap/>
            <w:vAlign w:val="bottom"/>
            <w:hideMark/>
          </w:tcPr>
          <w:p w:rsidR="005A483F" w:rsidRPr="005F0BB0" w:rsidRDefault="005A483F" w:rsidP="0079719D">
            <w:pPr>
              <w:jc w:val="right"/>
            </w:pPr>
            <w:r w:rsidRPr="005F0BB0">
              <w:t>0.058693</w:t>
            </w:r>
          </w:p>
        </w:tc>
      </w:tr>
    </w:tbl>
    <w:p w:rsidR="005A483F" w:rsidRPr="005F0BB0" w:rsidRDefault="005A483F" w:rsidP="005F0BB0">
      <w:pPr>
        <w:pStyle w:val="NormalWeb"/>
        <w:spacing w:before="240" w:after="120"/>
        <w:rPr>
          <w:szCs w:val="20"/>
        </w:rPr>
      </w:pPr>
      <w:r w:rsidRPr="005F0BB0">
        <w:rPr>
          <w:szCs w:val="20"/>
        </w:rPr>
        <w:t xml:space="preserve">For the mail portion of the pretest, a mail survey firm will conduct a probability sample of adult residents in the adult population of Washington and Oregon. Given the nature of the survey (i.e., choice questions that the respondents will have to look at), a self-administered mail survey will be provided to respondents. The survey administration firm will use ABS based on the USPS Delivery Sequence File. </w:t>
      </w:r>
    </w:p>
    <w:p w:rsidR="005A483F" w:rsidRPr="005F0BB0" w:rsidRDefault="005A483F" w:rsidP="005F0BB0">
      <w:pPr>
        <w:pStyle w:val="NormalWeb"/>
        <w:spacing w:before="240" w:after="120"/>
        <w:rPr>
          <w:szCs w:val="20"/>
        </w:rPr>
      </w:pPr>
      <w:r w:rsidRPr="005F0BB0">
        <w:rPr>
          <w:szCs w:val="20"/>
        </w:rPr>
        <w:t xml:space="preserve">This population will be accessed through a sample of residential addresses with a questionnaire completed per address. The questionnaire will elicit an enumeration of the adult members of the household for later adult population weighting and estimations. The frame from which the sample will be drawn is the Computerized Delivery Sequence File (CDSF) created and maintained by the USPS. </w:t>
      </w:r>
    </w:p>
    <w:p w:rsidR="005A483F" w:rsidRPr="005F0BB0" w:rsidRDefault="005A483F" w:rsidP="005F0BB0">
      <w:pPr>
        <w:pStyle w:val="NormalWeb"/>
        <w:spacing w:before="240" w:beforeAutospacing="0" w:after="120" w:afterAutospacing="0"/>
        <w:rPr>
          <w:szCs w:val="20"/>
        </w:rPr>
      </w:pPr>
      <w:r w:rsidRPr="005F0BB0">
        <w:rPr>
          <w:szCs w:val="20"/>
        </w:rPr>
        <w:t>The ABS for this study will be stratified by state, with 75% of the sample randomly selected from Washington and 25% randomly selected from Oregon. The 75% is a mild oversample of Washington, which has approximately 63% of the total number of households of the two states combined.</w:t>
      </w:r>
    </w:p>
    <w:p w:rsidR="005A483F" w:rsidRPr="005F0BB0" w:rsidRDefault="005A483F" w:rsidP="005F0BB0">
      <w:pPr>
        <w:pStyle w:val="NormalWeb"/>
        <w:spacing w:before="240" w:after="120"/>
        <w:rPr>
          <w:szCs w:val="20"/>
        </w:rPr>
      </w:pPr>
      <w:r w:rsidRPr="005F0BB0">
        <w:rPr>
          <w:szCs w:val="20"/>
        </w:rPr>
        <w:t xml:space="preserve">The mailing protocol for the mail portion of the study follows the researched and published “Tailored Design Method” (Dillman, 2009). A pre-notification letter will be mailed to all households in the sample about one week before the survey packet is mailed. The first mailing of the survey packet will include a cover letter, survey booklet, $2 non-contingent incentive, and </w:t>
      </w:r>
      <w:r w:rsidRPr="005F0BB0">
        <w:rPr>
          <w:szCs w:val="20"/>
        </w:rPr>
        <w:lastRenderedPageBreak/>
        <w:t>postage-paid return envelope. One week after this mailing, a reminder postcard will be mailed to all households to encourage a speedy reply while the memory of the original mailed questionnaire is still fresh in residents’ minds. Approximately three weeks after the first mailing of the survey packet, a second questionnaire will be mailed to all households that have not responded (and no $2 incentive is included this time). Finally, about two weeks after this second questionnaire mailing, telephone reminder calls will be made to non-responding households in the sample for which a landline telephone number could be matched to the sample address. About 48–55% of the addresses in the sample may be successfully matched with a telephone number, although this may vary by state and degree of urbanity. We propose that all responding households receive a $10 contingent post-incentive payment.</w:t>
      </w:r>
    </w:p>
    <w:p w:rsidR="0029282F" w:rsidRPr="005F0BB0" w:rsidRDefault="0029282F" w:rsidP="005A483F">
      <w:pPr>
        <w:spacing w:before="240"/>
      </w:pPr>
      <w:r w:rsidRPr="005F0BB0">
        <w:t xml:space="preserve">Sample letters and reminder post cards are included in </w:t>
      </w:r>
      <w:r w:rsidR="00364542">
        <w:t>Attachments</w:t>
      </w:r>
      <w:r w:rsidRPr="005F0BB0">
        <w:t xml:space="preserve">. </w:t>
      </w:r>
    </w:p>
    <w:p w:rsidR="00BD7A36" w:rsidRPr="005F0BB0" w:rsidRDefault="00BD7A36" w:rsidP="00B3227E">
      <w:r w:rsidRPr="005F0BB0">
        <w:t>The survey will not be conducted on an annual basis.</w:t>
      </w:r>
      <w:r w:rsidR="00400CA5" w:rsidRPr="005F0BB0">
        <w:t xml:space="preserve"> </w:t>
      </w:r>
      <w:r w:rsidRPr="005F0BB0">
        <w:t>This ICR is to request the pretest survey</w:t>
      </w:r>
      <w:r w:rsidR="00400CA5" w:rsidRPr="005F0BB0">
        <w:t xml:space="preserve"> </w:t>
      </w:r>
      <w:r w:rsidRPr="005F0BB0">
        <w:t xml:space="preserve">be administered only once in each of the two waves. </w:t>
      </w:r>
    </w:p>
    <w:p w:rsidR="00776830" w:rsidRPr="005F0BB0" w:rsidRDefault="00776830" w:rsidP="007768D8">
      <w:pPr>
        <w:tabs>
          <w:tab w:val="left" w:pos="0"/>
        </w:tabs>
        <w:ind w:left="720" w:hanging="720"/>
        <w:rPr>
          <w:b/>
        </w:rPr>
      </w:pPr>
      <w:r w:rsidRPr="005F0BB0">
        <w:rPr>
          <w:b/>
        </w:rPr>
        <w:t>3.</w:t>
      </w:r>
      <w:r w:rsidRPr="005F0BB0">
        <w:rPr>
          <w:b/>
        </w:rPr>
        <w:tab/>
        <w:t xml:space="preserve">Describe the methods used to maximize response rates and to deal with </w:t>
      </w:r>
      <w:r w:rsidR="00E93989" w:rsidRPr="005F0BB0">
        <w:rPr>
          <w:b/>
        </w:rPr>
        <w:t>non-</w:t>
      </w:r>
      <w:r w:rsidRPr="005F0BB0">
        <w:rPr>
          <w:b/>
        </w:rPr>
        <w:t xml:space="preserve">response. The accuracy and reliability of the information collected must be shown to be adequate for the intended uses. For collections based on sampling, a special justification must be provided if they will not yield </w:t>
      </w:r>
      <w:r w:rsidR="00423BBB" w:rsidRPr="005F0BB0">
        <w:rPr>
          <w:b/>
        </w:rPr>
        <w:t>“</w:t>
      </w:r>
      <w:r w:rsidRPr="005F0BB0">
        <w:rPr>
          <w:b/>
        </w:rPr>
        <w:t>reliable</w:t>
      </w:r>
      <w:r w:rsidR="00423BBB" w:rsidRPr="005F0BB0">
        <w:rPr>
          <w:b/>
        </w:rPr>
        <w:t>”</w:t>
      </w:r>
      <w:r w:rsidRPr="005F0BB0">
        <w:rPr>
          <w:b/>
        </w:rPr>
        <w:t xml:space="preserve"> data that can be generalized to the universe studied.</w:t>
      </w:r>
      <w:r w:rsidRPr="005F0BB0">
        <w:rPr>
          <w:sz w:val="16"/>
          <w:szCs w:val="16"/>
        </w:rPr>
        <w:t xml:space="preserve"> </w:t>
      </w:r>
    </w:p>
    <w:p w:rsidR="00776830" w:rsidRPr="005F0BB0" w:rsidRDefault="00776830" w:rsidP="00776830">
      <w:pPr>
        <w:rPr>
          <w:b/>
        </w:rPr>
      </w:pPr>
      <w:r w:rsidRPr="005F0BB0">
        <w:rPr>
          <w:b/>
        </w:rPr>
        <w:t>Maximizing response rates</w:t>
      </w:r>
    </w:p>
    <w:p w:rsidR="00776830" w:rsidRPr="005F0BB0" w:rsidRDefault="00776830" w:rsidP="00776830">
      <w:r w:rsidRPr="005F0BB0">
        <w:t xml:space="preserve">The first step in achieving a high response rate is to develop an appealing questionnaire that is easy for respondents to complete. We spent significant effort on developing an effective survey instrument during </w:t>
      </w:r>
      <w:r w:rsidR="00704794" w:rsidRPr="005F0BB0">
        <w:t>the qualitative research phase</w:t>
      </w:r>
      <w:r w:rsidRPr="005F0BB0">
        <w:t xml:space="preserve">. We hired experts on economic survey design and stated preference techniques to assist in the design and testing of this survey. The survey instrument benefited from input on earlier versions from several focus groups and cognitive interviews, and from peer review by experts in survey design and </w:t>
      </w:r>
      <w:r w:rsidR="00E93989" w:rsidRPr="005F0BB0">
        <w:t>non-</w:t>
      </w:r>
      <w:r w:rsidRPr="005F0BB0">
        <w:t>market valuation</w:t>
      </w:r>
      <w:r w:rsidR="00B05B36" w:rsidRPr="005F0BB0">
        <w:t>, as well as</w:t>
      </w:r>
      <w:r w:rsidRPr="005F0BB0">
        <w:t xml:space="preserve"> scientists who study </w:t>
      </w:r>
      <w:r w:rsidR="006B5BA4" w:rsidRPr="005F0BB0">
        <w:t>the Elwha River</w:t>
      </w:r>
      <w:r w:rsidRPr="005F0BB0">
        <w:t xml:space="preserve">. In the </w:t>
      </w:r>
      <w:r w:rsidR="006B5BA4" w:rsidRPr="005F0BB0">
        <w:t>qualitative research phase</w:t>
      </w:r>
      <w:r w:rsidRPr="005F0BB0">
        <w:t xml:space="preserve">, the information presented was tested to ensure </w:t>
      </w:r>
      <w:r w:rsidR="00B05B36" w:rsidRPr="005F0BB0">
        <w:t xml:space="preserve">that </w:t>
      </w:r>
      <w:r w:rsidRPr="005F0BB0">
        <w:t>key concepts and terms were understood, figures and graphics were</w:t>
      </w:r>
      <w:r w:rsidR="00BD7A36" w:rsidRPr="005F0BB0">
        <w:t xml:space="preserve"> developed by professional graphic artists and</w:t>
      </w:r>
      <w:r w:rsidRPr="005F0BB0">
        <w:t xml:space="preserve"> tested for proper comprehension and appearance, and key economic and design issues were evaluated. </w:t>
      </w:r>
    </w:p>
    <w:p w:rsidR="00776830" w:rsidRPr="005F0BB0" w:rsidRDefault="00776830" w:rsidP="008E0A35">
      <w:pPr>
        <w:keepNext/>
      </w:pPr>
      <w:r w:rsidRPr="005F0BB0">
        <w:t xml:space="preserve">For both </w:t>
      </w:r>
      <w:r w:rsidR="0047466B" w:rsidRPr="005F0BB0">
        <w:t xml:space="preserve">waves of the pretest, we will employ the practices </w:t>
      </w:r>
      <w:r w:rsidRPr="005F0BB0">
        <w:t xml:space="preserve">that have been employed successfully on other projects </w:t>
      </w:r>
      <w:r w:rsidR="0047466B" w:rsidRPr="005F0BB0">
        <w:t>requiring</w:t>
      </w:r>
      <w:r w:rsidRPr="005F0BB0">
        <w:t xml:space="preserve"> OMB approval:</w:t>
      </w:r>
    </w:p>
    <w:p w:rsidR="00776830" w:rsidRPr="005F0BB0" w:rsidRDefault="00776830" w:rsidP="008E0A35">
      <w:pPr>
        <w:pStyle w:val="StratusBullets"/>
        <w:keepNext/>
        <w:spacing w:after="0"/>
      </w:pPr>
      <w:r w:rsidRPr="005F0BB0">
        <w:t>Use of the federal agency name in the email invitation</w:t>
      </w:r>
    </w:p>
    <w:p w:rsidR="008C188C" w:rsidRPr="005F0BB0" w:rsidRDefault="00776830" w:rsidP="008C188C">
      <w:pPr>
        <w:pStyle w:val="StratusBullets"/>
      </w:pPr>
      <w:r w:rsidRPr="005F0BB0">
        <w:t xml:space="preserve">Both survey-specific and </w:t>
      </w:r>
      <w:r w:rsidR="00E93989" w:rsidRPr="005F0BB0">
        <w:t>non-</w:t>
      </w:r>
      <w:r w:rsidRPr="005F0BB0">
        <w:t xml:space="preserve">survey-specific incentives (as described in response to </w:t>
      </w:r>
      <w:r w:rsidR="0044454A" w:rsidRPr="005F0BB0">
        <w:t>Part </w:t>
      </w:r>
      <w:r w:rsidRPr="005F0BB0">
        <w:t>A, Question 9) will be used to improve response rates.</w:t>
      </w:r>
    </w:p>
    <w:p w:rsidR="008C188C" w:rsidRDefault="008C188C" w:rsidP="008C188C">
      <w:pPr>
        <w:pStyle w:val="StratusBullets"/>
        <w:numPr>
          <w:ilvl w:val="0"/>
          <w:numId w:val="0"/>
        </w:numPr>
      </w:pPr>
      <w:r>
        <w:t>The results of this pilot using the KnowledgePanel will solely be used to design and inform the development and structure of the final study.  These pilot results will not be used to infer the general population’s preferences.</w:t>
      </w:r>
    </w:p>
    <w:p w:rsidR="00970B0D" w:rsidRDefault="00970B0D">
      <w:pPr>
        <w:spacing w:after="0"/>
        <w:rPr>
          <w:b/>
        </w:rPr>
      </w:pPr>
      <w:r>
        <w:rPr>
          <w:b/>
        </w:rPr>
        <w:br w:type="page"/>
      </w:r>
    </w:p>
    <w:p w:rsidR="00F9478D" w:rsidRPr="005F0BB0" w:rsidRDefault="008C188C" w:rsidP="00F9478D">
      <w:pPr>
        <w:rPr>
          <w:b/>
        </w:rPr>
      </w:pPr>
      <w:r>
        <w:rPr>
          <w:b/>
        </w:rPr>
        <w:lastRenderedPageBreak/>
        <w:t>N</w:t>
      </w:r>
      <w:r w:rsidR="00E93989" w:rsidRPr="005F0BB0">
        <w:rPr>
          <w:b/>
        </w:rPr>
        <w:t>on-</w:t>
      </w:r>
      <w:r w:rsidR="00F9478D" w:rsidRPr="005F0BB0">
        <w:rPr>
          <w:b/>
        </w:rPr>
        <w:t>respondents</w:t>
      </w:r>
    </w:p>
    <w:p w:rsidR="00F9478D" w:rsidRPr="005F0BB0" w:rsidRDefault="00F9478D" w:rsidP="00F9478D">
      <w:r w:rsidRPr="005F0BB0">
        <w:t xml:space="preserve">For the purposes of the pretest, we do not plan any </w:t>
      </w:r>
      <w:r w:rsidR="00E93989" w:rsidRPr="005F0BB0">
        <w:t>non-</w:t>
      </w:r>
      <w:r w:rsidRPr="005F0BB0">
        <w:t>response follow</w:t>
      </w:r>
      <w:r w:rsidR="00B05B36" w:rsidRPr="005F0BB0">
        <w:t>-</w:t>
      </w:r>
      <w:r w:rsidRPr="005F0BB0">
        <w:t>up</w:t>
      </w:r>
      <w:r w:rsidR="004B0137" w:rsidRPr="005F0BB0">
        <w:t xml:space="preserve"> study</w:t>
      </w:r>
      <w:r w:rsidRPr="005F0BB0">
        <w:t xml:space="preserve">. However, for the final administration of the survey, we </w:t>
      </w:r>
      <w:r w:rsidR="00320553" w:rsidRPr="005F0BB0">
        <w:t>will plan a sep</w:t>
      </w:r>
      <w:r w:rsidR="00B05B36" w:rsidRPr="005F0BB0">
        <w:t>a</w:t>
      </w:r>
      <w:r w:rsidR="00320553" w:rsidRPr="005F0BB0">
        <w:t>rate</w:t>
      </w:r>
      <w:r w:rsidRPr="005F0BB0">
        <w:t xml:space="preserve"> </w:t>
      </w:r>
      <w:r w:rsidR="00E93989" w:rsidRPr="005F0BB0">
        <w:t>non-</w:t>
      </w:r>
      <w:r w:rsidRPr="005F0BB0">
        <w:t>response follow</w:t>
      </w:r>
      <w:r w:rsidR="00B05B36" w:rsidRPr="005F0BB0">
        <w:t>-</w:t>
      </w:r>
      <w:r w:rsidRPr="005F0BB0">
        <w:t>up study.</w:t>
      </w:r>
    </w:p>
    <w:p w:rsidR="00776830" w:rsidRPr="005F0BB0" w:rsidRDefault="00776830" w:rsidP="007768D8">
      <w:pPr>
        <w:tabs>
          <w:tab w:val="left" w:pos="0"/>
        </w:tabs>
        <w:ind w:left="720" w:hanging="720"/>
        <w:rPr>
          <w:b/>
        </w:rPr>
      </w:pPr>
      <w:r w:rsidRPr="005F0BB0">
        <w:rPr>
          <w:b/>
        </w:rPr>
        <w:t>4.</w:t>
      </w:r>
      <w:r w:rsidRPr="005F0BB0">
        <w:rPr>
          <w:b/>
        </w:rPr>
        <w:tab/>
        <w:t>Describe any tests of procedures or methods to be undertaken. Tests are encouraged as effective means to refine collections, but if ten or more test respondents are involved</w:t>
      </w:r>
      <w:r w:rsidR="00B05B36" w:rsidRPr="005F0BB0">
        <w:rPr>
          <w:b/>
        </w:rPr>
        <w:t>,</w:t>
      </w:r>
      <w:r w:rsidRPr="005F0BB0">
        <w:rPr>
          <w:b/>
        </w:rPr>
        <w:t xml:space="preserve"> OMB must give prior approval.</w:t>
      </w:r>
    </w:p>
    <w:p w:rsidR="006D62E0" w:rsidRPr="005F0BB0" w:rsidRDefault="006D62E0" w:rsidP="006D62E0">
      <w:r w:rsidRPr="005F0BB0">
        <w:t xml:space="preserve">In the first wave of the pretest, the Team plans to test two choice question formats. The tests include a comparison of the point estimates and standard errors of the cost coefficient from the </w:t>
      </w:r>
      <w:r w:rsidR="00094690" w:rsidRPr="005F0BB0">
        <w:t>WTP</w:t>
      </w:r>
      <w:r w:rsidRPr="005F0BB0">
        <w:t xml:space="preserve"> model, a tabulation and statistical comparison of questions regarding respondents</w:t>
      </w:r>
      <w:r w:rsidR="00423BBB" w:rsidRPr="005F0BB0">
        <w:t>’</w:t>
      </w:r>
      <w:r w:rsidRPr="005F0BB0">
        <w:t xml:space="preserve"> perceived consequentiality of the choice questions, a tabulation and statistical comparison of the length of time it took respondents to complete the choice questions, and a tabulation and statistical comparison of non-responses to the choice questions. </w:t>
      </w:r>
    </w:p>
    <w:p w:rsidR="006D62E0" w:rsidRPr="005F0BB0" w:rsidRDefault="006D62E0" w:rsidP="006D62E0">
      <w:r w:rsidRPr="005F0BB0">
        <w:t xml:space="preserve">Findings from the summary statistics, WTP model, and choice question format comparisons will then be incorporated in the </w:t>
      </w:r>
      <w:r w:rsidR="009B7F13" w:rsidRPr="005F0BB0">
        <w:t xml:space="preserve">supporting </w:t>
      </w:r>
      <w:r w:rsidRPr="005F0BB0">
        <w:t>statement for the full survey, which will be submitted to OMB for final approval. Th</w:t>
      </w:r>
      <w:r w:rsidR="00B05B36" w:rsidRPr="005F0BB0">
        <w:t>is</w:t>
      </w:r>
      <w:r w:rsidRPr="005F0BB0">
        <w:t xml:space="preserve"> </w:t>
      </w:r>
      <w:r w:rsidR="009B7F13" w:rsidRPr="005F0BB0">
        <w:t xml:space="preserve">supporting </w:t>
      </w:r>
      <w:r w:rsidRPr="005F0BB0">
        <w:t>statement will include details on the methods of analysis, a</w:t>
      </w:r>
      <w:r w:rsidR="00B05B36" w:rsidRPr="005F0BB0">
        <w:t xml:space="preserve">s well as </w:t>
      </w:r>
      <w:r w:rsidRPr="005F0BB0">
        <w:t xml:space="preserve">plans for tabulation and publication of project results. </w:t>
      </w:r>
    </w:p>
    <w:p w:rsidR="00776830" w:rsidRPr="005F0BB0" w:rsidRDefault="00776830" w:rsidP="007768D8">
      <w:pPr>
        <w:tabs>
          <w:tab w:val="left" w:pos="0"/>
        </w:tabs>
        <w:ind w:left="720" w:hanging="720"/>
        <w:rPr>
          <w:b/>
        </w:rPr>
      </w:pPr>
      <w:r w:rsidRPr="005F0BB0">
        <w:rPr>
          <w:b/>
        </w:rPr>
        <w:t>5.</w:t>
      </w:r>
      <w:r w:rsidRPr="005F0BB0">
        <w:rPr>
          <w:b/>
        </w:rPr>
        <w:tab/>
        <w:t>Provide the name</w:t>
      </w:r>
      <w:r w:rsidR="00B05B36" w:rsidRPr="005F0BB0">
        <w:rPr>
          <w:b/>
        </w:rPr>
        <w:t>s</w:t>
      </w:r>
      <w:r w:rsidRPr="005F0BB0">
        <w:rPr>
          <w:b/>
        </w:rPr>
        <w:t xml:space="preserve"> and telephone number</w:t>
      </w:r>
      <w:r w:rsidR="00B05B36" w:rsidRPr="005F0BB0">
        <w:rPr>
          <w:b/>
        </w:rPr>
        <w:t>s</w:t>
      </w:r>
      <w:r w:rsidRPr="005F0BB0">
        <w:rPr>
          <w:b/>
        </w:rPr>
        <w:t xml:space="preserve"> of individuals consulted on the statistical aspects of the design, and the name of the agency unit, contractor(s), grantee(s), or other person(s) who will actually collect and/or analyze the information for the agency.</w:t>
      </w:r>
    </w:p>
    <w:p w:rsidR="00772CE4" w:rsidRPr="005F0BB0" w:rsidRDefault="00772CE4" w:rsidP="00772CE4">
      <w:pPr>
        <w:rPr>
          <w:szCs w:val="24"/>
        </w:rPr>
      </w:pPr>
      <w:r w:rsidRPr="005F0BB0">
        <w:rPr>
          <w:szCs w:val="24"/>
        </w:rPr>
        <w:t xml:space="preserve">Stratus Consulting Inc. of Boulder, Colorado, was selected by NOAA to conduct the study through a competitive contract procedure. </w:t>
      </w:r>
      <w:r w:rsidR="00464DDF" w:rsidRPr="005F0BB0">
        <w:rPr>
          <w:szCs w:val="24"/>
        </w:rPr>
        <w:t xml:space="preserve">Dr. Megan Lawson </w:t>
      </w:r>
      <w:r w:rsidRPr="005F0BB0">
        <w:rPr>
          <w:szCs w:val="24"/>
        </w:rPr>
        <w:t xml:space="preserve">of Stratus Consulting serves as the Project Manager, and </w:t>
      </w:r>
      <w:r w:rsidR="00464DDF" w:rsidRPr="005F0BB0">
        <w:rPr>
          <w:szCs w:val="24"/>
        </w:rPr>
        <w:t xml:space="preserve">Mr. David Chapman </w:t>
      </w:r>
      <w:r w:rsidRPr="005F0BB0">
        <w:rPr>
          <w:szCs w:val="24"/>
        </w:rPr>
        <w:t xml:space="preserve">of Stratus Consulting serves as Project Technical Advisor. Both </w:t>
      </w:r>
      <w:r w:rsidR="00464DDF" w:rsidRPr="005F0BB0">
        <w:rPr>
          <w:szCs w:val="24"/>
        </w:rPr>
        <w:t>Dr. Lawson</w:t>
      </w:r>
      <w:r w:rsidRPr="005F0BB0">
        <w:rPr>
          <w:szCs w:val="24"/>
        </w:rPr>
        <w:t xml:space="preserve"> and Mr. Chapman have extensive experience in applied environmental and natural resource economics involving the use of statistical methods. </w:t>
      </w:r>
      <w:r w:rsidR="00B05B36" w:rsidRPr="005F0BB0">
        <w:rPr>
          <w:szCs w:val="24"/>
        </w:rPr>
        <w:t>C</w:t>
      </w:r>
      <w:r w:rsidRPr="005F0BB0">
        <w:rPr>
          <w:szCs w:val="24"/>
        </w:rPr>
        <w:t>ontact information follows:</w:t>
      </w:r>
    </w:p>
    <w:p w:rsidR="00464DDF" w:rsidRPr="005F0BB0" w:rsidRDefault="00464DDF" w:rsidP="008E0A35">
      <w:pPr>
        <w:pStyle w:val="NormalWeb"/>
        <w:spacing w:before="0" w:beforeAutospacing="0" w:after="0" w:afterAutospacing="0"/>
        <w:ind w:left="720"/>
      </w:pPr>
      <w:r w:rsidRPr="005F0BB0">
        <w:t xml:space="preserve">Dr. Megan Lawson: </w:t>
      </w:r>
      <w:r w:rsidR="009F332B" w:rsidRPr="005F0BB0">
        <w:t>406-219-3633</w:t>
      </w:r>
    </w:p>
    <w:p w:rsidR="00772CE4" w:rsidRPr="005F0BB0" w:rsidRDefault="00772CE4" w:rsidP="00B233EB">
      <w:pPr>
        <w:pStyle w:val="NormalWeb"/>
        <w:spacing w:before="0" w:beforeAutospacing="0" w:after="240" w:afterAutospacing="0"/>
        <w:ind w:left="720"/>
      </w:pPr>
      <w:r w:rsidRPr="005F0BB0">
        <w:t>Mr. David Chapman: 303-381-8289</w:t>
      </w:r>
    </w:p>
    <w:p w:rsidR="00772CE4" w:rsidRPr="005F0BB0" w:rsidRDefault="00772CE4" w:rsidP="008E0A35">
      <w:pPr>
        <w:keepNext/>
        <w:rPr>
          <w:szCs w:val="24"/>
        </w:rPr>
      </w:pPr>
      <w:r w:rsidRPr="005F0BB0">
        <w:rPr>
          <w:szCs w:val="24"/>
        </w:rPr>
        <w:t xml:space="preserve">Stratus Consulting hired Professor Emeritus Richard Bishop of the University of Wisconsin, </w:t>
      </w:r>
      <w:r w:rsidRPr="005F0BB0">
        <w:t>Department of Agricultural and Applied Economics,</w:t>
      </w:r>
      <w:r w:rsidRPr="005F0BB0">
        <w:rPr>
          <w:szCs w:val="24"/>
        </w:rPr>
        <w:t xml:space="preserve"> to serve as Principal Investigator. Professor Bishop is a well-known environmental and natural resource economist and has conducted many applied projects involving the use of statistical methods. Contact information follows:</w:t>
      </w:r>
    </w:p>
    <w:p w:rsidR="00772CE4" w:rsidRPr="005F0BB0" w:rsidRDefault="00772CE4" w:rsidP="00B233EB">
      <w:pPr>
        <w:ind w:firstLine="720"/>
      </w:pPr>
      <w:r w:rsidRPr="005F0BB0">
        <w:rPr>
          <w:szCs w:val="24"/>
        </w:rPr>
        <w:t>Professor Richard Bishop: 608-</w:t>
      </w:r>
      <w:r w:rsidRPr="005F0BB0">
        <w:t>238-7473</w:t>
      </w:r>
    </w:p>
    <w:p w:rsidR="00772CE4" w:rsidRPr="005F0BB0" w:rsidRDefault="00772CE4" w:rsidP="00772CE4">
      <w:r w:rsidRPr="005F0BB0">
        <w:t xml:space="preserve">Stratus Consulting hired Dr. Barbara Kanninen to advise on experimental design issues. </w:t>
      </w:r>
      <w:r w:rsidR="008E0A35" w:rsidRPr="005F0BB0">
        <w:t>Dr. </w:t>
      </w:r>
      <w:r w:rsidR="00EC5837" w:rsidRPr="005F0BB0">
        <w:t xml:space="preserve">Kanninen is an expert in statistical methods for stated preference studies. </w:t>
      </w:r>
      <w:r w:rsidRPr="005F0BB0">
        <w:t>Contact information follows:</w:t>
      </w:r>
    </w:p>
    <w:p w:rsidR="00772CE4" w:rsidRPr="005F0BB0" w:rsidRDefault="00772CE4" w:rsidP="00B233EB">
      <w:pPr>
        <w:ind w:firstLine="720"/>
        <w:rPr>
          <w:szCs w:val="24"/>
        </w:rPr>
      </w:pPr>
      <w:r w:rsidRPr="005F0BB0">
        <w:rPr>
          <w:szCs w:val="24"/>
        </w:rPr>
        <w:t>Dr. Barbara Kanninen: 703-536-6949</w:t>
      </w:r>
    </w:p>
    <w:p w:rsidR="00772CE4" w:rsidRPr="005F0BB0" w:rsidRDefault="00772CE4" w:rsidP="00772CE4">
      <w:pPr>
        <w:rPr>
          <w:szCs w:val="24"/>
        </w:rPr>
      </w:pPr>
      <w:r w:rsidRPr="005F0BB0">
        <w:rPr>
          <w:szCs w:val="24"/>
        </w:rPr>
        <w:lastRenderedPageBreak/>
        <w:t xml:space="preserve">The rest of the research team includes </w:t>
      </w:r>
      <w:r w:rsidR="00EC5837" w:rsidRPr="005F0BB0">
        <w:rPr>
          <w:szCs w:val="24"/>
        </w:rPr>
        <w:t xml:space="preserve">Dr. </w:t>
      </w:r>
      <w:r w:rsidRPr="005F0BB0">
        <w:rPr>
          <w:szCs w:val="24"/>
        </w:rPr>
        <w:t xml:space="preserve">Anthony Dvarskas and </w:t>
      </w:r>
      <w:r w:rsidR="00EC5837" w:rsidRPr="005F0BB0">
        <w:rPr>
          <w:szCs w:val="24"/>
        </w:rPr>
        <w:t xml:space="preserve">Dr. </w:t>
      </w:r>
      <w:r w:rsidRPr="005F0BB0">
        <w:rPr>
          <w:szCs w:val="24"/>
        </w:rPr>
        <w:t xml:space="preserve">Peter Edwards </w:t>
      </w:r>
      <w:r w:rsidR="00364542" w:rsidRPr="005F0BB0">
        <w:rPr>
          <w:szCs w:val="24"/>
        </w:rPr>
        <w:t>f</w:t>
      </w:r>
      <w:r w:rsidR="00364542">
        <w:rPr>
          <w:szCs w:val="24"/>
        </w:rPr>
        <w:t>or</w:t>
      </w:r>
      <w:r w:rsidR="00364542" w:rsidRPr="005F0BB0">
        <w:rPr>
          <w:szCs w:val="24"/>
        </w:rPr>
        <w:t xml:space="preserve"> </w:t>
      </w:r>
      <w:r w:rsidRPr="005F0BB0">
        <w:rPr>
          <w:szCs w:val="24"/>
        </w:rPr>
        <w:t xml:space="preserve">NOAA. </w:t>
      </w:r>
    </w:p>
    <w:p w:rsidR="00772CE4" w:rsidRPr="005F0BB0" w:rsidRDefault="00772CE4" w:rsidP="00772CE4">
      <w:r w:rsidRPr="005F0BB0">
        <w:t>Peer review team:</w:t>
      </w:r>
    </w:p>
    <w:p w:rsidR="00772CE4" w:rsidRPr="005F0BB0" w:rsidRDefault="00EC5837" w:rsidP="008E0A35">
      <w:pPr>
        <w:spacing w:after="0"/>
        <w:ind w:left="720"/>
      </w:pPr>
      <w:r w:rsidRPr="005F0BB0">
        <w:t xml:space="preserve">Dr. </w:t>
      </w:r>
      <w:r w:rsidR="00772CE4" w:rsidRPr="005F0BB0">
        <w:t>Richard Carson, University of California at San Diego</w:t>
      </w:r>
    </w:p>
    <w:p w:rsidR="00772CE4" w:rsidRPr="005F0BB0" w:rsidRDefault="00EC5837" w:rsidP="00772CE4">
      <w:pPr>
        <w:ind w:left="720"/>
      </w:pPr>
      <w:r w:rsidRPr="005F0BB0">
        <w:t xml:space="preserve">Dr. </w:t>
      </w:r>
      <w:r w:rsidR="00772CE4" w:rsidRPr="005F0BB0">
        <w:t xml:space="preserve">Adam Domanski, </w:t>
      </w:r>
      <w:r w:rsidR="00364542">
        <w:t>IM Systems Group</w:t>
      </w:r>
    </w:p>
    <w:p w:rsidR="00772CE4" w:rsidRPr="005F0BB0" w:rsidRDefault="00772CE4" w:rsidP="00772CE4">
      <w:r w:rsidRPr="005F0BB0">
        <w:t>In addition, the team has relied extensively on federal</w:t>
      </w:r>
      <w:r w:rsidR="009F332B" w:rsidRPr="005F0BB0">
        <w:t xml:space="preserve"> </w:t>
      </w:r>
      <w:r w:rsidRPr="005F0BB0">
        <w:t>researchers to develop foundation</w:t>
      </w:r>
      <w:r w:rsidR="00B81000" w:rsidRPr="005F0BB0">
        <w:t>al</w:t>
      </w:r>
      <w:r w:rsidRPr="005F0BB0">
        <w:t xml:space="preserve"> information for the survey and to check specific facts about</w:t>
      </w:r>
      <w:r w:rsidR="009F332B" w:rsidRPr="005F0BB0">
        <w:t xml:space="preserve"> the restoration actions</w:t>
      </w:r>
      <w:r w:rsidRPr="005F0BB0">
        <w:t>:</w:t>
      </w:r>
    </w:p>
    <w:p w:rsidR="009F332B" w:rsidRPr="005F0BB0" w:rsidRDefault="00EC5837" w:rsidP="009F332B">
      <w:pPr>
        <w:ind w:left="720"/>
      </w:pPr>
      <w:r w:rsidRPr="005F0BB0">
        <w:t xml:space="preserve">Dr. </w:t>
      </w:r>
      <w:r w:rsidR="009F332B" w:rsidRPr="005F0BB0">
        <w:t>George Pess</w:t>
      </w:r>
      <w:r w:rsidRPr="005F0BB0" w:rsidDel="00EC5837">
        <w:t xml:space="preserve"> </w:t>
      </w:r>
      <w:r w:rsidR="009F332B" w:rsidRPr="005F0BB0">
        <w:br/>
        <w:t>Supervisory Research Fisheries Biologist</w:t>
      </w:r>
      <w:r w:rsidR="009F332B" w:rsidRPr="005F0BB0">
        <w:br/>
        <w:t>NOAA Fisheries</w:t>
      </w:r>
    </w:p>
    <w:p w:rsidR="0047466B" w:rsidRPr="005F0BB0" w:rsidRDefault="00EC5837" w:rsidP="0047466B">
      <w:pPr>
        <w:ind w:left="720"/>
      </w:pPr>
      <w:r w:rsidRPr="005F0BB0">
        <w:t xml:space="preserve">Dr. </w:t>
      </w:r>
      <w:r w:rsidR="0047466B" w:rsidRPr="005F0BB0">
        <w:t xml:space="preserve">Kurt </w:t>
      </w:r>
      <w:r w:rsidR="00B81000" w:rsidRPr="005F0BB0">
        <w:t>Jenkins</w:t>
      </w:r>
      <w:r w:rsidRPr="005F0BB0" w:rsidDel="00EC5837">
        <w:t xml:space="preserve"> </w:t>
      </w:r>
      <w:r w:rsidR="0047466B" w:rsidRPr="005F0BB0">
        <w:br/>
        <w:t>Research Wildlife Biologist</w:t>
      </w:r>
      <w:r w:rsidR="0047466B" w:rsidRPr="005F0BB0">
        <w:br/>
        <w:t>U</w:t>
      </w:r>
      <w:r w:rsidR="008E0A35" w:rsidRPr="005F0BB0">
        <w:t>.</w:t>
      </w:r>
      <w:r w:rsidR="0047466B" w:rsidRPr="005F0BB0">
        <w:t>S</w:t>
      </w:r>
      <w:r w:rsidR="008E0A35" w:rsidRPr="005F0BB0">
        <w:t>. Geological Survey</w:t>
      </w:r>
      <w:r w:rsidR="0047466B" w:rsidRPr="005F0BB0">
        <w:t xml:space="preserve"> Forest and Rangeland Ecosystem Science Center</w:t>
      </w:r>
    </w:p>
    <w:p w:rsidR="00772CE4" w:rsidRPr="005F0BB0" w:rsidRDefault="00772CE4" w:rsidP="00772CE4">
      <w:pPr>
        <w:pStyle w:val="NormalWeb"/>
        <w:keepNext/>
        <w:spacing w:before="0" w:beforeAutospacing="0" w:after="240" w:afterAutospacing="0"/>
        <w:rPr>
          <w:b/>
          <w:bCs/>
        </w:rPr>
      </w:pPr>
      <w:r w:rsidRPr="005F0BB0">
        <w:rPr>
          <w:b/>
          <w:bCs/>
        </w:rPr>
        <w:t>Bibliography</w:t>
      </w:r>
    </w:p>
    <w:p w:rsidR="009071C5" w:rsidRPr="005F0BB0" w:rsidRDefault="009071C5" w:rsidP="00772CE4">
      <w:r w:rsidRPr="005F0BB0">
        <w:rPr>
          <w:rStyle w:val="Strong"/>
          <w:b w:val="0"/>
          <w:bCs w:val="0"/>
        </w:rPr>
        <w:t>Adamowicz, W., D. Dupont, and A. Krupnick.</w:t>
      </w:r>
      <w:r w:rsidRPr="005F0BB0">
        <w:rPr>
          <w:b/>
          <w:bCs/>
        </w:rPr>
        <w:t xml:space="preserve"> </w:t>
      </w:r>
      <w:r w:rsidRPr="005F0BB0">
        <w:t xml:space="preserve">2004. The value of good quality drinking water to Canadians and the role of risk perceptions: A preliminary analysis. </w:t>
      </w:r>
      <w:r w:rsidRPr="005F0BB0">
        <w:rPr>
          <w:i/>
          <w:iCs/>
        </w:rPr>
        <w:t>Journal of Toxicology and Environmental Health</w:t>
      </w:r>
      <w:r w:rsidRPr="005F0BB0">
        <w:t xml:space="preserve"> 67:1825</w:t>
      </w:r>
      <w:r w:rsidR="000D35D4" w:rsidRPr="005F0BB0">
        <w:t>–</w:t>
      </w:r>
      <w:r w:rsidRPr="005F0BB0">
        <w:t>1844.</w:t>
      </w:r>
    </w:p>
    <w:p w:rsidR="009071C5" w:rsidRPr="005F0BB0" w:rsidRDefault="009071C5" w:rsidP="00772CE4">
      <w:r w:rsidRPr="005F0BB0">
        <w:t xml:space="preserve">Adamowicz, W., J. Louviere, and M. Williams. 1994. Combining revealed and stated preference methods for valuing environmental amenities. </w:t>
      </w:r>
      <w:r w:rsidRPr="005F0BB0">
        <w:rPr>
          <w:i/>
        </w:rPr>
        <w:t xml:space="preserve">Journal of Environmental Economics and Management </w:t>
      </w:r>
      <w:r w:rsidRPr="005F0BB0">
        <w:t>26:271–292.</w:t>
      </w:r>
    </w:p>
    <w:p w:rsidR="009071C5" w:rsidRPr="005F0BB0" w:rsidRDefault="009071C5" w:rsidP="00772CE4">
      <w:r w:rsidRPr="005F0BB0">
        <w:t xml:space="preserve">Adamowicz, W., P. Boxall, M. Williams, and J. Louviere. 1998a. Stated preference approaches for measuring passive use values: Choice experiments and contingent valuation. </w:t>
      </w:r>
      <w:r w:rsidRPr="005F0BB0">
        <w:rPr>
          <w:i/>
          <w:iCs/>
        </w:rPr>
        <w:t>American Journal of Agricultural Economics</w:t>
      </w:r>
      <w:r w:rsidRPr="005F0BB0">
        <w:t xml:space="preserve"> 80:64–75.</w:t>
      </w:r>
    </w:p>
    <w:p w:rsidR="009071C5" w:rsidRPr="005F0BB0" w:rsidRDefault="009071C5" w:rsidP="008E0A35">
      <w:pPr>
        <w:keepLines/>
      </w:pPr>
      <w:r w:rsidRPr="005F0BB0">
        <w:t xml:space="preserve">Adamowicz, W.L., P. Boxall, J. Louviere, J. Swait, and M. Williams. 1998b. Stated preference methods for valuing environmental amenities. In </w:t>
      </w:r>
      <w:r w:rsidRPr="005F0BB0">
        <w:rPr>
          <w:i/>
          <w:iCs/>
        </w:rPr>
        <w:t>Valuing Environmental Preferences: Theory and Practice of the Contingent Valuation Method in the US, EC and Developing Countrie</w:t>
      </w:r>
      <w:r w:rsidR="000D35D4" w:rsidRPr="005F0BB0">
        <w:t>s, I. </w:t>
      </w:r>
      <w:r w:rsidRPr="005F0BB0">
        <w:t>Bateman and K. Willis (eds.). Oxford University Press, London, UK, pp. 460–479.</w:t>
      </w:r>
    </w:p>
    <w:p w:rsidR="009071C5" w:rsidRPr="005F0BB0" w:rsidRDefault="009071C5" w:rsidP="00772CE4">
      <w:r w:rsidRPr="005F0BB0">
        <w:t xml:space="preserve">Baker, L., T.H. Wagner, S. Singer, and M.K. Bundorf. 2003a. Use of the Internet and email for health care information: results from a national survey. </w:t>
      </w:r>
      <w:r w:rsidRPr="005F0BB0">
        <w:rPr>
          <w:i/>
          <w:iCs/>
        </w:rPr>
        <w:t>Journal of the American Medical Association</w:t>
      </w:r>
      <w:r w:rsidRPr="005F0BB0">
        <w:t xml:space="preserve"> 289:2400–2406.</w:t>
      </w:r>
    </w:p>
    <w:p w:rsidR="009071C5" w:rsidRPr="005F0BB0" w:rsidRDefault="009071C5" w:rsidP="00772CE4">
      <w:r w:rsidRPr="005F0BB0">
        <w:t>Baker, L.C., M.K. Bundorf, S. Singer, and T.H. Wagner. 2003b. Validity of the survey of health and the Internet, and Knowledge Network</w:t>
      </w:r>
      <w:r w:rsidR="00423BBB" w:rsidRPr="005F0BB0">
        <w:t>’</w:t>
      </w:r>
      <w:r w:rsidRPr="005F0BB0">
        <w:t xml:space="preserve">s panel and sampling. Stanford, CA, Stanford University. Available: </w:t>
      </w:r>
      <w:hyperlink r:id="rId9" w:history="1">
        <w:r w:rsidRPr="005F0BB0">
          <w:rPr>
            <w:rStyle w:val="Hyperlink"/>
          </w:rPr>
          <w:t>http://www.knowledgenetworks.com/ganp/reviewer-info.html</w:t>
        </w:r>
      </w:hyperlink>
      <w:r w:rsidRPr="005F0BB0">
        <w:t xml:space="preserve">. Accessed March 17, 2003. </w:t>
      </w:r>
    </w:p>
    <w:p w:rsidR="009071C5" w:rsidRPr="005F0BB0" w:rsidRDefault="009071C5" w:rsidP="00772CE4">
      <w:r w:rsidRPr="005F0BB0">
        <w:t xml:space="preserve">Batsell, R.R. and J.J. Louviere. 1991. Experimental analysis of choice. </w:t>
      </w:r>
      <w:r w:rsidRPr="005F0BB0">
        <w:rPr>
          <w:i/>
          <w:iCs/>
        </w:rPr>
        <w:t>Marketing Letters</w:t>
      </w:r>
      <w:r w:rsidRPr="005F0BB0">
        <w:t xml:space="preserve"> 2:199–214. </w:t>
      </w:r>
    </w:p>
    <w:p w:rsidR="009071C5" w:rsidRPr="005F0BB0" w:rsidRDefault="009071C5" w:rsidP="00772CE4">
      <w:pPr>
        <w:rPr>
          <w:szCs w:val="24"/>
        </w:rPr>
      </w:pPr>
      <w:r w:rsidRPr="005F0BB0">
        <w:lastRenderedPageBreak/>
        <w:t xml:space="preserve">Bausell, R.B. and Y. Li. 2002. </w:t>
      </w:r>
      <w:r w:rsidRPr="005F0BB0">
        <w:rPr>
          <w:i/>
          <w:iCs/>
        </w:rPr>
        <w:t>Power Analysis for Experimental Research.</w:t>
      </w:r>
      <w:r w:rsidRPr="005F0BB0">
        <w:t xml:space="preserve"> Cambridge University Press, Cambridge, UK.</w:t>
      </w:r>
    </w:p>
    <w:p w:rsidR="009071C5" w:rsidRPr="005F0BB0" w:rsidRDefault="009071C5" w:rsidP="00772CE4">
      <w:pPr>
        <w:rPr>
          <w:szCs w:val="24"/>
        </w:rPr>
      </w:pPr>
      <w:r w:rsidRPr="005F0BB0">
        <w:rPr>
          <w:szCs w:val="24"/>
        </w:rPr>
        <w:t xml:space="preserve">Beggs, S.D., N.S. Cardell, and J. Hausman. 1981. Assessing the potential demand for electric cars. </w:t>
      </w:r>
      <w:r w:rsidRPr="005F0BB0">
        <w:rPr>
          <w:i/>
          <w:iCs/>
          <w:szCs w:val="24"/>
        </w:rPr>
        <w:t xml:space="preserve">Journal of Economics </w:t>
      </w:r>
      <w:r w:rsidRPr="005F0BB0">
        <w:rPr>
          <w:szCs w:val="24"/>
        </w:rPr>
        <w:t xml:space="preserve">4:87–129. </w:t>
      </w:r>
    </w:p>
    <w:p w:rsidR="001443EA" w:rsidRPr="005F0BB0" w:rsidRDefault="0044454A" w:rsidP="001443EA">
      <w:pPr>
        <w:rPr>
          <w:highlight w:val="yellow"/>
          <w:lang w:val="en-CA"/>
        </w:rPr>
      </w:pPr>
      <w:r w:rsidRPr="005F0BB0">
        <w:rPr>
          <w:lang w:val="en-CA"/>
        </w:rPr>
        <w:t>Bishop, R.C., K.J. Boyle, M.P. Welsh, R.M. Baumgartner, and P.R. Rathbun. 1987. Glen Canyon Dam Releases and Downstream Recreation: An Analysis of User Preferences and Economic Values. Report prepared for Glen Canyon Environmental Studies, U.S. Bureau of Reclamation, by HBRS, Madison, WI.</w:t>
      </w:r>
    </w:p>
    <w:p w:rsidR="009071C5" w:rsidRPr="005F0BB0" w:rsidRDefault="009071C5" w:rsidP="00772CE4">
      <w:r w:rsidRPr="005F0BB0">
        <w:t xml:space="preserve">Breffle, W.S. and R.D. Rowe. 2002. Comparing choice question formats for evaluating natural resource tradeoffs. </w:t>
      </w:r>
      <w:r w:rsidRPr="005F0BB0">
        <w:rPr>
          <w:i/>
        </w:rPr>
        <w:t>Land Economics</w:t>
      </w:r>
      <w:r w:rsidRPr="005F0BB0">
        <w:t xml:space="preserve"> 78(2).</w:t>
      </w:r>
    </w:p>
    <w:p w:rsidR="009071C5" w:rsidRPr="005F0BB0" w:rsidRDefault="009071C5" w:rsidP="00772CE4">
      <w:pPr>
        <w:tabs>
          <w:tab w:val="left" w:pos="720"/>
          <w:tab w:val="left" w:pos="1152"/>
        </w:tabs>
      </w:pPr>
      <w:r w:rsidRPr="005F0BB0">
        <w:t xml:space="preserve">Breffle, W.S., E.R. Morey, R.D. Rowe, and D.M. Waldman. 2005. Combining stated-choice questions with observed behavior to value NRDA compensable damages: A case study of recreational fishing in Green Bay and the Lower Fox River. In </w:t>
      </w:r>
      <w:r w:rsidRPr="005F0BB0">
        <w:rPr>
          <w:i/>
        </w:rPr>
        <w:t>The Handbook of Contingent Valuation,</w:t>
      </w:r>
      <w:r w:rsidRPr="005F0BB0">
        <w:t xml:space="preserve"> D. Bjornstad, J. Kahn, and A. Alberini (eds.). Edward Elgar Publishing, Northampton, MA.</w:t>
      </w:r>
    </w:p>
    <w:p w:rsidR="009071C5" w:rsidRPr="005F0BB0" w:rsidRDefault="009071C5" w:rsidP="00772CE4">
      <w:r w:rsidRPr="005F0BB0">
        <w:t>Cameron, T. and J.R. DeShazo. 2005. Sample Selection in a Major Consumer Panel: Assessment and Correction Using Year 2000 Census Tract Characteristics and County-level Presidential Voting Patterns (</w:t>
      </w:r>
      <w:r w:rsidR="000D35D4" w:rsidRPr="005F0BB0">
        <w:t>D</w:t>
      </w:r>
      <w:r w:rsidRPr="005F0BB0">
        <w:t xml:space="preserve">raft). </w:t>
      </w:r>
    </w:p>
    <w:p w:rsidR="009071C5" w:rsidRPr="005F0BB0" w:rsidRDefault="009071C5" w:rsidP="00772CE4">
      <w:r w:rsidRPr="005F0BB0">
        <w:t xml:space="preserve">Cameron, T., W.D. Shaw, and S. Ragland. 1999. Nonresponse bias in mail survey data: Salience vs. endogenous survey complexity. In </w:t>
      </w:r>
      <w:r w:rsidRPr="005F0BB0">
        <w:rPr>
          <w:i/>
          <w:iCs/>
        </w:rPr>
        <w:t>Valuing the Environment Using Recreation Demand Models</w:t>
      </w:r>
      <w:r w:rsidRPr="005F0BB0">
        <w:t>, J.A. Herriges and C.L. Kling (eds.). Edward Elgar Publishing, Northampton, MA, pp. 217–251.</w:t>
      </w:r>
    </w:p>
    <w:p w:rsidR="009071C5" w:rsidRPr="005F0BB0" w:rsidRDefault="009071C5" w:rsidP="00772CE4">
      <w:r w:rsidRPr="005F0BB0">
        <w:t xml:space="preserve">Cattin, P. and D.R. Wittink. 1982. Commercial use of conjoint analysis: A survey. </w:t>
      </w:r>
      <w:r w:rsidRPr="005F0BB0">
        <w:rPr>
          <w:i/>
        </w:rPr>
        <w:t xml:space="preserve">Journal of Marketing </w:t>
      </w:r>
      <w:r w:rsidRPr="005F0BB0">
        <w:t>46:44–53.</w:t>
      </w:r>
    </w:p>
    <w:p w:rsidR="009071C5" w:rsidRPr="005F0BB0" w:rsidRDefault="009071C5" w:rsidP="00772CE4">
      <w:r w:rsidRPr="005F0BB0">
        <w:t xml:space="preserve">Elrod, T., J.J. Louviere, and K.S. Davey. 1992. An empirical comparison of ratings-based and choice-based conjoint models. </w:t>
      </w:r>
      <w:r w:rsidRPr="005F0BB0">
        <w:rPr>
          <w:i/>
        </w:rPr>
        <w:t xml:space="preserve">Journal of Marketing Research </w:t>
      </w:r>
      <w:r w:rsidRPr="005F0BB0">
        <w:t>30:368–377.</w:t>
      </w:r>
    </w:p>
    <w:p w:rsidR="009071C5" w:rsidRPr="005F0BB0" w:rsidRDefault="009071C5" w:rsidP="00772CE4">
      <w:r w:rsidRPr="005F0BB0">
        <w:t xml:space="preserve">Gan, C. and E.J. Luzar. 1993. A conjoint analysis of waterfowl hunting in Louisiana. </w:t>
      </w:r>
      <w:r w:rsidRPr="005F0BB0">
        <w:rPr>
          <w:i/>
        </w:rPr>
        <w:t xml:space="preserve">Journal of Agricultural and Applied Economics </w:t>
      </w:r>
      <w:r w:rsidRPr="005F0BB0">
        <w:t>25(2):36–45.</w:t>
      </w:r>
    </w:p>
    <w:p w:rsidR="009071C5" w:rsidRPr="005F0BB0" w:rsidRDefault="009071C5" w:rsidP="00772CE4">
      <w:r w:rsidRPr="005F0BB0">
        <w:t xml:space="preserve">Green, P.E. and V. Srinivasan. 1990. Conjoint analysis in marketing: New developments with implications for research and practice. </w:t>
      </w:r>
      <w:r w:rsidRPr="005F0BB0">
        <w:rPr>
          <w:i/>
        </w:rPr>
        <w:t xml:space="preserve">Journal of Marketing </w:t>
      </w:r>
      <w:r w:rsidRPr="005F0BB0">
        <w:t>October:3–19.</w:t>
      </w:r>
    </w:p>
    <w:p w:rsidR="009071C5" w:rsidRPr="005F0BB0" w:rsidRDefault="009071C5" w:rsidP="00772CE4">
      <w:r w:rsidRPr="005F0BB0">
        <w:t xml:space="preserve">Heckman, J. 1979. Sample selection bias as a specification error. </w:t>
      </w:r>
      <w:r w:rsidRPr="005F0BB0">
        <w:rPr>
          <w:i/>
          <w:iCs/>
        </w:rPr>
        <w:t>Econometrica</w:t>
      </w:r>
      <w:r w:rsidRPr="005F0BB0">
        <w:t xml:space="preserve"> 47(1):153–161.</w:t>
      </w:r>
    </w:p>
    <w:p w:rsidR="009071C5" w:rsidRPr="005F0BB0" w:rsidRDefault="009071C5" w:rsidP="00772CE4">
      <w:r w:rsidRPr="005F0BB0">
        <w:t xml:space="preserve">Hensher, D.A. 1994. Stated preference analysis of travel choices: The state of practice. </w:t>
      </w:r>
      <w:r w:rsidRPr="005F0BB0">
        <w:rPr>
          <w:i/>
        </w:rPr>
        <w:t xml:space="preserve">Transportation </w:t>
      </w:r>
      <w:r w:rsidRPr="005F0BB0">
        <w:t>21:107–133.</w:t>
      </w:r>
    </w:p>
    <w:p w:rsidR="009071C5" w:rsidRPr="005F0BB0" w:rsidRDefault="009071C5" w:rsidP="00772CE4">
      <w:r w:rsidRPr="005F0BB0">
        <w:lastRenderedPageBreak/>
        <w:t xml:space="preserve">Holmes, T.P. and W.L. Adamowicz. 2003. Attribute-based methods. In </w:t>
      </w:r>
      <w:r w:rsidRPr="005F0BB0">
        <w:rPr>
          <w:i/>
          <w:iCs/>
        </w:rPr>
        <w:t>A Primer on Nonmarket Valuation</w:t>
      </w:r>
      <w:r w:rsidRPr="005F0BB0">
        <w:t>, P.A. Champ, K.J. Boyle, and T.C. Brown (eds.). Kluwer Academic Publishers, Dordrecht, pp. 171–220.</w:t>
      </w:r>
    </w:p>
    <w:p w:rsidR="009071C5" w:rsidRPr="005F0BB0" w:rsidRDefault="009071C5" w:rsidP="00772CE4">
      <w:r w:rsidRPr="005F0BB0">
        <w:t>Huber, J., W.K. Viscusi, and J. Bell. 2004. The Value of Regional Water Improvements: Further Evidence. Presented at the Valuation of Ecological Benefits Conference, U.S. Environmental Protection Agency. October.</w:t>
      </w:r>
    </w:p>
    <w:p w:rsidR="009071C5" w:rsidRPr="005F0BB0" w:rsidRDefault="009071C5" w:rsidP="00772CE4">
      <w:pPr>
        <w:pStyle w:val="NormalWeb"/>
        <w:spacing w:before="0" w:beforeAutospacing="0" w:after="240" w:afterAutospacing="0"/>
      </w:pPr>
      <w:r w:rsidRPr="005F0BB0">
        <w:t xml:space="preserve">Johnson, F.R. and W.H. Desvousges. 1997. Estimating stated preferences with rated-pair data: Environmental, health, and employment effects of energy programs. </w:t>
      </w:r>
      <w:r w:rsidRPr="005F0BB0">
        <w:rPr>
          <w:i/>
          <w:iCs/>
        </w:rPr>
        <w:t xml:space="preserve">Journal of Environmental Economics and Management </w:t>
      </w:r>
      <w:r w:rsidRPr="005F0BB0">
        <w:t>34:79–99</w:t>
      </w:r>
      <w:r w:rsidRPr="005F0BB0">
        <w:rPr>
          <w:i/>
          <w:iCs/>
        </w:rPr>
        <w:t>.</w:t>
      </w:r>
    </w:p>
    <w:p w:rsidR="009071C5" w:rsidRPr="005F0BB0" w:rsidRDefault="009071C5" w:rsidP="00772CE4">
      <w:r w:rsidRPr="005F0BB0">
        <w:t>Johnson, F.R., W.H. Desvousges, E.E. Fries, and L.L. Wood. 1995. Conjoint Analysis of Individual and Aggregate Environmental Preferences. Triangle Economic Research Technical Working Paper No. T</w:t>
      </w:r>
      <w:r w:rsidRPr="005F0BB0">
        <w:noBreakHyphen/>
        <w:t>9502, Carey, NC.</w:t>
      </w:r>
    </w:p>
    <w:p w:rsidR="009071C5" w:rsidRPr="005F0BB0" w:rsidRDefault="009071C5" w:rsidP="00772CE4">
      <w:r w:rsidRPr="005F0BB0">
        <w:t xml:space="preserve">Kanninen, B. (ed.). 2007. </w:t>
      </w:r>
      <w:r w:rsidRPr="005F0BB0">
        <w:rPr>
          <w:i/>
        </w:rPr>
        <w:t>Valuing Environmental Amenities Using Stated Choice Studies</w:t>
      </w:r>
      <w:r w:rsidRPr="005F0BB0">
        <w:t>. 1st Edition. Springer Publications, Dordreich, The Netherlands</w:t>
      </w:r>
      <w:r w:rsidR="000D35D4" w:rsidRPr="005F0BB0">
        <w:t>.</w:t>
      </w:r>
    </w:p>
    <w:p w:rsidR="009071C5" w:rsidRPr="005F0BB0" w:rsidRDefault="009071C5" w:rsidP="00772CE4">
      <w:r w:rsidRPr="005F0BB0">
        <w:t xml:space="preserve">Kline, J. and D. Wichelns. 1996. Measuring public preferences for the environmental amenities provided by farmland. </w:t>
      </w:r>
      <w:r w:rsidRPr="005F0BB0">
        <w:rPr>
          <w:i/>
        </w:rPr>
        <w:t xml:space="preserve">European Review of Agricultural Economics </w:t>
      </w:r>
      <w:r w:rsidRPr="005F0BB0">
        <w:t>23:421–436.</w:t>
      </w:r>
    </w:p>
    <w:p w:rsidR="009071C5" w:rsidRPr="005F0BB0" w:rsidRDefault="009071C5" w:rsidP="00772CE4">
      <w:r w:rsidRPr="005F0BB0">
        <w:t xml:space="preserve">Krupnick A. and M.L. Cropper. 1992. The effects of information on health risk valuations. </w:t>
      </w:r>
      <w:r w:rsidRPr="005F0BB0">
        <w:rPr>
          <w:i/>
        </w:rPr>
        <w:t xml:space="preserve">Journal of Risk and Uncertainty </w:t>
      </w:r>
      <w:r w:rsidRPr="005F0BB0">
        <w:t>5:29–48.</w:t>
      </w:r>
    </w:p>
    <w:p w:rsidR="009071C5" w:rsidRPr="005F0BB0" w:rsidRDefault="009071C5" w:rsidP="00772CE4">
      <w:r w:rsidRPr="005F0BB0">
        <w:t xml:space="preserve">Lareau, T.J. and D.A. Rae. 1998. Valuing WTP for diesel odor reductions: An application of contingent ranking technique. </w:t>
      </w:r>
      <w:r w:rsidRPr="005F0BB0">
        <w:rPr>
          <w:i/>
        </w:rPr>
        <w:t xml:space="preserve">Southern Economics Journal </w:t>
      </w:r>
      <w:r w:rsidRPr="005F0BB0">
        <w:t>55(3):728–742.</w:t>
      </w:r>
    </w:p>
    <w:p w:rsidR="009071C5" w:rsidRPr="005F0BB0" w:rsidRDefault="009071C5" w:rsidP="00772CE4">
      <w:r w:rsidRPr="005F0BB0">
        <w:t>Layton, D. and G. Brown. 1998. Heterogeneous Preferences Regarding Global Climate Change. Presented at NOAA Applications of Stated Preference Methods to Resource Compensation Workshop, Washington, DC.</w:t>
      </w:r>
    </w:p>
    <w:p w:rsidR="008B4164" w:rsidRPr="005F0BB0" w:rsidRDefault="008B4164" w:rsidP="008B4164">
      <w:pPr>
        <w:rPr>
          <w:lang w:val="en-CA"/>
        </w:rPr>
      </w:pPr>
      <w:r w:rsidRPr="005F0BB0">
        <w:rPr>
          <w:lang w:val="en-CA"/>
        </w:rPr>
        <w:t xml:space="preserve">Loomis, J.B. 1996a. How large is the extent of the market for public goods: Evidence from a nationwide contingent valuation survey. </w:t>
      </w:r>
      <w:r w:rsidRPr="005F0BB0">
        <w:rPr>
          <w:i/>
          <w:iCs/>
          <w:lang w:val="en-CA"/>
        </w:rPr>
        <w:t xml:space="preserve">Applied Economics </w:t>
      </w:r>
      <w:r w:rsidRPr="005F0BB0">
        <w:rPr>
          <w:lang w:val="en-CA"/>
        </w:rPr>
        <w:t>28:77–782.</w:t>
      </w:r>
    </w:p>
    <w:p w:rsidR="008B4164" w:rsidRPr="005F0BB0" w:rsidRDefault="008B4164" w:rsidP="008B4164">
      <w:pPr>
        <w:rPr>
          <w:lang w:val="en-CA"/>
        </w:rPr>
      </w:pPr>
      <w:r w:rsidRPr="005F0BB0">
        <w:rPr>
          <w:lang w:val="en-CA"/>
        </w:rPr>
        <w:t xml:space="preserve">Loomis, J.B. 1996b. Measuring the economic benefits of removing dams and restoring the Elwha River: Results of a contingent valuation survey. </w:t>
      </w:r>
      <w:r w:rsidRPr="005F0BB0">
        <w:rPr>
          <w:i/>
          <w:iCs/>
          <w:lang w:val="en-CA"/>
        </w:rPr>
        <w:t>Water Resources Research</w:t>
      </w:r>
      <w:r w:rsidRPr="005F0BB0">
        <w:rPr>
          <w:lang w:val="en-CA"/>
        </w:rPr>
        <w:t xml:space="preserve"> 32(2):441–447.</w:t>
      </w:r>
    </w:p>
    <w:p w:rsidR="009071C5" w:rsidRPr="005F0BB0" w:rsidRDefault="009071C5" w:rsidP="00772CE4">
      <w:r w:rsidRPr="005F0BB0">
        <w:t xml:space="preserve">Louviere, J.J. 1988. Conjoint analysis modeling of stated preferences. </w:t>
      </w:r>
      <w:r w:rsidRPr="005F0BB0">
        <w:rPr>
          <w:i/>
        </w:rPr>
        <w:t xml:space="preserve">Journal of Transport Economics and Policy </w:t>
      </w:r>
      <w:r w:rsidRPr="005F0BB0">
        <w:t>10:93–119.</w:t>
      </w:r>
    </w:p>
    <w:p w:rsidR="009071C5" w:rsidRPr="005F0BB0" w:rsidRDefault="009071C5" w:rsidP="00772CE4">
      <w:r w:rsidRPr="005F0BB0">
        <w:t xml:space="preserve">Louviere, J.J. 1992. Experimental choice analysis: Introduction and overview. </w:t>
      </w:r>
      <w:r w:rsidRPr="005F0BB0">
        <w:rPr>
          <w:i/>
        </w:rPr>
        <w:t xml:space="preserve">Journal of Business Research </w:t>
      </w:r>
      <w:r w:rsidRPr="005F0BB0">
        <w:t>24:89–95.</w:t>
      </w:r>
    </w:p>
    <w:p w:rsidR="009071C5" w:rsidRPr="005F0BB0" w:rsidRDefault="009071C5" w:rsidP="00772CE4">
      <w:r w:rsidRPr="005F0BB0">
        <w:t xml:space="preserve">Louviere, J.J. 1994. Conjoint Analysis. In </w:t>
      </w:r>
      <w:r w:rsidRPr="005F0BB0">
        <w:rPr>
          <w:i/>
        </w:rPr>
        <w:t xml:space="preserve">Advances in Marketing Research, </w:t>
      </w:r>
      <w:r w:rsidRPr="005F0BB0">
        <w:t>R. Bagozzi (ed.). Blackwell Publishers, Cambridge, MA.</w:t>
      </w:r>
    </w:p>
    <w:p w:rsidR="009071C5" w:rsidRPr="005F0BB0" w:rsidRDefault="009071C5" w:rsidP="00772CE4">
      <w:r w:rsidRPr="005F0BB0">
        <w:lastRenderedPageBreak/>
        <w:t xml:space="preserve">Louviere, J.J. and G. Woodward. 1983. Design and analysis of simulated consumer choice or allocation experiments: An approach based on aggregated data. </w:t>
      </w:r>
      <w:r w:rsidRPr="005F0BB0">
        <w:rPr>
          <w:i/>
        </w:rPr>
        <w:t xml:space="preserve">Journal of Marketing Research </w:t>
      </w:r>
      <w:r w:rsidRPr="005F0BB0">
        <w:t>20:350</w:t>
      </w:r>
      <w:r w:rsidR="000D35D4" w:rsidRPr="005F0BB0">
        <w:t>–</w:t>
      </w:r>
      <w:r w:rsidRPr="005F0BB0">
        <w:t>367.</w:t>
      </w:r>
    </w:p>
    <w:p w:rsidR="009071C5" w:rsidRPr="005F0BB0" w:rsidRDefault="009071C5" w:rsidP="00772CE4">
      <w:r w:rsidRPr="005F0BB0">
        <w:t xml:space="preserve">Louviere, J.J., D.A. Hensher, and J. Swait. 2000. </w:t>
      </w:r>
      <w:r w:rsidRPr="005F0BB0">
        <w:rPr>
          <w:i/>
          <w:iCs/>
        </w:rPr>
        <w:t>Stated Choice Methods: Analysis and Application</w:t>
      </w:r>
      <w:r w:rsidRPr="005F0BB0">
        <w:t>. Cambridge University Press, Cambridge, UK.</w:t>
      </w:r>
    </w:p>
    <w:p w:rsidR="009071C5" w:rsidRPr="005F0BB0" w:rsidRDefault="009071C5" w:rsidP="00772CE4">
      <w:r w:rsidRPr="005F0BB0">
        <w:t xml:space="preserve">Mackenzie, J. 1993. A comparison of contingent preference models. </w:t>
      </w:r>
      <w:r w:rsidRPr="005F0BB0">
        <w:rPr>
          <w:i/>
        </w:rPr>
        <w:t xml:space="preserve">American Journal of Agricultural Economics </w:t>
      </w:r>
      <w:r w:rsidRPr="005F0BB0">
        <w:t>75:593</w:t>
      </w:r>
      <w:r w:rsidR="000D35D4" w:rsidRPr="005F0BB0">
        <w:t>–</w:t>
      </w:r>
      <w:r w:rsidRPr="005F0BB0">
        <w:t>603.</w:t>
      </w:r>
    </w:p>
    <w:p w:rsidR="009071C5" w:rsidRPr="005F0BB0" w:rsidRDefault="009071C5" w:rsidP="00772CE4">
      <w:r w:rsidRPr="005F0BB0">
        <w:t xml:space="preserve">Magat, W.A., W.K. Viscusi, and J. Huber. 1988. Paired comparison and contingent valuation approaches to morbidity risk valuation. </w:t>
      </w:r>
      <w:r w:rsidRPr="005F0BB0">
        <w:rPr>
          <w:i/>
        </w:rPr>
        <w:t>Journal of Environmental Economics and Management</w:t>
      </w:r>
      <w:r w:rsidR="000D35D4" w:rsidRPr="005F0BB0">
        <w:t xml:space="preserve"> </w:t>
      </w:r>
      <w:bookmarkStart w:id="0" w:name="_GoBack"/>
      <w:bookmarkEnd w:id="0"/>
      <w:r w:rsidR="000D35D4" w:rsidRPr="005F0BB0">
        <w:t>15:395–</w:t>
      </w:r>
      <w:r w:rsidRPr="005F0BB0">
        <w:t>411.</w:t>
      </w:r>
    </w:p>
    <w:p w:rsidR="001443EA" w:rsidRPr="005F0BB0" w:rsidRDefault="008B4164" w:rsidP="001443EA">
      <w:pPr>
        <w:rPr>
          <w:highlight w:val="yellow"/>
        </w:rPr>
      </w:pPr>
      <w:r w:rsidRPr="005F0BB0">
        <w:t xml:space="preserve">Martinez, E. and B. Babbitt. 1996. </w:t>
      </w:r>
      <w:r w:rsidRPr="005F0BB0">
        <w:rPr>
          <w:i/>
        </w:rPr>
        <w:t>Record of Decision, Operation of Glen Canyon Dam</w:t>
      </w:r>
      <w:r w:rsidRPr="005F0BB0">
        <w:t xml:space="preserve">. Final Environmental Impact Statement, Appendix G, October. Available: </w:t>
      </w:r>
      <w:hyperlink r:id="rId10" w:history="1">
        <w:r w:rsidRPr="005F0BB0">
          <w:rPr>
            <w:rStyle w:val="Hyperlink"/>
          </w:rPr>
          <w:t>http://www.usbr.gov/uc/rm/amp/pdfs/sp_appndxG_ROD.pdf</w:t>
        </w:r>
      </w:hyperlink>
      <w:r w:rsidRPr="005F0BB0">
        <w:t>. Accessed October 31, 2009.</w:t>
      </w:r>
    </w:p>
    <w:p w:rsidR="009071C5" w:rsidRPr="005F0BB0" w:rsidRDefault="009071C5" w:rsidP="00772CE4">
      <w:r w:rsidRPr="005F0BB0">
        <w:t>Mathews, K.E., W.H. Desvousges, F.R. Johnson, and M.C. Ruby. 1997. Using Economic Models to Inform Restoration Decisions: The Lavaca Bay, Texas Experience. TER technical report prepared for presentation at the Conference on Restoration of Lost Human Uses of the Environment, Washington, DC. May 7</w:t>
      </w:r>
      <w:r w:rsidR="000D35D4" w:rsidRPr="005F0BB0">
        <w:t>–</w:t>
      </w:r>
      <w:r w:rsidRPr="005F0BB0">
        <w:t>8.</w:t>
      </w:r>
    </w:p>
    <w:p w:rsidR="009071C5" w:rsidRPr="005F0BB0" w:rsidRDefault="009071C5" w:rsidP="00772CE4">
      <w:r w:rsidRPr="005F0BB0">
        <w:t>Morey, E.R., T. Buchanan, and D.M. Waldman. 1999a. Happy (hypothetical) Trails to You: The Impact of Trail Characteristics and Access Fees on a Mountain Biker</w:t>
      </w:r>
      <w:r w:rsidR="00423BBB" w:rsidRPr="005F0BB0">
        <w:t>’</w:t>
      </w:r>
      <w:r w:rsidRPr="005F0BB0">
        <w:t>s Trail Selection and Consumer</w:t>
      </w:r>
      <w:r w:rsidR="00423BBB" w:rsidRPr="005F0BB0">
        <w:t>’</w:t>
      </w:r>
      <w:r w:rsidRPr="005F0BB0">
        <w:t>s Surplus. Working paper, University of Colorado, Boulder.</w:t>
      </w:r>
    </w:p>
    <w:p w:rsidR="001443EA" w:rsidRPr="005F0BB0" w:rsidRDefault="001443EA" w:rsidP="001443EA">
      <w:pPr>
        <w:tabs>
          <w:tab w:val="left" w:pos="-1440"/>
        </w:tabs>
      </w:pPr>
      <w:r w:rsidRPr="005F0BB0">
        <w:t xml:space="preserve">Morey, E.R., K.G. Rossmann, L. Chestnut, and S. Ragland. 1999b. Estimating E[WTP] for reducing acid deposition injuries to cultural resources: Using choice experiments in a group setting to estimate passive-use values. Chapter 10 in </w:t>
      </w:r>
      <w:r w:rsidRPr="005F0BB0">
        <w:rPr>
          <w:i/>
        </w:rPr>
        <w:t>Valuing Cultural Heritage: Applying Environmental Valuation Techniques to Historic Buildings, Monuments and Artifacts,</w:t>
      </w:r>
      <w:r w:rsidRPr="005F0BB0">
        <w:t xml:space="preserve"> S. Narvud and R.C. Ready (eds.). Edward Elgar Publishing, Cheltenham, UK and Northampton, MA. </w:t>
      </w:r>
    </w:p>
    <w:p w:rsidR="009071C5" w:rsidRPr="005F0BB0" w:rsidRDefault="009071C5" w:rsidP="00772CE4">
      <w:r w:rsidRPr="005F0BB0">
        <w:t>Morikawa T., M. Ben-Akiva, and D. McFadden. 1990. Incorporating Psychometric Data in Econometric Travel Demand Models. Prepared for the Banff Invitational Symposium on Consumer Decision Making and Choice Behavior.</w:t>
      </w:r>
    </w:p>
    <w:p w:rsidR="00DC6590" w:rsidRPr="005F0BB0" w:rsidRDefault="00DC6590" w:rsidP="00772CE4">
      <w:r w:rsidRPr="005F0BB0">
        <w:t xml:space="preserve">National Oceanic and Atmospheric Administration (NOAA) . 2008. </w:t>
      </w:r>
      <w:r w:rsidRPr="005F0BB0">
        <w:rPr>
          <w:i/>
        </w:rPr>
        <w:t>Elwha River Fish Restoration Plan Developed Pursuant to the Elwha River Ecosystem and Fisheries Restoration Act, Public Law 102-495</w:t>
      </w:r>
      <w:r w:rsidRPr="005F0BB0">
        <w:t>.  NOAA Technical Memorandum NMFS-NWFSC-90  (</w:t>
      </w:r>
      <w:hyperlink r:id="rId11" w:history="1">
        <w:r w:rsidRPr="005F0BB0">
          <w:rPr>
            <w:rStyle w:val="Hyperlink"/>
          </w:rPr>
          <w:t>http://www.nwfsc.noaa.gov/assets/25/6760_06202008_151914_ElwhaPlanTM90Final.pdf</w:t>
        </w:r>
      </w:hyperlink>
      <w:r w:rsidRPr="005F0BB0">
        <w:t>)</w:t>
      </w:r>
    </w:p>
    <w:p w:rsidR="009071C5" w:rsidRPr="005F0BB0" w:rsidRDefault="009071C5" w:rsidP="00772CE4">
      <w:r w:rsidRPr="005F0BB0">
        <w:t xml:space="preserve">Opaluch, J.J., S.K. Swallow, T. Weaver, C.W. Wessells, and D. Wichelns. 1993. Evaluating impacts from noxious facilities: Including public preferences in current siting mechanisms. </w:t>
      </w:r>
      <w:r w:rsidRPr="005F0BB0">
        <w:rPr>
          <w:i/>
        </w:rPr>
        <w:t xml:space="preserve">Journal of Environmental Economics and Management </w:t>
      </w:r>
      <w:r w:rsidRPr="005F0BB0">
        <w:t>24:41</w:t>
      </w:r>
      <w:r w:rsidR="000D35D4" w:rsidRPr="005F0BB0">
        <w:t>–</w:t>
      </w:r>
      <w:r w:rsidRPr="005F0BB0">
        <w:t>59.</w:t>
      </w:r>
    </w:p>
    <w:p w:rsidR="009071C5" w:rsidRPr="005F0BB0" w:rsidRDefault="009071C5" w:rsidP="00772CE4">
      <w:r w:rsidRPr="005F0BB0">
        <w:t>Orme, B. 1998. Sample Size Issues for Conjoint Analysis Studies. Sawtooth Software Research Paper Series, Sawtooth Software, Inc.</w:t>
      </w:r>
    </w:p>
    <w:p w:rsidR="009071C5" w:rsidRPr="005F0BB0" w:rsidRDefault="009071C5" w:rsidP="00772CE4">
      <w:r w:rsidRPr="005F0BB0">
        <w:lastRenderedPageBreak/>
        <w:t xml:space="preserve">Rae, D.A. 1983. The value to visitors of improving visibility at Mesa Verde and Great Smokey National Parks. In </w:t>
      </w:r>
      <w:r w:rsidRPr="005F0BB0">
        <w:rPr>
          <w:i/>
        </w:rPr>
        <w:t xml:space="preserve">Managing Air Quality and Scenic Resources at National Parks and Wilderness Areas, </w:t>
      </w:r>
      <w:r w:rsidRPr="005F0BB0">
        <w:t>R.D. Rowe and L.G. Chestnut (eds.). Westview Press, Boulder, CO, pp. 217–234.</w:t>
      </w:r>
    </w:p>
    <w:p w:rsidR="009071C5" w:rsidRPr="005F0BB0" w:rsidRDefault="009071C5" w:rsidP="00772CE4">
      <w:r w:rsidRPr="005F0BB0">
        <w:t xml:space="preserve">Roe, B., K.J. Boyle, and M.F. Teisl. 1996. Using conjoint analysis to derive estimates of compensating variation. </w:t>
      </w:r>
      <w:r w:rsidRPr="005F0BB0">
        <w:rPr>
          <w:i/>
        </w:rPr>
        <w:t xml:space="preserve">Journal of Environmental Economics and Management </w:t>
      </w:r>
      <w:r w:rsidRPr="005F0BB0">
        <w:t>31:145</w:t>
      </w:r>
      <w:r w:rsidR="000D35D4" w:rsidRPr="005F0BB0">
        <w:t>–</w:t>
      </w:r>
      <w:r w:rsidRPr="005F0BB0">
        <w:t>150.</w:t>
      </w:r>
    </w:p>
    <w:p w:rsidR="009071C5" w:rsidRPr="005F0BB0" w:rsidRDefault="009071C5" w:rsidP="00772CE4">
      <w:pPr>
        <w:pStyle w:val="NormalWeb"/>
        <w:spacing w:before="0" w:beforeAutospacing="0" w:after="240" w:afterAutospacing="0"/>
      </w:pPr>
      <w:r w:rsidRPr="005F0BB0">
        <w:t>Ruby, M.C., F.R. Johnson, and K.E. Mathews. 1998. Just Say No: Assessing Opt-Out Options in a Discrete-Choice Stated-Preference Survey of Anglers. TER Technical Working Paper No. T</w:t>
      </w:r>
      <w:r w:rsidRPr="005F0BB0">
        <w:noBreakHyphen/>
        <w:t>9801. Triangle Economic Research, Durham, NC.</w:t>
      </w:r>
    </w:p>
    <w:p w:rsidR="009071C5" w:rsidRPr="005F0BB0" w:rsidRDefault="009071C5" w:rsidP="00772CE4">
      <w:pPr>
        <w:rPr>
          <w:szCs w:val="21"/>
        </w:rPr>
      </w:pPr>
      <w:r w:rsidRPr="005F0BB0">
        <w:rPr>
          <w:szCs w:val="21"/>
        </w:rPr>
        <w:t xml:space="preserve">Singer, E. 2002. The use of incentives to reduce nonresponse in household surveys. In </w:t>
      </w:r>
      <w:r w:rsidRPr="005F0BB0">
        <w:rPr>
          <w:i/>
          <w:iCs/>
          <w:szCs w:val="21"/>
        </w:rPr>
        <w:t>Survey Nonresponse</w:t>
      </w:r>
      <w:r w:rsidRPr="005F0BB0">
        <w:rPr>
          <w:szCs w:val="21"/>
        </w:rPr>
        <w:t>, R.M. Groves, D.A. Dillman, J.L. Eltinge, and R.J.A. Little (eds.).</w:t>
      </w:r>
      <w:r w:rsidRPr="005F0BB0">
        <w:rPr>
          <w:i/>
          <w:iCs/>
          <w:szCs w:val="21"/>
        </w:rPr>
        <w:t xml:space="preserve"> </w:t>
      </w:r>
      <w:r w:rsidRPr="005F0BB0">
        <w:rPr>
          <w:szCs w:val="21"/>
        </w:rPr>
        <w:t>Wiley, New York, pp. 163–178.</w:t>
      </w:r>
    </w:p>
    <w:p w:rsidR="009071C5" w:rsidRPr="005F0BB0" w:rsidRDefault="009071C5" w:rsidP="00772CE4">
      <w:r w:rsidRPr="005F0BB0">
        <w:t>Swait, J., W. Adamowicz, and J. Louviere. 1998. Attribute-Based Stated Choice Methods for Resource Compensation: An Application to Oil Spill Damage Assessment. Prepared for Presentation at the Natural Resources Trustee Workshop on Applications of Stated Preference Methods to Resource Compensation, Washington, DC. June 1–2.</w:t>
      </w:r>
    </w:p>
    <w:p w:rsidR="009071C5" w:rsidRPr="005F0BB0" w:rsidRDefault="009071C5" w:rsidP="00772CE4">
      <w:r w:rsidRPr="005F0BB0">
        <w:t xml:space="preserve">Viscusi, W.K., W.A. Magat, and J. Huber. 1991. Pricing environmental health risks: Survey assessments of risk-risk and risk-dollar trade-offs for chronic bronchitis. </w:t>
      </w:r>
      <w:r w:rsidRPr="005F0BB0">
        <w:rPr>
          <w:i/>
        </w:rPr>
        <w:t xml:space="preserve">Journal of Environmental Economics and Management </w:t>
      </w:r>
      <w:r w:rsidRPr="005F0BB0">
        <w:t>21:32–51.</w:t>
      </w:r>
    </w:p>
    <w:p w:rsidR="001443EA" w:rsidRPr="005F0BB0" w:rsidRDefault="008B4164" w:rsidP="001443EA">
      <w:pPr>
        <w:rPr>
          <w:lang w:val="en-CA"/>
        </w:rPr>
      </w:pPr>
      <w:r w:rsidRPr="005F0BB0">
        <w:rPr>
          <w:lang w:val="en-CA"/>
        </w:rPr>
        <w:t xml:space="preserve">Welsh, M.P., R.C. Bishop, M.L. Phillips, and R.M. Baumgartner. 1997. </w:t>
      </w:r>
      <w:r w:rsidRPr="005F0BB0">
        <w:rPr>
          <w:i/>
          <w:lang w:val="en-CA"/>
        </w:rPr>
        <w:t>Glen Canyon Dam, Colorado River Storage Project, Arizona: Nonuse Values Study Final Report</w:t>
      </w:r>
      <w:r w:rsidRPr="005F0BB0">
        <w:rPr>
          <w:lang w:val="en-CA"/>
        </w:rPr>
        <w:t>. PB98-105406. National Technical Information Service, Springfield, VA.</w:t>
      </w:r>
    </w:p>
    <w:p w:rsidR="009071C5" w:rsidRPr="005F0BB0" w:rsidRDefault="009071C5" w:rsidP="00772CE4">
      <w:r w:rsidRPr="005F0BB0">
        <w:t xml:space="preserve">Wittink, D.R. and P. Cattin. 1989. Commercial use of conjoint analysis: An update. </w:t>
      </w:r>
      <w:r w:rsidRPr="005F0BB0">
        <w:rPr>
          <w:i/>
        </w:rPr>
        <w:t xml:space="preserve">Journal of Marketing </w:t>
      </w:r>
      <w:r w:rsidRPr="005F0BB0">
        <w:t>53:91–96.</w:t>
      </w:r>
    </w:p>
    <w:sectPr w:rsidR="009071C5" w:rsidRPr="005F0BB0" w:rsidSect="00423BBB">
      <w:footerReference w:type="default" r:id="rId12"/>
      <w:footerReference w:type="first" r:id="rId13"/>
      <w:pgSz w:w="12240" w:h="15840" w:code="1"/>
      <w:pgMar w:top="1440" w:right="1440" w:bottom="1440" w:left="1440" w:header="1080" w:footer="10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BE" w:rsidRDefault="00D427BE">
      <w:pPr>
        <w:spacing w:after="0"/>
      </w:pPr>
      <w:r>
        <w:separator/>
      </w:r>
    </w:p>
  </w:endnote>
  <w:endnote w:type="continuationSeparator" w:id="0">
    <w:p w:rsidR="00D427BE" w:rsidRDefault="00D427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B7" w:rsidRDefault="00A159B7">
    <w:pPr>
      <w:pStyle w:val="Footer"/>
      <w:spacing w:after="0"/>
    </w:pPr>
    <w:r>
      <w:t xml:space="preserve">Page </w:t>
    </w:r>
    <w:r>
      <w:fldChar w:fldCharType="begin"/>
    </w:r>
    <w:r>
      <w:instrText xml:space="preserve">page </w:instrText>
    </w:r>
    <w:r>
      <w:fldChar w:fldCharType="separate"/>
    </w:r>
    <w:r w:rsidR="00970B0D">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B7" w:rsidRDefault="00A159B7">
    <w:pPr>
      <w:pStyle w:val="Footer"/>
      <w:spacing w:after="0"/>
      <w:rPr>
        <w:b w:val="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BE" w:rsidRDefault="00D427BE">
      <w:pPr>
        <w:spacing w:after="60"/>
      </w:pPr>
      <w:r>
        <w:separator/>
      </w:r>
    </w:p>
  </w:footnote>
  <w:footnote w:type="continuationSeparator" w:id="0">
    <w:p w:rsidR="00D427BE" w:rsidRDefault="00D427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40F3"/>
    <w:multiLevelType w:val="hybridMultilevel"/>
    <w:tmpl w:val="38043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B180A"/>
    <w:multiLevelType w:val="multilevel"/>
    <w:tmpl w:val="49E678F8"/>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2">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3">
    <w:nsid w:val="2D6B16B2"/>
    <w:multiLevelType w:val="multilevel"/>
    <w:tmpl w:val="00000000"/>
    <w:lvl w:ilvl="0">
      <w:start w:val="1"/>
      <w:numFmt w:val="none"/>
      <w:lvlText w:val="}"/>
      <w:legacy w:legacy="1" w:legacySpace="0" w:legacyIndent="720"/>
      <w:lvlJc w:val="left"/>
      <w:pPr>
        <w:ind w:left="1830" w:hanging="720"/>
      </w:pPr>
      <w:rPr>
        <w:rFonts w:ascii="Wingdings 3" w:hAnsi="Wingdings 3" w:hint="default"/>
      </w:rPr>
    </w:lvl>
    <w:lvl w:ilvl="1">
      <w:start w:val="1"/>
      <w:numFmt w:val="none"/>
      <w:lvlText w:val="ú"/>
      <w:legacy w:legacy="1" w:legacySpace="0" w:legacyIndent="720"/>
      <w:lvlJc w:val="left"/>
      <w:pPr>
        <w:ind w:left="2550" w:hanging="720"/>
      </w:pPr>
      <w:rPr>
        <w:rFonts w:ascii="Wingdings" w:hAnsi="Wingdings" w:hint="default"/>
      </w:rPr>
    </w:lvl>
    <w:lvl w:ilvl="2">
      <w:start w:val="1"/>
      <w:numFmt w:val="none"/>
      <w:lvlText w:val="—"/>
      <w:legacy w:legacy="1" w:legacySpace="0" w:legacyIndent="720"/>
      <w:lvlJc w:val="left"/>
      <w:pPr>
        <w:ind w:left="3270" w:hanging="720"/>
      </w:pPr>
      <w:rPr>
        <w:rFonts w:ascii="Times New Roman" w:hAnsi="Times New Roman" w:cs="Times New Roman" w:hint="default"/>
      </w:rPr>
    </w:lvl>
    <w:lvl w:ilvl="3">
      <w:start w:val="1"/>
      <w:numFmt w:val="lowerLetter"/>
      <w:lvlText w:val="%4)"/>
      <w:legacy w:legacy="1" w:legacySpace="0" w:legacyIndent="720"/>
      <w:lvlJc w:val="left"/>
      <w:pPr>
        <w:ind w:left="3990" w:hanging="720"/>
      </w:pPr>
    </w:lvl>
    <w:lvl w:ilvl="4">
      <w:start w:val="1"/>
      <w:numFmt w:val="decimal"/>
      <w:lvlText w:val="(%5)"/>
      <w:legacy w:legacy="1" w:legacySpace="0" w:legacyIndent="720"/>
      <w:lvlJc w:val="left"/>
      <w:pPr>
        <w:ind w:left="4710" w:hanging="720"/>
      </w:pPr>
    </w:lvl>
    <w:lvl w:ilvl="5">
      <w:start w:val="1"/>
      <w:numFmt w:val="lowerLetter"/>
      <w:lvlText w:val="(%6)"/>
      <w:legacy w:legacy="1" w:legacySpace="0" w:legacyIndent="720"/>
      <w:lvlJc w:val="left"/>
      <w:pPr>
        <w:ind w:left="5430" w:hanging="720"/>
      </w:pPr>
    </w:lvl>
    <w:lvl w:ilvl="6">
      <w:start w:val="1"/>
      <w:numFmt w:val="lowerRoman"/>
      <w:lvlText w:val="(%7)"/>
      <w:legacy w:legacy="1" w:legacySpace="0" w:legacyIndent="720"/>
      <w:lvlJc w:val="left"/>
      <w:pPr>
        <w:ind w:left="6150" w:hanging="720"/>
      </w:pPr>
    </w:lvl>
    <w:lvl w:ilvl="7">
      <w:start w:val="1"/>
      <w:numFmt w:val="lowerLetter"/>
      <w:lvlText w:val="(%8)"/>
      <w:legacy w:legacy="1" w:legacySpace="0" w:legacyIndent="720"/>
      <w:lvlJc w:val="left"/>
      <w:pPr>
        <w:ind w:left="6870" w:hanging="720"/>
      </w:pPr>
    </w:lvl>
    <w:lvl w:ilvl="8">
      <w:start w:val="1"/>
      <w:numFmt w:val="lowerRoman"/>
      <w:lvlText w:val="(%9)"/>
      <w:legacy w:legacy="1" w:legacySpace="0" w:legacyIndent="720"/>
      <w:lvlJc w:val="left"/>
      <w:pPr>
        <w:ind w:left="7590" w:hanging="720"/>
      </w:pPr>
    </w:lvl>
  </w:abstractNum>
  <w:abstractNum w:abstractNumId="4">
    <w:nsid w:val="345737F5"/>
    <w:multiLevelType w:val="hybridMultilevel"/>
    <w:tmpl w:val="5964D08C"/>
    <w:lvl w:ilvl="0" w:tplc="7C30B42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15485"/>
    <w:multiLevelType w:val="singleLevel"/>
    <w:tmpl w:val="865285A4"/>
    <w:lvl w:ilvl="0">
      <w:start w:val="1"/>
      <w:numFmt w:val="decimal"/>
      <w:lvlText w:val="%1."/>
      <w:lvlJc w:val="left"/>
      <w:pPr>
        <w:tabs>
          <w:tab w:val="num" w:pos="720"/>
        </w:tabs>
        <w:ind w:left="720" w:hanging="720"/>
      </w:pPr>
    </w:lvl>
  </w:abstractNum>
  <w:abstractNum w:abstractNumId="6">
    <w:nsid w:val="4D43397E"/>
    <w:multiLevelType w:val="hybridMultilevel"/>
    <w:tmpl w:val="AF76F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BE060C2"/>
    <w:multiLevelType w:val="singleLevel"/>
    <w:tmpl w:val="865285A4"/>
    <w:lvl w:ilvl="0">
      <w:start w:val="1"/>
      <w:numFmt w:val="decimal"/>
      <w:lvlText w:val="%1."/>
      <w:lvlJc w:val="left"/>
      <w:pPr>
        <w:tabs>
          <w:tab w:val="num" w:pos="720"/>
        </w:tabs>
        <w:ind w:left="720" w:hanging="720"/>
      </w:pPr>
    </w:lvl>
  </w:abstractNum>
  <w:abstractNum w:abstractNumId="9">
    <w:nsid w:val="61937F05"/>
    <w:multiLevelType w:val="hybridMultilevel"/>
    <w:tmpl w:val="C48C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B39F7"/>
    <w:multiLevelType w:val="multilevel"/>
    <w:tmpl w:val="D3F4E0AE"/>
    <w:lvl w:ilvl="0">
      <w:start w:val="1"/>
      <w:numFmt w:val="none"/>
      <w:lvlRestart w:val="0"/>
      <w:pStyle w:val="StratusBullets"/>
      <w:lvlText w:val="}"/>
      <w:lvlJc w:val="left"/>
      <w:pPr>
        <w:ind w:left="720" w:hanging="720"/>
      </w:pPr>
      <w:rPr>
        <w:rFonts w:ascii="Wingdings 3" w:hAnsi="Wingdings 3" w:hint="default"/>
      </w:rPr>
    </w:lvl>
    <w:lvl w:ilvl="1">
      <w:start w:val="1"/>
      <w:numFmt w:val="none"/>
      <w:pStyle w:val="StratusBullets2"/>
      <w:lvlText w:val=""/>
      <w:lvlJc w:val="left"/>
      <w:pPr>
        <w:ind w:left="1440" w:hanging="720"/>
      </w:pPr>
      <w:rPr>
        <w:rFonts w:ascii="Wingdings" w:hAnsi="Wingdings" w:hint="default"/>
      </w:rPr>
    </w:lvl>
    <w:lvl w:ilvl="2">
      <w:start w:val="1"/>
      <w:numFmt w:val="none"/>
      <w:pStyle w:val="StratusBullets3"/>
      <w:lvlText w:val="—"/>
      <w:lvlJc w:val="left"/>
      <w:pPr>
        <w:ind w:left="2160" w:hanging="7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7"/>
  </w:num>
  <w:num w:numId="13">
    <w:abstractNumId w:val="8"/>
  </w:num>
  <w:num w:numId="14">
    <w:abstractNumId w:val="5"/>
  </w:num>
  <w:num w:numId="15">
    <w:abstractNumId w:val="2"/>
  </w:num>
  <w:num w:numId="16">
    <w:abstractNumId w:val="10"/>
  </w:num>
  <w:num w:numId="17">
    <w:abstractNumId w:val="9"/>
  </w:num>
  <w:num w:numId="18">
    <w:abstractNumId w:val="0"/>
  </w:num>
  <w:num w:numId="19">
    <w:abstractNumId w:val="4"/>
  </w:num>
  <w:num w:numId="20">
    <w:abstractNumId w:val="6"/>
  </w:num>
  <w:num w:numId="21">
    <w:abstractNumId w:val="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830"/>
    <w:rsid w:val="000118D4"/>
    <w:rsid w:val="000215ED"/>
    <w:rsid w:val="00044DF1"/>
    <w:rsid w:val="000468E1"/>
    <w:rsid w:val="0008232C"/>
    <w:rsid w:val="00094690"/>
    <w:rsid w:val="000C2B47"/>
    <w:rsid w:val="000C585D"/>
    <w:rsid w:val="000D35D4"/>
    <w:rsid w:val="000E52B3"/>
    <w:rsid w:val="000F2398"/>
    <w:rsid w:val="001443EA"/>
    <w:rsid w:val="001654DA"/>
    <w:rsid w:val="0018586C"/>
    <w:rsid w:val="001D6EE1"/>
    <w:rsid w:val="00210606"/>
    <w:rsid w:val="00211BFD"/>
    <w:rsid w:val="00211EA7"/>
    <w:rsid w:val="00245F2D"/>
    <w:rsid w:val="002602FF"/>
    <w:rsid w:val="002678C9"/>
    <w:rsid w:val="00282CD4"/>
    <w:rsid w:val="0029282F"/>
    <w:rsid w:val="002B04DE"/>
    <w:rsid w:val="002D3C7E"/>
    <w:rsid w:val="002E3BE4"/>
    <w:rsid w:val="002F3A75"/>
    <w:rsid w:val="00315E44"/>
    <w:rsid w:val="00317E90"/>
    <w:rsid w:val="00320553"/>
    <w:rsid w:val="00364542"/>
    <w:rsid w:val="003A0B02"/>
    <w:rsid w:val="003F142B"/>
    <w:rsid w:val="00400CA5"/>
    <w:rsid w:val="00423BBB"/>
    <w:rsid w:val="0044454A"/>
    <w:rsid w:val="00464DDF"/>
    <w:rsid w:val="0047466B"/>
    <w:rsid w:val="00483007"/>
    <w:rsid w:val="00485B88"/>
    <w:rsid w:val="004A536E"/>
    <w:rsid w:val="004B0137"/>
    <w:rsid w:val="004B3681"/>
    <w:rsid w:val="004E4B9C"/>
    <w:rsid w:val="00565256"/>
    <w:rsid w:val="00573D69"/>
    <w:rsid w:val="005A483F"/>
    <w:rsid w:val="005B23E9"/>
    <w:rsid w:val="005C184B"/>
    <w:rsid w:val="005D35BA"/>
    <w:rsid w:val="005F0BB0"/>
    <w:rsid w:val="006128B7"/>
    <w:rsid w:val="0061714A"/>
    <w:rsid w:val="00631FFE"/>
    <w:rsid w:val="00636180"/>
    <w:rsid w:val="006465F1"/>
    <w:rsid w:val="00675835"/>
    <w:rsid w:val="006819F6"/>
    <w:rsid w:val="006856A8"/>
    <w:rsid w:val="006B5BA4"/>
    <w:rsid w:val="006D62E0"/>
    <w:rsid w:val="00704794"/>
    <w:rsid w:val="00707D9E"/>
    <w:rsid w:val="007537B7"/>
    <w:rsid w:val="00772CE4"/>
    <w:rsid w:val="00776830"/>
    <w:rsid w:val="007768D8"/>
    <w:rsid w:val="007B765C"/>
    <w:rsid w:val="007B7FF5"/>
    <w:rsid w:val="007F0299"/>
    <w:rsid w:val="00854CA1"/>
    <w:rsid w:val="008A6A4C"/>
    <w:rsid w:val="008B152C"/>
    <w:rsid w:val="008B4164"/>
    <w:rsid w:val="008B6244"/>
    <w:rsid w:val="008C188C"/>
    <w:rsid w:val="008D2110"/>
    <w:rsid w:val="008E0A35"/>
    <w:rsid w:val="009071C5"/>
    <w:rsid w:val="0094193D"/>
    <w:rsid w:val="00956755"/>
    <w:rsid w:val="00970B0D"/>
    <w:rsid w:val="00974C9C"/>
    <w:rsid w:val="009B431A"/>
    <w:rsid w:val="009B7F13"/>
    <w:rsid w:val="009E265B"/>
    <w:rsid w:val="009F332B"/>
    <w:rsid w:val="00A067A1"/>
    <w:rsid w:val="00A159B7"/>
    <w:rsid w:val="00A3657C"/>
    <w:rsid w:val="00A46352"/>
    <w:rsid w:val="00A46D19"/>
    <w:rsid w:val="00A523CB"/>
    <w:rsid w:val="00A936EB"/>
    <w:rsid w:val="00AA1C93"/>
    <w:rsid w:val="00AE2303"/>
    <w:rsid w:val="00AF6E23"/>
    <w:rsid w:val="00B05B36"/>
    <w:rsid w:val="00B233EB"/>
    <w:rsid w:val="00B3227E"/>
    <w:rsid w:val="00B81000"/>
    <w:rsid w:val="00B8304F"/>
    <w:rsid w:val="00B95CAE"/>
    <w:rsid w:val="00B96155"/>
    <w:rsid w:val="00BA7B5C"/>
    <w:rsid w:val="00BB77D6"/>
    <w:rsid w:val="00BD7A36"/>
    <w:rsid w:val="00BF0EA3"/>
    <w:rsid w:val="00C333AB"/>
    <w:rsid w:val="00C66A42"/>
    <w:rsid w:val="00C83AE7"/>
    <w:rsid w:val="00C91EEC"/>
    <w:rsid w:val="00CA6149"/>
    <w:rsid w:val="00CF6713"/>
    <w:rsid w:val="00D20702"/>
    <w:rsid w:val="00D427BE"/>
    <w:rsid w:val="00D548FD"/>
    <w:rsid w:val="00DC2692"/>
    <w:rsid w:val="00DC6590"/>
    <w:rsid w:val="00DE08C4"/>
    <w:rsid w:val="00DF656B"/>
    <w:rsid w:val="00E131E8"/>
    <w:rsid w:val="00E45459"/>
    <w:rsid w:val="00E82AA0"/>
    <w:rsid w:val="00E93989"/>
    <w:rsid w:val="00EA1FE3"/>
    <w:rsid w:val="00EC2AEA"/>
    <w:rsid w:val="00EC5837"/>
    <w:rsid w:val="00F13637"/>
    <w:rsid w:val="00F66C4F"/>
    <w:rsid w:val="00F81B16"/>
    <w:rsid w:val="00F9478D"/>
    <w:rsid w:val="00FD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B88"/>
    <w:pPr>
      <w:spacing w:after="240"/>
    </w:pPr>
    <w:rPr>
      <w:sz w:val="24"/>
    </w:rPr>
  </w:style>
  <w:style w:type="paragraph" w:styleId="Heading1">
    <w:name w:val="heading 1"/>
    <w:basedOn w:val="Normal"/>
    <w:next w:val="Normal"/>
    <w:qFormat/>
    <w:rsid w:val="007B765C"/>
    <w:pPr>
      <w:keepNext/>
      <w:numPr>
        <w:numId w:val="11"/>
      </w:numPr>
      <w:tabs>
        <w:tab w:val="clear" w:pos="720"/>
      </w:tabs>
      <w:spacing w:before="480"/>
      <w:outlineLvl w:val="0"/>
    </w:pPr>
    <w:rPr>
      <w:b/>
      <w:kern w:val="28"/>
      <w:sz w:val="40"/>
    </w:rPr>
  </w:style>
  <w:style w:type="paragraph" w:styleId="Heading2">
    <w:name w:val="heading 2"/>
    <w:basedOn w:val="Normal"/>
    <w:next w:val="Normal"/>
    <w:qFormat/>
    <w:rsid w:val="007B765C"/>
    <w:pPr>
      <w:keepNext/>
      <w:numPr>
        <w:ilvl w:val="1"/>
        <w:numId w:val="11"/>
      </w:numPr>
      <w:tabs>
        <w:tab w:val="clear" w:pos="720"/>
      </w:tabs>
      <w:spacing w:before="480"/>
      <w:outlineLvl w:val="1"/>
    </w:pPr>
    <w:rPr>
      <w:b/>
      <w:sz w:val="32"/>
    </w:rPr>
  </w:style>
  <w:style w:type="paragraph" w:styleId="Heading3">
    <w:name w:val="heading 3"/>
    <w:basedOn w:val="Normal"/>
    <w:next w:val="Normal"/>
    <w:qFormat/>
    <w:rsid w:val="007B765C"/>
    <w:pPr>
      <w:keepNext/>
      <w:numPr>
        <w:ilvl w:val="2"/>
        <w:numId w:val="11"/>
      </w:numPr>
      <w:tabs>
        <w:tab w:val="clear" w:pos="1080"/>
      </w:tabs>
      <w:spacing w:before="480"/>
      <w:outlineLvl w:val="2"/>
    </w:pPr>
    <w:rPr>
      <w:b/>
    </w:rPr>
  </w:style>
  <w:style w:type="paragraph" w:styleId="Heading4">
    <w:name w:val="heading 4"/>
    <w:basedOn w:val="Heading1"/>
    <w:next w:val="Normal"/>
    <w:qFormat/>
    <w:pPr>
      <w:numPr>
        <w:ilvl w:val="3"/>
      </w:numPr>
      <w:ind w:left="720"/>
      <w:outlineLvl w:val="3"/>
    </w:pPr>
    <w:rPr>
      <w:sz w:val="24"/>
    </w:rPr>
  </w:style>
  <w:style w:type="paragraph" w:styleId="Heading5">
    <w:name w:val="heading 5"/>
    <w:basedOn w:val="Heading4"/>
    <w:next w:val="Normal"/>
    <w:qFormat/>
    <w:pPr>
      <w:numPr>
        <w:ilvl w:val="0"/>
        <w:numId w:val="0"/>
      </w:numPr>
      <w:ind w:left="720"/>
      <w:outlineLvl w:val="4"/>
    </w:pPr>
    <w:rPr>
      <w:i/>
    </w:rPr>
  </w:style>
  <w:style w:type="paragraph" w:styleId="Heading6">
    <w:name w:val="heading 6"/>
    <w:basedOn w:val="Heading5"/>
    <w:next w:val="Normal"/>
    <w:qFormat/>
    <w:pPr>
      <w:outlineLvl w:val="5"/>
    </w:pPr>
    <w:rPr>
      <w:b w:val="0"/>
    </w:rPr>
  </w:style>
  <w:style w:type="paragraph" w:styleId="Heading7">
    <w:name w:val="heading 7"/>
    <w:basedOn w:val="Normal"/>
    <w:next w:val="Normal"/>
    <w:link w:val="Heading7Char"/>
    <w:qFormat/>
    <w:rsid w:val="00776830"/>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outlineLvl w:val="0"/>
    </w:pPr>
    <w:rPr>
      <w:b/>
      <w:kern w:val="28"/>
      <w:sz w:val="48"/>
    </w:rPr>
  </w:style>
  <w:style w:type="paragraph" w:styleId="FootnoteText">
    <w:name w:val="footnote text"/>
    <w:basedOn w:val="Normal"/>
    <w:link w:val="FootnoteTextChar"/>
    <w:uiPriority w:val="99"/>
    <w:semiHidden/>
    <w:rsid w:val="00BB77D6"/>
    <w:pPr>
      <w:numPr>
        <w:numId w:val="15"/>
      </w:numPr>
      <w:spacing w:after="120"/>
    </w:pPr>
    <w:rPr>
      <w:sz w:val="21"/>
    </w:rPr>
  </w:style>
  <w:style w:type="paragraph" w:styleId="Caption">
    <w:name w:val="caption"/>
    <w:basedOn w:val="Normal"/>
    <w:next w:val="Normal"/>
    <w:qFormat/>
    <w:pPr>
      <w:keepNext/>
      <w:spacing w:before="120" w:after="120"/>
    </w:pPr>
    <w:rPr>
      <w:b/>
    </w:rPr>
  </w:style>
  <w:style w:type="character" w:styleId="FootnoteReference">
    <w:name w:val="footnote reference"/>
    <w:basedOn w:val="DefaultParagraphFont"/>
    <w:uiPriority w:val="99"/>
    <w:semiHidden/>
    <w:rsid w:val="00BB77D6"/>
    <w:rPr>
      <w:rFonts w:ascii="Times New Roman" w:hAnsi="Times New Roman"/>
      <w:caps w:val="0"/>
      <w:smallCaps/>
      <w:sz w:val="21"/>
      <w:vertAlign w:val="baseline"/>
    </w:rPr>
  </w:style>
  <w:style w:type="paragraph" w:customStyle="1" w:styleId="TableTitle">
    <w:name w:val="Table Title"/>
    <w:basedOn w:val="Normal"/>
    <w:pPr>
      <w:spacing w:after="0"/>
    </w:pPr>
    <w:rPr>
      <w:b/>
    </w:rPr>
  </w:style>
  <w:style w:type="paragraph" w:styleId="ListParagraph">
    <w:name w:val="List Paragraph"/>
    <w:basedOn w:val="Normal"/>
    <w:uiPriority w:val="34"/>
    <w:qFormat/>
    <w:rsid w:val="00CA6149"/>
    <w:pPr>
      <w:ind w:left="720"/>
    </w:pPr>
  </w:style>
  <w:style w:type="paragraph" w:customStyle="1" w:styleId="FigureTitle">
    <w:name w:val="Figure Title"/>
    <w:basedOn w:val="Normal"/>
    <w:rsid w:val="00A46352"/>
    <w:pPr>
      <w:spacing w:after="120"/>
    </w:pPr>
    <w:rPr>
      <w:b/>
    </w:rPr>
  </w:style>
  <w:style w:type="paragraph" w:customStyle="1" w:styleId="FigureSource">
    <w:name w:val="Figure Source"/>
    <w:basedOn w:val="FigureTitle"/>
    <w:rsid w:val="00A46352"/>
    <w:rPr>
      <w:b w:val="0"/>
      <w:sz w:val="21"/>
    </w:rPr>
  </w:style>
  <w:style w:type="character" w:customStyle="1" w:styleId="Heading7Char">
    <w:name w:val="Heading 7 Char"/>
    <w:basedOn w:val="DefaultParagraphFont"/>
    <w:link w:val="Heading7"/>
    <w:rsid w:val="00776830"/>
    <w:rPr>
      <w:b/>
      <w:sz w:val="24"/>
    </w:rPr>
  </w:style>
  <w:style w:type="paragraph" w:styleId="Footer">
    <w:name w:val="footer"/>
    <w:basedOn w:val="Normal"/>
    <w:link w:val="FooterChar"/>
    <w:semiHidden/>
    <w:rsid w:val="00776830"/>
    <w:pPr>
      <w:tabs>
        <w:tab w:val="center" w:pos="4320"/>
        <w:tab w:val="right" w:pos="8640"/>
      </w:tabs>
      <w:jc w:val="center"/>
    </w:pPr>
    <w:rPr>
      <w:b/>
      <w:sz w:val="21"/>
    </w:rPr>
  </w:style>
  <w:style w:type="character" w:customStyle="1" w:styleId="FooterChar">
    <w:name w:val="Footer Char"/>
    <w:basedOn w:val="DefaultParagraphFont"/>
    <w:link w:val="Footer"/>
    <w:semiHidden/>
    <w:rsid w:val="00776830"/>
    <w:rPr>
      <w:b/>
      <w:sz w:val="21"/>
    </w:rPr>
  </w:style>
  <w:style w:type="character" w:styleId="Hyperlink">
    <w:name w:val="Hyperlink"/>
    <w:basedOn w:val="DefaultParagraphFont"/>
    <w:uiPriority w:val="99"/>
    <w:unhideWhenUsed/>
    <w:rsid w:val="00772CE4"/>
    <w:rPr>
      <w:color w:val="0000FF" w:themeColor="hyperlink"/>
      <w:u w:val="single"/>
    </w:rPr>
  </w:style>
  <w:style w:type="paragraph" w:styleId="NormalWeb">
    <w:name w:val="Normal (Web)"/>
    <w:basedOn w:val="Normal"/>
    <w:uiPriority w:val="99"/>
    <w:rsid w:val="00772CE4"/>
    <w:pPr>
      <w:spacing w:before="100" w:beforeAutospacing="1" w:after="100" w:afterAutospacing="1"/>
    </w:pPr>
    <w:rPr>
      <w:szCs w:val="24"/>
    </w:rPr>
  </w:style>
  <w:style w:type="character" w:styleId="Strong">
    <w:name w:val="Strong"/>
    <w:basedOn w:val="DefaultParagraphFont"/>
    <w:qFormat/>
    <w:rsid w:val="00772CE4"/>
    <w:rPr>
      <w:b/>
      <w:bCs/>
    </w:rPr>
  </w:style>
  <w:style w:type="paragraph" w:styleId="BodyText">
    <w:name w:val="Body Text"/>
    <w:basedOn w:val="Normal"/>
    <w:link w:val="BodyTextChar"/>
    <w:semiHidden/>
    <w:rsid w:val="00772CE4"/>
    <w:pPr>
      <w:widowControl w:val="0"/>
      <w:autoSpaceDE w:val="0"/>
      <w:autoSpaceDN w:val="0"/>
      <w:adjustRightInd w:val="0"/>
      <w:spacing w:after="0"/>
    </w:pPr>
  </w:style>
  <w:style w:type="character" w:customStyle="1" w:styleId="BodyTextChar">
    <w:name w:val="Body Text Char"/>
    <w:basedOn w:val="DefaultParagraphFont"/>
    <w:link w:val="BodyText"/>
    <w:semiHidden/>
    <w:rsid w:val="00772CE4"/>
    <w:rPr>
      <w:sz w:val="24"/>
    </w:rPr>
  </w:style>
  <w:style w:type="paragraph" w:customStyle="1" w:styleId="StratusBullets">
    <w:name w:val="StratusBullets"/>
    <w:basedOn w:val="Normal"/>
    <w:rsid w:val="00C333AB"/>
    <w:pPr>
      <w:numPr>
        <w:numId w:val="16"/>
      </w:numPr>
    </w:pPr>
  </w:style>
  <w:style w:type="paragraph" w:customStyle="1" w:styleId="StratusBullets2">
    <w:name w:val="StratusBullets2"/>
    <w:basedOn w:val="Normal"/>
    <w:rsid w:val="00C333AB"/>
    <w:pPr>
      <w:numPr>
        <w:ilvl w:val="1"/>
        <w:numId w:val="16"/>
      </w:numPr>
    </w:pPr>
  </w:style>
  <w:style w:type="paragraph" w:customStyle="1" w:styleId="StratusBullets3">
    <w:name w:val="StratusBullets3"/>
    <w:basedOn w:val="Normal"/>
    <w:rsid w:val="00C333AB"/>
    <w:pPr>
      <w:numPr>
        <w:ilvl w:val="2"/>
        <w:numId w:val="16"/>
      </w:numPr>
    </w:pPr>
  </w:style>
  <w:style w:type="character" w:styleId="CommentReference">
    <w:name w:val="annotation reference"/>
    <w:basedOn w:val="DefaultParagraphFont"/>
    <w:uiPriority w:val="99"/>
    <w:semiHidden/>
    <w:unhideWhenUsed/>
    <w:rsid w:val="00675835"/>
    <w:rPr>
      <w:sz w:val="16"/>
      <w:szCs w:val="16"/>
    </w:rPr>
  </w:style>
  <w:style w:type="paragraph" w:styleId="CommentText">
    <w:name w:val="annotation text"/>
    <w:basedOn w:val="Normal"/>
    <w:link w:val="CommentTextChar"/>
    <w:uiPriority w:val="99"/>
    <w:semiHidden/>
    <w:unhideWhenUsed/>
    <w:rsid w:val="00675835"/>
    <w:rPr>
      <w:sz w:val="20"/>
    </w:rPr>
  </w:style>
  <w:style w:type="character" w:customStyle="1" w:styleId="CommentTextChar">
    <w:name w:val="Comment Text Char"/>
    <w:basedOn w:val="DefaultParagraphFont"/>
    <w:link w:val="CommentText"/>
    <w:uiPriority w:val="99"/>
    <w:semiHidden/>
    <w:rsid w:val="00675835"/>
  </w:style>
  <w:style w:type="paragraph" w:styleId="CommentSubject">
    <w:name w:val="annotation subject"/>
    <w:basedOn w:val="CommentText"/>
    <w:next w:val="CommentText"/>
    <w:link w:val="CommentSubjectChar"/>
    <w:uiPriority w:val="99"/>
    <w:semiHidden/>
    <w:unhideWhenUsed/>
    <w:rsid w:val="00675835"/>
    <w:rPr>
      <w:b/>
      <w:bCs/>
    </w:rPr>
  </w:style>
  <w:style w:type="character" w:customStyle="1" w:styleId="CommentSubjectChar">
    <w:name w:val="Comment Subject Char"/>
    <w:basedOn w:val="CommentTextChar"/>
    <w:link w:val="CommentSubject"/>
    <w:uiPriority w:val="99"/>
    <w:semiHidden/>
    <w:rsid w:val="00675835"/>
    <w:rPr>
      <w:b/>
      <w:bCs/>
    </w:rPr>
  </w:style>
  <w:style w:type="paragraph" w:styleId="BalloonText">
    <w:name w:val="Balloon Text"/>
    <w:basedOn w:val="Normal"/>
    <w:link w:val="BalloonTextChar"/>
    <w:uiPriority w:val="99"/>
    <w:semiHidden/>
    <w:unhideWhenUsed/>
    <w:rsid w:val="006758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835"/>
    <w:rPr>
      <w:rFonts w:ascii="Tahoma" w:hAnsi="Tahoma" w:cs="Tahoma"/>
      <w:sz w:val="16"/>
      <w:szCs w:val="16"/>
    </w:rPr>
  </w:style>
  <w:style w:type="paragraph" w:styleId="Revision">
    <w:name w:val="Revision"/>
    <w:hidden/>
    <w:uiPriority w:val="99"/>
    <w:semiHidden/>
    <w:rsid w:val="00675835"/>
    <w:rPr>
      <w:sz w:val="24"/>
    </w:rPr>
  </w:style>
  <w:style w:type="paragraph" w:styleId="Header">
    <w:name w:val="header"/>
    <w:basedOn w:val="Normal"/>
    <w:link w:val="HeaderChar"/>
    <w:uiPriority w:val="99"/>
    <w:unhideWhenUsed/>
    <w:rsid w:val="007768D8"/>
    <w:pPr>
      <w:tabs>
        <w:tab w:val="center" w:pos="4680"/>
        <w:tab w:val="right" w:pos="9360"/>
      </w:tabs>
      <w:spacing w:after="0"/>
    </w:pPr>
  </w:style>
  <w:style w:type="character" w:customStyle="1" w:styleId="HeaderChar">
    <w:name w:val="Header Char"/>
    <w:basedOn w:val="DefaultParagraphFont"/>
    <w:link w:val="Header"/>
    <w:uiPriority w:val="99"/>
    <w:rsid w:val="007768D8"/>
    <w:rPr>
      <w:sz w:val="24"/>
    </w:rPr>
  </w:style>
  <w:style w:type="character" w:styleId="FollowedHyperlink">
    <w:name w:val="FollowedHyperlink"/>
    <w:basedOn w:val="DefaultParagraphFont"/>
    <w:uiPriority w:val="99"/>
    <w:semiHidden/>
    <w:unhideWhenUsed/>
    <w:rsid w:val="008B4164"/>
    <w:rPr>
      <w:color w:val="800080" w:themeColor="followedHyperlink"/>
      <w:u w:val="single"/>
    </w:rPr>
  </w:style>
  <w:style w:type="table" w:styleId="TableGrid">
    <w:name w:val="Table Grid"/>
    <w:basedOn w:val="TableNormal"/>
    <w:rsid w:val="002E3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BodyText">
    <w:name w:val="Proposal Body Text"/>
    <w:basedOn w:val="BodyText"/>
    <w:link w:val="ProposalBodyTextChar"/>
    <w:rsid w:val="00210606"/>
    <w:pPr>
      <w:widowControl/>
      <w:autoSpaceDE/>
      <w:autoSpaceDN/>
      <w:adjustRightInd/>
      <w:spacing w:before="160" w:after="160"/>
      <w:ind w:left="907"/>
      <w:jc w:val="both"/>
    </w:pPr>
    <w:rPr>
      <w:rFonts w:ascii="Arial" w:hAnsi="Arial" w:cs="Arial"/>
      <w:sz w:val="22"/>
      <w:szCs w:val="24"/>
    </w:rPr>
  </w:style>
  <w:style w:type="character" w:customStyle="1" w:styleId="ProposalBodyTextChar">
    <w:name w:val="Proposal Body Text Char"/>
    <w:link w:val="ProposalBodyText"/>
    <w:rsid w:val="00210606"/>
    <w:rPr>
      <w:rFonts w:ascii="Arial" w:hAnsi="Arial" w:cs="Arial"/>
      <w:sz w:val="22"/>
      <w:szCs w:val="24"/>
    </w:rPr>
  </w:style>
  <w:style w:type="character" w:customStyle="1" w:styleId="FootnoteTextChar">
    <w:name w:val="Footnote Text Char"/>
    <w:link w:val="FootnoteText"/>
    <w:uiPriority w:val="99"/>
    <w:semiHidden/>
    <w:rsid w:val="0029282F"/>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B88"/>
    <w:pPr>
      <w:spacing w:after="240"/>
    </w:pPr>
    <w:rPr>
      <w:sz w:val="24"/>
    </w:rPr>
  </w:style>
  <w:style w:type="paragraph" w:styleId="Heading1">
    <w:name w:val="heading 1"/>
    <w:basedOn w:val="Normal"/>
    <w:next w:val="Normal"/>
    <w:qFormat/>
    <w:rsid w:val="007B765C"/>
    <w:pPr>
      <w:keepNext/>
      <w:numPr>
        <w:numId w:val="11"/>
      </w:numPr>
      <w:tabs>
        <w:tab w:val="clear" w:pos="720"/>
      </w:tabs>
      <w:spacing w:before="480"/>
      <w:outlineLvl w:val="0"/>
    </w:pPr>
    <w:rPr>
      <w:b/>
      <w:kern w:val="28"/>
      <w:sz w:val="40"/>
    </w:rPr>
  </w:style>
  <w:style w:type="paragraph" w:styleId="Heading2">
    <w:name w:val="heading 2"/>
    <w:basedOn w:val="Normal"/>
    <w:next w:val="Normal"/>
    <w:qFormat/>
    <w:rsid w:val="007B765C"/>
    <w:pPr>
      <w:keepNext/>
      <w:numPr>
        <w:ilvl w:val="1"/>
        <w:numId w:val="11"/>
      </w:numPr>
      <w:tabs>
        <w:tab w:val="clear" w:pos="720"/>
      </w:tabs>
      <w:spacing w:before="480"/>
      <w:outlineLvl w:val="1"/>
    </w:pPr>
    <w:rPr>
      <w:b/>
      <w:sz w:val="32"/>
    </w:rPr>
  </w:style>
  <w:style w:type="paragraph" w:styleId="Heading3">
    <w:name w:val="heading 3"/>
    <w:basedOn w:val="Normal"/>
    <w:next w:val="Normal"/>
    <w:qFormat/>
    <w:rsid w:val="007B765C"/>
    <w:pPr>
      <w:keepNext/>
      <w:numPr>
        <w:ilvl w:val="2"/>
        <w:numId w:val="11"/>
      </w:numPr>
      <w:tabs>
        <w:tab w:val="clear" w:pos="1080"/>
      </w:tabs>
      <w:spacing w:before="480"/>
      <w:outlineLvl w:val="2"/>
    </w:pPr>
    <w:rPr>
      <w:b/>
    </w:rPr>
  </w:style>
  <w:style w:type="paragraph" w:styleId="Heading4">
    <w:name w:val="heading 4"/>
    <w:basedOn w:val="Heading1"/>
    <w:next w:val="Normal"/>
    <w:qFormat/>
    <w:pPr>
      <w:numPr>
        <w:ilvl w:val="3"/>
      </w:numPr>
      <w:ind w:left="720"/>
      <w:outlineLvl w:val="3"/>
    </w:pPr>
    <w:rPr>
      <w:sz w:val="24"/>
    </w:rPr>
  </w:style>
  <w:style w:type="paragraph" w:styleId="Heading5">
    <w:name w:val="heading 5"/>
    <w:basedOn w:val="Heading4"/>
    <w:next w:val="Normal"/>
    <w:qFormat/>
    <w:pPr>
      <w:numPr>
        <w:ilvl w:val="0"/>
        <w:numId w:val="0"/>
      </w:numPr>
      <w:ind w:left="720"/>
      <w:outlineLvl w:val="4"/>
    </w:pPr>
    <w:rPr>
      <w:i/>
    </w:rPr>
  </w:style>
  <w:style w:type="paragraph" w:styleId="Heading6">
    <w:name w:val="heading 6"/>
    <w:basedOn w:val="Heading5"/>
    <w:next w:val="Normal"/>
    <w:qFormat/>
    <w:pPr>
      <w:outlineLvl w:val="5"/>
    </w:pPr>
    <w:rPr>
      <w:b w:val="0"/>
    </w:rPr>
  </w:style>
  <w:style w:type="paragraph" w:styleId="Heading7">
    <w:name w:val="heading 7"/>
    <w:basedOn w:val="Normal"/>
    <w:next w:val="Normal"/>
    <w:link w:val="Heading7Char"/>
    <w:qFormat/>
    <w:rsid w:val="00776830"/>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outlineLvl w:val="0"/>
    </w:pPr>
    <w:rPr>
      <w:b/>
      <w:kern w:val="28"/>
      <w:sz w:val="48"/>
    </w:rPr>
  </w:style>
  <w:style w:type="paragraph" w:styleId="FootnoteText">
    <w:name w:val="footnote text"/>
    <w:basedOn w:val="Normal"/>
    <w:link w:val="FootnoteTextChar"/>
    <w:uiPriority w:val="99"/>
    <w:semiHidden/>
    <w:rsid w:val="00BB77D6"/>
    <w:pPr>
      <w:numPr>
        <w:numId w:val="15"/>
      </w:numPr>
      <w:spacing w:after="120"/>
    </w:pPr>
    <w:rPr>
      <w:sz w:val="21"/>
    </w:rPr>
  </w:style>
  <w:style w:type="paragraph" w:styleId="Caption">
    <w:name w:val="caption"/>
    <w:basedOn w:val="Normal"/>
    <w:next w:val="Normal"/>
    <w:qFormat/>
    <w:pPr>
      <w:keepNext/>
      <w:spacing w:before="120" w:after="120"/>
    </w:pPr>
    <w:rPr>
      <w:b/>
    </w:rPr>
  </w:style>
  <w:style w:type="character" w:styleId="FootnoteReference">
    <w:name w:val="footnote reference"/>
    <w:basedOn w:val="DefaultParagraphFont"/>
    <w:uiPriority w:val="99"/>
    <w:semiHidden/>
    <w:rsid w:val="00BB77D6"/>
    <w:rPr>
      <w:rFonts w:ascii="Times New Roman" w:hAnsi="Times New Roman"/>
      <w:caps w:val="0"/>
      <w:smallCaps/>
      <w:sz w:val="21"/>
      <w:vertAlign w:val="baseline"/>
    </w:rPr>
  </w:style>
  <w:style w:type="paragraph" w:customStyle="1" w:styleId="TableTitle">
    <w:name w:val="Table Title"/>
    <w:basedOn w:val="Normal"/>
    <w:pPr>
      <w:spacing w:after="0"/>
    </w:pPr>
    <w:rPr>
      <w:b/>
    </w:rPr>
  </w:style>
  <w:style w:type="paragraph" w:styleId="ListParagraph">
    <w:name w:val="List Paragraph"/>
    <w:basedOn w:val="Normal"/>
    <w:uiPriority w:val="34"/>
    <w:qFormat/>
    <w:rsid w:val="00CA6149"/>
    <w:pPr>
      <w:ind w:left="720"/>
    </w:pPr>
  </w:style>
  <w:style w:type="paragraph" w:customStyle="1" w:styleId="FigureTitle">
    <w:name w:val="Figure Title"/>
    <w:basedOn w:val="Normal"/>
    <w:rsid w:val="00A46352"/>
    <w:pPr>
      <w:spacing w:after="120"/>
    </w:pPr>
    <w:rPr>
      <w:b/>
    </w:rPr>
  </w:style>
  <w:style w:type="paragraph" w:customStyle="1" w:styleId="FigureSource">
    <w:name w:val="Figure Source"/>
    <w:basedOn w:val="FigureTitle"/>
    <w:rsid w:val="00A46352"/>
    <w:rPr>
      <w:b w:val="0"/>
      <w:sz w:val="21"/>
    </w:rPr>
  </w:style>
  <w:style w:type="character" w:customStyle="1" w:styleId="Heading7Char">
    <w:name w:val="Heading 7 Char"/>
    <w:basedOn w:val="DefaultParagraphFont"/>
    <w:link w:val="Heading7"/>
    <w:rsid w:val="00776830"/>
    <w:rPr>
      <w:b/>
      <w:sz w:val="24"/>
    </w:rPr>
  </w:style>
  <w:style w:type="paragraph" w:styleId="Footer">
    <w:name w:val="footer"/>
    <w:basedOn w:val="Normal"/>
    <w:link w:val="FooterChar"/>
    <w:semiHidden/>
    <w:rsid w:val="00776830"/>
    <w:pPr>
      <w:tabs>
        <w:tab w:val="center" w:pos="4320"/>
        <w:tab w:val="right" w:pos="8640"/>
      </w:tabs>
      <w:jc w:val="center"/>
    </w:pPr>
    <w:rPr>
      <w:b/>
      <w:sz w:val="21"/>
    </w:rPr>
  </w:style>
  <w:style w:type="character" w:customStyle="1" w:styleId="FooterChar">
    <w:name w:val="Footer Char"/>
    <w:basedOn w:val="DefaultParagraphFont"/>
    <w:link w:val="Footer"/>
    <w:semiHidden/>
    <w:rsid w:val="00776830"/>
    <w:rPr>
      <w:b/>
      <w:sz w:val="21"/>
    </w:rPr>
  </w:style>
  <w:style w:type="character" w:styleId="Hyperlink">
    <w:name w:val="Hyperlink"/>
    <w:basedOn w:val="DefaultParagraphFont"/>
    <w:uiPriority w:val="99"/>
    <w:unhideWhenUsed/>
    <w:rsid w:val="00772CE4"/>
    <w:rPr>
      <w:color w:val="0000FF" w:themeColor="hyperlink"/>
      <w:u w:val="single"/>
    </w:rPr>
  </w:style>
  <w:style w:type="paragraph" w:styleId="NormalWeb">
    <w:name w:val="Normal (Web)"/>
    <w:basedOn w:val="Normal"/>
    <w:uiPriority w:val="99"/>
    <w:rsid w:val="00772CE4"/>
    <w:pPr>
      <w:spacing w:before="100" w:beforeAutospacing="1" w:after="100" w:afterAutospacing="1"/>
    </w:pPr>
    <w:rPr>
      <w:szCs w:val="24"/>
    </w:rPr>
  </w:style>
  <w:style w:type="character" w:styleId="Strong">
    <w:name w:val="Strong"/>
    <w:basedOn w:val="DefaultParagraphFont"/>
    <w:qFormat/>
    <w:rsid w:val="00772CE4"/>
    <w:rPr>
      <w:b/>
      <w:bCs/>
    </w:rPr>
  </w:style>
  <w:style w:type="paragraph" w:styleId="BodyText">
    <w:name w:val="Body Text"/>
    <w:basedOn w:val="Normal"/>
    <w:link w:val="BodyTextChar"/>
    <w:semiHidden/>
    <w:rsid w:val="00772CE4"/>
    <w:pPr>
      <w:widowControl w:val="0"/>
      <w:autoSpaceDE w:val="0"/>
      <w:autoSpaceDN w:val="0"/>
      <w:adjustRightInd w:val="0"/>
      <w:spacing w:after="0"/>
    </w:pPr>
  </w:style>
  <w:style w:type="character" w:customStyle="1" w:styleId="BodyTextChar">
    <w:name w:val="Body Text Char"/>
    <w:basedOn w:val="DefaultParagraphFont"/>
    <w:link w:val="BodyText"/>
    <w:semiHidden/>
    <w:rsid w:val="00772CE4"/>
    <w:rPr>
      <w:sz w:val="24"/>
    </w:rPr>
  </w:style>
  <w:style w:type="paragraph" w:customStyle="1" w:styleId="StratusBullets">
    <w:name w:val="StratusBullets"/>
    <w:basedOn w:val="Normal"/>
    <w:rsid w:val="00C333AB"/>
    <w:pPr>
      <w:numPr>
        <w:numId w:val="16"/>
      </w:numPr>
    </w:pPr>
  </w:style>
  <w:style w:type="paragraph" w:customStyle="1" w:styleId="StratusBullets2">
    <w:name w:val="StratusBullets2"/>
    <w:basedOn w:val="Normal"/>
    <w:rsid w:val="00C333AB"/>
    <w:pPr>
      <w:numPr>
        <w:ilvl w:val="1"/>
        <w:numId w:val="16"/>
      </w:numPr>
    </w:pPr>
  </w:style>
  <w:style w:type="paragraph" w:customStyle="1" w:styleId="StratusBullets3">
    <w:name w:val="StratusBullets3"/>
    <w:basedOn w:val="Normal"/>
    <w:rsid w:val="00C333AB"/>
    <w:pPr>
      <w:numPr>
        <w:ilvl w:val="2"/>
        <w:numId w:val="16"/>
      </w:numPr>
    </w:pPr>
  </w:style>
  <w:style w:type="character" w:styleId="CommentReference">
    <w:name w:val="annotation reference"/>
    <w:basedOn w:val="DefaultParagraphFont"/>
    <w:uiPriority w:val="99"/>
    <w:semiHidden/>
    <w:unhideWhenUsed/>
    <w:rsid w:val="00675835"/>
    <w:rPr>
      <w:sz w:val="16"/>
      <w:szCs w:val="16"/>
    </w:rPr>
  </w:style>
  <w:style w:type="paragraph" w:styleId="CommentText">
    <w:name w:val="annotation text"/>
    <w:basedOn w:val="Normal"/>
    <w:link w:val="CommentTextChar"/>
    <w:uiPriority w:val="99"/>
    <w:semiHidden/>
    <w:unhideWhenUsed/>
    <w:rsid w:val="00675835"/>
    <w:rPr>
      <w:sz w:val="20"/>
    </w:rPr>
  </w:style>
  <w:style w:type="character" w:customStyle="1" w:styleId="CommentTextChar">
    <w:name w:val="Comment Text Char"/>
    <w:basedOn w:val="DefaultParagraphFont"/>
    <w:link w:val="CommentText"/>
    <w:uiPriority w:val="99"/>
    <w:semiHidden/>
    <w:rsid w:val="00675835"/>
  </w:style>
  <w:style w:type="paragraph" w:styleId="CommentSubject">
    <w:name w:val="annotation subject"/>
    <w:basedOn w:val="CommentText"/>
    <w:next w:val="CommentText"/>
    <w:link w:val="CommentSubjectChar"/>
    <w:uiPriority w:val="99"/>
    <w:semiHidden/>
    <w:unhideWhenUsed/>
    <w:rsid w:val="00675835"/>
    <w:rPr>
      <w:b/>
      <w:bCs/>
    </w:rPr>
  </w:style>
  <w:style w:type="character" w:customStyle="1" w:styleId="CommentSubjectChar">
    <w:name w:val="Comment Subject Char"/>
    <w:basedOn w:val="CommentTextChar"/>
    <w:link w:val="CommentSubject"/>
    <w:uiPriority w:val="99"/>
    <w:semiHidden/>
    <w:rsid w:val="00675835"/>
    <w:rPr>
      <w:b/>
      <w:bCs/>
    </w:rPr>
  </w:style>
  <w:style w:type="paragraph" w:styleId="BalloonText">
    <w:name w:val="Balloon Text"/>
    <w:basedOn w:val="Normal"/>
    <w:link w:val="BalloonTextChar"/>
    <w:uiPriority w:val="99"/>
    <w:semiHidden/>
    <w:unhideWhenUsed/>
    <w:rsid w:val="006758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835"/>
    <w:rPr>
      <w:rFonts w:ascii="Tahoma" w:hAnsi="Tahoma" w:cs="Tahoma"/>
      <w:sz w:val="16"/>
      <w:szCs w:val="16"/>
    </w:rPr>
  </w:style>
  <w:style w:type="paragraph" w:styleId="Revision">
    <w:name w:val="Revision"/>
    <w:hidden/>
    <w:uiPriority w:val="99"/>
    <w:semiHidden/>
    <w:rsid w:val="00675835"/>
    <w:rPr>
      <w:sz w:val="24"/>
    </w:rPr>
  </w:style>
  <w:style w:type="paragraph" w:styleId="Header">
    <w:name w:val="header"/>
    <w:basedOn w:val="Normal"/>
    <w:link w:val="HeaderChar"/>
    <w:uiPriority w:val="99"/>
    <w:unhideWhenUsed/>
    <w:rsid w:val="007768D8"/>
    <w:pPr>
      <w:tabs>
        <w:tab w:val="center" w:pos="4680"/>
        <w:tab w:val="right" w:pos="9360"/>
      </w:tabs>
      <w:spacing w:after="0"/>
    </w:pPr>
  </w:style>
  <w:style w:type="character" w:customStyle="1" w:styleId="HeaderChar">
    <w:name w:val="Header Char"/>
    <w:basedOn w:val="DefaultParagraphFont"/>
    <w:link w:val="Header"/>
    <w:uiPriority w:val="99"/>
    <w:rsid w:val="007768D8"/>
    <w:rPr>
      <w:sz w:val="24"/>
    </w:rPr>
  </w:style>
  <w:style w:type="character" w:styleId="FollowedHyperlink">
    <w:name w:val="FollowedHyperlink"/>
    <w:basedOn w:val="DefaultParagraphFont"/>
    <w:uiPriority w:val="99"/>
    <w:semiHidden/>
    <w:unhideWhenUsed/>
    <w:rsid w:val="008B4164"/>
    <w:rPr>
      <w:color w:val="800080" w:themeColor="followedHyperlink"/>
      <w:u w:val="single"/>
    </w:rPr>
  </w:style>
  <w:style w:type="table" w:styleId="TableGrid">
    <w:name w:val="Table Grid"/>
    <w:basedOn w:val="TableNormal"/>
    <w:rsid w:val="002E3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BodyText">
    <w:name w:val="Proposal Body Text"/>
    <w:basedOn w:val="BodyText"/>
    <w:link w:val="ProposalBodyTextChar"/>
    <w:rsid w:val="00210606"/>
    <w:pPr>
      <w:widowControl/>
      <w:autoSpaceDE/>
      <w:autoSpaceDN/>
      <w:adjustRightInd/>
      <w:spacing w:before="160" w:after="160"/>
      <w:ind w:left="907"/>
      <w:jc w:val="both"/>
    </w:pPr>
    <w:rPr>
      <w:rFonts w:ascii="Arial" w:hAnsi="Arial" w:cs="Arial"/>
      <w:sz w:val="22"/>
      <w:szCs w:val="24"/>
    </w:rPr>
  </w:style>
  <w:style w:type="character" w:customStyle="1" w:styleId="ProposalBodyTextChar">
    <w:name w:val="Proposal Body Text Char"/>
    <w:link w:val="ProposalBodyText"/>
    <w:rsid w:val="00210606"/>
    <w:rPr>
      <w:rFonts w:ascii="Arial" w:hAnsi="Arial" w:cs="Arial"/>
      <w:sz w:val="22"/>
      <w:szCs w:val="24"/>
    </w:rPr>
  </w:style>
  <w:style w:type="character" w:customStyle="1" w:styleId="FootnoteTextChar">
    <w:name w:val="Footnote Text Char"/>
    <w:link w:val="FootnoteText"/>
    <w:uiPriority w:val="99"/>
    <w:semiHidden/>
    <w:rsid w:val="0029282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81983">
      <w:bodyDiv w:val="1"/>
      <w:marLeft w:val="0"/>
      <w:marRight w:val="0"/>
      <w:marTop w:val="0"/>
      <w:marBottom w:val="0"/>
      <w:divBdr>
        <w:top w:val="none" w:sz="0" w:space="0" w:color="auto"/>
        <w:left w:val="none" w:sz="0" w:space="0" w:color="auto"/>
        <w:bottom w:val="none" w:sz="0" w:space="0" w:color="auto"/>
        <w:right w:val="none" w:sz="0" w:space="0" w:color="auto"/>
      </w:divBdr>
    </w:div>
    <w:div w:id="450056405">
      <w:bodyDiv w:val="1"/>
      <w:marLeft w:val="0"/>
      <w:marRight w:val="0"/>
      <w:marTop w:val="0"/>
      <w:marBottom w:val="0"/>
      <w:divBdr>
        <w:top w:val="none" w:sz="0" w:space="0" w:color="auto"/>
        <w:left w:val="none" w:sz="0" w:space="0" w:color="auto"/>
        <w:bottom w:val="none" w:sz="0" w:space="0" w:color="auto"/>
        <w:right w:val="none" w:sz="0" w:space="0" w:color="auto"/>
      </w:divBdr>
    </w:div>
    <w:div w:id="456611266">
      <w:bodyDiv w:val="1"/>
      <w:marLeft w:val="0"/>
      <w:marRight w:val="0"/>
      <w:marTop w:val="0"/>
      <w:marBottom w:val="0"/>
      <w:divBdr>
        <w:top w:val="none" w:sz="0" w:space="0" w:color="auto"/>
        <w:left w:val="none" w:sz="0" w:space="0" w:color="auto"/>
        <w:bottom w:val="none" w:sz="0" w:space="0" w:color="auto"/>
        <w:right w:val="none" w:sz="0" w:space="0" w:color="auto"/>
      </w:divBdr>
    </w:div>
    <w:div w:id="1269391694">
      <w:bodyDiv w:val="1"/>
      <w:marLeft w:val="0"/>
      <w:marRight w:val="0"/>
      <w:marTop w:val="0"/>
      <w:marBottom w:val="0"/>
      <w:divBdr>
        <w:top w:val="none" w:sz="0" w:space="0" w:color="auto"/>
        <w:left w:val="none" w:sz="0" w:space="0" w:color="auto"/>
        <w:bottom w:val="none" w:sz="0" w:space="0" w:color="auto"/>
        <w:right w:val="none" w:sz="0" w:space="0" w:color="auto"/>
      </w:divBdr>
    </w:div>
    <w:div w:id="1458454478">
      <w:bodyDiv w:val="1"/>
      <w:marLeft w:val="0"/>
      <w:marRight w:val="0"/>
      <w:marTop w:val="0"/>
      <w:marBottom w:val="0"/>
      <w:divBdr>
        <w:top w:val="none" w:sz="0" w:space="0" w:color="auto"/>
        <w:left w:val="none" w:sz="0" w:space="0" w:color="auto"/>
        <w:bottom w:val="none" w:sz="0" w:space="0" w:color="auto"/>
        <w:right w:val="none" w:sz="0" w:space="0" w:color="auto"/>
      </w:divBdr>
    </w:div>
    <w:div w:id="154143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wfsc.noaa.gov/assets/25/6760_06202008_151914_ElwhaPlanTM90Final.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br.gov/uc/rm/amp/pdfs/sp_appndxG_ROD.pdf" TargetMode="External"/><Relationship Id="rId4" Type="http://schemas.microsoft.com/office/2007/relationships/stylesWithEffects" Target="stylesWithEffects.xml"/><Relationship Id="rId9" Type="http://schemas.openxmlformats.org/officeDocument/2006/relationships/hyperlink" Target="http://www.knowledgenetworks.com/ganp/reviewer-info.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474A-D5E6-46BB-B155-131ED0C0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4137</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NOS</Company>
  <LinksUpToDate>false</LinksUpToDate>
  <CharactersWithSpaces>27669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Colleen Donovan</dc:creator>
  <cp:lastModifiedBy>Sarah Brabson</cp:lastModifiedBy>
  <cp:revision>3</cp:revision>
  <cp:lastPrinted>2012-12-13T18:41:00Z</cp:lastPrinted>
  <dcterms:created xsi:type="dcterms:W3CDTF">2013-10-24T20:00:00Z</dcterms:created>
  <dcterms:modified xsi:type="dcterms:W3CDTF">2013-12-05T17:38:00Z</dcterms:modified>
</cp:coreProperties>
</file>