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6E9" w:rsidRDefault="004F26E9">
      <w:pPr>
        <w:jc w:val="center"/>
        <w:rPr>
          <w:b/>
          <w:bCs/>
          <w:sz w:val="24"/>
          <w:szCs w:val="24"/>
        </w:rPr>
      </w:pPr>
      <w:r>
        <w:rPr>
          <w:b/>
          <w:bCs/>
          <w:sz w:val="24"/>
          <w:szCs w:val="24"/>
        </w:rPr>
        <w:t>SUPPORTING STATEMENT</w:t>
      </w:r>
    </w:p>
    <w:p w:rsidR="00946AB0" w:rsidRDefault="00F46516">
      <w:pPr>
        <w:jc w:val="center"/>
        <w:rPr>
          <w:b/>
          <w:bCs/>
          <w:sz w:val="24"/>
          <w:szCs w:val="24"/>
        </w:rPr>
      </w:pPr>
      <w:r>
        <w:rPr>
          <w:b/>
          <w:bCs/>
          <w:sz w:val="24"/>
          <w:szCs w:val="24"/>
        </w:rPr>
        <w:t xml:space="preserve">MODIFICATION TO GULF OF MAINE/GEORGES BANK HERRING </w:t>
      </w:r>
      <w:r w:rsidR="00946AB0" w:rsidRPr="00946AB0">
        <w:rPr>
          <w:b/>
          <w:bCs/>
          <w:sz w:val="24"/>
          <w:szCs w:val="24"/>
        </w:rPr>
        <w:t>L</w:t>
      </w:r>
      <w:r>
        <w:rPr>
          <w:b/>
          <w:bCs/>
          <w:sz w:val="24"/>
          <w:szCs w:val="24"/>
        </w:rPr>
        <w:t>ETTER OF AUTHORIZATION</w:t>
      </w:r>
    </w:p>
    <w:p w:rsidR="004F26E9" w:rsidRDefault="004F26E9">
      <w:pPr>
        <w:jc w:val="center"/>
        <w:rPr>
          <w:sz w:val="24"/>
          <w:szCs w:val="24"/>
        </w:rPr>
      </w:pPr>
      <w:r>
        <w:rPr>
          <w:b/>
          <w:bCs/>
          <w:sz w:val="24"/>
          <w:szCs w:val="24"/>
        </w:rPr>
        <w:t>OMB CONTROL NO. 0648-</w:t>
      </w:r>
      <w:r w:rsidR="005F3CD3">
        <w:rPr>
          <w:b/>
          <w:bCs/>
          <w:sz w:val="24"/>
          <w:szCs w:val="24"/>
        </w:rPr>
        <w:t>0602</w:t>
      </w:r>
    </w:p>
    <w:p w:rsidR="004F26E9" w:rsidRDefault="004F26E9">
      <w:pPr>
        <w:rPr>
          <w:sz w:val="24"/>
          <w:szCs w:val="24"/>
        </w:rPr>
      </w:pPr>
    </w:p>
    <w:p w:rsidR="004F26E9" w:rsidRDefault="004F26E9">
      <w:pPr>
        <w:rPr>
          <w:sz w:val="24"/>
          <w:szCs w:val="24"/>
        </w:rPr>
      </w:pPr>
    </w:p>
    <w:p w:rsidR="004F26E9" w:rsidRDefault="00E12720">
      <w:pPr>
        <w:tabs>
          <w:tab w:val="left" w:pos="720"/>
        </w:tabs>
        <w:ind w:left="720" w:hanging="720"/>
        <w:rPr>
          <w:sz w:val="24"/>
          <w:szCs w:val="24"/>
        </w:rPr>
      </w:pPr>
      <w:r>
        <w:rPr>
          <w:b/>
          <w:bCs/>
          <w:sz w:val="24"/>
          <w:szCs w:val="24"/>
        </w:rPr>
        <w:t>A.</w:t>
      </w:r>
      <w:r w:rsidR="004F26E9">
        <w:rPr>
          <w:b/>
          <w:bCs/>
          <w:sz w:val="24"/>
          <w:szCs w:val="24"/>
        </w:rPr>
        <w:tab/>
        <w:t>JUSTIFICATION</w:t>
      </w:r>
    </w:p>
    <w:p w:rsidR="004F26E9" w:rsidRDefault="004F26E9">
      <w:pPr>
        <w:rPr>
          <w:sz w:val="24"/>
          <w:szCs w:val="24"/>
        </w:rPr>
      </w:pPr>
    </w:p>
    <w:p w:rsidR="00FE281C" w:rsidRDefault="00FE281C">
      <w:pPr>
        <w:rPr>
          <w:sz w:val="24"/>
          <w:szCs w:val="24"/>
        </w:rPr>
      </w:pPr>
      <w:r>
        <w:rPr>
          <w:sz w:val="24"/>
          <w:szCs w:val="24"/>
        </w:rPr>
        <w:t>This request is for extension of a current information collection.</w:t>
      </w:r>
    </w:p>
    <w:p w:rsidR="00E12720" w:rsidRDefault="00E12720">
      <w:pPr>
        <w:rPr>
          <w:sz w:val="24"/>
          <w:szCs w:val="24"/>
        </w:rPr>
      </w:pPr>
    </w:p>
    <w:p w:rsidR="004F26E9" w:rsidRDefault="004F26E9">
      <w:pPr>
        <w:rPr>
          <w:sz w:val="24"/>
          <w:szCs w:val="24"/>
        </w:rPr>
      </w:pPr>
      <w:r>
        <w:rPr>
          <w:b/>
          <w:bCs/>
          <w:sz w:val="24"/>
          <w:szCs w:val="24"/>
        </w:rPr>
        <w:t xml:space="preserve">1.  </w:t>
      </w:r>
      <w:r>
        <w:rPr>
          <w:b/>
          <w:bCs/>
          <w:sz w:val="24"/>
          <w:szCs w:val="24"/>
          <w:u w:val="single"/>
        </w:rPr>
        <w:t>Explain the circumstances that make the collection of information necessary.</w:t>
      </w:r>
    </w:p>
    <w:p w:rsidR="004F26E9" w:rsidRDefault="004F26E9">
      <w:pPr>
        <w:rPr>
          <w:sz w:val="24"/>
          <w:szCs w:val="24"/>
        </w:rPr>
      </w:pPr>
    </w:p>
    <w:p w:rsidR="00E443B3" w:rsidRDefault="002043E0">
      <w:pPr>
        <w:rPr>
          <w:sz w:val="24"/>
          <w:szCs w:val="24"/>
        </w:rPr>
      </w:pPr>
      <w:r>
        <w:rPr>
          <w:sz w:val="24"/>
          <w:szCs w:val="24"/>
        </w:rPr>
        <w:t xml:space="preserve">Under the </w:t>
      </w:r>
      <w:hyperlink r:id="rId9" w:history="1">
        <w:r w:rsidRPr="0099652F">
          <w:rPr>
            <w:rStyle w:val="Hyperlink"/>
            <w:sz w:val="24"/>
            <w:szCs w:val="24"/>
          </w:rPr>
          <w:t>Magnuson-Stevens Fishery Conservation and Management Act</w:t>
        </w:r>
      </w:hyperlink>
      <w:r>
        <w:rPr>
          <w:sz w:val="24"/>
          <w:szCs w:val="24"/>
        </w:rPr>
        <w:t xml:space="preserve"> (Magnuson-Stevens Act), the Secretary of Commerce (Secretary) </w:t>
      </w:r>
      <w:r w:rsidR="001F3847">
        <w:rPr>
          <w:sz w:val="24"/>
          <w:szCs w:val="24"/>
        </w:rPr>
        <w:t>h</w:t>
      </w:r>
      <w:r>
        <w:rPr>
          <w:sz w:val="24"/>
          <w:szCs w:val="24"/>
        </w:rPr>
        <w:t xml:space="preserve">as responsibility for the conservation and management of marine fishery resources off the coast of the </w:t>
      </w:r>
      <w:smartTag w:uri="urn:schemas-microsoft-com:office:smarttags" w:element="country-region">
        <w:smartTag w:uri="urn:schemas-microsoft-com:office:smarttags" w:element="place">
          <w:r>
            <w:rPr>
              <w:sz w:val="24"/>
              <w:szCs w:val="24"/>
            </w:rPr>
            <w:t>U.S.</w:t>
          </w:r>
        </w:smartTag>
      </w:smartTag>
      <w:r>
        <w:rPr>
          <w:sz w:val="24"/>
          <w:szCs w:val="24"/>
        </w:rPr>
        <w:t xml:space="preserve">  The majority of this responsibility has been delegated to the Regional Fishery Management Councils and NOAA </w:t>
      </w:r>
      <w:r w:rsidR="00E14A62">
        <w:rPr>
          <w:sz w:val="24"/>
          <w:szCs w:val="24"/>
        </w:rPr>
        <w:t xml:space="preserve">Fisheries </w:t>
      </w:r>
      <w:r>
        <w:rPr>
          <w:sz w:val="24"/>
          <w:szCs w:val="24"/>
        </w:rPr>
        <w:t>Service</w:t>
      </w:r>
      <w:r w:rsidR="00E14A62">
        <w:rPr>
          <w:sz w:val="24"/>
          <w:szCs w:val="24"/>
        </w:rPr>
        <w:t xml:space="preserve"> (NMFS)</w:t>
      </w:r>
      <w:r>
        <w:rPr>
          <w:sz w:val="24"/>
          <w:szCs w:val="24"/>
        </w:rPr>
        <w:t xml:space="preserve">.  The </w:t>
      </w:r>
      <w:r w:rsidR="00A05B36" w:rsidRPr="002043E0">
        <w:rPr>
          <w:sz w:val="24"/>
          <w:szCs w:val="24"/>
        </w:rPr>
        <w:t xml:space="preserve">New England Fishery Management Council (Council) </w:t>
      </w:r>
      <w:r>
        <w:rPr>
          <w:sz w:val="24"/>
          <w:szCs w:val="24"/>
        </w:rPr>
        <w:t xml:space="preserve">develops management plans for fishery resources in </w:t>
      </w:r>
      <w:smartTag w:uri="urn:schemas-microsoft-com:office:smarttags" w:element="place">
        <w:r>
          <w:rPr>
            <w:sz w:val="24"/>
            <w:szCs w:val="24"/>
          </w:rPr>
          <w:t>New England</w:t>
        </w:r>
      </w:smartTag>
      <w:r>
        <w:rPr>
          <w:sz w:val="24"/>
          <w:szCs w:val="24"/>
        </w:rPr>
        <w:t xml:space="preserve">.  </w:t>
      </w:r>
    </w:p>
    <w:p w:rsidR="00E443B3" w:rsidRDefault="00E443B3">
      <w:pPr>
        <w:rPr>
          <w:sz w:val="24"/>
          <w:szCs w:val="24"/>
        </w:rPr>
      </w:pPr>
    </w:p>
    <w:p w:rsidR="002043E0" w:rsidRPr="002043E0" w:rsidRDefault="002043E0" w:rsidP="002043E0">
      <w:pPr>
        <w:rPr>
          <w:sz w:val="24"/>
          <w:szCs w:val="24"/>
        </w:rPr>
      </w:pPr>
      <w:r w:rsidRPr="002043E0">
        <w:rPr>
          <w:sz w:val="24"/>
          <w:szCs w:val="24"/>
        </w:rPr>
        <w:t>The Council voted at the April 8, 2009</w:t>
      </w:r>
      <w:r w:rsidR="00A05B36">
        <w:rPr>
          <w:sz w:val="24"/>
          <w:szCs w:val="24"/>
        </w:rPr>
        <w:t>,</w:t>
      </w:r>
      <w:r w:rsidRPr="002043E0">
        <w:rPr>
          <w:sz w:val="24"/>
          <w:szCs w:val="24"/>
        </w:rPr>
        <w:t xml:space="preserve"> </w:t>
      </w:r>
      <w:r w:rsidR="0089638E">
        <w:rPr>
          <w:sz w:val="24"/>
          <w:szCs w:val="24"/>
        </w:rPr>
        <w:t xml:space="preserve">Council </w:t>
      </w:r>
      <w:r w:rsidRPr="002043E0">
        <w:rPr>
          <w:sz w:val="24"/>
          <w:szCs w:val="24"/>
        </w:rPr>
        <w:t xml:space="preserve">meeting to request that the Regional Administrator modify </w:t>
      </w:r>
      <w:r w:rsidR="00A05B36">
        <w:rPr>
          <w:sz w:val="24"/>
          <w:szCs w:val="24"/>
        </w:rPr>
        <w:t xml:space="preserve">the </w:t>
      </w:r>
      <w:r w:rsidR="00A05B36" w:rsidRPr="00A05B36">
        <w:rPr>
          <w:sz w:val="24"/>
          <w:szCs w:val="24"/>
        </w:rPr>
        <w:t>Herring Midwater Trawl G</w:t>
      </w:r>
      <w:r w:rsidR="00A05B36">
        <w:rPr>
          <w:sz w:val="24"/>
          <w:szCs w:val="24"/>
        </w:rPr>
        <w:t>ulf of Maine/Georges Bank</w:t>
      </w:r>
      <w:r w:rsidRPr="002043E0">
        <w:rPr>
          <w:sz w:val="24"/>
          <w:szCs w:val="24"/>
        </w:rPr>
        <w:t xml:space="preserve"> </w:t>
      </w:r>
      <w:r w:rsidR="00A05B36">
        <w:rPr>
          <w:sz w:val="24"/>
          <w:szCs w:val="24"/>
        </w:rPr>
        <w:t>Letter of Authorization (</w:t>
      </w:r>
      <w:r w:rsidRPr="002043E0">
        <w:rPr>
          <w:sz w:val="24"/>
          <w:szCs w:val="24"/>
        </w:rPr>
        <w:t>LOA</w:t>
      </w:r>
      <w:r w:rsidR="00A05B36">
        <w:rPr>
          <w:sz w:val="24"/>
          <w:szCs w:val="24"/>
        </w:rPr>
        <w:t>)</w:t>
      </w:r>
      <w:r w:rsidRPr="002043E0">
        <w:rPr>
          <w:sz w:val="24"/>
          <w:szCs w:val="24"/>
        </w:rPr>
        <w:t xml:space="preserve"> to </w:t>
      </w:r>
      <w:r w:rsidR="0099652F">
        <w:rPr>
          <w:sz w:val="24"/>
          <w:szCs w:val="24"/>
        </w:rPr>
        <w:t>increase observer coverage of</w:t>
      </w:r>
      <w:r w:rsidR="0099652F" w:rsidRPr="002043E0">
        <w:rPr>
          <w:sz w:val="24"/>
          <w:szCs w:val="24"/>
        </w:rPr>
        <w:t xml:space="preserve"> </w:t>
      </w:r>
      <w:r w:rsidRPr="002043E0">
        <w:rPr>
          <w:sz w:val="24"/>
          <w:szCs w:val="24"/>
        </w:rPr>
        <w:t xml:space="preserve">midwater trawl vessels fishing in Closed Area I </w:t>
      </w:r>
      <w:r w:rsidR="0089638E">
        <w:rPr>
          <w:sz w:val="24"/>
          <w:szCs w:val="24"/>
        </w:rPr>
        <w:t xml:space="preserve">to </w:t>
      </w:r>
      <w:r w:rsidRPr="002043E0">
        <w:rPr>
          <w:sz w:val="24"/>
          <w:szCs w:val="24"/>
        </w:rPr>
        <w:t>100 percent; be prohibited from slipping codends (the practice of opening the codend of the net and releasing the catch before all of it is brought on board); and be required to pump aboard the vessel all fish caught, to allow sampling by the observer.</w:t>
      </w:r>
    </w:p>
    <w:p w:rsidR="002043E0" w:rsidRDefault="002043E0">
      <w:pPr>
        <w:rPr>
          <w:sz w:val="24"/>
          <w:szCs w:val="24"/>
        </w:rPr>
      </w:pPr>
    </w:p>
    <w:p w:rsidR="00946AB0" w:rsidRPr="002043E0" w:rsidRDefault="002043E0" w:rsidP="002043E0">
      <w:pPr>
        <w:rPr>
          <w:sz w:val="24"/>
          <w:szCs w:val="24"/>
        </w:rPr>
      </w:pPr>
      <w:r>
        <w:rPr>
          <w:sz w:val="24"/>
          <w:szCs w:val="24"/>
        </w:rPr>
        <w:t>T</w:t>
      </w:r>
      <w:r w:rsidR="00946AB0" w:rsidRPr="002043E0">
        <w:rPr>
          <w:sz w:val="24"/>
          <w:szCs w:val="24"/>
        </w:rPr>
        <w:t xml:space="preserve">he final rule implementing Framework Adjustment 18 </w:t>
      </w:r>
      <w:r w:rsidR="0089638E">
        <w:rPr>
          <w:sz w:val="24"/>
          <w:szCs w:val="24"/>
        </w:rPr>
        <w:t xml:space="preserve">(FW 18) </w:t>
      </w:r>
      <w:r w:rsidR="00946AB0" w:rsidRPr="002043E0">
        <w:rPr>
          <w:sz w:val="24"/>
          <w:szCs w:val="24"/>
        </w:rPr>
        <w:t xml:space="preserve">to the Northeast (NE) Multispecies Fishery Management Plan (FMP) (February 17, 1998, 63 FR 7727) authorized midwater trawl vessels to fish in the groundfish year-round closed areas with specific conditions regarding bycatch of regulated multispecies.  The </w:t>
      </w:r>
      <w:r w:rsidR="0089638E">
        <w:rPr>
          <w:sz w:val="24"/>
          <w:szCs w:val="24"/>
        </w:rPr>
        <w:t>FW 18 implementing regulations (</w:t>
      </w:r>
      <w:hyperlink r:id="rId10" w:history="1">
        <w:r w:rsidR="00946AB0" w:rsidRPr="0099652F">
          <w:rPr>
            <w:rStyle w:val="Hyperlink"/>
            <w:sz w:val="24"/>
            <w:szCs w:val="24"/>
          </w:rPr>
          <w:t>50 CFR 648.81(a)(2)(iii)</w:t>
        </w:r>
        <w:r w:rsidR="0089638E" w:rsidRPr="0099652F">
          <w:rPr>
            <w:rStyle w:val="Hyperlink"/>
            <w:sz w:val="24"/>
            <w:szCs w:val="24"/>
          </w:rPr>
          <w:t>)</w:t>
        </w:r>
      </w:hyperlink>
      <w:r w:rsidR="00946AB0" w:rsidRPr="002043E0">
        <w:rPr>
          <w:sz w:val="24"/>
          <w:szCs w:val="24"/>
        </w:rPr>
        <w:t xml:space="preserve">, grant the Regional Administrator the authority to place restrictions and conditions in the LOA if it is determined that the bycatch of regulated multispecies in the groundfish closed areas exceeds or is likely to exceed one percent of herring and mackerel harvested, by weight, in the fishery or by any individual fishing operation.  </w:t>
      </w:r>
      <w:r w:rsidR="005F3CD3">
        <w:rPr>
          <w:sz w:val="24"/>
          <w:szCs w:val="24"/>
        </w:rPr>
        <w:t>A</w:t>
      </w:r>
      <w:r w:rsidR="005F3CD3" w:rsidRPr="002043E0">
        <w:rPr>
          <w:sz w:val="24"/>
          <w:szCs w:val="24"/>
        </w:rPr>
        <w:t xml:space="preserve">nalysis </w:t>
      </w:r>
      <w:r w:rsidR="00946AB0" w:rsidRPr="002043E0">
        <w:rPr>
          <w:sz w:val="24"/>
          <w:szCs w:val="24"/>
        </w:rPr>
        <w:t xml:space="preserve">of </w:t>
      </w:r>
      <w:r w:rsidR="005F3CD3">
        <w:rPr>
          <w:sz w:val="24"/>
          <w:szCs w:val="24"/>
        </w:rPr>
        <w:t xml:space="preserve">2009 </w:t>
      </w:r>
      <w:r w:rsidR="00946AB0" w:rsidRPr="002043E0">
        <w:rPr>
          <w:sz w:val="24"/>
          <w:szCs w:val="24"/>
        </w:rPr>
        <w:t xml:space="preserve">at-sea observer data </w:t>
      </w:r>
      <w:r w:rsidR="005F3CD3">
        <w:rPr>
          <w:sz w:val="24"/>
          <w:szCs w:val="24"/>
        </w:rPr>
        <w:t xml:space="preserve">was </w:t>
      </w:r>
      <w:r w:rsidR="00946AB0" w:rsidRPr="002043E0">
        <w:rPr>
          <w:sz w:val="24"/>
          <w:szCs w:val="24"/>
        </w:rPr>
        <w:t xml:space="preserve">presented </w:t>
      </w:r>
      <w:r w:rsidR="0089638E">
        <w:rPr>
          <w:sz w:val="24"/>
          <w:szCs w:val="24"/>
        </w:rPr>
        <w:t xml:space="preserve">by NMFS </w:t>
      </w:r>
      <w:r w:rsidR="00946AB0" w:rsidRPr="002043E0">
        <w:rPr>
          <w:sz w:val="24"/>
          <w:szCs w:val="24"/>
        </w:rPr>
        <w:t xml:space="preserve">at the April 8, 2009, Council meeting </w:t>
      </w:r>
      <w:r w:rsidR="005F3CD3">
        <w:rPr>
          <w:sz w:val="24"/>
          <w:szCs w:val="24"/>
        </w:rPr>
        <w:t xml:space="preserve">which </w:t>
      </w:r>
      <w:r w:rsidR="00946AB0" w:rsidRPr="002043E0">
        <w:rPr>
          <w:sz w:val="24"/>
          <w:szCs w:val="24"/>
        </w:rPr>
        <w:t xml:space="preserve">demonstrated that the bycatch of regulated multispecies in groundfish Closed Area I exceeded one percent of herring caught on at least two individual fishing trips between May 2004 and October 2008.  </w:t>
      </w:r>
      <w:r w:rsidR="0089638E">
        <w:rPr>
          <w:sz w:val="24"/>
          <w:szCs w:val="24"/>
        </w:rPr>
        <w:t xml:space="preserve">Based on </w:t>
      </w:r>
      <w:r w:rsidR="005F3CD3">
        <w:rPr>
          <w:sz w:val="24"/>
          <w:szCs w:val="24"/>
        </w:rPr>
        <w:t xml:space="preserve">that </w:t>
      </w:r>
      <w:r w:rsidR="0089638E">
        <w:rPr>
          <w:sz w:val="24"/>
          <w:szCs w:val="24"/>
        </w:rPr>
        <w:t>information, t</w:t>
      </w:r>
      <w:r w:rsidR="00946AB0" w:rsidRPr="002043E0">
        <w:rPr>
          <w:sz w:val="24"/>
          <w:szCs w:val="24"/>
        </w:rPr>
        <w:t>he Council</w:t>
      </w:r>
      <w:r w:rsidR="005F3CD3">
        <w:rPr>
          <w:sz w:val="24"/>
          <w:szCs w:val="24"/>
        </w:rPr>
        <w:t xml:space="preserve"> passed </w:t>
      </w:r>
      <w:r w:rsidR="009D0EDF">
        <w:rPr>
          <w:sz w:val="24"/>
          <w:szCs w:val="24"/>
        </w:rPr>
        <w:t xml:space="preserve">a </w:t>
      </w:r>
      <w:r w:rsidR="009D0EDF" w:rsidRPr="002043E0">
        <w:rPr>
          <w:sz w:val="24"/>
          <w:szCs w:val="24"/>
        </w:rPr>
        <w:t>motion</w:t>
      </w:r>
      <w:r w:rsidR="00946AB0" w:rsidRPr="002043E0">
        <w:rPr>
          <w:sz w:val="24"/>
          <w:szCs w:val="24"/>
        </w:rPr>
        <w:t xml:space="preserve"> to collect additional information on bycatch by the midwater trawl </w:t>
      </w:r>
      <w:r w:rsidR="0089638E">
        <w:rPr>
          <w:sz w:val="24"/>
          <w:szCs w:val="24"/>
        </w:rPr>
        <w:t>directed herring fishery</w:t>
      </w:r>
      <w:r w:rsidR="00946AB0" w:rsidRPr="002043E0">
        <w:rPr>
          <w:sz w:val="24"/>
          <w:szCs w:val="24"/>
        </w:rPr>
        <w:t xml:space="preserve"> in Closed Area I to determine whether revisions should be made to the exemption allowing these vessels to fish in groundfish closed areas. </w:t>
      </w:r>
    </w:p>
    <w:p w:rsidR="0089638E" w:rsidRPr="002043E0" w:rsidRDefault="0089638E" w:rsidP="0089638E">
      <w:pPr>
        <w:rPr>
          <w:sz w:val="24"/>
          <w:szCs w:val="24"/>
        </w:rPr>
      </w:pPr>
    </w:p>
    <w:p w:rsidR="00946AB0" w:rsidRPr="008C4F80" w:rsidRDefault="00946AB0" w:rsidP="002043E0">
      <w:pPr>
        <w:rPr>
          <w:sz w:val="24"/>
          <w:szCs w:val="24"/>
        </w:rPr>
      </w:pPr>
      <w:r w:rsidRPr="008C4F80">
        <w:rPr>
          <w:sz w:val="24"/>
          <w:szCs w:val="24"/>
        </w:rPr>
        <w:t>Therefore</w:t>
      </w:r>
      <w:r w:rsidR="00C6044F" w:rsidRPr="005778DC">
        <w:rPr>
          <w:sz w:val="24"/>
          <w:szCs w:val="24"/>
        </w:rPr>
        <w:t>,</w:t>
      </w:r>
      <w:r w:rsidRPr="008C4F80">
        <w:rPr>
          <w:sz w:val="24"/>
          <w:szCs w:val="24"/>
        </w:rPr>
        <w:t xml:space="preserve"> </w:t>
      </w:r>
      <w:r w:rsidR="005F3CD3" w:rsidRPr="008C4F80">
        <w:rPr>
          <w:sz w:val="24"/>
          <w:szCs w:val="24"/>
        </w:rPr>
        <w:t xml:space="preserve">in 2009, </w:t>
      </w:r>
      <w:r w:rsidRPr="008C4F80">
        <w:rPr>
          <w:sz w:val="24"/>
          <w:szCs w:val="24"/>
        </w:rPr>
        <w:t>NMFS implement</w:t>
      </w:r>
      <w:r w:rsidR="005F3CD3" w:rsidRPr="008C4F80">
        <w:rPr>
          <w:sz w:val="24"/>
          <w:szCs w:val="24"/>
        </w:rPr>
        <w:t>ed</w:t>
      </w:r>
      <w:r w:rsidRPr="008C4F80">
        <w:rPr>
          <w:sz w:val="24"/>
          <w:szCs w:val="24"/>
        </w:rPr>
        <w:t xml:space="preserve"> the Council’s recommendation by adding language to the existing LOA to prohibit midwater trawl vessels</w:t>
      </w:r>
      <w:r w:rsidR="00616298" w:rsidRPr="008C4F80">
        <w:rPr>
          <w:sz w:val="24"/>
          <w:szCs w:val="24"/>
        </w:rPr>
        <w:t>,</w:t>
      </w:r>
      <w:r w:rsidRPr="008C4F80">
        <w:rPr>
          <w:sz w:val="24"/>
          <w:szCs w:val="24"/>
        </w:rPr>
        <w:t xml:space="preserve"> </w:t>
      </w:r>
      <w:r w:rsidR="007D143E" w:rsidRPr="008C4F80">
        <w:rPr>
          <w:sz w:val="24"/>
          <w:szCs w:val="24"/>
        </w:rPr>
        <w:t>with All Areas and/or Areas 2 and 3 limited access Atlantic herring permits</w:t>
      </w:r>
      <w:r w:rsidR="00616298" w:rsidRPr="008C4F80">
        <w:rPr>
          <w:sz w:val="24"/>
          <w:szCs w:val="24"/>
        </w:rPr>
        <w:t>,</w:t>
      </w:r>
      <w:r w:rsidR="007D143E" w:rsidRPr="008C4F80">
        <w:rPr>
          <w:sz w:val="24"/>
          <w:szCs w:val="24"/>
        </w:rPr>
        <w:t xml:space="preserve"> from fishing </w:t>
      </w:r>
      <w:r w:rsidRPr="008C4F80">
        <w:rPr>
          <w:sz w:val="24"/>
          <w:szCs w:val="24"/>
        </w:rPr>
        <w:t>in Closed Area I without a NMFS-approved at-sea observer aboard.  The LOA also stipulate</w:t>
      </w:r>
      <w:r w:rsidR="005F3CD3" w:rsidRPr="008C4F80">
        <w:rPr>
          <w:sz w:val="24"/>
          <w:szCs w:val="24"/>
        </w:rPr>
        <w:t>d</w:t>
      </w:r>
      <w:r w:rsidRPr="008C4F80">
        <w:rPr>
          <w:sz w:val="24"/>
          <w:szCs w:val="24"/>
        </w:rPr>
        <w:t xml:space="preserve"> that such vessels, while operating in Closed Area I, would be prohibited</w:t>
      </w:r>
      <w:r w:rsidR="007D143E" w:rsidRPr="008C4F80">
        <w:rPr>
          <w:sz w:val="24"/>
          <w:szCs w:val="24"/>
        </w:rPr>
        <w:t>, except under certain circumstances,</w:t>
      </w:r>
      <w:r w:rsidRPr="008C4F80">
        <w:rPr>
          <w:sz w:val="24"/>
          <w:szCs w:val="24"/>
        </w:rPr>
        <w:t xml:space="preserve"> from releasing fish from the net before all of the catch has been pumped aboard and made available to the observer for sampling.</w:t>
      </w:r>
    </w:p>
    <w:p w:rsidR="00946AB0" w:rsidRPr="008C4F80" w:rsidRDefault="00946AB0" w:rsidP="002043E0">
      <w:pPr>
        <w:rPr>
          <w:sz w:val="24"/>
          <w:szCs w:val="24"/>
        </w:rPr>
      </w:pPr>
      <w:r w:rsidRPr="008C4F80">
        <w:rPr>
          <w:sz w:val="24"/>
          <w:szCs w:val="24"/>
        </w:rPr>
        <w:lastRenderedPageBreak/>
        <w:t>NMFS recognizes that there are conditions,</w:t>
      </w:r>
      <w:r w:rsidR="002A2976" w:rsidRPr="008C4F80">
        <w:rPr>
          <w:sz w:val="24"/>
          <w:szCs w:val="24"/>
        </w:rPr>
        <w:t xml:space="preserve"> </w:t>
      </w:r>
      <w:r w:rsidRPr="008C4F80">
        <w:rPr>
          <w:sz w:val="24"/>
          <w:szCs w:val="24"/>
        </w:rPr>
        <w:t xml:space="preserve">under which fish must be released from the codend without being sampled.  </w:t>
      </w:r>
      <w:r w:rsidR="007D143E" w:rsidRPr="008C4F80">
        <w:rPr>
          <w:sz w:val="24"/>
          <w:szCs w:val="24"/>
        </w:rPr>
        <w:t xml:space="preserve">Therefore, this provision </w:t>
      </w:r>
      <w:r w:rsidR="005F3CD3" w:rsidRPr="008C4F80">
        <w:rPr>
          <w:sz w:val="24"/>
          <w:szCs w:val="24"/>
        </w:rPr>
        <w:t xml:space="preserve">was </w:t>
      </w:r>
      <w:r w:rsidR="007D143E" w:rsidRPr="008C4F80">
        <w:rPr>
          <w:sz w:val="24"/>
          <w:szCs w:val="24"/>
        </w:rPr>
        <w:t>not intended to limit the discretion of the captain to regulate the stability of the vessel in adverse sea conditions and the operator would be permitted to dump fish if bringing them aboard the vessel could compromise the safety of the vessel or her crew.</w:t>
      </w:r>
      <w:r w:rsidR="007D143E" w:rsidRPr="008C4F80">
        <w:t xml:space="preserve">  </w:t>
      </w:r>
      <w:r w:rsidRPr="008C4F80">
        <w:rPr>
          <w:sz w:val="24"/>
          <w:szCs w:val="24"/>
        </w:rPr>
        <w:t xml:space="preserve">In addition, mechanical failure of the pump may preclude bringing some or all of a catch aboard the vessel.  </w:t>
      </w:r>
      <w:r w:rsidR="007D143E" w:rsidRPr="008C4F80">
        <w:rPr>
          <w:sz w:val="24"/>
          <w:szCs w:val="24"/>
        </w:rPr>
        <w:t xml:space="preserve">That part of the catch that could not be pumped aboard because of mechanical failure could be released.  </w:t>
      </w:r>
      <w:r w:rsidRPr="008C4F80">
        <w:rPr>
          <w:sz w:val="24"/>
          <w:szCs w:val="24"/>
        </w:rPr>
        <w:t>Mechanical or safety problems of sufficient magnitude to warrant slipping a codend would also result in termination of the fishing.</w:t>
      </w:r>
    </w:p>
    <w:p w:rsidR="002043E0" w:rsidRPr="008C4F80" w:rsidRDefault="002043E0" w:rsidP="002043E0">
      <w:pPr>
        <w:rPr>
          <w:sz w:val="24"/>
          <w:szCs w:val="24"/>
        </w:rPr>
      </w:pPr>
    </w:p>
    <w:p w:rsidR="00506105" w:rsidRPr="008C4F80" w:rsidRDefault="00506105" w:rsidP="00506105">
      <w:pPr>
        <w:rPr>
          <w:sz w:val="24"/>
          <w:szCs w:val="24"/>
        </w:rPr>
      </w:pPr>
      <w:r w:rsidRPr="008C4F80">
        <w:rPr>
          <w:sz w:val="24"/>
          <w:szCs w:val="24"/>
        </w:rPr>
        <w:t xml:space="preserve">NMFS </w:t>
      </w:r>
      <w:r w:rsidR="005F3CD3" w:rsidRPr="008C4F80">
        <w:rPr>
          <w:sz w:val="24"/>
          <w:szCs w:val="24"/>
        </w:rPr>
        <w:t xml:space="preserve">recognized </w:t>
      </w:r>
      <w:r w:rsidRPr="008C4F80">
        <w:rPr>
          <w:sz w:val="24"/>
          <w:szCs w:val="24"/>
        </w:rPr>
        <w:t xml:space="preserve">that species composition in the catch, specifically a high concentration of spiny dogfish, can cause the fish pump to clog, slowing the pump-out process and potentially damaging the rest of the catch.  Therefore, NMFS </w:t>
      </w:r>
      <w:r w:rsidR="005F3CD3" w:rsidRPr="008C4F80">
        <w:rPr>
          <w:sz w:val="24"/>
          <w:szCs w:val="24"/>
        </w:rPr>
        <w:t xml:space="preserve">allowed </w:t>
      </w:r>
      <w:r w:rsidRPr="008C4F80">
        <w:rPr>
          <w:sz w:val="24"/>
          <w:szCs w:val="24"/>
        </w:rPr>
        <w:t xml:space="preserve">fish to be released unsampled if spiny dogfish are determined to comprise more than 50 percent of the catch, by weight.  Pumping operations would have to be started so that the observer could determine that the quantity of spiny dogfish in the catch is sufficient to make pumping the remainder of the catch nearly impossible.  A vessel would not be required to end the trip following a slipped codend due to a high concentration of spiny dogfish.  </w:t>
      </w:r>
    </w:p>
    <w:p w:rsidR="00506105" w:rsidRPr="008C4F80" w:rsidRDefault="00506105" w:rsidP="00506105">
      <w:pPr>
        <w:rPr>
          <w:sz w:val="24"/>
          <w:szCs w:val="24"/>
        </w:rPr>
      </w:pPr>
    </w:p>
    <w:p w:rsidR="00946AB0" w:rsidRPr="002043E0" w:rsidRDefault="00946AB0" w:rsidP="002043E0">
      <w:pPr>
        <w:rPr>
          <w:sz w:val="24"/>
          <w:szCs w:val="24"/>
        </w:rPr>
      </w:pPr>
      <w:r w:rsidRPr="008C4F80">
        <w:rPr>
          <w:sz w:val="24"/>
          <w:szCs w:val="24"/>
        </w:rPr>
        <w:t xml:space="preserve">If a codend is slipped, the vessel operator would be required to sign </w:t>
      </w:r>
      <w:r w:rsidR="00506105" w:rsidRPr="008C4F80">
        <w:rPr>
          <w:sz w:val="24"/>
          <w:szCs w:val="24"/>
        </w:rPr>
        <w:t xml:space="preserve">and submit </w:t>
      </w:r>
      <w:r w:rsidRPr="008C4F80">
        <w:rPr>
          <w:sz w:val="24"/>
          <w:szCs w:val="24"/>
        </w:rPr>
        <w:t>an affidavit</w:t>
      </w:r>
      <w:r w:rsidR="00895363" w:rsidRPr="008C4F80">
        <w:rPr>
          <w:sz w:val="24"/>
          <w:szCs w:val="24"/>
        </w:rPr>
        <w:t xml:space="preserve"> to NOAA’s Office of Law Enforcement attesting to the specific reason for the release, a good faith estimate of both the total weight of fish caught, and the weight of fish released.</w:t>
      </w:r>
      <w:r w:rsidR="00895363">
        <w:rPr>
          <w:sz w:val="24"/>
          <w:szCs w:val="24"/>
        </w:rPr>
        <w:t xml:space="preserve">  </w:t>
      </w:r>
    </w:p>
    <w:p w:rsidR="00946AB0" w:rsidRDefault="00946AB0">
      <w:pPr>
        <w:rPr>
          <w:sz w:val="24"/>
          <w:szCs w:val="24"/>
        </w:rPr>
      </w:pPr>
    </w:p>
    <w:p w:rsidR="004F26E9" w:rsidRDefault="004F26E9">
      <w:pPr>
        <w:rPr>
          <w:sz w:val="24"/>
          <w:szCs w:val="24"/>
        </w:rPr>
      </w:pPr>
      <w:r>
        <w:rPr>
          <w:b/>
          <w:bCs/>
          <w:sz w:val="24"/>
          <w:szCs w:val="24"/>
        </w:rPr>
        <w:t xml:space="preserve">2.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 xml:space="preserve">Explain how, by whom, how frequently, and for what purpose the information will be used.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rsidR="004F26E9" w:rsidRDefault="004F26E9">
      <w:pPr>
        <w:rPr>
          <w:sz w:val="24"/>
          <w:szCs w:val="24"/>
        </w:rPr>
      </w:pPr>
    </w:p>
    <w:p w:rsidR="00A12410" w:rsidRPr="00A12410" w:rsidRDefault="00854805" w:rsidP="00854805">
      <w:pPr>
        <w:rPr>
          <w:sz w:val="24"/>
          <w:szCs w:val="24"/>
        </w:rPr>
      </w:pPr>
      <w:r w:rsidRPr="00A12410">
        <w:rPr>
          <w:sz w:val="24"/>
          <w:szCs w:val="24"/>
        </w:rPr>
        <w:t>The information requested is used by several NMFS offices to</w:t>
      </w:r>
      <w:r w:rsidR="00A42BE1" w:rsidRPr="00A12410">
        <w:rPr>
          <w:sz w:val="24"/>
          <w:szCs w:val="24"/>
        </w:rPr>
        <w:t xml:space="preserve"> monitor the bycatch in the Atlantic herring fishery.  </w:t>
      </w:r>
      <w:r w:rsidR="006B05AF">
        <w:rPr>
          <w:sz w:val="24"/>
          <w:szCs w:val="24"/>
        </w:rPr>
        <w:t xml:space="preserve">The intention of this action is to </w:t>
      </w:r>
      <w:r w:rsidR="005F3CD3">
        <w:rPr>
          <w:sz w:val="24"/>
          <w:szCs w:val="24"/>
        </w:rPr>
        <w:t xml:space="preserve">continue to </w:t>
      </w:r>
      <w:r w:rsidR="006B05AF">
        <w:rPr>
          <w:sz w:val="24"/>
          <w:szCs w:val="24"/>
        </w:rPr>
        <w:t xml:space="preserve">collect additional information on bycatch in the midwater trawl fishery.  There is potential for vessels to slip a codend with high bycatch </w:t>
      </w:r>
      <w:r w:rsidR="003B715D">
        <w:rPr>
          <w:sz w:val="24"/>
          <w:szCs w:val="24"/>
        </w:rPr>
        <w:t>to avoid sampling</w:t>
      </w:r>
      <w:r w:rsidR="006B05AF">
        <w:rPr>
          <w:sz w:val="24"/>
          <w:szCs w:val="24"/>
        </w:rPr>
        <w:t xml:space="preserve"> by the NMFS observer.  Such action would bias the bycatch information collected.  The information collected through the affidavit will provide needed </w:t>
      </w:r>
      <w:r w:rsidR="003B715D">
        <w:rPr>
          <w:sz w:val="24"/>
          <w:szCs w:val="24"/>
        </w:rPr>
        <w:t>data</w:t>
      </w:r>
      <w:r w:rsidR="006B05AF">
        <w:rPr>
          <w:sz w:val="24"/>
          <w:szCs w:val="24"/>
        </w:rPr>
        <w:t xml:space="preserve"> regarding </w:t>
      </w:r>
      <w:r w:rsidR="003B715D">
        <w:rPr>
          <w:sz w:val="24"/>
          <w:szCs w:val="24"/>
        </w:rPr>
        <w:t>where and how often codends are slipped as well as how much fish is released</w:t>
      </w:r>
      <w:r w:rsidR="006B05AF">
        <w:rPr>
          <w:sz w:val="24"/>
          <w:szCs w:val="24"/>
        </w:rPr>
        <w:t>.  The</w:t>
      </w:r>
      <w:r w:rsidR="003B715D">
        <w:rPr>
          <w:sz w:val="24"/>
          <w:szCs w:val="24"/>
        </w:rPr>
        <w:t xml:space="preserve"> signed </w:t>
      </w:r>
      <w:r w:rsidR="006B05AF">
        <w:rPr>
          <w:sz w:val="24"/>
          <w:szCs w:val="24"/>
        </w:rPr>
        <w:t>affidavit will also serve as a</w:t>
      </w:r>
      <w:r w:rsidR="003B715D">
        <w:rPr>
          <w:sz w:val="24"/>
          <w:szCs w:val="24"/>
        </w:rPr>
        <w:t>n aid to law enforcement and a</w:t>
      </w:r>
      <w:r w:rsidR="006B05AF">
        <w:rPr>
          <w:sz w:val="24"/>
          <w:szCs w:val="24"/>
        </w:rPr>
        <w:t xml:space="preserve"> disincentive for vessels to dump fish to avoid sampling by the observer.</w:t>
      </w:r>
    </w:p>
    <w:p w:rsidR="00E443B3" w:rsidRDefault="00E443B3" w:rsidP="00854805">
      <w:pPr>
        <w:rPr>
          <w:highlight w:val="lightGray"/>
        </w:rPr>
      </w:pPr>
    </w:p>
    <w:p w:rsidR="00854805" w:rsidRPr="00E443B3" w:rsidRDefault="00854805" w:rsidP="00854805">
      <w:pPr>
        <w:rPr>
          <w:sz w:val="24"/>
          <w:szCs w:val="24"/>
        </w:rPr>
      </w:pPr>
      <w:r w:rsidRPr="00E443B3">
        <w:rPr>
          <w:sz w:val="24"/>
          <w:szCs w:val="24"/>
        </w:rPr>
        <w:t>Inf</w:t>
      </w:r>
      <w:r w:rsidR="00DE18FF">
        <w:rPr>
          <w:sz w:val="24"/>
          <w:szCs w:val="24"/>
        </w:rPr>
        <w:t xml:space="preserve">ormation collected </w:t>
      </w:r>
      <w:r w:rsidRPr="00E443B3">
        <w:rPr>
          <w:sz w:val="24"/>
          <w:szCs w:val="24"/>
        </w:rPr>
        <w:t>enable</w:t>
      </w:r>
      <w:r w:rsidR="00C85855">
        <w:rPr>
          <w:sz w:val="24"/>
          <w:szCs w:val="24"/>
        </w:rPr>
        <w:t>s</w:t>
      </w:r>
      <w:r w:rsidRPr="00E443B3">
        <w:rPr>
          <w:sz w:val="24"/>
          <w:szCs w:val="24"/>
        </w:rPr>
        <w:t xml:space="preserve"> enforcement officials, including the U.S. Coast Guard, to monitor compliance with the provisions of the </w:t>
      </w:r>
      <w:r w:rsidR="009F0659">
        <w:rPr>
          <w:sz w:val="24"/>
          <w:szCs w:val="24"/>
        </w:rPr>
        <w:t xml:space="preserve">NE multispecies and Atlantic herring </w:t>
      </w:r>
      <w:r w:rsidRPr="00E443B3">
        <w:rPr>
          <w:sz w:val="24"/>
          <w:szCs w:val="24"/>
        </w:rPr>
        <w:t>FMP</w:t>
      </w:r>
      <w:r w:rsidR="009F0659">
        <w:rPr>
          <w:sz w:val="24"/>
          <w:szCs w:val="24"/>
        </w:rPr>
        <w:t>s</w:t>
      </w:r>
      <w:r w:rsidRPr="00E443B3">
        <w:rPr>
          <w:sz w:val="24"/>
          <w:szCs w:val="24"/>
        </w:rPr>
        <w:t xml:space="preserve">. </w:t>
      </w:r>
    </w:p>
    <w:p w:rsidR="00854805" w:rsidRDefault="00854805" w:rsidP="00854805">
      <w:pPr>
        <w:rPr>
          <w:highlight w:val="lightGray"/>
        </w:rPr>
      </w:pPr>
    </w:p>
    <w:p w:rsidR="00854805" w:rsidRDefault="00854805" w:rsidP="00854805">
      <w:pPr>
        <w:rPr>
          <w:sz w:val="24"/>
          <w:szCs w:val="24"/>
        </w:rPr>
      </w:pPr>
      <w:r w:rsidRPr="00A42BE1">
        <w:rPr>
          <w:sz w:val="24"/>
          <w:szCs w:val="24"/>
        </w:rPr>
        <w:t xml:space="preserve">NMFS will retain control over the information and safeguard it from improper access, modification, and destruction, consistent with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1" w:history="1">
        <w:r w:rsidRPr="0099652F">
          <w:rPr>
            <w:rStyle w:val="Hyperlink"/>
            <w:sz w:val="24"/>
            <w:szCs w:val="24"/>
          </w:rPr>
          <w:t>Section 515 of Public Law 106-554</w:t>
        </w:r>
      </w:hyperlink>
      <w:r w:rsidRPr="00A42BE1">
        <w:rPr>
          <w:sz w:val="24"/>
          <w:szCs w:val="24"/>
        </w:rPr>
        <w:t>.</w:t>
      </w:r>
    </w:p>
    <w:p w:rsidR="00A456B4" w:rsidRDefault="00A456B4" w:rsidP="00854805">
      <w:pPr>
        <w:rPr>
          <w:sz w:val="24"/>
          <w:szCs w:val="24"/>
        </w:rPr>
      </w:pPr>
    </w:p>
    <w:p w:rsidR="00DE18FF" w:rsidRDefault="00DE18FF">
      <w:pPr>
        <w:rPr>
          <w:b/>
          <w:bCs/>
          <w:sz w:val="24"/>
          <w:szCs w:val="24"/>
        </w:rPr>
      </w:pPr>
    </w:p>
    <w:p w:rsidR="00DE18FF" w:rsidRDefault="00DE18FF">
      <w:pPr>
        <w:widowControl/>
        <w:autoSpaceDE/>
        <w:autoSpaceDN/>
        <w:adjustRightInd/>
        <w:rPr>
          <w:b/>
          <w:bCs/>
          <w:sz w:val="24"/>
          <w:szCs w:val="24"/>
        </w:rPr>
      </w:pPr>
      <w:r>
        <w:rPr>
          <w:b/>
          <w:bCs/>
          <w:sz w:val="24"/>
          <w:szCs w:val="24"/>
        </w:rPr>
        <w:br w:type="page"/>
      </w:r>
    </w:p>
    <w:p w:rsidR="004F26E9" w:rsidRDefault="004F26E9">
      <w:pPr>
        <w:rPr>
          <w:sz w:val="24"/>
          <w:szCs w:val="24"/>
        </w:rPr>
      </w:pPr>
      <w:r>
        <w:rPr>
          <w:b/>
          <w:bCs/>
          <w:sz w:val="24"/>
          <w:szCs w:val="24"/>
        </w:rPr>
        <w:lastRenderedPageBreak/>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rsidR="004F26E9" w:rsidRDefault="004F26E9">
      <w:pPr>
        <w:rPr>
          <w:sz w:val="24"/>
          <w:szCs w:val="24"/>
        </w:rPr>
      </w:pPr>
    </w:p>
    <w:p w:rsidR="0099652F" w:rsidRDefault="00E0398D" w:rsidP="00E0398D">
      <w:pPr>
        <w:rPr>
          <w:sz w:val="24"/>
          <w:szCs w:val="24"/>
        </w:rPr>
      </w:pPr>
      <w:r w:rsidRPr="00E0398D">
        <w:rPr>
          <w:sz w:val="24"/>
          <w:szCs w:val="24"/>
        </w:rPr>
        <w:t xml:space="preserve">This information is submitted in hard copy, delivered through the mail or in person.  The need to obtain an original signature of </w:t>
      </w:r>
      <w:r w:rsidR="009139A0">
        <w:rPr>
          <w:sz w:val="24"/>
          <w:szCs w:val="24"/>
        </w:rPr>
        <w:t xml:space="preserve">the vessel operator on the affidavit </w:t>
      </w:r>
      <w:r w:rsidRPr="00E0398D">
        <w:rPr>
          <w:sz w:val="24"/>
          <w:szCs w:val="24"/>
        </w:rPr>
        <w:t xml:space="preserve">necessitates paper format and prevents electronic formats from being </w:t>
      </w:r>
      <w:r w:rsidR="00C85855">
        <w:rPr>
          <w:sz w:val="24"/>
          <w:szCs w:val="24"/>
        </w:rPr>
        <w:t xml:space="preserve">a </w:t>
      </w:r>
      <w:r w:rsidRPr="00E0398D">
        <w:rPr>
          <w:sz w:val="24"/>
          <w:szCs w:val="24"/>
        </w:rPr>
        <w:t xml:space="preserve">viable means of exchange.  No improved information collection technology has been identified to reduce this burden further.  Every effort will be made in the future to use computer technology to reduce the public burden.  The </w:t>
      </w:r>
      <w:r>
        <w:rPr>
          <w:sz w:val="24"/>
          <w:szCs w:val="24"/>
        </w:rPr>
        <w:t xml:space="preserve">affidavit </w:t>
      </w:r>
      <w:r w:rsidRPr="00E0398D">
        <w:rPr>
          <w:sz w:val="24"/>
          <w:szCs w:val="24"/>
        </w:rPr>
        <w:t>used to collect the information</w:t>
      </w:r>
      <w:r>
        <w:rPr>
          <w:sz w:val="24"/>
          <w:szCs w:val="24"/>
        </w:rPr>
        <w:t xml:space="preserve"> </w:t>
      </w:r>
      <w:r w:rsidRPr="00E0398D">
        <w:rPr>
          <w:sz w:val="24"/>
          <w:szCs w:val="24"/>
        </w:rPr>
        <w:t>is available in a fillable format at the NOAA Northeast Regional Office (NERO) website (</w:t>
      </w:r>
      <w:hyperlink r:id="rId12" w:history="1">
        <w:r w:rsidR="0099652F" w:rsidRPr="009B2C41">
          <w:rPr>
            <w:rStyle w:val="Hyperlink"/>
            <w:sz w:val="24"/>
            <w:szCs w:val="24"/>
          </w:rPr>
          <w:t>www.nero.noaa.gov</w:t>
        </w:r>
      </w:hyperlink>
      <w:r w:rsidR="0099652F">
        <w:rPr>
          <w:sz w:val="24"/>
          <w:szCs w:val="24"/>
        </w:rPr>
        <w:t>).</w:t>
      </w:r>
    </w:p>
    <w:p w:rsidR="00E12720" w:rsidRDefault="00E12720">
      <w:pPr>
        <w:rPr>
          <w:sz w:val="24"/>
          <w:szCs w:val="24"/>
        </w:rPr>
      </w:pPr>
    </w:p>
    <w:p w:rsidR="004F26E9" w:rsidRDefault="004F26E9">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rsidR="004F26E9" w:rsidRDefault="004F26E9">
      <w:pPr>
        <w:rPr>
          <w:sz w:val="24"/>
          <w:szCs w:val="24"/>
        </w:rPr>
      </w:pPr>
    </w:p>
    <w:p w:rsidR="00854805" w:rsidRPr="00F00C05" w:rsidRDefault="00854805" w:rsidP="00854805">
      <w:pPr>
        <w:rPr>
          <w:sz w:val="24"/>
          <w:szCs w:val="24"/>
        </w:rPr>
      </w:pPr>
      <w:r w:rsidRPr="00F00C05">
        <w:rPr>
          <w:sz w:val="24"/>
          <w:szCs w:val="24"/>
        </w:rPr>
        <w:t xml:space="preserve">Other than information needed to identify </w:t>
      </w:r>
      <w:r w:rsidR="00F00C05" w:rsidRPr="00F00C05">
        <w:rPr>
          <w:sz w:val="24"/>
          <w:szCs w:val="24"/>
        </w:rPr>
        <w:t xml:space="preserve">the vessel (i.e. vessel name, permit number), </w:t>
      </w:r>
      <w:r w:rsidRPr="00F00C05">
        <w:rPr>
          <w:sz w:val="24"/>
          <w:szCs w:val="24"/>
        </w:rPr>
        <w:t>no information will be collected that is already collected through other means.</w:t>
      </w:r>
    </w:p>
    <w:p w:rsidR="004F26E9" w:rsidRPr="00F00C05" w:rsidRDefault="004F26E9">
      <w:pPr>
        <w:rPr>
          <w:sz w:val="24"/>
          <w:szCs w:val="24"/>
        </w:rPr>
      </w:pPr>
    </w:p>
    <w:p w:rsidR="004F26E9" w:rsidRDefault="004F26E9">
      <w:pPr>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rsidR="004F26E9" w:rsidRDefault="004F26E9">
      <w:pPr>
        <w:rPr>
          <w:sz w:val="24"/>
          <w:szCs w:val="24"/>
        </w:rPr>
      </w:pPr>
    </w:p>
    <w:p w:rsidR="00854805" w:rsidRPr="00854805" w:rsidRDefault="00854805" w:rsidP="00854805">
      <w:pPr>
        <w:rPr>
          <w:sz w:val="24"/>
          <w:szCs w:val="24"/>
        </w:rPr>
      </w:pPr>
      <w:r w:rsidRPr="00854805">
        <w:rPr>
          <w:sz w:val="24"/>
          <w:szCs w:val="24"/>
        </w:rPr>
        <w:t>Only the minimum data to meet the requirements of the above data needs are requested from all participants.  Since most of the respondents are small businesses, separate requirements based on the size of the business are not necessary.</w:t>
      </w:r>
    </w:p>
    <w:p w:rsidR="004F26E9" w:rsidRDefault="004F26E9">
      <w:pPr>
        <w:rPr>
          <w:sz w:val="24"/>
          <w:szCs w:val="24"/>
        </w:rPr>
      </w:pPr>
    </w:p>
    <w:p w:rsidR="004F26E9" w:rsidRDefault="004F26E9">
      <w:pPr>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rsidR="004F26E9" w:rsidRDefault="004F26E9">
      <w:pPr>
        <w:rPr>
          <w:sz w:val="24"/>
          <w:szCs w:val="24"/>
        </w:rPr>
      </w:pPr>
    </w:p>
    <w:p w:rsidR="002043E0" w:rsidRPr="002043E0" w:rsidRDefault="00345231" w:rsidP="00854805">
      <w:pPr>
        <w:rPr>
          <w:sz w:val="24"/>
          <w:szCs w:val="24"/>
        </w:rPr>
      </w:pPr>
      <w:r>
        <w:rPr>
          <w:sz w:val="24"/>
          <w:szCs w:val="24"/>
        </w:rPr>
        <w:t>N</w:t>
      </w:r>
      <w:r w:rsidR="002043E0" w:rsidRPr="002043E0">
        <w:rPr>
          <w:sz w:val="24"/>
          <w:szCs w:val="24"/>
        </w:rPr>
        <w:t>ot conduct</w:t>
      </w:r>
      <w:r>
        <w:rPr>
          <w:sz w:val="24"/>
          <w:szCs w:val="24"/>
        </w:rPr>
        <w:t>ing</w:t>
      </w:r>
      <w:r w:rsidR="002043E0" w:rsidRPr="002043E0">
        <w:rPr>
          <w:sz w:val="24"/>
          <w:szCs w:val="24"/>
        </w:rPr>
        <w:t xml:space="preserve"> the collection of information</w:t>
      </w:r>
      <w:r>
        <w:rPr>
          <w:sz w:val="24"/>
          <w:szCs w:val="24"/>
        </w:rPr>
        <w:t xml:space="preserve"> as</w:t>
      </w:r>
      <w:r w:rsidR="002043E0" w:rsidRPr="002043E0">
        <w:rPr>
          <w:sz w:val="24"/>
          <w:szCs w:val="24"/>
        </w:rPr>
        <w:t xml:space="preserve"> described </w:t>
      </w:r>
      <w:r>
        <w:rPr>
          <w:sz w:val="24"/>
          <w:szCs w:val="24"/>
        </w:rPr>
        <w:t>c</w:t>
      </w:r>
      <w:r w:rsidR="002043E0" w:rsidRPr="002043E0">
        <w:rPr>
          <w:sz w:val="24"/>
          <w:szCs w:val="24"/>
        </w:rPr>
        <w:t xml:space="preserve">ould </w:t>
      </w:r>
      <w:r>
        <w:rPr>
          <w:sz w:val="24"/>
          <w:szCs w:val="24"/>
        </w:rPr>
        <w:t>hinder</w:t>
      </w:r>
      <w:r w:rsidR="002043E0" w:rsidRPr="002043E0">
        <w:rPr>
          <w:sz w:val="24"/>
          <w:szCs w:val="24"/>
        </w:rPr>
        <w:t xml:space="preserve"> </w:t>
      </w:r>
      <w:r>
        <w:rPr>
          <w:sz w:val="24"/>
          <w:szCs w:val="24"/>
        </w:rPr>
        <w:t xml:space="preserve">NMFS enforcement of </w:t>
      </w:r>
      <w:r w:rsidR="002043E0" w:rsidRPr="002043E0">
        <w:rPr>
          <w:sz w:val="24"/>
          <w:szCs w:val="24"/>
        </w:rPr>
        <w:t xml:space="preserve">these proposed provisions </w:t>
      </w:r>
      <w:r w:rsidR="002043E0">
        <w:rPr>
          <w:sz w:val="24"/>
          <w:szCs w:val="24"/>
        </w:rPr>
        <w:t xml:space="preserve">and </w:t>
      </w:r>
      <w:r>
        <w:rPr>
          <w:sz w:val="24"/>
          <w:szCs w:val="24"/>
        </w:rPr>
        <w:t>c</w:t>
      </w:r>
      <w:r w:rsidR="002043E0">
        <w:rPr>
          <w:sz w:val="24"/>
          <w:szCs w:val="24"/>
        </w:rPr>
        <w:t>ould prevent NMFS from</w:t>
      </w:r>
      <w:r w:rsidR="00C718F6">
        <w:rPr>
          <w:sz w:val="24"/>
          <w:szCs w:val="24"/>
        </w:rPr>
        <w:t xml:space="preserve"> accurately monitoring the bycatch in the Atlantic herring fishery.</w:t>
      </w:r>
    </w:p>
    <w:p w:rsidR="002043E0" w:rsidRPr="002043E0" w:rsidRDefault="002043E0" w:rsidP="00854805">
      <w:pPr>
        <w:rPr>
          <w:sz w:val="24"/>
          <w:szCs w:val="24"/>
          <w:highlight w:val="lightGray"/>
        </w:rPr>
      </w:pPr>
    </w:p>
    <w:p w:rsidR="004F26E9" w:rsidRDefault="004F26E9">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rsidR="004F26E9" w:rsidRDefault="004F26E9">
      <w:pPr>
        <w:rPr>
          <w:sz w:val="24"/>
          <w:szCs w:val="24"/>
        </w:rPr>
      </w:pPr>
    </w:p>
    <w:p w:rsidR="00854805" w:rsidRPr="00854805" w:rsidRDefault="00854805" w:rsidP="00854805">
      <w:pPr>
        <w:rPr>
          <w:sz w:val="24"/>
          <w:szCs w:val="24"/>
        </w:rPr>
      </w:pPr>
      <w:r w:rsidRPr="00854805">
        <w:rPr>
          <w:sz w:val="24"/>
          <w:szCs w:val="24"/>
        </w:rPr>
        <w:t>The data collection is consistent with OMB guidelines.</w:t>
      </w:r>
    </w:p>
    <w:p w:rsidR="00725C5C" w:rsidRDefault="00725C5C">
      <w:pPr>
        <w:rPr>
          <w:b/>
          <w:bCs/>
          <w:sz w:val="24"/>
          <w:szCs w:val="24"/>
        </w:rPr>
      </w:pPr>
    </w:p>
    <w:p w:rsidR="004F26E9" w:rsidRDefault="004F26E9">
      <w:pPr>
        <w:rPr>
          <w:sz w:val="24"/>
          <w:szCs w:val="24"/>
        </w:rPr>
      </w:pPr>
      <w:r>
        <w:rPr>
          <w:b/>
          <w:bCs/>
          <w:sz w:val="24"/>
          <w:szCs w:val="24"/>
        </w:rPr>
        <w:t xml:space="preserve">8.  </w:t>
      </w:r>
      <w:r>
        <w:rPr>
          <w:b/>
          <w:bCs/>
          <w:sz w:val="24"/>
          <w:szCs w:val="24"/>
          <w:u w:val="single"/>
        </w:rPr>
        <w:t xml:space="preserve">Provide </w:t>
      </w:r>
      <w:r w:rsidR="00107F5D">
        <w:rPr>
          <w:b/>
          <w:bCs/>
          <w:sz w:val="24"/>
          <w:szCs w:val="24"/>
          <w:u w:val="single"/>
        </w:rPr>
        <w:t>information on</w:t>
      </w:r>
      <w:r>
        <w:rPr>
          <w:b/>
          <w:bCs/>
          <w:sz w:val="24"/>
          <w:szCs w:val="24"/>
          <w:u w:val="single"/>
        </w:rPr>
        <w:t xml:space="preserve"> the PRA Federal Register </w:t>
      </w:r>
      <w:r w:rsidR="001E6F72">
        <w:rPr>
          <w:b/>
          <w:bCs/>
          <w:sz w:val="24"/>
          <w:szCs w:val="24"/>
          <w:u w:val="single"/>
        </w:rPr>
        <w:t>N</w:t>
      </w:r>
      <w:r>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Pr>
          <w:b/>
          <w:bCs/>
          <w:sz w:val="24"/>
          <w:szCs w:val="24"/>
        </w:rPr>
        <w:t>.</w:t>
      </w:r>
      <w:r>
        <w:rPr>
          <w:sz w:val="24"/>
          <w:szCs w:val="24"/>
        </w:rPr>
        <w:t xml:space="preserve">  </w:t>
      </w:r>
      <w:r>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 w:val="24"/>
          <w:szCs w:val="24"/>
        </w:rPr>
        <w:t>.</w:t>
      </w:r>
    </w:p>
    <w:p w:rsidR="004F26E9" w:rsidRDefault="004F26E9">
      <w:pPr>
        <w:rPr>
          <w:sz w:val="24"/>
          <w:szCs w:val="24"/>
        </w:rPr>
      </w:pPr>
    </w:p>
    <w:p w:rsidR="00C85855" w:rsidRDefault="00955EF7" w:rsidP="00901497">
      <w:pPr>
        <w:pStyle w:val="NoSpacing"/>
        <w:rPr>
          <w:sz w:val="24"/>
          <w:szCs w:val="24"/>
        </w:rPr>
      </w:pPr>
      <w:r w:rsidRPr="0024643D">
        <w:rPr>
          <w:sz w:val="24"/>
          <w:szCs w:val="24"/>
        </w:rPr>
        <w:t xml:space="preserve">A </w:t>
      </w:r>
      <w:r w:rsidR="00C85855" w:rsidRPr="00C85855">
        <w:rPr>
          <w:sz w:val="24"/>
          <w:szCs w:val="24"/>
          <w:u w:val="single"/>
        </w:rPr>
        <w:t>Federal Register</w:t>
      </w:r>
      <w:r w:rsidR="00C85855">
        <w:rPr>
          <w:sz w:val="24"/>
          <w:szCs w:val="24"/>
        </w:rPr>
        <w:t xml:space="preserve"> N</w:t>
      </w:r>
      <w:r w:rsidR="0024643D" w:rsidRPr="0024643D">
        <w:rPr>
          <w:sz w:val="24"/>
          <w:szCs w:val="24"/>
        </w:rPr>
        <w:t>otice</w:t>
      </w:r>
      <w:r w:rsidR="00C85855">
        <w:rPr>
          <w:sz w:val="24"/>
          <w:szCs w:val="24"/>
        </w:rPr>
        <w:t xml:space="preserve"> published on July 3, 2012 (77 FR 39470</w:t>
      </w:r>
      <w:r w:rsidR="0024643D">
        <w:rPr>
          <w:sz w:val="24"/>
          <w:szCs w:val="24"/>
        </w:rPr>
        <w:t xml:space="preserve">) </w:t>
      </w:r>
      <w:r w:rsidR="00C85855">
        <w:rPr>
          <w:sz w:val="24"/>
          <w:szCs w:val="24"/>
        </w:rPr>
        <w:t>solicited</w:t>
      </w:r>
      <w:r w:rsidRPr="0024643D">
        <w:rPr>
          <w:sz w:val="24"/>
          <w:szCs w:val="24"/>
        </w:rPr>
        <w:t xml:space="preserve"> public comment</w:t>
      </w:r>
      <w:r w:rsidR="005F3CD3" w:rsidRPr="0024643D">
        <w:rPr>
          <w:sz w:val="24"/>
          <w:szCs w:val="24"/>
        </w:rPr>
        <w:t xml:space="preserve"> </w:t>
      </w:r>
      <w:r w:rsidR="0024643D">
        <w:rPr>
          <w:sz w:val="24"/>
          <w:szCs w:val="24"/>
        </w:rPr>
        <w:t>on</w:t>
      </w:r>
      <w:r w:rsidR="005F3CD3" w:rsidRPr="0024643D">
        <w:rPr>
          <w:sz w:val="24"/>
          <w:szCs w:val="24"/>
        </w:rPr>
        <w:t xml:space="preserve"> the </w:t>
      </w:r>
      <w:r w:rsidR="00C85855">
        <w:rPr>
          <w:sz w:val="24"/>
          <w:szCs w:val="24"/>
        </w:rPr>
        <w:t>extension</w:t>
      </w:r>
      <w:r w:rsidR="005F3CD3" w:rsidRPr="0024643D">
        <w:rPr>
          <w:sz w:val="24"/>
          <w:szCs w:val="24"/>
        </w:rPr>
        <w:t xml:space="preserve"> of this information collection</w:t>
      </w:r>
      <w:r w:rsidRPr="0024643D">
        <w:rPr>
          <w:sz w:val="24"/>
          <w:szCs w:val="24"/>
        </w:rPr>
        <w:t xml:space="preserve">. </w:t>
      </w:r>
      <w:r w:rsidR="0024643D">
        <w:rPr>
          <w:sz w:val="24"/>
          <w:szCs w:val="24"/>
        </w:rPr>
        <w:t xml:space="preserve">A total of </w:t>
      </w:r>
      <w:r w:rsidR="00901497">
        <w:rPr>
          <w:sz w:val="24"/>
          <w:szCs w:val="24"/>
        </w:rPr>
        <w:t>6</w:t>
      </w:r>
      <w:r w:rsidR="0024643D">
        <w:rPr>
          <w:sz w:val="24"/>
          <w:szCs w:val="24"/>
        </w:rPr>
        <w:t xml:space="preserve"> comments </w:t>
      </w:r>
      <w:r w:rsidR="00C85855">
        <w:rPr>
          <w:sz w:val="24"/>
          <w:szCs w:val="24"/>
        </w:rPr>
        <w:t>was</w:t>
      </w:r>
      <w:r w:rsidR="00DE18FF">
        <w:rPr>
          <w:sz w:val="24"/>
          <w:szCs w:val="24"/>
        </w:rPr>
        <w:t xml:space="preserve"> received:</w:t>
      </w:r>
    </w:p>
    <w:p w:rsidR="00DE18FF" w:rsidRDefault="00DE18FF" w:rsidP="00901497">
      <w:pPr>
        <w:pStyle w:val="NoSpacing"/>
        <w:rPr>
          <w:sz w:val="24"/>
          <w:szCs w:val="24"/>
        </w:rPr>
      </w:pPr>
    </w:p>
    <w:p w:rsidR="00DE18FF" w:rsidRDefault="00DE18FF">
      <w:pPr>
        <w:widowControl/>
        <w:autoSpaceDE/>
        <w:autoSpaceDN/>
        <w:adjustRightInd/>
        <w:rPr>
          <w:sz w:val="24"/>
          <w:szCs w:val="24"/>
        </w:rPr>
      </w:pPr>
      <w:r>
        <w:rPr>
          <w:sz w:val="24"/>
          <w:szCs w:val="24"/>
        </w:rPr>
        <w:br w:type="page"/>
      </w:r>
    </w:p>
    <w:p w:rsidR="00C85855" w:rsidRDefault="00014ACE" w:rsidP="00C85855">
      <w:pPr>
        <w:pStyle w:val="NoSpacing"/>
        <w:numPr>
          <w:ilvl w:val="0"/>
          <w:numId w:val="1"/>
        </w:numPr>
        <w:rPr>
          <w:sz w:val="24"/>
          <w:szCs w:val="24"/>
        </w:rPr>
      </w:pPr>
      <w:r>
        <w:rPr>
          <w:sz w:val="24"/>
          <w:szCs w:val="24"/>
        </w:rPr>
        <w:lastRenderedPageBreak/>
        <w:t xml:space="preserve">Lunds Fisheries Incorporated supported the use of the affidavit, citing the flexibility that it affords vessel operators to prevent unsafe conditions, and stated that the requirement was not overly burdensome.  </w:t>
      </w:r>
    </w:p>
    <w:p w:rsidR="00C85855" w:rsidRDefault="00C85855" w:rsidP="00901497">
      <w:pPr>
        <w:pStyle w:val="NoSpacing"/>
        <w:rPr>
          <w:sz w:val="24"/>
          <w:szCs w:val="24"/>
        </w:rPr>
      </w:pPr>
    </w:p>
    <w:p w:rsidR="00C85855" w:rsidRDefault="00014ACE" w:rsidP="00C85855">
      <w:pPr>
        <w:pStyle w:val="NoSpacing"/>
        <w:numPr>
          <w:ilvl w:val="0"/>
          <w:numId w:val="1"/>
        </w:numPr>
        <w:rPr>
          <w:sz w:val="24"/>
          <w:szCs w:val="24"/>
        </w:rPr>
      </w:pPr>
      <w:r>
        <w:rPr>
          <w:sz w:val="24"/>
          <w:szCs w:val="24"/>
        </w:rPr>
        <w:t xml:space="preserve">The Herring Alliance </w:t>
      </w:r>
      <w:r w:rsidR="00901497">
        <w:rPr>
          <w:sz w:val="24"/>
          <w:szCs w:val="24"/>
        </w:rPr>
        <w:t xml:space="preserve">and CHOIR Coalition both </w:t>
      </w:r>
      <w:r>
        <w:rPr>
          <w:sz w:val="24"/>
          <w:szCs w:val="24"/>
        </w:rPr>
        <w:t xml:space="preserve">generally supported the requirements for vessels fishing in Closed Area 1, including the use of the affidavit.  </w:t>
      </w:r>
    </w:p>
    <w:p w:rsidR="00C85855" w:rsidRDefault="00C85855" w:rsidP="00901497">
      <w:pPr>
        <w:pStyle w:val="NoSpacing"/>
        <w:rPr>
          <w:sz w:val="24"/>
          <w:szCs w:val="24"/>
        </w:rPr>
      </w:pPr>
    </w:p>
    <w:p w:rsidR="00C85855" w:rsidRDefault="00901497" w:rsidP="00C85855">
      <w:pPr>
        <w:pStyle w:val="NoSpacing"/>
        <w:numPr>
          <w:ilvl w:val="0"/>
          <w:numId w:val="1"/>
        </w:numPr>
        <w:rPr>
          <w:sz w:val="24"/>
          <w:szCs w:val="24"/>
        </w:rPr>
      </w:pPr>
      <w:r>
        <w:rPr>
          <w:sz w:val="24"/>
          <w:szCs w:val="24"/>
        </w:rPr>
        <w:t xml:space="preserve">The Cape Cod Commercial Hook Fishermen’s Association commented in support of </w:t>
      </w:r>
      <w:r w:rsidRPr="00901497">
        <w:rPr>
          <w:sz w:val="24"/>
          <w:szCs w:val="24"/>
        </w:rPr>
        <w:t>the affidavit, stating that it help to collect “valuable insight into the fishery without placing undue burden on the industry</w:t>
      </w:r>
      <w:r>
        <w:rPr>
          <w:sz w:val="24"/>
          <w:szCs w:val="24"/>
        </w:rPr>
        <w:t xml:space="preserve">.”  </w:t>
      </w:r>
    </w:p>
    <w:p w:rsidR="00C85855" w:rsidRDefault="00C85855" w:rsidP="00901497">
      <w:pPr>
        <w:pStyle w:val="NoSpacing"/>
        <w:rPr>
          <w:sz w:val="24"/>
          <w:szCs w:val="24"/>
        </w:rPr>
      </w:pPr>
    </w:p>
    <w:p w:rsidR="00C85855" w:rsidRDefault="00901497" w:rsidP="00C85855">
      <w:pPr>
        <w:pStyle w:val="NoSpacing"/>
        <w:numPr>
          <w:ilvl w:val="0"/>
          <w:numId w:val="1"/>
        </w:numPr>
        <w:rPr>
          <w:sz w:val="24"/>
          <w:szCs w:val="24"/>
        </w:rPr>
      </w:pPr>
      <w:r>
        <w:rPr>
          <w:sz w:val="24"/>
          <w:szCs w:val="24"/>
        </w:rPr>
        <w:t>The Massa</w:t>
      </w:r>
      <w:r w:rsidR="000F7AB0">
        <w:rPr>
          <w:sz w:val="24"/>
          <w:szCs w:val="24"/>
        </w:rPr>
        <w:t>chusetts Striped Bass Association</w:t>
      </w:r>
      <w:r>
        <w:rPr>
          <w:sz w:val="24"/>
          <w:szCs w:val="24"/>
        </w:rPr>
        <w:t xml:space="preserve"> commented in favor of Closed Area I regulations, stating that the information collected is vital for the </w:t>
      </w:r>
      <w:r w:rsidRPr="00901497">
        <w:rPr>
          <w:sz w:val="24"/>
          <w:szCs w:val="24"/>
        </w:rPr>
        <w:t xml:space="preserve">management of the resource, and is not burdensome. </w:t>
      </w:r>
    </w:p>
    <w:p w:rsidR="00C85855" w:rsidRDefault="00C85855" w:rsidP="00901497">
      <w:pPr>
        <w:pStyle w:val="NoSpacing"/>
        <w:rPr>
          <w:sz w:val="24"/>
          <w:szCs w:val="24"/>
        </w:rPr>
      </w:pPr>
    </w:p>
    <w:p w:rsidR="00901497" w:rsidRPr="00901497" w:rsidRDefault="00901497" w:rsidP="00C85855">
      <w:pPr>
        <w:pStyle w:val="NoSpacing"/>
        <w:numPr>
          <w:ilvl w:val="0"/>
          <w:numId w:val="1"/>
        </w:numPr>
        <w:rPr>
          <w:sz w:val="24"/>
          <w:szCs w:val="24"/>
        </w:rPr>
      </w:pPr>
      <w:r w:rsidRPr="00901497">
        <w:rPr>
          <w:sz w:val="24"/>
          <w:szCs w:val="24"/>
        </w:rPr>
        <w:t>The Maine Coast Fishermen’s Association also supported Closed Area 1 regulations, stating that they are “essential to understanding target species, bycatch species and slippage rates for the mid-water trawl fleet in all groundfish closed areas.”</w:t>
      </w:r>
    </w:p>
    <w:p w:rsidR="00901497" w:rsidRPr="00901497" w:rsidRDefault="00901497" w:rsidP="0024643D">
      <w:pPr>
        <w:pStyle w:val="NoSpacing"/>
        <w:rPr>
          <w:sz w:val="24"/>
          <w:szCs w:val="24"/>
        </w:rPr>
      </w:pPr>
    </w:p>
    <w:p w:rsidR="004F26E9" w:rsidRDefault="004F26E9">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rsidR="004F26E9" w:rsidRDefault="004F26E9">
      <w:pPr>
        <w:rPr>
          <w:sz w:val="24"/>
          <w:szCs w:val="24"/>
        </w:rPr>
      </w:pPr>
    </w:p>
    <w:p w:rsidR="00854805" w:rsidRPr="00854805" w:rsidRDefault="00854805" w:rsidP="00854805">
      <w:pPr>
        <w:rPr>
          <w:sz w:val="24"/>
          <w:szCs w:val="24"/>
        </w:rPr>
      </w:pPr>
      <w:r w:rsidRPr="00854805">
        <w:rPr>
          <w:sz w:val="24"/>
          <w:szCs w:val="24"/>
        </w:rPr>
        <w:t>Neither payments nor gifts are given to the respondents.</w:t>
      </w:r>
    </w:p>
    <w:p w:rsidR="004F26E9" w:rsidRDefault="004F26E9">
      <w:pPr>
        <w:rPr>
          <w:sz w:val="24"/>
          <w:szCs w:val="24"/>
        </w:rPr>
      </w:pPr>
    </w:p>
    <w:p w:rsidR="004F26E9" w:rsidRDefault="004F26E9">
      <w:pPr>
        <w:rPr>
          <w:sz w:val="24"/>
          <w:szCs w:val="24"/>
        </w:rPr>
      </w:pPr>
      <w:r>
        <w:rPr>
          <w:b/>
          <w:bCs/>
          <w:sz w:val="24"/>
          <w:szCs w:val="24"/>
        </w:rPr>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rsidR="004F26E9" w:rsidRDefault="004F26E9">
      <w:pPr>
        <w:rPr>
          <w:sz w:val="24"/>
          <w:szCs w:val="24"/>
        </w:rPr>
      </w:pPr>
    </w:p>
    <w:p w:rsidR="00854805" w:rsidRPr="00854805" w:rsidRDefault="00854805" w:rsidP="00854805">
      <w:pPr>
        <w:rPr>
          <w:sz w:val="24"/>
          <w:szCs w:val="24"/>
        </w:rPr>
      </w:pPr>
      <w:r w:rsidRPr="00854805">
        <w:rPr>
          <w:sz w:val="24"/>
          <w:szCs w:val="24"/>
        </w:rPr>
        <w:t>A</w:t>
      </w:r>
      <w:r w:rsidR="00C91E53">
        <w:rPr>
          <w:sz w:val="24"/>
          <w:szCs w:val="24"/>
        </w:rPr>
        <w:t>s stated on the form, a</w:t>
      </w:r>
      <w:r w:rsidRPr="00854805">
        <w:rPr>
          <w:sz w:val="24"/>
          <w:szCs w:val="24"/>
        </w:rPr>
        <w:t xml:space="preserve">ll data will be kept confidential as required by </w:t>
      </w:r>
      <w:hyperlink r:id="rId13" w:history="1">
        <w:r w:rsidRPr="0099652F">
          <w:rPr>
            <w:rStyle w:val="Hyperlink"/>
            <w:sz w:val="24"/>
            <w:szCs w:val="24"/>
          </w:rPr>
          <w:t>NOAA Administrative Order 216-100</w:t>
        </w:r>
      </w:hyperlink>
      <w:r w:rsidRPr="00854805">
        <w:rPr>
          <w:sz w:val="24"/>
          <w:szCs w:val="24"/>
        </w:rPr>
        <w:t xml:space="preserve">, Confidentiality of Fisheries Statistics, and will not be released for public use except in aggregate statistical form (and without identifying the source of data, i.e., vessel name, owner, etc.).  Only authorized personnel have access to this information as necessary to </w:t>
      </w:r>
      <w:r w:rsidR="00895363">
        <w:rPr>
          <w:sz w:val="24"/>
          <w:szCs w:val="24"/>
        </w:rPr>
        <w:t>monitor</w:t>
      </w:r>
      <w:r w:rsidRPr="00854805">
        <w:rPr>
          <w:sz w:val="24"/>
          <w:szCs w:val="24"/>
        </w:rPr>
        <w:t xml:space="preserve"> the </w:t>
      </w:r>
      <w:r w:rsidR="00895363">
        <w:rPr>
          <w:sz w:val="24"/>
          <w:szCs w:val="24"/>
        </w:rPr>
        <w:t>amount of haddock bycatch in the herring fishery</w:t>
      </w:r>
      <w:r w:rsidRPr="00854805">
        <w:rPr>
          <w:sz w:val="24"/>
          <w:szCs w:val="24"/>
        </w:rPr>
        <w:t>.</w:t>
      </w:r>
    </w:p>
    <w:p w:rsidR="004F26E9" w:rsidRDefault="004F26E9">
      <w:pPr>
        <w:rPr>
          <w:sz w:val="24"/>
          <w:szCs w:val="24"/>
        </w:rPr>
      </w:pPr>
    </w:p>
    <w:p w:rsidR="004F26E9" w:rsidRDefault="004F26E9">
      <w:pPr>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rsidR="004F26E9" w:rsidRDefault="004F26E9">
      <w:pPr>
        <w:rPr>
          <w:sz w:val="24"/>
          <w:szCs w:val="24"/>
        </w:rPr>
      </w:pPr>
    </w:p>
    <w:p w:rsidR="00854805" w:rsidRPr="00854805" w:rsidRDefault="00854805" w:rsidP="00854805">
      <w:pPr>
        <w:rPr>
          <w:sz w:val="24"/>
          <w:szCs w:val="24"/>
        </w:rPr>
      </w:pPr>
      <w:r w:rsidRPr="00854805">
        <w:rPr>
          <w:sz w:val="24"/>
          <w:szCs w:val="24"/>
        </w:rPr>
        <w:t>There are no questions of sensitive nature.</w:t>
      </w:r>
    </w:p>
    <w:p w:rsidR="004F26E9" w:rsidRDefault="004F26E9">
      <w:pPr>
        <w:rPr>
          <w:sz w:val="24"/>
          <w:szCs w:val="24"/>
        </w:rPr>
      </w:pPr>
    </w:p>
    <w:p w:rsidR="004F26E9" w:rsidRDefault="004F26E9">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rsidR="004F26E9" w:rsidRDefault="004F26E9">
      <w:pPr>
        <w:rPr>
          <w:sz w:val="24"/>
          <w:szCs w:val="24"/>
        </w:rPr>
      </w:pPr>
    </w:p>
    <w:p w:rsidR="00080748" w:rsidRPr="00C65737" w:rsidRDefault="001B0C2B">
      <w:pPr>
        <w:rPr>
          <w:sz w:val="24"/>
          <w:szCs w:val="24"/>
        </w:rPr>
      </w:pPr>
      <w:r w:rsidRPr="00C65737">
        <w:rPr>
          <w:sz w:val="24"/>
          <w:szCs w:val="24"/>
        </w:rPr>
        <w:t xml:space="preserve">Herring Category A and B permit holders </w:t>
      </w:r>
      <w:r w:rsidR="00E54E9F" w:rsidRPr="00C65737">
        <w:rPr>
          <w:sz w:val="24"/>
          <w:szCs w:val="24"/>
        </w:rPr>
        <w:t xml:space="preserve">(46 vessels) </w:t>
      </w:r>
      <w:r w:rsidRPr="00C65737">
        <w:rPr>
          <w:sz w:val="24"/>
          <w:szCs w:val="24"/>
        </w:rPr>
        <w:t xml:space="preserve">who fish in Closed Area I would be required to submit an affidavit detailing the specific reason for a release and a good-faith estimate of the total weight of fish released when a codend is slipped.  One form is required to be completed, signed and submitted to the agency to document the event.  </w:t>
      </w:r>
    </w:p>
    <w:p w:rsidR="00080748" w:rsidRPr="00C65737" w:rsidRDefault="00080748">
      <w:pPr>
        <w:rPr>
          <w:sz w:val="24"/>
          <w:szCs w:val="24"/>
        </w:rPr>
      </w:pPr>
    </w:p>
    <w:p w:rsidR="00DE18FF" w:rsidRDefault="00DE18FF">
      <w:pPr>
        <w:widowControl/>
        <w:autoSpaceDE/>
        <w:autoSpaceDN/>
        <w:adjustRightInd/>
        <w:rPr>
          <w:sz w:val="24"/>
          <w:szCs w:val="24"/>
        </w:rPr>
      </w:pPr>
      <w:r>
        <w:rPr>
          <w:sz w:val="24"/>
          <w:szCs w:val="24"/>
        </w:rPr>
        <w:br w:type="page"/>
      </w:r>
    </w:p>
    <w:p w:rsidR="00E54E9F" w:rsidRDefault="00E54E9F">
      <w:pPr>
        <w:rPr>
          <w:sz w:val="24"/>
          <w:szCs w:val="24"/>
        </w:rPr>
      </w:pPr>
      <w:r w:rsidRPr="00C65737">
        <w:rPr>
          <w:sz w:val="24"/>
          <w:szCs w:val="24"/>
        </w:rPr>
        <w:lastRenderedPageBreak/>
        <w:t>During the 200</w:t>
      </w:r>
      <w:r w:rsidR="00DE2B20" w:rsidRPr="00C65737">
        <w:rPr>
          <w:sz w:val="24"/>
          <w:szCs w:val="24"/>
        </w:rPr>
        <w:t>8 fishing year, a t</w:t>
      </w:r>
      <w:r w:rsidRPr="00C65737">
        <w:rPr>
          <w:sz w:val="24"/>
          <w:szCs w:val="24"/>
        </w:rPr>
        <w:t xml:space="preserve">otal of </w:t>
      </w:r>
      <w:r w:rsidR="00F948F7" w:rsidRPr="00C65737">
        <w:rPr>
          <w:sz w:val="24"/>
          <w:szCs w:val="24"/>
        </w:rPr>
        <w:t>28</w:t>
      </w:r>
      <w:r w:rsidR="00DE2B20" w:rsidRPr="00C65737">
        <w:rPr>
          <w:sz w:val="24"/>
          <w:szCs w:val="24"/>
        </w:rPr>
        <w:t xml:space="preserve"> trips were taken by 10 vessels </w:t>
      </w:r>
      <w:r w:rsidRPr="00C65737">
        <w:rPr>
          <w:sz w:val="24"/>
          <w:szCs w:val="24"/>
        </w:rPr>
        <w:t>in Closed Area I</w:t>
      </w:r>
      <w:r w:rsidR="00DE2B20" w:rsidRPr="00C65737">
        <w:rPr>
          <w:sz w:val="24"/>
          <w:szCs w:val="24"/>
        </w:rPr>
        <w:t xml:space="preserve">, averaging </w:t>
      </w:r>
      <w:r w:rsidR="00C65737" w:rsidRPr="00C65737">
        <w:rPr>
          <w:sz w:val="24"/>
          <w:szCs w:val="24"/>
        </w:rPr>
        <w:t>approximately 3 trips per vessel</w:t>
      </w:r>
      <w:r w:rsidRPr="00C65737">
        <w:rPr>
          <w:sz w:val="24"/>
          <w:szCs w:val="24"/>
        </w:rPr>
        <w:t xml:space="preserve">.  </w:t>
      </w:r>
      <w:r w:rsidR="00C65737" w:rsidRPr="00C65737">
        <w:rPr>
          <w:sz w:val="24"/>
          <w:szCs w:val="24"/>
        </w:rPr>
        <w:t>This estimate was used in the original approval of this infor</w:t>
      </w:r>
      <w:r w:rsidR="00B1163A">
        <w:rPr>
          <w:sz w:val="24"/>
          <w:szCs w:val="24"/>
        </w:rPr>
        <w:t>mation collection.  Vessel trip report data indicate that d</w:t>
      </w:r>
      <w:r w:rsidR="00C65737" w:rsidRPr="00C65737">
        <w:rPr>
          <w:sz w:val="24"/>
          <w:szCs w:val="24"/>
        </w:rPr>
        <w:t xml:space="preserve">uring the 2011 fishing year, a total of </w:t>
      </w:r>
      <w:r w:rsidR="00B1163A">
        <w:rPr>
          <w:sz w:val="24"/>
          <w:szCs w:val="24"/>
        </w:rPr>
        <w:t>3</w:t>
      </w:r>
      <w:r w:rsidR="00C65737" w:rsidRPr="00C65737">
        <w:rPr>
          <w:sz w:val="24"/>
          <w:szCs w:val="24"/>
        </w:rPr>
        <w:t xml:space="preserve"> trips were taken by </w:t>
      </w:r>
      <w:r w:rsidR="00B1163A">
        <w:rPr>
          <w:sz w:val="24"/>
          <w:szCs w:val="24"/>
        </w:rPr>
        <w:t>1 vessel</w:t>
      </w:r>
      <w:r w:rsidR="00C65737" w:rsidRPr="00C65737">
        <w:rPr>
          <w:sz w:val="24"/>
          <w:szCs w:val="24"/>
        </w:rPr>
        <w:t xml:space="preserve"> in Closed Area I.  </w:t>
      </w:r>
      <w:r w:rsidR="003B5149">
        <w:rPr>
          <w:sz w:val="24"/>
          <w:szCs w:val="24"/>
        </w:rPr>
        <w:t>Based on these</w:t>
      </w:r>
      <w:r w:rsidR="00080748" w:rsidRPr="00B1163A">
        <w:rPr>
          <w:sz w:val="24"/>
          <w:szCs w:val="24"/>
        </w:rPr>
        <w:t xml:space="preserve"> data </w:t>
      </w:r>
      <w:r w:rsidR="00DE2B20" w:rsidRPr="00B1163A">
        <w:rPr>
          <w:sz w:val="24"/>
          <w:szCs w:val="24"/>
        </w:rPr>
        <w:t>and expanded to the total number of permit holders</w:t>
      </w:r>
      <w:r w:rsidRPr="00B1163A">
        <w:rPr>
          <w:sz w:val="24"/>
          <w:szCs w:val="24"/>
        </w:rPr>
        <w:t xml:space="preserve">, a total of </w:t>
      </w:r>
      <w:r w:rsidR="00F948F7" w:rsidRPr="00B1163A">
        <w:rPr>
          <w:sz w:val="24"/>
          <w:szCs w:val="24"/>
        </w:rPr>
        <w:t>1</w:t>
      </w:r>
      <w:r w:rsidR="00DE2B20" w:rsidRPr="00B1163A">
        <w:rPr>
          <w:sz w:val="24"/>
          <w:szCs w:val="24"/>
        </w:rPr>
        <w:t>38</w:t>
      </w:r>
      <w:r w:rsidRPr="00B1163A">
        <w:rPr>
          <w:sz w:val="24"/>
          <w:szCs w:val="24"/>
        </w:rPr>
        <w:t xml:space="preserve"> responses (46 vessels x </w:t>
      </w:r>
      <w:r w:rsidR="00DE2B20" w:rsidRPr="00B1163A">
        <w:rPr>
          <w:sz w:val="24"/>
          <w:szCs w:val="24"/>
        </w:rPr>
        <w:t>3</w:t>
      </w:r>
      <w:r w:rsidR="00080748" w:rsidRPr="00B1163A">
        <w:rPr>
          <w:sz w:val="24"/>
          <w:szCs w:val="24"/>
        </w:rPr>
        <w:t xml:space="preserve"> trips) are anticipated to</w:t>
      </w:r>
      <w:r w:rsidRPr="00B1163A">
        <w:rPr>
          <w:sz w:val="24"/>
          <w:szCs w:val="24"/>
        </w:rPr>
        <w:t xml:space="preserve"> be collected</w:t>
      </w:r>
      <w:r w:rsidR="00080748" w:rsidRPr="00B1163A">
        <w:rPr>
          <w:sz w:val="24"/>
          <w:szCs w:val="24"/>
        </w:rPr>
        <w:t xml:space="preserve"> annually</w:t>
      </w:r>
      <w:r w:rsidR="003B5149">
        <w:rPr>
          <w:sz w:val="24"/>
          <w:szCs w:val="24"/>
        </w:rPr>
        <w:t xml:space="preserve"> (the same estimate made in 2009)</w:t>
      </w:r>
      <w:r w:rsidRPr="00B1163A">
        <w:rPr>
          <w:sz w:val="24"/>
          <w:szCs w:val="24"/>
        </w:rPr>
        <w:t xml:space="preserve">.  It is estimated that the public reporting for the affidavit would average 5 minutes per response.  Using this estimated burden, a total of </w:t>
      </w:r>
      <w:r w:rsidR="00F948F7" w:rsidRPr="00B1163A">
        <w:rPr>
          <w:sz w:val="24"/>
          <w:szCs w:val="24"/>
        </w:rPr>
        <w:t>1</w:t>
      </w:r>
      <w:r w:rsidR="00DE2B20" w:rsidRPr="00B1163A">
        <w:rPr>
          <w:sz w:val="24"/>
          <w:szCs w:val="24"/>
        </w:rPr>
        <w:t>2</w:t>
      </w:r>
      <w:r w:rsidRPr="00B1163A">
        <w:rPr>
          <w:sz w:val="24"/>
          <w:szCs w:val="24"/>
        </w:rPr>
        <w:t xml:space="preserve"> hours (</w:t>
      </w:r>
      <w:r w:rsidR="00F948F7" w:rsidRPr="00B1163A">
        <w:rPr>
          <w:sz w:val="24"/>
          <w:szCs w:val="24"/>
        </w:rPr>
        <w:t>1</w:t>
      </w:r>
      <w:r w:rsidR="00DE2B20" w:rsidRPr="00B1163A">
        <w:rPr>
          <w:sz w:val="24"/>
          <w:szCs w:val="24"/>
        </w:rPr>
        <w:t>38</w:t>
      </w:r>
      <w:r w:rsidRPr="00B1163A">
        <w:rPr>
          <w:sz w:val="24"/>
          <w:szCs w:val="24"/>
        </w:rPr>
        <w:t xml:space="preserve"> responses x </w:t>
      </w:r>
      <w:r w:rsidR="00E4515B" w:rsidRPr="00B1163A">
        <w:rPr>
          <w:sz w:val="24"/>
          <w:szCs w:val="24"/>
        </w:rPr>
        <w:t>5 minutes/60 minutes</w:t>
      </w:r>
      <w:r w:rsidRPr="00B1163A">
        <w:rPr>
          <w:sz w:val="24"/>
          <w:szCs w:val="24"/>
        </w:rPr>
        <w:t>/response) is estimated to be the burden for participants in this data collection</w:t>
      </w:r>
      <w:r w:rsidR="00080748" w:rsidRPr="00B1163A">
        <w:rPr>
          <w:sz w:val="24"/>
          <w:szCs w:val="24"/>
        </w:rPr>
        <w:t xml:space="preserve"> annually</w:t>
      </w:r>
      <w:r w:rsidRPr="00B1163A">
        <w:rPr>
          <w:sz w:val="24"/>
          <w:szCs w:val="24"/>
        </w:rPr>
        <w:t>.</w:t>
      </w:r>
      <w:r w:rsidR="00AC61FC" w:rsidRPr="00B1163A">
        <w:rPr>
          <w:sz w:val="24"/>
          <w:szCs w:val="24"/>
        </w:rPr>
        <w:t xml:space="preserve">  These figures are summarized in Table 1.</w:t>
      </w:r>
    </w:p>
    <w:p w:rsidR="0089779E" w:rsidRDefault="0089779E">
      <w:pPr>
        <w:rPr>
          <w:sz w:val="24"/>
          <w:szCs w:val="24"/>
        </w:rPr>
      </w:pPr>
    </w:p>
    <w:p w:rsidR="004F26E9" w:rsidRDefault="004F26E9">
      <w:pPr>
        <w:rPr>
          <w:sz w:val="24"/>
          <w:szCs w:val="24"/>
        </w:rPr>
      </w:pPr>
      <w:r>
        <w:rPr>
          <w:b/>
          <w:bCs/>
          <w:sz w:val="24"/>
          <w:szCs w:val="24"/>
        </w:rPr>
        <w:t xml:space="preserve">13.  </w:t>
      </w:r>
      <w:r>
        <w:rPr>
          <w:b/>
          <w:bCs/>
          <w:sz w:val="24"/>
          <w:szCs w:val="24"/>
          <w:u w:val="single"/>
        </w:rPr>
        <w:t xml:space="preserve">Provide an estimate of the total annual cost burden to the respondents or record-keepers resulting from the collection (excluding the value of the burden hours in </w:t>
      </w:r>
      <w:r w:rsidR="00725C5C">
        <w:rPr>
          <w:b/>
          <w:bCs/>
          <w:sz w:val="24"/>
          <w:szCs w:val="24"/>
          <w:u w:val="single"/>
        </w:rPr>
        <w:t xml:space="preserve">Question </w:t>
      </w:r>
      <w:r>
        <w:rPr>
          <w:b/>
          <w:bCs/>
          <w:sz w:val="24"/>
          <w:szCs w:val="24"/>
          <w:u w:val="single"/>
        </w:rPr>
        <w:t>12 above)</w:t>
      </w:r>
      <w:r>
        <w:rPr>
          <w:b/>
          <w:bCs/>
          <w:sz w:val="24"/>
          <w:szCs w:val="24"/>
        </w:rPr>
        <w:t>.</w:t>
      </w:r>
    </w:p>
    <w:p w:rsidR="00854805" w:rsidRDefault="00854805" w:rsidP="00854805">
      <w:pPr>
        <w:rPr>
          <w:highlight w:val="lightGray"/>
        </w:rPr>
      </w:pPr>
    </w:p>
    <w:p w:rsidR="00854805" w:rsidRDefault="00854805" w:rsidP="00854805">
      <w:pPr>
        <w:rPr>
          <w:sz w:val="24"/>
          <w:szCs w:val="24"/>
        </w:rPr>
      </w:pPr>
      <w:r w:rsidRPr="00BB5763">
        <w:rPr>
          <w:sz w:val="24"/>
          <w:szCs w:val="24"/>
        </w:rPr>
        <w:t>This information collection does not require respondents to purchase new or additional equipment or services.  Most computers, telephones and/or facsimile machines utilized by the respondents would have already been purchased as part of customary and usual</w:t>
      </w:r>
      <w:r w:rsidR="00E12720">
        <w:rPr>
          <w:sz w:val="24"/>
          <w:szCs w:val="24"/>
        </w:rPr>
        <w:t xml:space="preserve"> business practices, thus start-</w:t>
      </w:r>
      <w:r w:rsidRPr="00BB5763">
        <w:rPr>
          <w:sz w:val="24"/>
          <w:szCs w:val="24"/>
        </w:rPr>
        <w:t>up costs associated with these programs are negligible.  The estimates of the total annual cost burden to respondents resulting from this collection are summarized in Table 1 below.</w:t>
      </w:r>
    </w:p>
    <w:p w:rsidR="00AC61FC" w:rsidRDefault="00AC61FC" w:rsidP="00854805">
      <w:pPr>
        <w:rPr>
          <w:sz w:val="24"/>
          <w:szCs w:val="24"/>
        </w:rPr>
      </w:pPr>
    </w:p>
    <w:p w:rsidR="00786112" w:rsidRPr="00E0398D" w:rsidRDefault="00AC61FC" w:rsidP="00854805">
      <w:pPr>
        <w:rPr>
          <w:sz w:val="24"/>
          <w:szCs w:val="24"/>
        </w:rPr>
      </w:pPr>
      <w:r w:rsidRPr="00E0398D">
        <w:rPr>
          <w:sz w:val="24"/>
          <w:szCs w:val="24"/>
        </w:rPr>
        <w:t xml:space="preserve">The vessel operator would </w:t>
      </w:r>
      <w:r w:rsidR="00F21F6B" w:rsidRPr="00E0398D">
        <w:rPr>
          <w:sz w:val="24"/>
          <w:szCs w:val="24"/>
        </w:rPr>
        <w:t>be required to complete</w:t>
      </w:r>
      <w:r w:rsidR="009C7290">
        <w:rPr>
          <w:sz w:val="24"/>
          <w:szCs w:val="24"/>
        </w:rPr>
        <w:t>, sign, and mail</w:t>
      </w:r>
      <w:r w:rsidR="00AB6721" w:rsidRPr="00E0398D">
        <w:rPr>
          <w:sz w:val="24"/>
          <w:szCs w:val="24"/>
        </w:rPr>
        <w:t xml:space="preserve"> an </w:t>
      </w:r>
      <w:r w:rsidR="00F21F6B" w:rsidRPr="00E0398D">
        <w:rPr>
          <w:sz w:val="24"/>
          <w:szCs w:val="24"/>
        </w:rPr>
        <w:t>affidavit</w:t>
      </w:r>
      <w:r w:rsidR="00E4515B">
        <w:rPr>
          <w:sz w:val="24"/>
          <w:szCs w:val="24"/>
        </w:rPr>
        <w:t xml:space="preserve"> </w:t>
      </w:r>
      <w:r w:rsidR="00AB6721" w:rsidRPr="00E0398D">
        <w:rPr>
          <w:sz w:val="24"/>
          <w:szCs w:val="24"/>
        </w:rPr>
        <w:t xml:space="preserve">to NMFS.  Additionally, vessel owners may wish to make a copy of this completed form for their own records.  The total cost for mailing the affidavit to NMFS </w:t>
      </w:r>
      <w:r w:rsidR="00AB6721" w:rsidRPr="00B1163A">
        <w:rPr>
          <w:sz w:val="24"/>
          <w:szCs w:val="24"/>
        </w:rPr>
        <w:t>amounts to $6</w:t>
      </w:r>
      <w:r w:rsidR="00C91E53">
        <w:rPr>
          <w:sz w:val="24"/>
          <w:szCs w:val="24"/>
        </w:rPr>
        <w:t>2</w:t>
      </w:r>
      <w:r w:rsidR="00AB6721" w:rsidRPr="00B1163A">
        <w:rPr>
          <w:sz w:val="24"/>
          <w:szCs w:val="24"/>
        </w:rPr>
        <w:t xml:space="preserve"> in postage costs (138 responses x $0.</w:t>
      </w:r>
      <w:r w:rsidR="005F3CD3" w:rsidRPr="00B1163A">
        <w:rPr>
          <w:sz w:val="24"/>
          <w:szCs w:val="24"/>
        </w:rPr>
        <w:t xml:space="preserve">45 </w:t>
      </w:r>
      <w:r w:rsidR="00AB6721" w:rsidRPr="00B1163A">
        <w:rPr>
          <w:sz w:val="24"/>
          <w:szCs w:val="24"/>
        </w:rPr>
        <w:t xml:space="preserve">postage).  </w:t>
      </w:r>
      <w:r w:rsidR="000F7AB0">
        <w:rPr>
          <w:sz w:val="24"/>
          <w:szCs w:val="24"/>
        </w:rPr>
        <w:t>C</w:t>
      </w:r>
      <w:r w:rsidR="00AB6721" w:rsidRPr="00B1163A">
        <w:rPr>
          <w:sz w:val="24"/>
          <w:szCs w:val="24"/>
        </w:rPr>
        <w:t xml:space="preserve">opying costs associated with this provision would total approximately $14 (138 responses x 1 page copied/participant x $0.10/copy).  Together, the total cost </w:t>
      </w:r>
      <w:r w:rsidR="00C91E53">
        <w:rPr>
          <w:sz w:val="24"/>
          <w:szCs w:val="24"/>
        </w:rPr>
        <w:t>for record keeping totals $76 ($62</w:t>
      </w:r>
      <w:r w:rsidR="008E3CEF" w:rsidRPr="00B1163A">
        <w:rPr>
          <w:sz w:val="24"/>
          <w:szCs w:val="24"/>
        </w:rPr>
        <w:t xml:space="preserve"> + $14)</w:t>
      </w:r>
      <w:r w:rsidR="00616298" w:rsidRPr="00B1163A">
        <w:rPr>
          <w:sz w:val="24"/>
          <w:szCs w:val="24"/>
        </w:rPr>
        <w:t>.</w:t>
      </w:r>
    </w:p>
    <w:p w:rsidR="00AC61FC" w:rsidRDefault="00AC61FC" w:rsidP="00854805">
      <w:pPr>
        <w:rPr>
          <w:sz w:val="24"/>
          <w:szCs w:val="24"/>
        </w:rPr>
      </w:pPr>
    </w:p>
    <w:p w:rsidR="004F26E9" w:rsidRDefault="004F26E9">
      <w:pPr>
        <w:rPr>
          <w:sz w:val="24"/>
          <w:szCs w:val="24"/>
        </w:rPr>
      </w:pPr>
      <w:r>
        <w:rPr>
          <w:b/>
          <w:bCs/>
          <w:sz w:val="24"/>
          <w:szCs w:val="24"/>
        </w:rPr>
        <w:t xml:space="preserve">14.  </w:t>
      </w:r>
      <w:r>
        <w:rPr>
          <w:b/>
          <w:bCs/>
          <w:sz w:val="24"/>
          <w:szCs w:val="24"/>
          <w:u w:val="single"/>
        </w:rPr>
        <w:t>Provide estimates of annualized cost to the Federal government</w:t>
      </w:r>
      <w:r>
        <w:rPr>
          <w:b/>
          <w:bCs/>
          <w:sz w:val="24"/>
          <w:szCs w:val="24"/>
        </w:rPr>
        <w:t>.</w:t>
      </w:r>
    </w:p>
    <w:p w:rsidR="004F26E9" w:rsidRDefault="004F26E9">
      <w:pPr>
        <w:rPr>
          <w:sz w:val="24"/>
          <w:szCs w:val="24"/>
        </w:rPr>
      </w:pPr>
    </w:p>
    <w:p w:rsidR="00E158A8" w:rsidRDefault="00043367">
      <w:pPr>
        <w:rPr>
          <w:sz w:val="24"/>
          <w:szCs w:val="24"/>
        </w:rPr>
      </w:pPr>
      <w:r w:rsidRPr="00895363">
        <w:rPr>
          <w:sz w:val="24"/>
          <w:szCs w:val="24"/>
        </w:rPr>
        <w:t xml:space="preserve">As </w:t>
      </w:r>
      <w:r w:rsidR="00574F1A">
        <w:rPr>
          <w:sz w:val="24"/>
          <w:szCs w:val="24"/>
        </w:rPr>
        <w:t>proposed,</w:t>
      </w:r>
      <w:r w:rsidRPr="00895363">
        <w:rPr>
          <w:sz w:val="24"/>
          <w:szCs w:val="24"/>
        </w:rPr>
        <w:t xml:space="preserve"> the Federal government would incur </w:t>
      </w:r>
      <w:r w:rsidR="008E3CEF">
        <w:rPr>
          <w:sz w:val="24"/>
          <w:szCs w:val="24"/>
        </w:rPr>
        <w:t>no costs</w:t>
      </w:r>
      <w:r w:rsidRPr="00895363">
        <w:rPr>
          <w:sz w:val="24"/>
          <w:szCs w:val="24"/>
        </w:rPr>
        <w:t xml:space="preserve"> associated with this collection.  </w:t>
      </w:r>
    </w:p>
    <w:p w:rsidR="008E3CEF" w:rsidRDefault="008E3CEF">
      <w:pPr>
        <w:rPr>
          <w:sz w:val="24"/>
          <w:szCs w:val="24"/>
        </w:rPr>
      </w:pPr>
    </w:p>
    <w:p w:rsidR="004F26E9" w:rsidRDefault="004F26E9">
      <w:pPr>
        <w:rPr>
          <w:sz w:val="24"/>
          <w:szCs w:val="24"/>
        </w:rPr>
      </w:pPr>
      <w:r>
        <w:rPr>
          <w:b/>
          <w:bCs/>
          <w:sz w:val="24"/>
          <w:szCs w:val="24"/>
        </w:rPr>
        <w:t xml:space="preserve">15.  </w:t>
      </w:r>
      <w:r>
        <w:rPr>
          <w:b/>
          <w:bCs/>
          <w:sz w:val="24"/>
          <w:szCs w:val="24"/>
          <w:u w:val="single"/>
        </w:rPr>
        <w:t>Explain the reasons for any program changes or adjustments</w:t>
      </w:r>
      <w:r>
        <w:rPr>
          <w:b/>
          <w:bCs/>
          <w:sz w:val="24"/>
          <w:szCs w:val="24"/>
        </w:rPr>
        <w:t>.</w:t>
      </w:r>
    </w:p>
    <w:p w:rsidR="004F26E9" w:rsidRDefault="004F26E9">
      <w:pPr>
        <w:rPr>
          <w:sz w:val="24"/>
          <w:szCs w:val="24"/>
        </w:rPr>
      </w:pPr>
    </w:p>
    <w:p w:rsidR="006D7AA0" w:rsidRDefault="00C91E53">
      <w:pPr>
        <w:rPr>
          <w:snapToGrid w:val="0"/>
          <w:sz w:val="24"/>
        </w:rPr>
      </w:pPr>
      <w:r>
        <w:rPr>
          <w:snapToGrid w:val="0"/>
          <w:sz w:val="24"/>
        </w:rPr>
        <w:t>No program changes</w:t>
      </w:r>
      <w:r w:rsidR="0024643D">
        <w:rPr>
          <w:snapToGrid w:val="0"/>
          <w:sz w:val="24"/>
        </w:rPr>
        <w:t xml:space="preserve"> are proposed.</w:t>
      </w:r>
      <w:r>
        <w:rPr>
          <w:snapToGrid w:val="0"/>
          <w:sz w:val="24"/>
        </w:rPr>
        <w:t xml:space="preserve"> Adjustment: recordkeeping/reporting costs were corrected from $75 to $76. </w:t>
      </w:r>
      <w:r w:rsidR="00EA2DAD">
        <w:rPr>
          <w:snapToGrid w:val="0"/>
          <w:sz w:val="24"/>
        </w:rPr>
        <w:t xml:space="preserve">These costs were also entered in ROCIS; they had not been entered in the original submission. </w:t>
      </w:r>
      <w:bookmarkStart w:id="0" w:name="_GoBack"/>
      <w:bookmarkEnd w:id="0"/>
    </w:p>
    <w:p w:rsidR="00E4515B" w:rsidRDefault="00E4515B">
      <w:pPr>
        <w:rPr>
          <w:sz w:val="24"/>
          <w:szCs w:val="24"/>
        </w:rPr>
      </w:pPr>
    </w:p>
    <w:p w:rsidR="004F26E9" w:rsidRDefault="004F26E9">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rsidR="004F26E9" w:rsidRDefault="004F26E9">
      <w:pPr>
        <w:rPr>
          <w:sz w:val="24"/>
          <w:szCs w:val="24"/>
        </w:rPr>
      </w:pPr>
    </w:p>
    <w:p w:rsidR="00854805" w:rsidRPr="00A42BE1" w:rsidRDefault="00854805" w:rsidP="00854805">
      <w:pPr>
        <w:rPr>
          <w:sz w:val="24"/>
          <w:szCs w:val="24"/>
        </w:rPr>
      </w:pPr>
      <w:r w:rsidRPr="00A42BE1">
        <w:rPr>
          <w:sz w:val="24"/>
          <w:szCs w:val="24"/>
        </w:rPr>
        <w:t xml:space="preserve">Results from this collection may be used in scientific, management, technical or general informational publications such as Fisheries of the </w:t>
      </w:r>
      <w:smartTag w:uri="urn:schemas-microsoft-com:office:smarttags" w:element="country-region">
        <w:smartTag w:uri="urn:schemas-microsoft-com:office:smarttags" w:element="place">
          <w:r w:rsidRPr="00A42BE1">
            <w:rPr>
              <w:sz w:val="24"/>
              <w:szCs w:val="24"/>
            </w:rPr>
            <w:t>United States</w:t>
          </w:r>
        </w:smartTag>
      </w:smartTag>
      <w:r w:rsidRPr="00A42BE1">
        <w:rPr>
          <w:sz w:val="24"/>
          <w:szCs w:val="24"/>
        </w:rPr>
        <w:t xml:space="preserve"> which follows prescribed statistical tabulations and summary table formats.  Data are available to the general public on request in summary form only; data are available to NMFS employees in detailed form on a need-to-know basis only.  </w:t>
      </w:r>
    </w:p>
    <w:p w:rsidR="004F26E9" w:rsidRPr="00A42BE1" w:rsidRDefault="004F26E9">
      <w:pPr>
        <w:rPr>
          <w:sz w:val="24"/>
          <w:szCs w:val="24"/>
        </w:rPr>
      </w:pPr>
    </w:p>
    <w:p w:rsidR="00DE18FF" w:rsidRDefault="00DE18FF">
      <w:pPr>
        <w:rPr>
          <w:b/>
          <w:bCs/>
          <w:sz w:val="24"/>
          <w:szCs w:val="24"/>
        </w:rPr>
      </w:pPr>
    </w:p>
    <w:p w:rsidR="00DE18FF" w:rsidRDefault="00DE18FF">
      <w:pPr>
        <w:widowControl/>
        <w:autoSpaceDE/>
        <w:autoSpaceDN/>
        <w:adjustRightInd/>
        <w:rPr>
          <w:b/>
          <w:bCs/>
          <w:sz w:val="24"/>
          <w:szCs w:val="24"/>
        </w:rPr>
      </w:pPr>
      <w:r>
        <w:rPr>
          <w:b/>
          <w:bCs/>
          <w:sz w:val="24"/>
          <w:szCs w:val="24"/>
        </w:rPr>
        <w:lastRenderedPageBreak/>
        <w:br w:type="page"/>
      </w:r>
    </w:p>
    <w:p w:rsidR="004F26E9" w:rsidRDefault="004F26E9">
      <w:pPr>
        <w:rPr>
          <w:sz w:val="24"/>
          <w:szCs w:val="24"/>
        </w:rPr>
      </w:pPr>
      <w:r>
        <w:rPr>
          <w:b/>
          <w:bCs/>
          <w:sz w:val="24"/>
          <w:szCs w:val="24"/>
        </w:rPr>
        <w:lastRenderedPageBreak/>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rsidR="004F26E9" w:rsidRDefault="004F26E9">
      <w:pPr>
        <w:rPr>
          <w:sz w:val="24"/>
          <w:szCs w:val="24"/>
        </w:rPr>
      </w:pPr>
    </w:p>
    <w:p w:rsidR="00854805" w:rsidRPr="00854805" w:rsidRDefault="00E12720" w:rsidP="00854805">
      <w:pPr>
        <w:rPr>
          <w:sz w:val="24"/>
          <w:szCs w:val="24"/>
        </w:rPr>
      </w:pPr>
      <w:r>
        <w:rPr>
          <w:sz w:val="24"/>
          <w:szCs w:val="24"/>
        </w:rPr>
        <w:t>Not Applicable.</w:t>
      </w:r>
    </w:p>
    <w:p w:rsidR="004F26E9" w:rsidRDefault="004F26E9">
      <w:pPr>
        <w:rPr>
          <w:sz w:val="24"/>
          <w:szCs w:val="24"/>
        </w:rPr>
      </w:pPr>
    </w:p>
    <w:p w:rsidR="00E4515B" w:rsidDel="00E4515B" w:rsidRDefault="004F26E9" w:rsidP="00E12720">
      <w:pPr>
        <w:keepNext/>
        <w:widowControl/>
        <w:rPr>
          <w:b/>
          <w:bCs/>
          <w:sz w:val="24"/>
          <w:szCs w:val="24"/>
          <w:u w:val="single"/>
        </w:rPr>
      </w:pPr>
      <w:r>
        <w:rPr>
          <w:b/>
          <w:bCs/>
          <w:sz w:val="24"/>
          <w:szCs w:val="24"/>
        </w:rPr>
        <w:t xml:space="preserve">18.  </w:t>
      </w:r>
      <w:r>
        <w:rPr>
          <w:b/>
          <w:bCs/>
          <w:sz w:val="24"/>
          <w:szCs w:val="24"/>
          <w:u w:val="single"/>
        </w:rPr>
        <w:t>Explain each exception to the certification statement</w:t>
      </w:r>
    </w:p>
    <w:p w:rsidR="00E12720" w:rsidRDefault="00E12720" w:rsidP="00E12720">
      <w:pPr>
        <w:keepNext/>
        <w:widowControl/>
        <w:rPr>
          <w:sz w:val="24"/>
          <w:szCs w:val="24"/>
        </w:rPr>
      </w:pPr>
    </w:p>
    <w:p w:rsidR="00E12720" w:rsidRPr="00854805" w:rsidRDefault="00E12720" w:rsidP="00E12720">
      <w:pPr>
        <w:keepNext/>
        <w:widowControl/>
        <w:rPr>
          <w:sz w:val="24"/>
          <w:szCs w:val="24"/>
        </w:rPr>
      </w:pPr>
      <w:r>
        <w:rPr>
          <w:sz w:val="24"/>
          <w:szCs w:val="24"/>
        </w:rPr>
        <w:t>Not Applicable.</w:t>
      </w:r>
    </w:p>
    <w:p w:rsidR="0099652F" w:rsidRDefault="0099652F" w:rsidP="00854805">
      <w:pPr>
        <w:rPr>
          <w:sz w:val="24"/>
          <w:szCs w:val="24"/>
        </w:rPr>
      </w:pPr>
    </w:p>
    <w:p w:rsidR="00854805" w:rsidRPr="00633BF5" w:rsidRDefault="00854805" w:rsidP="00854805">
      <w:r w:rsidRPr="00633BF5">
        <w:rPr>
          <w:b/>
          <w:bCs/>
        </w:rPr>
        <w:t>Table 1.</w:t>
      </w:r>
      <w:r w:rsidRPr="00633BF5">
        <w:t xml:space="preserve">  </w:t>
      </w:r>
      <w:r w:rsidRPr="00633BF5">
        <w:rPr>
          <w:b/>
          <w:bCs/>
        </w:rPr>
        <w:t>Burden hours and Cost</w:t>
      </w:r>
    </w:p>
    <w:tbl>
      <w:tblPr>
        <w:tblW w:w="8203" w:type="dxa"/>
        <w:tblInd w:w="96" w:type="dxa"/>
        <w:tblLayout w:type="fixed"/>
        <w:tblCellMar>
          <w:left w:w="96" w:type="dxa"/>
          <w:right w:w="96" w:type="dxa"/>
        </w:tblCellMar>
        <w:tblLook w:val="0000" w:firstRow="0" w:lastRow="0" w:firstColumn="0" w:lastColumn="0" w:noHBand="0" w:noVBand="0"/>
      </w:tblPr>
      <w:tblGrid>
        <w:gridCol w:w="1170"/>
        <w:gridCol w:w="1080"/>
        <w:gridCol w:w="990"/>
        <w:gridCol w:w="990"/>
        <w:gridCol w:w="1063"/>
        <w:gridCol w:w="1063"/>
        <w:gridCol w:w="947"/>
        <w:gridCol w:w="900"/>
      </w:tblGrid>
      <w:tr w:rsidR="000F7AB0" w:rsidRPr="00633BF5" w:rsidTr="000F7AB0">
        <w:tc>
          <w:tcPr>
            <w:tcW w:w="1170" w:type="dxa"/>
            <w:tcBorders>
              <w:top w:val="single" w:sz="4" w:space="0" w:color="000000"/>
              <w:left w:val="single" w:sz="4" w:space="0" w:color="000000"/>
              <w:bottom w:val="single" w:sz="4" w:space="0" w:color="000000"/>
              <w:right w:val="nil"/>
            </w:tcBorders>
            <w:vAlign w:val="center"/>
          </w:tcPr>
          <w:p w:rsidR="000F7AB0" w:rsidRPr="00633BF5" w:rsidRDefault="000F7AB0" w:rsidP="00E12720">
            <w:pPr>
              <w:jc w:val="center"/>
            </w:pPr>
            <w:r w:rsidRPr="00633BF5">
              <w:rPr>
                <w:b/>
                <w:bCs/>
              </w:rPr>
              <w:t>Collection</w:t>
            </w:r>
          </w:p>
        </w:tc>
        <w:tc>
          <w:tcPr>
            <w:tcW w:w="1080" w:type="dxa"/>
            <w:tcBorders>
              <w:top w:val="single" w:sz="4" w:space="0" w:color="000000"/>
              <w:left w:val="single" w:sz="4" w:space="0" w:color="000000"/>
              <w:bottom w:val="single" w:sz="4" w:space="0" w:color="000000"/>
              <w:right w:val="nil"/>
            </w:tcBorders>
            <w:vAlign w:val="center"/>
          </w:tcPr>
          <w:p w:rsidR="000F7AB0" w:rsidRPr="00633BF5" w:rsidRDefault="000F7AB0" w:rsidP="00E12720">
            <w:pPr>
              <w:jc w:val="center"/>
            </w:pPr>
            <w:r w:rsidRPr="00633BF5">
              <w:rPr>
                <w:b/>
                <w:bCs/>
              </w:rPr>
              <w:t>Number of Entities</w:t>
            </w:r>
          </w:p>
        </w:tc>
        <w:tc>
          <w:tcPr>
            <w:tcW w:w="990" w:type="dxa"/>
            <w:tcBorders>
              <w:top w:val="single" w:sz="4" w:space="0" w:color="000000"/>
              <w:left w:val="single" w:sz="4" w:space="0" w:color="000000"/>
              <w:bottom w:val="single" w:sz="4" w:space="0" w:color="000000"/>
              <w:right w:val="nil"/>
            </w:tcBorders>
            <w:vAlign w:val="center"/>
          </w:tcPr>
          <w:p w:rsidR="000F7AB0" w:rsidRPr="00633BF5" w:rsidRDefault="000F7AB0" w:rsidP="00E12720">
            <w:pPr>
              <w:jc w:val="center"/>
            </w:pPr>
            <w:r w:rsidRPr="00633BF5">
              <w:rPr>
                <w:b/>
                <w:bCs/>
              </w:rPr>
              <w:t>Items per Entity</w:t>
            </w:r>
          </w:p>
        </w:tc>
        <w:tc>
          <w:tcPr>
            <w:tcW w:w="990" w:type="dxa"/>
            <w:tcBorders>
              <w:top w:val="single" w:sz="4" w:space="0" w:color="000000"/>
              <w:left w:val="single" w:sz="4" w:space="0" w:color="000000"/>
              <w:bottom w:val="single" w:sz="4" w:space="0" w:color="000000"/>
              <w:right w:val="nil"/>
            </w:tcBorders>
            <w:vAlign w:val="center"/>
          </w:tcPr>
          <w:p w:rsidR="000F7AB0" w:rsidRPr="00633BF5" w:rsidRDefault="000F7AB0" w:rsidP="00E12720">
            <w:pPr>
              <w:jc w:val="center"/>
            </w:pPr>
            <w:r w:rsidRPr="00633BF5">
              <w:rPr>
                <w:b/>
                <w:bCs/>
              </w:rPr>
              <w:t>Total Number of Items</w:t>
            </w:r>
          </w:p>
        </w:tc>
        <w:tc>
          <w:tcPr>
            <w:tcW w:w="1063" w:type="dxa"/>
            <w:tcBorders>
              <w:top w:val="single" w:sz="4" w:space="0" w:color="000000"/>
              <w:left w:val="single" w:sz="4" w:space="0" w:color="000000"/>
              <w:bottom w:val="single" w:sz="4" w:space="0" w:color="000000"/>
              <w:right w:val="nil"/>
            </w:tcBorders>
            <w:vAlign w:val="center"/>
          </w:tcPr>
          <w:p w:rsidR="000F7AB0" w:rsidRPr="00633BF5" w:rsidRDefault="000F7AB0" w:rsidP="00E12720">
            <w:pPr>
              <w:jc w:val="center"/>
            </w:pPr>
            <w:r w:rsidRPr="00633BF5">
              <w:rPr>
                <w:b/>
                <w:bCs/>
              </w:rPr>
              <w:t>Response Time (Hours)</w:t>
            </w:r>
          </w:p>
        </w:tc>
        <w:tc>
          <w:tcPr>
            <w:tcW w:w="1063" w:type="dxa"/>
            <w:tcBorders>
              <w:top w:val="single" w:sz="4" w:space="0" w:color="000000"/>
              <w:left w:val="single" w:sz="4" w:space="0" w:color="000000"/>
              <w:bottom w:val="single" w:sz="4" w:space="0" w:color="000000"/>
              <w:right w:val="nil"/>
            </w:tcBorders>
            <w:vAlign w:val="center"/>
          </w:tcPr>
          <w:p w:rsidR="000F7AB0" w:rsidRPr="00633BF5" w:rsidRDefault="000F7AB0" w:rsidP="00E12720">
            <w:pPr>
              <w:jc w:val="center"/>
            </w:pPr>
            <w:r w:rsidRPr="00633BF5">
              <w:rPr>
                <w:b/>
                <w:bCs/>
              </w:rPr>
              <w:t>Total Burden (Hours)</w:t>
            </w:r>
          </w:p>
        </w:tc>
        <w:tc>
          <w:tcPr>
            <w:tcW w:w="947" w:type="dxa"/>
            <w:tcBorders>
              <w:top w:val="single" w:sz="4" w:space="0" w:color="000000"/>
              <w:left w:val="single" w:sz="4" w:space="0" w:color="000000"/>
              <w:bottom w:val="single" w:sz="4" w:space="0" w:color="000000"/>
              <w:right w:val="nil"/>
            </w:tcBorders>
            <w:vAlign w:val="center"/>
          </w:tcPr>
          <w:p w:rsidR="000F7AB0" w:rsidRPr="00633BF5" w:rsidRDefault="000F7AB0" w:rsidP="00E12720">
            <w:pPr>
              <w:jc w:val="center"/>
            </w:pPr>
            <w:r w:rsidRPr="00633BF5">
              <w:rPr>
                <w:b/>
                <w:bCs/>
              </w:rPr>
              <w:t>Cost ($) to Government*</w:t>
            </w:r>
          </w:p>
        </w:tc>
        <w:tc>
          <w:tcPr>
            <w:tcW w:w="900" w:type="dxa"/>
            <w:tcBorders>
              <w:top w:val="single" w:sz="4" w:space="0" w:color="000000"/>
              <w:left w:val="single" w:sz="4" w:space="0" w:color="000000"/>
              <w:bottom w:val="single" w:sz="4" w:space="0" w:color="000000"/>
              <w:right w:val="single" w:sz="4" w:space="0" w:color="000000"/>
            </w:tcBorders>
            <w:vAlign w:val="center"/>
          </w:tcPr>
          <w:p w:rsidR="000F7AB0" w:rsidRPr="00633BF5" w:rsidRDefault="000F7AB0" w:rsidP="00E12720">
            <w:pPr>
              <w:jc w:val="center"/>
            </w:pPr>
            <w:r w:rsidRPr="00633BF5">
              <w:rPr>
                <w:b/>
                <w:bCs/>
              </w:rPr>
              <w:t>Cost ($) to Public</w:t>
            </w:r>
          </w:p>
        </w:tc>
      </w:tr>
      <w:tr w:rsidR="000F7AB0" w:rsidRPr="00633BF5" w:rsidTr="000F7AB0">
        <w:tc>
          <w:tcPr>
            <w:tcW w:w="1170" w:type="dxa"/>
            <w:tcBorders>
              <w:top w:val="nil"/>
              <w:left w:val="single" w:sz="4" w:space="0" w:color="000000"/>
              <w:bottom w:val="single" w:sz="4" w:space="0" w:color="000000"/>
              <w:right w:val="nil"/>
            </w:tcBorders>
            <w:vAlign w:val="center"/>
          </w:tcPr>
          <w:p w:rsidR="000F7AB0" w:rsidRPr="00633BF5" w:rsidRDefault="000F7AB0" w:rsidP="00E12720">
            <w:pPr>
              <w:pStyle w:val="Footer"/>
              <w:tabs>
                <w:tab w:val="clear" w:pos="4320"/>
                <w:tab w:val="clear" w:pos="8640"/>
                <w:tab w:val="left" w:pos="720"/>
              </w:tabs>
              <w:jc w:val="center"/>
            </w:pPr>
            <w:r>
              <w:t>CAI Affidavit</w:t>
            </w:r>
          </w:p>
          <w:p w:rsidR="000F7AB0" w:rsidRPr="00633BF5" w:rsidRDefault="000F7AB0" w:rsidP="00E12720">
            <w:pPr>
              <w:tabs>
                <w:tab w:val="left" w:pos="0"/>
                <w:tab w:val="left" w:pos="720"/>
              </w:tabs>
              <w:jc w:val="center"/>
            </w:pPr>
          </w:p>
        </w:tc>
        <w:tc>
          <w:tcPr>
            <w:tcW w:w="1080" w:type="dxa"/>
            <w:tcBorders>
              <w:top w:val="nil"/>
              <w:left w:val="single" w:sz="4" w:space="0" w:color="000000"/>
              <w:bottom w:val="single" w:sz="4" w:space="0" w:color="000000"/>
              <w:right w:val="nil"/>
            </w:tcBorders>
            <w:vAlign w:val="center"/>
          </w:tcPr>
          <w:p w:rsidR="000F7AB0" w:rsidRPr="00633BF5" w:rsidRDefault="000F7AB0" w:rsidP="00E12720">
            <w:pPr>
              <w:tabs>
                <w:tab w:val="left" w:pos="0"/>
                <w:tab w:val="left" w:pos="720"/>
              </w:tabs>
              <w:jc w:val="center"/>
            </w:pPr>
            <w:r>
              <w:t>46</w:t>
            </w:r>
          </w:p>
        </w:tc>
        <w:tc>
          <w:tcPr>
            <w:tcW w:w="990" w:type="dxa"/>
            <w:tcBorders>
              <w:top w:val="nil"/>
              <w:left w:val="single" w:sz="4" w:space="0" w:color="000000"/>
              <w:bottom w:val="single" w:sz="4" w:space="0" w:color="000000"/>
              <w:right w:val="nil"/>
            </w:tcBorders>
            <w:vAlign w:val="center"/>
          </w:tcPr>
          <w:p w:rsidR="000F7AB0" w:rsidRPr="00B1163A" w:rsidRDefault="000F7AB0" w:rsidP="00E12720">
            <w:pPr>
              <w:tabs>
                <w:tab w:val="left" w:pos="0"/>
                <w:tab w:val="left" w:pos="720"/>
              </w:tabs>
              <w:jc w:val="center"/>
            </w:pPr>
            <w:r w:rsidRPr="00B1163A">
              <w:t>3 trips</w:t>
            </w:r>
          </w:p>
        </w:tc>
        <w:tc>
          <w:tcPr>
            <w:tcW w:w="990" w:type="dxa"/>
            <w:tcBorders>
              <w:top w:val="nil"/>
              <w:left w:val="single" w:sz="4" w:space="0" w:color="000000"/>
              <w:bottom w:val="single" w:sz="4" w:space="0" w:color="000000"/>
              <w:right w:val="nil"/>
            </w:tcBorders>
            <w:vAlign w:val="center"/>
          </w:tcPr>
          <w:p w:rsidR="000F7AB0" w:rsidRPr="00B1163A" w:rsidRDefault="000F7AB0" w:rsidP="00E12720">
            <w:pPr>
              <w:tabs>
                <w:tab w:val="left" w:pos="0"/>
                <w:tab w:val="left" w:pos="720"/>
              </w:tabs>
              <w:jc w:val="center"/>
            </w:pPr>
            <w:r w:rsidRPr="00B1163A">
              <w:t>138</w:t>
            </w:r>
          </w:p>
        </w:tc>
        <w:tc>
          <w:tcPr>
            <w:tcW w:w="1063" w:type="dxa"/>
            <w:tcBorders>
              <w:top w:val="nil"/>
              <w:left w:val="single" w:sz="4" w:space="0" w:color="000000"/>
              <w:bottom w:val="single" w:sz="4" w:space="0" w:color="000000"/>
              <w:right w:val="nil"/>
            </w:tcBorders>
            <w:vAlign w:val="center"/>
          </w:tcPr>
          <w:p w:rsidR="000F7AB0" w:rsidRPr="00B1163A" w:rsidRDefault="000F7AB0" w:rsidP="00E12720">
            <w:pPr>
              <w:tabs>
                <w:tab w:val="left" w:pos="0"/>
                <w:tab w:val="left" w:pos="720"/>
              </w:tabs>
              <w:jc w:val="center"/>
            </w:pPr>
            <w:r>
              <w:t>5 minutes</w:t>
            </w:r>
          </w:p>
        </w:tc>
        <w:tc>
          <w:tcPr>
            <w:tcW w:w="1063" w:type="dxa"/>
            <w:tcBorders>
              <w:top w:val="nil"/>
              <w:left w:val="single" w:sz="4" w:space="0" w:color="000000"/>
              <w:bottom w:val="single" w:sz="4" w:space="0" w:color="000000"/>
              <w:right w:val="nil"/>
            </w:tcBorders>
            <w:vAlign w:val="center"/>
          </w:tcPr>
          <w:p w:rsidR="000F7AB0" w:rsidRPr="00B1163A" w:rsidRDefault="000F7AB0" w:rsidP="00E12720">
            <w:pPr>
              <w:tabs>
                <w:tab w:val="left" w:pos="0"/>
                <w:tab w:val="left" w:pos="720"/>
              </w:tabs>
              <w:jc w:val="center"/>
            </w:pPr>
            <w:r w:rsidRPr="00B1163A">
              <w:t>12</w:t>
            </w:r>
          </w:p>
        </w:tc>
        <w:tc>
          <w:tcPr>
            <w:tcW w:w="947" w:type="dxa"/>
            <w:tcBorders>
              <w:top w:val="nil"/>
              <w:left w:val="single" w:sz="4" w:space="0" w:color="000000"/>
              <w:bottom w:val="single" w:sz="4" w:space="0" w:color="000000"/>
              <w:right w:val="nil"/>
            </w:tcBorders>
            <w:vAlign w:val="center"/>
          </w:tcPr>
          <w:p w:rsidR="000F7AB0" w:rsidRPr="00B1163A" w:rsidRDefault="000F7AB0" w:rsidP="00E12720">
            <w:pPr>
              <w:tabs>
                <w:tab w:val="left" w:pos="0"/>
                <w:tab w:val="left" w:pos="720"/>
              </w:tabs>
              <w:jc w:val="center"/>
            </w:pPr>
            <w:r w:rsidRPr="00B1163A">
              <w:t>0</w:t>
            </w:r>
          </w:p>
        </w:tc>
        <w:tc>
          <w:tcPr>
            <w:tcW w:w="900" w:type="dxa"/>
            <w:tcBorders>
              <w:top w:val="nil"/>
              <w:left w:val="single" w:sz="4" w:space="0" w:color="000000"/>
              <w:bottom w:val="single" w:sz="4" w:space="0" w:color="000000"/>
              <w:right w:val="single" w:sz="4" w:space="0" w:color="000000"/>
            </w:tcBorders>
            <w:vAlign w:val="center"/>
          </w:tcPr>
          <w:p w:rsidR="000F7AB0" w:rsidRPr="00B1163A" w:rsidRDefault="000F7AB0" w:rsidP="00E12720">
            <w:pPr>
              <w:tabs>
                <w:tab w:val="left" w:pos="0"/>
                <w:tab w:val="left" w:pos="720"/>
              </w:tabs>
              <w:jc w:val="center"/>
            </w:pPr>
            <w:r w:rsidRPr="00B1163A">
              <w:t>7</w:t>
            </w:r>
            <w:r>
              <w:t>6</w:t>
            </w:r>
          </w:p>
        </w:tc>
      </w:tr>
    </w:tbl>
    <w:p w:rsidR="004F26E9" w:rsidRDefault="004F26E9">
      <w:pPr>
        <w:rPr>
          <w:sz w:val="24"/>
          <w:szCs w:val="24"/>
        </w:rPr>
      </w:pPr>
    </w:p>
    <w:p w:rsidR="008D48D4" w:rsidRDefault="008D48D4">
      <w:pPr>
        <w:rPr>
          <w:sz w:val="24"/>
          <w:szCs w:val="24"/>
        </w:rPr>
      </w:pPr>
    </w:p>
    <w:p w:rsidR="00E12720" w:rsidRPr="00E12720" w:rsidRDefault="00E12720">
      <w:pPr>
        <w:rPr>
          <w:b/>
          <w:sz w:val="24"/>
          <w:szCs w:val="24"/>
        </w:rPr>
      </w:pPr>
      <w:r w:rsidRPr="00E12720">
        <w:rPr>
          <w:b/>
          <w:sz w:val="24"/>
          <w:szCs w:val="24"/>
        </w:rPr>
        <w:t>B.  COLLECTIONS OF INFORMATION EMPLOYING STATISTICAL METHODS</w:t>
      </w:r>
    </w:p>
    <w:p w:rsidR="00E12720" w:rsidRDefault="00E12720">
      <w:pPr>
        <w:rPr>
          <w:sz w:val="24"/>
          <w:szCs w:val="24"/>
        </w:rPr>
      </w:pPr>
    </w:p>
    <w:p w:rsidR="00E12720" w:rsidRDefault="00E12720">
      <w:pPr>
        <w:rPr>
          <w:sz w:val="24"/>
          <w:szCs w:val="24"/>
        </w:rPr>
      </w:pPr>
      <w:r>
        <w:rPr>
          <w:sz w:val="24"/>
          <w:szCs w:val="24"/>
        </w:rPr>
        <w:t>Not Applicable.</w:t>
      </w:r>
    </w:p>
    <w:sectPr w:rsidR="00E12720">
      <w:footerReference w:type="default" r:id="rId14"/>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0DA" w:rsidRDefault="00A160DA">
      <w:r>
        <w:separator/>
      </w:r>
    </w:p>
  </w:endnote>
  <w:endnote w:type="continuationSeparator" w:id="0">
    <w:p w:rsidR="00A160DA" w:rsidRDefault="00A16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720" w:rsidRDefault="00E12720">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EA2DAD">
      <w:rPr>
        <w:rStyle w:val="PageNumber"/>
        <w:noProof/>
        <w:sz w:val="24"/>
        <w:szCs w:val="24"/>
      </w:rPr>
      <w:t>5</w:t>
    </w:r>
    <w:r>
      <w:rPr>
        <w:rStyle w:val="PageNumber"/>
        <w:sz w:val="24"/>
        <w:szCs w:val="24"/>
      </w:rPr>
      <w:fldChar w:fldCharType="end"/>
    </w:r>
  </w:p>
  <w:p w:rsidR="00E12720" w:rsidRDefault="00E127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0DA" w:rsidRDefault="00A160DA">
      <w:r>
        <w:separator/>
      </w:r>
    </w:p>
  </w:footnote>
  <w:footnote w:type="continuationSeparator" w:id="0">
    <w:p w:rsidR="00A160DA" w:rsidRDefault="00A160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0465E1"/>
    <w:multiLevelType w:val="hybridMultilevel"/>
    <w:tmpl w:val="5C407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0140E"/>
    <w:rsid w:val="00005BBC"/>
    <w:rsid w:val="00014ACE"/>
    <w:rsid w:val="00016401"/>
    <w:rsid w:val="00034DF9"/>
    <w:rsid w:val="00043367"/>
    <w:rsid w:val="00047125"/>
    <w:rsid w:val="00052893"/>
    <w:rsid w:val="00077A0F"/>
    <w:rsid w:val="00080748"/>
    <w:rsid w:val="000E4DFF"/>
    <w:rsid w:val="000F7AB0"/>
    <w:rsid w:val="00107F5D"/>
    <w:rsid w:val="00126E09"/>
    <w:rsid w:val="0015315F"/>
    <w:rsid w:val="001A68BE"/>
    <w:rsid w:val="001B0C2B"/>
    <w:rsid w:val="001E6F72"/>
    <w:rsid w:val="001F3847"/>
    <w:rsid w:val="002043E0"/>
    <w:rsid w:val="0024643D"/>
    <w:rsid w:val="00247FFB"/>
    <w:rsid w:val="0027755A"/>
    <w:rsid w:val="002962A7"/>
    <w:rsid w:val="002A2976"/>
    <w:rsid w:val="002E3DDA"/>
    <w:rsid w:val="00345231"/>
    <w:rsid w:val="003B5149"/>
    <w:rsid w:val="003B5BE7"/>
    <w:rsid w:val="003B715D"/>
    <w:rsid w:val="003C5FDF"/>
    <w:rsid w:val="00401411"/>
    <w:rsid w:val="004E3796"/>
    <w:rsid w:val="004F26E9"/>
    <w:rsid w:val="00506105"/>
    <w:rsid w:val="00532DD5"/>
    <w:rsid w:val="005705D4"/>
    <w:rsid w:val="00574F1A"/>
    <w:rsid w:val="005774F9"/>
    <w:rsid w:val="005778DC"/>
    <w:rsid w:val="00587FEA"/>
    <w:rsid w:val="005F3CD3"/>
    <w:rsid w:val="006114E6"/>
    <w:rsid w:val="00616298"/>
    <w:rsid w:val="00644957"/>
    <w:rsid w:val="00683FDD"/>
    <w:rsid w:val="006A7E33"/>
    <w:rsid w:val="006B05AF"/>
    <w:rsid w:val="006D7AA0"/>
    <w:rsid w:val="006E6E14"/>
    <w:rsid w:val="00725C5C"/>
    <w:rsid w:val="00767620"/>
    <w:rsid w:val="0077133C"/>
    <w:rsid w:val="00786112"/>
    <w:rsid w:val="007D143E"/>
    <w:rsid w:val="008012F8"/>
    <w:rsid w:val="00854805"/>
    <w:rsid w:val="00895363"/>
    <w:rsid w:val="0089638E"/>
    <w:rsid w:val="0089779E"/>
    <w:rsid w:val="008A764C"/>
    <w:rsid w:val="008C284F"/>
    <w:rsid w:val="008C4F80"/>
    <w:rsid w:val="008C6ACA"/>
    <w:rsid w:val="008D48D4"/>
    <w:rsid w:val="008E09F2"/>
    <w:rsid w:val="008E3CEF"/>
    <w:rsid w:val="00901497"/>
    <w:rsid w:val="009139A0"/>
    <w:rsid w:val="00946AB0"/>
    <w:rsid w:val="00955EF7"/>
    <w:rsid w:val="00956D9B"/>
    <w:rsid w:val="00973976"/>
    <w:rsid w:val="0099652F"/>
    <w:rsid w:val="009C7290"/>
    <w:rsid w:val="009D0EDF"/>
    <w:rsid w:val="009E346C"/>
    <w:rsid w:val="009F0659"/>
    <w:rsid w:val="00A05B36"/>
    <w:rsid w:val="00A12410"/>
    <w:rsid w:val="00A160DA"/>
    <w:rsid w:val="00A42BE1"/>
    <w:rsid w:val="00A456B4"/>
    <w:rsid w:val="00A732CB"/>
    <w:rsid w:val="00A8716B"/>
    <w:rsid w:val="00A93619"/>
    <w:rsid w:val="00AB6721"/>
    <w:rsid w:val="00AC3A8F"/>
    <w:rsid w:val="00AC61FC"/>
    <w:rsid w:val="00B1163A"/>
    <w:rsid w:val="00B55D1E"/>
    <w:rsid w:val="00B95059"/>
    <w:rsid w:val="00BB5168"/>
    <w:rsid w:val="00BB5763"/>
    <w:rsid w:val="00BF6CAD"/>
    <w:rsid w:val="00C01ED6"/>
    <w:rsid w:val="00C07D25"/>
    <w:rsid w:val="00C36274"/>
    <w:rsid w:val="00C60031"/>
    <w:rsid w:val="00C6044F"/>
    <w:rsid w:val="00C65737"/>
    <w:rsid w:val="00C718F6"/>
    <w:rsid w:val="00C8101F"/>
    <w:rsid w:val="00C85855"/>
    <w:rsid w:val="00C91E53"/>
    <w:rsid w:val="00CA5D51"/>
    <w:rsid w:val="00CB2C9A"/>
    <w:rsid w:val="00CB634A"/>
    <w:rsid w:val="00CD4752"/>
    <w:rsid w:val="00CE1E61"/>
    <w:rsid w:val="00D22C41"/>
    <w:rsid w:val="00D476F9"/>
    <w:rsid w:val="00D53465"/>
    <w:rsid w:val="00DE18FF"/>
    <w:rsid w:val="00DE2B20"/>
    <w:rsid w:val="00DF2B40"/>
    <w:rsid w:val="00E0398D"/>
    <w:rsid w:val="00E11617"/>
    <w:rsid w:val="00E12720"/>
    <w:rsid w:val="00E14A62"/>
    <w:rsid w:val="00E158A8"/>
    <w:rsid w:val="00E166E6"/>
    <w:rsid w:val="00E16DEF"/>
    <w:rsid w:val="00E443B3"/>
    <w:rsid w:val="00E4515B"/>
    <w:rsid w:val="00E54E9F"/>
    <w:rsid w:val="00EA2DAD"/>
    <w:rsid w:val="00EB1C21"/>
    <w:rsid w:val="00ED3E28"/>
    <w:rsid w:val="00F00C05"/>
    <w:rsid w:val="00F013A9"/>
    <w:rsid w:val="00F21F6B"/>
    <w:rsid w:val="00F326BE"/>
    <w:rsid w:val="00F3506C"/>
    <w:rsid w:val="00F46516"/>
    <w:rsid w:val="00F65345"/>
    <w:rsid w:val="00F948F7"/>
    <w:rsid w:val="00FB63AF"/>
    <w:rsid w:val="00FB690F"/>
    <w:rsid w:val="00FE281C"/>
    <w:rsid w:val="00FE2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Default">
    <w:name w:val="Default"/>
    <w:rsid w:val="00A456B4"/>
    <w:pPr>
      <w:autoSpaceDE w:val="0"/>
      <w:autoSpaceDN w:val="0"/>
      <w:adjustRightInd w:val="0"/>
    </w:pPr>
    <w:rPr>
      <w:color w:val="000000"/>
      <w:sz w:val="24"/>
      <w:szCs w:val="24"/>
    </w:rPr>
  </w:style>
  <w:style w:type="character" w:styleId="CommentReference">
    <w:name w:val="annotation reference"/>
    <w:basedOn w:val="DefaultParagraphFont"/>
    <w:semiHidden/>
    <w:rsid w:val="00F013A9"/>
    <w:rPr>
      <w:sz w:val="16"/>
      <w:szCs w:val="16"/>
    </w:rPr>
  </w:style>
  <w:style w:type="paragraph" w:styleId="CommentText">
    <w:name w:val="annotation text"/>
    <w:basedOn w:val="Normal"/>
    <w:semiHidden/>
    <w:rsid w:val="00F013A9"/>
  </w:style>
  <w:style w:type="paragraph" w:styleId="CommentSubject">
    <w:name w:val="annotation subject"/>
    <w:basedOn w:val="CommentText"/>
    <w:next w:val="CommentText"/>
    <w:semiHidden/>
    <w:rsid w:val="00F013A9"/>
    <w:rPr>
      <w:b/>
      <w:bCs/>
    </w:rPr>
  </w:style>
  <w:style w:type="paragraph" w:styleId="BalloonText">
    <w:name w:val="Balloon Text"/>
    <w:basedOn w:val="Normal"/>
    <w:semiHidden/>
    <w:rsid w:val="00F013A9"/>
    <w:rPr>
      <w:rFonts w:ascii="Tahoma" w:hAnsi="Tahoma" w:cs="Tahoma"/>
      <w:sz w:val="16"/>
      <w:szCs w:val="16"/>
    </w:rPr>
  </w:style>
  <w:style w:type="character" w:styleId="Hyperlink">
    <w:name w:val="Hyperlink"/>
    <w:basedOn w:val="DefaultParagraphFont"/>
    <w:uiPriority w:val="99"/>
    <w:unhideWhenUsed/>
    <w:rsid w:val="0099652F"/>
    <w:rPr>
      <w:color w:val="0000FF"/>
      <w:u w:val="single"/>
    </w:rPr>
  </w:style>
  <w:style w:type="paragraph" w:styleId="NoSpacing">
    <w:name w:val="No Spacing"/>
    <w:uiPriority w:val="1"/>
    <w:qFormat/>
    <w:rsid w:val="0024643D"/>
    <w:pPr>
      <w:widowControl w:val="0"/>
      <w:autoSpaceDE w:val="0"/>
      <w:autoSpaceDN w:val="0"/>
      <w:adjustRightIn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Default">
    <w:name w:val="Default"/>
    <w:rsid w:val="00A456B4"/>
    <w:pPr>
      <w:autoSpaceDE w:val="0"/>
      <w:autoSpaceDN w:val="0"/>
      <w:adjustRightInd w:val="0"/>
    </w:pPr>
    <w:rPr>
      <w:color w:val="000000"/>
      <w:sz w:val="24"/>
      <w:szCs w:val="24"/>
    </w:rPr>
  </w:style>
  <w:style w:type="character" w:styleId="CommentReference">
    <w:name w:val="annotation reference"/>
    <w:basedOn w:val="DefaultParagraphFont"/>
    <w:semiHidden/>
    <w:rsid w:val="00F013A9"/>
    <w:rPr>
      <w:sz w:val="16"/>
      <w:szCs w:val="16"/>
    </w:rPr>
  </w:style>
  <w:style w:type="paragraph" w:styleId="CommentText">
    <w:name w:val="annotation text"/>
    <w:basedOn w:val="Normal"/>
    <w:semiHidden/>
    <w:rsid w:val="00F013A9"/>
  </w:style>
  <w:style w:type="paragraph" w:styleId="CommentSubject">
    <w:name w:val="annotation subject"/>
    <w:basedOn w:val="CommentText"/>
    <w:next w:val="CommentText"/>
    <w:semiHidden/>
    <w:rsid w:val="00F013A9"/>
    <w:rPr>
      <w:b/>
      <w:bCs/>
    </w:rPr>
  </w:style>
  <w:style w:type="paragraph" w:styleId="BalloonText">
    <w:name w:val="Balloon Text"/>
    <w:basedOn w:val="Normal"/>
    <w:semiHidden/>
    <w:rsid w:val="00F013A9"/>
    <w:rPr>
      <w:rFonts w:ascii="Tahoma" w:hAnsi="Tahoma" w:cs="Tahoma"/>
      <w:sz w:val="16"/>
      <w:szCs w:val="16"/>
    </w:rPr>
  </w:style>
  <w:style w:type="character" w:styleId="Hyperlink">
    <w:name w:val="Hyperlink"/>
    <w:basedOn w:val="DefaultParagraphFont"/>
    <w:uiPriority w:val="99"/>
    <w:unhideWhenUsed/>
    <w:rsid w:val="0099652F"/>
    <w:rPr>
      <w:color w:val="0000FF"/>
      <w:u w:val="single"/>
    </w:rPr>
  </w:style>
  <w:style w:type="paragraph" w:styleId="NoSpacing">
    <w:name w:val="No Spacing"/>
    <w:uiPriority w:val="1"/>
    <w:qFormat/>
    <w:rsid w:val="0024643D"/>
    <w:pPr>
      <w:widowControl w:val="0"/>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rporateservices.noaa.gov/~ames/NAOs/Chap_216/naos_216_100.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ero.noa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ws.gov/informationquality/section515.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ecfr.gpoaccess.gov/cgi/t/text/text-idx?c=ecfr&amp;sid=dad2926167f6f89f6cbcfa646cb8cbf0&amp;rgn=div8&amp;view=text&amp;node=50:8.0.1.1.6.6.1.2&amp;idno=50" TargetMode="Externa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AF370-2ADA-4251-BDC0-2C2B333FE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Pages>
  <Words>2364</Words>
  <Characters>13475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15808</CharactersWithSpaces>
  <SharedDoc>false</SharedDoc>
  <HLinks>
    <vt:vector size="30" baseType="variant">
      <vt:variant>
        <vt:i4>5963901</vt:i4>
      </vt:variant>
      <vt:variant>
        <vt:i4>16</vt:i4>
      </vt:variant>
      <vt:variant>
        <vt:i4>0</vt:i4>
      </vt:variant>
      <vt:variant>
        <vt:i4>5</vt:i4>
      </vt:variant>
      <vt:variant>
        <vt:lpwstr>http://www.corporateservices.noaa.gov/~ames/NAOs/Chap_216/naos_216_100.html</vt:lpwstr>
      </vt:variant>
      <vt:variant>
        <vt:lpwstr/>
      </vt:variant>
      <vt:variant>
        <vt:i4>393236</vt:i4>
      </vt:variant>
      <vt:variant>
        <vt:i4>13</vt:i4>
      </vt:variant>
      <vt:variant>
        <vt:i4>0</vt:i4>
      </vt:variant>
      <vt:variant>
        <vt:i4>5</vt:i4>
      </vt:variant>
      <vt:variant>
        <vt:lpwstr>http://www.nero.noaa.gov/</vt:lpwstr>
      </vt:variant>
      <vt:variant>
        <vt:lpwstr/>
      </vt:variant>
      <vt:variant>
        <vt:i4>852034</vt:i4>
      </vt:variant>
      <vt:variant>
        <vt:i4>10</vt:i4>
      </vt:variant>
      <vt:variant>
        <vt:i4>0</vt:i4>
      </vt:variant>
      <vt:variant>
        <vt:i4>5</vt:i4>
      </vt:variant>
      <vt:variant>
        <vt:lpwstr>http://www.fws.gov/informationquality/section515.html</vt:lpwstr>
      </vt:variant>
      <vt:variant>
        <vt:lpwstr/>
      </vt:variant>
      <vt:variant>
        <vt:i4>2031687</vt:i4>
      </vt:variant>
      <vt:variant>
        <vt:i4>3</vt:i4>
      </vt:variant>
      <vt:variant>
        <vt:i4>0</vt:i4>
      </vt:variant>
      <vt:variant>
        <vt:i4>5</vt:i4>
      </vt:variant>
      <vt:variant>
        <vt:lpwstr>http://ecfr.gpoaccess.gov/cgi/t/text/text-idx?c=ecfr&amp;sid=dad2926167f6f89f6cbcfa646cb8cbf0&amp;rgn=div8&amp;view=text&amp;node=50:8.0.1.1.6.6.1.2&amp;idno=50</vt:lpwstr>
      </vt:variant>
      <vt:variant>
        <vt:lpwstr/>
      </vt:variant>
      <vt:variant>
        <vt:i4>7012390</vt:i4>
      </vt:variant>
      <vt:variant>
        <vt:i4>0</vt:i4>
      </vt:variant>
      <vt:variant>
        <vt:i4>0</vt:i4>
      </vt:variant>
      <vt:variant>
        <vt:i4>5</vt:i4>
      </vt:variant>
      <vt:variant>
        <vt:lpwstr>http://www.nmfs.noaa.gov/msa2005/docs/MSA_amended_msa _20070112_FINAL.pdf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Richard Roberts</dc:creator>
  <cp:keywords/>
  <dc:description/>
  <cp:lastModifiedBy>Sarah Brabson</cp:lastModifiedBy>
  <cp:revision>20</cp:revision>
  <cp:lastPrinted>2012-12-03T20:51:00Z</cp:lastPrinted>
  <dcterms:created xsi:type="dcterms:W3CDTF">2012-06-03T19:15:00Z</dcterms:created>
  <dcterms:modified xsi:type="dcterms:W3CDTF">2012-12-20T15:51:00Z</dcterms:modified>
</cp:coreProperties>
</file>