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F3E2A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  <w:sz w:val="16"/>
        </w:rPr>
      </w:pPr>
    </w:p>
    <w:p w:rsidR="004431C5" w:rsidRDefault="004431C5" w:rsidP="00B53F3C">
      <w:pPr>
        <w:framePr w:w="1378" w:hSpace="180" w:wrap="auto" w:vAnchor="text" w:hAnchor="page" w:x="493" w:y="41"/>
        <w:ind w:left="-720" w:firstLine="720"/>
        <w:rPr>
          <w:rFonts w:ascii="Univers" w:hAnsi="Univers"/>
        </w:rPr>
      </w:pPr>
    </w:p>
    <w:p w:rsidR="004431C5" w:rsidRDefault="009A4DD5">
      <w:pPr>
        <w:framePr w:hSpace="180" w:wrap="auto" w:vAnchor="text" w:hAnchor="page" w:x="2161" w:y="-1004"/>
      </w:pPr>
      <w:r>
        <w:rPr>
          <w:noProof/>
          <w:sz w:val="20"/>
        </w:rPr>
        <w:drawing>
          <wp:inline distT="0" distB="0" distL="0" distR="0">
            <wp:extent cx="749935" cy="524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C5" w:rsidRDefault="004431C5"/>
    <w:p w:rsidR="004431C5" w:rsidRDefault="004431C5"/>
    <w:p w:rsidR="00CD5D44" w:rsidRDefault="00CD5D44"/>
    <w:p w:rsidR="003B3E0A" w:rsidRDefault="003B3E0A">
      <w:r>
        <w:t>TO:</w:t>
      </w:r>
      <w:r>
        <w:tab/>
      </w:r>
      <w:r>
        <w:tab/>
      </w:r>
      <w:r w:rsidR="001D4FD0">
        <w:t xml:space="preserve">Julie Wise, </w:t>
      </w:r>
      <w:r>
        <w:t>OMB Desk Officer</w:t>
      </w:r>
    </w:p>
    <w:p w:rsidR="003B3E0A" w:rsidRDefault="003B3E0A">
      <w:r>
        <w:tab/>
      </w:r>
      <w:r>
        <w:tab/>
        <w:t>Office of Information and Regulatory Affairs</w:t>
      </w:r>
    </w:p>
    <w:p w:rsidR="003B3E0A" w:rsidRDefault="003B3E0A">
      <w:r>
        <w:tab/>
      </w:r>
      <w:r>
        <w:tab/>
        <w:t>Office of Management and Budget</w:t>
      </w:r>
    </w:p>
    <w:p w:rsidR="003B3E0A" w:rsidRDefault="003B3E0A"/>
    <w:p w:rsidR="004475CC" w:rsidRDefault="003B3E0A" w:rsidP="004475CC">
      <w:r>
        <w:t>THROUGH:</w:t>
      </w:r>
      <w:r>
        <w:tab/>
      </w:r>
      <w:r w:rsidR="004475CC">
        <w:t>Ruth Brown, Desk Officer</w:t>
      </w:r>
    </w:p>
    <w:p w:rsidR="004475CC" w:rsidRDefault="004475CC" w:rsidP="004475CC">
      <w:pPr>
        <w:ind w:firstLine="270"/>
      </w:pPr>
      <w:r>
        <w:tab/>
      </w:r>
      <w:r>
        <w:tab/>
        <w:t>United States Department of Agriculture</w:t>
      </w:r>
    </w:p>
    <w:p w:rsidR="004475CC" w:rsidRDefault="004475CC" w:rsidP="004475CC">
      <w:pPr>
        <w:ind w:firstLine="270"/>
      </w:pPr>
      <w:r>
        <w:tab/>
        <w:t xml:space="preserve">            Office of Chief Information Office</w:t>
      </w:r>
    </w:p>
    <w:p w:rsidR="003800A1" w:rsidRDefault="001D4FD0" w:rsidP="004475CC">
      <w:r>
        <w:tab/>
      </w:r>
      <w:r>
        <w:tab/>
      </w:r>
    </w:p>
    <w:p w:rsidR="001D4FD0" w:rsidRDefault="003800A1" w:rsidP="004475CC">
      <w:pPr>
        <w:ind w:left="720" w:firstLine="720"/>
      </w:pPr>
      <w:r>
        <w:t xml:space="preserve">    </w:t>
      </w:r>
    </w:p>
    <w:p w:rsidR="004475CC" w:rsidRDefault="00CD5D44" w:rsidP="004475CC">
      <w:r>
        <w:t>FROM:</w:t>
      </w:r>
      <w:r>
        <w:tab/>
      </w:r>
      <w:r w:rsidR="00C749F4">
        <w:t>Lynnette Williams</w:t>
      </w:r>
    </w:p>
    <w:p w:rsidR="00C749F4" w:rsidRDefault="004475CC" w:rsidP="004475CC">
      <w:r>
        <w:tab/>
      </w:r>
      <w:r>
        <w:tab/>
      </w:r>
      <w:r w:rsidR="00C749F4">
        <w:t>Branch Chief, Planning &amp; Regulatory Affairs</w:t>
      </w:r>
    </w:p>
    <w:p w:rsidR="004475CC" w:rsidRDefault="004475CC" w:rsidP="004475CC">
      <w:r>
        <w:tab/>
      </w:r>
      <w:r>
        <w:tab/>
        <w:t>Food and Nutrition Service</w:t>
      </w:r>
    </w:p>
    <w:p w:rsidR="004431C5" w:rsidRDefault="004431C5" w:rsidP="004475CC"/>
    <w:p w:rsidR="004F3E2A" w:rsidRDefault="004F3E2A" w:rsidP="003800A1">
      <w:pPr>
        <w:ind w:left="1440" w:hanging="1440"/>
      </w:pPr>
      <w:r>
        <w:rPr>
          <w:bCs/>
        </w:rPr>
        <w:t>SUBJECT:</w:t>
      </w:r>
      <w:r>
        <w:rPr>
          <w:bCs/>
        </w:rPr>
        <w:tab/>
      </w:r>
      <w:r w:rsidR="00CD5D44">
        <w:t xml:space="preserve">Justification for </w:t>
      </w:r>
      <w:r w:rsidR="00061CDF">
        <w:t>Increase in</w:t>
      </w:r>
      <w:r w:rsidR="003800A1">
        <w:t xml:space="preserve"> Burden Hours</w:t>
      </w:r>
      <w:r w:rsidR="00C2074A">
        <w:t xml:space="preserve"> </w:t>
      </w:r>
      <w:r>
        <w:t>to</w:t>
      </w:r>
      <w:r w:rsidR="003800A1">
        <w:t xml:space="preserve"> OMB Control No</w:t>
      </w:r>
      <w:r w:rsidR="00C2074A">
        <w:t xml:space="preserve">: </w:t>
      </w:r>
      <w:r w:rsidR="003800A1">
        <w:t>0584-0</w:t>
      </w:r>
      <w:r w:rsidR="00061CDF">
        <w:t>559</w:t>
      </w:r>
      <w:r w:rsidR="003800A1">
        <w:t xml:space="preserve"> </w:t>
      </w:r>
    </w:p>
    <w:p w:rsidR="00CD5D44" w:rsidRPr="00061CDF" w:rsidRDefault="00061CDF" w:rsidP="003800A1">
      <w:pPr>
        <w:ind w:left="1440"/>
        <w:rPr>
          <w:szCs w:val="24"/>
        </w:rPr>
      </w:pPr>
      <w:r w:rsidRPr="00061CDF">
        <w:rPr>
          <w:szCs w:val="24"/>
        </w:rPr>
        <w:t>Evaluation of the Impact of the Household-Based Summer</w:t>
      </w:r>
      <w:r>
        <w:rPr>
          <w:szCs w:val="24"/>
        </w:rPr>
        <w:t xml:space="preserve"> </w:t>
      </w:r>
      <w:r w:rsidRPr="00061CDF">
        <w:rPr>
          <w:szCs w:val="24"/>
        </w:rPr>
        <w:t xml:space="preserve">Demonstrations on Food Insecurity </w:t>
      </w:r>
      <w:proofErr w:type="gramStart"/>
      <w:r w:rsidRPr="00061CDF">
        <w:rPr>
          <w:szCs w:val="24"/>
        </w:rPr>
        <w:t>Among</w:t>
      </w:r>
      <w:proofErr w:type="gramEnd"/>
      <w:r w:rsidRPr="00061CDF">
        <w:rPr>
          <w:szCs w:val="24"/>
        </w:rPr>
        <w:t xml:space="preserve"> Children (SEBTC)</w:t>
      </w:r>
    </w:p>
    <w:p w:rsidR="001A4191" w:rsidRDefault="00CD5D44" w:rsidP="00CD5D44">
      <w:r>
        <w:tab/>
      </w:r>
      <w:r>
        <w:tab/>
      </w:r>
    </w:p>
    <w:p w:rsidR="00EB5DD3" w:rsidRPr="0042458C" w:rsidRDefault="00CD5D44" w:rsidP="00CD5D44">
      <w:r>
        <w:t>Through this</w:t>
      </w:r>
      <w:r w:rsidR="00C2074A">
        <w:t xml:space="preserve"> memorandum, we are requesting </w:t>
      </w:r>
      <w:r w:rsidR="007301C0">
        <w:t xml:space="preserve">a </w:t>
      </w:r>
      <w:r w:rsidR="00C2074A">
        <w:t xml:space="preserve">non-substantive </w:t>
      </w:r>
      <w:r w:rsidR="00AB2609">
        <w:t xml:space="preserve">change </w:t>
      </w:r>
      <w:r w:rsidR="003800A1">
        <w:t>to the burden e</w:t>
      </w:r>
      <w:r w:rsidR="003800A1" w:rsidRPr="0042458C">
        <w:t xml:space="preserve">stimates for </w:t>
      </w:r>
      <w:r w:rsidR="00061CDF" w:rsidRPr="0042458C">
        <w:t xml:space="preserve">SEBTC </w:t>
      </w:r>
      <w:r w:rsidR="00AA7BE5" w:rsidRPr="0042458C">
        <w:t>Demonstration</w:t>
      </w:r>
      <w:r w:rsidR="00855A2E" w:rsidRPr="0042458C">
        <w:t>,</w:t>
      </w:r>
      <w:r w:rsidR="001A4191" w:rsidRPr="0042458C">
        <w:t xml:space="preserve"> under the</w:t>
      </w:r>
      <w:r w:rsidRPr="0042458C">
        <w:t xml:space="preserve"> Information Collection Request (ICR), OMB Control No. 0584-</w:t>
      </w:r>
      <w:r w:rsidR="00061CDF" w:rsidRPr="0042458C">
        <w:t>0559</w:t>
      </w:r>
      <w:r w:rsidRPr="0042458C">
        <w:t xml:space="preserve">, which was approved on </w:t>
      </w:r>
      <w:r w:rsidR="00061CDF" w:rsidRPr="0042458C">
        <w:t>March</w:t>
      </w:r>
      <w:r w:rsidR="003800A1" w:rsidRPr="0042458C">
        <w:t xml:space="preserve"> 28, </w:t>
      </w:r>
      <w:r w:rsidR="009A4DD5" w:rsidRPr="0042458C">
        <w:t>20</w:t>
      </w:r>
      <w:r w:rsidR="003800A1" w:rsidRPr="0042458C">
        <w:t>1</w:t>
      </w:r>
      <w:r w:rsidR="00061CDF" w:rsidRPr="0042458C">
        <w:t>1</w:t>
      </w:r>
      <w:r w:rsidRPr="0042458C">
        <w:t xml:space="preserve">.  </w:t>
      </w:r>
    </w:p>
    <w:p w:rsidR="00EB5DD3" w:rsidRPr="0042458C" w:rsidRDefault="00EB5DD3" w:rsidP="00CD5D44"/>
    <w:p w:rsidR="004A2961" w:rsidRPr="0042458C" w:rsidRDefault="004A2961" w:rsidP="00061CDF">
      <w:r w:rsidRPr="0042458C">
        <w:t>This study examines how the provision of summer food benefits to the households of children certified for free or reduced-price school meals impacts the prevalence of very low food security among children certified for free or reduced-price meals. </w:t>
      </w:r>
    </w:p>
    <w:p w:rsidR="004A2961" w:rsidRPr="0042458C" w:rsidRDefault="004A2961" w:rsidP="00061CDF"/>
    <w:p w:rsidR="00061CDF" w:rsidRPr="0042458C" w:rsidRDefault="00061CDF" w:rsidP="00061CDF">
      <w:r w:rsidRPr="0042458C">
        <w:t>The first year of the SEBT</w:t>
      </w:r>
      <w:r w:rsidR="00AA7BE5" w:rsidRPr="0042458C">
        <w:t>C</w:t>
      </w:r>
      <w:r w:rsidRPr="0042458C">
        <w:t xml:space="preserve"> Demonstration, 201</w:t>
      </w:r>
      <w:r w:rsidR="004A2961" w:rsidRPr="0042458C">
        <w:t xml:space="preserve">1, was a proof-of-concept </w:t>
      </w:r>
      <w:r w:rsidRPr="0042458C">
        <w:t xml:space="preserve">period.  </w:t>
      </w:r>
      <w:r w:rsidR="00AA7BE5" w:rsidRPr="0042458C">
        <w:t>In the second year of the demonstration, the Agency tested</w:t>
      </w:r>
      <w:r w:rsidRPr="0042458C">
        <w:t xml:space="preserve"> the effect of a $60 SEBTC benefit on the reduction of very low food insecurity among children (VLFS-C). </w:t>
      </w:r>
      <w:r w:rsidR="00AA7BE5" w:rsidRPr="0042458C">
        <w:t xml:space="preserve"> This request</w:t>
      </w:r>
      <w:r w:rsidR="0042458C" w:rsidRPr="0042458C">
        <w:t>,</w:t>
      </w:r>
      <w:r w:rsidR="00AA7BE5" w:rsidRPr="0042458C">
        <w:t xml:space="preserve"> for a non-substantive revision</w:t>
      </w:r>
      <w:r w:rsidR="0042458C" w:rsidRPr="0042458C">
        <w:t>,</w:t>
      </w:r>
      <w:r w:rsidR="00AA7BE5" w:rsidRPr="0042458C">
        <w:t xml:space="preserve"> requests additional burden hours to conduct the same test that was conducted in 2012, but with half the benefit level ($30 SEBTC benefit).  The Agency seeks to </w:t>
      </w:r>
      <w:r w:rsidRPr="0042458C">
        <w:t>test if a comparable positive impact can be obtained at half the benefit level.</w:t>
      </w:r>
    </w:p>
    <w:p w:rsidR="004A2961" w:rsidRPr="0042458C" w:rsidRDefault="004A2961" w:rsidP="00061CDF"/>
    <w:p w:rsidR="004A2961" w:rsidRPr="0042458C" w:rsidRDefault="004A2961" w:rsidP="00061CDF">
      <w:r w:rsidRPr="0042458C">
        <w:t>No new instruments or statistical methodology is being introduced.  The 2013 test would be conducted with SEBTC Households (existing respondent type) using the currently approved Questionnaire.</w:t>
      </w:r>
    </w:p>
    <w:p w:rsidR="00AA7BE5" w:rsidRPr="0042458C" w:rsidRDefault="00AA7BE5" w:rsidP="00061CDF"/>
    <w:p w:rsidR="004A2961" w:rsidRPr="0042458C" w:rsidRDefault="00061CDF" w:rsidP="004A2961">
      <w:r w:rsidRPr="0042458C">
        <w:t xml:space="preserve">Results from 2011 and 2012 have been very encouraging.  </w:t>
      </w:r>
      <w:r w:rsidR="00AA7BE5" w:rsidRPr="0042458C">
        <w:t>An additional test i</w:t>
      </w:r>
      <w:r w:rsidRPr="0042458C">
        <w:t xml:space="preserve">n 2013 </w:t>
      </w:r>
      <w:r w:rsidR="00AA7BE5" w:rsidRPr="0042458C">
        <w:t xml:space="preserve">will reveal </w:t>
      </w:r>
      <w:r w:rsidRPr="0042458C">
        <w:t xml:space="preserve">whether similar impacts can be obtained at reduced cost with a lower benefit level. </w:t>
      </w:r>
      <w:r w:rsidR="004A2961" w:rsidRPr="0042458C">
        <w:t xml:space="preserve">These evaluations are intended to provide policymakers with rigorous and timely findings to make decisions about potential changes to Federal summer feeding programs during the next Child Nutrition reauthorization cycle.  </w:t>
      </w:r>
    </w:p>
    <w:p w:rsidR="004A2961" w:rsidRDefault="004A2961" w:rsidP="004A2961">
      <w:pPr>
        <w:rPr>
          <w:color w:val="548DD4" w:themeColor="text2" w:themeTint="99"/>
        </w:rPr>
      </w:pPr>
    </w:p>
    <w:p w:rsidR="00061CDF" w:rsidRDefault="00061CDF" w:rsidP="004A2961">
      <w:pPr>
        <w:rPr>
          <w:color w:val="548DD4" w:themeColor="text2" w:themeTint="99"/>
        </w:rPr>
      </w:pPr>
    </w:p>
    <w:p w:rsidR="00AA7BE5" w:rsidRPr="00061CDF" w:rsidRDefault="00AA7BE5" w:rsidP="00061CDF">
      <w:pPr>
        <w:rPr>
          <w:color w:val="548DD4" w:themeColor="text2" w:themeTint="99"/>
        </w:rPr>
      </w:pPr>
    </w:p>
    <w:tbl>
      <w:tblPr>
        <w:tblW w:w="10295" w:type="dxa"/>
        <w:tblCellMar>
          <w:left w:w="0" w:type="dxa"/>
          <w:right w:w="0" w:type="dxa"/>
        </w:tblCellMar>
        <w:tblLook w:val="04A0"/>
      </w:tblPr>
      <w:tblGrid>
        <w:gridCol w:w="108"/>
        <w:gridCol w:w="2888"/>
        <w:gridCol w:w="1322"/>
        <w:gridCol w:w="1460"/>
        <w:gridCol w:w="1825"/>
        <w:gridCol w:w="906"/>
        <w:gridCol w:w="410"/>
        <w:gridCol w:w="1319"/>
        <w:gridCol w:w="57"/>
      </w:tblGrid>
      <w:tr w:rsidR="00021092" w:rsidRPr="001D2830" w:rsidTr="001102B3">
        <w:trPr>
          <w:gridAfter w:val="1"/>
          <w:wAfter w:w="57" w:type="dxa"/>
          <w:trHeight w:val="330"/>
        </w:trPr>
        <w:tc>
          <w:tcPr>
            <w:tcW w:w="8509" w:type="dxa"/>
            <w:gridSpan w:val="6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F3C" w:rsidRDefault="00B53F3C" w:rsidP="00B53F3C">
            <w:r>
              <w:lastRenderedPageBreak/>
              <w:t>The currently approved burden hours are:</w:t>
            </w:r>
          </w:p>
          <w:p w:rsidR="001D2830" w:rsidRPr="001D2830" w:rsidRDefault="001D2830" w:rsidP="001D28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2830" w:rsidRPr="001D2830" w:rsidRDefault="001D2830" w:rsidP="001D2830">
            <w:pPr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021092" w:rsidRPr="001D2830" w:rsidTr="00CC27C2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10"/>
        </w:trPr>
        <w:tc>
          <w:tcPr>
            <w:tcW w:w="28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Estimated # Respondents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Responses Per Respondent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BxC</w:t>
            </w:r>
            <w:proofErr w:type="spellEnd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DxE</w:t>
            </w:r>
            <w:proofErr w:type="spellEnd"/>
            <w:r w:rsidRPr="001D283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021092" w:rsidRPr="001D2830" w:rsidTr="00CC27C2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1D2830" w:rsidRDefault="001D2830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Reporting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42458C" w:rsidRDefault="00CC27C2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46,175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42458C" w:rsidRDefault="00CC27C2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.66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830" w:rsidRPr="0042458C" w:rsidRDefault="00CC27C2" w:rsidP="001102B3">
            <w:pPr>
              <w:overflowPunct/>
              <w:autoSpaceDE/>
              <w:autoSpaceDN/>
              <w:adjustRightInd/>
              <w:ind w:right="172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30,672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830" w:rsidRPr="0042458C" w:rsidRDefault="00CC27C2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.52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830" w:rsidRPr="0042458C" w:rsidRDefault="00CC27C2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15,974</w:t>
            </w:r>
          </w:p>
        </w:tc>
      </w:tr>
      <w:tr w:rsidR="0042458C" w:rsidRPr="001D2830" w:rsidTr="00CC27C2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8C" w:rsidRPr="001D2830" w:rsidRDefault="0042458C" w:rsidP="00CC27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2830">
              <w:rPr>
                <w:rFonts w:ascii="Arial" w:hAnsi="Arial" w:cs="Arial"/>
                <w:b/>
                <w:bCs/>
                <w:sz w:val="16"/>
                <w:szCs w:val="16"/>
              </w:rPr>
              <w:t>TOTAL BURDEN FOR #0584-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0559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8C" w:rsidRPr="0042458C" w:rsidRDefault="0042458C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46,175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8C" w:rsidRPr="0042458C" w:rsidRDefault="0042458C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.66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8C" w:rsidRPr="0042458C" w:rsidRDefault="0042458C" w:rsidP="001B7C75">
            <w:pPr>
              <w:overflowPunct/>
              <w:autoSpaceDE/>
              <w:autoSpaceDN/>
              <w:adjustRightInd/>
              <w:ind w:right="172"/>
              <w:jc w:val="center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30,672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8C" w:rsidRPr="0042458C" w:rsidRDefault="0042458C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color w:val="000000"/>
                <w:sz w:val="16"/>
                <w:szCs w:val="16"/>
              </w:rPr>
              <w:t>.52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58C" w:rsidRPr="0042458C" w:rsidRDefault="0042458C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15,974</w:t>
            </w:r>
          </w:p>
        </w:tc>
      </w:tr>
      <w:tr w:rsidR="004F1D58" w:rsidRPr="001D2830" w:rsidTr="001102B3">
        <w:trPr>
          <w:gridAfter w:val="1"/>
          <w:wAfter w:w="57" w:type="dxa"/>
          <w:trHeight w:val="330"/>
        </w:trPr>
        <w:tc>
          <w:tcPr>
            <w:tcW w:w="850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D2830" w:rsidRPr="001D2830" w:rsidRDefault="001D2830" w:rsidP="001102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4475CC" w:rsidRDefault="004475CC" w:rsidP="00CC27C2">
            <w:r>
              <w:t>The revised burden hours are:</w:t>
            </w:r>
          </w:p>
          <w:p w:rsidR="00EB5DD3" w:rsidRPr="001D2830" w:rsidRDefault="00EB5DD3" w:rsidP="001102B3">
            <w:pP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DD3" w:rsidRPr="001D2830" w:rsidRDefault="00EB5DD3" w:rsidP="001102B3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</w:tr>
      <w:tr w:rsidR="001102B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690"/>
        </w:trPr>
        <w:tc>
          <w:tcPr>
            <w:tcW w:w="28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Estimated # Respondents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Responses Per Respondent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BxC</w:t>
            </w:r>
            <w:proofErr w:type="spellEnd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B3" w:rsidRPr="001102B3" w:rsidRDefault="001102B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DxE</w:t>
            </w:r>
            <w:proofErr w:type="spellEnd"/>
            <w:r w:rsidRPr="001102B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226983" w:rsidRPr="001102B3" w:rsidTr="00A33C6E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Default="00226983" w:rsidP="00FA33C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226983" w:rsidRPr="00226983" w:rsidRDefault="00226983" w:rsidP="00226983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Parents: 2013 SEBTC Households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18,000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36,000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0.5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18,000</w:t>
            </w:r>
          </w:p>
        </w:tc>
      </w:tr>
      <w:tr w:rsidR="00226983" w:rsidRPr="001102B3" w:rsidTr="00A33C6E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Default="00226983" w:rsidP="00226983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226983" w:rsidRPr="00226983" w:rsidRDefault="00226983" w:rsidP="00226983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Parents:</w:t>
            </w:r>
            <w:r w:rsidRPr="00226983">
              <w:rPr>
                <w:rFonts w:ascii="Arial" w:hAnsi="Arial" w:cs="Arial"/>
                <w:iCs/>
                <w:color w:val="000000"/>
                <w:sz w:val="16"/>
                <w:szCs w:val="18"/>
              </w:rPr>
              <w:t xml:space="preserve"> 2013 SEBTC Households</w:t>
            </w: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 xml:space="preserve">  (</w:t>
            </w:r>
            <w:r w:rsidRPr="00226983">
              <w:rPr>
                <w:rFonts w:ascii="Arial" w:hAnsi="Arial" w:cs="Arial"/>
                <w:iCs/>
                <w:color w:val="000000"/>
                <w:sz w:val="16"/>
                <w:szCs w:val="18"/>
              </w:rPr>
              <w:t>non-respondents)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8,000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16,000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0.05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983" w:rsidRPr="00226983" w:rsidRDefault="00226983" w:rsidP="00FA33C5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6983">
              <w:rPr>
                <w:rFonts w:ascii="Arial" w:hAnsi="Arial" w:cs="Arial"/>
                <w:color w:val="000000"/>
                <w:sz w:val="16"/>
                <w:szCs w:val="18"/>
              </w:rPr>
              <w:t>800</w:t>
            </w:r>
          </w:p>
        </w:tc>
      </w:tr>
      <w:tr w:rsidR="0022698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2698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Requested Increase to </w:t>
            </w:r>
          </w:p>
          <w:p w:rsidR="00226983" w:rsidRPr="001102B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Reporting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1102B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1102B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1102B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52,000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983" w:rsidRPr="001102B3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.35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306A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18,</w:t>
            </w:r>
            <w:r w:rsidR="00306A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  <w:r w:rsidRPr="004245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22698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1D2830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Existing</w:t>
            </w:r>
            <w:r w:rsidRPr="001D28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Reporting Burden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46,175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.66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B7C75">
            <w:pPr>
              <w:overflowPunct/>
              <w:autoSpaceDE/>
              <w:autoSpaceDN/>
              <w:adjustRightInd/>
              <w:ind w:right="172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30,672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color w:val="000000"/>
                <w:sz w:val="16"/>
                <w:szCs w:val="16"/>
              </w:rPr>
              <w:t>.52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B7C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2458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15,974</w:t>
            </w:r>
          </w:p>
        </w:tc>
      </w:tr>
      <w:tr w:rsidR="00226983" w:rsidRPr="001102B3" w:rsidTr="001102B3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1102B3" w:rsidRDefault="00226983" w:rsidP="0042458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2B3">
              <w:rPr>
                <w:rFonts w:ascii="Arial" w:hAnsi="Arial" w:cs="Arial"/>
                <w:b/>
                <w:bCs/>
                <w:sz w:val="16"/>
                <w:szCs w:val="16"/>
              </w:rPr>
              <w:t>TOTAL BURDEN FOR #0584-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0559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bCs/>
                <w:sz w:val="16"/>
                <w:szCs w:val="16"/>
              </w:rPr>
              <w:t>72,175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sz w:val="16"/>
                <w:szCs w:val="16"/>
              </w:rPr>
              <w:t>1.14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bCs/>
                <w:sz w:val="16"/>
                <w:szCs w:val="16"/>
              </w:rPr>
              <w:t>82,672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1102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sz w:val="16"/>
                <w:szCs w:val="16"/>
              </w:rPr>
              <w:t>.41</w:t>
            </w:r>
          </w:p>
        </w:tc>
        <w:tc>
          <w:tcPr>
            <w:tcW w:w="1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6983" w:rsidRPr="0042458C" w:rsidRDefault="00226983" w:rsidP="00A046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458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A04671">
              <w:rPr>
                <w:rFonts w:ascii="Arial" w:hAnsi="Arial" w:cs="Arial"/>
                <w:b/>
                <w:bCs/>
                <w:sz w:val="16"/>
                <w:szCs w:val="16"/>
              </w:rPr>
              <w:t>4,774</w:t>
            </w:r>
          </w:p>
        </w:tc>
      </w:tr>
    </w:tbl>
    <w:p w:rsidR="00EB5DD3" w:rsidRDefault="00EB5DD3" w:rsidP="00CD5D44"/>
    <w:p w:rsidR="001102B3" w:rsidRDefault="001102B3" w:rsidP="00CD5D44"/>
    <w:p w:rsidR="00C2074A" w:rsidRDefault="00C2074A" w:rsidP="00C2074A">
      <w:pPr>
        <w:pStyle w:val="BodyText"/>
      </w:pPr>
      <w:r>
        <w:t xml:space="preserve">If you have any questions regarding this request, please contact </w:t>
      </w:r>
      <w:r w:rsidR="001D2830">
        <w:t>Lynnette Williams</w:t>
      </w:r>
      <w:r w:rsidR="00091B9A">
        <w:t>, Branch Chief for</w:t>
      </w:r>
      <w:r>
        <w:t xml:space="preserve"> the Food and Nutrition Service, </w:t>
      </w:r>
      <w:r w:rsidR="001D2830">
        <w:t>Planning &amp; Regulatory Affairs Branch</w:t>
      </w:r>
      <w:r>
        <w:t xml:space="preserve"> at (703) </w:t>
      </w:r>
      <w:r w:rsidR="001D2830">
        <w:t>605</w:t>
      </w:r>
      <w:r>
        <w:t>-</w:t>
      </w:r>
      <w:r w:rsidR="001D2830">
        <w:t>4782</w:t>
      </w:r>
      <w:r>
        <w:t>.</w:t>
      </w:r>
    </w:p>
    <w:p w:rsidR="00C2074A" w:rsidRDefault="00C2074A" w:rsidP="00CD5D44"/>
    <w:p w:rsidR="004431C5" w:rsidRDefault="00CD5D44" w:rsidP="00CD5D44">
      <w:pPr>
        <w:ind w:left="2160" w:firstLine="720"/>
      </w:pPr>
      <w:r>
        <w:t xml:space="preserve"> </w:t>
      </w:r>
      <w:r>
        <w:tab/>
      </w:r>
    </w:p>
    <w:p w:rsidR="004431C5" w:rsidRDefault="004431C5">
      <w:pPr>
        <w:ind w:left="270"/>
        <w:rPr>
          <w:rFonts w:ascii="Univers" w:hAnsi="Univers"/>
        </w:rPr>
      </w:pPr>
    </w:p>
    <w:p w:rsidR="004431C5" w:rsidRDefault="004431C5">
      <w:pPr>
        <w:ind w:left="270"/>
        <w:rPr>
          <w:rFonts w:ascii="Univers" w:hAnsi="Univers"/>
        </w:rPr>
      </w:pPr>
    </w:p>
    <w:bookmarkStart w:id="0" w:name="Text2"/>
    <w:p w:rsidR="004431C5" w:rsidRDefault="00764A3E">
      <w:pPr>
        <w:tabs>
          <w:tab w:val="left" w:pos="2160"/>
        </w:tabs>
        <w:ind w:left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 w:rsidR="004431C5">
        <w:instrText xml:space="preserve"> FORMTEXT </w:instrText>
      </w:r>
      <w:r>
        <w:fldChar w:fldCharType="separate"/>
      </w:r>
      <w:r w:rsidR="004431C5">
        <w:rPr>
          <w:noProof/>
        </w:rPr>
        <w:t xml:space="preserve">     </w:t>
      </w:r>
      <w:r>
        <w:fldChar w:fldCharType="end"/>
      </w:r>
      <w:bookmarkEnd w:id="0"/>
    </w:p>
    <w:bookmarkStart w:id="1" w:name="Text1"/>
    <w:p w:rsidR="004431C5" w:rsidRDefault="00764A3E">
      <w:pPr>
        <w:tabs>
          <w:tab w:val="left" w:pos="2160"/>
        </w:tabs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4431C5">
        <w:instrText xml:space="preserve"> FORMTEXT </w:instrText>
      </w:r>
      <w:r>
        <w:fldChar w:fldCharType="separate"/>
      </w:r>
      <w:r w:rsidR="004431C5">
        <w:rPr>
          <w:noProof/>
        </w:rPr>
        <w:t xml:space="preserve">     </w:t>
      </w:r>
      <w:r>
        <w:fldChar w:fldCharType="end"/>
      </w:r>
      <w:bookmarkEnd w:id="1"/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>
      <w:pPr>
        <w:tabs>
          <w:tab w:val="left" w:pos="2160"/>
        </w:tabs>
        <w:ind w:left="720"/>
      </w:pPr>
    </w:p>
    <w:p w:rsidR="004431C5" w:rsidRDefault="004431C5" w:rsidP="00293E4C">
      <w:pPr>
        <w:tabs>
          <w:tab w:val="left" w:pos="2160"/>
        </w:tabs>
      </w:pPr>
    </w:p>
    <w:sectPr w:rsidR="004431C5" w:rsidSect="002F6473">
      <w:footerReference w:type="default" r:id="rId7"/>
      <w:pgSz w:w="12240" w:h="15840" w:code="1"/>
      <w:pgMar w:top="1440" w:right="1800" w:bottom="360" w:left="1800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A7" w:rsidRDefault="00A914A7">
      <w:r>
        <w:separator/>
      </w:r>
    </w:p>
  </w:endnote>
  <w:endnote w:type="continuationSeparator" w:id="0">
    <w:p w:rsidR="00A914A7" w:rsidRDefault="00A9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F2" w:rsidRDefault="00C706F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C706F2" w:rsidRDefault="00C706F2">
    <w:pPr>
      <w:pStyle w:val="Footer"/>
      <w:rPr>
        <w:rFonts w:ascii="Univers" w:hAnsi="Univers"/>
        <w:sz w:val="16"/>
      </w:rPr>
    </w:pPr>
  </w:p>
  <w:p w:rsidR="00C706F2" w:rsidRDefault="00C70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A7" w:rsidRDefault="00A914A7">
      <w:r>
        <w:separator/>
      </w:r>
    </w:p>
  </w:footnote>
  <w:footnote w:type="continuationSeparator" w:id="0">
    <w:p w:rsidR="00A914A7" w:rsidRDefault="00A91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D3230"/>
    <w:rsid w:val="00021092"/>
    <w:rsid w:val="00061CDF"/>
    <w:rsid w:val="00064345"/>
    <w:rsid w:val="00091B9A"/>
    <w:rsid w:val="000942AD"/>
    <w:rsid w:val="000E365C"/>
    <w:rsid w:val="001024E3"/>
    <w:rsid w:val="001102B3"/>
    <w:rsid w:val="0014080F"/>
    <w:rsid w:val="001A4191"/>
    <w:rsid w:val="001D2830"/>
    <w:rsid w:val="001D4FD0"/>
    <w:rsid w:val="00214864"/>
    <w:rsid w:val="00226983"/>
    <w:rsid w:val="0026587C"/>
    <w:rsid w:val="00293E4C"/>
    <w:rsid w:val="002A0B23"/>
    <w:rsid w:val="002D3230"/>
    <w:rsid w:val="002F6473"/>
    <w:rsid w:val="00306A69"/>
    <w:rsid w:val="0034544B"/>
    <w:rsid w:val="003800A1"/>
    <w:rsid w:val="003B3E0A"/>
    <w:rsid w:val="0042458C"/>
    <w:rsid w:val="004431C5"/>
    <w:rsid w:val="004475CC"/>
    <w:rsid w:val="004A2961"/>
    <w:rsid w:val="004F1D58"/>
    <w:rsid w:val="004F3E2A"/>
    <w:rsid w:val="0052189D"/>
    <w:rsid w:val="00563C32"/>
    <w:rsid w:val="005B3A1F"/>
    <w:rsid w:val="006629A1"/>
    <w:rsid w:val="00663935"/>
    <w:rsid w:val="006A17D0"/>
    <w:rsid w:val="006D081D"/>
    <w:rsid w:val="006F47C3"/>
    <w:rsid w:val="007301C0"/>
    <w:rsid w:val="00757A9C"/>
    <w:rsid w:val="00764A3E"/>
    <w:rsid w:val="00783843"/>
    <w:rsid w:val="00855A2E"/>
    <w:rsid w:val="0088072F"/>
    <w:rsid w:val="008F1C8B"/>
    <w:rsid w:val="00944B01"/>
    <w:rsid w:val="009A4DD5"/>
    <w:rsid w:val="009E6A7B"/>
    <w:rsid w:val="009F46D5"/>
    <w:rsid w:val="00A04671"/>
    <w:rsid w:val="00A914A7"/>
    <w:rsid w:val="00A91556"/>
    <w:rsid w:val="00AA7BE5"/>
    <w:rsid w:val="00AB2609"/>
    <w:rsid w:val="00AB2ED5"/>
    <w:rsid w:val="00AC66B4"/>
    <w:rsid w:val="00B02E2F"/>
    <w:rsid w:val="00B53F3C"/>
    <w:rsid w:val="00BD0A70"/>
    <w:rsid w:val="00BE64D9"/>
    <w:rsid w:val="00C2074A"/>
    <w:rsid w:val="00C706F2"/>
    <w:rsid w:val="00C74452"/>
    <w:rsid w:val="00C749F4"/>
    <w:rsid w:val="00CB641D"/>
    <w:rsid w:val="00CC27C2"/>
    <w:rsid w:val="00CD5D44"/>
    <w:rsid w:val="00D01A2E"/>
    <w:rsid w:val="00DA0AC8"/>
    <w:rsid w:val="00EB5DD3"/>
    <w:rsid w:val="00EF2D6F"/>
    <w:rsid w:val="00F35E23"/>
    <w:rsid w:val="00F42326"/>
    <w:rsid w:val="00F902A6"/>
    <w:rsid w:val="00FB7898"/>
    <w:rsid w:val="00FC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D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2E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B2ED5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45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C2074A"/>
    <w:pPr>
      <w:widowControl w:val="0"/>
      <w:tabs>
        <w:tab w:val="left" w:pos="351"/>
      </w:tabs>
      <w:overflowPunct/>
      <w:ind w:left="1089" w:hanging="35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jackson\LOCALS~1\Temp\Letterhead%20New%20Us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New Usda.dot</Template>
  <TotalTime>14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FJackson</dc:creator>
  <cp:lastModifiedBy>lywilliams</cp:lastModifiedBy>
  <cp:revision>4</cp:revision>
  <cp:lastPrinted>2000-08-25T21:20:00Z</cp:lastPrinted>
  <dcterms:created xsi:type="dcterms:W3CDTF">2012-12-05T19:46:00Z</dcterms:created>
  <dcterms:modified xsi:type="dcterms:W3CDTF">2012-12-05T20:48:00Z</dcterms:modified>
</cp:coreProperties>
</file>