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C9D" w:rsidRPr="008C0E7B" w:rsidRDefault="00F26C9D" w:rsidP="009C43F9">
      <w:pPr>
        <w:jc w:val="center"/>
        <w:rPr>
          <w:b/>
          <w:color w:val="000000"/>
          <w:szCs w:val="24"/>
        </w:rPr>
      </w:pPr>
      <w:r w:rsidRPr="008C0E7B">
        <w:rPr>
          <w:b/>
          <w:szCs w:val="24"/>
        </w:rPr>
        <w:t>Supporting Statement for the</w:t>
      </w:r>
    </w:p>
    <w:p w:rsidR="00F26C9D" w:rsidRPr="008C0E7B" w:rsidRDefault="00F26C9D" w:rsidP="009C43F9">
      <w:pPr>
        <w:jc w:val="center"/>
        <w:rPr>
          <w:b/>
          <w:szCs w:val="24"/>
        </w:rPr>
      </w:pPr>
      <w:r w:rsidRPr="008C0E7B">
        <w:rPr>
          <w:b/>
          <w:szCs w:val="24"/>
        </w:rPr>
        <w:t xml:space="preserve">Retail Payments Surveys </w:t>
      </w:r>
    </w:p>
    <w:p w:rsidR="00F26C9D" w:rsidRPr="008C0E7B" w:rsidRDefault="00F26C9D" w:rsidP="009C43F9">
      <w:pPr>
        <w:jc w:val="center"/>
        <w:rPr>
          <w:b/>
          <w:color w:val="000000"/>
          <w:szCs w:val="24"/>
        </w:rPr>
      </w:pPr>
      <w:r w:rsidRPr="008C0E7B">
        <w:rPr>
          <w:b/>
          <w:szCs w:val="24"/>
        </w:rPr>
        <w:t>(FR 3066a, b, c, and d</w:t>
      </w:r>
      <w:r w:rsidRPr="008C0E7B">
        <w:rPr>
          <w:b/>
          <w:color w:val="000000"/>
          <w:szCs w:val="24"/>
        </w:rPr>
        <w:t>; OMB No. 7100-</w:t>
      </w:r>
      <w:r w:rsidR="00624044">
        <w:rPr>
          <w:b/>
          <w:szCs w:val="24"/>
        </w:rPr>
        <w:t>0351</w:t>
      </w:r>
      <w:r w:rsidRPr="008C0E7B">
        <w:rPr>
          <w:b/>
          <w:color w:val="000000"/>
          <w:szCs w:val="24"/>
        </w:rPr>
        <w:t>)</w:t>
      </w:r>
    </w:p>
    <w:p w:rsidR="00F26C9D" w:rsidRPr="008C0E7B" w:rsidRDefault="00F26C9D" w:rsidP="009C43F9">
      <w:pPr>
        <w:tabs>
          <w:tab w:val="left" w:pos="360"/>
        </w:tabs>
        <w:mirrorIndents/>
        <w:rPr>
          <w:b/>
          <w:color w:val="000000"/>
          <w:szCs w:val="24"/>
        </w:rPr>
      </w:pPr>
    </w:p>
    <w:p w:rsidR="007666EC" w:rsidRPr="008C0E7B" w:rsidRDefault="007666EC" w:rsidP="009C43F9">
      <w:pPr>
        <w:tabs>
          <w:tab w:val="left" w:pos="360"/>
        </w:tabs>
        <w:mirrorIndents/>
        <w:rPr>
          <w:b/>
          <w:color w:val="000000"/>
          <w:szCs w:val="24"/>
        </w:rPr>
      </w:pPr>
      <w:r w:rsidRPr="008C0E7B">
        <w:rPr>
          <w:b/>
          <w:color w:val="000000"/>
          <w:szCs w:val="24"/>
        </w:rPr>
        <w:t>Summary</w:t>
      </w:r>
    </w:p>
    <w:p w:rsidR="007666EC" w:rsidRPr="008C0E7B" w:rsidRDefault="007666EC" w:rsidP="009C43F9">
      <w:pPr>
        <w:tabs>
          <w:tab w:val="left" w:pos="360"/>
        </w:tabs>
        <w:mirrorIndents/>
        <w:rPr>
          <w:color w:val="000000"/>
          <w:szCs w:val="24"/>
        </w:rPr>
      </w:pPr>
    </w:p>
    <w:p w:rsidR="00F26C9D" w:rsidRPr="0094376B" w:rsidRDefault="00F26C9D" w:rsidP="009C43F9">
      <w:pPr>
        <w:tabs>
          <w:tab w:val="left" w:pos="-1440"/>
        </w:tabs>
        <w:ind w:firstLine="720"/>
        <w:rPr>
          <w:szCs w:val="24"/>
        </w:rPr>
      </w:pPr>
      <w:r w:rsidRPr="008C0E7B">
        <w:rPr>
          <w:szCs w:val="24"/>
        </w:rPr>
        <w:t xml:space="preserve">The Board of Governors of the Federal Reserve System (the Board), under delegated authority from the Office of Management and Budget (OMB), </w:t>
      </w:r>
      <w:r w:rsidR="008C0E7B" w:rsidRPr="008C0E7B">
        <w:rPr>
          <w:szCs w:val="24"/>
        </w:rPr>
        <w:t>proposes</w:t>
      </w:r>
      <w:r w:rsidRPr="008C0E7B">
        <w:rPr>
          <w:szCs w:val="24"/>
        </w:rPr>
        <w:t xml:space="preserve"> to implement the </w:t>
      </w:r>
      <w:r w:rsidRPr="0094376B">
        <w:rPr>
          <w:szCs w:val="24"/>
        </w:rPr>
        <w:t xml:space="preserve">following </w:t>
      </w:r>
      <w:r w:rsidR="0094376B" w:rsidRPr="0094376B">
        <w:rPr>
          <w:szCs w:val="24"/>
        </w:rPr>
        <w:t>Retail Payments Surveys</w:t>
      </w:r>
      <w:r w:rsidRPr="0094376B">
        <w:rPr>
          <w:szCs w:val="24"/>
        </w:rPr>
        <w:t>:</w:t>
      </w:r>
    </w:p>
    <w:p w:rsidR="007666EC" w:rsidRPr="008C0E7B" w:rsidRDefault="007666EC" w:rsidP="009C43F9">
      <w:pPr>
        <w:numPr>
          <w:ilvl w:val="0"/>
          <w:numId w:val="7"/>
        </w:numPr>
        <w:tabs>
          <w:tab w:val="left" w:pos="-1440"/>
        </w:tabs>
        <w:ind w:firstLine="0"/>
        <w:mirrorIndents/>
        <w:rPr>
          <w:szCs w:val="24"/>
        </w:rPr>
      </w:pPr>
      <w:r w:rsidRPr="008C0E7B">
        <w:rPr>
          <w:szCs w:val="24"/>
        </w:rPr>
        <w:t>the Depository</w:t>
      </w:r>
      <w:r w:rsidR="00293F2E" w:rsidRPr="008C0E7B">
        <w:rPr>
          <w:szCs w:val="24"/>
        </w:rPr>
        <w:t xml:space="preserve"> and Financial</w:t>
      </w:r>
      <w:r w:rsidRPr="008C0E7B">
        <w:rPr>
          <w:szCs w:val="24"/>
        </w:rPr>
        <w:t xml:space="preserve"> Institution Payments Survey (FR </w:t>
      </w:r>
      <w:r w:rsidR="00D2477E" w:rsidRPr="008C0E7B">
        <w:rPr>
          <w:szCs w:val="24"/>
        </w:rPr>
        <w:t>3066</w:t>
      </w:r>
      <w:r w:rsidRPr="008C0E7B">
        <w:rPr>
          <w:szCs w:val="24"/>
        </w:rPr>
        <w:t>a),</w:t>
      </w:r>
    </w:p>
    <w:p w:rsidR="007666EC" w:rsidRPr="008C0E7B" w:rsidRDefault="007666EC" w:rsidP="009C43F9">
      <w:pPr>
        <w:numPr>
          <w:ilvl w:val="0"/>
          <w:numId w:val="7"/>
        </w:numPr>
        <w:tabs>
          <w:tab w:val="left" w:pos="-1440"/>
        </w:tabs>
        <w:ind w:firstLine="0"/>
        <w:mirrorIndents/>
        <w:rPr>
          <w:szCs w:val="24"/>
        </w:rPr>
      </w:pPr>
      <w:r w:rsidRPr="008C0E7B">
        <w:rPr>
          <w:szCs w:val="24"/>
        </w:rPr>
        <w:t>the Network</w:t>
      </w:r>
      <w:r w:rsidR="00A8732D" w:rsidRPr="008C0E7B">
        <w:rPr>
          <w:szCs w:val="24"/>
        </w:rPr>
        <w:t xml:space="preserve">, </w:t>
      </w:r>
      <w:r w:rsidRPr="008C0E7B">
        <w:rPr>
          <w:szCs w:val="24"/>
        </w:rPr>
        <w:t>Processor</w:t>
      </w:r>
      <w:r w:rsidR="00750C3E" w:rsidRPr="008C0E7B">
        <w:rPr>
          <w:szCs w:val="24"/>
        </w:rPr>
        <w:t>,</w:t>
      </w:r>
      <w:r w:rsidR="00710FBE" w:rsidRPr="008C0E7B">
        <w:rPr>
          <w:szCs w:val="24"/>
        </w:rPr>
        <w:t xml:space="preserve"> and Issuer</w:t>
      </w:r>
      <w:r w:rsidRPr="008C0E7B">
        <w:rPr>
          <w:szCs w:val="24"/>
        </w:rPr>
        <w:t xml:space="preserve"> </w:t>
      </w:r>
      <w:r w:rsidR="00B340C7" w:rsidRPr="008C0E7B">
        <w:rPr>
          <w:szCs w:val="24"/>
        </w:rPr>
        <w:t xml:space="preserve">Payments </w:t>
      </w:r>
      <w:r w:rsidRPr="008C0E7B">
        <w:rPr>
          <w:szCs w:val="24"/>
        </w:rPr>
        <w:t>Survey</w:t>
      </w:r>
      <w:r w:rsidR="00750C3E" w:rsidRPr="008C0E7B">
        <w:rPr>
          <w:szCs w:val="24"/>
        </w:rPr>
        <w:t>s</w:t>
      </w:r>
      <w:r w:rsidRPr="008C0E7B">
        <w:rPr>
          <w:szCs w:val="24"/>
        </w:rPr>
        <w:t xml:space="preserve"> (FR </w:t>
      </w:r>
      <w:r w:rsidR="00D2477E" w:rsidRPr="008C0E7B">
        <w:rPr>
          <w:szCs w:val="24"/>
        </w:rPr>
        <w:t>3066</w:t>
      </w:r>
      <w:r w:rsidRPr="008C0E7B">
        <w:rPr>
          <w:szCs w:val="24"/>
        </w:rPr>
        <w:t>b),</w:t>
      </w:r>
    </w:p>
    <w:p w:rsidR="00B46945" w:rsidRPr="008C0E7B" w:rsidRDefault="00B46945" w:rsidP="009C43F9">
      <w:pPr>
        <w:numPr>
          <w:ilvl w:val="0"/>
          <w:numId w:val="7"/>
        </w:numPr>
        <w:tabs>
          <w:tab w:val="left" w:pos="-1440"/>
        </w:tabs>
        <w:ind w:firstLine="0"/>
        <w:mirrorIndents/>
        <w:rPr>
          <w:szCs w:val="24"/>
        </w:rPr>
      </w:pPr>
      <w:r w:rsidRPr="008C0E7B">
        <w:rPr>
          <w:szCs w:val="24"/>
        </w:rPr>
        <w:t>the</w:t>
      </w:r>
      <w:r w:rsidR="004134CD" w:rsidRPr="008C0E7B">
        <w:rPr>
          <w:szCs w:val="24"/>
        </w:rPr>
        <w:t xml:space="preserve"> Check Sample Survey (FR </w:t>
      </w:r>
      <w:r w:rsidR="00D2477E" w:rsidRPr="008C0E7B">
        <w:rPr>
          <w:szCs w:val="24"/>
        </w:rPr>
        <w:t>3066</w:t>
      </w:r>
      <w:r w:rsidR="004134CD" w:rsidRPr="008C0E7B">
        <w:rPr>
          <w:szCs w:val="24"/>
        </w:rPr>
        <w:t>c)</w:t>
      </w:r>
      <w:r w:rsidR="00663E51" w:rsidRPr="008C0E7B">
        <w:rPr>
          <w:szCs w:val="24"/>
        </w:rPr>
        <w:t>, and</w:t>
      </w:r>
    </w:p>
    <w:p w:rsidR="007666EC" w:rsidRPr="008C0E7B" w:rsidRDefault="007666EC" w:rsidP="009C43F9">
      <w:pPr>
        <w:numPr>
          <w:ilvl w:val="0"/>
          <w:numId w:val="7"/>
        </w:numPr>
        <w:tabs>
          <w:tab w:val="left" w:pos="-1440"/>
        </w:tabs>
        <w:ind w:firstLine="0"/>
        <w:mirrorIndents/>
        <w:rPr>
          <w:szCs w:val="24"/>
          <w:lang w:val="es-ES"/>
        </w:rPr>
      </w:pPr>
      <w:r w:rsidRPr="008C0E7B">
        <w:rPr>
          <w:szCs w:val="24"/>
        </w:rPr>
        <w:t xml:space="preserve">the Retail Payments Survey </w:t>
      </w:r>
      <w:r w:rsidR="00E33D89" w:rsidRPr="008C0E7B">
        <w:rPr>
          <w:szCs w:val="24"/>
        </w:rPr>
        <w:t xml:space="preserve">Supplement </w:t>
      </w:r>
      <w:r w:rsidRPr="008C0E7B">
        <w:rPr>
          <w:szCs w:val="24"/>
        </w:rPr>
        <w:t xml:space="preserve">(FR </w:t>
      </w:r>
      <w:r w:rsidR="00D2477E" w:rsidRPr="008C0E7B">
        <w:rPr>
          <w:szCs w:val="24"/>
        </w:rPr>
        <w:t>3066</w:t>
      </w:r>
      <w:r w:rsidR="00B46945" w:rsidRPr="008C0E7B">
        <w:rPr>
          <w:szCs w:val="24"/>
        </w:rPr>
        <w:t>d</w:t>
      </w:r>
      <w:r w:rsidRPr="008C0E7B">
        <w:rPr>
          <w:szCs w:val="24"/>
        </w:rPr>
        <w:t>)</w:t>
      </w:r>
      <w:r w:rsidRPr="008C0E7B">
        <w:rPr>
          <w:szCs w:val="24"/>
          <w:lang w:val="es-ES"/>
        </w:rPr>
        <w:t>.</w:t>
      </w:r>
    </w:p>
    <w:p w:rsidR="007666EC" w:rsidRPr="008C0E7B" w:rsidRDefault="007666EC" w:rsidP="009C43F9">
      <w:pPr>
        <w:pStyle w:val="BodyText"/>
        <w:spacing w:after="0"/>
        <w:mirrorIndents/>
        <w:rPr>
          <w:rFonts w:ascii="Times New Roman" w:hAnsi="Times New Roman"/>
          <w:sz w:val="24"/>
          <w:highlight w:val="yellow"/>
        </w:rPr>
      </w:pPr>
    </w:p>
    <w:p w:rsidR="00B46945" w:rsidRPr="008C0E7B" w:rsidRDefault="00227C2E" w:rsidP="009C43F9">
      <w:pPr>
        <w:pStyle w:val="BodyText"/>
        <w:spacing w:after="0"/>
        <w:ind w:firstLine="720"/>
        <w:mirrorIndents/>
        <w:rPr>
          <w:rFonts w:ascii="Times New Roman" w:hAnsi="Times New Roman"/>
          <w:sz w:val="24"/>
        </w:rPr>
      </w:pPr>
      <w:r w:rsidRPr="008C0E7B">
        <w:rPr>
          <w:rFonts w:ascii="Times New Roman" w:hAnsi="Times New Roman"/>
          <w:sz w:val="24"/>
        </w:rPr>
        <w:t xml:space="preserve">The </w:t>
      </w:r>
      <w:r w:rsidR="00B46945" w:rsidRPr="008C0E7B">
        <w:rPr>
          <w:rFonts w:ascii="Times New Roman" w:hAnsi="Times New Roman"/>
          <w:sz w:val="24"/>
        </w:rPr>
        <w:t xml:space="preserve">FR </w:t>
      </w:r>
      <w:r w:rsidR="00D2477E" w:rsidRPr="008C0E7B">
        <w:rPr>
          <w:rFonts w:ascii="Times New Roman" w:hAnsi="Times New Roman"/>
          <w:sz w:val="24"/>
        </w:rPr>
        <w:t>3066</w:t>
      </w:r>
      <w:r w:rsidR="00B46945" w:rsidRPr="008C0E7B">
        <w:rPr>
          <w:rFonts w:ascii="Times New Roman" w:hAnsi="Times New Roman"/>
          <w:sz w:val="24"/>
        </w:rPr>
        <w:t xml:space="preserve">a, </w:t>
      </w:r>
      <w:r w:rsidR="003D1D31" w:rsidRPr="008C0E7B">
        <w:rPr>
          <w:rFonts w:ascii="Times New Roman" w:hAnsi="Times New Roman"/>
          <w:sz w:val="24"/>
        </w:rPr>
        <w:t xml:space="preserve">FR </w:t>
      </w:r>
      <w:r w:rsidR="00D2477E" w:rsidRPr="008C0E7B">
        <w:rPr>
          <w:rFonts w:ascii="Times New Roman" w:hAnsi="Times New Roman"/>
          <w:sz w:val="24"/>
        </w:rPr>
        <w:t>3066</w:t>
      </w:r>
      <w:r w:rsidR="003D1D31" w:rsidRPr="008C0E7B">
        <w:rPr>
          <w:rFonts w:ascii="Times New Roman" w:hAnsi="Times New Roman"/>
          <w:sz w:val="24"/>
        </w:rPr>
        <w:t>b</w:t>
      </w:r>
      <w:r w:rsidR="00B46945" w:rsidRPr="008C0E7B">
        <w:rPr>
          <w:rFonts w:ascii="Times New Roman" w:hAnsi="Times New Roman"/>
          <w:sz w:val="24"/>
        </w:rPr>
        <w:t xml:space="preserve">, and FR </w:t>
      </w:r>
      <w:r w:rsidR="00D2477E" w:rsidRPr="008C0E7B">
        <w:rPr>
          <w:rFonts w:ascii="Times New Roman" w:hAnsi="Times New Roman"/>
          <w:sz w:val="24"/>
        </w:rPr>
        <w:t>3066</w:t>
      </w:r>
      <w:r w:rsidR="00B46945" w:rsidRPr="008C0E7B">
        <w:rPr>
          <w:rFonts w:ascii="Times New Roman" w:hAnsi="Times New Roman"/>
          <w:sz w:val="24"/>
        </w:rPr>
        <w:t xml:space="preserve">c </w:t>
      </w:r>
      <w:r w:rsidR="008409AC" w:rsidRPr="008C0E7B">
        <w:rPr>
          <w:rFonts w:ascii="Times New Roman" w:hAnsi="Times New Roman"/>
          <w:sz w:val="24"/>
        </w:rPr>
        <w:t>would be</w:t>
      </w:r>
      <w:r w:rsidR="003D1D31" w:rsidRPr="008C0E7B">
        <w:rPr>
          <w:rFonts w:ascii="Times New Roman" w:hAnsi="Times New Roman"/>
          <w:sz w:val="24"/>
        </w:rPr>
        <w:t xml:space="preserve"> triennial surveys.  </w:t>
      </w:r>
      <w:r w:rsidR="00B46945" w:rsidRPr="008C0E7B">
        <w:rPr>
          <w:rFonts w:ascii="Times New Roman" w:hAnsi="Times New Roman"/>
          <w:sz w:val="24"/>
        </w:rPr>
        <w:t xml:space="preserve">The FR </w:t>
      </w:r>
      <w:r w:rsidR="00D2477E" w:rsidRPr="008C0E7B">
        <w:rPr>
          <w:rFonts w:ascii="Times New Roman" w:hAnsi="Times New Roman"/>
          <w:sz w:val="24"/>
        </w:rPr>
        <w:t>3066</w:t>
      </w:r>
      <w:r w:rsidR="00B46945" w:rsidRPr="008C0E7B">
        <w:rPr>
          <w:rFonts w:ascii="Times New Roman" w:hAnsi="Times New Roman"/>
          <w:sz w:val="24"/>
        </w:rPr>
        <w:t xml:space="preserve">d </w:t>
      </w:r>
      <w:r w:rsidR="008409AC" w:rsidRPr="008C0E7B">
        <w:rPr>
          <w:rFonts w:ascii="Times New Roman" w:hAnsi="Times New Roman"/>
          <w:sz w:val="24"/>
        </w:rPr>
        <w:t>would be</w:t>
      </w:r>
      <w:r w:rsidR="00B46945" w:rsidRPr="008C0E7B">
        <w:rPr>
          <w:rFonts w:ascii="Times New Roman" w:hAnsi="Times New Roman"/>
          <w:sz w:val="24"/>
        </w:rPr>
        <w:t xml:space="preserve"> conducted annually or on </w:t>
      </w:r>
      <w:r w:rsidR="008409AC" w:rsidRPr="008C0E7B">
        <w:rPr>
          <w:rFonts w:ascii="Times New Roman" w:hAnsi="Times New Roman"/>
          <w:sz w:val="24"/>
        </w:rPr>
        <w:t>occasion</w:t>
      </w:r>
      <w:r w:rsidR="003D1D31" w:rsidRPr="008C0E7B">
        <w:rPr>
          <w:rFonts w:ascii="Times New Roman" w:hAnsi="Times New Roman"/>
          <w:sz w:val="24"/>
        </w:rPr>
        <w:t xml:space="preserve">.  </w:t>
      </w:r>
      <w:r w:rsidR="00A03FB9" w:rsidRPr="008C0E7B">
        <w:rPr>
          <w:rFonts w:ascii="Times New Roman" w:hAnsi="Times New Roman"/>
          <w:sz w:val="24"/>
        </w:rPr>
        <w:t xml:space="preserve">These surveys would be designed to collect information </w:t>
      </w:r>
      <w:r w:rsidR="004710D6" w:rsidRPr="008C0E7B">
        <w:rPr>
          <w:rFonts w:ascii="Times New Roman" w:hAnsi="Times New Roman"/>
          <w:sz w:val="24"/>
        </w:rPr>
        <w:t>needed to support</w:t>
      </w:r>
      <w:r w:rsidR="005A3157" w:rsidRPr="008C0E7B">
        <w:rPr>
          <w:rFonts w:ascii="Times New Roman" w:hAnsi="Times New Roman"/>
          <w:sz w:val="24"/>
        </w:rPr>
        <w:t xml:space="preserve"> </w:t>
      </w:r>
      <w:r w:rsidRPr="008C0E7B">
        <w:rPr>
          <w:rFonts w:ascii="Times New Roman" w:hAnsi="Times New Roman"/>
          <w:sz w:val="24"/>
        </w:rPr>
        <w:t xml:space="preserve">the </w:t>
      </w:r>
      <w:r w:rsidR="005A3157" w:rsidRPr="008C0E7B">
        <w:rPr>
          <w:rFonts w:ascii="Times New Roman" w:hAnsi="Times New Roman"/>
          <w:sz w:val="24"/>
        </w:rPr>
        <w:t>Federal Reserve System</w:t>
      </w:r>
      <w:r w:rsidRPr="008C0E7B">
        <w:rPr>
          <w:rFonts w:ascii="Times New Roman" w:hAnsi="Times New Roman"/>
          <w:sz w:val="24"/>
        </w:rPr>
        <w:t>’s</w:t>
      </w:r>
      <w:r w:rsidR="00A03FB9" w:rsidRPr="008C0E7B">
        <w:rPr>
          <w:rFonts w:ascii="Times New Roman" w:hAnsi="Times New Roman"/>
          <w:sz w:val="24"/>
        </w:rPr>
        <w:t xml:space="preserve"> </w:t>
      </w:r>
      <w:r w:rsidR="005A3157" w:rsidRPr="008C0E7B">
        <w:rPr>
          <w:rFonts w:ascii="Times New Roman" w:hAnsi="Times New Roman"/>
          <w:sz w:val="24"/>
        </w:rPr>
        <w:t xml:space="preserve">(FRS) </w:t>
      </w:r>
      <w:r w:rsidR="0023336F" w:rsidRPr="008C0E7B">
        <w:rPr>
          <w:rFonts w:ascii="Times New Roman" w:hAnsi="Times New Roman"/>
          <w:sz w:val="24"/>
        </w:rPr>
        <w:t>role in</w:t>
      </w:r>
      <w:r w:rsidR="00A03FB9" w:rsidRPr="008C0E7B">
        <w:rPr>
          <w:rFonts w:ascii="Times New Roman" w:hAnsi="Times New Roman"/>
          <w:sz w:val="24"/>
        </w:rPr>
        <w:t xml:space="preserve"> the re</w:t>
      </w:r>
      <w:r w:rsidR="009970B3" w:rsidRPr="008C0E7B">
        <w:rPr>
          <w:rFonts w:ascii="Times New Roman" w:hAnsi="Times New Roman"/>
          <w:sz w:val="24"/>
        </w:rPr>
        <w:t>tail payments system</w:t>
      </w:r>
      <w:r w:rsidR="005A3157" w:rsidRPr="008C0E7B">
        <w:rPr>
          <w:rFonts w:ascii="Times New Roman" w:hAnsi="Times New Roman"/>
          <w:sz w:val="24"/>
        </w:rPr>
        <w:t>.</w:t>
      </w:r>
      <w:r w:rsidR="008E51E8" w:rsidRPr="008C0E7B">
        <w:rPr>
          <w:rStyle w:val="FootnoteReference"/>
          <w:rFonts w:ascii="Times New Roman" w:hAnsi="Times New Roman"/>
          <w:sz w:val="24"/>
        </w:rPr>
        <w:footnoteReference w:id="1"/>
      </w:r>
      <w:r w:rsidR="005A3157" w:rsidRPr="008C0E7B">
        <w:rPr>
          <w:rFonts w:ascii="Times New Roman" w:hAnsi="Times New Roman"/>
          <w:sz w:val="24"/>
        </w:rPr>
        <w:t xml:space="preserve"> </w:t>
      </w:r>
    </w:p>
    <w:p w:rsidR="00B46945" w:rsidRPr="008C0E7B" w:rsidRDefault="00B46945" w:rsidP="009C43F9">
      <w:pPr>
        <w:pStyle w:val="BodyText"/>
        <w:spacing w:after="0"/>
        <w:ind w:firstLine="720"/>
        <w:mirrorIndents/>
        <w:rPr>
          <w:rFonts w:ascii="Times New Roman" w:hAnsi="Times New Roman"/>
          <w:sz w:val="24"/>
        </w:rPr>
      </w:pPr>
    </w:p>
    <w:p w:rsidR="00BA37C4" w:rsidRPr="008C0E7B" w:rsidRDefault="00F26C9D" w:rsidP="009C43F9">
      <w:pPr>
        <w:pStyle w:val="BodyText"/>
        <w:spacing w:after="0"/>
        <w:ind w:firstLine="720"/>
        <w:mirrorIndents/>
        <w:rPr>
          <w:rFonts w:ascii="Times New Roman" w:hAnsi="Times New Roman"/>
          <w:sz w:val="24"/>
        </w:rPr>
      </w:pPr>
      <w:r w:rsidRPr="008C0E7B">
        <w:rPr>
          <w:rFonts w:ascii="Times New Roman" w:hAnsi="Times New Roman"/>
          <w:sz w:val="24"/>
        </w:rPr>
        <w:t xml:space="preserve">The </w:t>
      </w:r>
      <w:r w:rsidR="00B46945" w:rsidRPr="008C0E7B">
        <w:rPr>
          <w:rFonts w:ascii="Times New Roman" w:hAnsi="Times New Roman"/>
          <w:sz w:val="24"/>
        </w:rPr>
        <w:t xml:space="preserve">Board </w:t>
      </w:r>
      <w:r w:rsidR="00D2477E" w:rsidRPr="008C0E7B">
        <w:rPr>
          <w:rFonts w:ascii="Times New Roman" w:hAnsi="Times New Roman"/>
          <w:sz w:val="24"/>
        </w:rPr>
        <w:t xml:space="preserve">proposes </w:t>
      </w:r>
      <w:r w:rsidR="00B46945" w:rsidRPr="008C0E7B">
        <w:rPr>
          <w:rFonts w:ascii="Times New Roman" w:hAnsi="Times New Roman"/>
          <w:sz w:val="24"/>
        </w:rPr>
        <w:t xml:space="preserve">to conduct these surveys in partnership with the Reserve </w:t>
      </w:r>
      <w:r w:rsidR="007A5AE7" w:rsidRPr="008C0E7B">
        <w:rPr>
          <w:rFonts w:ascii="Times New Roman" w:hAnsi="Times New Roman"/>
          <w:sz w:val="24"/>
        </w:rPr>
        <w:t xml:space="preserve">Banks’ </w:t>
      </w:r>
      <w:r w:rsidR="00B46945" w:rsidRPr="008C0E7B">
        <w:rPr>
          <w:rFonts w:ascii="Times New Roman" w:hAnsi="Times New Roman"/>
          <w:sz w:val="24"/>
        </w:rPr>
        <w:t>Retail Payment Office (RPO)</w:t>
      </w:r>
      <w:r w:rsidR="007A5AE7" w:rsidRPr="008C0E7B">
        <w:rPr>
          <w:rFonts w:ascii="Times New Roman" w:hAnsi="Times New Roman"/>
          <w:sz w:val="24"/>
        </w:rPr>
        <w:t>, operated by</w:t>
      </w:r>
      <w:r w:rsidR="00935758" w:rsidRPr="008C0E7B">
        <w:rPr>
          <w:rFonts w:ascii="Times New Roman" w:hAnsi="Times New Roman"/>
          <w:sz w:val="24"/>
        </w:rPr>
        <w:t xml:space="preserve"> the </w:t>
      </w:r>
      <w:r w:rsidR="00B46945" w:rsidRPr="008C0E7B">
        <w:rPr>
          <w:rFonts w:ascii="Times New Roman" w:hAnsi="Times New Roman"/>
          <w:sz w:val="24"/>
        </w:rPr>
        <w:t xml:space="preserve">Reserve Bank of Atlanta.  These surveys would </w:t>
      </w:r>
      <w:r w:rsidR="00E35B62" w:rsidRPr="008C0E7B">
        <w:rPr>
          <w:rFonts w:ascii="Times New Roman" w:hAnsi="Times New Roman"/>
          <w:sz w:val="24"/>
        </w:rPr>
        <w:t>be the latest iteration in</w:t>
      </w:r>
      <w:r w:rsidR="00FE12BD" w:rsidRPr="008C0E7B">
        <w:rPr>
          <w:rFonts w:ascii="Times New Roman" w:hAnsi="Times New Roman"/>
          <w:sz w:val="24"/>
        </w:rPr>
        <w:t xml:space="preserve"> </w:t>
      </w:r>
      <w:r w:rsidR="00E35B62" w:rsidRPr="008C0E7B">
        <w:rPr>
          <w:rFonts w:ascii="Times New Roman" w:hAnsi="Times New Roman"/>
          <w:sz w:val="24"/>
        </w:rPr>
        <w:t xml:space="preserve">a </w:t>
      </w:r>
      <w:r w:rsidR="00B46945" w:rsidRPr="008C0E7B">
        <w:rPr>
          <w:rFonts w:ascii="Times New Roman" w:hAnsi="Times New Roman"/>
          <w:sz w:val="24"/>
        </w:rPr>
        <w:t>series of surveys</w:t>
      </w:r>
      <w:r w:rsidR="007A590A" w:rsidRPr="008C0E7B">
        <w:rPr>
          <w:rFonts w:ascii="Times New Roman" w:hAnsi="Times New Roman"/>
          <w:sz w:val="24"/>
        </w:rPr>
        <w:t xml:space="preserve"> of depository institutions, payments networks, processors, and issuers</w:t>
      </w:r>
      <w:r w:rsidR="00B46945" w:rsidRPr="008C0E7B">
        <w:rPr>
          <w:rFonts w:ascii="Times New Roman" w:hAnsi="Times New Roman"/>
          <w:sz w:val="24"/>
        </w:rPr>
        <w:t>, collectively called the Federal Reserve Payment</w:t>
      </w:r>
      <w:r w:rsidR="00710FBE" w:rsidRPr="008C0E7B">
        <w:rPr>
          <w:rFonts w:ascii="Times New Roman" w:hAnsi="Times New Roman"/>
          <w:sz w:val="24"/>
        </w:rPr>
        <w:t>s</w:t>
      </w:r>
      <w:r w:rsidR="00B46945" w:rsidRPr="008C0E7B">
        <w:rPr>
          <w:rFonts w:ascii="Times New Roman" w:hAnsi="Times New Roman"/>
          <w:sz w:val="24"/>
        </w:rPr>
        <w:t xml:space="preserve"> Study (FRPS)</w:t>
      </w:r>
      <w:r w:rsidR="00D01F95" w:rsidRPr="008C0E7B">
        <w:rPr>
          <w:rFonts w:ascii="Times New Roman" w:hAnsi="Times New Roman"/>
          <w:sz w:val="24"/>
        </w:rPr>
        <w:t xml:space="preserve"> that</w:t>
      </w:r>
      <w:r w:rsidR="005649BB" w:rsidRPr="008C0E7B">
        <w:rPr>
          <w:rFonts w:ascii="Times New Roman" w:hAnsi="Times New Roman"/>
          <w:sz w:val="24"/>
        </w:rPr>
        <w:t xml:space="preserve"> </w:t>
      </w:r>
      <w:r w:rsidR="00D01F95" w:rsidRPr="008C0E7B">
        <w:rPr>
          <w:rFonts w:ascii="Times New Roman" w:hAnsi="Times New Roman"/>
          <w:sz w:val="24"/>
        </w:rPr>
        <w:t>were</w:t>
      </w:r>
      <w:r w:rsidR="00B46945" w:rsidRPr="008C0E7B">
        <w:rPr>
          <w:rFonts w:ascii="Times New Roman" w:hAnsi="Times New Roman"/>
          <w:sz w:val="24"/>
        </w:rPr>
        <w:t xml:space="preserve"> conducted </w:t>
      </w:r>
      <w:r w:rsidR="00E35B62" w:rsidRPr="008C0E7B">
        <w:rPr>
          <w:rFonts w:ascii="Times New Roman" w:hAnsi="Times New Roman"/>
          <w:sz w:val="24"/>
        </w:rPr>
        <w:t xml:space="preserve">at 3-year intervals </w:t>
      </w:r>
      <w:r w:rsidR="00B46945" w:rsidRPr="008C0E7B">
        <w:rPr>
          <w:rFonts w:ascii="Times New Roman" w:hAnsi="Times New Roman"/>
          <w:sz w:val="24"/>
        </w:rPr>
        <w:t xml:space="preserve">by </w:t>
      </w:r>
      <w:r w:rsidR="00C217B1" w:rsidRPr="008C0E7B">
        <w:rPr>
          <w:rFonts w:ascii="Times New Roman" w:hAnsi="Times New Roman"/>
          <w:sz w:val="24"/>
        </w:rPr>
        <w:t xml:space="preserve">the </w:t>
      </w:r>
      <w:r w:rsidR="00B46945" w:rsidRPr="008C0E7B">
        <w:rPr>
          <w:rFonts w:ascii="Times New Roman" w:hAnsi="Times New Roman"/>
          <w:sz w:val="24"/>
        </w:rPr>
        <w:t>RPO from 2001 to 2010.</w:t>
      </w:r>
      <w:bookmarkStart w:id="0" w:name="_Ref326164653"/>
      <w:r w:rsidR="00B46945" w:rsidRPr="008C0E7B">
        <w:rPr>
          <w:rStyle w:val="FootnoteReference"/>
          <w:rFonts w:ascii="Times New Roman" w:hAnsi="Times New Roman"/>
          <w:sz w:val="24"/>
        </w:rPr>
        <w:footnoteReference w:id="2"/>
      </w:r>
      <w:bookmarkEnd w:id="0"/>
      <w:r w:rsidR="00636056" w:rsidRPr="008C0E7B">
        <w:rPr>
          <w:rFonts w:ascii="Times New Roman" w:hAnsi="Times New Roman"/>
          <w:sz w:val="24"/>
        </w:rPr>
        <w:t xml:space="preserve"> </w:t>
      </w:r>
    </w:p>
    <w:p w:rsidR="00831FEB" w:rsidRPr="008C0E7B" w:rsidRDefault="00636056" w:rsidP="009C43F9">
      <w:pPr>
        <w:pStyle w:val="BodyText"/>
        <w:spacing w:after="0"/>
        <w:ind w:firstLine="720"/>
        <w:mirrorIndents/>
        <w:rPr>
          <w:rFonts w:ascii="Times New Roman" w:hAnsi="Times New Roman"/>
          <w:sz w:val="24"/>
        </w:rPr>
      </w:pPr>
      <w:r w:rsidRPr="008C0E7B">
        <w:rPr>
          <w:rFonts w:ascii="Times New Roman" w:hAnsi="Times New Roman"/>
          <w:sz w:val="24"/>
        </w:rPr>
        <w:t xml:space="preserve"> </w:t>
      </w:r>
    </w:p>
    <w:p w:rsidR="00831FEB" w:rsidRPr="008C0E7B" w:rsidRDefault="00831FEB" w:rsidP="009C43F9">
      <w:pPr>
        <w:pStyle w:val="BodyText"/>
        <w:spacing w:after="0"/>
        <w:ind w:firstLine="720"/>
        <w:mirrorIndents/>
        <w:rPr>
          <w:rFonts w:ascii="Times New Roman" w:hAnsi="Times New Roman"/>
          <w:sz w:val="24"/>
        </w:rPr>
      </w:pPr>
      <w:r w:rsidRPr="008C0E7B">
        <w:rPr>
          <w:rFonts w:ascii="Times New Roman" w:hAnsi="Times New Roman"/>
          <w:sz w:val="24"/>
        </w:rPr>
        <w:t xml:space="preserve">The FR </w:t>
      </w:r>
      <w:r w:rsidR="00D2477E" w:rsidRPr="008C0E7B">
        <w:rPr>
          <w:rFonts w:ascii="Times New Roman" w:hAnsi="Times New Roman"/>
          <w:sz w:val="24"/>
        </w:rPr>
        <w:t>3066</w:t>
      </w:r>
      <w:r w:rsidRPr="008C0E7B">
        <w:rPr>
          <w:rFonts w:ascii="Times New Roman" w:hAnsi="Times New Roman"/>
          <w:sz w:val="24"/>
        </w:rPr>
        <w:t xml:space="preserve">a and the FR </w:t>
      </w:r>
      <w:r w:rsidR="00D2477E" w:rsidRPr="008C0E7B">
        <w:rPr>
          <w:rFonts w:ascii="Times New Roman" w:hAnsi="Times New Roman"/>
          <w:sz w:val="24"/>
        </w:rPr>
        <w:t>3066</w:t>
      </w:r>
      <w:r w:rsidRPr="008C0E7B">
        <w:rPr>
          <w:rFonts w:ascii="Times New Roman" w:hAnsi="Times New Roman"/>
          <w:sz w:val="24"/>
        </w:rPr>
        <w:t>b would collect information</w:t>
      </w:r>
      <w:r w:rsidR="007A590A" w:rsidRPr="008C0E7B">
        <w:rPr>
          <w:rFonts w:ascii="Times New Roman" w:hAnsi="Times New Roman"/>
          <w:sz w:val="24"/>
        </w:rPr>
        <w:t xml:space="preserve"> </w:t>
      </w:r>
      <w:r w:rsidRPr="008C0E7B">
        <w:rPr>
          <w:rFonts w:ascii="Times New Roman" w:hAnsi="Times New Roman"/>
          <w:sz w:val="24"/>
        </w:rPr>
        <w:t>on the national volume (number and value) of major categories and subcategories of established and emerging methods of noncash payment</w:t>
      </w:r>
      <w:r w:rsidR="007A590A" w:rsidRPr="008C0E7B">
        <w:rPr>
          <w:rFonts w:ascii="Times New Roman" w:hAnsi="Times New Roman"/>
          <w:sz w:val="24"/>
        </w:rPr>
        <w:t xml:space="preserve"> from a nationally representative, stratified random sample of depository institutions, and from a census of payments networks, processors, and issuers</w:t>
      </w:r>
      <w:r w:rsidRPr="008C0E7B">
        <w:rPr>
          <w:rFonts w:ascii="Times New Roman" w:hAnsi="Times New Roman"/>
          <w:sz w:val="24"/>
        </w:rPr>
        <w:t xml:space="preserve">.  These two surveys would also collect information on trends in different business arrangements and technologies connected with </w:t>
      </w:r>
      <w:r w:rsidR="00056329" w:rsidRPr="008C0E7B">
        <w:rPr>
          <w:rFonts w:ascii="Times New Roman" w:hAnsi="Times New Roman"/>
          <w:sz w:val="24"/>
        </w:rPr>
        <w:t>the initiation</w:t>
      </w:r>
      <w:r w:rsidRPr="008C0E7B">
        <w:rPr>
          <w:rFonts w:ascii="Times New Roman" w:hAnsi="Times New Roman"/>
          <w:sz w:val="24"/>
        </w:rPr>
        <w:t xml:space="preserve">, </w:t>
      </w:r>
      <w:r w:rsidR="00056329" w:rsidRPr="008C0E7B">
        <w:rPr>
          <w:rFonts w:ascii="Times New Roman" w:hAnsi="Times New Roman"/>
          <w:sz w:val="24"/>
        </w:rPr>
        <w:t>authorization</w:t>
      </w:r>
      <w:r w:rsidRPr="008C0E7B">
        <w:rPr>
          <w:rFonts w:ascii="Times New Roman" w:hAnsi="Times New Roman"/>
          <w:sz w:val="24"/>
        </w:rPr>
        <w:t xml:space="preserve">, </w:t>
      </w:r>
      <w:r w:rsidR="00056329" w:rsidRPr="008C0E7B">
        <w:rPr>
          <w:rFonts w:ascii="Times New Roman" w:hAnsi="Times New Roman"/>
          <w:sz w:val="24"/>
        </w:rPr>
        <w:t>collection</w:t>
      </w:r>
      <w:r w:rsidRPr="008C0E7B">
        <w:rPr>
          <w:rFonts w:ascii="Times New Roman" w:hAnsi="Times New Roman"/>
          <w:sz w:val="24"/>
        </w:rPr>
        <w:t xml:space="preserve">, and processing </w:t>
      </w:r>
      <w:r w:rsidR="00056329" w:rsidRPr="008C0E7B">
        <w:rPr>
          <w:rFonts w:ascii="Times New Roman" w:hAnsi="Times New Roman"/>
          <w:sz w:val="24"/>
        </w:rPr>
        <w:t xml:space="preserve">of </w:t>
      </w:r>
      <w:r w:rsidR="00B15D02" w:rsidRPr="008C0E7B">
        <w:rPr>
          <w:rFonts w:ascii="Times New Roman" w:hAnsi="Times New Roman"/>
          <w:sz w:val="24"/>
        </w:rPr>
        <w:t xml:space="preserve">retail </w:t>
      </w:r>
      <w:r w:rsidRPr="008C0E7B">
        <w:rPr>
          <w:rFonts w:ascii="Times New Roman" w:hAnsi="Times New Roman"/>
          <w:sz w:val="24"/>
        </w:rPr>
        <w:t>payments.</w:t>
      </w:r>
      <w:r w:rsidR="005649BB" w:rsidRPr="008C0E7B">
        <w:rPr>
          <w:rFonts w:ascii="Times New Roman" w:hAnsi="Times New Roman"/>
          <w:sz w:val="24"/>
        </w:rPr>
        <w:t xml:space="preserve">  </w:t>
      </w:r>
      <w:r w:rsidR="00163E62" w:rsidRPr="008C0E7B">
        <w:rPr>
          <w:rFonts w:ascii="Times New Roman" w:hAnsi="Times New Roman"/>
          <w:sz w:val="24"/>
        </w:rPr>
        <w:t>In addition, t</w:t>
      </w:r>
      <w:r w:rsidRPr="008C0E7B">
        <w:rPr>
          <w:rFonts w:ascii="Times New Roman" w:hAnsi="Times New Roman"/>
          <w:sz w:val="24"/>
        </w:rPr>
        <w:t xml:space="preserve">he FR </w:t>
      </w:r>
      <w:r w:rsidR="00D2477E" w:rsidRPr="008C0E7B">
        <w:rPr>
          <w:rFonts w:ascii="Times New Roman" w:hAnsi="Times New Roman"/>
          <w:sz w:val="24"/>
        </w:rPr>
        <w:t>3066</w:t>
      </w:r>
      <w:r w:rsidRPr="008C0E7B">
        <w:rPr>
          <w:rFonts w:ascii="Times New Roman" w:hAnsi="Times New Roman"/>
          <w:sz w:val="24"/>
        </w:rPr>
        <w:t xml:space="preserve">a would collect </w:t>
      </w:r>
      <w:r w:rsidR="006027FC" w:rsidRPr="008C0E7B">
        <w:rPr>
          <w:rFonts w:ascii="Times New Roman" w:hAnsi="Times New Roman"/>
          <w:sz w:val="24"/>
        </w:rPr>
        <w:t xml:space="preserve">the volumes of </w:t>
      </w:r>
      <w:r w:rsidRPr="008C0E7B">
        <w:rPr>
          <w:rFonts w:ascii="Times New Roman" w:hAnsi="Times New Roman"/>
          <w:sz w:val="24"/>
        </w:rPr>
        <w:t>bank customers</w:t>
      </w:r>
      <w:r w:rsidR="006027FC" w:rsidRPr="008C0E7B">
        <w:rPr>
          <w:rFonts w:ascii="Times New Roman" w:hAnsi="Times New Roman"/>
          <w:sz w:val="24"/>
        </w:rPr>
        <w:t>’</w:t>
      </w:r>
      <w:r w:rsidRPr="008C0E7B">
        <w:rPr>
          <w:rFonts w:ascii="Times New Roman" w:hAnsi="Times New Roman"/>
          <w:sz w:val="24"/>
        </w:rPr>
        <w:t xml:space="preserve"> cash withdrawal</w:t>
      </w:r>
      <w:r w:rsidR="006027FC" w:rsidRPr="008C0E7B">
        <w:rPr>
          <w:rFonts w:ascii="Times New Roman" w:hAnsi="Times New Roman"/>
          <w:sz w:val="24"/>
        </w:rPr>
        <w:t>s</w:t>
      </w:r>
      <w:r w:rsidRPr="008C0E7B">
        <w:rPr>
          <w:rFonts w:ascii="Times New Roman" w:hAnsi="Times New Roman"/>
          <w:sz w:val="24"/>
        </w:rPr>
        <w:t xml:space="preserve"> and deposit</w:t>
      </w:r>
      <w:r w:rsidR="006027FC" w:rsidRPr="008C0E7B">
        <w:rPr>
          <w:rFonts w:ascii="Times New Roman" w:hAnsi="Times New Roman"/>
          <w:sz w:val="24"/>
        </w:rPr>
        <w:t>s</w:t>
      </w:r>
      <w:r w:rsidRPr="008C0E7B">
        <w:rPr>
          <w:rFonts w:ascii="Times New Roman" w:hAnsi="Times New Roman"/>
          <w:sz w:val="24"/>
        </w:rPr>
        <w:t xml:space="preserve"> </w:t>
      </w:r>
      <w:r w:rsidR="006027FC" w:rsidRPr="008C0E7B">
        <w:rPr>
          <w:rFonts w:ascii="Times New Roman" w:hAnsi="Times New Roman"/>
          <w:sz w:val="24"/>
        </w:rPr>
        <w:t xml:space="preserve">at </w:t>
      </w:r>
      <w:r w:rsidRPr="008C0E7B">
        <w:rPr>
          <w:rFonts w:ascii="Times New Roman" w:hAnsi="Times New Roman"/>
          <w:sz w:val="24"/>
        </w:rPr>
        <w:t xml:space="preserve">retail branches, wholesale vaults, </w:t>
      </w:r>
      <w:r w:rsidR="002B301D" w:rsidRPr="008C0E7B">
        <w:rPr>
          <w:rFonts w:ascii="Times New Roman" w:hAnsi="Times New Roman"/>
          <w:sz w:val="24"/>
        </w:rPr>
        <w:t xml:space="preserve">and </w:t>
      </w:r>
      <w:r w:rsidR="00E77081" w:rsidRPr="008C0E7B">
        <w:rPr>
          <w:rFonts w:ascii="Times New Roman" w:hAnsi="Times New Roman"/>
          <w:sz w:val="24"/>
        </w:rPr>
        <w:t>Automated Teller Machines (</w:t>
      </w:r>
      <w:r w:rsidR="002B301D" w:rsidRPr="008C0E7B">
        <w:rPr>
          <w:rFonts w:ascii="Times New Roman" w:hAnsi="Times New Roman"/>
          <w:sz w:val="24"/>
        </w:rPr>
        <w:t>ATM</w:t>
      </w:r>
      <w:r w:rsidR="00E77081" w:rsidRPr="008C0E7B">
        <w:rPr>
          <w:rFonts w:ascii="Times New Roman" w:hAnsi="Times New Roman"/>
          <w:sz w:val="24"/>
        </w:rPr>
        <w:t>s)</w:t>
      </w:r>
      <w:r w:rsidR="002B301D" w:rsidRPr="008C0E7B">
        <w:rPr>
          <w:rFonts w:ascii="Times New Roman" w:hAnsi="Times New Roman"/>
          <w:sz w:val="24"/>
        </w:rPr>
        <w:t xml:space="preserve">, </w:t>
      </w:r>
      <w:r w:rsidRPr="008C0E7B">
        <w:rPr>
          <w:rFonts w:ascii="Times New Roman" w:hAnsi="Times New Roman"/>
          <w:sz w:val="24"/>
        </w:rPr>
        <w:t xml:space="preserve">and </w:t>
      </w:r>
      <w:r w:rsidR="002B301D" w:rsidRPr="008C0E7B">
        <w:rPr>
          <w:rFonts w:ascii="Times New Roman" w:hAnsi="Times New Roman"/>
          <w:sz w:val="24"/>
        </w:rPr>
        <w:t xml:space="preserve">the </w:t>
      </w:r>
      <w:r w:rsidRPr="008C0E7B">
        <w:rPr>
          <w:rFonts w:ascii="Times New Roman" w:hAnsi="Times New Roman"/>
          <w:sz w:val="24"/>
        </w:rPr>
        <w:t xml:space="preserve">FR </w:t>
      </w:r>
      <w:r w:rsidR="00D2477E" w:rsidRPr="008C0E7B">
        <w:rPr>
          <w:rFonts w:ascii="Times New Roman" w:hAnsi="Times New Roman"/>
          <w:sz w:val="24"/>
        </w:rPr>
        <w:t>3066</w:t>
      </w:r>
      <w:r w:rsidRPr="008C0E7B">
        <w:rPr>
          <w:rFonts w:ascii="Times New Roman" w:hAnsi="Times New Roman"/>
          <w:sz w:val="24"/>
        </w:rPr>
        <w:t xml:space="preserve">b would collect information on cash substitution, such as the </w:t>
      </w:r>
      <w:r w:rsidRPr="008C0E7B">
        <w:rPr>
          <w:rFonts w:ascii="Times New Roman" w:hAnsi="Times New Roman"/>
          <w:sz w:val="24"/>
        </w:rPr>
        <w:lastRenderedPageBreak/>
        <w:t xml:space="preserve">distribution of low-value purchases made with noncash instruments and the loading of cash onto </w:t>
      </w:r>
      <w:r w:rsidR="006027FC" w:rsidRPr="008C0E7B">
        <w:rPr>
          <w:rFonts w:ascii="Times New Roman" w:hAnsi="Times New Roman"/>
          <w:sz w:val="24"/>
        </w:rPr>
        <w:t>other payment instruments</w:t>
      </w:r>
      <w:r w:rsidRPr="008C0E7B">
        <w:rPr>
          <w:rFonts w:ascii="Times New Roman" w:hAnsi="Times New Roman"/>
          <w:sz w:val="24"/>
        </w:rPr>
        <w:t xml:space="preserve">. </w:t>
      </w:r>
    </w:p>
    <w:p w:rsidR="00831FEB" w:rsidRPr="008C0E7B" w:rsidRDefault="00831FEB" w:rsidP="009C43F9">
      <w:pPr>
        <w:pStyle w:val="BodyText"/>
        <w:spacing w:after="0"/>
        <w:mirrorIndents/>
        <w:rPr>
          <w:rFonts w:ascii="Times New Roman" w:hAnsi="Times New Roman"/>
          <w:sz w:val="24"/>
        </w:rPr>
      </w:pPr>
    </w:p>
    <w:p w:rsidR="00831FEB" w:rsidRPr="008C0E7B" w:rsidRDefault="007A590A" w:rsidP="009C43F9">
      <w:pPr>
        <w:pStyle w:val="BodyText"/>
        <w:spacing w:after="0"/>
        <w:ind w:firstLine="720"/>
        <w:mirrorIndents/>
        <w:rPr>
          <w:rFonts w:ascii="Times New Roman" w:hAnsi="Times New Roman"/>
          <w:sz w:val="24"/>
        </w:rPr>
      </w:pPr>
      <w:r w:rsidRPr="008C0E7B">
        <w:rPr>
          <w:rFonts w:ascii="Times New Roman" w:hAnsi="Times New Roman"/>
          <w:sz w:val="24"/>
        </w:rPr>
        <w:t xml:space="preserve">The </w:t>
      </w:r>
      <w:r w:rsidR="00831FEB" w:rsidRPr="008C0E7B">
        <w:rPr>
          <w:rFonts w:ascii="Times New Roman" w:hAnsi="Times New Roman"/>
          <w:sz w:val="24"/>
        </w:rPr>
        <w:t xml:space="preserve">FR </w:t>
      </w:r>
      <w:r w:rsidR="00D2477E" w:rsidRPr="008C0E7B">
        <w:rPr>
          <w:rFonts w:ascii="Times New Roman" w:hAnsi="Times New Roman"/>
          <w:sz w:val="24"/>
        </w:rPr>
        <w:t>3066</w:t>
      </w:r>
      <w:r w:rsidR="00831FEB" w:rsidRPr="008C0E7B">
        <w:rPr>
          <w:rFonts w:ascii="Times New Roman" w:hAnsi="Times New Roman"/>
          <w:sz w:val="24"/>
        </w:rPr>
        <w:t>c would collect data from samples of individual checks obtained from a sample of depository institutions.</w:t>
      </w:r>
      <w:r w:rsidR="00831FEB" w:rsidRPr="008C0E7B">
        <w:rPr>
          <w:rStyle w:val="FootnoteReference"/>
          <w:rFonts w:ascii="Times New Roman" w:hAnsi="Times New Roman"/>
          <w:sz w:val="24"/>
        </w:rPr>
        <w:footnoteReference w:id="3"/>
      </w:r>
      <w:r w:rsidR="00831FEB" w:rsidRPr="008C0E7B">
        <w:rPr>
          <w:rFonts w:ascii="Times New Roman" w:hAnsi="Times New Roman"/>
          <w:sz w:val="24"/>
        </w:rPr>
        <w:t xml:space="preserve">  </w:t>
      </w:r>
      <w:r w:rsidR="009D779F" w:rsidRPr="008C0E7B">
        <w:rPr>
          <w:rFonts w:ascii="Times New Roman" w:hAnsi="Times New Roman"/>
          <w:sz w:val="24"/>
        </w:rPr>
        <w:t xml:space="preserve">The </w:t>
      </w:r>
      <w:r w:rsidR="00831FEB" w:rsidRPr="008C0E7B">
        <w:rPr>
          <w:rFonts w:ascii="Times New Roman" w:hAnsi="Times New Roman"/>
          <w:sz w:val="24"/>
        </w:rPr>
        <w:t xml:space="preserve">FR </w:t>
      </w:r>
      <w:r w:rsidR="00D2477E" w:rsidRPr="008C0E7B">
        <w:rPr>
          <w:rFonts w:ascii="Times New Roman" w:hAnsi="Times New Roman"/>
          <w:sz w:val="24"/>
        </w:rPr>
        <w:t>3066</w:t>
      </w:r>
      <w:r w:rsidR="00831FEB" w:rsidRPr="008C0E7B">
        <w:rPr>
          <w:rFonts w:ascii="Times New Roman" w:hAnsi="Times New Roman"/>
          <w:sz w:val="24"/>
        </w:rPr>
        <w:t>d would collect payment volume</w:t>
      </w:r>
      <w:r w:rsidR="002B301D" w:rsidRPr="008C0E7B">
        <w:rPr>
          <w:rFonts w:ascii="Times New Roman" w:hAnsi="Times New Roman"/>
          <w:sz w:val="24"/>
        </w:rPr>
        <w:t>s</w:t>
      </w:r>
      <w:r w:rsidR="00831FEB" w:rsidRPr="008C0E7B">
        <w:rPr>
          <w:rFonts w:ascii="Times New Roman" w:hAnsi="Times New Roman"/>
          <w:sz w:val="24"/>
        </w:rPr>
        <w:t xml:space="preserve"> similar to </w:t>
      </w:r>
      <w:r w:rsidR="008E51E8" w:rsidRPr="008C0E7B">
        <w:rPr>
          <w:rFonts w:ascii="Times New Roman" w:hAnsi="Times New Roman"/>
          <w:sz w:val="24"/>
        </w:rPr>
        <w:t xml:space="preserve">those </w:t>
      </w:r>
      <w:r w:rsidR="00831FEB" w:rsidRPr="008C0E7B">
        <w:rPr>
          <w:rFonts w:ascii="Times New Roman" w:hAnsi="Times New Roman"/>
          <w:sz w:val="24"/>
        </w:rPr>
        <w:t xml:space="preserve">collected in the FR </w:t>
      </w:r>
      <w:r w:rsidR="00D2477E" w:rsidRPr="008C0E7B">
        <w:rPr>
          <w:rFonts w:ascii="Times New Roman" w:hAnsi="Times New Roman"/>
          <w:sz w:val="24"/>
        </w:rPr>
        <w:t>3066</w:t>
      </w:r>
      <w:r w:rsidR="00831FEB" w:rsidRPr="008C0E7B">
        <w:rPr>
          <w:rFonts w:ascii="Times New Roman" w:hAnsi="Times New Roman"/>
          <w:sz w:val="24"/>
        </w:rPr>
        <w:t xml:space="preserve">a or the FR </w:t>
      </w:r>
      <w:r w:rsidR="00D2477E" w:rsidRPr="008C0E7B">
        <w:rPr>
          <w:rFonts w:ascii="Times New Roman" w:hAnsi="Times New Roman"/>
          <w:sz w:val="24"/>
        </w:rPr>
        <w:t>3066</w:t>
      </w:r>
      <w:r w:rsidR="00831FEB" w:rsidRPr="008C0E7B">
        <w:rPr>
          <w:rFonts w:ascii="Times New Roman" w:hAnsi="Times New Roman"/>
          <w:sz w:val="24"/>
        </w:rPr>
        <w:t xml:space="preserve">b </w:t>
      </w:r>
      <w:r w:rsidR="00A30F8A" w:rsidRPr="008C0E7B">
        <w:rPr>
          <w:rFonts w:ascii="Times New Roman" w:hAnsi="Times New Roman"/>
          <w:sz w:val="24"/>
        </w:rPr>
        <w:t>to obtain information about volumes</w:t>
      </w:r>
      <w:r w:rsidR="00831FEB" w:rsidRPr="008C0E7B">
        <w:rPr>
          <w:rFonts w:ascii="Times New Roman" w:hAnsi="Times New Roman"/>
          <w:sz w:val="24"/>
        </w:rPr>
        <w:t xml:space="preserve"> </w:t>
      </w:r>
      <w:r w:rsidR="006E1618" w:rsidRPr="008C0E7B">
        <w:rPr>
          <w:rFonts w:ascii="Times New Roman" w:hAnsi="Times New Roman"/>
          <w:sz w:val="24"/>
        </w:rPr>
        <w:t>and changes in volumes that may occur in</w:t>
      </w:r>
      <w:r w:rsidR="00A30F8A" w:rsidRPr="008C0E7B">
        <w:rPr>
          <w:rFonts w:ascii="Times New Roman" w:hAnsi="Times New Roman"/>
          <w:sz w:val="24"/>
        </w:rPr>
        <w:t xml:space="preserve"> the two years </w:t>
      </w:r>
      <w:r w:rsidR="00831FEB" w:rsidRPr="008C0E7B">
        <w:rPr>
          <w:rFonts w:ascii="Times New Roman" w:hAnsi="Times New Roman"/>
          <w:sz w:val="24"/>
        </w:rPr>
        <w:t>between trienn</w:t>
      </w:r>
      <w:r w:rsidR="009D779F" w:rsidRPr="008C0E7B">
        <w:rPr>
          <w:rFonts w:ascii="Times New Roman" w:hAnsi="Times New Roman"/>
          <w:sz w:val="24"/>
        </w:rPr>
        <w:t>ial surveys from a subset of</w:t>
      </w:r>
      <w:r w:rsidR="00831FEB" w:rsidRPr="008C0E7B">
        <w:rPr>
          <w:rFonts w:ascii="Times New Roman" w:hAnsi="Times New Roman"/>
          <w:sz w:val="24"/>
        </w:rPr>
        <w:t xml:space="preserve"> respondents.  </w:t>
      </w:r>
    </w:p>
    <w:p w:rsidR="00352FCF" w:rsidRPr="008C0E7B" w:rsidRDefault="00352FCF" w:rsidP="009C43F9">
      <w:pPr>
        <w:ind w:firstLine="720"/>
        <w:mirrorIndents/>
        <w:rPr>
          <w:szCs w:val="24"/>
        </w:rPr>
      </w:pPr>
    </w:p>
    <w:p w:rsidR="00036A95" w:rsidRPr="008C0E7B" w:rsidRDefault="007666EC" w:rsidP="009C43F9">
      <w:pPr>
        <w:pStyle w:val="BodyTextIndent"/>
        <w:ind w:firstLine="720"/>
        <w:mirrorIndents/>
        <w:rPr>
          <w:rFonts w:ascii="Times New Roman" w:hAnsi="Times New Roman" w:cs="Times New Roman"/>
        </w:rPr>
      </w:pPr>
      <w:r w:rsidRPr="008C0E7B">
        <w:rPr>
          <w:rFonts w:ascii="Times New Roman" w:hAnsi="Times New Roman" w:cs="Times New Roman"/>
        </w:rPr>
        <w:t>T</w:t>
      </w:r>
      <w:r w:rsidR="00A05A8C" w:rsidRPr="008C0E7B">
        <w:rPr>
          <w:rFonts w:ascii="Times New Roman" w:hAnsi="Times New Roman" w:cs="Times New Roman"/>
        </w:rPr>
        <w:t>he total</w:t>
      </w:r>
      <w:r w:rsidRPr="008C0E7B">
        <w:rPr>
          <w:rFonts w:ascii="Times New Roman" w:hAnsi="Times New Roman" w:cs="Times New Roman"/>
        </w:rPr>
        <w:t xml:space="preserve"> </w:t>
      </w:r>
      <w:r w:rsidR="00BA3026" w:rsidRPr="008C0E7B">
        <w:rPr>
          <w:rFonts w:ascii="Times New Roman" w:hAnsi="Times New Roman" w:cs="Times New Roman"/>
        </w:rPr>
        <w:t xml:space="preserve">annual paperwork </w:t>
      </w:r>
      <w:r w:rsidRPr="008C0E7B">
        <w:rPr>
          <w:rFonts w:ascii="Times New Roman" w:hAnsi="Times New Roman" w:cs="Times New Roman"/>
        </w:rPr>
        <w:t xml:space="preserve">burden </w:t>
      </w:r>
      <w:r w:rsidR="00BA3026" w:rsidRPr="008C0E7B">
        <w:rPr>
          <w:rFonts w:ascii="Times New Roman" w:hAnsi="Times New Roman" w:cs="Times New Roman"/>
        </w:rPr>
        <w:t>for</w:t>
      </w:r>
      <w:r w:rsidR="00A714A6" w:rsidRPr="008C0E7B">
        <w:rPr>
          <w:rFonts w:ascii="Times New Roman" w:hAnsi="Times New Roman" w:cs="Times New Roman"/>
        </w:rPr>
        <w:t xml:space="preserve"> </w:t>
      </w:r>
      <w:r w:rsidR="00BA2CC3" w:rsidRPr="008C0E7B">
        <w:rPr>
          <w:rFonts w:ascii="Times New Roman" w:hAnsi="Times New Roman" w:cs="Times New Roman"/>
        </w:rPr>
        <w:t xml:space="preserve">the </w:t>
      </w:r>
      <w:r w:rsidR="00A714A6" w:rsidRPr="008C0E7B">
        <w:rPr>
          <w:rFonts w:ascii="Times New Roman" w:hAnsi="Times New Roman" w:cs="Times New Roman"/>
        </w:rPr>
        <w:t xml:space="preserve">FR </w:t>
      </w:r>
      <w:r w:rsidR="00D2477E" w:rsidRPr="008C0E7B">
        <w:rPr>
          <w:rFonts w:ascii="Times New Roman" w:hAnsi="Times New Roman" w:cs="Times New Roman"/>
        </w:rPr>
        <w:t>3066</w:t>
      </w:r>
      <w:r w:rsidR="00A714A6" w:rsidRPr="008C0E7B">
        <w:rPr>
          <w:rFonts w:ascii="Times New Roman" w:hAnsi="Times New Roman" w:cs="Times New Roman"/>
        </w:rPr>
        <w:t>a</w:t>
      </w:r>
      <w:r w:rsidR="00F24F45" w:rsidRPr="008C0E7B">
        <w:rPr>
          <w:rFonts w:ascii="Times New Roman" w:hAnsi="Times New Roman" w:cs="Times New Roman"/>
        </w:rPr>
        <w:t>,</w:t>
      </w:r>
      <w:r w:rsidR="00BA2CC3" w:rsidRPr="008C0E7B">
        <w:rPr>
          <w:rFonts w:ascii="Times New Roman" w:hAnsi="Times New Roman" w:cs="Times New Roman"/>
        </w:rPr>
        <w:t xml:space="preserve"> </w:t>
      </w:r>
      <w:r w:rsidR="00F24F45" w:rsidRPr="008C0E7B">
        <w:rPr>
          <w:rFonts w:ascii="Times New Roman" w:hAnsi="Times New Roman" w:cs="Times New Roman"/>
        </w:rPr>
        <w:t xml:space="preserve">FR </w:t>
      </w:r>
      <w:r w:rsidR="00D2477E" w:rsidRPr="008C0E7B">
        <w:rPr>
          <w:rFonts w:ascii="Times New Roman" w:hAnsi="Times New Roman" w:cs="Times New Roman"/>
        </w:rPr>
        <w:t>3066</w:t>
      </w:r>
      <w:r w:rsidR="00F24F45" w:rsidRPr="008C0E7B">
        <w:rPr>
          <w:rFonts w:ascii="Times New Roman" w:hAnsi="Times New Roman" w:cs="Times New Roman"/>
        </w:rPr>
        <w:t xml:space="preserve">b, </w:t>
      </w:r>
      <w:r w:rsidRPr="008C0E7B">
        <w:rPr>
          <w:rFonts w:ascii="Times New Roman" w:hAnsi="Times New Roman" w:cs="Times New Roman"/>
        </w:rPr>
        <w:t xml:space="preserve">FR </w:t>
      </w:r>
      <w:r w:rsidR="00D2477E" w:rsidRPr="008C0E7B">
        <w:rPr>
          <w:rFonts w:ascii="Times New Roman" w:hAnsi="Times New Roman" w:cs="Times New Roman"/>
        </w:rPr>
        <w:t>3066</w:t>
      </w:r>
      <w:r w:rsidRPr="008C0E7B">
        <w:rPr>
          <w:rFonts w:ascii="Times New Roman" w:hAnsi="Times New Roman" w:cs="Times New Roman"/>
        </w:rPr>
        <w:t>c</w:t>
      </w:r>
      <w:r w:rsidR="00BA3026" w:rsidRPr="008C0E7B">
        <w:rPr>
          <w:rFonts w:ascii="Times New Roman" w:hAnsi="Times New Roman" w:cs="Times New Roman"/>
        </w:rPr>
        <w:t xml:space="preserve">, and FR 3066d </w:t>
      </w:r>
      <w:r w:rsidR="004134CD" w:rsidRPr="008C0E7B">
        <w:rPr>
          <w:rFonts w:ascii="Times New Roman" w:hAnsi="Times New Roman" w:cs="Times New Roman"/>
        </w:rPr>
        <w:t xml:space="preserve">is estimated to be </w:t>
      </w:r>
      <w:r w:rsidR="00BA3026" w:rsidRPr="008C0E7B">
        <w:rPr>
          <w:rFonts w:ascii="Times New Roman" w:hAnsi="Times New Roman" w:cs="Times New Roman"/>
        </w:rPr>
        <w:t>50,</w:t>
      </w:r>
      <w:r w:rsidR="006E0BFA" w:rsidRPr="008C0E7B">
        <w:rPr>
          <w:rFonts w:ascii="Times New Roman" w:hAnsi="Times New Roman" w:cs="Times New Roman"/>
        </w:rPr>
        <w:t>89</w:t>
      </w:r>
      <w:r w:rsidR="00BA3026" w:rsidRPr="008C0E7B">
        <w:rPr>
          <w:rFonts w:ascii="Times New Roman" w:hAnsi="Times New Roman" w:cs="Times New Roman"/>
        </w:rPr>
        <w:t>0</w:t>
      </w:r>
      <w:r w:rsidR="00A62B03" w:rsidRPr="008C0E7B">
        <w:rPr>
          <w:rFonts w:ascii="Times New Roman" w:hAnsi="Times New Roman" w:cs="Times New Roman"/>
        </w:rPr>
        <w:t xml:space="preserve"> </w:t>
      </w:r>
      <w:r w:rsidR="004134CD" w:rsidRPr="008C0E7B">
        <w:rPr>
          <w:rFonts w:ascii="Times New Roman" w:hAnsi="Times New Roman" w:cs="Times New Roman"/>
        </w:rPr>
        <w:t>hours</w:t>
      </w:r>
      <w:r w:rsidRPr="008C0E7B">
        <w:rPr>
          <w:rFonts w:ascii="Times New Roman" w:hAnsi="Times New Roman" w:cs="Times New Roman"/>
        </w:rPr>
        <w:t>.</w:t>
      </w:r>
    </w:p>
    <w:p w:rsidR="007666EC" w:rsidRPr="008C0E7B" w:rsidRDefault="007666EC" w:rsidP="009C43F9">
      <w:pPr>
        <w:pStyle w:val="BodyText"/>
        <w:spacing w:after="0"/>
        <w:mirrorIndents/>
        <w:rPr>
          <w:rFonts w:ascii="Times New Roman" w:hAnsi="Times New Roman"/>
          <w:sz w:val="24"/>
        </w:rPr>
      </w:pPr>
      <w:r w:rsidRPr="008C0E7B">
        <w:rPr>
          <w:rFonts w:ascii="Times New Roman" w:hAnsi="Times New Roman"/>
          <w:sz w:val="24"/>
        </w:rPr>
        <w:t xml:space="preserve">   </w:t>
      </w:r>
    </w:p>
    <w:p w:rsidR="007666EC" w:rsidRPr="008C0E7B" w:rsidRDefault="007666EC" w:rsidP="009C43F9">
      <w:pPr>
        <w:pStyle w:val="Heading1"/>
        <w:ind w:firstLine="0"/>
        <w:mirrorIndents/>
        <w:rPr>
          <w:rFonts w:ascii="Times New Roman" w:hAnsi="Times New Roman" w:cs="Times New Roman"/>
          <w:b/>
        </w:rPr>
      </w:pPr>
      <w:r w:rsidRPr="008C0E7B">
        <w:rPr>
          <w:rFonts w:ascii="Times New Roman" w:hAnsi="Times New Roman" w:cs="Times New Roman"/>
          <w:b/>
        </w:rPr>
        <w:t>Background and Justification</w:t>
      </w:r>
    </w:p>
    <w:p w:rsidR="00831FEB" w:rsidRPr="008C0E7B" w:rsidRDefault="00831FEB" w:rsidP="009C43F9">
      <w:pPr>
        <w:pStyle w:val="Default"/>
        <w:rPr>
          <w:rFonts w:ascii="Times New Roman" w:hAnsi="Times New Roman" w:cs="Times New Roman"/>
        </w:rPr>
      </w:pPr>
    </w:p>
    <w:p w:rsidR="001B7F59" w:rsidRPr="008C0E7B" w:rsidRDefault="00BA37C4" w:rsidP="009C43F9">
      <w:pPr>
        <w:ind w:firstLine="720"/>
        <w:mirrorIndents/>
        <w:rPr>
          <w:szCs w:val="24"/>
        </w:rPr>
      </w:pPr>
      <w:r w:rsidRPr="008C0E7B">
        <w:rPr>
          <w:szCs w:val="24"/>
        </w:rPr>
        <w:t xml:space="preserve">The </w:t>
      </w:r>
      <w:r w:rsidR="00DA4E6C" w:rsidRPr="008C0E7B">
        <w:rPr>
          <w:szCs w:val="24"/>
        </w:rPr>
        <w:t xml:space="preserve">Board </w:t>
      </w:r>
      <w:r w:rsidR="001B7F59" w:rsidRPr="008C0E7B">
        <w:rPr>
          <w:szCs w:val="24"/>
        </w:rPr>
        <w:t>oversees the Federal Reserve Banks’ provision of financial services to depository institutions</w:t>
      </w:r>
      <w:r w:rsidR="007B1A27" w:rsidRPr="008C0E7B">
        <w:rPr>
          <w:szCs w:val="24"/>
        </w:rPr>
        <w:t xml:space="preserve">; </w:t>
      </w:r>
      <w:r w:rsidR="001B7F59" w:rsidRPr="008C0E7B">
        <w:rPr>
          <w:szCs w:val="24"/>
        </w:rPr>
        <w:t>develops policies and regulations to foster the efficiency and integrity of the U.S. payments system</w:t>
      </w:r>
      <w:r w:rsidR="007B1A27" w:rsidRPr="008C0E7B">
        <w:rPr>
          <w:szCs w:val="24"/>
        </w:rPr>
        <w:t xml:space="preserve">; </w:t>
      </w:r>
      <w:r w:rsidR="001B7F59" w:rsidRPr="008C0E7B">
        <w:rPr>
          <w:szCs w:val="24"/>
        </w:rPr>
        <w:t xml:space="preserve">works with other </w:t>
      </w:r>
      <w:r w:rsidR="002B301D" w:rsidRPr="008C0E7B">
        <w:rPr>
          <w:szCs w:val="24"/>
        </w:rPr>
        <w:t xml:space="preserve">federal </w:t>
      </w:r>
      <w:r w:rsidR="001B7F59" w:rsidRPr="008C0E7B">
        <w:rPr>
          <w:szCs w:val="24"/>
        </w:rPr>
        <w:t xml:space="preserve">agencies on payments issues </w:t>
      </w:r>
      <w:r w:rsidR="00A545C1" w:rsidRPr="008C0E7B">
        <w:rPr>
          <w:szCs w:val="24"/>
        </w:rPr>
        <w:t xml:space="preserve">of </w:t>
      </w:r>
      <w:r w:rsidR="001B7F59" w:rsidRPr="008C0E7B">
        <w:rPr>
          <w:szCs w:val="24"/>
        </w:rPr>
        <w:t>joint responsibility</w:t>
      </w:r>
      <w:r w:rsidR="007B1A27" w:rsidRPr="008C0E7B">
        <w:rPr>
          <w:szCs w:val="24"/>
        </w:rPr>
        <w:t xml:space="preserve">; </w:t>
      </w:r>
      <w:r w:rsidR="001B7F59" w:rsidRPr="008C0E7B">
        <w:rPr>
          <w:szCs w:val="24"/>
        </w:rPr>
        <w:t>works with other central banks and international organizations, such as the Committee for Payment and Settlement Systems at the Bank for International Settlements</w:t>
      </w:r>
      <w:r w:rsidR="007B1A27" w:rsidRPr="008C0E7B">
        <w:rPr>
          <w:szCs w:val="24"/>
        </w:rPr>
        <w:t>,</w:t>
      </w:r>
      <w:r w:rsidR="001B7F59" w:rsidRPr="008C0E7B">
        <w:rPr>
          <w:szCs w:val="24"/>
        </w:rPr>
        <w:t xml:space="preserve"> to </w:t>
      </w:r>
      <w:r w:rsidR="00A149FF" w:rsidRPr="008C0E7B">
        <w:rPr>
          <w:szCs w:val="24"/>
        </w:rPr>
        <w:t xml:space="preserve">collect information on and </w:t>
      </w:r>
      <w:r w:rsidR="001B7F59" w:rsidRPr="008C0E7B">
        <w:rPr>
          <w:szCs w:val="24"/>
        </w:rPr>
        <w:t>improve the payments system more broadly</w:t>
      </w:r>
      <w:r w:rsidR="007B1A27" w:rsidRPr="008C0E7B">
        <w:rPr>
          <w:szCs w:val="24"/>
        </w:rPr>
        <w:t xml:space="preserve">; </w:t>
      </w:r>
      <w:r w:rsidR="001B7F59" w:rsidRPr="008C0E7B">
        <w:rPr>
          <w:szCs w:val="24"/>
        </w:rPr>
        <w:t>and conducts research on payments issues.</w:t>
      </w:r>
    </w:p>
    <w:p w:rsidR="001B7F59" w:rsidRPr="008C0E7B" w:rsidRDefault="001B7F59" w:rsidP="009C43F9">
      <w:pPr>
        <w:mirrorIndents/>
        <w:rPr>
          <w:szCs w:val="24"/>
        </w:rPr>
      </w:pPr>
    </w:p>
    <w:p w:rsidR="00555E12" w:rsidRPr="008C0E7B" w:rsidRDefault="005649BB" w:rsidP="009C43F9">
      <w:pPr>
        <w:rPr>
          <w:szCs w:val="24"/>
        </w:rPr>
      </w:pPr>
      <w:r w:rsidRPr="008C0E7B">
        <w:rPr>
          <w:szCs w:val="24"/>
        </w:rPr>
        <w:tab/>
      </w:r>
      <w:r w:rsidR="001B7F59" w:rsidRPr="008C0E7B">
        <w:rPr>
          <w:szCs w:val="24"/>
        </w:rPr>
        <w:t>The Reserve Banks provide interbank retail payment services to depository institutions</w:t>
      </w:r>
      <w:r w:rsidR="009D779F" w:rsidRPr="008C0E7B">
        <w:rPr>
          <w:szCs w:val="24"/>
        </w:rPr>
        <w:t>, and have</w:t>
      </w:r>
      <w:r w:rsidR="00665994" w:rsidRPr="008C0E7B">
        <w:rPr>
          <w:szCs w:val="24"/>
        </w:rPr>
        <w:t xml:space="preserve"> a role in</w:t>
      </w:r>
      <w:r w:rsidR="005E16C0" w:rsidRPr="008C0E7B">
        <w:rPr>
          <w:szCs w:val="24"/>
        </w:rPr>
        <w:t xml:space="preserve"> fostering the efficiency and integrity of the payments system</w:t>
      </w:r>
      <w:r w:rsidR="001B7F59" w:rsidRPr="008C0E7B">
        <w:rPr>
          <w:szCs w:val="24"/>
        </w:rPr>
        <w:t>.  In particular, the RPO operates the Reserve Banks’ check processing and automated clearinghouse (ACH) services</w:t>
      </w:r>
      <w:r w:rsidR="00B75128" w:rsidRPr="008C0E7B">
        <w:rPr>
          <w:szCs w:val="24"/>
        </w:rPr>
        <w:t>.</w:t>
      </w:r>
      <w:r w:rsidR="001B7F59" w:rsidRPr="008C0E7B">
        <w:rPr>
          <w:szCs w:val="24"/>
        </w:rPr>
        <w:t xml:space="preserve"> </w:t>
      </w:r>
      <w:r w:rsidR="00B75128" w:rsidRPr="008C0E7B">
        <w:rPr>
          <w:szCs w:val="24"/>
        </w:rPr>
        <w:t xml:space="preserve"> T</w:t>
      </w:r>
      <w:r w:rsidR="001B7F59" w:rsidRPr="008C0E7B">
        <w:rPr>
          <w:szCs w:val="24"/>
        </w:rPr>
        <w:t xml:space="preserve">herefore, the RPO needs accurate information on trends in the </w:t>
      </w:r>
      <w:r w:rsidR="004366A1" w:rsidRPr="008C0E7B">
        <w:rPr>
          <w:szCs w:val="24"/>
        </w:rPr>
        <w:t xml:space="preserve">retail </w:t>
      </w:r>
      <w:r w:rsidR="001B7F59" w:rsidRPr="008C0E7B">
        <w:rPr>
          <w:szCs w:val="24"/>
        </w:rPr>
        <w:t>payments system to fulfill its operational responsibilities.</w:t>
      </w:r>
    </w:p>
    <w:p w:rsidR="009D779F" w:rsidRPr="008C0E7B" w:rsidRDefault="009D779F" w:rsidP="009C43F9">
      <w:pPr>
        <w:rPr>
          <w:szCs w:val="24"/>
          <w:lang w:eastAsia="ja-JP"/>
        </w:rPr>
      </w:pPr>
    </w:p>
    <w:p w:rsidR="00831FEB" w:rsidRDefault="00831FEB" w:rsidP="009C43F9">
      <w:pPr>
        <w:pStyle w:val="BodyText"/>
        <w:spacing w:after="0"/>
        <w:ind w:firstLine="720"/>
        <w:mirrorIndents/>
        <w:rPr>
          <w:rFonts w:ascii="Times New Roman" w:hAnsi="Times New Roman"/>
          <w:sz w:val="24"/>
        </w:rPr>
      </w:pPr>
      <w:r w:rsidRPr="008C0E7B">
        <w:rPr>
          <w:rFonts w:ascii="Times New Roman" w:hAnsi="Times New Roman"/>
          <w:sz w:val="24"/>
        </w:rPr>
        <w:t xml:space="preserve">The FR </w:t>
      </w:r>
      <w:r w:rsidR="00D2477E" w:rsidRPr="008C0E7B">
        <w:rPr>
          <w:rFonts w:ascii="Times New Roman" w:hAnsi="Times New Roman"/>
          <w:sz w:val="24"/>
        </w:rPr>
        <w:t>3066</w:t>
      </w:r>
      <w:r w:rsidRPr="008C0E7B">
        <w:rPr>
          <w:rFonts w:ascii="Times New Roman" w:hAnsi="Times New Roman"/>
          <w:sz w:val="24"/>
        </w:rPr>
        <w:t xml:space="preserve">a, FR </w:t>
      </w:r>
      <w:r w:rsidR="00D2477E" w:rsidRPr="008C0E7B">
        <w:rPr>
          <w:rFonts w:ascii="Times New Roman" w:hAnsi="Times New Roman"/>
          <w:sz w:val="24"/>
        </w:rPr>
        <w:t>3066</w:t>
      </w:r>
      <w:r w:rsidRPr="008C0E7B">
        <w:rPr>
          <w:rFonts w:ascii="Times New Roman" w:hAnsi="Times New Roman"/>
          <w:sz w:val="24"/>
        </w:rPr>
        <w:t xml:space="preserve">b, and FR </w:t>
      </w:r>
      <w:r w:rsidR="00D2477E" w:rsidRPr="008C0E7B">
        <w:rPr>
          <w:rFonts w:ascii="Times New Roman" w:hAnsi="Times New Roman"/>
          <w:sz w:val="24"/>
        </w:rPr>
        <w:t>3066</w:t>
      </w:r>
      <w:r w:rsidRPr="008C0E7B">
        <w:rPr>
          <w:rFonts w:ascii="Times New Roman" w:hAnsi="Times New Roman"/>
          <w:sz w:val="24"/>
        </w:rPr>
        <w:t>c would be the latest iteration of the FRPS</w:t>
      </w:r>
      <w:r w:rsidR="00B75128" w:rsidRPr="008C0E7B">
        <w:rPr>
          <w:rFonts w:ascii="Times New Roman" w:hAnsi="Times New Roman"/>
          <w:sz w:val="24"/>
        </w:rPr>
        <w:t>, which has been</w:t>
      </w:r>
      <w:r w:rsidRPr="008C0E7B">
        <w:rPr>
          <w:rFonts w:ascii="Times New Roman" w:hAnsi="Times New Roman"/>
          <w:sz w:val="24"/>
        </w:rPr>
        <w:t xml:space="preserve"> </w:t>
      </w:r>
      <w:r w:rsidR="009D779F" w:rsidRPr="008C0E7B">
        <w:rPr>
          <w:rFonts w:ascii="Times New Roman" w:hAnsi="Times New Roman"/>
          <w:sz w:val="24"/>
        </w:rPr>
        <w:t>conducted</w:t>
      </w:r>
      <w:r w:rsidRPr="008C0E7B">
        <w:rPr>
          <w:rFonts w:ascii="Times New Roman" w:hAnsi="Times New Roman"/>
          <w:sz w:val="24"/>
        </w:rPr>
        <w:t xml:space="preserve"> by </w:t>
      </w:r>
      <w:r w:rsidR="00B75128" w:rsidRPr="008C0E7B">
        <w:rPr>
          <w:rFonts w:ascii="Times New Roman" w:hAnsi="Times New Roman"/>
          <w:sz w:val="24"/>
        </w:rPr>
        <w:t xml:space="preserve">the </w:t>
      </w:r>
      <w:r w:rsidRPr="008C0E7B">
        <w:rPr>
          <w:rFonts w:ascii="Times New Roman" w:hAnsi="Times New Roman"/>
          <w:sz w:val="24"/>
        </w:rPr>
        <w:t xml:space="preserve">RPO </w:t>
      </w:r>
      <w:r w:rsidR="00B75128" w:rsidRPr="008C0E7B">
        <w:rPr>
          <w:rFonts w:ascii="Times New Roman" w:hAnsi="Times New Roman"/>
          <w:sz w:val="24"/>
        </w:rPr>
        <w:t>since 2000</w:t>
      </w:r>
      <w:r w:rsidRPr="008C0E7B">
        <w:rPr>
          <w:rFonts w:ascii="Times New Roman" w:hAnsi="Times New Roman"/>
          <w:sz w:val="24"/>
        </w:rPr>
        <w:t xml:space="preserve">.  The FRPS originated from a </w:t>
      </w:r>
      <w:r w:rsidR="00B75128" w:rsidRPr="008C0E7B">
        <w:rPr>
          <w:rFonts w:ascii="Times New Roman" w:hAnsi="Times New Roman"/>
          <w:sz w:val="24"/>
        </w:rPr>
        <w:t>system</w:t>
      </w:r>
      <w:r w:rsidRPr="008C0E7B">
        <w:rPr>
          <w:rFonts w:ascii="Times New Roman" w:hAnsi="Times New Roman"/>
          <w:sz w:val="24"/>
        </w:rPr>
        <w:t>-wide effort to improve the measurement and public availability of information on volumes and trends in checks and other noncash payments</w:t>
      </w:r>
      <w:r w:rsidR="002B301D" w:rsidRPr="008C0E7B">
        <w:rPr>
          <w:rFonts w:ascii="Times New Roman" w:hAnsi="Times New Roman"/>
          <w:sz w:val="24"/>
        </w:rPr>
        <w:t>.</w:t>
      </w:r>
      <w:r w:rsidRPr="008C0E7B">
        <w:rPr>
          <w:rFonts w:ascii="Times New Roman" w:hAnsi="Times New Roman"/>
          <w:sz w:val="24"/>
        </w:rPr>
        <w:t xml:space="preserve"> </w:t>
      </w:r>
      <w:r w:rsidR="00B75128" w:rsidRPr="008C0E7B">
        <w:rPr>
          <w:rFonts w:ascii="Times New Roman" w:hAnsi="Times New Roman"/>
          <w:sz w:val="24"/>
        </w:rPr>
        <w:t xml:space="preserve"> </w:t>
      </w:r>
      <w:r w:rsidRPr="008C0E7B">
        <w:rPr>
          <w:rFonts w:ascii="Times New Roman" w:hAnsi="Times New Roman"/>
          <w:sz w:val="24"/>
        </w:rPr>
        <w:t xml:space="preserve">Despite </w:t>
      </w:r>
      <w:r w:rsidR="00B75128" w:rsidRPr="008C0E7B">
        <w:rPr>
          <w:rFonts w:ascii="Times New Roman" w:hAnsi="Times New Roman"/>
          <w:sz w:val="24"/>
        </w:rPr>
        <w:t xml:space="preserve">the retail payments system’s </w:t>
      </w:r>
      <w:r w:rsidRPr="008C0E7B">
        <w:rPr>
          <w:rFonts w:ascii="Times New Roman" w:hAnsi="Times New Roman"/>
          <w:sz w:val="24"/>
        </w:rPr>
        <w:t>critical importance in supporting everyda</w:t>
      </w:r>
      <w:r w:rsidR="00F8168D" w:rsidRPr="008C0E7B">
        <w:rPr>
          <w:rFonts w:ascii="Times New Roman" w:hAnsi="Times New Roman"/>
          <w:sz w:val="24"/>
        </w:rPr>
        <w:t>y commerce, there was a significant</w:t>
      </w:r>
      <w:r w:rsidRPr="008C0E7B">
        <w:rPr>
          <w:rFonts w:ascii="Times New Roman" w:hAnsi="Times New Roman"/>
          <w:sz w:val="24"/>
        </w:rPr>
        <w:t xml:space="preserve"> gap in quantitative information</w:t>
      </w:r>
      <w:r w:rsidR="00B75128" w:rsidRPr="008C0E7B">
        <w:rPr>
          <w:rFonts w:ascii="Times New Roman" w:hAnsi="Times New Roman"/>
          <w:sz w:val="24"/>
        </w:rPr>
        <w:t xml:space="preserve"> on U.S. retail payments</w:t>
      </w:r>
      <w:r w:rsidR="002B301D" w:rsidRPr="008C0E7B">
        <w:rPr>
          <w:rFonts w:ascii="Times New Roman" w:hAnsi="Times New Roman"/>
          <w:sz w:val="24"/>
        </w:rPr>
        <w:t xml:space="preserve"> before 2000</w:t>
      </w:r>
      <w:r w:rsidRPr="008C0E7B">
        <w:rPr>
          <w:rFonts w:ascii="Times New Roman" w:hAnsi="Times New Roman"/>
          <w:sz w:val="24"/>
        </w:rPr>
        <w:t xml:space="preserve">.  The FRPS filled </w:t>
      </w:r>
      <w:r w:rsidR="00515F4A" w:rsidRPr="008C0E7B">
        <w:rPr>
          <w:rFonts w:ascii="Times New Roman" w:hAnsi="Times New Roman"/>
          <w:sz w:val="24"/>
        </w:rPr>
        <w:t>this gap by providing a reliable</w:t>
      </w:r>
      <w:r w:rsidRPr="008C0E7B">
        <w:rPr>
          <w:rFonts w:ascii="Times New Roman" w:hAnsi="Times New Roman"/>
          <w:sz w:val="24"/>
        </w:rPr>
        <w:t xml:space="preserve"> and transparent voluntary survey-based approach to collecting payments industry data on retail payment volumes and trends.  As the noncash payments system has continued to grow larger and more complex and as policymakers, the industry, and the public face </w:t>
      </w:r>
      <w:r w:rsidR="00B75128" w:rsidRPr="008C0E7B">
        <w:rPr>
          <w:rFonts w:ascii="Times New Roman" w:hAnsi="Times New Roman"/>
          <w:sz w:val="24"/>
        </w:rPr>
        <w:t xml:space="preserve">more </w:t>
      </w:r>
      <w:r w:rsidRPr="008C0E7B">
        <w:rPr>
          <w:rFonts w:ascii="Times New Roman" w:hAnsi="Times New Roman"/>
          <w:sz w:val="24"/>
        </w:rPr>
        <w:t xml:space="preserve">choices related to the </w:t>
      </w:r>
      <w:r w:rsidR="004366A1" w:rsidRPr="008C0E7B">
        <w:rPr>
          <w:rFonts w:ascii="Times New Roman" w:hAnsi="Times New Roman"/>
          <w:sz w:val="24"/>
        </w:rPr>
        <w:t xml:space="preserve">retail </w:t>
      </w:r>
      <w:r w:rsidRPr="008C0E7B">
        <w:rPr>
          <w:rFonts w:ascii="Times New Roman" w:hAnsi="Times New Roman"/>
          <w:sz w:val="24"/>
        </w:rPr>
        <w:t xml:space="preserve">payments system, </w:t>
      </w:r>
      <w:r w:rsidR="00BA37C4" w:rsidRPr="008C0E7B">
        <w:rPr>
          <w:rFonts w:ascii="Times New Roman" w:hAnsi="Times New Roman"/>
          <w:sz w:val="24"/>
        </w:rPr>
        <w:t>the Board</w:t>
      </w:r>
      <w:r w:rsidR="00DA4E6C" w:rsidRPr="008C0E7B">
        <w:rPr>
          <w:rFonts w:ascii="Times New Roman" w:hAnsi="Times New Roman"/>
          <w:sz w:val="24"/>
        </w:rPr>
        <w:t xml:space="preserve"> </w:t>
      </w:r>
      <w:r w:rsidRPr="008C0E7B">
        <w:rPr>
          <w:rFonts w:ascii="Times New Roman" w:hAnsi="Times New Roman"/>
          <w:sz w:val="24"/>
        </w:rPr>
        <w:t>and the RPO believ</w:t>
      </w:r>
      <w:r w:rsidR="00F8168D" w:rsidRPr="008C0E7B">
        <w:rPr>
          <w:rFonts w:ascii="Times New Roman" w:hAnsi="Times New Roman"/>
          <w:sz w:val="24"/>
        </w:rPr>
        <w:t xml:space="preserve">e that the </w:t>
      </w:r>
      <w:r w:rsidR="009D779F" w:rsidRPr="008C0E7B">
        <w:rPr>
          <w:rFonts w:ascii="Times New Roman" w:hAnsi="Times New Roman"/>
          <w:sz w:val="24"/>
        </w:rPr>
        <w:t>data collected under the FR 3066 surveys</w:t>
      </w:r>
      <w:r w:rsidR="00F8168D" w:rsidRPr="008C0E7B">
        <w:rPr>
          <w:rFonts w:ascii="Times New Roman" w:hAnsi="Times New Roman"/>
          <w:sz w:val="24"/>
        </w:rPr>
        <w:t xml:space="preserve"> </w:t>
      </w:r>
      <w:r w:rsidR="009D779F" w:rsidRPr="008C0E7B">
        <w:rPr>
          <w:rFonts w:ascii="Times New Roman" w:hAnsi="Times New Roman"/>
          <w:sz w:val="24"/>
        </w:rPr>
        <w:t>would play</w:t>
      </w:r>
      <w:r w:rsidR="00F8168D" w:rsidRPr="008C0E7B">
        <w:rPr>
          <w:rFonts w:ascii="Times New Roman" w:hAnsi="Times New Roman"/>
          <w:sz w:val="24"/>
        </w:rPr>
        <w:t xml:space="preserve"> a crucial</w:t>
      </w:r>
      <w:r w:rsidRPr="008C0E7B">
        <w:rPr>
          <w:rFonts w:ascii="Times New Roman" w:hAnsi="Times New Roman"/>
          <w:sz w:val="24"/>
        </w:rPr>
        <w:t xml:space="preserve"> role in </w:t>
      </w:r>
      <w:r w:rsidR="00F8168D" w:rsidRPr="008C0E7B">
        <w:rPr>
          <w:rFonts w:ascii="Times New Roman" w:hAnsi="Times New Roman"/>
          <w:sz w:val="24"/>
        </w:rPr>
        <w:t xml:space="preserve">objectively </w:t>
      </w:r>
      <w:r w:rsidRPr="008C0E7B">
        <w:rPr>
          <w:rFonts w:ascii="Times New Roman" w:hAnsi="Times New Roman"/>
          <w:sz w:val="24"/>
        </w:rPr>
        <w:t xml:space="preserve">maintaining and updating quantitative </w:t>
      </w:r>
      <w:r w:rsidR="003E51E1" w:rsidRPr="008C0E7B">
        <w:rPr>
          <w:rFonts w:ascii="Times New Roman" w:hAnsi="Times New Roman"/>
          <w:sz w:val="24"/>
        </w:rPr>
        <w:t>information on</w:t>
      </w:r>
      <w:r w:rsidRPr="008C0E7B">
        <w:rPr>
          <w:rFonts w:ascii="Times New Roman" w:hAnsi="Times New Roman"/>
          <w:sz w:val="24"/>
        </w:rPr>
        <w:t xml:space="preserve"> the </w:t>
      </w:r>
      <w:r w:rsidR="003E51E1" w:rsidRPr="008C0E7B">
        <w:rPr>
          <w:rFonts w:ascii="Times New Roman" w:hAnsi="Times New Roman"/>
          <w:sz w:val="24"/>
        </w:rPr>
        <w:t xml:space="preserve">U.S. </w:t>
      </w:r>
      <w:r w:rsidR="004366A1" w:rsidRPr="008C0E7B">
        <w:rPr>
          <w:rFonts w:ascii="Times New Roman" w:hAnsi="Times New Roman"/>
          <w:sz w:val="24"/>
        </w:rPr>
        <w:t xml:space="preserve">retail </w:t>
      </w:r>
      <w:r w:rsidRPr="008C0E7B">
        <w:rPr>
          <w:rFonts w:ascii="Times New Roman" w:hAnsi="Times New Roman"/>
          <w:sz w:val="24"/>
        </w:rPr>
        <w:t>payments system</w:t>
      </w:r>
      <w:r w:rsidR="006A1B5D" w:rsidRPr="008C0E7B">
        <w:rPr>
          <w:rFonts w:ascii="Times New Roman" w:hAnsi="Times New Roman"/>
          <w:sz w:val="24"/>
        </w:rPr>
        <w:t xml:space="preserve"> and should be continued</w:t>
      </w:r>
      <w:r w:rsidRPr="008C0E7B">
        <w:rPr>
          <w:rFonts w:ascii="Times New Roman" w:hAnsi="Times New Roman"/>
          <w:sz w:val="24"/>
        </w:rPr>
        <w:t xml:space="preserve"> in 2013.  </w:t>
      </w:r>
      <w:r w:rsidR="009D779F" w:rsidRPr="008C0E7B">
        <w:rPr>
          <w:rFonts w:ascii="Times New Roman" w:hAnsi="Times New Roman"/>
          <w:sz w:val="24"/>
        </w:rPr>
        <w:t>The Federal Reserve System’s role as a trusted leader in payments processing, its essential role in policymaking, and the successful record of the data</w:t>
      </w:r>
      <w:r w:rsidR="00FD0F65" w:rsidRPr="008C0E7B">
        <w:rPr>
          <w:rFonts w:ascii="Times New Roman" w:hAnsi="Times New Roman"/>
          <w:sz w:val="24"/>
        </w:rPr>
        <w:t xml:space="preserve"> collected under the FRPS uniquely </w:t>
      </w:r>
      <w:r w:rsidR="00FD0F65" w:rsidRPr="008C0E7B">
        <w:rPr>
          <w:rFonts w:ascii="Times New Roman" w:hAnsi="Times New Roman"/>
          <w:sz w:val="24"/>
        </w:rPr>
        <w:lastRenderedPageBreak/>
        <w:t>positions the Federal Reserve to collect these data in 2013.</w:t>
      </w:r>
    </w:p>
    <w:p w:rsidR="00A50EE1" w:rsidRPr="008C0E7B" w:rsidRDefault="00A50EE1" w:rsidP="009C43F9">
      <w:pPr>
        <w:pStyle w:val="BodyText"/>
        <w:spacing w:after="0"/>
        <w:ind w:firstLine="720"/>
        <w:mirrorIndents/>
        <w:rPr>
          <w:rFonts w:ascii="Times New Roman" w:hAnsi="Times New Roman"/>
          <w:sz w:val="24"/>
        </w:rPr>
      </w:pPr>
    </w:p>
    <w:p w:rsidR="008C0E7B" w:rsidRPr="008C0E7B" w:rsidRDefault="00BA37C4" w:rsidP="008C0E7B">
      <w:pPr>
        <w:pStyle w:val="BodyText"/>
        <w:spacing w:after="0"/>
        <w:ind w:firstLine="720"/>
        <w:mirrorIndents/>
        <w:rPr>
          <w:rFonts w:ascii="Times New Roman" w:hAnsi="Times New Roman"/>
          <w:sz w:val="24"/>
        </w:rPr>
      </w:pPr>
      <w:r w:rsidRPr="008C0E7B">
        <w:rPr>
          <w:rFonts w:ascii="Times New Roman" w:hAnsi="Times New Roman"/>
          <w:sz w:val="24"/>
        </w:rPr>
        <w:t xml:space="preserve">The </w:t>
      </w:r>
      <w:r w:rsidR="005649BB" w:rsidRPr="008C0E7B">
        <w:rPr>
          <w:rFonts w:ascii="Times New Roman" w:hAnsi="Times New Roman"/>
          <w:sz w:val="24"/>
        </w:rPr>
        <w:t xml:space="preserve">Board and the RPO would use data collected from </w:t>
      </w:r>
      <w:r w:rsidR="00DB03E4" w:rsidRPr="008C0E7B">
        <w:rPr>
          <w:rFonts w:ascii="Times New Roman" w:hAnsi="Times New Roman"/>
          <w:sz w:val="24"/>
        </w:rPr>
        <w:t xml:space="preserve">the </w:t>
      </w:r>
      <w:r w:rsidR="005649BB" w:rsidRPr="008C0E7B">
        <w:rPr>
          <w:rFonts w:ascii="Times New Roman" w:hAnsi="Times New Roman"/>
          <w:sz w:val="24"/>
        </w:rPr>
        <w:t xml:space="preserve">FR 3066a and FR 3066b to estimate aggregate totals and trends in (1) the number and value of various types of payment and withdrawal transactions processed by financial institutions that hold transaction deposit, prepaid card program, or credit card accounts domiciled in the United States; (2) the number and value of various types of payments that are facilitated by payment networks, payment processors, and payment instrument issuers within the United States; (3) inter- and intra-bank volumes; (4) the usage of different types of prepaid cards; (5) transaction volumes of emerging payment methods; </w:t>
      </w:r>
      <w:r w:rsidR="00447676" w:rsidRPr="008C0E7B">
        <w:rPr>
          <w:rFonts w:ascii="Times New Roman" w:hAnsi="Times New Roman"/>
          <w:sz w:val="24"/>
        </w:rPr>
        <w:t>and (6</w:t>
      </w:r>
      <w:r w:rsidR="005649BB" w:rsidRPr="008C0E7B">
        <w:rPr>
          <w:rFonts w:ascii="Times New Roman" w:hAnsi="Times New Roman"/>
          <w:sz w:val="24"/>
        </w:rPr>
        <w:t>) relevant non-transactional volumes, such as the number of accounts, number of payment cards outstanding, volumes of returned checks, and volumes of third-party payment fraud.  Data from the</w:t>
      </w:r>
      <w:r w:rsidR="00DB03E4" w:rsidRPr="008C0E7B">
        <w:rPr>
          <w:rFonts w:ascii="Times New Roman" w:hAnsi="Times New Roman"/>
          <w:sz w:val="24"/>
        </w:rPr>
        <w:t>se two</w:t>
      </w:r>
      <w:r w:rsidR="005649BB" w:rsidRPr="008C0E7B">
        <w:rPr>
          <w:rFonts w:ascii="Times New Roman" w:hAnsi="Times New Roman"/>
          <w:sz w:val="24"/>
        </w:rPr>
        <w:t xml:space="preserve"> surveys would also be used to estimate volumes and trends in cash usage, which are connected to noncash payment trends, the cash issuance responsibilities of the Board, and the cash distribution responsibilities of the Reserve Banks.  The information </w:t>
      </w:r>
      <w:r w:rsidR="00DB03E4" w:rsidRPr="008C0E7B">
        <w:rPr>
          <w:rFonts w:ascii="Times New Roman" w:hAnsi="Times New Roman"/>
          <w:sz w:val="24"/>
        </w:rPr>
        <w:t xml:space="preserve">about checks </w:t>
      </w:r>
      <w:r w:rsidR="005649BB" w:rsidRPr="008C0E7B">
        <w:rPr>
          <w:rFonts w:ascii="Times New Roman" w:hAnsi="Times New Roman"/>
          <w:sz w:val="24"/>
        </w:rPr>
        <w:t>collected from the FR 3066c would be used to estimate the distribution of checks among broad categories of payers, payees, and purposes.  Th</w:t>
      </w:r>
      <w:r w:rsidR="00447676" w:rsidRPr="008C0E7B">
        <w:rPr>
          <w:rFonts w:ascii="Times New Roman" w:hAnsi="Times New Roman"/>
          <w:sz w:val="24"/>
        </w:rPr>
        <w:t>ese</w:t>
      </w:r>
      <w:r w:rsidR="005649BB" w:rsidRPr="008C0E7B">
        <w:rPr>
          <w:rFonts w:ascii="Times New Roman" w:hAnsi="Times New Roman"/>
          <w:sz w:val="24"/>
        </w:rPr>
        <w:t xml:space="preserve"> data would help identify what types of check payments are declining as well as remaining opportunities for the replacement of checks with other payment instruments.  The FR 3066d survey would likely be used to obtain timely annual data on </w:t>
      </w:r>
      <w:r w:rsidR="00C919A4" w:rsidRPr="008C0E7B">
        <w:rPr>
          <w:rFonts w:ascii="Times New Roman" w:hAnsi="Times New Roman"/>
          <w:sz w:val="24"/>
        </w:rPr>
        <w:t xml:space="preserve">certain </w:t>
      </w:r>
      <w:r w:rsidR="005649BB" w:rsidRPr="008C0E7B">
        <w:rPr>
          <w:rFonts w:ascii="Times New Roman" w:hAnsi="Times New Roman"/>
          <w:sz w:val="24"/>
        </w:rPr>
        <w:t xml:space="preserve">established and emerging payment instruments collected in </w:t>
      </w:r>
      <w:r w:rsidR="00DB03E4" w:rsidRPr="008C0E7B">
        <w:rPr>
          <w:rFonts w:ascii="Times New Roman" w:hAnsi="Times New Roman"/>
          <w:sz w:val="24"/>
        </w:rPr>
        <w:t xml:space="preserve">the </w:t>
      </w:r>
      <w:r w:rsidR="001F679A" w:rsidRPr="008C0E7B">
        <w:rPr>
          <w:rFonts w:ascii="Times New Roman" w:hAnsi="Times New Roman"/>
          <w:sz w:val="24"/>
        </w:rPr>
        <w:t>FR</w:t>
      </w:r>
      <w:r w:rsidR="008C0E7B" w:rsidRPr="008C0E7B">
        <w:rPr>
          <w:rFonts w:ascii="Times New Roman" w:hAnsi="Times New Roman"/>
          <w:sz w:val="24"/>
        </w:rPr>
        <w:t xml:space="preserve"> </w:t>
      </w:r>
      <w:r w:rsidR="001F679A" w:rsidRPr="008C0E7B">
        <w:rPr>
          <w:rFonts w:ascii="Times New Roman" w:hAnsi="Times New Roman"/>
          <w:sz w:val="24"/>
        </w:rPr>
        <w:t xml:space="preserve">3066a and </w:t>
      </w:r>
      <w:r w:rsidR="005649BB" w:rsidRPr="008C0E7B">
        <w:rPr>
          <w:rFonts w:ascii="Times New Roman" w:hAnsi="Times New Roman"/>
          <w:sz w:val="24"/>
        </w:rPr>
        <w:t>FR 3066b, such as credit card and mobile payment volumes.</w:t>
      </w:r>
      <w:r w:rsidR="008C0E7B" w:rsidRPr="008C0E7B">
        <w:rPr>
          <w:rFonts w:ascii="Times New Roman" w:hAnsi="Times New Roman"/>
          <w:sz w:val="24"/>
        </w:rPr>
        <w:t xml:space="preserve">  </w:t>
      </w:r>
    </w:p>
    <w:p w:rsidR="008C0E7B" w:rsidRPr="008C0E7B" w:rsidRDefault="008C0E7B" w:rsidP="008C0E7B">
      <w:pPr>
        <w:pStyle w:val="BodyText"/>
        <w:spacing w:after="0"/>
        <w:ind w:firstLine="720"/>
        <w:mirrorIndents/>
        <w:rPr>
          <w:rFonts w:ascii="Times New Roman" w:hAnsi="Times New Roman"/>
          <w:sz w:val="24"/>
        </w:rPr>
      </w:pPr>
    </w:p>
    <w:p w:rsidR="00BA37C4" w:rsidRPr="00434163" w:rsidRDefault="00434163" w:rsidP="008C0E7B">
      <w:pPr>
        <w:pStyle w:val="BodyText"/>
        <w:spacing w:after="0"/>
        <w:ind w:firstLine="720"/>
        <w:mirrorIndents/>
        <w:rPr>
          <w:rFonts w:ascii="Times New Roman" w:hAnsi="Times New Roman"/>
          <w:sz w:val="24"/>
        </w:rPr>
      </w:pPr>
      <w:r w:rsidRPr="00434163">
        <w:rPr>
          <w:rFonts w:ascii="Times New Roman" w:hAnsi="Times New Roman"/>
          <w:sz w:val="24"/>
        </w:rPr>
        <w:t xml:space="preserve">The triennial FR 3066a, FR 3066b, and FR 3066c would provide the information necessary to update and maintain core data on broad trends in the retail payments system.  The FR 3066d would supplement the core data on aggregate volumes and allow </w:t>
      </w:r>
      <w:r>
        <w:rPr>
          <w:rFonts w:ascii="Times New Roman" w:hAnsi="Times New Roman"/>
          <w:sz w:val="24"/>
        </w:rPr>
        <w:t>the Federal Reserve</w:t>
      </w:r>
      <w:r w:rsidRPr="00434163">
        <w:rPr>
          <w:rFonts w:ascii="Times New Roman" w:hAnsi="Times New Roman"/>
          <w:sz w:val="24"/>
        </w:rPr>
        <w:t xml:space="preserve"> flexibility to obtain timely information about developments in the retail payments system that may emerge between the triennial surveys. </w:t>
      </w:r>
      <w:r w:rsidR="00BA37C4" w:rsidRPr="00434163">
        <w:rPr>
          <w:rFonts w:ascii="Times New Roman" w:hAnsi="Times New Roman"/>
          <w:sz w:val="24"/>
        </w:rPr>
        <w:t xml:space="preserve"> </w:t>
      </w:r>
      <w:r w:rsidR="00BA37C4" w:rsidRPr="00B53FF2">
        <w:rPr>
          <w:rFonts w:ascii="Times New Roman" w:hAnsi="Times New Roman"/>
          <w:sz w:val="24"/>
        </w:rPr>
        <w:t xml:space="preserve"> </w:t>
      </w:r>
      <w:r w:rsidR="00B53FF2" w:rsidRPr="00B53FF2">
        <w:rPr>
          <w:rFonts w:ascii="Times New Roman" w:hAnsi="Times New Roman"/>
          <w:sz w:val="24"/>
        </w:rPr>
        <w:t>These data to be collected in the FR 3066 surveys, from a defined set of depository and financial institutions, payment networks, payment issuers, and processors,</w:t>
      </w:r>
      <w:r w:rsidR="00B53FF2" w:rsidRPr="00B53FF2" w:rsidDel="006A1B5D">
        <w:rPr>
          <w:rFonts w:ascii="Times New Roman" w:hAnsi="Times New Roman"/>
          <w:sz w:val="24"/>
        </w:rPr>
        <w:t xml:space="preserve"> </w:t>
      </w:r>
      <w:r w:rsidR="00B53FF2" w:rsidRPr="00B53FF2">
        <w:rPr>
          <w:rFonts w:ascii="Times New Roman" w:hAnsi="Times New Roman"/>
          <w:sz w:val="24"/>
        </w:rPr>
        <w:t>are not available from any other source.</w:t>
      </w:r>
      <w:bookmarkStart w:id="1" w:name="_GoBack"/>
      <w:bookmarkEnd w:id="1"/>
    </w:p>
    <w:p w:rsidR="00096AA7" w:rsidRPr="008C0E7B" w:rsidRDefault="00096AA7" w:rsidP="009C43F9">
      <w:pPr>
        <w:rPr>
          <w:b/>
          <w:szCs w:val="24"/>
        </w:rPr>
      </w:pPr>
    </w:p>
    <w:p w:rsidR="001C11DD" w:rsidRPr="008C0E7B" w:rsidRDefault="007666EC" w:rsidP="009C43F9">
      <w:pPr>
        <w:rPr>
          <w:szCs w:val="24"/>
        </w:rPr>
      </w:pPr>
      <w:r w:rsidRPr="008C0E7B">
        <w:rPr>
          <w:b/>
          <w:szCs w:val="24"/>
        </w:rPr>
        <w:t>Description of Information Collection</w:t>
      </w:r>
    </w:p>
    <w:p w:rsidR="00812013" w:rsidRPr="008C0E7B" w:rsidRDefault="00812013" w:rsidP="009C43F9">
      <w:pPr>
        <w:ind w:firstLine="720"/>
        <w:rPr>
          <w:szCs w:val="24"/>
        </w:rPr>
      </w:pPr>
    </w:p>
    <w:p w:rsidR="00CC3257" w:rsidRPr="008C0E7B" w:rsidRDefault="00CC3257" w:rsidP="009C43F9">
      <w:pPr>
        <w:ind w:firstLine="720"/>
        <w:rPr>
          <w:b/>
          <w:szCs w:val="24"/>
        </w:rPr>
      </w:pPr>
      <w:r w:rsidRPr="008C0E7B">
        <w:rPr>
          <w:b/>
          <w:szCs w:val="24"/>
        </w:rPr>
        <w:t>Depository and Financial Institution Payments Survey (FR 3066a)</w:t>
      </w:r>
    </w:p>
    <w:p w:rsidR="00493855" w:rsidRPr="003C0C50" w:rsidRDefault="00493855" w:rsidP="009C43F9">
      <w:pPr>
        <w:rPr>
          <w:szCs w:val="24"/>
        </w:rPr>
      </w:pPr>
    </w:p>
    <w:p w:rsidR="00BA37C4" w:rsidRPr="008C0E7B" w:rsidRDefault="00BA37C4" w:rsidP="009C43F9">
      <w:pPr>
        <w:ind w:firstLine="720"/>
        <w:rPr>
          <w:szCs w:val="24"/>
        </w:rPr>
      </w:pPr>
      <w:r w:rsidRPr="008C0E7B">
        <w:rPr>
          <w:szCs w:val="24"/>
        </w:rPr>
        <w:t>The survey reference period (the time period for which respondents would report data) is proposed to be March 2013.  Past FRPS surveys used a reference period of March and April, and data were reported separately for each month.</w:t>
      </w:r>
      <w:r w:rsidRPr="008C0E7B">
        <w:rPr>
          <w:rStyle w:val="FootnoteReference"/>
          <w:szCs w:val="24"/>
        </w:rPr>
        <w:footnoteReference w:id="4"/>
      </w:r>
      <w:r w:rsidRPr="008C0E7B">
        <w:rPr>
          <w:szCs w:val="24"/>
        </w:rPr>
        <w:t xml:space="preserve">  </w:t>
      </w:r>
    </w:p>
    <w:p w:rsidR="00BA37C4" w:rsidRPr="008C0E7B" w:rsidRDefault="00BA37C4" w:rsidP="009C43F9">
      <w:pPr>
        <w:rPr>
          <w:szCs w:val="24"/>
        </w:rPr>
      </w:pPr>
    </w:p>
    <w:p w:rsidR="008C6B1F" w:rsidRPr="008C0E7B" w:rsidRDefault="00641F7F" w:rsidP="009C43F9">
      <w:pPr>
        <w:ind w:firstLine="720"/>
        <w:rPr>
          <w:szCs w:val="24"/>
        </w:rPr>
      </w:pPr>
      <w:r w:rsidRPr="008C0E7B">
        <w:rPr>
          <w:szCs w:val="24"/>
        </w:rPr>
        <w:t xml:space="preserve">The </w:t>
      </w:r>
      <w:r w:rsidR="00B46945" w:rsidRPr="008C0E7B">
        <w:rPr>
          <w:szCs w:val="24"/>
        </w:rPr>
        <w:t xml:space="preserve">FR </w:t>
      </w:r>
      <w:r w:rsidR="00D2477E" w:rsidRPr="008C0E7B">
        <w:rPr>
          <w:szCs w:val="24"/>
        </w:rPr>
        <w:t>3066</w:t>
      </w:r>
      <w:r w:rsidR="00B46945" w:rsidRPr="008C0E7B">
        <w:rPr>
          <w:szCs w:val="24"/>
        </w:rPr>
        <w:t>a</w:t>
      </w:r>
      <w:r w:rsidR="00B46945" w:rsidRPr="008C0E7B">
        <w:rPr>
          <w:b/>
          <w:szCs w:val="24"/>
        </w:rPr>
        <w:t xml:space="preserve"> </w:t>
      </w:r>
      <w:r w:rsidR="008C6B1F" w:rsidRPr="008C0E7B">
        <w:rPr>
          <w:szCs w:val="24"/>
        </w:rPr>
        <w:t xml:space="preserve">would comprise </w:t>
      </w:r>
      <w:r w:rsidR="00290F10" w:rsidRPr="008C0E7B">
        <w:rPr>
          <w:szCs w:val="24"/>
        </w:rPr>
        <w:t xml:space="preserve">10 </w:t>
      </w:r>
      <w:r w:rsidR="008C6B1F" w:rsidRPr="008C0E7B">
        <w:rPr>
          <w:szCs w:val="24"/>
        </w:rPr>
        <w:t>sections</w:t>
      </w:r>
      <w:r w:rsidR="00B46945" w:rsidRPr="008C0E7B">
        <w:rPr>
          <w:szCs w:val="24"/>
        </w:rPr>
        <w:t xml:space="preserve"> (respondents </w:t>
      </w:r>
      <w:r w:rsidR="0087038A" w:rsidRPr="008C0E7B">
        <w:rPr>
          <w:szCs w:val="24"/>
        </w:rPr>
        <w:t xml:space="preserve">would </w:t>
      </w:r>
      <w:r w:rsidR="00B46945" w:rsidRPr="008C0E7B">
        <w:rPr>
          <w:szCs w:val="24"/>
        </w:rPr>
        <w:t>only answer sections that apply</w:t>
      </w:r>
      <w:r w:rsidR="004935B4" w:rsidRPr="008C0E7B">
        <w:rPr>
          <w:szCs w:val="24"/>
        </w:rPr>
        <w:t xml:space="preserve"> to their institutions</w:t>
      </w:r>
      <w:r w:rsidR="00B46945" w:rsidRPr="008C0E7B">
        <w:rPr>
          <w:szCs w:val="24"/>
        </w:rPr>
        <w:t>)</w:t>
      </w:r>
      <w:r w:rsidR="008C6B1F" w:rsidRPr="008C0E7B">
        <w:rPr>
          <w:szCs w:val="24"/>
        </w:rPr>
        <w:t xml:space="preserve">:  </w:t>
      </w:r>
    </w:p>
    <w:p w:rsidR="008C0E7B" w:rsidRPr="008C0E7B" w:rsidRDefault="008C0E7B" w:rsidP="009C43F9">
      <w:pPr>
        <w:ind w:firstLine="720"/>
        <w:rPr>
          <w:szCs w:val="24"/>
        </w:rPr>
      </w:pPr>
    </w:p>
    <w:p w:rsidR="00352FCF" w:rsidRPr="008C0E7B" w:rsidRDefault="00AA7437" w:rsidP="009C43F9">
      <w:pPr>
        <w:pStyle w:val="ListParagraph"/>
        <w:numPr>
          <w:ilvl w:val="0"/>
          <w:numId w:val="13"/>
        </w:numPr>
        <w:contextualSpacing w:val="0"/>
        <w:rPr>
          <w:rFonts w:ascii="Times New Roman" w:hAnsi="Times New Roman"/>
          <w:b/>
          <w:sz w:val="24"/>
        </w:rPr>
      </w:pPr>
      <w:r w:rsidRPr="008C0E7B">
        <w:rPr>
          <w:rFonts w:ascii="Times New Roman" w:hAnsi="Times New Roman"/>
          <w:b/>
          <w:sz w:val="24"/>
        </w:rPr>
        <w:t xml:space="preserve">Institution </w:t>
      </w:r>
      <w:r w:rsidR="00290F10" w:rsidRPr="008C0E7B">
        <w:rPr>
          <w:rFonts w:ascii="Times New Roman" w:hAnsi="Times New Roman"/>
          <w:b/>
          <w:sz w:val="24"/>
        </w:rPr>
        <w:t>P</w:t>
      </w:r>
      <w:r w:rsidRPr="008C0E7B">
        <w:rPr>
          <w:rFonts w:ascii="Times New Roman" w:hAnsi="Times New Roman"/>
          <w:b/>
          <w:sz w:val="24"/>
        </w:rPr>
        <w:t xml:space="preserve">rofile:  </w:t>
      </w:r>
      <w:r w:rsidRPr="008C0E7B">
        <w:rPr>
          <w:rFonts w:ascii="Times New Roman" w:hAnsi="Times New Roman"/>
          <w:sz w:val="24"/>
        </w:rPr>
        <w:t xml:space="preserve">Respondents </w:t>
      </w:r>
      <w:r w:rsidR="0067161C" w:rsidRPr="008C0E7B">
        <w:rPr>
          <w:rFonts w:ascii="Times New Roman" w:hAnsi="Times New Roman"/>
          <w:sz w:val="24"/>
        </w:rPr>
        <w:t xml:space="preserve">would </w:t>
      </w:r>
      <w:r w:rsidRPr="008C0E7B">
        <w:rPr>
          <w:rFonts w:ascii="Times New Roman" w:hAnsi="Times New Roman"/>
          <w:sz w:val="24"/>
        </w:rPr>
        <w:t xml:space="preserve">verify </w:t>
      </w:r>
      <w:r w:rsidR="00DF297E" w:rsidRPr="008C0E7B">
        <w:rPr>
          <w:rFonts w:ascii="Times New Roman" w:hAnsi="Times New Roman"/>
          <w:sz w:val="24"/>
        </w:rPr>
        <w:t>which</w:t>
      </w:r>
      <w:r w:rsidRPr="008C0E7B">
        <w:rPr>
          <w:rFonts w:ascii="Times New Roman" w:hAnsi="Times New Roman"/>
          <w:sz w:val="24"/>
        </w:rPr>
        <w:t xml:space="preserve"> affiliates </w:t>
      </w:r>
      <w:r w:rsidR="00DF297E" w:rsidRPr="008C0E7B">
        <w:rPr>
          <w:rFonts w:ascii="Times New Roman" w:hAnsi="Times New Roman"/>
          <w:sz w:val="24"/>
        </w:rPr>
        <w:t xml:space="preserve">are </w:t>
      </w:r>
      <w:r w:rsidRPr="008C0E7B">
        <w:rPr>
          <w:rFonts w:ascii="Times New Roman" w:hAnsi="Times New Roman"/>
          <w:sz w:val="24"/>
        </w:rPr>
        <w:t>associated with their survey response</w:t>
      </w:r>
      <w:r w:rsidR="0067161C" w:rsidRPr="008C0E7B">
        <w:rPr>
          <w:rFonts w:ascii="Times New Roman" w:hAnsi="Times New Roman"/>
          <w:sz w:val="24"/>
        </w:rPr>
        <w:t>s and provide corrections</w:t>
      </w:r>
      <w:r w:rsidRPr="008C0E7B">
        <w:rPr>
          <w:rFonts w:ascii="Times New Roman" w:hAnsi="Times New Roman"/>
          <w:sz w:val="24"/>
        </w:rPr>
        <w:t>.</w:t>
      </w:r>
    </w:p>
    <w:p w:rsidR="009C43F9" w:rsidRPr="008C0E7B" w:rsidRDefault="009C43F9" w:rsidP="009C43F9">
      <w:pPr>
        <w:ind w:left="360"/>
        <w:rPr>
          <w:b/>
          <w:szCs w:val="24"/>
        </w:rPr>
      </w:pPr>
    </w:p>
    <w:p w:rsidR="00AA7437" w:rsidRPr="008C0E7B" w:rsidRDefault="00AA7437" w:rsidP="009F21C3">
      <w:pPr>
        <w:pStyle w:val="ListParagraph"/>
        <w:widowControl/>
        <w:numPr>
          <w:ilvl w:val="0"/>
          <w:numId w:val="13"/>
        </w:numPr>
        <w:contextualSpacing w:val="0"/>
        <w:rPr>
          <w:rFonts w:ascii="Times New Roman" w:hAnsi="Times New Roman"/>
          <w:b/>
          <w:sz w:val="24"/>
        </w:rPr>
      </w:pPr>
      <w:r w:rsidRPr="008C0E7B">
        <w:rPr>
          <w:rFonts w:ascii="Times New Roman" w:hAnsi="Times New Roman"/>
          <w:b/>
          <w:sz w:val="24"/>
        </w:rPr>
        <w:lastRenderedPageBreak/>
        <w:t xml:space="preserve">Customer </w:t>
      </w:r>
      <w:r w:rsidR="00290F10" w:rsidRPr="008C0E7B">
        <w:rPr>
          <w:rFonts w:ascii="Times New Roman" w:hAnsi="Times New Roman"/>
          <w:b/>
          <w:sz w:val="24"/>
        </w:rPr>
        <w:t>A</w:t>
      </w:r>
      <w:r w:rsidRPr="008C0E7B">
        <w:rPr>
          <w:rFonts w:ascii="Times New Roman" w:hAnsi="Times New Roman"/>
          <w:b/>
          <w:sz w:val="24"/>
        </w:rPr>
        <w:t xml:space="preserve">ccounts: </w:t>
      </w:r>
      <w:r w:rsidRPr="008C0E7B">
        <w:rPr>
          <w:rFonts w:ascii="Times New Roman" w:hAnsi="Times New Roman"/>
          <w:sz w:val="24"/>
        </w:rPr>
        <w:t xml:space="preserve"> </w:t>
      </w:r>
      <w:r w:rsidR="008509BD" w:rsidRPr="008C0E7B">
        <w:rPr>
          <w:rFonts w:ascii="Times New Roman" w:hAnsi="Times New Roman"/>
          <w:sz w:val="24"/>
        </w:rPr>
        <w:t>Respondents would report the number of and value of customers’ deposits in transaction accounts, funds in prepaid card program accounts, and balances in credit card accounts broken out into subcategories.  Transaction deposit accounts would be broken out into subcategories of consumer accounts and business/government accounts; prepaid card program accounts would be broken out into subcategories of customer accounts managed by the respondents’ institutions and customer accounts managed by third parties; and credit card accounts would be broken out into subcategories of consumer accounts and business/government accounts.  Respondents would also report the number of outstanding and active (during Q1 2013) payment cards associated with these accounts.</w:t>
      </w:r>
      <w:r w:rsidR="00902537" w:rsidRPr="008C0E7B">
        <w:rPr>
          <w:rStyle w:val="FootnoteReference"/>
          <w:rFonts w:ascii="Times New Roman" w:hAnsi="Times New Roman"/>
          <w:color w:val="000000"/>
          <w:sz w:val="24"/>
        </w:rPr>
        <w:footnoteReference w:id="5"/>
      </w:r>
    </w:p>
    <w:p w:rsidR="009C43F9" w:rsidRPr="008C0E7B" w:rsidRDefault="009C43F9" w:rsidP="009C43F9">
      <w:pPr>
        <w:rPr>
          <w:b/>
          <w:szCs w:val="24"/>
        </w:rPr>
      </w:pPr>
    </w:p>
    <w:p w:rsidR="008F1BB5" w:rsidRPr="008C0E7B" w:rsidRDefault="008F1BB5" w:rsidP="009C43F9">
      <w:pPr>
        <w:pStyle w:val="ListParagraph"/>
        <w:numPr>
          <w:ilvl w:val="0"/>
          <w:numId w:val="13"/>
        </w:numPr>
        <w:contextualSpacing w:val="0"/>
        <w:rPr>
          <w:rFonts w:ascii="Times New Roman" w:hAnsi="Times New Roman"/>
          <w:b/>
          <w:sz w:val="24"/>
        </w:rPr>
      </w:pPr>
      <w:r w:rsidRPr="008C0E7B">
        <w:rPr>
          <w:rFonts w:ascii="Times New Roman" w:hAnsi="Times New Roman"/>
          <w:b/>
          <w:sz w:val="24"/>
        </w:rPr>
        <w:t>Check</w:t>
      </w:r>
      <w:r w:rsidR="00290F10" w:rsidRPr="008C0E7B">
        <w:rPr>
          <w:rFonts w:ascii="Times New Roman" w:hAnsi="Times New Roman"/>
          <w:b/>
          <w:sz w:val="24"/>
        </w:rPr>
        <w:t>s</w:t>
      </w:r>
      <w:r w:rsidR="008C6B1F" w:rsidRPr="008C0E7B">
        <w:rPr>
          <w:rFonts w:ascii="Times New Roman" w:hAnsi="Times New Roman"/>
          <w:b/>
          <w:sz w:val="24"/>
        </w:rPr>
        <w:t>:</w:t>
      </w:r>
      <w:r w:rsidR="00B54487" w:rsidRPr="008C0E7B">
        <w:rPr>
          <w:rFonts w:ascii="Times New Roman" w:hAnsi="Times New Roman"/>
          <w:b/>
          <w:sz w:val="24"/>
        </w:rPr>
        <w:t xml:space="preserve"> </w:t>
      </w:r>
    </w:p>
    <w:p w:rsidR="008C6B1F" w:rsidRPr="008C0E7B" w:rsidRDefault="003E304A" w:rsidP="009C43F9">
      <w:pPr>
        <w:pStyle w:val="ListParagraph"/>
        <w:numPr>
          <w:ilvl w:val="1"/>
          <w:numId w:val="13"/>
        </w:numPr>
        <w:contextualSpacing w:val="0"/>
        <w:rPr>
          <w:rFonts w:ascii="Times New Roman" w:hAnsi="Times New Roman"/>
          <w:b/>
          <w:sz w:val="24"/>
        </w:rPr>
      </w:pPr>
      <w:r w:rsidRPr="008C0E7B">
        <w:rPr>
          <w:rFonts w:ascii="Times New Roman" w:hAnsi="Times New Roman"/>
          <w:b/>
          <w:sz w:val="24"/>
        </w:rPr>
        <w:t xml:space="preserve">Check Payments: </w:t>
      </w:r>
      <w:r w:rsidRPr="008C0E7B">
        <w:rPr>
          <w:rFonts w:ascii="Times New Roman" w:hAnsi="Times New Roman"/>
          <w:sz w:val="24"/>
        </w:rPr>
        <w:t>Respondents would report the number and value of checks drawn on their institutions by subcategories needed to identify interbank checks and avoid double-counting correspondent volumes.</w:t>
      </w:r>
    </w:p>
    <w:p w:rsidR="008C6B1F" w:rsidRPr="008C0E7B" w:rsidRDefault="003E304A" w:rsidP="009C43F9">
      <w:pPr>
        <w:pStyle w:val="ListParagraph"/>
        <w:numPr>
          <w:ilvl w:val="1"/>
          <w:numId w:val="13"/>
        </w:numPr>
        <w:contextualSpacing w:val="0"/>
        <w:rPr>
          <w:rFonts w:ascii="Times New Roman" w:hAnsi="Times New Roman"/>
          <w:b/>
          <w:sz w:val="24"/>
        </w:rPr>
      </w:pPr>
      <w:r w:rsidRPr="008C0E7B">
        <w:rPr>
          <w:rFonts w:ascii="Times New Roman" w:hAnsi="Times New Roman"/>
          <w:b/>
          <w:sz w:val="24"/>
        </w:rPr>
        <w:t xml:space="preserve">Check Deposits: </w:t>
      </w:r>
      <w:r w:rsidRPr="008C0E7B">
        <w:rPr>
          <w:rFonts w:ascii="Times New Roman" w:hAnsi="Times New Roman"/>
          <w:sz w:val="24"/>
        </w:rPr>
        <w:t>Respondents would report the number and value of deposited checks, including the number and value of paper check deposits and image check deposits broken out into consumer client image capture, business customer client image capture, and correspondent checks.  For image deposits, the section would also obtain information on  the types of customer check image deposits accepted, including whether respondents’ institutions accepted image deposits from customers using a remote scanner attached to a PC or point-of-sale device, smartphone or other mobile device, or ATM image capture (envelope-free deposits).</w:t>
      </w:r>
      <w:r w:rsidR="00CC241F" w:rsidRPr="008C0E7B">
        <w:rPr>
          <w:rStyle w:val="FootnoteReference"/>
          <w:rFonts w:ascii="Times New Roman" w:hAnsi="Times New Roman"/>
          <w:sz w:val="24"/>
        </w:rPr>
        <w:footnoteReference w:id="6"/>
      </w:r>
    </w:p>
    <w:p w:rsidR="00577C41" w:rsidRPr="008C0E7B" w:rsidRDefault="00C52DAD" w:rsidP="009C43F9">
      <w:pPr>
        <w:pStyle w:val="ListParagraph"/>
        <w:widowControl/>
        <w:numPr>
          <w:ilvl w:val="1"/>
          <w:numId w:val="13"/>
        </w:numPr>
        <w:contextualSpacing w:val="0"/>
        <w:rPr>
          <w:rFonts w:ascii="Times New Roman" w:hAnsi="Times New Roman"/>
          <w:b/>
          <w:sz w:val="24"/>
        </w:rPr>
      </w:pPr>
      <w:r w:rsidRPr="008C0E7B">
        <w:rPr>
          <w:rFonts w:ascii="Times New Roman" w:hAnsi="Times New Roman"/>
          <w:b/>
          <w:sz w:val="24"/>
        </w:rPr>
        <w:t xml:space="preserve">Outgoing Check Returns: </w:t>
      </w:r>
      <w:r w:rsidRPr="008C0E7B">
        <w:rPr>
          <w:rFonts w:ascii="Times New Roman" w:hAnsi="Times New Roman"/>
          <w:sz w:val="24"/>
        </w:rPr>
        <w:t>Respondents would report the number and value of outgoing returned checks.</w:t>
      </w:r>
    </w:p>
    <w:p w:rsidR="009C43F9" w:rsidRPr="008C0E7B" w:rsidRDefault="009C43F9" w:rsidP="009C43F9">
      <w:pPr>
        <w:pStyle w:val="ListParagraph"/>
        <w:widowControl/>
        <w:ind w:left="1440"/>
        <w:contextualSpacing w:val="0"/>
        <w:rPr>
          <w:rFonts w:ascii="Times New Roman" w:hAnsi="Times New Roman"/>
          <w:b/>
          <w:sz w:val="24"/>
        </w:rPr>
      </w:pPr>
    </w:p>
    <w:p w:rsidR="008C6B1F" w:rsidRPr="008C0E7B" w:rsidRDefault="008C6B1F" w:rsidP="009C43F9">
      <w:pPr>
        <w:pStyle w:val="ListParagraph"/>
        <w:numPr>
          <w:ilvl w:val="0"/>
          <w:numId w:val="13"/>
        </w:numPr>
        <w:contextualSpacing w:val="0"/>
        <w:rPr>
          <w:rFonts w:ascii="Times New Roman" w:hAnsi="Times New Roman"/>
          <w:b/>
          <w:sz w:val="24"/>
        </w:rPr>
      </w:pPr>
      <w:r w:rsidRPr="008C0E7B">
        <w:rPr>
          <w:rFonts w:ascii="Times New Roman" w:hAnsi="Times New Roman"/>
          <w:b/>
          <w:sz w:val="24"/>
        </w:rPr>
        <w:t>ACH:</w:t>
      </w:r>
      <w:r w:rsidR="00B22A0C" w:rsidRPr="008C0E7B">
        <w:rPr>
          <w:rStyle w:val="FootnoteReference"/>
          <w:rFonts w:ascii="Times New Roman" w:hAnsi="Times New Roman"/>
          <w:b/>
          <w:sz w:val="24"/>
        </w:rPr>
        <w:footnoteReference w:id="7"/>
      </w:r>
      <w:r w:rsidR="00FD3B15" w:rsidRPr="008C0E7B">
        <w:rPr>
          <w:rFonts w:ascii="Times New Roman" w:hAnsi="Times New Roman"/>
          <w:b/>
          <w:sz w:val="24"/>
        </w:rPr>
        <w:t xml:space="preserve"> </w:t>
      </w:r>
    </w:p>
    <w:p w:rsidR="00B22A0C" w:rsidRPr="008C0E7B" w:rsidRDefault="00B22A0C" w:rsidP="009C43F9">
      <w:pPr>
        <w:pStyle w:val="ListParagraph"/>
        <w:numPr>
          <w:ilvl w:val="1"/>
          <w:numId w:val="13"/>
        </w:numPr>
        <w:contextualSpacing w:val="0"/>
        <w:rPr>
          <w:rFonts w:ascii="Times New Roman" w:hAnsi="Times New Roman"/>
          <w:b/>
          <w:sz w:val="24"/>
        </w:rPr>
      </w:pPr>
      <w:r w:rsidRPr="008C0E7B">
        <w:rPr>
          <w:rFonts w:ascii="Times New Roman" w:hAnsi="Times New Roman"/>
          <w:b/>
          <w:sz w:val="24"/>
        </w:rPr>
        <w:t xml:space="preserve">Network ACH Entries: </w:t>
      </w:r>
      <w:r w:rsidRPr="008C0E7B">
        <w:rPr>
          <w:rFonts w:ascii="Times New Roman" w:hAnsi="Times New Roman"/>
          <w:sz w:val="24"/>
        </w:rPr>
        <w:t>Respondents would report the number and value of interbank ACH credits originated and ACH debits received through network operators, including the number and value of “offset entries.”</w:t>
      </w:r>
    </w:p>
    <w:p w:rsidR="00B22A0C" w:rsidRPr="008C0E7B" w:rsidRDefault="00B22A0C" w:rsidP="009C43F9">
      <w:pPr>
        <w:pStyle w:val="ListParagraph"/>
        <w:numPr>
          <w:ilvl w:val="1"/>
          <w:numId w:val="13"/>
        </w:numPr>
        <w:contextualSpacing w:val="0"/>
        <w:rPr>
          <w:rFonts w:ascii="Times New Roman" w:hAnsi="Times New Roman"/>
          <w:b/>
          <w:sz w:val="24"/>
        </w:rPr>
      </w:pPr>
      <w:r w:rsidRPr="008C0E7B">
        <w:rPr>
          <w:rFonts w:ascii="Times New Roman" w:hAnsi="Times New Roman"/>
          <w:b/>
          <w:sz w:val="24"/>
        </w:rPr>
        <w:t xml:space="preserve">Direct Exchange ACH Entries: </w:t>
      </w:r>
      <w:r w:rsidRPr="008C0E7B">
        <w:rPr>
          <w:rFonts w:ascii="Times New Roman" w:hAnsi="Times New Roman"/>
          <w:sz w:val="24"/>
        </w:rPr>
        <w:t>Respondents would report the number and value of interbank ACH credits originated and debits received directly from other institutions rather than through network operators.</w:t>
      </w:r>
    </w:p>
    <w:p w:rsidR="008C6B1F" w:rsidRPr="008C0E7B" w:rsidRDefault="00B22A0C" w:rsidP="009C43F9">
      <w:pPr>
        <w:pStyle w:val="ListParagraph"/>
        <w:numPr>
          <w:ilvl w:val="1"/>
          <w:numId w:val="13"/>
        </w:numPr>
        <w:contextualSpacing w:val="0"/>
        <w:rPr>
          <w:rFonts w:ascii="Times New Roman" w:hAnsi="Times New Roman"/>
          <w:b/>
          <w:sz w:val="24"/>
        </w:rPr>
      </w:pPr>
      <w:r w:rsidRPr="008C0E7B">
        <w:rPr>
          <w:rFonts w:ascii="Times New Roman" w:hAnsi="Times New Roman"/>
          <w:b/>
          <w:sz w:val="24"/>
        </w:rPr>
        <w:t xml:space="preserve">In-House On-Us ACH Entries: </w:t>
      </w:r>
      <w:r w:rsidRPr="008C0E7B">
        <w:rPr>
          <w:rFonts w:ascii="Times New Roman" w:hAnsi="Times New Roman"/>
          <w:sz w:val="24"/>
        </w:rPr>
        <w:t xml:space="preserve">Respondents would report the number and value </w:t>
      </w:r>
      <w:r w:rsidRPr="008C0E7B">
        <w:rPr>
          <w:rFonts w:ascii="Times New Roman" w:hAnsi="Times New Roman"/>
          <w:sz w:val="24"/>
        </w:rPr>
        <w:lastRenderedPageBreak/>
        <w:t xml:space="preserve">of in-house on-us credits originated and debits received by their institutions, including the number and value of “offset entries.” </w:t>
      </w:r>
      <w:r w:rsidR="00906319" w:rsidRPr="008C0E7B">
        <w:rPr>
          <w:rFonts w:ascii="Times New Roman" w:hAnsi="Times New Roman"/>
          <w:sz w:val="24"/>
        </w:rPr>
        <w:t xml:space="preserve"> </w:t>
      </w:r>
    </w:p>
    <w:p w:rsidR="009C43F9" w:rsidRPr="008C0E7B" w:rsidRDefault="009C43F9" w:rsidP="009C43F9">
      <w:pPr>
        <w:pStyle w:val="ListParagraph"/>
        <w:ind w:left="1440"/>
        <w:contextualSpacing w:val="0"/>
        <w:rPr>
          <w:rFonts w:ascii="Times New Roman" w:hAnsi="Times New Roman"/>
          <w:b/>
          <w:sz w:val="24"/>
        </w:rPr>
      </w:pPr>
    </w:p>
    <w:p w:rsidR="00AA7437" w:rsidRPr="008C0E7B" w:rsidRDefault="009B44D9" w:rsidP="009F21C3">
      <w:pPr>
        <w:pStyle w:val="ListParagraph"/>
        <w:widowControl/>
        <w:numPr>
          <w:ilvl w:val="0"/>
          <w:numId w:val="13"/>
        </w:numPr>
        <w:contextualSpacing w:val="0"/>
        <w:rPr>
          <w:rFonts w:ascii="Times New Roman" w:hAnsi="Times New Roman"/>
          <w:b/>
          <w:i/>
          <w:sz w:val="24"/>
        </w:rPr>
      </w:pPr>
      <w:r w:rsidRPr="008C0E7B">
        <w:rPr>
          <w:rFonts w:ascii="Times New Roman" w:hAnsi="Times New Roman"/>
          <w:b/>
          <w:sz w:val="24"/>
        </w:rPr>
        <w:t xml:space="preserve">Wire Transfers: </w:t>
      </w:r>
      <w:r w:rsidRPr="008C0E7B">
        <w:rPr>
          <w:rFonts w:ascii="Times New Roman" w:hAnsi="Times New Roman"/>
          <w:sz w:val="24"/>
        </w:rPr>
        <w:t>Respondents would report the number and value of wire transfers originated for nonbank customers (a type of retail payment), including the number and value of consumer and business/government wire transfers and the number and value of wire transfers to U.S. and foreign payees</w:t>
      </w:r>
      <w:r w:rsidR="00AA7437" w:rsidRPr="008C0E7B">
        <w:rPr>
          <w:rFonts w:ascii="Times New Roman" w:hAnsi="Times New Roman"/>
          <w:sz w:val="24"/>
        </w:rPr>
        <w:t>.</w:t>
      </w:r>
      <w:r w:rsidR="00CC241F" w:rsidRPr="008C0E7B">
        <w:rPr>
          <w:rStyle w:val="FootnoteReference"/>
          <w:rFonts w:ascii="Times New Roman" w:hAnsi="Times New Roman"/>
          <w:sz w:val="24"/>
        </w:rPr>
        <w:footnoteReference w:id="8"/>
      </w:r>
    </w:p>
    <w:p w:rsidR="00AB7D30" w:rsidRPr="008C0E7B" w:rsidRDefault="00AB7D30" w:rsidP="009C43F9">
      <w:pPr>
        <w:ind w:left="360"/>
        <w:rPr>
          <w:szCs w:val="24"/>
        </w:rPr>
      </w:pPr>
    </w:p>
    <w:p w:rsidR="009C43F9" w:rsidRPr="008C0E7B" w:rsidRDefault="001374FB" w:rsidP="009C43F9">
      <w:pPr>
        <w:pStyle w:val="ListParagraph"/>
        <w:numPr>
          <w:ilvl w:val="0"/>
          <w:numId w:val="13"/>
        </w:numPr>
        <w:contextualSpacing w:val="0"/>
        <w:rPr>
          <w:rFonts w:ascii="Times New Roman" w:hAnsi="Times New Roman"/>
          <w:b/>
          <w:i/>
          <w:sz w:val="24"/>
        </w:rPr>
      </w:pPr>
      <w:r w:rsidRPr="008C0E7B">
        <w:rPr>
          <w:rFonts w:ascii="Times New Roman" w:hAnsi="Times New Roman"/>
          <w:b/>
          <w:sz w:val="24"/>
        </w:rPr>
        <w:t xml:space="preserve">Debit and Prepaid Cards: </w:t>
      </w:r>
      <w:r w:rsidRPr="008C0E7B">
        <w:rPr>
          <w:rFonts w:ascii="Times New Roman" w:hAnsi="Times New Roman"/>
          <w:sz w:val="24"/>
        </w:rPr>
        <w:t>Respondents would report the number and value of debit and prepaid card transactions for cards issued by their institutions, including the number and value of signature and PIN transactions, the number and value of debit card transactions from transaction deposit accounts, and the number and value of prepaid card transactions.  Respondents would also report the number and value of cash back transactions.</w:t>
      </w:r>
    </w:p>
    <w:p w:rsidR="008C6B1F" w:rsidRPr="008C0E7B" w:rsidRDefault="003A5B96" w:rsidP="009C43F9">
      <w:pPr>
        <w:rPr>
          <w:b/>
          <w:i/>
          <w:szCs w:val="24"/>
        </w:rPr>
      </w:pPr>
      <w:r w:rsidRPr="008C0E7B">
        <w:rPr>
          <w:szCs w:val="24"/>
        </w:rPr>
        <w:t xml:space="preserve">  </w:t>
      </w:r>
    </w:p>
    <w:p w:rsidR="009C43F9" w:rsidRPr="008C0E7B" w:rsidRDefault="001374FB" w:rsidP="009C43F9">
      <w:pPr>
        <w:pStyle w:val="ListParagraph"/>
        <w:numPr>
          <w:ilvl w:val="0"/>
          <w:numId w:val="13"/>
        </w:numPr>
        <w:contextualSpacing w:val="0"/>
        <w:rPr>
          <w:rFonts w:ascii="Times New Roman" w:hAnsi="Times New Roman"/>
          <w:b/>
          <w:sz w:val="24"/>
        </w:rPr>
      </w:pPr>
      <w:r w:rsidRPr="008C0E7B">
        <w:rPr>
          <w:rFonts w:ascii="Times New Roman" w:hAnsi="Times New Roman"/>
          <w:b/>
          <w:sz w:val="24"/>
        </w:rPr>
        <w:t xml:space="preserve">Credit Cards: </w:t>
      </w:r>
      <w:r w:rsidRPr="008C0E7B">
        <w:rPr>
          <w:rFonts w:ascii="Times New Roman" w:hAnsi="Times New Roman"/>
          <w:sz w:val="24"/>
        </w:rPr>
        <w:t xml:space="preserve">Respondents would report the number and value of total credit card </w:t>
      </w:r>
    </w:p>
    <w:p w:rsidR="00FE35FF" w:rsidRPr="008C0E7B" w:rsidRDefault="001374FB" w:rsidP="009C43F9">
      <w:pPr>
        <w:pStyle w:val="ListParagraph"/>
        <w:contextualSpacing w:val="0"/>
        <w:rPr>
          <w:rFonts w:ascii="Times New Roman" w:hAnsi="Times New Roman"/>
          <w:b/>
          <w:sz w:val="24"/>
        </w:rPr>
      </w:pPr>
      <w:r w:rsidRPr="008C0E7B">
        <w:rPr>
          <w:rFonts w:ascii="Times New Roman" w:hAnsi="Times New Roman"/>
          <w:sz w:val="24"/>
        </w:rPr>
        <w:t>transactions for cards issued by their institutions, including the number and value of consumer and business/government credit card transactions and the number and value of cash advances.</w:t>
      </w:r>
      <w:r w:rsidR="00FE35FF" w:rsidRPr="008C0E7B">
        <w:rPr>
          <w:rFonts w:ascii="Times New Roman" w:hAnsi="Times New Roman"/>
          <w:b/>
          <w:sz w:val="24"/>
        </w:rPr>
        <w:t xml:space="preserve"> </w:t>
      </w:r>
    </w:p>
    <w:p w:rsidR="009C43F9" w:rsidRPr="008C0E7B" w:rsidRDefault="009C43F9" w:rsidP="009C43F9">
      <w:pPr>
        <w:pStyle w:val="ListParagraph"/>
        <w:contextualSpacing w:val="0"/>
        <w:rPr>
          <w:rFonts w:ascii="Times New Roman" w:hAnsi="Times New Roman"/>
          <w:b/>
          <w:sz w:val="24"/>
        </w:rPr>
      </w:pPr>
    </w:p>
    <w:p w:rsidR="00881D92" w:rsidRPr="008C0E7B" w:rsidRDefault="00881D92" w:rsidP="009C43F9">
      <w:pPr>
        <w:pStyle w:val="ListParagraph"/>
        <w:numPr>
          <w:ilvl w:val="0"/>
          <w:numId w:val="13"/>
        </w:numPr>
        <w:contextualSpacing w:val="0"/>
        <w:rPr>
          <w:rFonts w:ascii="Times New Roman" w:hAnsi="Times New Roman"/>
          <w:sz w:val="24"/>
        </w:rPr>
      </w:pPr>
      <w:r w:rsidRPr="008C0E7B">
        <w:rPr>
          <w:rFonts w:ascii="Times New Roman" w:hAnsi="Times New Roman"/>
          <w:b/>
          <w:sz w:val="24"/>
        </w:rPr>
        <w:t>Cash</w:t>
      </w:r>
      <w:r w:rsidR="003A5B96" w:rsidRPr="008C0E7B">
        <w:rPr>
          <w:rFonts w:ascii="Times New Roman" w:hAnsi="Times New Roman"/>
          <w:b/>
          <w:sz w:val="24"/>
        </w:rPr>
        <w:t>:</w:t>
      </w:r>
    </w:p>
    <w:p w:rsidR="00881D92" w:rsidRPr="008C0E7B" w:rsidRDefault="001374FB" w:rsidP="009C43F9">
      <w:pPr>
        <w:pStyle w:val="ListParagraph"/>
        <w:numPr>
          <w:ilvl w:val="1"/>
          <w:numId w:val="13"/>
        </w:numPr>
        <w:contextualSpacing w:val="0"/>
        <w:rPr>
          <w:rFonts w:ascii="Times New Roman" w:hAnsi="Times New Roman"/>
          <w:b/>
          <w:sz w:val="24"/>
        </w:rPr>
      </w:pPr>
      <w:r w:rsidRPr="008C0E7B">
        <w:rPr>
          <w:rFonts w:ascii="Times New Roman" w:hAnsi="Times New Roman"/>
          <w:b/>
          <w:sz w:val="24"/>
        </w:rPr>
        <w:t xml:space="preserve">Cash Withdrawals: </w:t>
      </w:r>
      <w:r w:rsidRPr="008C0E7B">
        <w:rPr>
          <w:rFonts w:ascii="Times New Roman" w:hAnsi="Times New Roman"/>
          <w:sz w:val="24"/>
        </w:rPr>
        <w:t>Respondents would report the number and value of cash withdrawals at branch locations, wholesale vaults, and ATMs, including the number and value of cash withdrawals at ATMs from transaction deposit accounts and prepaid card program accounts.</w:t>
      </w:r>
      <w:r w:rsidR="00054AC6" w:rsidRPr="008C0E7B">
        <w:rPr>
          <w:rStyle w:val="FootnoteReference"/>
          <w:rFonts w:ascii="Times New Roman" w:hAnsi="Times New Roman"/>
          <w:sz w:val="24"/>
        </w:rPr>
        <w:footnoteReference w:id="9"/>
      </w:r>
    </w:p>
    <w:p w:rsidR="00881D92" w:rsidRPr="008C0E7B" w:rsidRDefault="00881D92" w:rsidP="009C43F9">
      <w:pPr>
        <w:pStyle w:val="ListParagraph"/>
        <w:numPr>
          <w:ilvl w:val="1"/>
          <w:numId w:val="13"/>
        </w:numPr>
        <w:contextualSpacing w:val="0"/>
        <w:rPr>
          <w:rFonts w:ascii="Times New Roman" w:hAnsi="Times New Roman"/>
          <w:b/>
          <w:sz w:val="24"/>
        </w:rPr>
      </w:pPr>
      <w:r w:rsidRPr="008C0E7B">
        <w:rPr>
          <w:rFonts w:ascii="Times New Roman" w:hAnsi="Times New Roman"/>
          <w:b/>
          <w:sz w:val="24"/>
        </w:rPr>
        <w:t xml:space="preserve">Cash Deposits: </w:t>
      </w:r>
      <w:r w:rsidRPr="008C0E7B">
        <w:rPr>
          <w:rFonts w:ascii="Times New Roman" w:hAnsi="Times New Roman"/>
          <w:sz w:val="24"/>
        </w:rPr>
        <w:t>Respondents would report the number and value of cash deposits at branch locations, wholesale vaults, and ATMs.</w:t>
      </w:r>
    </w:p>
    <w:p w:rsidR="00577C41" w:rsidRPr="008C0E7B" w:rsidRDefault="00881D92" w:rsidP="009C43F9">
      <w:pPr>
        <w:pStyle w:val="ListParagraph"/>
        <w:widowControl/>
        <w:numPr>
          <w:ilvl w:val="1"/>
          <w:numId w:val="13"/>
        </w:numPr>
        <w:contextualSpacing w:val="0"/>
        <w:rPr>
          <w:rFonts w:ascii="Times New Roman" w:hAnsi="Times New Roman"/>
          <w:b/>
          <w:sz w:val="24"/>
        </w:rPr>
      </w:pPr>
      <w:r w:rsidRPr="008C0E7B">
        <w:rPr>
          <w:rFonts w:ascii="Times New Roman" w:hAnsi="Times New Roman"/>
          <w:b/>
          <w:sz w:val="24"/>
        </w:rPr>
        <w:t xml:space="preserve">ATM Terminals: </w:t>
      </w:r>
      <w:r w:rsidR="00473D36" w:rsidRPr="008C0E7B">
        <w:rPr>
          <w:rFonts w:ascii="Times New Roman" w:hAnsi="Times New Roman"/>
          <w:sz w:val="24"/>
        </w:rPr>
        <w:t>Respondents would report the number of ATM terminals owned and sponsored by their institutions, including the number of ATM terminals at branch locations and offsite.</w:t>
      </w:r>
      <w:r w:rsidR="00E36D53" w:rsidRPr="008C0E7B">
        <w:rPr>
          <w:rStyle w:val="FootnoteReference"/>
          <w:rFonts w:ascii="Times New Roman" w:hAnsi="Times New Roman"/>
          <w:sz w:val="24"/>
        </w:rPr>
        <w:footnoteReference w:id="10"/>
      </w:r>
    </w:p>
    <w:p w:rsidR="009C43F9" w:rsidRPr="008C0E7B" w:rsidRDefault="009C43F9" w:rsidP="009C43F9">
      <w:pPr>
        <w:pStyle w:val="ListParagraph"/>
        <w:widowControl/>
        <w:ind w:left="1440"/>
        <w:contextualSpacing w:val="0"/>
        <w:rPr>
          <w:rFonts w:ascii="Times New Roman" w:hAnsi="Times New Roman"/>
          <w:b/>
          <w:sz w:val="24"/>
        </w:rPr>
      </w:pPr>
    </w:p>
    <w:p w:rsidR="004402A6" w:rsidRPr="008C0E7B" w:rsidRDefault="001374FB" w:rsidP="009C43F9">
      <w:pPr>
        <w:pStyle w:val="ListParagraph"/>
        <w:widowControl/>
        <w:numPr>
          <w:ilvl w:val="0"/>
          <w:numId w:val="13"/>
        </w:numPr>
        <w:contextualSpacing w:val="0"/>
        <w:rPr>
          <w:rFonts w:ascii="Times New Roman" w:hAnsi="Times New Roman"/>
          <w:b/>
          <w:sz w:val="24"/>
        </w:rPr>
      </w:pPr>
      <w:r w:rsidRPr="008C0E7B">
        <w:rPr>
          <w:rFonts w:ascii="Times New Roman" w:hAnsi="Times New Roman"/>
          <w:b/>
          <w:sz w:val="24"/>
        </w:rPr>
        <w:t xml:space="preserve">Selected Payment Initiation Channels: </w:t>
      </w:r>
      <w:r w:rsidRPr="008C0E7B">
        <w:rPr>
          <w:rFonts w:ascii="Times New Roman" w:hAnsi="Times New Roman"/>
          <w:sz w:val="24"/>
        </w:rPr>
        <w:t>Respondents would report the number and value of online payments and mobile payments, including the number and value of relevant bill pay transactions and person-to-person transfers.</w:t>
      </w:r>
      <w:r w:rsidR="001509EC" w:rsidRPr="008C0E7B">
        <w:rPr>
          <w:rStyle w:val="FootnoteReference"/>
          <w:rFonts w:ascii="Times New Roman" w:hAnsi="Times New Roman"/>
          <w:sz w:val="24"/>
        </w:rPr>
        <w:footnoteReference w:id="11"/>
      </w:r>
    </w:p>
    <w:p w:rsidR="009C43F9" w:rsidRPr="008C0E7B" w:rsidRDefault="009C43F9" w:rsidP="009C43F9">
      <w:pPr>
        <w:pStyle w:val="ListParagraph"/>
        <w:widowControl/>
        <w:contextualSpacing w:val="0"/>
        <w:rPr>
          <w:rFonts w:ascii="Times New Roman" w:hAnsi="Times New Roman"/>
          <w:b/>
          <w:sz w:val="24"/>
        </w:rPr>
      </w:pPr>
    </w:p>
    <w:p w:rsidR="004A6458" w:rsidRPr="008C0E7B" w:rsidRDefault="00F53BE9" w:rsidP="009F21C3">
      <w:pPr>
        <w:pStyle w:val="ListParagraph"/>
        <w:widowControl/>
        <w:numPr>
          <w:ilvl w:val="0"/>
          <w:numId w:val="13"/>
        </w:numPr>
        <w:contextualSpacing w:val="0"/>
        <w:rPr>
          <w:rFonts w:ascii="Times New Roman" w:hAnsi="Times New Roman"/>
          <w:b/>
          <w:sz w:val="24"/>
        </w:rPr>
      </w:pPr>
      <w:r w:rsidRPr="008C0E7B">
        <w:rPr>
          <w:rFonts w:ascii="Times New Roman" w:hAnsi="Times New Roman"/>
          <w:b/>
          <w:sz w:val="24"/>
        </w:rPr>
        <w:lastRenderedPageBreak/>
        <w:t>Third-</w:t>
      </w:r>
      <w:r w:rsidR="00473D36" w:rsidRPr="008C0E7B">
        <w:rPr>
          <w:rFonts w:ascii="Times New Roman" w:hAnsi="Times New Roman"/>
          <w:b/>
          <w:sz w:val="24"/>
        </w:rPr>
        <w:t>P</w:t>
      </w:r>
      <w:r w:rsidRPr="008C0E7B">
        <w:rPr>
          <w:rFonts w:ascii="Times New Roman" w:hAnsi="Times New Roman"/>
          <w:b/>
          <w:sz w:val="24"/>
        </w:rPr>
        <w:t xml:space="preserve">arty </w:t>
      </w:r>
      <w:r w:rsidR="00473D36" w:rsidRPr="008C0E7B">
        <w:rPr>
          <w:rFonts w:ascii="Times New Roman" w:hAnsi="Times New Roman"/>
          <w:b/>
          <w:sz w:val="24"/>
        </w:rPr>
        <w:t>P</w:t>
      </w:r>
      <w:r w:rsidRPr="008C0E7B">
        <w:rPr>
          <w:rFonts w:ascii="Times New Roman" w:hAnsi="Times New Roman"/>
          <w:b/>
          <w:sz w:val="24"/>
        </w:rPr>
        <w:t xml:space="preserve">ayment </w:t>
      </w:r>
      <w:r w:rsidR="00473D36" w:rsidRPr="008C0E7B">
        <w:rPr>
          <w:rFonts w:ascii="Times New Roman" w:hAnsi="Times New Roman"/>
          <w:b/>
          <w:sz w:val="24"/>
        </w:rPr>
        <w:t>F</w:t>
      </w:r>
      <w:r w:rsidRPr="008C0E7B">
        <w:rPr>
          <w:rFonts w:ascii="Times New Roman" w:hAnsi="Times New Roman"/>
          <w:b/>
          <w:sz w:val="24"/>
        </w:rPr>
        <w:t>raud</w:t>
      </w:r>
      <w:r w:rsidR="00015037" w:rsidRPr="008C0E7B">
        <w:rPr>
          <w:rFonts w:ascii="Times New Roman" w:hAnsi="Times New Roman"/>
          <w:b/>
          <w:sz w:val="24"/>
        </w:rPr>
        <w:t>:</w:t>
      </w:r>
      <w:r w:rsidR="00271673" w:rsidRPr="008C0E7B">
        <w:rPr>
          <w:rFonts w:ascii="Times New Roman" w:hAnsi="Times New Roman"/>
          <w:b/>
          <w:sz w:val="24"/>
        </w:rPr>
        <w:t xml:space="preserve"> </w:t>
      </w:r>
      <w:r w:rsidR="00271673" w:rsidRPr="008C0E7B">
        <w:rPr>
          <w:rFonts w:ascii="Times New Roman" w:hAnsi="Times New Roman"/>
          <w:sz w:val="24"/>
        </w:rPr>
        <w:t xml:space="preserve">Respondents would report the number and value of unauthorized check payments, </w:t>
      </w:r>
      <w:r w:rsidR="00473D36" w:rsidRPr="008C0E7B">
        <w:rPr>
          <w:rFonts w:ascii="Times New Roman" w:hAnsi="Times New Roman"/>
          <w:sz w:val="24"/>
        </w:rPr>
        <w:t>unauthorized ACH credits and debits</w:t>
      </w:r>
      <w:r w:rsidR="00271673" w:rsidRPr="008C0E7B">
        <w:rPr>
          <w:rFonts w:ascii="Times New Roman" w:hAnsi="Times New Roman"/>
          <w:sz w:val="24"/>
        </w:rPr>
        <w:t xml:space="preserve">, </w:t>
      </w:r>
      <w:r w:rsidR="00F8771D" w:rsidRPr="008C0E7B">
        <w:rPr>
          <w:rFonts w:ascii="Times New Roman" w:hAnsi="Times New Roman"/>
          <w:sz w:val="24"/>
        </w:rPr>
        <w:t xml:space="preserve">unauthorized </w:t>
      </w:r>
      <w:r w:rsidR="00271673" w:rsidRPr="008C0E7B">
        <w:rPr>
          <w:rFonts w:ascii="Times New Roman" w:hAnsi="Times New Roman"/>
          <w:sz w:val="24"/>
        </w:rPr>
        <w:t xml:space="preserve">debit </w:t>
      </w:r>
      <w:r w:rsidR="000A0DB4" w:rsidRPr="008C0E7B">
        <w:rPr>
          <w:rFonts w:ascii="Times New Roman" w:hAnsi="Times New Roman"/>
          <w:sz w:val="24"/>
        </w:rPr>
        <w:t xml:space="preserve">and prepaid </w:t>
      </w:r>
      <w:r w:rsidR="00271673" w:rsidRPr="008C0E7B">
        <w:rPr>
          <w:rFonts w:ascii="Times New Roman" w:hAnsi="Times New Roman"/>
          <w:sz w:val="24"/>
        </w:rPr>
        <w:t xml:space="preserve">card transactions, </w:t>
      </w:r>
      <w:r w:rsidR="00F8771D" w:rsidRPr="008C0E7B">
        <w:rPr>
          <w:rFonts w:ascii="Times New Roman" w:hAnsi="Times New Roman"/>
          <w:sz w:val="24"/>
        </w:rPr>
        <w:t xml:space="preserve">unauthorized </w:t>
      </w:r>
      <w:r w:rsidR="00271673" w:rsidRPr="008C0E7B">
        <w:rPr>
          <w:rFonts w:ascii="Times New Roman" w:hAnsi="Times New Roman"/>
          <w:sz w:val="24"/>
        </w:rPr>
        <w:t xml:space="preserve">credit card transactions, </w:t>
      </w:r>
      <w:r w:rsidR="00880459" w:rsidRPr="008C0E7B">
        <w:rPr>
          <w:rFonts w:ascii="Times New Roman" w:hAnsi="Times New Roman"/>
          <w:sz w:val="24"/>
        </w:rPr>
        <w:t xml:space="preserve">and </w:t>
      </w:r>
      <w:r w:rsidR="00F8771D" w:rsidRPr="008C0E7B">
        <w:rPr>
          <w:rFonts w:ascii="Times New Roman" w:hAnsi="Times New Roman"/>
          <w:sz w:val="24"/>
        </w:rPr>
        <w:t xml:space="preserve">unauthorized </w:t>
      </w:r>
      <w:r w:rsidR="00880459" w:rsidRPr="008C0E7B">
        <w:rPr>
          <w:rFonts w:ascii="Times New Roman" w:hAnsi="Times New Roman"/>
          <w:sz w:val="24"/>
        </w:rPr>
        <w:t>ATM cash withdrawals.</w:t>
      </w:r>
      <w:r w:rsidR="001509EC" w:rsidRPr="008C0E7B">
        <w:rPr>
          <w:rStyle w:val="FootnoteReference"/>
          <w:rFonts w:ascii="Times New Roman" w:hAnsi="Times New Roman"/>
          <w:sz w:val="24"/>
        </w:rPr>
        <w:footnoteReference w:id="12"/>
      </w:r>
    </w:p>
    <w:p w:rsidR="009F21C3" w:rsidRPr="008C0E7B" w:rsidRDefault="009F21C3" w:rsidP="009C43F9">
      <w:pPr>
        <w:ind w:firstLine="720"/>
        <w:rPr>
          <w:b/>
          <w:szCs w:val="24"/>
        </w:rPr>
      </w:pPr>
    </w:p>
    <w:p w:rsidR="00CC3257" w:rsidRPr="008C0E7B" w:rsidRDefault="00CC3257" w:rsidP="009C43F9">
      <w:pPr>
        <w:ind w:firstLine="720"/>
        <w:rPr>
          <w:b/>
          <w:szCs w:val="24"/>
        </w:rPr>
      </w:pPr>
      <w:r w:rsidRPr="008C0E7B">
        <w:rPr>
          <w:b/>
          <w:szCs w:val="24"/>
        </w:rPr>
        <w:t>Network, Processor, and Issuer Payments Surveys (FR 3066b)</w:t>
      </w:r>
    </w:p>
    <w:p w:rsidR="005A22BC" w:rsidRPr="008C0E7B" w:rsidRDefault="005A22BC" w:rsidP="009C43F9">
      <w:pPr>
        <w:ind w:left="360"/>
        <w:rPr>
          <w:color w:val="000000"/>
          <w:szCs w:val="24"/>
        </w:rPr>
      </w:pPr>
    </w:p>
    <w:p w:rsidR="00765646" w:rsidRPr="008C0E7B" w:rsidRDefault="00CC3257" w:rsidP="009C43F9">
      <w:pPr>
        <w:ind w:firstLine="720"/>
        <w:rPr>
          <w:szCs w:val="24"/>
        </w:rPr>
      </w:pPr>
      <w:r w:rsidRPr="008C0E7B">
        <w:rPr>
          <w:szCs w:val="24"/>
        </w:rPr>
        <w:t>The FR 3066b would cover seven categories of payment instruments, and comprise 16 different surveys, each specific to a particular payment instrument and/or respondent type (respondents would only answer surveys that apply to their organizations):</w:t>
      </w:r>
      <w:r w:rsidR="00765646" w:rsidRPr="008C0E7B">
        <w:rPr>
          <w:szCs w:val="24"/>
        </w:rPr>
        <w:t xml:space="preserve">  </w:t>
      </w:r>
    </w:p>
    <w:p w:rsidR="009C43F9" w:rsidRPr="008C0E7B" w:rsidRDefault="009C43F9" w:rsidP="009C43F9">
      <w:pPr>
        <w:ind w:firstLine="720"/>
        <w:rPr>
          <w:szCs w:val="24"/>
        </w:rPr>
      </w:pPr>
    </w:p>
    <w:p w:rsidR="00765646" w:rsidRPr="008C0E7B" w:rsidRDefault="00765646" w:rsidP="009C43F9">
      <w:pPr>
        <w:pStyle w:val="ListParagraph"/>
        <w:numPr>
          <w:ilvl w:val="0"/>
          <w:numId w:val="14"/>
        </w:numPr>
        <w:ind w:left="792" w:hanging="432"/>
        <w:contextualSpacing w:val="0"/>
        <w:rPr>
          <w:rFonts w:ascii="Times New Roman" w:hAnsi="Times New Roman"/>
          <w:b/>
          <w:sz w:val="24"/>
        </w:rPr>
      </w:pPr>
      <w:r w:rsidRPr="008C0E7B">
        <w:rPr>
          <w:rFonts w:ascii="Times New Roman" w:hAnsi="Times New Roman"/>
          <w:b/>
          <w:sz w:val="24"/>
        </w:rPr>
        <w:t>General-Purpose Credit Card</w:t>
      </w:r>
      <w:r w:rsidR="00F46DDD" w:rsidRPr="008C0E7B">
        <w:rPr>
          <w:rFonts w:ascii="Times New Roman" w:hAnsi="Times New Roman"/>
          <w:b/>
          <w:sz w:val="24"/>
        </w:rPr>
        <w:t xml:space="preserve"> Network Survey</w:t>
      </w:r>
      <w:r w:rsidRPr="008C0E7B">
        <w:rPr>
          <w:rFonts w:ascii="Times New Roman" w:hAnsi="Times New Roman"/>
          <w:b/>
          <w:sz w:val="24"/>
        </w:rPr>
        <w:t xml:space="preserve">: </w:t>
      </w:r>
      <w:r w:rsidR="00630873" w:rsidRPr="008C0E7B">
        <w:rPr>
          <w:rFonts w:ascii="Times New Roman" w:hAnsi="Times New Roman"/>
          <w:sz w:val="24"/>
        </w:rPr>
        <w:t xml:space="preserve">Networks </w:t>
      </w:r>
      <w:r w:rsidRPr="008C0E7B">
        <w:rPr>
          <w:rFonts w:ascii="Times New Roman" w:hAnsi="Times New Roman"/>
          <w:sz w:val="24"/>
        </w:rPr>
        <w:t xml:space="preserve">would </w:t>
      </w:r>
      <w:r w:rsidR="004E02C4" w:rsidRPr="008C0E7B">
        <w:rPr>
          <w:rFonts w:ascii="Times New Roman" w:hAnsi="Times New Roman"/>
          <w:sz w:val="24"/>
        </w:rPr>
        <w:t>report the number and value of general-purpose credit card transactions</w:t>
      </w:r>
      <w:r w:rsidR="00630873" w:rsidRPr="008C0E7B">
        <w:rPr>
          <w:rFonts w:ascii="Times New Roman" w:hAnsi="Times New Roman"/>
          <w:sz w:val="24"/>
        </w:rPr>
        <w:t xml:space="preserve"> in 2012</w:t>
      </w:r>
      <w:r w:rsidR="004E02C4" w:rsidRPr="008C0E7B">
        <w:rPr>
          <w:rFonts w:ascii="Times New Roman" w:hAnsi="Times New Roman"/>
          <w:sz w:val="24"/>
        </w:rPr>
        <w:t xml:space="preserve">, </w:t>
      </w:r>
      <w:r w:rsidR="00630873" w:rsidRPr="008C0E7B">
        <w:rPr>
          <w:rFonts w:ascii="Times New Roman" w:hAnsi="Times New Roman"/>
          <w:sz w:val="24"/>
        </w:rPr>
        <w:t xml:space="preserve">including the number and value of credit card and charge card transactions, the number and value of transactions by payment initiation and authorization method, the number and value of </w:t>
      </w:r>
      <w:r w:rsidR="004E02C4" w:rsidRPr="008C0E7B">
        <w:rPr>
          <w:rFonts w:ascii="Times New Roman" w:hAnsi="Times New Roman"/>
          <w:sz w:val="24"/>
        </w:rPr>
        <w:t>consumer</w:t>
      </w:r>
      <w:r w:rsidR="00E8219A" w:rsidRPr="008C0E7B">
        <w:rPr>
          <w:rFonts w:ascii="Times New Roman" w:hAnsi="Times New Roman"/>
          <w:sz w:val="24"/>
        </w:rPr>
        <w:t xml:space="preserve"> and business/government</w:t>
      </w:r>
      <w:r w:rsidR="004E02C4" w:rsidRPr="008C0E7B">
        <w:rPr>
          <w:rFonts w:ascii="Times New Roman" w:hAnsi="Times New Roman"/>
          <w:sz w:val="24"/>
        </w:rPr>
        <w:t xml:space="preserve"> transactions,</w:t>
      </w:r>
      <w:r w:rsidR="00630873" w:rsidRPr="008C0E7B">
        <w:rPr>
          <w:rFonts w:ascii="Times New Roman" w:hAnsi="Times New Roman"/>
          <w:sz w:val="24"/>
        </w:rPr>
        <w:t xml:space="preserve"> the number and value of transactions with U.S. payees and payees outside the U.S., and the number and value of </w:t>
      </w:r>
      <w:r w:rsidR="004E02C4" w:rsidRPr="008C0E7B">
        <w:rPr>
          <w:rFonts w:ascii="Times New Roman" w:hAnsi="Times New Roman"/>
          <w:sz w:val="24"/>
        </w:rPr>
        <w:t xml:space="preserve">transactions </w:t>
      </w:r>
      <w:r w:rsidR="00827045" w:rsidRPr="008C0E7B">
        <w:rPr>
          <w:rFonts w:ascii="Times New Roman" w:hAnsi="Times New Roman"/>
          <w:sz w:val="24"/>
        </w:rPr>
        <w:t>by transaction value</w:t>
      </w:r>
      <w:r w:rsidR="00630873" w:rsidRPr="008C0E7B">
        <w:rPr>
          <w:rFonts w:ascii="Times New Roman" w:hAnsi="Times New Roman"/>
          <w:sz w:val="24"/>
        </w:rPr>
        <w:t xml:space="preserve">.  Respondents would also report </w:t>
      </w:r>
      <w:r w:rsidR="00E8219A" w:rsidRPr="008C0E7B">
        <w:rPr>
          <w:rFonts w:ascii="Times New Roman" w:hAnsi="Times New Roman"/>
          <w:sz w:val="24"/>
        </w:rPr>
        <w:t xml:space="preserve">the number of </w:t>
      </w:r>
      <w:r w:rsidR="004E02C4" w:rsidRPr="008C0E7B">
        <w:rPr>
          <w:rFonts w:ascii="Times New Roman" w:hAnsi="Times New Roman"/>
          <w:sz w:val="24"/>
        </w:rPr>
        <w:t>credit and charge cards outstanding</w:t>
      </w:r>
      <w:r w:rsidR="00E8219A" w:rsidRPr="008C0E7B">
        <w:rPr>
          <w:rFonts w:ascii="Times New Roman" w:hAnsi="Times New Roman"/>
          <w:sz w:val="24"/>
        </w:rPr>
        <w:t xml:space="preserve"> and </w:t>
      </w:r>
      <w:r w:rsidR="00630873" w:rsidRPr="008C0E7B">
        <w:rPr>
          <w:rFonts w:ascii="Times New Roman" w:hAnsi="Times New Roman"/>
          <w:sz w:val="24"/>
        </w:rPr>
        <w:t xml:space="preserve">the total </w:t>
      </w:r>
      <w:r w:rsidR="00192BE0" w:rsidRPr="008C0E7B">
        <w:rPr>
          <w:rFonts w:ascii="Times New Roman" w:hAnsi="Times New Roman"/>
          <w:sz w:val="24"/>
        </w:rPr>
        <w:t>number and value</w:t>
      </w:r>
      <w:r w:rsidR="00630873" w:rsidRPr="008C0E7B">
        <w:rPr>
          <w:rFonts w:ascii="Times New Roman" w:hAnsi="Times New Roman"/>
          <w:sz w:val="24"/>
        </w:rPr>
        <w:t xml:space="preserve"> of general-purpose credit </w:t>
      </w:r>
      <w:r w:rsidR="00EB2DDE" w:rsidRPr="008C0E7B">
        <w:rPr>
          <w:rFonts w:ascii="Times New Roman" w:hAnsi="Times New Roman"/>
          <w:sz w:val="24"/>
        </w:rPr>
        <w:t xml:space="preserve">card </w:t>
      </w:r>
      <w:r w:rsidR="00630873" w:rsidRPr="008C0E7B">
        <w:rPr>
          <w:rFonts w:ascii="Times New Roman" w:hAnsi="Times New Roman"/>
          <w:sz w:val="24"/>
        </w:rPr>
        <w:t>transactions in 2010 and 2011</w:t>
      </w:r>
      <w:r w:rsidR="00E8219A" w:rsidRPr="008C0E7B">
        <w:rPr>
          <w:rFonts w:ascii="Times New Roman" w:hAnsi="Times New Roman"/>
          <w:sz w:val="24"/>
        </w:rPr>
        <w:t>.</w:t>
      </w:r>
      <w:r w:rsidR="00E51104" w:rsidRPr="008C0E7B">
        <w:rPr>
          <w:rStyle w:val="FootnoteReference"/>
          <w:rFonts w:ascii="Times New Roman" w:hAnsi="Times New Roman"/>
          <w:sz w:val="24"/>
        </w:rPr>
        <w:footnoteReference w:id="13"/>
      </w:r>
      <w:r w:rsidR="00E8219A" w:rsidRPr="008C0E7B">
        <w:rPr>
          <w:rFonts w:ascii="Times New Roman" w:hAnsi="Times New Roman"/>
          <w:sz w:val="24"/>
        </w:rPr>
        <w:t xml:space="preserve"> </w:t>
      </w:r>
    </w:p>
    <w:p w:rsidR="009C43F9" w:rsidRPr="008C0E7B" w:rsidRDefault="009C43F9" w:rsidP="009C43F9">
      <w:pPr>
        <w:pStyle w:val="ListParagraph"/>
        <w:ind w:left="792"/>
        <w:contextualSpacing w:val="0"/>
        <w:rPr>
          <w:rFonts w:ascii="Times New Roman" w:hAnsi="Times New Roman"/>
          <w:b/>
          <w:sz w:val="24"/>
        </w:rPr>
      </w:pPr>
    </w:p>
    <w:p w:rsidR="00765646" w:rsidRPr="008C0E7B" w:rsidRDefault="00CC3257" w:rsidP="009C43F9">
      <w:pPr>
        <w:pStyle w:val="ListParagraph"/>
        <w:widowControl/>
        <w:numPr>
          <w:ilvl w:val="0"/>
          <w:numId w:val="14"/>
        </w:numPr>
        <w:ind w:left="792" w:hanging="432"/>
        <w:contextualSpacing w:val="0"/>
        <w:rPr>
          <w:rFonts w:ascii="Times New Roman" w:hAnsi="Times New Roman"/>
          <w:sz w:val="24"/>
        </w:rPr>
      </w:pPr>
      <w:r w:rsidRPr="008C0E7B">
        <w:rPr>
          <w:rFonts w:ascii="Times New Roman" w:hAnsi="Times New Roman"/>
          <w:b/>
          <w:sz w:val="24"/>
        </w:rPr>
        <w:t xml:space="preserve">Private-Label Credit Card Retail Merchant Issuer Survey: </w:t>
      </w:r>
      <w:r w:rsidRPr="008C0E7B">
        <w:rPr>
          <w:rFonts w:ascii="Times New Roman" w:hAnsi="Times New Roman"/>
          <w:sz w:val="24"/>
        </w:rPr>
        <w:t>Retail merchant issuers would report the number and value of private-label credit card transactions in 2012, including the number and value of transactions by payment initiation method, the number and value of consumer and business/government transactions, and the number and value of transactions broken out by transaction dollar amount.  Respondents would also report the number of private-label cards outstanding as of December 31, 2012, and the total number and value of private-label credit card transactions in 2010 and 2011.  Retail merchant issuers would only report on transactions that they processed in-house so that transactions with outsourced processing are not double-counted in the Processor Survey.</w:t>
      </w:r>
      <w:r w:rsidR="00283D01" w:rsidRPr="008C0E7B">
        <w:rPr>
          <w:rStyle w:val="FootnoteReference"/>
          <w:rFonts w:ascii="Times New Roman" w:hAnsi="Times New Roman"/>
          <w:sz w:val="24"/>
        </w:rPr>
        <w:footnoteReference w:id="14"/>
      </w:r>
    </w:p>
    <w:p w:rsidR="009C43F9" w:rsidRPr="008C0E7B" w:rsidRDefault="009C43F9" w:rsidP="009C43F9">
      <w:pPr>
        <w:pStyle w:val="ListParagraph"/>
        <w:widowControl/>
        <w:ind w:left="792"/>
        <w:contextualSpacing w:val="0"/>
        <w:rPr>
          <w:rFonts w:ascii="Times New Roman" w:hAnsi="Times New Roman"/>
          <w:sz w:val="24"/>
        </w:rPr>
      </w:pPr>
    </w:p>
    <w:p w:rsidR="00765646" w:rsidRPr="008C0E7B" w:rsidRDefault="0082644C" w:rsidP="009C43F9">
      <w:pPr>
        <w:pStyle w:val="ListParagraph"/>
        <w:numPr>
          <w:ilvl w:val="0"/>
          <w:numId w:val="14"/>
        </w:numPr>
        <w:contextualSpacing w:val="0"/>
        <w:rPr>
          <w:rFonts w:ascii="Times New Roman" w:hAnsi="Times New Roman"/>
          <w:b/>
          <w:sz w:val="24"/>
        </w:rPr>
      </w:pPr>
      <w:r w:rsidRPr="008C0E7B">
        <w:rPr>
          <w:rFonts w:ascii="Times New Roman" w:hAnsi="Times New Roman"/>
          <w:b/>
          <w:sz w:val="24"/>
        </w:rPr>
        <w:t xml:space="preserve">Private-Label Credit Card Processor Survey: </w:t>
      </w:r>
      <w:r w:rsidRPr="008C0E7B">
        <w:rPr>
          <w:rFonts w:ascii="Times New Roman" w:hAnsi="Times New Roman"/>
          <w:sz w:val="24"/>
        </w:rPr>
        <w:t xml:space="preserve">Processors would report the number and </w:t>
      </w:r>
      <w:r w:rsidRPr="008C0E7B">
        <w:rPr>
          <w:rFonts w:ascii="Times New Roman" w:hAnsi="Times New Roman"/>
          <w:sz w:val="24"/>
        </w:rPr>
        <w:lastRenderedPageBreak/>
        <w:t>value of private-label credit card transactions in 2012, including the number and value of transactions by payment initiation method, the number and value of consumer and business/government transactions, and the number and value of transactions broken out by transaction dollar amount.  Respondents would also report the number of private-label cards outstanding as of December 31, 2012, and the total number and value of private-label credit card transactions in 2010 and 2011.</w:t>
      </w:r>
      <w:r w:rsidR="00283D01" w:rsidRPr="008C0E7B">
        <w:rPr>
          <w:rStyle w:val="FootnoteReference"/>
          <w:rFonts w:ascii="Times New Roman" w:hAnsi="Times New Roman"/>
          <w:sz w:val="24"/>
        </w:rPr>
        <w:footnoteReference w:id="15"/>
      </w:r>
    </w:p>
    <w:p w:rsidR="0082644C" w:rsidRPr="008C0E7B" w:rsidRDefault="0082644C" w:rsidP="009C43F9">
      <w:pPr>
        <w:ind w:left="360"/>
        <w:rPr>
          <w:b/>
          <w:szCs w:val="24"/>
        </w:rPr>
      </w:pPr>
    </w:p>
    <w:p w:rsidR="00896B19" w:rsidRPr="008C0E7B" w:rsidRDefault="00896B19" w:rsidP="009C43F9">
      <w:pPr>
        <w:pStyle w:val="ListParagraph"/>
        <w:numPr>
          <w:ilvl w:val="0"/>
          <w:numId w:val="14"/>
        </w:numPr>
        <w:ind w:left="792" w:hanging="432"/>
        <w:contextualSpacing w:val="0"/>
        <w:rPr>
          <w:rFonts w:ascii="Times New Roman" w:hAnsi="Times New Roman"/>
          <w:b/>
          <w:sz w:val="24"/>
        </w:rPr>
      </w:pPr>
      <w:r w:rsidRPr="008C0E7B">
        <w:rPr>
          <w:rFonts w:ascii="Times New Roman" w:hAnsi="Times New Roman"/>
          <w:b/>
          <w:sz w:val="24"/>
        </w:rPr>
        <w:t>Debit Card</w:t>
      </w:r>
      <w:r w:rsidR="00F46DDD" w:rsidRPr="008C0E7B">
        <w:rPr>
          <w:rFonts w:ascii="Times New Roman" w:hAnsi="Times New Roman"/>
          <w:b/>
          <w:sz w:val="24"/>
        </w:rPr>
        <w:t xml:space="preserve"> and General-Use Prepaid Card Network Survey</w:t>
      </w:r>
      <w:r w:rsidR="00D6027A" w:rsidRPr="008C0E7B">
        <w:rPr>
          <w:rFonts w:ascii="Times New Roman" w:hAnsi="Times New Roman"/>
          <w:b/>
          <w:sz w:val="24"/>
        </w:rPr>
        <w:t>s</w:t>
      </w:r>
      <w:r w:rsidR="00DA552A" w:rsidRPr="008C0E7B">
        <w:rPr>
          <w:rStyle w:val="FootnoteReference"/>
          <w:rFonts w:ascii="Times New Roman" w:hAnsi="Times New Roman"/>
          <w:sz w:val="24"/>
        </w:rPr>
        <w:footnoteReference w:id="16"/>
      </w:r>
      <w:r w:rsidRPr="008C0E7B">
        <w:rPr>
          <w:rFonts w:ascii="Times New Roman" w:hAnsi="Times New Roman"/>
          <w:b/>
          <w:sz w:val="24"/>
        </w:rPr>
        <w:t>:</w:t>
      </w:r>
      <w:r w:rsidR="00C15249" w:rsidRPr="008C0E7B">
        <w:rPr>
          <w:rFonts w:ascii="Times New Roman" w:hAnsi="Times New Roman"/>
          <w:b/>
          <w:sz w:val="24"/>
        </w:rPr>
        <w:t xml:space="preserve"> </w:t>
      </w:r>
    </w:p>
    <w:p w:rsidR="00765646" w:rsidRPr="008C0E7B" w:rsidRDefault="00136418" w:rsidP="009C43F9">
      <w:pPr>
        <w:pStyle w:val="ListParagraph"/>
        <w:numPr>
          <w:ilvl w:val="1"/>
          <w:numId w:val="14"/>
        </w:numPr>
        <w:contextualSpacing w:val="0"/>
        <w:rPr>
          <w:rFonts w:ascii="Times New Roman" w:hAnsi="Times New Roman"/>
          <w:b/>
          <w:sz w:val="24"/>
        </w:rPr>
      </w:pPr>
      <w:r w:rsidRPr="008C0E7B">
        <w:rPr>
          <w:rFonts w:ascii="Times New Roman" w:hAnsi="Times New Roman"/>
          <w:b/>
          <w:sz w:val="24"/>
        </w:rPr>
        <w:t xml:space="preserve">Debit Card Network Survey: </w:t>
      </w:r>
      <w:r w:rsidRPr="008C0E7B">
        <w:rPr>
          <w:rFonts w:ascii="Times New Roman" w:hAnsi="Times New Roman"/>
          <w:sz w:val="24"/>
        </w:rPr>
        <w:t>Networks would report the number and value of debit card transactions in 2012, including the number and value of transactions by payment initiation and authorization method, the number and value of consumer and business/government transactions, the number and value of transactions with U.S. payees and payees outside the U.S., and the number and value of transactions broken out by transaction dollar amount.  If a network could not report general-use prepaid card transactions separately from debit card transactions, the network would report both debit card and general-use prepaid card transactions on this survey.</w:t>
      </w:r>
    </w:p>
    <w:p w:rsidR="007144B3" w:rsidRPr="007144B3" w:rsidRDefault="00136418" w:rsidP="007144B3">
      <w:pPr>
        <w:pStyle w:val="ListParagraph"/>
        <w:numPr>
          <w:ilvl w:val="1"/>
          <w:numId w:val="14"/>
        </w:numPr>
        <w:contextualSpacing w:val="0"/>
        <w:rPr>
          <w:rFonts w:ascii="Times New Roman" w:hAnsi="Times New Roman"/>
          <w:b/>
          <w:sz w:val="24"/>
        </w:rPr>
      </w:pPr>
      <w:r w:rsidRPr="008C0E7B">
        <w:rPr>
          <w:rFonts w:ascii="Times New Roman" w:hAnsi="Times New Roman"/>
          <w:b/>
          <w:sz w:val="24"/>
        </w:rPr>
        <w:t xml:space="preserve">General-Use Prepaid Card Network Survey: </w:t>
      </w:r>
      <w:r w:rsidRPr="008C0E7B">
        <w:rPr>
          <w:rFonts w:ascii="Times New Roman" w:hAnsi="Times New Roman"/>
          <w:sz w:val="24"/>
        </w:rPr>
        <w:t>Networks would report the number and value of general-use prepaid card transactions in 2012, including the number and value of transactions by payment initiation and authorization method, the number and value of transactions with U.S. payees and payees outside the U.S., the number and value of transactions broken out by transaction dollar amount</w:t>
      </w:r>
      <w:r w:rsidR="002B4CCC">
        <w:rPr>
          <w:rFonts w:ascii="Times New Roman" w:hAnsi="Times New Roman"/>
          <w:sz w:val="24"/>
        </w:rPr>
        <w:t xml:space="preserve">, </w:t>
      </w:r>
      <w:r w:rsidR="00BC0612">
        <w:rPr>
          <w:rFonts w:ascii="Times New Roman" w:hAnsi="Times New Roman"/>
          <w:sz w:val="24"/>
        </w:rPr>
        <w:t xml:space="preserve">the </w:t>
      </w:r>
      <w:r w:rsidR="002B4CCC" w:rsidRPr="007144B3">
        <w:rPr>
          <w:rFonts w:ascii="Times New Roman" w:hAnsi="Times New Roman"/>
          <w:sz w:val="24"/>
        </w:rPr>
        <w:t>number and value of chargebacks</w:t>
      </w:r>
      <w:r w:rsidR="002B4CCC">
        <w:rPr>
          <w:rFonts w:ascii="Times New Roman" w:hAnsi="Times New Roman"/>
          <w:sz w:val="24"/>
        </w:rPr>
        <w:t xml:space="preserve"> </w:t>
      </w:r>
      <w:r w:rsidR="002B4CCC" w:rsidRPr="007144B3">
        <w:rPr>
          <w:rFonts w:ascii="Times New Roman" w:hAnsi="Times New Roman"/>
          <w:sz w:val="24"/>
        </w:rPr>
        <w:t>that include chip technology</w:t>
      </w:r>
      <w:r w:rsidR="002B4CCC">
        <w:rPr>
          <w:rFonts w:ascii="Times New Roman" w:hAnsi="Times New Roman"/>
          <w:sz w:val="24"/>
        </w:rPr>
        <w:t xml:space="preserve">, </w:t>
      </w:r>
      <w:r w:rsidR="002B4CCC" w:rsidRPr="007144B3">
        <w:rPr>
          <w:rFonts w:ascii="Times New Roman" w:hAnsi="Times New Roman"/>
          <w:sz w:val="24"/>
        </w:rPr>
        <w:t>a count of the number of cards outstanding that have chip technology</w:t>
      </w:r>
      <w:r w:rsidR="00BC0612">
        <w:rPr>
          <w:rFonts w:ascii="Times New Roman" w:hAnsi="Times New Roman"/>
          <w:sz w:val="24"/>
        </w:rPr>
        <w:t xml:space="preserve">, a count of </w:t>
      </w:r>
      <w:r w:rsidR="00BC0612" w:rsidRPr="007144B3">
        <w:rPr>
          <w:rFonts w:ascii="Times New Roman" w:hAnsi="Times New Roman"/>
          <w:sz w:val="24"/>
        </w:rPr>
        <w:t>physical cash back from ATMs and bank tellers</w:t>
      </w:r>
      <w:r w:rsidRPr="008C0E7B">
        <w:rPr>
          <w:rFonts w:ascii="Times New Roman" w:hAnsi="Times New Roman"/>
          <w:sz w:val="24"/>
        </w:rPr>
        <w:t>.  A network would only complete this survey if it could report debit card transactions and general-use prepaid card transactions separately.</w:t>
      </w:r>
      <w:r w:rsidR="00DA552A" w:rsidRPr="008C0E7B">
        <w:rPr>
          <w:rStyle w:val="FootnoteReference"/>
          <w:rFonts w:ascii="Times New Roman" w:hAnsi="Times New Roman"/>
          <w:sz w:val="24"/>
        </w:rPr>
        <w:footnoteReference w:id="17"/>
      </w:r>
    </w:p>
    <w:p w:rsidR="007144B3" w:rsidRPr="008C0E7B" w:rsidRDefault="007144B3" w:rsidP="009C43F9">
      <w:pPr>
        <w:ind w:left="1080"/>
        <w:rPr>
          <w:b/>
          <w:szCs w:val="24"/>
        </w:rPr>
      </w:pPr>
    </w:p>
    <w:p w:rsidR="00372802" w:rsidRPr="008C0E7B" w:rsidRDefault="00B56C94" w:rsidP="009C43F9">
      <w:pPr>
        <w:pStyle w:val="ListParagraph"/>
        <w:numPr>
          <w:ilvl w:val="0"/>
          <w:numId w:val="14"/>
        </w:numPr>
        <w:ind w:left="792" w:hanging="432"/>
        <w:contextualSpacing w:val="0"/>
        <w:rPr>
          <w:rFonts w:ascii="Times New Roman" w:hAnsi="Times New Roman"/>
          <w:b/>
          <w:sz w:val="24"/>
        </w:rPr>
      </w:pPr>
      <w:r w:rsidRPr="008C0E7B">
        <w:rPr>
          <w:rFonts w:ascii="Times New Roman" w:hAnsi="Times New Roman"/>
          <w:b/>
          <w:sz w:val="24"/>
        </w:rPr>
        <w:t xml:space="preserve">General-Use Prepaid Card Processor Survey: </w:t>
      </w:r>
      <w:r w:rsidRPr="008C0E7B">
        <w:rPr>
          <w:rFonts w:ascii="Times New Roman" w:hAnsi="Times New Roman"/>
          <w:sz w:val="24"/>
        </w:rPr>
        <w:t>Processors would report the number and value of general-use prepaid card transactions in 2012, including the number and value of transactions by payment initiation method, the number and value of transactions with U.S. payees and payees outside the U.S., the number and value of transactions by prepaid card type, and the number and value of transactions broken out by transaction dollar amount.  Respondents would also report the number and value of credits and loads to general-use prepaid cards in 2012 and the number of general-use prepaid cards outstanding as of December 31, 2012.</w:t>
      </w:r>
      <w:r w:rsidR="00DA552A" w:rsidRPr="008C0E7B">
        <w:rPr>
          <w:rStyle w:val="FootnoteReference"/>
          <w:rFonts w:ascii="Times New Roman" w:hAnsi="Times New Roman"/>
          <w:sz w:val="24"/>
        </w:rPr>
        <w:footnoteReference w:id="18"/>
      </w:r>
    </w:p>
    <w:p w:rsidR="009F21C3" w:rsidRPr="008C0E7B" w:rsidRDefault="009F21C3" w:rsidP="009F21C3">
      <w:pPr>
        <w:ind w:left="360"/>
        <w:rPr>
          <w:b/>
          <w:szCs w:val="24"/>
        </w:rPr>
      </w:pPr>
    </w:p>
    <w:p w:rsidR="00765646" w:rsidRPr="008C0E7B" w:rsidRDefault="00372802" w:rsidP="008C0E7B">
      <w:pPr>
        <w:pStyle w:val="ListParagraph"/>
        <w:widowControl/>
        <w:numPr>
          <w:ilvl w:val="0"/>
          <w:numId w:val="14"/>
        </w:numPr>
        <w:ind w:left="792" w:hanging="432"/>
        <w:contextualSpacing w:val="0"/>
        <w:rPr>
          <w:rFonts w:ascii="Times New Roman" w:hAnsi="Times New Roman"/>
          <w:b/>
          <w:sz w:val="24"/>
        </w:rPr>
      </w:pPr>
      <w:r w:rsidRPr="008C0E7B">
        <w:rPr>
          <w:rFonts w:ascii="Times New Roman" w:hAnsi="Times New Roman"/>
          <w:b/>
          <w:sz w:val="24"/>
        </w:rPr>
        <w:t>Private-Label</w:t>
      </w:r>
      <w:r w:rsidR="00765646" w:rsidRPr="008C0E7B">
        <w:rPr>
          <w:rFonts w:ascii="Times New Roman" w:hAnsi="Times New Roman"/>
          <w:b/>
          <w:sz w:val="24"/>
        </w:rPr>
        <w:t xml:space="preserve"> Prepaid Card</w:t>
      </w:r>
      <w:r w:rsidR="00F46DDD" w:rsidRPr="008C0E7B">
        <w:rPr>
          <w:rFonts w:ascii="Times New Roman" w:hAnsi="Times New Roman"/>
          <w:b/>
          <w:sz w:val="24"/>
        </w:rPr>
        <w:t xml:space="preserve"> Issuer and Processor Survey</w:t>
      </w:r>
      <w:r w:rsidR="00765646" w:rsidRPr="008C0E7B">
        <w:rPr>
          <w:rFonts w:ascii="Times New Roman" w:hAnsi="Times New Roman"/>
          <w:b/>
          <w:sz w:val="24"/>
        </w:rPr>
        <w:t>:</w:t>
      </w:r>
      <w:r w:rsidR="00DA3B30" w:rsidRPr="008C0E7B">
        <w:rPr>
          <w:rFonts w:ascii="Times New Roman" w:hAnsi="Times New Roman"/>
          <w:b/>
          <w:sz w:val="24"/>
        </w:rPr>
        <w:t xml:space="preserve"> </w:t>
      </w:r>
      <w:r w:rsidR="00EB2DDE" w:rsidRPr="008C0E7B">
        <w:rPr>
          <w:rFonts w:ascii="Times New Roman" w:hAnsi="Times New Roman"/>
          <w:sz w:val="24"/>
        </w:rPr>
        <w:t>Processors would report the number and value of private-label prepaid card transactions in 2012, including the number and value of transactions by payment initiation method, the number and value of transactions by prepaid card type, and the number</w:t>
      </w:r>
      <w:r w:rsidR="002A3953">
        <w:rPr>
          <w:rFonts w:ascii="Times New Roman" w:hAnsi="Times New Roman"/>
          <w:sz w:val="24"/>
        </w:rPr>
        <w:t>,</w:t>
      </w:r>
      <w:r w:rsidR="00EB2DDE" w:rsidRPr="008C0E7B">
        <w:rPr>
          <w:rFonts w:ascii="Times New Roman" w:hAnsi="Times New Roman"/>
          <w:sz w:val="24"/>
        </w:rPr>
        <w:t xml:space="preserve"> value of transactions by transaction value</w:t>
      </w:r>
      <w:r w:rsidR="002A3953">
        <w:rPr>
          <w:rFonts w:ascii="Times New Roman" w:hAnsi="Times New Roman"/>
          <w:sz w:val="24"/>
        </w:rPr>
        <w:t xml:space="preserve">, </w:t>
      </w:r>
      <w:r w:rsidR="002A3953" w:rsidRPr="007144B3">
        <w:rPr>
          <w:rFonts w:ascii="Times New Roman" w:hAnsi="Times New Roman"/>
          <w:sz w:val="24"/>
        </w:rPr>
        <w:t>procurement and fleet card accounts under private-label credit card</w:t>
      </w:r>
      <w:r w:rsidR="002A3953">
        <w:rPr>
          <w:rFonts w:ascii="Times New Roman" w:hAnsi="Times New Roman"/>
          <w:sz w:val="24"/>
        </w:rPr>
        <w:t xml:space="preserve">, </w:t>
      </w:r>
      <w:r w:rsidR="002A3953" w:rsidRPr="007144B3">
        <w:rPr>
          <w:rFonts w:ascii="Times New Roman" w:hAnsi="Times New Roman"/>
          <w:sz w:val="24"/>
        </w:rPr>
        <w:t>PINless debit</w:t>
      </w:r>
      <w:r w:rsidR="002A3953">
        <w:rPr>
          <w:rFonts w:ascii="Times New Roman" w:hAnsi="Times New Roman"/>
          <w:sz w:val="24"/>
        </w:rPr>
        <w:t xml:space="preserve">, and </w:t>
      </w:r>
      <w:r w:rsidR="002A3953" w:rsidRPr="007144B3">
        <w:rPr>
          <w:rFonts w:ascii="Times New Roman" w:hAnsi="Times New Roman"/>
          <w:sz w:val="24"/>
        </w:rPr>
        <w:t>direct send/ consolidator (i.e., Fiserv/CheckFree)</w:t>
      </w:r>
      <w:r w:rsidR="00EB2DDE" w:rsidRPr="008C0E7B">
        <w:rPr>
          <w:rFonts w:ascii="Times New Roman" w:hAnsi="Times New Roman"/>
          <w:sz w:val="24"/>
        </w:rPr>
        <w:t xml:space="preserve">.  Respondents would also report the number and value of credits and loads to private-label prepaid cards in 2012, the number and value of cash withdrawals from private-label prepaid card accounts in 2012, the number of general-use prepaid cards outstanding as of December 31, 2012, and the total </w:t>
      </w:r>
      <w:r w:rsidR="00192BE0" w:rsidRPr="008C0E7B">
        <w:rPr>
          <w:rFonts w:ascii="Times New Roman" w:hAnsi="Times New Roman"/>
          <w:sz w:val="24"/>
        </w:rPr>
        <w:t>number and value</w:t>
      </w:r>
      <w:r w:rsidR="00EB2DDE" w:rsidRPr="008C0E7B">
        <w:rPr>
          <w:rFonts w:ascii="Times New Roman" w:hAnsi="Times New Roman"/>
          <w:sz w:val="24"/>
        </w:rPr>
        <w:t xml:space="preserve"> of private-label prepaid card transactions in 2010 and 2011.</w:t>
      </w:r>
      <w:r w:rsidR="00E45C0A" w:rsidRPr="008C0E7B">
        <w:rPr>
          <w:rStyle w:val="FootnoteReference"/>
          <w:rFonts w:ascii="Times New Roman" w:hAnsi="Times New Roman"/>
          <w:sz w:val="24"/>
        </w:rPr>
        <w:footnoteReference w:id="19"/>
      </w:r>
    </w:p>
    <w:p w:rsidR="009C43F9" w:rsidRPr="008C0E7B" w:rsidRDefault="009C43F9" w:rsidP="009C43F9">
      <w:pPr>
        <w:pStyle w:val="ListParagraph"/>
        <w:ind w:left="792"/>
        <w:contextualSpacing w:val="0"/>
        <w:rPr>
          <w:rFonts w:ascii="Times New Roman" w:hAnsi="Times New Roman"/>
          <w:b/>
          <w:sz w:val="24"/>
        </w:rPr>
      </w:pPr>
    </w:p>
    <w:p w:rsidR="00896B19" w:rsidRPr="008C0E7B" w:rsidRDefault="00896B19" w:rsidP="009C43F9">
      <w:pPr>
        <w:pStyle w:val="ListParagraph"/>
        <w:numPr>
          <w:ilvl w:val="0"/>
          <w:numId w:val="14"/>
        </w:numPr>
        <w:ind w:left="792" w:hanging="432"/>
        <w:contextualSpacing w:val="0"/>
        <w:rPr>
          <w:rFonts w:ascii="Times New Roman" w:hAnsi="Times New Roman"/>
          <w:b/>
          <w:sz w:val="24"/>
        </w:rPr>
      </w:pPr>
      <w:r w:rsidRPr="008C0E7B">
        <w:rPr>
          <w:rFonts w:ascii="Times New Roman" w:hAnsi="Times New Roman"/>
          <w:b/>
          <w:sz w:val="24"/>
        </w:rPr>
        <w:t>Emerging Payments</w:t>
      </w:r>
      <w:r w:rsidR="00F46DDD" w:rsidRPr="008C0E7B">
        <w:rPr>
          <w:rFonts w:ascii="Times New Roman" w:hAnsi="Times New Roman"/>
          <w:b/>
          <w:sz w:val="24"/>
        </w:rPr>
        <w:t xml:space="preserve"> Processor Surveys</w:t>
      </w:r>
      <w:r w:rsidR="00184334" w:rsidRPr="008C0E7B">
        <w:rPr>
          <w:rStyle w:val="FootnoteReference"/>
          <w:rFonts w:ascii="Times New Roman" w:hAnsi="Times New Roman"/>
          <w:sz w:val="24"/>
        </w:rPr>
        <w:footnoteReference w:id="20"/>
      </w:r>
      <w:r w:rsidR="00F46DDD" w:rsidRPr="008C0E7B">
        <w:rPr>
          <w:rFonts w:ascii="Times New Roman" w:hAnsi="Times New Roman"/>
          <w:b/>
          <w:sz w:val="24"/>
        </w:rPr>
        <w:t>:</w:t>
      </w:r>
    </w:p>
    <w:p w:rsidR="00765646" w:rsidRPr="008C0E7B" w:rsidRDefault="00765646" w:rsidP="009C43F9">
      <w:pPr>
        <w:pStyle w:val="ListParagraph"/>
        <w:numPr>
          <w:ilvl w:val="1"/>
          <w:numId w:val="14"/>
        </w:numPr>
        <w:contextualSpacing w:val="0"/>
        <w:rPr>
          <w:rFonts w:ascii="Times New Roman" w:hAnsi="Times New Roman"/>
          <w:b/>
          <w:sz w:val="24"/>
        </w:rPr>
      </w:pPr>
      <w:r w:rsidRPr="008C0E7B">
        <w:rPr>
          <w:rFonts w:ascii="Times New Roman" w:hAnsi="Times New Roman"/>
          <w:b/>
          <w:sz w:val="24"/>
        </w:rPr>
        <w:t>P2P &amp; Money Transfer</w:t>
      </w:r>
      <w:r w:rsidR="005F589A" w:rsidRPr="008C0E7B">
        <w:rPr>
          <w:rFonts w:ascii="Times New Roman" w:hAnsi="Times New Roman"/>
          <w:b/>
          <w:sz w:val="24"/>
        </w:rPr>
        <w:t xml:space="preserve"> Processor Survey</w:t>
      </w:r>
      <w:r w:rsidRPr="008C0E7B">
        <w:rPr>
          <w:rFonts w:ascii="Times New Roman" w:hAnsi="Times New Roman"/>
          <w:b/>
          <w:sz w:val="24"/>
        </w:rPr>
        <w:t>:</w:t>
      </w:r>
      <w:r w:rsidR="00DA3B30" w:rsidRPr="008C0E7B">
        <w:rPr>
          <w:rFonts w:ascii="Times New Roman" w:hAnsi="Times New Roman"/>
          <w:b/>
          <w:sz w:val="24"/>
        </w:rPr>
        <w:t xml:space="preserve"> </w:t>
      </w:r>
      <w:r w:rsidR="005F589A" w:rsidRPr="008C0E7B">
        <w:rPr>
          <w:rFonts w:ascii="Times New Roman" w:hAnsi="Times New Roman"/>
          <w:sz w:val="24"/>
        </w:rPr>
        <w:t xml:space="preserve">Processors </w:t>
      </w:r>
      <w:r w:rsidR="00DA3B30" w:rsidRPr="008C0E7B">
        <w:rPr>
          <w:rFonts w:ascii="Times New Roman" w:hAnsi="Times New Roman"/>
          <w:sz w:val="24"/>
        </w:rPr>
        <w:t xml:space="preserve">would report the number and value of </w:t>
      </w:r>
      <w:r w:rsidR="00DC1749" w:rsidRPr="008C0E7B">
        <w:rPr>
          <w:rFonts w:ascii="Times New Roman" w:hAnsi="Times New Roman"/>
          <w:sz w:val="24"/>
        </w:rPr>
        <w:t>person-to-person (</w:t>
      </w:r>
      <w:r w:rsidR="00827045" w:rsidRPr="008C0E7B">
        <w:rPr>
          <w:rFonts w:ascii="Times New Roman" w:hAnsi="Times New Roman"/>
          <w:sz w:val="24"/>
        </w:rPr>
        <w:t>P2P</w:t>
      </w:r>
      <w:r w:rsidR="00DC1749" w:rsidRPr="008C0E7B">
        <w:rPr>
          <w:rFonts w:ascii="Times New Roman" w:hAnsi="Times New Roman"/>
          <w:sz w:val="24"/>
        </w:rPr>
        <w:t>)</w:t>
      </w:r>
      <w:r w:rsidR="00827045" w:rsidRPr="008C0E7B">
        <w:rPr>
          <w:rFonts w:ascii="Times New Roman" w:hAnsi="Times New Roman"/>
          <w:sz w:val="24"/>
        </w:rPr>
        <w:t xml:space="preserve"> and money transfer transactions</w:t>
      </w:r>
      <w:r w:rsidR="005F589A" w:rsidRPr="008C0E7B">
        <w:rPr>
          <w:rFonts w:ascii="Times New Roman" w:hAnsi="Times New Roman"/>
          <w:sz w:val="24"/>
        </w:rPr>
        <w:t xml:space="preserve"> in 2012</w:t>
      </w:r>
      <w:r w:rsidR="00827045" w:rsidRPr="008C0E7B">
        <w:rPr>
          <w:rFonts w:ascii="Times New Roman" w:hAnsi="Times New Roman"/>
          <w:sz w:val="24"/>
        </w:rPr>
        <w:t xml:space="preserve">, </w:t>
      </w:r>
      <w:r w:rsidR="005F589A" w:rsidRPr="008C0E7B">
        <w:rPr>
          <w:rFonts w:ascii="Times New Roman" w:hAnsi="Times New Roman"/>
          <w:sz w:val="24"/>
        </w:rPr>
        <w:t>including the number and value of transactions with U.S. payees and payees outside the U.S., the number and value of transactions by transaction value, the number and value of transactions by clearing system, and the number and value of transactions by origination channel</w:t>
      </w:r>
      <w:r w:rsidR="00827045" w:rsidRPr="008C0E7B">
        <w:rPr>
          <w:rFonts w:ascii="Times New Roman" w:hAnsi="Times New Roman"/>
          <w:sz w:val="24"/>
        </w:rPr>
        <w:t>.</w:t>
      </w:r>
      <w:r w:rsidR="00E45C0A" w:rsidRPr="008C0E7B">
        <w:rPr>
          <w:rStyle w:val="FootnoteReference"/>
          <w:rFonts w:ascii="Times New Roman" w:hAnsi="Times New Roman"/>
          <w:sz w:val="24"/>
        </w:rPr>
        <w:footnoteReference w:id="21"/>
      </w:r>
    </w:p>
    <w:p w:rsidR="00765646" w:rsidRPr="008C0E7B" w:rsidRDefault="00765646" w:rsidP="009C43F9">
      <w:pPr>
        <w:pStyle w:val="ListParagraph"/>
        <w:numPr>
          <w:ilvl w:val="1"/>
          <w:numId w:val="14"/>
        </w:numPr>
        <w:contextualSpacing w:val="0"/>
        <w:rPr>
          <w:rFonts w:ascii="Times New Roman" w:hAnsi="Times New Roman"/>
          <w:b/>
          <w:sz w:val="24"/>
        </w:rPr>
      </w:pPr>
      <w:r w:rsidRPr="008C0E7B">
        <w:rPr>
          <w:rFonts w:ascii="Times New Roman" w:hAnsi="Times New Roman"/>
          <w:b/>
          <w:sz w:val="24"/>
        </w:rPr>
        <w:t>Online Bill Payment</w:t>
      </w:r>
      <w:r w:rsidR="005F589A" w:rsidRPr="008C0E7B">
        <w:rPr>
          <w:rFonts w:ascii="Times New Roman" w:hAnsi="Times New Roman"/>
          <w:b/>
          <w:sz w:val="24"/>
        </w:rPr>
        <w:t xml:space="preserve"> Processor Survey</w:t>
      </w:r>
      <w:r w:rsidRPr="008C0E7B">
        <w:rPr>
          <w:rFonts w:ascii="Times New Roman" w:hAnsi="Times New Roman"/>
          <w:b/>
          <w:sz w:val="24"/>
        </w:rPr>
        <w:t>:</w:t>
      </w:r>
      <w:r w:rsidR="00827045" w:rsidRPr="008C0E7B">
        <w:rPr>
          <w:rFonts w:ascii="Times New Roman" w:hAnsi="Times New Roman"/>
          <w:b/>
          <w:sz w:val="24"/>
        </w:rPr>
        <w:t xml:space="preserve"> </w:t>
      </w:r>
      <w:r w:rsidR="005F589A" w:rsidRPr="008C0E7B">
        <w:rPr>
          <w:rFonts w:ascii="Times New Roman" w:hAnsi="Times New Roman"/>
          <w:sz w:val="24"/>
        </w:rPr>
        <w:t>Processors would report the number and value of bank/intermediary and biller direct online bill payment transactions in 2012, including the number and value of transactions by transaction value, the number and value of bank/intermediary online bill payment transactions by settlement system.</w:t>
      </w:r>
      <w:r w:rsidR="00827045" w:rsidRPr="008C0E7B">
        <w:rPr>
          <w:rFonts w:ascii="Times New Roman" w:hAnsi="Times New Roman"/>
          <w:sz w:val="24"/>
        </w:rPr>
        <w:t xml:space="preserve"> </w:t>
      </w:r>
    </w:p>
    <w:p w:rsidR="00765646" w:rsidRPr="008C0E7B" w:rsidRDefault="00765646" w:rsidP="009C43F9">
      <w:pPr>
        <w:pStyle w:val="ListParagraph"/>
        <w:numPr>
          <w:ilvl w:val="1"/>
          <w:numId w:val="14"/>
        </w:numPr>
        <w:contextualSpacing w:val="0"/>
        <w:rPr>
          <w:rFonts w:ascii="Times New Roman" w:hAnsi="Times New Roman"/>
          <w:b/>
          <w:sz w:val="24"/>
        </w:rPr>
      </w:pPr>
      <w:r w:rsidRPr="008C0E7B">
        <w:rPr>
          <w:rFonts w:ascii="Times New Roman" w:hAnsi="Times New Roman"/>
          <w:b/>
          <w:sz w:val="24"/>
        </w:rPr>
        <w:t>Walk-In Bill Payment</w:t>
      </w:r>
      <w:r w:rsidR="005F589A" w:rsidRPr="008C0E7B">
        <w:rPr>
          <w:rFonts w:ascii="Times New Roman" w:hAnsi="Times New Roman"/>
          <w:b/>
          <w:sz w:val="24"/>
        </w:rPr>
        <w:t xml:space="preserve"> Processor Survey</w:t>
      </w:r>
      <w:r w:rsidRPr="008C0E7B">
        <w:rPr>
          <w:rFonts w:ascii="Times New Roman" w:hAnsi="Times New Roman"/>
          <w:b/>
          <w:sz w:val="24"/>
        </w:rPr>
        <w:t>:</w:t>
      </w:r>
      <w:r w:rsidR="00827045" w:rsidRPr="008C0E7B">
        <w:rPr>
          <w:rFonts w:ascii="Times New Roman" w:hAnsi="Times New Roman"/>
          <w:b/>
          <w:sz w:val="24"/>
        </w:rPr>
        <w:t xml:space="preserve"> </w:t>
      </w:r>
      <w:r w:rsidR="005F589A" w:rsidRPr="008C0E7B">
        <w:rPr>
          <w:rFonts w:ascii="Times New Roman" w:hAnsi="Times New Roman"/>
          <w:sz w:val="24"/>
        </w:rPr>
        <w:t>Processors would report the number and value of walk-in bill payment transactions in 2012, including the number and value of transactions by transaction value and the number and value of transactions by settlement system.  Re</w:t>
      </w:r>
      <w:r w:rsidR="00C21BAB" w:rsidRPr="008C0E7B">
        <w:rPr>
          <w:rFonts w:ascii="Times New Roman" w:hAnsi="Times New Roman"/>
          <w:sz w:val="24"/>
        </w:rPr>
        <w:t>spondents would also report on the funding method for walk-in bill payment transactions.</w:t>
      </w:r>
      <w:r w:rsidR="00E45C0A" w:rsidRPr="008C0E7B">
        <w:rPr>
          <w:rStyle w:val="FootnoteReference"/>
          <w:rFonts w:ascii="Times New Roman" w:hAnsi="Times New Roman"/>
          <w:sz w:val="24"/>
        </w:rPr>
        <w:footnoteReference w:id="22"/>
      </w:r>
    </w:p>
    <w:p w:rsidR="00765646" w:rsidRPr="008C0E7B" w:rsidRDefault="00765646" w:rsidP="009C43F9">
      <w:pPr>
        <w:pStyle w:val="ListParagraph"/>
        <w:numPr>
          <w:ilvl w:val="1"/>
          <w:numId w:val="14"/>
        </w:numPr>
        <w:contextualSpacing w:val="0"/>
        <w:rPr>
          <w:rFonts w:ascii="Times New Roman" w:hAnsi="Times New Roman"/>
          <w:b/>
          <w:sz w:val="24"/>
        </w:rPr>
      </w:pPr>
      <w:r w:rsidRPr="008C0E7B">
        <w:rPr>
          <w:rFonts w:ascii="Times New Roman" w:hAnsi="Times New Roman"/>
          <w:b/>
          <w:sz w:val="24"/>
        </w:rPr>
        <w:t>Deferred Payment</w:t>
      </w:r>
      <w:r w:rsidR="00C21BAB" w:rsidRPr="008C0E7B">
        <w:rPr>
          <w:rFonts w:ascii="Times New Roman" w:hAnsi="Times New Roman"/>
          <w:b/>
          <w:sz w:val="24"/>
        </w:rPr>
        <w:t xml:space="preserve"> Processor Survey</w:t>
      </w:r>
      <w:r w:rsidRPr="008C0E7B">
        <w:rPr>
          <w:rFonts w:ascii="Times New Roman" w:hAnsi="Times New Roman"/>
          <w:b/>
          <w:sz w:val="24"/>
        </w:rPr>
        <w:t>:</w:t>
      </w:r>
      <w:r w:rsidR="00827045" w:rsidRPr="008C0E7B">
        <w:rPr>
          <w:rFonts w:ascii="Times New Roman" w:hAnsi="Times New Roman"/>
          <w:b/>
          <w:sz w:val="24"/>
        </w:rPr>
        <w:t xml:space="preserve"> </w:t>
      </w:r>
      <w:r w:rsidR="00C21BAB" w:rsidRPr="008C0E7B">
        <w:rPr>
          <w:rFonts w:ascii="Times New Roman" w:hAnsi="Times New Roman"/>
          <w:sz w:val="24"/>
        </w:rPr>
        <w:t xml:space="preserve">Processors would report the number and value of deferred payment transactions in 2012, including the number and value of transactions by transaction value and the number and value of transactions by </w:t>
      </w:r>
      <w:r w:rsidR="00C21BAB" w:rsidRPr="008C0E7B">
        <w:rPr>
          <w:rFonts w:ascii="Times New Roman" w:hAnsi="Times New Roman"/>
          <w:sz w:val="24"/>
        </w:rPr>
        <w:lastRenderedPageBreak/>
        <w:t>merchant settlement system.  Respondents would also report on the funding method for deferred payment transactions.</w:t>
      </w:r>
      <w:r w:rsidR="00E45C0A" w:rsidRPr="008C0E7B">
        <w:rPr>
          <w:rStyle w:val="FootnoteReference"/>
          <w:rFonts w:ascii="Times New Roman" w:hAnsi="Times New Roman"/>
          <w:sz w:val="24"/>
        </w:rPr>
        <w:footnoteReference w:id="23"/>
      </w:r>
    </w:p>
    <w:p w:rsidR="00765646" w:rsidRPr="008C0E7B" w:rsidRDefault="00765646" w:rsidP="009C43F9">
      <w:pPr>
        <w:pStyle w:val="ListParagraph"/>
        <w:numPr>
          <w:ilvl w:val="1"/>
          <w:numId w:val="14"/>
        </w:numPr>
        <w:contextualSpacing w:val="0"/>
        <w:rPr>
          <w:rFonts w:ascii="Times New Roman" w:hAnsi="Times New Roman"/>
          <w:b/>
          <w:sz w:val="24"/>
        </w:rPr>
      </w:pPr>
      <w:r w:rsidRPr="008C0E7B">
        <w:rPr>
          <w:rFonts w:ascii="Times New Roman" w:hAnsi="Times New Roman"/>
          <w:b/>
          <w:sz w:val="24"/>
        </w:rPr>
        <w:t>Private-Label ACH Debit Card</w:t>
      </w:r>
      <w:r w:rsidR="00147536" w:rsidRPr="008C0E7B">
        <w:rPr>
          <w:rFonts w:ascii="Times New Roman" w:hAnsi="Times New Roman"/>
          <w:b/>
          <w:sz w:val="24"/>
        </w:rPr>
        <w:t xml:space="preserve"> Processor Survey</w:t>
      </w:r>
      <w:r w:rsidR="004E02C4" w:rsidRPr="008C0E7B">
        <w:rPr>
          <w:rFonts w:ascii="Times New Roman" w:hAnsi="Times New Roman"/>
          <w:b/>
          <w:sz w:val="24"/>
        </w:rPr>
        <w:t>:</w:t>
      </w:r>
      <w:r w:rsidR="00234232" w:rsidRPr="008C0E7B">
        <w:rPr>
          <w:rFonts w:ascii="Times New Roman" w:hAnsi="Times New Roman"/>
          <w:b/>
          <w:sz w:val="24"/>
        </w:rPr>
        <w:t xml:space="preserve"> </w:t>
      </w:r>
      <w:r w:rsidR="00C21BAB" w:rsidRPr="008C0E7B">
        <w:rPr>
          <w:rFonts w:ascii="Times New Roman" w:hAnsi="Times New Roman"/>
          <w:sz w:val="24"/>
        </w:rPr>
        <w:t>Processors would report the number and value of private-label ACH debit card transactions in 2012, including the number and value of transactions by transaction value and the number and value of transactions by merchant settlement system.  Respondents would also report on the number of private-label ACH debit cards outstanding as of December 31, 2012.</w:t>
      </w:r>
      <w:r w:rsidR="00581F6E" w:rsidRPr="008C0E7B">
        <w:rPr>
          <w:rStyle w:val="FootnoteReference"/>
          <w:rFonts w:ascii="Times New Roman" w:hAnsi="Times New Roman"/>
          <w:sz w:val="24"/>
        </w:rPr>
        <w:footnoteReference w:id="24"/>
      </w:r>
    </w:p>
    <w:p w:rsidR="004E02C4" w:rsidRPr="008C0E7B" w:rsidRDefault="004E02C4" w:rsidP="009C43F9">
      <w:pPr>
        <w:pStyle w:val="ListParagraph"/>
        <w:numPr>
          <w:ilvl w:val="1"/>
          <w:numId w:val="14"/>
        </w:numPr>
        <w:contextualSpacing w:val="0"/>
        <w:rPr>
          <w:rFonts w:ascii="Times New Roman" w:hAnsi="Times New Roman"/>
          <w:b/>
          <w:sz w:val="24"/>
        </w:rPr>
      </w:pPr>
      <w:r w:rsidRPr="008C0E7B">
        <w:rPr>
          <w:rFonts w:ascii="Times New Roman" w:hAnsi="Times New Roman"/>
          <w:b/>
          <w:sz w:val="24"/>
        </w:rPr>
        <w:t xml:space="preserve">Far-Field RFID </w:t>
      </w:r>
      <w:r w:rsidR="00147536" w:rsidRPr="008C0E7B">
        <w:rPr>
          <w:rFonts w:ascii="Times New Roman" w:hAnsi="Times New Roman"/>
          <w:b/>
          <w:sz w:val="24"/>
        </w:rPr>
        <w:t>Payment Processor Survey</w:t>
      </w:r>
      <w:r w:rsidRPr="008C0E7B">
        <w:rPr>
          <w:rFonts w:ascii="Times New Roman" w:hAnsi="Times New Roman"/>
          <w:b/>
          <w:sz w:val="24"/>
        </w:rPr>
        <w:t>:</w:t>
      </w:r>
      <w:r w:rsidR="00234232" w:rsidRPr="008C0E7B">
        <w:rPr>
          <w:rFonts w:ascii="Times New Roman" w:hAnsi="Times New Roman"/>
          <w:b/>
          <w:sz w:val="24"/>
        </w:rPr>
        <w:t xml:space="preserve"> </w:t>
      </w:r>
      <w:r w:rsidR="00C21BAB" w:rsidRPr="008C0E7B">
        <w:rPr>
          <w:rFonts w:ascii="Times New Roman" w:hAnsi="Times New Roman"/>
          <w:sz w:val="24"/>
        </w:rPr>
        <w:t xml:space="preserve">Processors would report the number and value of far-field </w:t>
      </w:r>
      <w:r w:rsidR="00DC1749" w:rsidRPr="008C0E7B">
        <w:rPr>
          <w:rFonts w:ascii="Times New Roman" w:hAnsi="Times New Roman"/>
          <w:sz w:val="24"/>
        </w:rPr>
        <w:t>radio-frequency identification (</w:t>
      </w:r>
      <w:r w:rsidR="00C21BAB" w:rsidRPr="008C0E7B">
        <w:rPr>
          <w:rFonts w:ascii="Times New Roman" w:hAnsi="Times New Roman"/>
          <w:sz w:val="24"/>
        </w:rPr>
        <w:t>RFID</w:t>
      </w:r>
      <w:r w:rsidR="00DC1749" w:rsidRPr="008C0E7B">
        <w:rPr>
          <w:rFonts w:ascii="Times New Roman" w:hAnsi="Times New Roman"/>
          <w:sz w:val="24"/>
        </w:rPr>
        <w:t>)</w:t>
      </w:r>
      <w:r w:rsidR="00C21BAB" w:rsidRPr="008C0E7B">
        <w:rPr>
          <w:rFonts w:ascii="Times New Roman" w:hAnsi="Times New Roman"/>
          <w:sz w:val="24"/>
        </w:rPr>
        <w:t xml:space="preserve"> transactions in 2012, including the number and value of transactions by transaction value. </w:t>
      </w:r>
      <w:r w:rsidR="00671D6B" w:rsidRPr="008C0E7B">
        <w:rPr>
          <w:rFonts w:ascii="Times New Roman" w:hAnsi="Times New Roman"/>
          <w:sz w:val="24"/>
        </w:rPr>
        <w:t xml:space="preserve">These payments typically involve a vehicle-mounted transmitter used to automatically pay at toll booths at bridges and roads.  </w:t>
      </w:r>
      <w:r w:rsidR="00C21BAB" w:rsidRPr="008C0E7B">
        <w:rPr>
          <w:rFonts w:ascii="Times New Roman" w:hAnsi="Times New Roman"/>
          <w:sz w:val="24"/>
        </w:rPr>
        <w:t>Respondents would also report on the funding method for far-field RFID transactions.</w:t>
      </w:r>
      <w:r w:rsidR="00581F6E" w:rsidRPr="008C0E7B">
        <w:rPr>
          <w:rStyle w:val="FootnoteReference"/>
          <w:rFonts w:ascii="Times New Roman" w:hAnsi="Times New Roman"/>
          <w:sz w:val="24"/>
        </w:rPr>
        <w:footnoteReference w:id="25"/>
      </w:r>
    </w:p>
    <w:p w:rsidR="004E02C4" w:rsidRPr="008C0E7B" w:rsidRDefault="004E02C4" w:rsidP="009C43F9">
      <w:pPr>
        <w:pStyle w:val="ListParagraph"/>
        <w:numPr>
          <w:ilvl w:val="1"/>
          <w:numId w:val="14"/>
        </w:numPr>
        <w:contextualSpacing w:val="0"/>
        <w:rPr>
          <w:rFonts w:ascii="Times New Roman" w:hAnsi="Times New Roman"/>
          <w:b/>
          <w:sz w:val="24"/>
        </w:rPr>
      </w:pPr>
      <w:r w:rsidRPr="008C0E7B">
        <w:rPr>
          <w:rFonts w:ascii="Times New Roman" w:hAnsi="Times New Roman"/>
          <w:b/>
          <w:sz w:val="24"/>
        </w:rPr>
        <w:t>Secure Online Payment</w:t>
      </w:r>
      <w:r w:rsidR="00147536" w:rsidRPr="008C0E7B">
        <w:rPr>
          <w:rFonts w:ascii="Times New Roman" w:hAnsi="Times New Roman"/>
          <w:b/>
          <w:sz w:val="24"/>
        </w:rPr>
        <w:t xml:space="preserve"> Processor Survey</w:t>
      </w:r>
      <w:r w:rsidRPr="008C0E7B">
        <w:rPr>
          <w:rFonts w:ascii="Times New Roman" w:hAnsi="Times New Roman"/>
          <w:b/>
          <w:sz w:val="24"/>
        </w:rPr>
        <w:t>:</w:t>
      </w:r>
      <w:r w:rsidR="00234232" w:rsidRPr="008C0E7B">
        <w:rPr>
          <w:rFonts w:ascii="Times New Roman" w:hAnsi="Times New Roman"/>
          <w:b/>
          <w:sz w:val="24"/>
        </w:rPr>
        <w:t xml:space="preserve"> </w:t>
      </w:r>
      <w:r w:rsidR="00147536" w:rsidRPr="008C0E7B">
        <w:rPr>
          <w:rFonts w:ascii="Times New Roman" w:hAnsi="Times New Roman"/>
          <w:sz w:val="24"/>
        </w:rPr>
        <w:t>Processors would report the number and value of secure online payment transactions in 2012, including the number and value of transactions by transaction value.</w:t>
      </w:r>
    </w:p>
    <w:p w:rsidR="004E02C4" w:rsidRPr="008C0E7B" w:rsidRDefault="004E02C4" w:rsidP="009C43F9">
      <w:pPr>
        <w:pStyle w:val="ListParagraph"/>
        <w:numPr>
          <w:ilvl w:val="1"/>
          <w:numId w:val="14"/>
        </w:numPr>
        <w:contextualSpacing w:val="0"/>
        <w:rPr>
          <w:rFonts w:ascii="Times New Roman" w:hAnsi="Times New Roman"/>
          <w:b/>
          <w:sz w:val="24"/>
        </w:rPr>
      </w:pPr>
      <w:r w:rsidRPr="008C0E7B">
        <w:rPr>
          <w:rFonts w:ascii="Times New Roman" w:hAnsi="Times New Roman"/>
          <w:b/>
          <w:sz w:val="24"/>
        </w:rPr>
        <w:t>eCommerce PIN Debit Payment</w:t>
      </w:r>
      <w:r w:rsidR="00147536" w:rsidRPr="008C0E7B">
        <w:rPr>
          <w:rFonts w:ascii="Times New Roman" w:hAnsi="Times New Roman"/>
          <w:b/>
          <w:sz w:val="24"/>
        </w:rPr>
        <w:t xml:space="preserve"> Processor Survey</w:t>
      </w:r>
      <w:r w:rsidRPr="008C0E7B">
        <w:rPr>
          <w:rFonts w:ascii="Times New Roman" w:hAnsi="Times New Roman"/>
          <w:b/>
          <w:sz w:val="24"/>
        </w:rPr>
        <w:t>:</w:t>
      </w:r>
      <w:r w:rsidR="00234232" w:rsidRPr="008C0E7B">
        <w:rPr>
          <w:rFonts w:ascii="Times New Roman" w:hAnsi="Times New Roman"/>
          <w:b/>
          <w:sz w:val="24"/>
        </w:rPr>
        <w:t xml:space="preserve"> </w:t>
      </w:r>
      <w:r w:rsidR="00147536" w:rsidRPr="008C0E7B">
        <w:rPr>
          <w:rFonts w:ascii="Times New Roman" w:hAnsi="Times New Roman"/>
          <w:sz w:val="24"/>
        </w:rPr>
        <w:t>Processors would report the number and value of eCommerce PIN debit payment transactions in 2012, including the number and value of transactions by transaction value.</w:t>
      </w:r>
    </w:p>
    <w:p w:rsidR="004E02C4" w:rsidRPr="008C0E7B" w:rsidRDefault="004E02C4" w:rsidP="009C43F9">
      <w:pPr>
        <w:pStyle w:val="ListParagraph"/>
        <w:numPr>
          <w:ilvl w:val="1"/>
          <w:numId w:val="14"/>
        </w:numPr>
        <w:contextualSpacing w:val="0"/>
        <w:rPr>
          <w:rFonts w:ascii="Times New Roman" w:hAnsi="Times New Roman"/>
          <w:b/>
          <w:sz w:val="24"/>
        </w:rPr>
      </w:pPr>
      <w:r w:rsidRPr="008C0E7B">
        <w:rPr>
          <w:rFonts w:ascii="Times New Roman" w:hAnsi="Times New Roman"/>
          <w:b/>
          <w:sz w:val="24"/>
        </w:rPr>
        <w:t>Mobile Wallet</w:t>
      </w:r>
      <w:r w:rsidR="00147536" w:rsidRPr="008C0E7B">
        <w:rPr>
          <w:rFonts w:ascii="Times New Roman" w:hAnsi="Times New Roman"/>
          <w:b/>
          <w:sz w:val="24"/>
        </w:rPr>
        <w:t xml:space="preserve"> Processor Survey</w:t>
      </w:r>
      <w:r w:rsidRPr="008C0E7B">
        <w:rPr>
          <w:rFonts w:ascii="Times New Roman" w:hAnsi="Times New Roman"/>
          <w:b/>
          <w:sz w:val="24"/>
        </w:rPr>
        <w:t>:</w:t>
      </w:r>
      <w:r w:rsidR="00234232" w:rsidRPr="008C0E7B">
        <w:rPr>
          <w:rFonts w:ascii="Times New Roman" w:hAnsi="Times New Roman"/>
          <w:b/>
          <w:sz w:val="24"/>
        </w:rPr>
        <w:t xml:space="preserve"> </w:t>
      </w:r>
      <w:r w:rsidR="00147536" w:rsidRPr="008C0E7B">
        <w:rPr>
          <w:rFonts w:ascii="Times New Roman" w:hAnsi="Times New Roman"/>
          <w:sz w:val="24"/>
        </w:rPr>
        <w:t>Processors would report the number and value of mobile wallet transactions in 2012, including the number and value of transactions by transaction value.</w:t>
      </w:r>
      <w:r w:rsidR="00581F6E" w:rsidRPr="008C0E7B">
        <w:rPr>
          <w:rStyle w:val="FootnoteReference"/>
          <w:rFonts w:ascii="Times New Roman" w:hAnsi="Times New Roman"/>
          <w:sz w:val="24"/>
        </w:rPr>
        <w:footnoteReference w:id="26"/>
      </w:r>
    </w:p>
    <w:p w:rsidR="00A61A74" w:rsidRPr="008C0E7B" w:rsidRDefault="00A61A74" w:rsidP="009C43F9">
      <w:pPr>
        <w:rPr>
          <w:b/>
          <w:szCs w:val="24"/>
          <w:lang w:eastAsia="en-US"/>
        </w:rPr>
      </w:pPr>
    </w:p>
    <w:p w:rsidR="00B860BC" w:rsidRPr="008C0E7B" w:rsidRDefault="00B860BC" w:rsidP="009C43F9">
      <w:pPr>
        <w:ind w:firstLine="720"/>
        <w:rPr>
          <w:b/>
          <w:szCs w:val="24"/>
        </w:rPr>
      </w:pPr>
      <w:r w:rsidRPr="008C0E7B">
        <w:rPr>
          <w:b/>
          <w:szCs w:val="24"/>
        </w:rPr>
        <w:t xml:space="preserve">Check Sample Survey (FR 3066c) </w:t>
      </w:r>
    </w:p>
    <w:p w:rsidR="00364F50" w:rsidRPr="008C0E7B" w:rsidRDefault="00364F50" w:rsidP="009C43F9">
      <w:pPr>
        <w:pStyle w:val="BodyTextIndent"/>
        <w:ind w:firstLine="0"/>
        <w:mirrorIndents/>
        <w:rPr>
          <w:rFonts w:ascii="Times New Roman" w:hAnsi="Times New Roman" w:cs="Times New Roman"/>
          <w:b/>
        </w:rPr>
      </w:pPr>
    </w:p>
    <w:p w:rsidR="009A5190" w:rsidRPr="008C0E7B" w:rsidRDefault="00B860BC" w:rsidP="009C43F9">
      <w:pPr>
        <w:pStyle w:val="BodyTextIndent"/>
        <w:ind w:firstLine="720"/>
        <w:mirrorIndents/>
        <w:rPr>
          <w:rFonts w:ascii="Times New Roman" w:hAnsi="Times New Roman" w:cs="Times New Roman"/>
        </w:rPr>
      </w:pPr>
      <w:r w:rsidRPr="008C0E7B">
        <w:rPr>
          <w:rFonts w:ascii="Times New Roman" w:hAnsi="Times New Roman" w:cs="Times New Roman"/>
        </w:rPr>
        <w:t xml:space="preserve">The FR 3066c would conduct a survey that in past FRPS surveys was referred to as the Check Sample Study (CSS).  This survey would collect data on individual checks paid in 2012.  Versions of the CSS were conducted in three out of four FRPS, including the first and last.  The survey instrument design could be modified slightly, but is expected to be very similar to the instrument used in 2010.  More importantly, the data collection method may be revised based on proposals received through a competitive bidding process.  Past approaches included the collection of individual check information on multiple survey forms provided by a stratified sample of about 150 depository institutions and the use of survey forms by personnel employed by a contractor using images retrieved from a single institution that aggregated data from about 11 very large institutions.  The decision on what approach to use for this survey will be based on </w:t>
      </w:r>
      <w:r w:rsidRPr="008C0E7B">
        <w:rPr>
          <w:rFonts w:ascii="Times New Roman" w:hAnsi="Times New Roman" w:cs="Times New Roman"/>
        </w:rPr>
        <w:lastRenderedPageBreak/>
        <w:t>an evaluation of the proposals received.  Depository institutions would not be asked to complete the survey instrument.</w:t>
      </w:r>
      <w:r w:rsidR="00657EF0" w:rsidRPr="008C0E7B">
        <w:rPr>
          <w:rStyle w:val="FootnoteReference"/>
          <w:rFonts w:ascii="Times New Roman" w:hAnsi="Times New Roman" w:cs="Times New Roman"/>
        </w:rPr>
        <w:footnoteReference w:id="27"/>
      </w:r>
    </w:p>
    <w:p w:rsidR="008C0E7B" w:rsidRPr="008C0E7B" w:rsidRDefault="008C0E7B">
      <w:pPr>
        <w:rPr>
          <w:b/>
          <w:szCs w:val="24"/>
          <w:lang w:eastAsia="en-US"/>
        </w:rPr>
      </w:pPr>
    </w:p>
    <w:p w:rsidR="00B860BC" w:rsidRPr="008C0E7B" w:rsidRDefault="00B860BC" w:rsidP="009C43F9">
      <w:pPr>
        <w:pStyle w:val="BodyTextIndent"/>
        <w:ind w:firstLine="720"/>
        <w:mirrorIndents/>
        <w:rPr>
          <w:rFonts w:ascii="Times New Roman" w:hAnsi="Times New Roman" w:cs="Times New Roman"/>
          <w:b/>
        </w:rPr>
      </w:pPr>
      <w:r w:rsidRPr="008C0E7B">
        <w:rPr>
          <w:rFonts w:ascii="Times New Roman" w:hAnsi="Times New Roman" w:cs="Times New Roman"/>
          <w:b/>
        </w:rPr>
        <w:t>Retail Payments Survey Supplement (FR 3066d)</w:t>
      </w:r>
    </w:p>
    <w:p w:rsidR="009F03A7" w:rsidRPr="008C0E7B" w:rsidRDefault="009F03A7" w:rsidP="009C43F9">
      <w:pPr>
        <w:pStyle w:val="BodyTextIndent"/>
        <w:ind w:firstLine="0"/>
        <w:mirrorIndents/>
        <w:rPr>
          <w:rFonts w:ascii="Times New Roman" w:hAnsi="Times New Roman" w:cs="Times New Roman"/>
        </w:rPr>
      </w:pPr>
    </w:p>
    <w:p w:rsidR="00B860BC" w:rsidRPr="008C0E7B" w:rsidRDefault="00B860BC" w:rsidP="009C43F9">
      <w:pPr>
        <w:ind w:firstLine="720"/>
        <w:rPr>
          <w:szCs w:val="24"/>
        </w:rPr>
      </w:pPr>
      <w:r w:rsidRPr="008C0E7B">
        <w:rPr>
          <w:szCs w:val="24"/>
        </w:rPr>
        <w:t xml:space="preserve">The FR 3066d data may be collected from networks, processors, and issuers in order to update the volume of major electronic payment instruments such as credit cards and prepaid cards, and emerging payment instruments.  The surveys may include parts of the FR 3066a and b, or may involve new sections if new payment system developments emerge.  </w:t>
      </w:r>
    </w:p>
    <w:p w:rsidR="00B00638" w:rsidRPr="008C0E7B" w:rsidRDefault="00B00638" w:rsidP="009C43F9">
      <w:pPr>
        <w:mirrorIndents/>
        <w:rPr>
          <w:b/>
          <w:szCs w:val="24"/>
        </w:rPr>
      </w:pPr>
    </w:p>
    <w:p w:rsidR="00364F50" w:rsidRPr="008C0E7B" w:rsidRDefault="00364F50" w:rsidP="009C43F9">
      <w:pPr>
        <w:mirrorIndents/>
        <w:rPr>
          <w:szCs w:val="24"/>
        </w:rPr>
      </w:pPr>
      <w:r w:rsidRPr="008C0E7B">
        <w:rPr>
          <w:b/>
          <w:szCs w:val="24"/>
        </w:rPr>
        <w:t>Frequency</w:t>
      </w:r>
    </w:p>
    <w:p w:rsidR="00364F50" w:rsidRPr="008C0E7B" w:rsidRDefault="00364F50" w:rsidP="009C43F9">
      <w:pPr>
        <w:tabs>
          <w:tab w:val="left" w:pos="0"/>
          <w:tab w:val="left" w:pos="8460"/>
        </w:tabs>
        <w:mirrorIndents/>
        <w:rPr>
          <w:b/>
          <w:szCs w:val="24"/>
        </w:rPr>
      </w:pPr>
      <w:r w:rsidRPr="008C0E7B">
        <w:rPr>
          <w:b/>
          <w:szCs w:val="24"/>
        </w:rPr>
        <w:tab/>
      </w:r>
    </w:p>
    <w:p w:rsidR="00364F50" w:rsidRPr="008C0E7B" w:rsidRDefault="00364F50" w:rsidP="009C43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mirrorIndents/>
        <w:rPr>
          <w:szCs w:val="24"/>
        </w:rPr>
      </w:pPr>
      <w:r w:rsidRPr="008C0E7B">
        <w:rPr>
          <w:b/>
          <w:szCs w:val="24"/>
        </w:rPr>
        <w:tab/>
      </w:r>
      <w:r w:rsidR="009C43F9" w:rsidRPr="008C0E7B">
        <w:rPr>
          <w:szCs w:val="24"/>
        </w:rPr>
        <w:t>The Federal Reserve</w:t>
      </w:r>
      <w:r w:rsidR="004F0940" w:rsidRPr="008C0E7B">
        <w:rPr>
          <w:szCs w:val="24"/>
        </w:rPr>
        <w:t xml:space="preserve"> </w:t>
      </w:r>
      <w:r w:rsidR="00D23AF1" w:rsidRPr="008C0E7B">
        <w:rPr>
          <w:szCs w:val="24"/>
        </w:rPr>
        <w:t xml:space="preserve">proposes to collect the </w:t>
      </w:r>
      <w:r w:rsidR="006A31C3" w:rsidRPr="008C0E7B">
        <w:rPr>
          <w:szCs w:val="24"/>
        </w:rPr>
        <w:t xml:space="preserve">FR </w:t>
      </w:r>
      <w:r w:rsidR="00D2477E" w:rsidRPr="008C0E7B">
        <w:rPr>
          <w:szCs w:val="24"/>
        </w:rPr>
        <w:t>3066</w:t>
      </w:r>
      <w:r w:rsidR="006A31C3" w:rsidRPr="008C0E7B">
        <w:rPr>
          <w:szCs w:val="24"/>
        </w:rPr>
        <w:t>a</w:t>
      </w:r>
      <w:r w:rsidR="00F6219B" w:rsidRPr="008C0E7B">
        <w:rPr>
          <w:szCs w:val="24"/>
        </w:rPr>
        <w:t xml:space="preserve">, </w:t>
      </w:r>
      <w:r w:rsidR="006A31C3" w:rsidRPr="008C0E7B">
        <w:rPr>
          <w:szCs w:val="24"/>
        </w:rPr>
        <w:t>b</w:t>
      </w:r>
      <w:r w:rsidR="00F6219B" w:rsidRPr="008C0E7B">
        <w:rPr>
          <w:szCs w:val="24"/>
        </w:rPr>
        <w:t xml:space="preserve">, and c </w:t>
      </w:r>
      <w:r w:rsidR="00D23AF1" w:rsidRPr="008C0E7B">
        <w:rPr>
          <w:szCs w:val="24"/>
        </w:rPr>
        <w:t xml:space="preserve">data </w:t>
      </w:r>
      <w:r w:rsidR="00F46E8D" w:rsidRPr="008C0E7B">
        <w:rPr>
          <w:szCs w:val="24"/>
        </w:rPr>
        <w:t>triennially</w:t>
      </w:r>
      <w:r w:rsidR="00D23AF1" w:rsidRPr="008C0E7B">
        <w:rPr>
          <w:szCs w:val="24"/>
        </w:rPr>
        <w:t xml:space="preserve">.  </w:t>
      </w:r>
      <w:r w:rsidR="00DD6CE0" w:rsidRPr="008C0E7B">
        <w:rPr>
          <w:szCs w:val="24"/>
        </w:rPr>
        <w:t xml:space="preserve">The FR 3066d survey may be conducted </w:t>
      </w:r>
      <w:r w:rsidRPr="008C0E7B">
        <w:rPr>
          <w:szCs w:val="24"/>
        </w:rPr>
        <w:t>annual</w:t>
      </w:r>
      <w:r w:rsidR="00DD6CE0" w:rsidRPr="008C0E7B">
        <w:rPr>
          <w:szCs w:val="24"/>
        </w:rPr>
        <w:t>ly</w:t>
      </w:r>
      <w:r w:rsidRPr="008C0E7B">
        <w:rPr>
          <w:szCs w:val="24"/>
        </w:rPr>
        <w:t xml:space="preserve"> or </w:t>
      </w:r>
      <w:r w:rsidR="00DD6CE0" w:rsidRPr="008C0E7B">
        <w:rPr>
          <w:szCs w:val="24"/>
        </w:rPr>
        <w:t>on occasion</w:t>
      </w:r>
      <w:r w:rsidRPr="008C0E7B">
        <w:rPr>
          <w:szCs w:val="24"/>
        </w:rPr>
        <w:t xml:space="preserve"> </w:t>
      </w:r>
      <w:r w:rsidR="00CD70CD" w:rsidRPr="008C0E7B">
        <w:rPr>
          <w:szCs w:val="24"/>
        </w:rPr>
        <w:t xml:space="preserve">(not to exceed </w:t>
      </w:r>
      <w:r w:rsidR="003C6B38">
        <w:rPr>
          <w:szCs w:val="24"/>
        </w:rPr>
        <w:t>one</w:t>
      </w:r>
      <w:r w:rsidR="00757AFF" w:rsidRPr="008C0E7B">
        <w:rPr>
          <w:szCs w:val="24"/>
        </w:rPr>
        <w:t xml:space="preserve"> time</w:t>
      </w:r>
      <w:r w:rsidR="00CD70CD" w:rsidRPr="008C0E7B">
        <w:rPr>
          <w:szCs w:val="24"/>
        </w:rPr>
        <w:t xml:space="preserve"> per year) </w:t>
      </w:r>
      <w:r w:rsidRPr="008C0E7B">
        <w:rPr>
          <w:szCs w:val="24"/>
        </w:rPr>
        <w:t xml:space="preserve">depending </w:t>
      </w:r>
      <w:r w:rsidR="00F46E8D" w:rsidRPr="008C0E7B">
        <w:rPr>
          <w:szCs w:val="24"/>
        </w:rPr>
        <w:t xml:space="preserve">on </w:t>
      </w:r>
      <w:r w:rsidR="00CD70CD" w:rsidRPr="008C0E7B">
        <w:rPr>
          <w:szCs w:val="24"/>
        </w:rPr>
        <w:t xml:space="preserve">data </w:t>
      </w:r>
      <w:r w:rsidRPr="008C0E7B">
        <w:rPr>
          <w:szCs w:val="24"/>
        </w:rPr>
        <w:t>need</w:t>
      </w:r>
      <w:r w:rsidR="00CD70CD" w:rsidRPr="008C0E7B">
        <w:rPr>
          <w:szCs w:val="24"/>
        </w:rPr>
        <w:t>s</w:t>
      </w:r>
      <w:r w:rsidRPr="008C0E7B">
        <w:rPr>
          <w:szCs w:val="24"/>
        </w:rPr>
        <w:t>, timeliness, cost, and burden on respondents.</w:t>
      </w:r>
    </w:p>
    <w:p w:rsidR="00111AB0" w:rsidRPr="008C0E7B" w:rsidRDefault="00111AB0" w:rsidP="009C43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mirrorIndents/>
        <w:rPr>
          <w:b/>
          <w:szCs w:val="24"/>
        </w:rPr>
      </w:pPr>
    </w:p>
    <w:p w:rsidR="00FD0F65" w:rsidRPr="008C0E7B" w:rsidRDefault="00364F50" w:rsidP="009C43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mirrorIndents/>
        <w:rPr>
          <w:szCs w:val="24"/>
        </w:rPr>
      </w:pPr>
      <w:r w:rsidRPr="008C0E7B">
        <w:rPr>
          <w:b/>
          <w:szCs w:val="24"/>
        </w:rPr>
        <w:t xml:space="preserve">Time Schedule for Information Collection and Publication </w:t>
      </w:r>
    </w:p>
    <w:p w:rsidR="00B301A2" w:rsidRPr="008C0E7B" w:rsidRDefault="00B301A2" w:rsidP="009C43F9">
      <w:pPr>
        <w:ind w:firstLine="720"/>
        <w:rPr>
          <w:szCs w:val="24"/>
        </w:rPr>
      </w:pPr>
    </w:p>
    <w:p w:rsidR="00FD0F65" w:rsidRPr="008C0E7B" w:rsidRDefault="00364F50" w:rsidP="009C43F9">
      <w:pPr>
        <w:pStyle w:val="BodyText"/>
        <w:tabs>
          <w:tab w:val="left" w:pos="-1440"/>
        </w:tabs>
        <w:spacing w:after="0"/>
        <w:rPr>
          <w:rFonts w:ascii="Times New Roman" w:hAnsi="Times New Roman"/>
          <w:sz w:val="24"/>
        </w:rPr>
      </w:pPr>
      <w:r w:rsidRPr="008C0E7B">
        <w:rPr>
          <w:rFonts w:ascii="Times New Roman" w:hAnsi="Times New Roman"/>
          <w:sz w:val="24"/>
        </w:rPr>
        <w:tab/>
      </w:r>
      <w:r w:rsidR="002C0A96" w:rsidRPr="008C0E7B">
        <w:rPr>
          <w:rFonts w:ascii="Times New Roman" w:hAnsi="Times New Roman"/>
          <w:sz w:val="24"/>
        </w:rPr>
        <w:t xml:space="preserve">In general, the </w:t>
      </w:r>
      <w:r w:rsidR="008E097A" w:rsidRPr="008C0E7B">
        <w:rPr>
          <w:rFonts w:ascii="Times New Roman" w:hAnsi="Times New Roman"/>
          <w:sz w:val="24"/>
        </w:rPr>
        <w:t>FR3066a, b, and c</w:t>
      </w:r>
      <w:r w:rsidR="008B7A38" w:rsidRPr="008C0E7B">
        <w:rPr>
          <w:rFonts w:ascii="Times New Roman" w:hAnsi="Times New Roman"/>
          <w:sz w:val="24"/>
        </w:rPr>
        <w:t xml:space="preserve"> </w:t>
      </w:r>
      <w:r w:rsidR="002C0A96" w:rsidRPr="008C0E7B">
        <w:rPr>
          <w:rFonts w:ascii="Times New Roman" w:hAnsi="Times New Roman"/>
          <w:sz w:val="24"/>
        </w:rPr>
        <w:t xml:space="preserve">surveys would be distributed in Q1 2013, and data collection would take place through Q3 2013.  The summary report would be released to the public in Q4 2013, and a detailed report would be released Q2 2014.  </w:t>
      </w:r>
      <w:r w:rsidR="002810CB" w:rsidRPr="008C0E7B">
        <w:rPr>
          <w:rFonts w:ascii="Times New Roman" w:hAnsi="Times New Roman"/>
          <w:sz w:val="24"/>
        </w:rPr>
        <w:t>Aggregate estimates</w:t>
      </w:r>
      <w:r w:rsidRPr="008C0E7B">
        <w:rPr>
          <w:rFonts w:ascii="Times New Roman" w:hAnsi="Times New Roman"/>
          <w:sz w:val="24"/>
        </w:rPr>
        <w:t xml:space="preserve"> may be cited in published material such as </w:t>
      </w:r>
      <w:r w:rsidR="007A19C1" w:rsidRPr="008C0E7B">
        <w:rPr>
          <w:rFonts w:ascii="Times New Roman" w:hAnsi="Times New Roman"/>
          <w:sz w:val="24"/>
        </w:rPr>
        <w:t xml:space="preserve">RPO press releases or reports posted on the frbservices.org website, industry conference presentations, </w:t>
      </w:r>
      <w:r w:rsidR="009F21C3" w:rsidRPr="008C0E7B">
        <w:rPr>
          <w:rFonts w:ascii="Times New Roman" w:hAnsi="Times New Roman"/>
          <w:sz w:val="24"/>
        </w:rPr>
        <w:t>Federal Reserve</w:t>
      </w:r>
      <w:r w:rsidRPr="008C0E7B">
        <w:rPr>
          <w:rFonts w:ascii="Times New Roman" w:hAnsi="Times New Roman"/>
          <w:sz w:val="24"/>
        </w:rPr>
        <w:t xml:space="preserve"> studies or working papers, professional journals, the </w:t>
      </w:r>
      <w:r w:rsidRPr="008C0E7B">
        <w:rPr>
          <w:rFonts w:ascii="Times New Roman" w:hAnsi="Times New Roman"/>
          <w:i/>
          <w:sz w:val="24"/>
        </w:rPr>
        <w:t>Federal Reserve Bulletin,</w:t>
      </w:r>
      <w:r w:rsidRPr="008C0E7B">
        <w:rPr>
          <w:rFonts w:ascii="Times New Roman" w:hAnsi="Times New Roman"/>
          <w:sz w:val="24"/>
        </w:rPr>
        <w:t xml:space="preserve"> testimony and reports to the Congress, or other vehicles.</w:t>
      </w:r>
    </w:p>
    <w:p w:rsidR="00C147F1" w:rsidRPr="008C0E7B" w:rsidRDefault="00C147F1" w:rsidP="009C43F9">
      <w:pPr>
        <w:rPr>
          <w:szCs w:val="24"/>
        </w:rPr>
      </w:pPr>
    </w:p>
    <w:p w:rsidR="0039648C" w:rsidRPr="008C0E7B" w:rsidRDefault="00364F50" w:rsidP="009C43F9">
      <w:pPr>
        <w:rPr>
          <w:szCs w:val="24"/>
        </w:rPr>
      </w:pPr>
      <w:r w:rsidRPr="008C0E7B">
        <w:rPr>
          <w:b/>
          <w:szCs w:val="24"/>
        </w:rPr>
        <w:t xml:space="preserve">Legal Status </w:t>
      </w:r>
    </w:p>
    <w:p w:rsidR="0039648C" w:rsidRPr="008C0E7B" w:rsidRDefault="0039648C" w:rsidP="009C43F9">
      <w:pPr>
        <w:rPr>
          <w:szCs w:val="24"/>
        </w:rPr>
      </w:pPr>
    </w:p>
    <w:p w:rsidR="0039648C" w:rsidRPr="008C0E7B" w:rsidRDefault="001129D0" w:rsidP="009C43F9">
      <w:pPr>
        <w:ind w:firstLine="720"/>
        <w:rPr>
          <w:szCs w:val="24"/>
        </w:rPr>
      </w:pPr>
      <w:r w:rsidRPr="008C0E7B">
        <w:rPr>
          <w:szCs w:val="24"/>
        </w:rPr>
        <w:t>The Board's Legal Division has determined that the</w:t>
      </w:r>
      <w:r w:rsidR="00C734BD" w:rsidRPr="008C0E7B">
        <w:rPr>
          <w:szCs w:val="24"/>
        </w:rPr>
        <w:t xml:space="preserve"> voluntary</w:t>
      </w:r>
      <w:r w:rsidRPr="008C0E7B">
        <w:rPr>
          <w:szCs w:val="24"/>
        </w:rPr>
        <w:t xml:space="preserve"> </w:t>
      </w:r>
      <w:r w:rsidR="0039648C" w:rsidRPr="008C0E7B">
        <w:rPr>
          <w:szCs w:val="24"/>
        </w:rPr>
        <w:t>FR 3066 series is broadly authorized under sections 2A and 12A of the Federal Reserve Act.  Section 2A requires that the Board of Governors of the Federal Reserve System and the Federal Open Market Committee (FOMC) maintain long run growth of the monetary and credit aggregates commensurate with the economy’s long run potential to increase production, to promote effectively the goals of maximum employment, stable prices, and moderate long-term interest rates</w:t>
      </w:r>
      <w:r w:rsidR="00796D36" w:rsidRPr="008C0E7B">
        <w:rPr>
          <w:szCs w:val="24"/>
        </w:rPr>
        <w:t xml:space="preserve"> (</w:t>
      </w:r>
      <w:r w:rsidR="0039648C" w:rsidRPr="008C0E7B">
        <w:rPr>
          <w:szCs w:val="24"/>
        </w:rPr>
        <w:t>12 U.S.C. § 225a</w:t>
      </w:r>
      <w:r w:rsidR="00796D36" w:rsidRPr="008C0E7B">
        <w:rPr>
          <w:szCs w:val="24"/>
        </w:rPr>
        <w:t>)</w:t>
      </w:r>
      <w:r w:rsidR="0039648C" w:rsidRPr="008C0E7B">
        <w:rPr>
          <w:szCs w:val="24"/>
        </w:rPr>
        <w:t>.  In addition, under section 12A of the Federal Reserve Act, the FOMC is required to implement regulations relating to the open market operations conducted by Federal Reserve Banks with a view to accommodating commerce and business and with regard to the regulations’ bearing upon the general credit situation of the country</w:t>
      </w:r>
      <w:r w:rsidR="00796D36" w:rsidRPr="008C0E7B">
        <w:rPr>
          <w:szCs w:val="24"/>
        </w:rPr>
        <w:t xml:space="preserve"> (</w:t>
      </w:r>
      <w:r w:rsidR="0039648C" w:rsidRPr="008C0E7B">
        <w:rPr>
          <w:szCs w:val="24"/>
        </w:rPr>
        <w:t>12 U.S.C. § 263</w:t>
      </w:r>
      <w:r w:rsidR="00796D36" w:rsidRPr="008C0E7B">
        <w:rPr>
          <w:szCs w:val="24"/>
        </w:rPr>
        <w:t>)</w:t>
      </w:r>
      <w:r w:rsidR="0039648C" w:rsidRPr="008C0E7B">
        <w:rPr>
          <w:szCs w:val="24"/>
        </w:rPr>
        <w:t>.  The authority of the Federal Reserve to collect economic data to carry out the requirements of these provisions is implicit.  Accordingly, the Federal Reserve is generally authorized to collect the information called for by the FR 3066 series by sections 2A and 12A of the Federal Reserve Act.</w:t>
      </w:r>
    </w:p>
    <w:p w:rsidR="0039648C" w:rsidRPr="008C0E7B" w:rsidRDefault="0039648C" w:rsidP="009C43F9">
      <w:pPr>
        <w:ind w:firstLine="720"/>
        <w:rPr>
          <w:szCs w:val="24"/>
        </w:rPr>
      </w:pPr>
    </w:p>
    <w:p w:rsidR="0039648C" w:rsidRPr="008C0E7B" w:rsidRDefault="0039648C" w:rsidP="009C43F9">
      <w:pPr>
        <w:ind w:firstLine="720"/>
        <w:rPr>
          <w:szCs w:val="24"/>
        </w:rPr>
      </w:pPr>
      <w:r w:rsidRPr="008C0E7B">
        <w:rPr>
          <w:szCs w:val="24"/>
        </w:rPr>
        <w:lastRenderedPageBreak/>
        <w:t xml:space="preserve">In addition, the Board is responsible for implementing and drafting regulations, interpretations, and other guidance for various payments, consumer protection, and other laws (including provisions of the Federal Reserve Act other than those cited above).  The information obtained from the Retail Payments Surveys may be used in support of the Board’s development and implementation of regulations, interpretations, and supervisory guidance for these laws.  Therefore, the survey questions in the FR 3066 are authorized pursuant to the Board’s authority under one or more of the following statutes: </w:t>
      </w:r>
    </w:p>
    <w:p w:rsidR="0039648C" w:rsidRPr="008C0E7B" w:rsidRDefault="0039648C" w:rsidP="009C43F9">
      <w:pPr>
        <w:tabs>
          <w:tab w:val="left" w:pos="-1440"/>
          <w:tab w:val="left" w:pos="-720"/>
          <w:tab w:val="left" w:pos="1440"/>
          <w:tab w:val="left" w:pos="4608"/>
          <w:tab w:val="left" w:pos="5040"/>
          <w:tab w:val="left" w:pos="5760"/>
          <w:tab w:val="left" w:pos="6480"/>
          <w:tab w:val="left" w:pos="7200"/>
          <w:tab w:val="left" w:pos="7920"/>
          <w:tab w:val="left" w:pos="8640"/>
          <w:tab w:val="right" w:pos="9360"/>
        </w:tabs>
        <w:rPr>
          <w:szCs w:val="24"/>
        </w:rPr>
      </w:pPr>
    </w:p>
    <w:p w:rsidR="0039648C" w:rsidRPr="008C0E7B" w:rsidRDefault="0039648C" w:rsidP="009C43F9">
      <w:pPr>
        <w:numPr>
          <w:ilvl w:val="0"/>
          <w:numId w:val="22"/>
        </w:numPr>
        <w:tabs>
          <w:tab w:val="left" w:pos="-1440"/>
          <w:tab w:val="left" w:pos="-720"/>
          <w:tab w:val="left" w:pos="1440"/>
          <w:tab w:val="left" w:pos="4608"/>
          <w:tab w:val="left" w:pos="5040"/>
          <w:tab w:val="left" w:pos="5760"/>
          <w:tab w:val="left" w:pos="6480"/>
          <w:tab w:val="left" w:pos="7200"/>
          <w:tab w:val="left" w:pos="7920"/>
          <w:tab w:val="left" w:pos="8640"/>
          <w:tab w:val="right" w:pos="9360"/>
        </w:tabs>
        <w:autoSpaceDE w:val="0"/>
        <w:autoSpaceDN w:val="0"/>
        <w:adjustRightInd w:val="0"/>
        <w:rPr>
          <w:szCs w:val="24"/>
        </w:rPr>
      </w:pPr>
      <w:r w:rsidRPr="008C0E7B">
        <w:rPr>
          <w:szCs w:val="24"/>
        </w:rPr>
        <w:t>Expedited Funds Availability Act § 609 (12 U.S.C. § 4008)</w:t>
      </w:r>
    </w:p>
    <w:p w:rsidR="0039648C" w:rsidRPr="008C0E7B" w:rsidRDefault="0039648C" w:rsidP="009C43F9">
      <w:pPr>
        <w:numPr>
          <w:ilvl w:val="0"/>
          <w:numId w:val="22"/>
        </w:numPr>
        <w:tabs>
          <w:tab w:val="left" w:pos="-1440"/>
          <w:tab w:val="left" w:pos="-720"/>
          <w:tab w:val="left" w:pos="1440"/>
          <w:tab w:val="left" w:pos="4608"/>
          <w:tab w:val="left" w:pos="5040"/>
          <w:tab w:val="left" w:pos="5760"/>
          <w:tab w:val="left" w:pos="6480"/>
          <w:tab w:val="left" w:pos="7200"/>
          <w:tab w:val="left" w:pos="7920"/>
          <w:tab w:val="left" w:pos="8640"/>
          <w:tab w:val="right" w:pos="9360"/>
        </w:tabs>
        <w:autoSpaceDE w:val="0"/>
        <w:autoSpaceDN w:val="0"/>
        <w:adjustRightInd w:val="0"/>
        <w:rPr>
          <w:szCs w:val="24"/>
        </w:rPr>
      </w:pPr>
      <w:r w:rsidRPr="008C0E7B">
        <w:rPr>
          <w:szCs w:val="24"/>
        </w:rPr>
        <w:t xml:space="preserve">Electronic Fund Transfer Act § 904 (15 U.S.C. § 1693b) and § 920 (15 U.S.C. § 1693o-2)        </w:t>
      </w:r>
    </w:p>
    <w:p w:rsidR="0039648C" w:rsidRPr="008C0E7B" w:rsidRDefault="0039648C" w:rsidP="009C43F9">
      <w:pPr>
        <w:numPr>
          <w:ilvl w:val="0"/>
          <w:numId w:val="22"/>
        </w:numPr>
        <w:tabs>
          <w:tab w:val="left" w:pos="-1440"/>
          <w:tab w:val="left" w:pos="-720"/>
          <w:tab w:val="left" w:pos="1440"/>
          <w:tab w:val="left" w:pos="4608"/>
          <w:tab w:val="left" w:pos="5040"/>
          <w:tab w:val="left" w:pos="5760"/>
          <w:tab w:val="left" w:pos="6480"/>
          <w:tab w:val="left" w:pos="7200"/>
          <w:tab w:val="left" w:pos="7920"/>
          <w:tab w:val="left" w:pos="8640"/>
          <w:tab w:val="right" w:pos="9360"/>
        </w:tabs>
        <w:autoSpaceDE w:val="0"/>
        <w:autoSpaceDN w:val="0"/>
        <w:adjustRightInd w:val="0"/>
        <w:rPr>
          <w:szCs w:val="24"/>
        </w:rPr>
      </w:pPr>
      <w:r w:rsidRPr="008C0E7B">
        <w:rPr>
          <w:szCs w:val="24"/>
        </w:rPr>
        <w:t>Truth In Lending Act § 105 (15 U.S.C. § 1604)</w:t>
      </w:r>
    </w:p>
    <w:p w:rsidR="0039648C" w:rsidRPr="008C0E7B" w:rsidRDefault="0039648C" w:rsidP="009C43F9">
      <w:pPr>
        <w:numPr>
          <w:ilvl w:val="0"/>
          <w:numId w:val="22"/>
        </w:numPr>
        <w:tabs>
          <w:tab w:val="left" w:pos="-1440"/>
          <w:tab w:val="left" w:pos="-720"/>
          <w:tab w:val="left" w:pos="1440"/>
          <w:tab w:val="left" w:pos="4608"/>
          <w:tab w:val="left" w:pos="5040"/>
          <w:tab w:val="left" w:pos="5760"/>
          <w:tab w:val="left" w:pos="6480"/>
          <w:tab w:val="left" w:pos="7200"/>
          <w:tab w:val="left" w:pos="7920"/>
          <w:tab w:val="left" w:pos="8640"/>
          <w:tab w:val="right" w:pos="9360"/>
        </w:tabs>
        <w:autoSpaceDE w:val="0"/>
        <w:autoSpaceDN w:val="0"/>
        <w:adjustRightInd w:val="0"/>
        <w:rPr>
          <w:szCs w:val="24"/>
        </w:rPr>
      </w:pPr>
      <w:r w:rsidRPr="008C0E7B">
        <w:rPr>
          <w:szCs w:val="24"/>
        </w:rPr>
        <w:t>The Check Clearing for the 21</w:t>
      </w:r>
      <w:r w:rsidRPr="008C0E7B">
        <w:rPr>
          <w:szCs w:val="24"/>
          <w:vertAlign w:val="superscript"/>
        </w:rPr>
        <w:t>st</w:t>
      </w:r>
      <w:r w:rsidRPr="008C0E7B">
        <w:rPr>
          <w:szCs w:val="24"/>
        </w:rPr>
        <w:t xml:space="preserve"> Century Act § 15 (12 U.S.C. § 5014) </w:t>
      </w:r>
    </w:p>
    <w:p w:rsidR="0039648C" w:rsidRPr="008C0E7B" w:rsidRDefault="0039648C" w:rsidP="009C43F9">
      <w:pPr>
        <w:numPr>
          <w:ilvl w:val="0"/>
          <w:numId w:val="22"/>
        </w:numPr>
        <w:tabs>
          <w:tab w:val="left" w:pos="-1440"/>
          <w:tab w:val="left" w:pos="-720"/>
          <w:tab w:val="left" w:pos="1440"/>
          <w:tab w:val="left" w:pos="4608"/>
          <w:tab w:val="left" w:pos="5040"/>
          <w:tab w:val="left" w:pos="5760"/>
          <w:tab w:val="left" w:pos="6480"/>
          <w:tab w:val="left" w:pos="7200"/>
          <w:tab w:val="left" w:pos="7920"/>
          <w:tab w:val="left" w:pos="8640"/>
          <w:tab w:val="right" w:pos="9360"/>
        </w:tabs>
        <w:autoSpaceDE w:val="0"/>
        <w:autoSpaceDN w:val="0"/>
        <w:adjustRightInd w:val="0"/>
        <w:rPr>
          <w:szCs w:val="24"/>
        </w:rPr>
      </w:pPr>
      <w:r w:rsidRPr="008C0E7B">
        <w:rPr>
          <w:szCs w:val="24"/>
        </w:rPr>
        <w:t>Federal Reserve Act § 11 (Examinations and reports, Supervision over Reserve Banks, and Federal Reserve Note provisions, 12 U.S.C. § 248); § 11A (Pricing of Services, 12 U.S.C. § 248a); § 13 (FRB deposits and collections, 12 U.S.C. § 342); and §16 (Issuance of Federal Reserve Notes, par clearance, and FRB clearinghouse, 12 U.S.C. §§ 248-1, 360, and 411)</w:t>
      </w:r>
    </w:p>
    <w:p w:rsidR="0039648C" w:rsidRPr="008C0E7B" w:rsidRDefault="0039648C" w:rsidP="009C43F9">
      <w:pPr>
        <w:tabs>
          <w:tab w:val="left" w:pos="-1440"/>
          <w:tab w:val="left" w:pos="-720"/>
          <w:tab w:val="left" w:pos="1440"/>
          <w:tab w:val="left" w:pos="4608"/>
          <w:tab w:val="left" w:pos="5040"/>
          <w:tab w:val="left" w:pos="5760"/>
          <w:tab w:val="left" w:pos="6480"/>
          <w:tab w:val="left" w:pos="7200"/>
          <w:tab w:val="left" w:pos="7920"/>
          <w:tab w:val="left" w:pos="8640"/>
          <w:tab w:val="right" w:pos="9360"/>
        </w:tabs>
        <w:autoSpaceDE w:val="0"/>
        <w:autoSpaceDN w:val="0"/>
        <w:adjustRightInd w:val="0"/>
        <w:rPr>
          <w:szCs w:val="24"/>
        </w:rPr>
      </w:pPr>
    </w:p>
    <w:p w:rsidR="0039648C" w:rsidRPr="008C0E7B" w:rsidRDefault="0039648C" w:rsidP="009C43F9">
      <w:pPr>
        <w:tabs>
          <w:tab w:val="left" w:pos="-1440"/>
          <w:tab w:val="left" w:pos="-720"/>
          <w:tab w:val="left" w:pos="720"/>
          <w:tab w:val="left" w:pos="4608"/>
          <w:tab w:val="left" w:pos="5040"/>
          <w:tab w:val="left" w:pos="5760"/>
          <w:tab w:val="left" w:pos="6480"/>
          <w:tab w:val="left" w:pos="7200"/>
          <w:tab w:val="left" w:pos="7920"/>
          <w:tab w:val="left" w:pos="8640"/>
          <w:tab w:val="right" w:pos="9360"/>
        </w:tabs>
        <w:autoSpaceDE w:val="0"/>
        <w:autoSpaceDN w:val="0"/>
        <w:adjustRightInd w:val="0"/>
        <w:rPr>
          <w:szCs w:val="24"/>
        </w:rPr>
      </w:pPr>
      <w:r w:rsidRPr="008C0E7B">
        <w:rPr>
          <w:szCs w:val="24"/>
        </w:rPr>
        <w:tab/>
        <w:t xml:space="preserve">Additionally, depending upon the survey respondent, the information collection may be authorized under a more specific statute.  Specifically, the Board is authorized to collect information from state member banks under section 9 of the Federal Reserve Act (12 U.S.C. § 324); from bank holding companies (and their subsidiaries) under section 5(c) of the Bank Holding Company Act (12 U.S.C. § 1844(c)); from savings and loan holding companies under </w:t>
      </w:r>
      <w:r w:rsidR="00220746" w:rsidRPr="008C0E7B">
        <w:rPr>
          <w:szCs w:val="24"/>
        </w:rPr>
        <w:t>(</w:t>
      </w:r>
      <w:r w:rsidRPr="008C0E7B">
        <w:rPr>
          <w:szCs w:val="24"/>
        </w:rPr>
        <w:t>12 U.S.C. §§ 1467a(b)(3) and 5412</w:t>
      </w:r>
      <w:r w:rsidR="00220746" w:rsidRPr="008C0E7B">
        <w:rPr>
          <w:szCs w:val="24"/>
        </w:rPr>
        <w:t>)</w:t>
      </w:r>
      <w:r w:rsidRPr="008C0E7B">
        <w:rPr>
          <w:szCs w:val="24"/>
        </w:rPr>
        <w:t xml:space="preserve">, from Edge and agreement corporations under sections 25 and 25A of the Federal Reserve Act (12 U.S.C. §§ 602 and 625); and from U.S. branches and agencies of foreign banks under section 7(c)(2) of the International Banking Act of 1978 (12 U.S.C. § 3105(c)(2)), and under section 7(a) of the Federal Deposit Insurance Act (12 U.S.C. § 1817(a)).  </w:t>
      </w:r>
    </w:p>
    <w:p w:rsidR="0039648C" w:rsidRPr="008C0E7B" w:rsidRDefault="0039648C" w:rsidP="009C43F9">
      <w:pPr>
        <w:tabs>
          <w:tab w:val="left" w:pos="-1440"/>
          <w:tab w:val="left" w:pos="-720"/>
          <w:tab w:val="left" w:pos="720"/>
          <w:tab w:val="left" w:pos="4608"/>
          <w:tab w:val="left" w:pos="5040"/>
          <w:tab w:val="left" w:pos="5760"/>
          <w:tab w:val="left" w:pos="6480"/>
          <w:tab w:val="left" w:pos="7200"/>
          <w:tab w:val="left" w:pos="7920"/>
          <w:tab w:val="left" w:pos="8640"/>
          <w:tab w:val="right" w:pos="9360"/>
        </w:tabs>
        <w:autoSpaceDE w:val="0"/>
        <w:autoSpaceDN w:val="0"/>
        <w:adjustRightInd w:val="0"/>
        <w:rPr>
          <w:szCs w:val="24"/>
        </w:rPr>
      </w:pPr>
    </w:p>
    <w:p w:rsidR="00C734BD" w:rsidRPr="008C0E7B" w:rsidRDefault="00C734BD" w:rsidP="00C734BD">
      <w:pPr>
        <w:tabs>
          <w:tab w:val="left" w:pos="-1440"/>
          <w:tab w:val="left" w:pos="-720"/>
          <w:tab w:val="left" w:pos="720"/>
          <w:tab w:val="left" w:pos="4608"/>
          <w:tab w:val="left" w:pos="5040"/>
          <w:tab w:val="left" w:pos="5760"/>
          <w:tab w:val="left" w:pos="6480"/>
          <w:tab w:val="left" w:pos="7200"/>
          <w:tab w:val="left" w:pos="7920"/>
          <w:tab w:val="left" w:pos="8640"/>
          <w:tab w:val="right" w:pos="9360"/>
        </w:tabs>
        <w:autoSpaceDE w:val="0"/>
        <w:autoSpaceDN w:val="0"/>
        <w:adjustRightInd w:val="0"/>
        <w:rPr>
          <w:szCs w:val="24"/>
        </w:rPr>
      </w:pPr>
      <w:r w:rsidRPr="008C0E7B">
        <w:rPr>
          <w:szCs w:val="24"/>
        </w:rPr>
        <w:tab/>
        <w:t>Respondents to the various surveys are requested to report confidential business information, such as information requested in the FR 3066a (for depository and financial institutions) about the number and value of deposits in various customer account types, image check deposits, paper check deposits, ACH entries, wire transfers, debit and prepaid card transactions, credit card transactions, mobile payments, and transactions involving third-party fraud.  The other surveys request similar types of confidential “number and value” information appropriate to the surveyed entities.  For example, the Network, Processor, and Issuer Payments Surveys (FR 3066b) request the number, value, and type of transactions involving credit cards (both general-purpose and private-label), debit cards, and prepaid cards from respondents (card networks, card processors, and retail merchants). Only aggregate totals from the surveys, such as estimated national volumes and trends in different types and categories of payments, check distribution, and established and emerging payment instruments, are proposed to be publicly released.</w:t>
      </w:r>
    </w:p>
    <w:p w:rsidR="00C734BD" w:rsidRPr="008C0E7B" w:rsidRDefault="00C734BD" w:rsidP="00C734BD">
      <w:pPr>
        <w:tabs>
          <w:tab w:val="left" w:pos="-1440"/>
          <w:tab w:val="left" w:pos="-720"/>
          <w:tab w:val="left" w:pos="720"/>
          <w:tab w:val="left" w:pos="4608"/>
          <w:tab w:val="left" w:pos="5040"/>
          <w:tab w:val="left" w:pos="5760"/>
          <w:tab w:val="left" w:pos="6480"/>
          <w:tab w:val="left" w:pos="7200"/>
          <w:tab w:val="left" w:pos="7920"/>
          <w:tab w:val="left" w:pos="8640"/>
          <w:tab w:val="right" w:pos="9360"/>
        </w:tabs>
        <w:autoSpaceDE w:val="0"/>
        <w:autoSpaceDN w:val="0"/>
        <w:adjustRightInd w:val="0"/>
        <w:rPr>
          <w:szCs w:val="24"/>
        </w:rPr>
      </w:pPr>
    </w:p>
    <w:p w:rsidR="0039648C" w:rsidRPr="008C0E7B" w:rsidRDefault="00C734BD" w:rsidP="00C734BD">
      <w:pPr>
        <w:tabs>
          <w:tab w:val="left" w:pos="-1440"/>
          <w:tab w:val="left" w:pos="-720"/>
          <w:tab w:val="left" w:pos="720"/>
          <w:tab w:val="left" w:pos="4608"/>
          <w:tab w:val="left" w:pos="5040"/>
          <w:tab w:val="left" w:pos="5760"/>
          <w:tab w:val="left" w:pos="6480"/>
          <w:tab w:val="left" w:pos="7200"/>
          <w:tab w:val="left" w:pos="7920"/>
          <w:tab w:val="left" w:pos="8640"/>
          <w:tab w:val="right" w:pos="9360"/>
        </w:tabs>
        <w:autoSpaceDE w:val="0"/>
        <w:autoSpaceDN w:val="0"/>
        <w:adjustRightInd w:val="0"/>
        <w:rPr>
          <w:szCs w:val="24"/>
        </w:rPr>
      </w:pPr>
      <w:r w:rsidRPr="008C0E7B">
        <w:rPr>
          <w:szCs w:val="24"/>
        </w:rPr>
        <w:tab/>
        <w:t xml:space="preserve">Under exemption 4 of the Freedom of Information Act (“FOIA”), 5 U.S.C. § 552(b)(4), “trade secrets and commercial or financial information obtained from a person and privileged or confidential” may be excluded from disclosure.  The confidential business information collected voluntarily from individual respondents may be withheld, as release of such information would impair the Board’s ability to collect such information in the future.  Moreover, disclosure of such </w:t>
      </w:r>
      <w:r w:rsidRPr="008C0E7B">
        <w:rPr>
          <w:szCs w:val="24"/>
        </w:rPr>
        <w:lastRenderedPageBreak/>
        <w:t xml:space="preserve">confidential business information could cause substantial competitive harm to the survey respondents.  </w:t>
      </w:r>
      <w:r w:rsidRPr="008C0E7B">
        <w:rPr>
          <w:i/>
          <w:szCs w:val="24"/>
        </w:rPr>
        <w:t>See</w:t>
      </w:r>
      <w:r w:rsidRPr="008C0E7B">
        <w:rPr>
          <w:szCs w:val="24"/>
        </w:rPr>
        <w:t xml:space="preserve"> </w:t>
      </w:r>
      <w:r w:rsidRPr="008C0E7B">
        <w:rPr>
          <w:szCs w:val="24"/>
          <w:u w:val="single"/>
        </w:rPr>
        <w:t>National Parks &amp; Conservation Ass’n v. Morton</w:t>
      </w:r>
      <w:r w:rsidRPr="008C0E7B">
        <w:rPr>
          <w:szCs w:val="24"/>
        </w:rPr>
        <w:t>, 498 F.2d 765, 770 (D.C. Cir. 1974).</w:t>
      </w:r>
    </w:p>
    <w:p w:rsidR="00C734BD" w:rsidRPr="008C0E7B" w:rsidRDefault="00C734BD" w:rsidP="00C734BD">
      <w:pPr>
        <w:tabs>
          <w:tab w:val="left" w:pos="-1440"/>
          <w:tab w:val="left" w:pos="-720"/>
          <w:tab w:val="left" w:pos="720"/>
          <w:tab w:val="left" w:pos="4608"/>
          <w:tab w:val="left" w:pos="5040"/>
          <w:tab w:val="left" w:pos="5760"/>
          <w:tab w:val="left" w:pos="6480"/>
          <w:tab w:val="left" w:pos="7200"/>
          <w:tab w:val="left" w:pos="7920"/>
          <w:tab w:val="left" w:pos="8640"/>
          <w:tab w:val="right" w:pos="9360"/>
        </w:tabs>
        <w:autoSpaceDE w:val="0"/>
        <w:autoSpaceDN w:val="0"/>
        <w:adjustRightInd w:val="0"/>
        <w:rPr>
          <w:b/>
          <w:szCs w:val="24"/>
          <w:lang w:eastAsia="en-US"/>
        </w:rPr>
      </w:pPr>
    </w:p>
    <w:p w:rsidR="00364F50" w:rsidRPr="008C0E7B" w:rsidRDefault="00364F50" w:rsidP="009C43F9">
      <w:pPr>
        <w:pStyle w:val="BodyText"/>
        <w:tabs>
          <w:tab w:val="left" w:pos="-1440"/>
        </w:tabs>
        <w:spacing w:after="0"/>
        <w:mirrorIndents/>
        <w:rPr>
          <w:rFonts w:ascii="Times New Roman" w:hAnsi="Times New Roman"/>
          <w:b/>
          <w:sz w:val="24"/>
        </w:rPr>
      </w:pPr>
      <w:r w:rsidRPr="008C0E7B">
        <w:rPr>
          <w:rFonts w:ascii="Times New Roman" w:hAnsi="Times New Roman"/>
          <w:b/>
          <w:sz w:val="24"/>
        </w:rPr>
        <w:t xml:space="preserve">Consultation Outside of the Agency </w:t>
      </w:r>
    </w:p>
    <w:p w:rsidR="00364F50" w:rsidRPr="008C0E7B" w:rsidRDefault="00364F50" w:rsidP="009C43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mirrorIndents/>
        <w:rPr>
          <w:b/>
          <w:szCs w:val="24"/>
        </w:rPr>
      </w:pPr>
    </w:p>
    <w:p w:rsidR="008C0E7B" w:rsidRPr="008C0E7B" w:rsidRDefault="00364F50" w:rsidP="009C43F9">
      <w:pPr>
        <w:ind w:firstLine="720"/>
        <w:mirrorIndents/>
        <w:rPr>
          <w:color w:val="000000"/>
          <w:szCs w:val="24"/>
        </w:rPr>
      </w:pPr>
      <w:r w:rsidRPr="008C0E7B">
        <w:rPr>
          <w:color w:val="000000"/>
          <w:szCs w:val="24"/>
        </w:rPr>
        <w:t>At this time</w:t>
      </w:r>
      <w:r w:rsidR="00252145" w:rsidRPr="008C0E7B">
        <w:rPr>
          <w:color w:val="000000"/>
          <w:szCs w:val="24"/>
        </w:rPr>
        <w:t>,</w:t>
      </w:r>
      <w:r w:rsidRPr="008C0E7B">
        <w:rPr>
          <w:color w:val="000000"/>
          <w:szCs w:val="24"/>
        </w:rPr>
        <w:t xml:space="preserve"> there has been no consultation outside the Federal Reserve System; however, surveys and studies could be conducted jointly with other agencies. </w:t>
      </w:r>
      <w:r w:rsidR="00EF1A0B" w:rsidRPr="008C0E7B">
        <w:rPr>
          <w:color w:val="000000"/>
          <w:szCs w:val="24"/>
        </w:rPr>
        <w:t xml:space="preserve"> </w:t>
      </w:r>
      <w:r w:rsidRPr="008C0E7B">
        <w:rPr>
          <w:color w:val="000000"/>
          <w:szCs w:val="24"/>
        </w:rPr>
        <w:t>If this were to occur, the Federal Reserve wo</w:t>
      </w:r>
      <w:r w:rsidR="00390979" w:rsidRPr="008C0E7B">
        <w:rPr>
          <w:color w:val="000000"/>
          <w:szCs w:val="24"/>
        </w:rPr>
        <w:t>uld consult with other agencies</w:t>
      </w:r>
      <w:r w:rsidRPr="008C0E7B">
        <w:rPr>
          <w:color w:val="000000"/>
          <w:szCs w:val="24"/>
        </w:rPr>
        <w:t>, to the extent practicable, to create a consistent set of questions or a substantively similar information collection.</w:t>
      </w:r>
      <w:r w:rsidR="00855AD7" w:rsidRPr="008C0E7B">
        <w:rPr>
          <w:color w:val="000000"/>
          <w:szCs w:val="24"/>
        </w:rPr>
        <w:t xml:space="preserve">  </w:t>
      </w:r>
      <w:r w:rsidR="00390979" w:rsidRPr="008C0E7B">
        <w:rPr>
          <w:color w:val="000000"/>
          <w:szCs w:val="24"/>
        </w:rPr>
        <w:t>The Federal Reserve</w:t>
      </w:r>
      <w:r w:rsidR="00252145" w:rsidRPr="008C0E7B">
        <w:rPr>
          <w:color w:val="000000"/>
          <w:szCs w:val="24"/>
        </w:rPr>
        <w:t xml:space="preserve"> </w:t>
      </w:r>
      <w:r w:rsidR="00855AD7" w:rsidRPr="008C0E7B">
        <w:rPr>
          <w:color w:val="000000"/>
          <w:szCs w:val="24"/>
        </w:rPr>
        <w:t>know</w:t>
      </w:r>
      <w:r w:rsidR="00431F28" w:rsidRPr="008C0E7B">
        <w:rPr>
          <w:color w:val="000000"/>
          <w:szCs w:val="24"/>
        </w:rPr>
        <w:t>s</w:t>
      </w:r>
      <w:r w:rsidR="00855AD7" w:rsidRPr="008C0E7B">
        <w:rPr>
          <w:color w:val="000000"/>
          <w:szCs w:val="24"/>
        </w:rPr>
        <w:t xml:space="preserve"> of no agency currently conducting or planning to conduct such surveys.</w:t>
      </w:r>
      <w:r w:rsidR="008C0E7B" w:rsidRPr="008C0E7B">
        <w:rPr>
          <w:color w:val="000000"/>
          <w:szCs w:val="24"/>
        </w:rPr>
        <w:t xml:space="preserve">  </w:t>
      </w:r>
    </w:p>
    <w:p w:rsidR="008C0E7B" w:rsidRPr="008C0E7B" w:rsidRDefault="008C0E7B" w:rsidP="009C43F9">
      <w:pPr>
        <w:ind w:firstLine="720"/>
        <w:mirrorIndents/>
        <w:rPr>
          <w:color w:val="000000"/>
          <w:szCs w:val="24"/>
        </w:rPr>
      </w:pPr>
    </w:p>
    <w:p w:rsidR="008E76BB" w:rsidRPr="008C0E7B" w:rsidRDefault="008C0E7B" w:rsidP="009C43F9">
      <w:pPr>
        <w:ind w:firstLine="720"/>
        <w:mirrorIndents/>
        <w:rPr>
          <w:b/>
          <w:color w:val="0070C0"/>
          <w:szCs w:val="24"/>
        </w:rPr>
      </w:pPr>
      <w:r w:rsidRPr="008C0E7B">
        <w:rPr>
          <w:szCs w:val="24"/>
        </w:rPr>
        <w:t xml:space="preserve">On September 6, 2012, the Federal Reserve published a notice in the </w:t>
      </w:r>
      <w:r w:rsidRPr="008C0E7B">
        <w:rPr>
          <w:i/>
          <w:szCs w:val="24"/>
        </w:rPr>
        <w:t>Federal Register</w:t>
      </w:r>
      <w:r w:rsidRPr="008C0E7B">
        <w:rPr>
          <w:szCs w:val="24"/>
        </w:rPr>
        <w:t xml:space="preserve"> (77 FR 54912) requesting public comment for 60 days on the implementation of the</w:t>
      </w:r>
      <w:r w:rsidRPr="008C0E7B">
        <w:rPr>
          <w:color w:val="000000"/>
          <w:szCs w:val="24"/>
        </w:rPr>
        <w:t xml:space="preserve"> Retail Payment Surveys</w:t>
      </w:r>
      <w:r w:rsidRPr="008C0E7B">
        <w:rPr>
          <w:szCs w:val="24"/>
        </w:rPr>
        <w:t>.  The comment period for this notice expire</w:t>
      </w:r>
      <w:r w:rsidR="00624044">
        <w:rPr>
          <w:szCs w:val="24"/>
        </w:rPr>
        <w:t>d</w:t>
      </w:r>
      <w:r w:rsidRPr="008C0E7B">
        <w:rPr>
          <w:szCs w:val="24"/>
        </w:rPr>
        <w:t xml:space="preserve"> on November 5, 2012.</w:t>
      </w:r>
      <w:r w:rsidR="00624044">
        <w:rPr>
          <w:szCs w:val="24"/>
        </w:rPr>
        <w:t xml:space="preserve">  </w:t>
      </w:r>
      <w:r w:rsidR="00624044" w:rsidRPr="00A86F68">
        <w:t xml:space="preserve">The Federal Reserve received </w:t>
      </w:r>
      <w:r w:rsidR="00624044">
        <w:t xml:space="preserve">4 comment letters; however, no comments specifically addressed the FR 3066 paperwork burden estimates.  </w:t>
      </w:r>
      <w:r w:rsidR="00624044" w:rsidRPr="00A86F68">
        <w:t xml:space="preserve">On </w:t>
      </w:r>
      <w:r w:rsidR="00624044">
        <w:t>December</w:t>
      </w:r>
      <w:r w:rsidR="00624044" w:rsidRPr="00A86F68">
        <w:t xml:space="preserve"> </w:t>
      </w:r>
      <w:r w:rsidR="00624044">
        <w:t>13</w:t>
      </w:r>
      <w:r w:rsidR="00624044" w:rsidRPr="00A86F68">
        <w:t>, 201</w:t>
      </w:r>
      <w:r w:rsidR="00624044">
        <w:t>2</w:t>
      </w:r>
      <w:r w:rsidR="00624044" w:rsidRPr="00A86F68">
        <w:t xml:space="preserve">, the Federal Reserve published a final notice in the </w:t>
      </w:r>
      <w:r w:rsidR="00624044" w:rsidRPr="00A86F68">
        <w:rPr>
          <w:i/>
        </w:rPr>
        <w:t>Federal Register</w:t>
      </w:r>
      <w:r w:rsidR="00624044" w:rsidRPr="00A86F68">
        <w:t xml:space="preserve"> (</w:t>
      </w:r>
      <w:r w:rsidR="00624044">
        <w:t>77</w:t>
      </w:r>
      <w:r w:rsidR="00624044" w:rsidRPr="00A86F68">
        <w:t> FR </w:t>
      </w:r>
      <w:r w:rsidR="00624044">
        <w:t>74187</w:t>
      </w:r>
      <w:r w:rsidR="00624044" w:rsidRPr="00A86F68">
        <w:t>) on the</w:t>
      </w:r>
      <w:r w:rsidR="00624044" w:rsidRPr="00A86F68">
        <w:rPr>
          <w:b/>
          <w:bCs/>
        </w:rPr>
        <w:t xml:space="preserve"> </w:t>
      </w:r>
      <w:r w:rsidR="00624044">
        <w:t xml:space="preserve">FR 3066, that </w:t>
      </w:r>
      <w:r w:rsidR="00624044" w:rsidRPr="00A86F68">
        <w:t>includ</w:t>
      </w:r>
      <w:r w:rsidR="00624044">
        <w:t>es</w:t>
      </w:r>
      <w:r w:rsidR="00624044" w:rsidRPr="00A86F68">
        <w:t xml:space="preserve"> a detailed discussion of the comments received.</w:t>
      </w:r>
    </w:p>
    <w:p w:rsidR="00364F50" w:rsidRPr="008C0E7B" w:rsidRDefault="00364F50" w:rsidP="009C43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mirrorIndents/>
        <w:rPr>
          <w:szCs w:val="24"/>
        </w:rPr>
      </w:pPr>
    </w:p>
    <w:p w:rsidR="00364F50" w:rsidRPr="008C0E7B" w:rsidRDefault="00364F50" w:rsidP="009C43F9">
      <w:pPr>
        <w:mirrorIndents/>
        <w:rPr>
          <w:szCs w:val="24"/>
        </w:rPr>
      </w:pPr>
      <w:r w:rsidRPr="008C0E7B">
        <w:rPr>
          <w:b/>
          <w:szCs w:val="24"/>
        </w:rPr>
        <w:t>Estimate of Respondent Burden</w:t>
      </w:r>
    </w:p>
    <w:p w:rsidR="00364F50" w:rsidRPr="008C0E7B" w:rsidRDefault="00364F50" w:rsidP="009C43F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mirrorIndents/>
        <w:rPr>
          <w:b/>
          <w:szCs w:val="24"/>
        </w:rPr>
      </w:pPr>
    </w:p>
    <w:p w:rsidR="00D73121" w:rsidRPr="008C0E7B" w:rsidRDefault="00FA004A" w:rsidP="009C43F9">
      <w:pPr>
        <w:ind w:firstLine="720"/>
        <w:mirrorIndents/>
        <w:rPr>
          <w:szCs w:val="24"/>
        </w:rPr>
      </w:pPr>
      <w:r w:rsidRPr="008C0E7B">
        <w:rPr>
          <w:color w:val="000000"/>
          <w:szCs w:val="24"/>
        </w:rPr>
        <w:t>The Federal Reserve</w:t>
      </w:r>
      <w:r w:rsidRPr="008C0E7B">
        <w:rPr>
          <w:szCs w:val="24"/>
        </w:rPr>
        <w:t xml:space="preserve"> </w:t>
      </w:r>
      <w:r w:rsidR="00D73121" w:rsidRPr="008C0E7B">
        <w:rPr>
          <w:szCs w:val="24"/>
        </w:rPr>
        <w:t xml:space="preserve">estimates response rates similar to the previous FRPS voluntary surveys: about 50 percent for the FR </w:t>
      </w:r>
      <w:r w:rsidR="00D2477E" w:rsidRPr="008C0E7B">
        <w:rPr>
          <w:szCs w:val="24"/>
        </w:rPr>
        <w:t>3066</w:t>
      </w:r>
      <w:r w:rsidR="00D73121" w:rsidRPr="008C0E7B">
        <w:rPr>
          <w:szCs w:val="24"/>
        </w:rPr>
        <w:t xml:space="preserve">a, </w:t>
      </w:r>
      <w:r w:rsidR="007B206B" w:rsidRPr="008C0E7B">
        <w:rPr>
          <w:szCs w:val="24"/>
        </w:rPr>
        <w:t xml:space="preserve">up to </w:t>
      </w:r>
      <w:r w:rsidR="00D73121" w:rsidRPr="008C0E7B">
        <w:rPr>
          <w:szCs w:val="24"/>
        </w:rPr>
        <w:t xml:space="preserve">95 percent for the FR </w:t>
      </w:r>
      <w:r w:rsidR="00D2477E" w:rsidRPr="008C0E7B">
        <w:rPr>
          <w:szCs w:val="24"/>
        </w:rPr>
        <w:t>3066</w:t>
      </w:r>
      <w:r w:rsidR="00D73121" w:rsidRPr="008C0E7B">
        <w:rPr>
          <w:szCs w:val="24"/>
        </w:rPr>
        <w:t xml:space="preserve">b, and </w:t>
      </w:r>
      <w:r w:rsidR="00EE21FD" w:rsidRPr="008C0E7B">
        <w:rPr>
          <w:szCs w:val="24"/>
        </w:rPr>
        <w:t xml:space="preserve">50 </w:t>
      </w:r>
      <w:r w:rsidR="00D73121" w:rsidRPr="008C0E7B">
        <w:rPr>
          <w:szCs w:val="24"/>
        </w:rPr>
        <w:t xml:space="preserve">percent </w:t>
      </w:r>
      <w:r w:rsidR="00EE21FD" w:rsidRPr="008C0E7B">
        <w:rPr>
          <w:szCs w:val="24"/>
        </w:rPr>
        <w:t xml:space="preserve">or more </w:t>
      </w:r>
      <w:r w:rsidR="00D73121" w:rsidRPr="008C0E7B">
        <w:rPr>
          <w:szCs w:val="24"/>
        </w:rPr>
        <w:t xml:space="preserve">for the FR </w:t>
      </w:r>
      <w:r w:rsidR="00D2477E" w:rsidRPr="008C0E7B">
        <w:rPr>
          <w:szCs w:val="24"/>
        </w:rPr>
        <w:t>3066</w:t>
      </w:r>
      <w:r w:rsidR="00D73121" w:rsidRPr="008C0E7B">
        <w:rPr>
          <w:szCs w:val="24"/>
        </w:rPr>
        <w:t xml:space="preserve">c.  The estimated amount of time each respondent would spend preparing for and responding to the surveys </w:t>
      </w:r>
      <w:r w:rsidR="00F46E8D" w:rsidRPr="008C0E7B">
        <w:rPr>
          <w:szCs w:val="24"/>
        </w:rPr>
        <w:t xml:space="preserve">is </w:t>
      </w:r>
      <w:r w:rsidR="00D73121" w:rsidRPr="008C0E7B">
        <w:rPr>
          <w:szCs w:val="24"/>
        </w:rPr>
        <w:t xml:space="preserve">35 hours for the FR </w:t>
      </w:r>
      <w:r w:rsidR="00D2477E" w:rsidRPr="008C0E7B">
        <w:rPr>
          <w:szCs w:val="24"/>
        </w:rPr>
        <w:t>3066</w:t>
      </w:r>
      <w:r w:rsidR="00D73121" w:rsidRPr="008C0E7B">
        <w:rPr>
          <w:szCs w:val="24"/>
        </w:rPr>
        <w:t xml:space="preserve">a, 8 hours for the FR </w:t>
      </w:r>
      <w:r w:rsidR="00D2477E" w:rsidRPr="008C0E7B">
        <w:rPr>
          <w:szCs w:val="24"/>
        </w:rPr>
        <w:t>3066</w:t>
      </w:r>
      <w:r w:rsidR="00AD4697" w:rsidRPr="008C0E7B">
        <w:rPr>
          <w:szCs w:val="24"/>
        </w:rPr>
        <w:t xml:space="preserve">b, </w:t>
      </w:r>
      <w:r w:rsidR="00D73121" w:rsidRPr="008C0E7B">
        <w:rPr>
          <w:szCs w:val="24"/>
        </w:rPr>
        <w:t xml:space="preserve">3 hours for the FR </w:t>
      </w:r>
      <w:r w:rsidR="00D2477E" w:rsidRPr="008C0E7B">
        <w:rPr>
          <w:szCs w:val="24"/>
        </w:rPr>
        <w:t>3066</w:t>
      </w:r>
      <w:r w:rsidR="00D73121" w:rsidRPr="008C0E7B">
        <w:rPr>
          <w:szCs w:val="24"/>
        </w:rPr>
        <w:t>c</w:t>
      </w:r>
      <w:r w:rsidR="00AD4697" w:rsidRPr="008C0E7B">
        <w:rPr>
          <w:szCs w:val="24"/>
        </w:rPr>
        <w:t>, and 8 hours for the FR 3066d</w:t>
      </w:r>
      <w:r w:rsidR="00D73121" w:rsidRPr="008C0E7B">
        <w:rPr>
          <w:szCs w:val="24"/>
        </w:rPr>
        <w:t xml:space="preserve">.  </w:t>
      </w:r>
    </w:p>
    <w:p w:rsidR="00D73121" w:rsidRPr="008C0E7B" w:rsidRDefault="00D73121" w:rsidP="009C43F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mirrorIndents/>
        <w:rPr>
          <w:b/>
          <w:szCs w:val="24"/>
        </w:rPr>
      </w:pPr>
    </w:p>
    <w:p w:rsidR="00FA004A" w:rsidRPr="008C0E7B" w:rsidRDefault="00BA4975" w:rsidP="002C3A63">
      <w:pPr>
        <w:tabs>
          <w:tab w:val="left" w:pos="360"/>
        </w:tabs>
        <w:rPr>
          <w:szCs w:val="24"/>
        </w:rPr>
      </w:pPr>
      <w:r w:rsidRPr="008C0E7B">
        <w:rPr>
          <w:szCs w:val="24"/>
        </w:rPr>
        <w:tab/>
      </w:r>
      <w:r w:rsidR="00A50EE1">
        <w:rPr>
          <w:szCs w:val="24"/>
        </w:rPr>
        <w:tab/>
      </w:r>
      <w:r w:rsidR="009B1750" w:rsidRPr="008C0E7B">
        <w:rPr>
          <w:szCs w:val="24"/>
        </w:rPr>
        <w:t>The total annual paperwork burden for the FR 3066a, FR 3066b, FR 3066c, and FR 3066d is estimated to be 50,</w:t>
      </w:r>
      <w:r w:rsidR="006E0BFA" w:rsidRPr="008C0E7B">
        <w:rPr>
          <w:szCs w:val="24"/>
        </w:rPr>
        <w:t>89</w:t>
      </w:r>
      <w:r w:rsidR="009B1750" w:rsidRPr="008C0E7B">
        <w:rPr>
          <w:szCs w:val="24"/>
        </w:rPr>
        <w:t xml:space="preserve">0 hours, </w:t>
      </w:r>
      <w:r w:rsidR="00774734" w:rsidRPr="008C0E7B">
        <w:rPr>
          <w:szCs w:val="24"/>
        </w:rPr>
        <w:t>as shown in the following table.</w:t>
      </w:r>
      <w:r w:rsidR="0098060E" w:rsidRPr="008C0E7B">
        <w:rPr>
          <w:szCs w:val="24"/>
        </w:rPr>
        <w:t xml:space="preserve">  </w:t>
      </w:r>
      <w:r w:rsidR="00467366" w:rsidRPr="008C0E7B">
        <w:rPr>
          <w:szCs w:val="24"/>
        </w:rPr>
        <w:t xml:space="preserve">The FR 3066 surveys represent less than 1 percent of total Federal Reserve System paperwork burden. </w:t>
      </w:r>
    </w:p>
    <w:p w:rsidR="00476535" w:rsidRDefault="00476535">
      <w:pPr>
        <w:rPr>
          <w:szCs w:val="24"/>
        </w:rPr>
      </w:pPr>
      <w:r>
        <w:rPr>
          <w:szCs w:val="24"/>
        </w:rPr>
        <w:br w:type="page"/>
      </w:r>
    </w:p>
    <w:p w:rsidR="0005792E" w:rsidRPr="008C0E7B" w:rsidRDefault="0005792E" w:rsidP="009C43F9">
      <w:pPr>
        <w:tabs>
          <w:tab w:val="left" w:pos="360"/>
        </w:tabs>
        <w:rPr>
          <w:szCs w:val="24"/>
        </w:rPr>
      </w:pPr>
    </w:p>
    <w:tbl>
      <w:tblPr>
        <w:tblStyle w:val="TableGrid"/>
        <w:tblW w:w="9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8"/>
        <w:gridCol w:w="1620"/>
        <w:gridCol w:w="1440"/>
        <w:gridCol w:w="1530"/>
        <w:gridCol w:w="1800"/>
      </w:tblGrid>
      <w:tr w:rsidR="00043840" w:rsidRPr="008C0E7B" w:rsidTr="00FA004A">
        <w:trPr>
          <w:trHeight w:val="1082"/>
        </w:trPr>
        <w:tc>
          <w:tcPr>
            <w:tcW w:w="2808" w:type="dxa"/>
            <w:vAlign w:val="center"/>
          </w:tcPr>
          <w:p w:rsidR="00043840" w:rsidRPr="008C0E7B" w:rsidRDefault="00043840" w:rsidP="009C43F9">
            <w:pPr>
              <w:mirrorIndents/>
              <w:rPr>
                <w:i/>
                <w:szCs w:val="24"/>
              </w:rPr>
            </w:pPr>
            <w:r w:rsidRPr="008C0E7B">
              <w:rPr>
                <w:i/>
                <w:szCs w:val="24"/>
              </w:rPr>
              <w:t>Survey</w:t>
            </w:r>
          </w:p>
        </w:tc>
        <w:tc>
          <w:tcPr>
            <w:tcW w:w="1620" w:type="dxa"/>
            <w:vAlign w:val="center"/>
          </w:tcPr>
          <w:p w:rsidR="00043840" w:rsidRPr="008C0E7B" w:rsidRDefault="00043840" w:rsidP="009C43F9">
            <w:pPr>
              <w:mirrorIndents/>
              <w:jc w:val="center"/>
              <w:rPr>
                <w:i/>
                <w:szCs w:val="24"/>
              </w:rPr>
            </w:pPr>
            <w:r w:rsidRPr="008C0E7B">
              <w:rPr>
                <w:i/>
                <w:szCs w:val="24"/>
              </w:rPr>
              <w:t>Estimated number of</w:t>
            </w:r>
          </w:p>
          <w:p w:rsidR="00043840" w:rsidRPr="008C0E7B" w:rsidRDefault="00043840" w:rsidP="009C43F9">
            <w:pPr>
              <w:mirrorIndents/>
              <w:jc w:val="center"/>
              <w:rPr>
                <w:szCs w:val="24"/>
              </w:rPr>
            </w:pPr>
            <w:r w:rsidRPr="008C0E7B">
              <w:rPr>
                <w:i/>
                <w:szCs w:val="24"/>
              </w:rPr>
              <w:t>respondents</w:t>
            </w:r>
          </w:p>
        </w:tc>
        <w:tc>
          <w:tcPr>
            <w:tcW w:w="1440" w:type="dxa"/>
            <w:vAlign w:val="center"/>
          </w:tcPr>
          <w:p w:rsidR="00043840" w:rsidRPr="008C0E7B" w:rsidRDefault="00043840" w:rsidP="009C43F9">
            <w:pPr>
              <w:mirrorIndents/>
              <w:jc w:val="center"/>
              <w:rPr>
                <w:i/>
                <w:szCs w:val="24"/>
              </w:rPr>
            </w:pPr>
            <w:r w:rsidRPr="008C0E7B">
              <w:rPr>
                <w:i/>
                <w:szCs w:val="24"/>
              </w:rPr>
              <w:t>Estimated annual frequency</w:t>
            </w:r>
          </w:p>
        </w:tc>
        <w:tc>
          <w:tcPr>
            <w:tcW w:w="1530" w:type="dxa"/>
            <w:vAlign w:val="center"/>
          </w:tcPr>
          <w:p w:rsidR="00043840" w:rsidRPr="008C0E7B" w:rsidRDefault="00043840" w:rsidP="009C43F9">
            <w:pPr>
              <w:mirrorIndents/>
              <w:jc w:val="center"/>
              <w:rPr>
                <w:szCs w:val="24"/>
              </w:rPr>
            </w:pPr>
            <w:r w:rsidRPr="008C0E7B">
              <w:rPr>
                <w:i/>
                <w:szCs w:val="24"/>
              </w:rPr>
              <w:t>Estimated average burden hours per response</w:t>
            </w:r>
          </w:p>
        </w:tc>
        <w:tc>
          <w:tcPr>
            <w:tcW w:w="1800" w:type="dxa"/>
            <w:vAlign w:val="center"/>
          </w:tcPr>
          <w:p w:rsidR="00467366" w:rsidRPr="008C0E7B" w:rsidRDefault="00043840" w:rsidP="00FA004A">
            <w:pPr>
              <w:jc w:val="right"/>
              <w:rPr>
                <w:i/>
                <w:szCs w:val="24"/>
              </w:rPr>
            </w:pPr>
            <w:r w:rsidRPr="008C0E7B">
              <w:rPr>
                <w:i/>
                <w:szCs w:val="24"/>
              </w:rPr>
              <w:t>Estimated</w:t>
            </w:r>
          </w:p>
          <w:p w:rsidR="00467366" w:rsidRPr="008C0E7B" w:rsidRDefault="00043840" w:rsidP="00FA004A">
            <w:pPr>
              <w:jc w:val="right"/>
              <w:rPr>
                <w:i/>
                <w:szCs w:val="24"/>
              </w:rPr>
            </w:pPr>
            <w:r w:rsidRPr="008C0E7B">
              <w:rPr>
                <w:i/>
                <w:szCs w:val="24"/>
              </w:rPr>
              <w:t xml:space="preserve"> total annual</w:t>
            </w:r>
          </w:p>
          <w:p w:rsidR="00043840" w:rsidRPr="008C0E7B" w:rsidRDefault="00043840" w:rsidP="00FA004A">
            <w:pPr>
              <w:jc w:val="right"/>
              <w:rPr>
                <w:i/>
                <w:szCs w:val="24"/>
              </w:rPr>
            </w:pPr>
            <w:r w:rsidRPr="008C0E7B">
              <w:rPr>
                <w:i/>
                <w:szCs w:val="24"/>
              </w:rPr>
              <w:t xml:space="preserve"> burden hours</w:t>
            </w:r>
          </w:p>
        </w:tc>
      </w:tr>
      <w:tr w:rsidR="00043840" w:rsidRPr="008C0E7B" w:rsidTr="00FA004A">
        <w:trPr>
          <w:trHeight w:val="346"/>
        </w:trPr>
        <w:tc>
          <w:tcPr>
            <w:tcW w:w="2808" w:type="dxa"/>
            <w:vAlign w:val="bottom"/>
          </w:tcPr>
          <w:p w:rsidR="00043840" w:rsidRPr="008C0E7B" w:rsidRDefault="00043840" w:rsidP="009C43F9">
            <w:pPr>
              <w:mirrorIndents/>
              <w:rPr>
                <w:szCs w:val="24"/>
              </w:rPr>
            </w:pPr>
            <w:r w:rsidRPr="008C0E7B">
              <w:rPr>
                <w:szCs w:val="24"/>
              </w:rPr>
              <w:t>FR 3066a</w:t>
            </w:r>
          </w:p>
        </w:tc>
        <w:tc>
          <w:tcPr>
            <w:tcW w:w="1620" w:type="dxa"/>
            <w:vAlign w:val="bottom"/>
          </w:tcPr>
          <w:p w:rsidR="00043840" w:rsidRPr="008C0E7B" w:rsidRDefault="00043840" w:rsidP="009C43F9">
            <w:pPr>
              <w:jc w:val="right"/>
              <w:rPr>
                <w:szCs w:val="24"/>
              </w:rPr>
            </w:pPr>
            <w:r w:rsidRPr="008C0E7B">
              <w:rPr>
                <w:szCs w:val="24"/>
              </w:rPr>
              <w:t>1,400</w:t>
            </w:r>
          </w:p>
        </w:tc>
        <w:tc>
          <w:tcPr>
            <w:tcW w:w="1440" w:type="dxa"/>
            <w:vAlign w:val="bottom"/>
          </w:tcPr>
          <w:p w:rsidR="00043840" w:rsidRPr="008C0E7B" w:rsidRDefault="00043840" w:rsidP="009C43F9">
            <w:pPr>
              <w:jc w:val="center"/>
              <w:rPr>
                <w:szCs w:val="24"/>
              </w:rPr>
            </w:pPr>
            <w:r w:rsidRPr="008C0E7B">
              <w:rPr>
                <w:szCs w:val="24"/>
              </w:rPr>
              <w:t>1</w:t>
            </w:r>
          </w:p>
        </w:tc>
        <w:tc>
          <w:tcPr>
            <w:tcW w:w="1530" w:type="dxa"/>
            <w:vAlign w:val="bottom"/>
          </w:tcPr>
          <w:p w:rsidR="00043840" w:rsidRPr="008C0E7B" w:rsidRDefault="00043840" w:rsidP="009C43F9">
            <w:pPr>
              <w:jc w:val="center"/>
              <w:rPr>
                <w:szCs w:val="24"/>
              </w:rPr>
            </w:pPr>
            <w:r w:rsidRPr="008C0E7B">
              <w:rPr>
                <w:szCs w:val="24"/>
              </w:rPr>
              <w:t>35</w:t>
            </w:r>
          </w:p>
        </w:tc>
        <w:tc>
          <w:tcPr>
            <w:tcW w:w="1800" w:type="dxa"/>
            <w:vAlign w:val="bottom"/>
          </w:tcPr>
          <w:p w:rsidR="00043840" w:rsidRPr="008C0E7B" w:rsidRDefault="00043840" w:rsidP="009C43F9">
            <w:pPr>
              <w:jc w:val="right"/>
              <w:rPr>
                <w:szCs w:val="24"/>
              </w:rPr>
            </w:pPr>
            <w:r w:rsidRPr="008C0E7B">
              <w:rPr>
                <w:szCs w:val="24"/>
              </w:rPr>
              <w:t>49,000</w:t>
            </w:r>
          </w:p>
        </w:tc>
      </w:tr>
      <w:tr w:rsidR="00043840" w:rsidRPr="008C0E7B" w:rsidTr="00FA004A">
        <w:trPr>
          <w:trHeight w:val="346"/>
        </w:trPr>
        <w:tc>
          <w:tcPr>
            <w:tcW w:w="2808" w:type="dxa"/>
            <w:vAlign w:val="bottom"/>
          </w:tcPr>
          <w:p w:rsidR="00043840" w:rsidRPr="008C0E7B" w:rsidRDefault="00043840" w:rsidP="009C43F9">
            <w:pPr>
              <w:mirrorIndents/>
              <w:rPr>
                <w:szCs w:val="24"/>
              </w:rPr>
            </w:pPr>
            <w:r w:rsidRPr="008C0E7B">
              <w:rPr>
                <w:szCs w:val="24"/>
              </w:rPr>
              <w:t>FR 3066b</w:t>
            </w:r>
          </w:p>
        </w:tc>
        <w:tc>
          <w:tcPr>
            <w:tcW w:w="1620" w:type="dxa"/>
            <w:vAlign w:val="bottom"/>
          </w:tcPr>
          <w:p w:rsidR="00043840" w:rsidRPr="008C0E7B" w:rsidRDefault="00043840" w:rsidP="009C43F9">
            <w:pPr>
              <w:jc w:val="right"/>
              <w:rPr>
                <w:szCs w:val="24"/>
              </w:rPr>
            </w:pPr>
            <w:r w:rsidRPr="008C0E7B">
              <w:rPr>
                <w:szCs w:val="24"/>
              </w:rPr>
              <w:t>130</w:t>
            </w:r>
          </w:p>
        </w:tc>
        <w:tc>
          <w:tcPr>
            <w:tcW w:w="1440" w:type="dxa"/>
            <w:vAlign w:val="bottom"/>
          </w:tcPr>
          <w:p w:rsidR="00043840" w:rsidRPr="008C0E7B" w:rsidRDefault="00043840" w:rsidP="009C43F9">
            <w:pPr>
              <w:jc w:val="center"/>
              <w:rPr>
                <w:szCs w:val="24"/>
              </w:rPr>
            </w:pPr>
            <w:r w:rsidRPr="008C0E7B">
              <w:rPr>
                <w:szCs w:val="24"/>
              </w:rPr>
              <w:t>1</w:t>
            </w:r>
          </w:p>
        </w:tc>
        <w:tc>
          <w:tcPr>
            <w:tcW w:w="1530" w:type="dxa"/>
            <w:vAlign w:val="bottom"/>
          </w:tcPr>
          <w:p w:rsidR="00043840" w:rsidRPr="008C0E7B" w:rsidRDefault="00043840" w:rsidP="009C43F9">
            <w:pPr>
              <w:jc w:val="center"/>
              <w:rPr>
                <w:szCs w:val="24"/>
              </w:rPr>
            </w:pPr>
            <w:r w:rsidRPr="008C0E7B">
              <w:rPr>
                <w:szCs w:val="24"/>
              </w:rPr>
              <w:t>8</w:t>
            </w:r>
          </w:p>
        </w:tc>
        <w:tc>
          <w:tcPr>
            <w:tcW w:w="1800" w:type="dxa"/>
            <w:vAlign w:val="bottom"/>
          </w:tcPr>
          <w:p w:rsidR="00043840" w:rsidRPr="008C0E7B" w:rsidRDefault="00043840" w:rsidP="009C43F9">
            <w:pPr>
              <w:jc w:val="right"/>
              <w:rPr>
                <w:szCs w:val="24"/>
              </w:rPr>
            </w:pPr>
            <w:r w:rsidRPr="008C0E7B">
              <w:rPr>
                <w:szCs w:val="24"/>
              </w:rPr>
              <w:t>1,040</w:t>
            </w:r>
          </w:p>
        </w:tc>
      </w:tr>
      <w:tr w:rsidR="00043840" w:rsidRPr="008C0E7B" w:rsidTr="00FA004A">
        <w:trPr>
          <w:trHeight w:val="346"/>
        </w:trPr>
        <w:tc>
          <w:tcPr>
            <w:tcW w:w="2808" w:type="dxa"/>
            <w:vAlign w:val="bottom"/>
          </w:tcPr>
          <w:p w:rsidR="00043840" w:rsidRPr="008C0E7B" w:rsidRDefault="00043840" w:rsidP="009C43F9">
            <w:pPr>
              <w:mirrorIndents/>
              <w:rPr>
                <w:szCs w:val="24"/>
              </w:rPr>
            </w:pPr>
            <w:r w:rsidRPr="008C0E7B">
              <w:rPr>
                <w:szCs w:val="24"/>
              </w:rPr>
              <w:t>FR 3066c</w:t>
            </w:r>
          </w:p>
        </w:tc>
        <w:tc>
          <w:tcPr>
            <w:tcW w:w="1620" w:type="dxa"/>
            <w:vAlign w:val="bottom"/>
          </w:tcPr>
          <w:p w:rsidR="00043840" w:rsidRPr="008C0E7B" w:rsidRDefault="00043840" w:rsidP="009C43F9">
            <w:pPr>
              <w:jc w:val="right"/>
              <w:rPr>
                <w:szCs w:val="24"/>
              </w:rPr>
            </w:pPr>
            <w:r w:rsidRPr="008C0E7B">
              <w:rPr>
                <w:szCs w:val="24"/>
              </w:rPr>
              <w:t>150</w:t>
            </w:r>
          </w:p>
        </w:tc>
        <w:tc>
          <w:tcPr>
            <w:tcW w:w="1440" w:type="dxa"/>
            <w:vAlign w:val="bottom"/>
          </w:tcPr>
          <w:p w:rsidR="00043840" w:rsidRPr="008C0E7B" w:rsidRDefault="00043840" w:rsidP="009C43F9">
            <w:pPr>
              <w:jc w:val="center"/>
              <w:rPr>
                <w:szCs w:val="24"/>
              </w:rPr>
            </w:pPr>
            <w:r w:rsidRPr="008C0E7B">
              <w:rPr>
                <w:szCs w:val="24"/>
              </w:rPr>
              <w:t>1</w:t>
            </w:r>
          </w:p>
        </w:tc>
        <w:tc>
          <w:tcPr>
            <w:tcW w:w="1530" w:type="dxa"/>
            <w:vAlign w:val="bottom"/>
          </w:tcPr>
          <w:p w:rsidR="00043840" w:rsidRPr="008C0E7B" w:rsidRDefault="00043840" w:rsidP="009C43F9">
            <w:pPr>
              <w:jc w:val="center"/>
              <w:rPr>
                <w:szCs w:val="24"/>
              </w:rPr>
            </w:pPr>
            <w:r w:rsidRPr="008C0E7B">
              <w:rPr>
                <w:szCs w:val="24"/>
              </w:rPr>
              <w:t>3</w:t>
            </w:r>
          </w:p>
        </w:tc>
        <w:tc>
          <w:tcPr>
            <w:tcW w:w="1800" w:type="dxa"/>
            <w:vAlign w:val="bottom"/>
          </w:tcPr>
          <w:p w:rsidR="00043840" w:rsidRPr="008C0E7B" w:rsidRDefault="00043840" w:rsidP="009C43F9">
            <w:pPr>
              <w:jc w:val="right"/>
              <w:rPr>
                <w:szCs w:val="24"/>
              </w:rPr>
            </w:pPr>
            <w:r w:rsidRPr="008C0E7B">
              <w:rPr>
                <w:szCs w:val="24"/>
              </w:rPr>
              <w:t>450</w:t>
            </w:r>
          </w:p>
        </w:tc>
      </w:tr>
      <w:tr w:rsidR="00043840" w:rsidRPr="008C0E7B" w:rsidTr="00FA004A">
        <w:trPr>
          <w:trHeight w:val="346"/>
        </w:trPr>
        <w:tc>
          <w:tcPr>
            <w:tcW w:w="2808" w:type="dxa"/>
            <w:vAlign w:val="bottom"/>
          </w:tcPr>
          <w:p w:rsidR="00043840" w:rsidRPr="008C0E7B" w:rsidRDefault="00043840" w:rsidP="009C43F9">
            <w:pPr>
              <w:ind w:right="270"/>
              <w:mirrorIndents/>
              <w:rPr>
                <w:b/>
                <w:szCs w:val="24"/>
              </w:rPr>
            </w:pPr>
            <w:r w:rsidRPr="008C0E7B">
              <w:rPr>
                <w:szCs w:val="24"/>
              </w:rPr>
              <w:t>FR 3066d</w:t>
            </w:r>
          </w:p>
        </w:tc>
        <w:tc>
          <w:tcPr>
            <w:tcW w:w="1620" w:type="dxa"/>
            <w:vAlign w:val="bottom"/>
          </w:tcPr>
          <w:p w:rsidR="00043840" w:rsidRPr="008C0E7B" w:rsidRDefault="00DD713E" w:rsidP="009C43F9">
            <w:pPr>
              <w:jc w:val="right"/>
              <w:rPr>
                <w:szCs w:val="24"/>
                <w:u w:val="single"/>
              </w:rPr>
            </w:pPr>
            <w:r w:rsidRPr="008C0E7B">
              <w:rPr>
                <w:szCs w:val="24"/>
                <w:u w:val="single"/>
              </w:rPr>
              <w:t>50</w:t>
            </w:r>
          </w:p>
        </w:tc>
        <w:tc>
          <w:tcPr>
            <w:tcW w:w="1440" w:type="dxa"/>
            <w:vAlign w:val="bottom"/>
          </w:tcPr>
          <w:p w:rsidR="00043840" w:rsidRPr="008C0E7B" w:rsidRDefault="00043840" w:rsidP="009C43F9">
            <w:pPr>
              <w:jc w:val="center"/>
              <w:rPr>
                <w:szCs w:val="24"/>
              </w:rPr>
            </w:pPr>
            <w:r w:rsidRPr="008C0E7B">
              <w:rPr>
                <w:szCs w:val="24"/>
              </w:rPr>
              <w:t>1</w:t>
            </w:r>
          </w:p>
        </w:tc>
        <w:tc>
          <w:tcPr>
            <w:tcW w:w="1530" w:type="dxa"/>
            <w:vAlign w:val="bottom"/>
          </w:tcPr>
          <w:p w:rsidR="00043840" w:rsidRPr="008C0E7B" w:rsidRDefault="00043840" w:rsidP="009C43F9">
            <w:pPr>
              <w:jc w:val="center"/>
              <w:rPr>
                <w:szCs w:val="24"/>
              </w:rPr>
            </w:pPr>
            <w:r w:rsidRPr="008C0E7B">
              <w:rPr>
                <w:szCs w:val="24"/>
              </w:rPr>
              <w:t>8</w:t>
            </w:r>
          </w:p>
        </w:tc>
        <w:tc>
          <w:tcPr>
            <w:tcW w:w="1800" w:type="dxa"/>
            <w:vAlign w:val="bottom"/>
          </w:tcPr>
          <w:p w:rsidR="00043840" w:rsidRPr="008C0E7B" w:rsidRDefault="00DD713E" w:rsidP="009C43F9">
            <w:pPr>
              <w:jc w:val="right"/>
              <w:rPr>
                <w:szCs w:val="24"/>
                <w:u w:val="single"/>
              </w:rPr>
            </w:pPr>
            <w:r w:rsidRPr="008C0E7B">
              <w:rPr>
                <w:szCs w:val="24"/>
                <w:u w:val="single"/>
              </w:rPr>
              <w:t>400</w:t>
            </w:r>
          </w:p>
        </w:tc>
      </w:tr>
      <w:tr w:rsidR="00043840" w:rsidRPr="008C0E7B" w:rsidTr="00FA004A">
        <w:trPr>
          <w:trHeight w:val="346"/>
        </w:trPr>
        <w:tc>
          <w:tcPr>
            <w:tcW w:w="2808" w:type="dxa"/>
            <w:vAlign w:val="bottom"/>
          </w:tcPr>
          <w:p w:rsidR="00043840" w:rsidRPr="008C0E7B" w:rsidRDefault="00043840" w:rsidP="009C43F9">
            <w:pPr>
              <w:jc w:val="right"/>
              <w:rPr>
                <w:i/>
                <w:szCs w:val="24"/>
              </w:rPr>
            </w:pPr>
            <w:r w:rsidRPr="008C0E7B">
              <w:rPr>
                <w:i/>
                <w:szCs w:val="24"/>
              </w:rPr>
              <w:t>Total</w:t>
            </w:r>
          </w:p>
        </w:tc>
        <w:tc>
          <w:tcPr>
            <w:tcW w:w="1620" w:type="dxa"/>
            <w:vAlign w:val="bottom"/>
          </w:tcPr>
          <w:p w:rsidR="00043840" w:rsidRPr="008C0E7B" w:rsidRDefault="00773262" w:rsidP="009C43F9">
            <w:pPr>
              <w:jc w:val="right"/>
              <w:rPr>
                <w:szCs w:val="24"/>
              </w:rPr>
            </w:pPr>
            <w:r w:rsidRPr="008C0E7B">
              <w:rPr>
                <w:szCs w:val="24"/>
              </w:rPr>
              <w:t>1,730</w:t>
            </w:r>
          </w:p>
        </w:tc>
        <w:tc>
          <w:tcPr>
            <w:tcW w:w="1440" w:type="dxa"/>
            <w:vAlign w:val="bottom"/>
          </w:tcPr>
          <w:p w:rsidR="00043840" w:rsidRPr="008C0E7B" w:rsidRDefault="00043840" w:rsidP="009C43F9">
            <w:pPr>
              <w:jc w:val="center"/>
              <w:rPr>
                <w:szCs w:val="24"/>
              </w:rPr>
            </w:pPr>
          </w:p>
        </w:tc>
        <w:tc>
          <w:tcPr>
            <w:tcW w:w="1530" w:type="dxa"/>
            <w:vAlign w:val="center"/>
          </w:tcPr>
          <w:p w:rsidR="00043840" w:rsidRPr="008C0E7B" w:rsidRDefault="00043840" w:rsidP="009C43F9">
            <w:pPr>
              <w:tabs>
                <w:tab w:val="decimal" w:pos="522"/>
              </w:tabs>
              <w:mirrorIndents/>
              <w:jc w:val="right"/>
              <w:rPr>
                <w:szCs w:val="24"/>
              </w:rPr>
            </w:pPr>
          </w:p>
        </w:tc>
        <w:tc>
          <w:tcPr>
            <w:tcW w:w="1800" w:type="dxa"/>
            <w:vAlign w:val="center"/>
          </w:tcPr>
          <w:p w:rsidR="00043840" w:rsidRPr="008C0E7B" w:rsidRDefault="00043840" w:rsidP="009C43F9">
            <w:pPr>
              <w:mirrorIndents/>
              <w:jc w:val="right"/>
              <w:rPr>
                <w:szCs w:val="24"/>
              </w:rPr>
            </w:pPr>
            <w:r w:rsidRPr="008C0E7B">
              <w:rPr>
                <w:szCs w:val="24"/>
              </w:rPr>
              <w:t>50,</w:t>
            </w:r>
            <w:r w:rsidR="006E0BFA" w:rsidRPr="008C0E7B">
              <w:rPr>
                <w:szCs w:val="24"/>
              </w:rPr>
              <w:t>8</w:t>
            </w:r>
            <w:r w:rsidRPr="008C0E7B">
              <w:rPr>
                <w:szCs w:val="24"/>
              </w:rPr>
              <w:t>90</w:t>
            </w:r>
          </w:p>
        </w:tc>
      </w:tr>
    </w:tbl>
    <w:p w:rsidR="009C43F9" w:rsidRPr="008C0E7B" w:rsidRDefault="009C43F9" w:rsidP="009C43F9">
      <w:pPr>
        <w:mirrorIndents/>
        <w:outlineLvl w:val="0"/>
        <w:rPr>
          <w:szCs w:val="24"/>
        </w:rPr>
      </w:pPr>
    </w:p>
    <w:p w:rsidR="0000194D" w:rsidRPr="008C0E7B" w:rsidRDefault="00407434" w:rsidP="009C43F9">
      <w:pPr>
        <w:mirrorIndents/>
        <w:outlineLvl w:val="0"/>
        <w:rPr>
          <w:szCs w:val="24"/>
        </w:rPr>
      </w:pPr>
      <w:r w:rsidRPr="008C0E7B">
        <w:rPr>
          <w:szCs w:val="24"/>
        </w:rPr>
        <w:t xml:space="preserve">The total annual reporting cost to the </w:t>
      </w:r>
      <w:r w:rsidRPr="008C0E7B">
        <w:rPr>
          <w:color w:val="000000"/>
          <w:szCs w:val="24"/>
        </w:rPr>
        <w:t xml:space="preserve">public for these </w:t>
      </w:r>
      <w:r w:rsidR="00017DB2" w:rsidRPr="008C0E7B">
        <w:rPr>
          <w:color w:val="000000"/>
          <w:szCs w:val="24"/>
        </w:rPr>
        <w:t>surveys</w:t>
      </w:r>
      <w:r w:rsidRPr="008C0E7B">
        <w:rPr>
          <w:color w:val="000000"/>
          <w:szCs w:val="24"/>
        </w:rPr>
        <w:t xml:space="preserve"> is</w:t>
      </w:r>
      <w:r w:rsidR="00017DB2" w:rsidRPr="008C0E7B">
        <w:rPr>
          <w:color w:val="000000"/>
          <w:szCs w:val="24"/>
        </w:rPr>
        <w:t xml:space="preserve"> estimated to be $</w:t>
      </w:r>
      <w:r w:rsidR="00A40492" w:rsidRPr="008C0E7B">
        <w:rPr>
          <w:color w:val="000000"/>
          <w:szCs w:val="24"/>
        </w:rPr>
        <w:t>2,282,417</w:t>
      </w:r>
      <w:r w:rsidR="00017DB2" w:rsidRPr="008C0E7B">
        <w:rPr>
          <w:color w:val="000000"/>
          <w:szCs w:val="24"/>
        </w:rPr>
        <w:t>.</w:t>
      </w:r>
      <w:r w:rsidR="00017DB2" w:rsidRPr="008C0E7B">
        <w:rPr>
          <w:rStyle w:val="FootnoteReference"/>
          <w:color w:val="000000"/>
          <w:szCs w:val="24"/>
        </w:rPr>
        <w:footnoteReference w:id="28"/>
      </w:r>
      <w:r w:rsidR="00017DB2" w:rsidRPr="008C0E7B">
        <w:rPr>
          <w:color w:val="000000"/>
          <w:szCs w:val="24"/>
        </w:rPr>
        <w:t xml:space="preserve">  </w:t>
      </w:r>
    </w:p>
    <w:p w:rsidR="0000194D" w:rsidRPr="008C0E7B" w:rsidRDefault="0000194D" w:rsidP="009C43F9">
      <w:pPr>
        <w:mirrorIndents/>
        <w:outlineLvl w:val="0"/>
        <w:rPr>
          <w:szCs w:val="24"/>
        </w:rPr>
      </w:pPr>
    </w:p>
    <w:p w:rsidR="007666EC" w:rsidRPr="008C0E7B" w:rsidRDefault="007666EC" w:rsidP="009C43F9">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mirrorIndents/>
        <w:outlineLvl w:val="0"/>
        <w:rPr>
          <w:b/>
          <w:szCs w:val="24"/>
        </w:rPr>
      </w:pPr>
      <w:r w:rsidRPr="008C0E7B">
        <w:rPr>
          <w:b/>
          <w:szCs w:val="24"/>
        </w:rPr>
        <w:t>Estimate</w:t>
      </w:r>
      <w:r w:rsidR="00986B84" w:rsidRPr="008C0E7B">
        <w:rPr>
          <w:b/>
          <w:szCs w:val="24"/>
        </w:rPr>
        <w:t>d</w:t>
      </w:r>
      <w:r w:rsidR="007E5AA0" w:rsidRPr="008C0E7B">
        <w:rPr>
          <w:b/>
          <w:szCs w:val="24"/>
        </w:rPr>
        <w:t xml:space="preserve"> </w:t>
      </w:r>
      <w:r w:rsidRPr="008C0E7B">
        <w:rPr>
          <w:b/>
          <w:szCs w:val="24"/>
        </w:rPr>
        <w:t>Cost to the Federal Reserve System</w:t>
      </w:r>
    </w:p>
    <w:p w:rsidR="009F21C3" w:rsidRPr="008C0E7B" w:rsidRDefault="007E5AA0" w:rsidP="009C43F9">
      <w:pPr>
        <w:tabs>
          <w:tab w:val="left" w:pos="-1080"/>
          <w:tab w:val="left" w:pos="-90"/>
          <w:tab w:val="left" w:pos="720"/>
          <w:tab w:val="left" w:pos="1440"/>
          <w:tab w:val="left" w:pos="1980"/>
          <w:tab w:val="left" w:pos="3960"/>
          <w:tab w:val="left" w:pos="5760"/>
          <w:tab w:val="left" w:pos="7740"/>
          <w:tab w:val="left" w:pos="8640"/>
        </w:tabs>
        <w:mirrorIndents/>
        <w:rPr>
          <w:color w:val="000000"/>
          <w:szCs w:val="24"/>
        </w:rPr>
      </w:pPr>
      <w:r w:rsidRPr="008C0E7B">
        <w:rPr>
          <w:color w:val="000000"/>
          <w:szCs w:val="24"/>
        </w:rPr>
        <w:tab/>
      </w:r>
    </w:p>
    <w:p w:rsidR="00040115" w:rsidRPr="008C0E7B" w:rsidRDefault="009F21C3" w:rsidP="009F21C3">
      <w:pPr>
        <w:tabs>
          <w:tab w:val="left" w:pos="-1080"/>
          <w:tab w:val="left" w:pos="-90"/>
          <w:tab w:val="left" w:pos="720"/>
          <w:tab w:val="left" w:pos="1440"/>
          <w:tab w:val="left" w:pos="1980"/>
          <w:tab w:val="left" w:pos="3960"/>
          <w:tab w:val="left" w:pos="5760"/>
          <w:tab w:val="left" w:pos="7740"/>
          <w:tab w:val="left" w:pos="8640"/>
        </w:tabs>
        <w:mirrorIndents/>
        <w:rPr>
          <w:color w:val="000000"/>
          <w:szCs w:val="24"/>
        </w:rPr>
      </w:pPr>
      <w:r w:rsidRPr="008C0E7B">
        <w:rPr>
          <w:color w:val="000000"/>
          <w:szCs w:val="24"/>
        </w:rPr>
        <w:tab/>
      </w:r>
      <w:r w:rsidR="007E5AA0" w:rsidRPr="008C0E7B">
        <w:rPr>
          <w:color w:val="000000"/>
          <w:szCs w:val="24"/>
        </w:rPr>
        <w:t>The cost to the Federal Reserve System</w:t>
      </w:r>
      <w:r w:rsidR="007666EC" w:rsidRPr="008C0E7B">
        <w:rPr>
          <w:color w:val="000000"/>
          <w:szCs w:val="24"/>
        </w:rPr>
        <w:t xml:space="preserve"> </w:t>
      </w:r>
      <w:r w:rsidR="00FA004A" w:rsidRPr="008C0E7B">
        <w:rPr>
          <w:color w:val="000000"/>
          <w:szCs w:val="24"/>
        </w:rPr>
        <w:t>is e</w:t>
      </w:r>
      <w:r w:rsidR="008E35AF" w:rsidRPr="008C0E7B">
        <w:rPr>
          <w:color w:val="000000"/>
          <w:szCs w:val="24"/>
        </w:rPr>
        <w:t>stimated</w:t>
      </w:r>
      <w:r w:rsidR="00D73121" w:rsidRPr="008C0E7B">
        <w:rPr>
          <w:color w:val="000000"/>
          <w:szCs w:val="24"/>
        </w:rPr>
        <w:t xml:space="preserve"> </w:t>
      </w:r>
      <w:r w:rsidR="00FA004A" w:rsidRPr="008C0E7B">
        <w:rPr>
          <w:color w:val="000000"/>
          <w:szCs w:val="24"/>
        </w:rPr>
        <w:t xml:space="preserve">to be </w:t>
      </w:r>
      <w:r w:rsidR="002C3A63" w:rsidRPr="008C0E7B">
        <w:rPr>
          <w:color w:val="000000"/>
          <w:szCs w:val="24"/>
        </w:rPr>
        <w:t xml:space="preserve">between </w:t>
      </w:r>
      <w:r w:rsidR="007666EC" w:rsidRPr="008C0E7B">
        <w:rPr>
          <w:color w:val="000000"/>
          <w:szCs w:val="24"/>
        </w:rPr>
        <w:t>$2</w:t>
      </w:r>
      <w:r w:rsidR="00C67464" w:rsidRPr="008C0E7B">
        <w:rPr>
          <w:color w:val="000000"/>
          <w:szCs w:val="24"/>
        </w:rPr>
        <w:t xml:space="preserve">.5 </w:t>
      </w:r>
      <w:r w:rsidR="002C3A63" w:rsidRPr="008C0E7B">
        <w:rPr>
          <w:color w:val="000000"/>
          <w:szCs w:val="24"/>
        </w:rPr>
        <w:t xml:space="preserve">and </w:t>
      </w:r>
      <w:r w:rsidR="00C67464" w:rsidRPr="008C0E7B">
        <w:rPr>
          <w:color w:val="000000"/>
          <w:szCs w:val="24"/>
        </w:rPr>
        <w:t>$2.8 million</w:t>
      </w:r>
      <w:r w:rsidR="002C3A63" w:rsidRPr="008C0E7B">
        <w:rPr>
          <w:color w:val="000000"/>
          <w:szCs w:val="24"/>
        </w:rPr>
        <w:t>.</w:t>
      </w:r>
    </w:p>
    <w:p w:rsidR="008C0E7B" w:rsidRPr="008C0E7B" w:rsidRDefault="008C0E7B" w:rsidP="008C0E7B">
      <w:pPr>
        <w:tabs>
          <w:tab w:val="left" w:pos="720"/>
          <w:tab w:val="left" w:pos="1440"/>
        </w:tabs>
        <w:mirrorIndents/>
        <w:rPr>
          <w:b/>
          <w:szCs w:val="24"/>
        </w:rPr>
      </w:pPr>
    </w:p>
    <w:p w:rsidR="008C0E7B" w:rsidRPr="008C0E7B" w:rsidRDefault="008C0E7B" w:rsidP="008C0E7B">
      <w:pPr>
        <w:tabs>
          <w:tab w:val="left" w:pos="720"/>
          <w:tab w:val="left" w:pos="1440"/>
        </w:tabs>
        <w:mirrorIndents/>
        <w:rPr>
          <w:b/>
          <w:szCs w:val="24"/>
        </w:rPr>
      </w:pPr>
    </w:p>
    <w:p w:rsidR="008C0E7B" w:rsidRPr="008C0E7B" w:rsidRDefault="008C0E7B" w:rsidP="008C0E7B">
      <w:pPr>
        <w:tabs>
          <w:tab w:val="left" w:pos="720"/>
          <w:tab w:val="left" w:pos="1440"/>
        </w:tabs>
        <w:mirrorIndents/>
        <w:rPr>
          <w:szCs w:val="24"/>
        </w:rPr>
      </w:pPr>
      <w:r w:rsidRPr="008C0E7B">
        <w:rPr>
          <w:b/>
          <w:szCs w:val="24"/>
        </w:rPr>
        <w:t>Sensitive Questions</w:t>
      </w:r>
    </w:p>
    <w:p w:rsidR="008C0E7B" w:rsidRPr="008C0E7B" w:rsidRDefault="008C0E7B" w:rsidP="008C0E7B">
      <w:pPr>
        <w:mirrorIndents/>
        <w:rPr>
          <w:szCs w:val="24"/>
        </w:rPr>
      </w:pPr>
      <w:r w:rsidRPr="008C0E7B">
        <w:rPr>
          <w:szCs w:val="24"/>
        </w:rPr>
        <w:tab/>
      </w:r>
    </w:p>
    <w:p w:rsidR="008C0E7B" w:rsidRPr="008C0E7B" w:rsidRDefault="008C0E7B" w:rsidP="008C0E7B">
      <w:pPr>
        <w:ind w:firstLine="720"/>
        <w:mirrorIndents/>
        <w:rPr>
          <w:b/>
          <w:color w:val="0070C0"/>
          <w:szCs w:val="24"/>
        </w:rPr>
      </w:pPr>
      <w:r w:rsidRPr="008C0E7B">
        <w:rPr>
          <w:szCs w:val="24"/>
        </w:rPr>
        <w:t>These collections of information would contain no questions of a sensitive nature, as defined by OMB guidelines (e.g., ethnicity, sexual relationships, etc.).</w:t>
      </w:r>
      <w:r w:rsidRPr="008C0E7B">
        <w:rPr>
          <w:rStyle w:val="FootnoteReference"/>
          <w:szCs w:val="24"/>
        </w:rPr>
        <w:footnoteReference w:id="29"/>
      </w:r>
      <w:r w:rsidRPr="008C0E7B">
        <w:rPr>
          <w:b/>
          <w:color w:val="0070C0"/>
          <w:szCs w:val="24"/>
        </w:rPr>
        <w:t xml:space="preserve"> </w:t>
      </w:r>
    </w:p>
    <w:p w:rsidR="008C0E7B" w:rsidRPr="008C0E7B" w:rsidRDefault="008C0E7B" w:rsidP="009F21C3">
      <w:pPr>
        <w:tabs>
          <w:tab w:val="left" w:pos="-1080"/>
          <w:tab w:val="left" w:pos="-90"/>
          <w:tab w:val="left" w:pos="720"/>
          <w:tab w:val="left" w:pos="1440"/>
          <w:tab w:val="left" w:pos="1980"/>
          <w:tab w:val="left" w:pos="3960"/>
          <w:tab w:val="left" w:pos="5760"/>
          <w:tab w:val="left" w:pos="7740"/>
          <w:tab w:val="left" w:pos="8640"/>
        </w:tabs>
        <w:mirrorIndents/>
        <w:rPr>
          <w:szCs w:val="24"/>
        </w:rPr>
      </w:pPr>
    </w:p>
    <w:sectPr w:rsidR="008C0E7B" w:rsidRPr="008C0E7B" w:rsidSect="009F21C3">
      <w:headerReference w:type="default" r:id="rId9"/>
      <w:footerReference w:type="default" r:id="rId10"/>
      <w:pgSz w:w="12240" w:h="15840" w:code="1"/>
      <w:pgMar w:top="1440" w:right="1440" w:bottom="12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FF2" w:rsidRDefault="00B53FF2">
      <w:r>
        <w:separator/>
      </w:r>
    </w:p>
  </w:endnote>
  <w:endnote w:type="continuationSeparator" w:id="0">
    <w:p w:rsidR="00B53FF2" w:rsidRDefault="00B5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ACFA D+ Bembo">
    <w:altName w:val="Bemb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F2" w:rsidRDefault="00B53FF2">
    <w:pPr>
      <w:pStyle w:val="Footer"/>
    </w:pPr>
  </w:p>
  <w:p w:rsidR="00B53FF2" w:rsidRDefault="00B53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FF2" w:rsidRDefault="00B53FF2">
      <w:r>
        <w:separator/>
      </w:r>
    </w:p>
  </w:footnote>
  <w:footnote w:type="continuationSeparator" w:id="0">
    <w:p w:rsidR="00B53FF2" w:rsidRDefault="00B53FF2">
      <w:r>
        <w:continuationSeparator/>
      </w:r>
    </w:p>
  </w:footnote>
  <w:footnote w:id="1">
    <w:p w:rsidR="00B53FF2" w:rsidRPr="009C43F9" w:rsidRDefault="00B53FF2">
      <w:pPr>
        <w:pStyle w:val="FootnoteText"/>
        <w:rPr>
          <w:sz w:val="20"/>
        </w:rPr>
      </w:pPr>
      <w:r w:rsidRPr="009C43F9">
        <w:rPr>
          <w:rStyle w:val="FootnoteReference"/>
          <w:sz w:val="20"/>
        </w:rPr>
        <w:footnoteRef/>
      </w:r>
      <w:r w:rsidRPr="009C43F9">
        <w:rPr>
          <w:sz w:val="20"/>
        </w:rPr>
        <w:t xml:space="preserve"> The Federal Reserve plays a vital role in the U.S. payments system, fostering its safety and efficiency, and providing a variety of financial services to depository institutions.  The Federal Reserve is involved with both retail and wholesale payments.  Retail payments are generally for relatively small-dollar amounts and often involve a depository institution’s retail clients—individuals, businesses, and governments. The Reserve Banks’ retail services include distributing currency and coin, collecting checks, and electronically transferring funds through the automated clearinghouse system.  By contrast, wholesale payments are generally for large dollar amounts, and often involve a depository institution’s large corporate customers or counterparties, including other financial institutions.</w:t>
      </w:r>
    </w:p>
  </w:footnote>
  <w:footnote w:id="2">
    <w:p w:rsidR="00B53FF2" w:rsidRPr="009C43F9" w:rsidRDefault="00B53FF2" w:rsidP="00B46945">
      <w:pPr>
        <w:pStyle w:val="FootnoteText"/>
        <w:rPr>
          <w:sz w:val="20"/>
        </w:rPr>
      </w:pPr>
      <w:r w:rsidRPr="009C43F9">
        <w:rPr>
          <w:rStyle w:val="FootnoteReference"/>
          <w:sz w:val="20"/>
        </w:rPr>
        <w:footnoteRef/>
      </w:r>
      <w:r w:rsidRPr="009C43F9">
        <w:rPr>
          <w:sz w:val="20"/>
        </w:rPr>
        <w:t xml:space="preserve"> The FR 3066a and the FR 3066b would be designed to be compatible with and a continuation of past triennial surveys on the retail payments system conducted by RPO (with Board staff assistance) in 2001, 2004, 2007, and 2010.  The timing of the surveys would follow the same pattern as in past surveys; the reference period for the FR 3066a would be March 2013, and the reference period for the FR 3066b would be January through December 2012.  Data from both surveys would be used to create aggregate estimates for 2012.  Reports on past surveys are available at </w:t>
      </w:r>
      <w:hyperlink r:id="rId1" w:history="1">
        <w:r w:rsidRPr="009C43F9">
          <w:rPr>
            <w:rStyle w:val="Hyperlink"/>
            <w:sz w:val="20"/>
          </w:rPr>
          <w:t>http://frbservices.org/communications/payment_system_research.htm</w:t>
        </w:r>
      </w:hyperlink>
      <w:r w:rsidRPr="009C43F9">
        <w:rPr>
          <w:sz w:val="20"/>
        </w:rPr>
        <w:t>.  The Board has published three Federal Reserve Bulletin articles on the studies as well: in August 2002 (</w:t>
      </w:r>
      <w:hyperlink r:id="rId2" w:history="1">
        <w:r w:rsidRPr="009C43F9">
          <w:rPr>
            <w:rStyle w:val="Hyperlink"/>
            <w:sz w:val="20"/>
          </w:rPr>
          <w:t>http://www.federalreserve.gov/pubs/bulletin/2002/0802_2nd.pdf</w:t>
        </w:r>
      </w:hyperlink>
      <w:r w:rsidRPr="009C43F9">
        <w:rPr>
          <w:sz w:val="20"/>
        </w:rPr>
        <w:t>), Spring 2005 (</w:t>
      </w:r>
      <w:hyperlink r:id="rId3" w:history="1">
        <w:r w:rsidRPr="009C43F9">
          <w:rPr>
            <w:rStyle w:val="Hyperlink"/>
            <w:sz w:val="20"/>
          </w:rPr>
          <w:t>http://www.federalreserve.gov/pubs/bulletin/2005/spring05_payment.pdf</w:t>
        </w:r>
      </w:hyperlink>
      <w:r w:rsidRPr="009C43F9">
        <w:rPr>
          <w:sz w:val="20"/>
        </w:rPr>
        <w:t>), and October 2008 (</w:t>
      </w:r>
      <w:hyperlink r:id="rId4" w:history="1">
        <w:r w:rsidRPr="009C43F9">
          <w:rPr>
            <w:rStyle w:val="Hyperlink"/>
            <w:sz w:val="20"/>
          </w:rPr>
          <w:t>http://www.federalreserve.gov/pubs/bulletin/2008/pdf/payments08.pdf</w:t>
        </w:r>
      </w:hyperlink>
      <w:r w:rsidRPr="009C43F9">
        <w:rPr>
          <w:sz w:val="20"/>
        </w:rPr>
        <w:t>).</w:t>
      </w:r>
    </w:p>
  </w:footnote>
  <w:footnote w:id="3">
    <w:p w:rsidR="00B53FF2" w:rsidRPr="009C43F9" w:rsidRDefault="00B53FF2" w:rsidP="00831FEB">
      <w:pPr>
        <w:pStyle w:val="FootnoteText"/>
        <w:rPr>
          <w:sz w:val="20"/>
        </w:rPr>
      </w:pPr>
      <w:r w:rsidRPr="009C43F9">
        <w:rPr>
          <w:rStyle w:val="FootnoteReference"/>
          <w:sz w:val="20"/>
        </w:rPr>
        <w:footnoteRef/>
      </w:r>
      <w:r w:rsidRPr="009C43F9">
        <w:rPr>
          <w:sz w:val="20"/>
        </w:rPr>
        <w:t xml:space="preserve"> This survey would be similar to the Check Sample Studies, part of the FRPS, conducted by the RPO in 2001, 2007, and 2010.  As with past studies, copies of checks or any information that would identify payers or payees on the checks would not be retained or used for any purpose other than estimating the aggregate proportions of different types of checks.</w:t>
      </w:r>
    </w:p>
  </w:footnote>
  <w:footnote w:id="4">
    <w:p w:rsidR="00B53FF2" w:rsidRPr="009C43F9" w:rsidRDefault="00B53FF2">
      <w:pPr>
        <w:pStyle w:val="FootnoteText"/>
        <w:rPr>
          <w:sz w:val="20"/>
        </w:rPr>
      </w:pPr>
      <w:r w:rsidRPr="009C43F9">
        <w:rPr>
          <w:rStyle w:val="FootnoteReference"/>
          <w:sz w:val="20"/>
        </w:rPr>
        <w:footnoteRef/>
      </w:r>
      <w:r w:rsidRPr="009C43F9">
        <w:rPr>
          <w:sz w:val="20"/>
        </w:rPr>
        <w:t xml:space="preserve"> </w:t>
      </w:r>
      <w:r w:rsidRPr="009C43F9">
        <w:rPr>
          <w:color w:val="000000"/>
          <w:sz w:val="20"/>
        </w:rPr>
        <w:t xml:space="preserve">The </w:t>
      </w:r>
      <w:r w:rsidRPr="009C43F9">
        <w:rPr>
          <w:i/>
          <w:color w:val="000000"/>
          <w:sz w:val="20"/>
        </w:rPr>
        <w:t>Federal Register</w:t>
      </w:r>
      <w:r w:rsidRPr="009C43F9">
        <w:rPr>
          <w:color w:val="000000"/>
          <w:sz w:val="20"/>
        </w:rPr>
        <w:t xml:space="preserve"> notice requested comment</w:t>
      </w:r>
      <w:r w:rsidRPr="009C43F9">
        <w:rPr>
          <w:sz w:val="20"/>
        </w:rPr>
        <w:t xml:space="preserve"> on whether reporting for March 2013 or another survey reference period is more feasible and/or useful, such as reporting data for the months of March and April 2013 combined.</w:t>
      </w:r>
    </w:p>
  </w:footnote>
  <w:footnote w:id="5">
    <w:p w:rsidR="00B53FF2" w:rsidRPr="00B22A0C" w:rsidRDefault="00B53FF2" w:rsidP="008509BD">
      <w:pPr>
        <w:pStyle w:val="FootnoteText"/>
        <w:keepLines w:val="0"/>
        <w:spacing w:line="240" w:lineRule="auto"/>
        <w:rPr>
          <w:sz w:val="20"/>
        </w:rPr>
      </w:pPr>
      <w:r w:rsidRPr="00C52DAD">
        <w:rPr>
          <w:rStyle w:val="FootnoteReference"/>
          <w:sz w:val="20"/>
        </w:rPr>
        <w:footnoteRef/>
      </w:r>
      <w:r w:rsidRPr="00C52DAD">
        <w:rPr>
          <w:sz w:val="20"/>
        </w:rPr>
        <w:t xml:space="preserve"> </w:t>
      </w:r>
      <w:r w:rsidRPr="00C52DAD">
        <w:rPr>
          <w:color w:val="000000"/>
          <w:sz w:val="20"/>
        </w:rPr>
        <w:t xml:space="preserve">The </w:t>
      </w:r>
      <w:r w:rsidRPr="00C52DAD">
        <w:rPr>
          <w:i/>
          <w:color w:val="000000"/>
          <w:sz w:val="20"/>
        </w:rPr>
        <w:t>Federal Register</w:t>
      </w:r>
      <w:r w:rsidRPr="00C52DAD">
        <w:rPr>
          <w:color w:val="000000"/>
          <w:sz w:val="20"/>
        </w:rPr>
        <w:t xml:space="preserve"> notice requested comment</w:t>
      </w:r>
      <w:r w:rsidRPr="00C52DAD">
        <w:rPr>
          <w:sz w:val="20"/>
        </w:rPr>
        <w:t xml:space="preserve"> on: 1) </w:t>
      </w:r>
      <w:r>
        <w:rPr>
          <w:sz w:val="20"/>
        </w:rPr>
        <w:t>h</w:t>
      </w:r>
      <w:r w:rsidRPr="00C52DAD">
        <w:rPr>
          <w:sz w:val="20"/>
        </w:rPr>
        <w:t>ow institutions refer to “full service” transaction deposit accounts (e.g. checking accounts, debit card accounts, etc.) to distinguish them from prepaid card accounts</w:t>
      </w:r>
      <w:r>
        <w:rPr>
          <w:sz w:val="20"/>
        </w:rPr>
        <w:t>; 2) w</w:t>
      </w:r>
      <w:r w:rsidRPr="00C52DAD">
        <w:rPr>
          <w:sz w:val="20"/>
        </w:rPr>
        <w:t>hether prepaid card-issuing depository institutions can reliably measure the number of end-user prepaid card accounts and prepaid cards outstanding for prepaid card programs managed by third parties</w:t>
      </w:r>
      <w:r>
        <w:rPr>
          <w:sz w:val="20"/>
        </w:rPr>
        <w:t>; 3) wh</w:t>
      </w:r>
      <w:r w:rsidRPr="00C52DAD">
        <w:rPr>
          <w:sz w:val="20"/>
        </w:rPr>
        <w:t>ether it is more feasible and/or useful to ask for number of active cards outstanding or number of accounts with recent card activity for credit card, debit card, and prepaid card accounts</w:t>
      </w:r>
      <w:r>
        <w:rPr>
          <w:sz w:val="20"/>
        </w:rPr>
        <w:t xml:space="preserve">; and </w:t>
      </w:r>
      <w:r w:rsidRPr="00C52DAD">
        <w:rPr>
          <w:sz w:val="20"/>
        </w:rPr>
        <w:t xml:space="preserve">4) </w:t>
      </w:r>
      <w:r>
        <w:rPr>
          <w:sz w:val="20"/>
        </w:rPr>
        <w:t>t</w:t>
      </w:r>
      <w:r w:rsidRPr="00C52DAD">
        <w:rPr>
          <w:sz w:val="20"/>
        </w:rPr>
        <w:t xml:space="preserve">he most feasible and/or useful time period over which a payment card account should have payment or transaction activity to be considered active as well as what kinds of </w:t>
      </w:r>
      <w:r w:rsidRPr="00B22A0C">
        <w:rPr>
          <w:sz w:val="20"/>
        </w:rPr>
        <w:t>transactions, if any, should not be counted toward activity.</w:t>
      </w:r>
    </w:p>
  </w:footnote>
  <w:footnote w:id="6">
    <w:p w:rsidR="00B53FF2" w:rsidRPr="00B22A0C" w:rsidRDefault="00B53FF2">
      <w:pPr>
        <w:rPr>
          <w:sz w:val="20"/>
        </w:rPr>
      </w:pPr>
      <w:r w:rsidRPr="00B22A0C">
        <w:rPr>
          <w:rStyle w:val="FootnoteReference"/>
          <w:sz w:val="20"/>
        </w:rPr>
        <w:footnoteRef/>
      </w:r>
      <w:r w:rsidRPr="00B22A0C">
        <w:rPr>
          <w:sz w:val="20"/>
        </w:rPr>
        <w:t xml:space="preserve"> The </w:t>
      </w:r>
      <w:r w:rsidRPr="00B22A0C">
        <w:rPr>
          <w:i/>
          <w:sz w:val="20"/>
        </w:rPr>
        <w:t>Federal Register</w:t>
      </w:r>
      <w:r w:rsidRPr="00B22A0C">
        <w:rPr>
          <w:sz w:val="20"/>
        </w:rPr>
        <w:t xml:space="preserve"> notice request</w:t>
      </w:r>
      <w:r>
        <w:rPr>
          <w:sz w:val="20"/>
        </w:rPr>
        <w:t>ed</w:t>
      </w:r>
      <w:r w:rsidRPr="00B22A0C">
        <w:rPr>
          <w:sz w:val="20"/>
        </w:rPr>
        <w:t xml:space="preserve"> comment on </w:t>
      </w:r>
      <w:r w:rsidRPr="00B22A0C">
        <w:rPr>
          <w:color w:val="000000"/>
          <w:sz w:val="20"/>
        </w:rPr>
        <w:t>whether</w:t>
      </w:r>
      <w:r w:rsidRPr="00B22A0C">
        <w:rPr>
          <w:sz w:val="20"/>
        </w:rPr>
        <w:t xml:space="preserve"> institutions are able to report customer check image deposit volumes (number and value) into the categories listed above, or if a different type of categorization would be more feasible and/or useful.</w:t>
      </w:r>
    </w:p>
  </w:footnote>
  <w:footnote w:id="7">
    <w:p w:rsidR="00B53FF2" w:rsidRPr="00B22A0C" w:rsidRDefault="00B53FF2">
      <w:pPr>
        <w:pStyle w:val="FootnoteText"/>
        <w:rPr>
          <w:sz w:val="20"/>
        </w:rPr>
      </w:pPr>
      <w:r w:rsidRPr="00B22A0C">
        <w:rPr>
          <w:rStyle w:val="FootnoteReference"/>
          <w:sz w:val="20"/>
        </w:rPr>
        <w:footnoteRef/>
      </w:r>
      <w:r w:rsidRPr="00B22A0C">
        <w:rPr>
          <w:sz w:val="20"/>
        </w:rPr>
        <w:t xml:space="preserve"> </w:t>
      </w:r>
      <w:r w:rsidRPr="00B22A0C">
        <w:rPr>
          <w:color w:val="000000"/>
          <w:sz w:val="20"/>
        </w:rPr>
        <w:t xml:space="preserve">The </w:t>
      </w:r>
      <w:r w:rsidRPr="00B22A0C">
        <w:rPr>
          <w:i/>
          <w:color w:val="000000"/>
          <w:sz w:val="20"/>
        </w:rPr>
        <w:t>Federal Register</w:t>
      </w:r>
      <w:r w:rsidRPr="00B22A0C">
        <w:rPr>
          <w:color w:val="000000"/>
          <w:sz w:val="20"/>
        </w:rPr>
        <w:t xml:space="preserve"> notice requested comment</w:t>
      </w:r>
      <w:r w:rsidRPr="00B22A0C">
        <w:rPr>
          <w:sz w:val="20"/>
        </w:rPr>
        <w:t xml:space="preserve"> on whether, similar to section 3.a Check Payments, including a breakout of ACH volumes (number and value) into subcategories needed to identify interbank ACH payments would help to avoid double-counting correspondent ACH volumes.</w:t>
      </w:r>
    </w:p>
  </w:footnote>
  <w:footnote w:id="8">
    <w:p w:rsidR="00B53FF2" w:rsidRPr="001374FB" w:rsidRDefault="00B53FF2" w:rsidP="009B44D9">
      <w:pPr>
        <w:rPr>
          <w:color w:val="000000"/>
          <w:sz w:val="20"/>
        </w:rPr>
      </w:pPr>
      <w:r w:rsidRPr="001374FB">
        <w:rPr>
          <w:rStyle w:val="FootnoteReference"/>
          <w:sz w:val="20"/>
        </w:rPr>
        <w:footnoteRef/>
      </w:r>
      <w:r w:rsidRPr="001374FB">
        <w:rPr>
          <w:sz w:val="20"/>
        </w:rPr>
        <w:t xml:space="preserve"> </w:t>
      </w:r>
      <w:r w:rsidRPr="001374FB">
        <w:rPr>
          <w:color w:val="000000"/>
          <w:sz w:val="20"/>
        </w:rPr>
        <w:t xml:space="preserve">The </w:t>
      </w:r>
      <w:r w:rsidRPr="001374FB">
        <w:rPr>
          <w:i/>
          <w:color w:val="000000"/>
          <w:sz w:val="20"/>
        </w:rPr>
        <w:t>Federal Register</w:t>
      </w:r>
      <w:r w:rsidRPr="001374FB">
        <w:rPr>
          <w:color w:val="000000"/>
          <w:sz w:val="20"/>
        </w:rPr>
        <w:t xml:space="preserve"> notice requested comment</w:t>
      </w:r>
      <w:r w:rsidRPr="001374FB">
        <w:rPr>
          <w:sz w:val="20"/>
        </w:rPr>
        <w:t xml:space="preserve"> on whether institutions can separate wire transfer origination volumes (number and value) by consumer and business/government customers, and whether institutions can separate wire transfer origination volumes (number and value) between domestic and foreign wire transfers.</w:t>
      </w:r>
    </w:p>
  </w:footnote>
  <w:footnote w:id="9">
    <w:p w:rsidR="00B53FF2" w:rsidRPr="001374FB" w:rsidRDefault="00B53FF2">
      <w:pPr>
        <w:rPr>
          <w:sz w:val="20"/>
        </w:rPr>
      </w:pPr>
      <w:r w:rsidRPr="001374FB">
        <w:rPr>
          <w:rStyle w:val="FootnoteReference"/>
          <w:sz w:val="20"/>
        </w:rPr>
        <w:footnoteRef/>
      </w:r>
      <w:r w:rsidRPr="001374FB">
        <w:rPr>
          <w:sz w:val="20"/>
        </w:rPr>
        <w:t xml:space="preserve"> </w:t>
      </w:r>
      <w:r w:rsidRPr="001374FB">
        <w:rPr>
          <w:color w:val="000000"/>
          <w:sz w:val="20"/>
        </w:rPr>
        <w:t xml:space="preserve">The </w:t>
      </w:r>
      <w:r w:rsidRPr="001374FB">
        <w:rPr>
          <w:i/>
          <w:color w:val="000000"/>
          <w:sz w:val="20"/>
        </w:rPr>
        <w:t>Federal Register</w:t>
      </w:r>
      <w:r w:rsidRPr="001374FB">
        <w:rPr>
          <w:color w:val="000000"/>
          <w:sz w:val="20"/>
        </w:rPr>
        <w:t xml:space="preserve"> notice requested comment</w:t>
      </w:r>
      <w:r w:rsidRPr="001374FB">
        <w:rPr>
          <w:sz w:val="20"/>
        </w:rPr>
        <w:t xml:space="preserve"> on whether institutions can report cash withdrawals separated by the access method categories listed above (e.g. over-the-counter, ATM, etc.), or whether another method of categorization would be more feasible and/or useful.</w:t>
      </w:r>
    </w:p>
  </w:footnote>
  <w:footnote w:id="10">
    <w:p w:rsidR="00B53FF2" w:rsidRPr="001374FB" w:rsidRDefault="00B53FF2" w:rsidP="001374FB">
      <w:pPr>
        <w:rPr>
          <w:sz w:val="20"/>
        </w:rPr>
      </w:pPr>
      <w:r w:rsidRPr="001374FB">
        <w:rPr>
          <w:rStyle w:val="FootnoteReference"/>
          <w:sz w:val="20"/>
        </w:rPr>
        <w:footnoteRef/>
      </w:r>
      <w:r w:rsidRPr="001374FB">
        <w:rPr>
          <w:sz w:val="20"/>
        </w:rPr>
        <w:t xml:space="preserve"> The Board believes that ATM networks require non-depository institution ATM owners to obtain sponsorship from depository institutions, and that networks view these transactions as belonging to the sponsoring institutions.  </w:t>
      </w:r>
      <w:r w:rsidRPr="001374FB">
        <w:rPr>
          <w:color w:val="000000"/>
          <w:sz w:val="20"/>
        </w:rPr>
        <w:t xml:space="preserve">The </w:t>
      </w:r>
      <w:r w:rsidRPr="001374FB">
        <w:rPr>
          <w:i/>
          <w:color w:val="000000"/>
          <w:sz w:val="20"/>
        </w:rPr>
        <w:t>Federal Register</w:t>
      </w:r>
      <w:r w:rsidRPr="001374FB">
        <w:rPr>
          <w:color w:val="000000"/>
          <w:sz w:val="20"/>
        </w:rPr>
        <w:t xml:space="preserve"> notice requested comment</w:t>
      </w:r>
      <w:r w:rsidRPr="001374FB">
        <w:rPr>
          <w:sz w:val="20"/>
        </w:rPr>
        <w:t xml:space="preserve"> on </w:t>
      </w:r>
      <w:r>
        <w:rPr>
          <w:sz w:val="20"/>
        </w:rPr>
        <w:t>w</w:t>
      </w:r>
      <w:r w:rsidRPr="001374FB">
        <w:rPr>
          <w:sz w:val="20"/>
        </w:rPr>
        <w:t>hether any non-depository institution ATM owners are able to directly connect through ATM networks or if they all require depos</w:t>
      </w:r>
      <w:r>
        <w:rPr>
          <w:sz w:val="20"/>
        </w:rPr>
        <w:t>itory institution sponsorship and w</w:t>
      </w:r>
      <w:r w:rsidRPr="001374FB">
        <w:rPr>
          <w:sz w:val="20"/>
        </w:rPr>
        <w:t>hether institutions can report non-branded ATM terminals that they sponsor.</w:t>
      </w:r>
    </w:p>
  </w:footnote>
  <w:footnote w:id="11">
    <w:p w:rsidR="00B53FF2" w:rsidRPr="001374FB" w:rsidRDefault="00B53FF2" w:rsidP="001374FB">
      <w:pPr>
        <w:rPr>
          <w:sz w:val="20"/>
        </w:rPr>
      </w:pPr>
      <w:r w:rsidRPr="001374FB">
        <w:rPr>
          <w:rStyle w:val="FootnoteReference"/>
          <w:sz w:val="20"/>
        </w:rPr>
        <w:footnoteRef/>
      </w:r>
      <w:r w:rsidRPr="001374FB">
        <w:rPr>
          <w:sz w:val="20"/>
        </w:rPr>
        <w:t xml:space="preserve"> </w:t>
      </w:r>
      <w:r w:rsidRPr="001374FB">
        <w:rPr>
          <w:color w:val="000000"/>
          <w:sz w:val="20"/>
        </w:rPr>
        <w:t xml:space="preserve">The </w:t>
      </w:r>
      <w:r w:rsidRPr="001374FB">
        <w:rPr>
          <w:i/>
          <w:color w:val="000000"/>
          <w:sz w:val="20"/>
        </w:rPr>
        <w:t>Federal Register</w:t>
      </w:r>
      <w:r w:rsidRPr="001374FB">
        <w:rPr>
          <w:color w:val="000000"/>
          <w:sz w:val="20"/>
        </w:rPr>
        <w:t xml:space="preserve"> notice requested comment</w:t>
      </w:r>
      <w:r w:rsidRPr="001374FB">
        <w:rPr>
          <w:sz w:val="20"/>
        </w:rPr>
        <w:t xml:space="preserve"> on </w:t>
      </w:r>
      <w:r>
        <w:rPr>
          <w:sz w:val="20"/>
        </w:rPr>
        <w:t>h</w:t>
      </w:r>
      <w:r w:rsidRPr="001374FB">
        <w:rPr>
          <w:sz w:val="20"/>
        </w:rPr>
        <w:t>ow institutions define an “online person-to-person funds transfer system”</w:t>
      </w:r>
      <w:r>
        <w:rPr>
          <w:sz w:val="20"/>
        </w:rPr>
        <w:t xml:space="preserve"> and w</w:t>
      </w:r>
      <w:r w:rsidRPr="001374FB">
        <w:rPr>
          <w:sz w:val="20"/>
        </w:rPr>
        <w:t>hether institutions can separately track payments initiated via mobile devices and distinguish mobile payments from other payments from the same accounts.</w:t>
      </w:r>
    </w:p>
  </w:footnote>
  <w:footnote w:id="12">
    <w:p w:rsidR="00B53FF2" w:rsidRPr="00CC3257" w:rsidRDefault="00B53FF2">
      <w:pPr>
        <w:pStyle w:val="FootnoteText"/>
        <w:rPr>
          <w:sz w:val="20"/>
        </w:rPr>
      </w:pPr>
      <w:r w:rsidRPr="00CC3257">
        <w:rPr>
          <w:rStyle w:val="FootnoteReference"/>
          <w:sz w:val="20"/>
        </w:rPr>
        <w:footnoteRef/>
      </w:r>
      <w:r w:rsidRPr="00CC3257">
        <w:rPr>
          <w:sz w:val="20"/>
        </w:rPr>
        <w:t xml:space="preserve"> </w:t>
      </w:r>
      <w:r w:rsidRPr="00CC3257">
        <w:rPr>
          <w:color w:val="000000"/>
          <w:sz w:val="20"/>
        </w:rPr>
        <w:t xml:space="preserve">The </w:t>
      </w:r>
      <w:r w:rsidRPr="00CC3257">
        <w:rPr>
          <w:i/>
          <w:color w:val="000000"/>
          <w:sz w:val="20"/>
        </w:rPr>
        <w:t>Federal Register</w:t>
      </w:r>
      <w:r w:rsidRPr="00CC3257">
        <w:rPr>
          <w:color w:val="000000"/>
          <w:sz w:val="20"/>
        </w:rPr>
        <w:t xml:space="preserve"> notice requested comment</w:t>
      </w:r>
      <w:r w:rsidRPr="00CC3257">
        <w:rPr>
          <w:sz w:val="20"/>
        </w:rPr>
        <w:t xml:space="preserve"> on whether institutions can report information on unauthorized transactions, as defined, or whether another definition of third-party fraud would be more feasible and/or useful to report.</w:t>
      </w:r>
    </w:p>
  </w:footnote>
  <w:footnote w:id="13">
    <w:p w:rsidR="00B53FF2" w:rsidRPr="00CC3257" w:rsidRDefault="00B53FF2" w:rsidP="00CC3257">
      <w:pPr>
        <w:rPr>
          <w:sz w:val="20"/>
        </w:rPr>
      </w:pPr>
      <w:r w:rsidRPr="00CC3257">
        <w:rPr>
          <w:rStyle w:val="FootnoteReference"/>
          <w:sz w:val="20"/>
        </w:rPr>
        <w:footnoteRef/>
      </w:r>
      <w:r w:rsidRPr="00CC3257">
        <w:rPr>
          <w:sz w:val="20"/>
        </w:rPr>
        <w:t xml:space="preserve"> </w:t>
      </w:r>
      <w:r w:rsidRPr="00CC3257">
        <w:rPr>
          <w:color w:val="000000"/>
          <w:sz w:val="20"/>
        </w:rPr>
        <w:t xml:space="preserve">The </w:t>
      </w:r>
      <w:r w:rsidRPr="00CC3257">
        <w:rPr>
          <w:i/>
          <w:color w:val="000000"/>
          <w:sz w:val="20"/>
        </w:rPr>
        <w:t>Federal Register</w:t>
      </w:r>
      <w:r w:rsidRPr="00CC3257">
        <w:rPr>
          <w:color w:val="000000"/>
          <w:sz w:val="20"/>
        </w:rPr>
        <w:t xml:space="preserve"> notice requested comment</w:t>
      </w:r>
      <w:r w:rsidRPr="00CC3257">
        <w:rPr>
          <w:sz w:val="20"/>
        </w:rPr>
        <w:t xml:space="preserve"> on</w:t>
      </w:r>
      <w:r>
        <w:rPr>
          <w:sz w:val="20"/>
        </w:rPr>
        <w:t>: 1) w</w:t>
      </w:r>
      <w:r w:rsidRPr="00CC3257">
        <w:rPr>
          <w:sz w:val="20"/>
        </w:rPr>
        <w:t xml:space="preserve">hether networks can report cash advances received in physical cash form as </w:t>
      </w:r>
      <w:r>
        <w:rPr>
          <w:sz w:val="20"/>
        </w:rPr>
        <w:t xml:space="preserve">a subset of total cash advances </w:t>
      </w:r>
      <w:r w:rsidRPr="00137E40">
        <w:rPr>
          <w:i/>
          <w:sz w:val="20"/>
        </w:rPr>
        <w:t>(Total cash advances include not only physical cash advances but also other funds transfers such as an electronic transfer to a transaction deposit account or a payment made with credit account funds using a special check issued to the cardholder)</w:t>
      </w:r>
      <w:r>
        <w:rPr>
          <w:sz w:val="20"/>
        </w:rPr>
        <w:t>;</w:t>
      </w:r>
      <w:r w:rsidRPr="00CC3257">
        <w:rPr>
          <w:sz w:val="20"/>
        </w:rPr>
        <w:t xml:space="preserve"> </w:t>
      </w:r>
      <w:r>
        <w:rPr>
          <w:sz w:val="20"/>
        </w:rPr>
        <w:t>2) w</w:t>
      </w:r>
      <w:r w:rsidRPr="00CC3257">
        <w:rPr>
          <w:sz w:val="20"/>
        </w:rPr>
        <w:t>hat terms the industry most commonly uses for initiation methods such as n</w:t>
      </w:r>
      <w:r w:rsidRPr="00CC3257">
        <w:rPr>
          <w:rStyle w:val="Emphasis"/>
          <w:sz w:val="20"/>
        </w:rPr>
        <w:t>ear field communication</w:t>
      </w:r>
      <w:r w:rsidRPr="00CC3257">
        <w:rPr>
          <w:sz w:val="20"/>
        </w:rPr>
        <w:t xml:space="preserve"> (NFC), near-field r</w:t>
      </w:r>
      <w:r w:rsidRPr="00CC3257">
        <w:rPr>
          <w:rStyle w:val="st"/>
          <w:sz w:val="20"/>
        </w:rPr>
        <w:t>adio-frequency identification</w:t>
      </w:r>
      <w:r w:rsidRPr="00CC3257">
        <w:rPr>
          <w:sz w:val="20"/>
        </w:rPr>
        <w:t xml:space="preserve"> (RFID), the </w:t>
      </w:r>
      <w:r w:rsidRPr="00CC3257">
        <w:rPr>
          <w:rStyle w:val="st"/>
          <w:sz w:val="20"/>
        </w:rPr>
        <w:t>Europay, MasterCard and Visa standard</w:t>
      </w:r>
      <w:r w:rsidRPr="00CC3257">
        <w:rPr>
          <w:sz w:val="20"/>
        </w:rPr>
        <w:t xml:space="preserve"> (EMV), and other chip technologies; what terms the industry uses for authorization methods that use dynamic data generated by a card or a network-sponsored online verification system; and which initiation and authorization methods are feasible and/or useful to report</w:t>
      </w:r>
      <w:r>
        <w:rPr>
          <w:sz w:val="20"/>
        </w:rPr>
        <w:t>; 3) w</w:t>
      </w:r>
      <w:r w:rsidRPr="00CC3257">
        <w:rPr>
          <w:sz w:val="20"/>
        </w:rPr>
        <w:t>hether networks can distinguish between payments to domestic and foreign payees</w:t>
      </w:r>
      <w:r>
        <w:rPr>
          <w:sz w:val="20"/>
        </w:rPr>
        <w:t>; and 4) t</w:t>
      </w:r>
      <w:r w:rsidRPr="00CC3257">
        <w:rPr>
          <w:sz w:val="20"/>
        </w:rPr>
        <w:t>he most feasible and/or useful time period over which a general-purpose credit card account should have payment or transaction activity to be considered active, as well as what kinds of transactions, if any, should not be counted toward activity.</w:t>
      </w:r>
    </w:p>
  </w:footnote>
  <w:footnote w:id="14">
    <w:p w:rsidR="00B53FF2" w:rsidRPr="0082644C" w:rsidRDefault="00B53FF2">
      <w:pPr>
        <w:pStyle w:val="FootnoteText"/>
        <w:rPr>
          <w:sz w:val="20"/>
        </w:rPr>
      </w:pPr>
      <w:r w:rsidRPr="0082644C">
        <w:rPr>
          <w:rStyle w:val="FootnoteReference"/>
          <w:sz w:val="20"/>
        </w:rPr>
        <w:footnoteRef/>
      </w:r>
      <w:r w:rsidRPr="0082644C">
        <w:rPr>
          <w:sz w:val="20"/>
        </w:rPr>
        <w:t xml:space="preserve"> </w:t>
      </w:r>
      <w:r w:rsidRPr="0082644C">
        <w:rPr>
          <w:color w:val="000000"/>
          <w:sz w:val="20"/>
        </w:rPr>
        <w:t xml:space="preserve">The </w:t>
      </w:r>
      <w:r w:rsidRPr="0082644C">
        <w:rPr>
          <w:i/>
          <w:color w:val="000000"/>
          <w:sz w:val="20"/>
        </w:rPr>
        <w:t>Federal Register</w:t>
      </w:r>
      <w:r w:rsidRPr="0082644C">
        <w:rPr>
          <w:color w:val="000000"/>
          <w:sz w:val="20"/>
        </w:rPr>
        <w:t xml:space="preserve"> notice requested comment</w:t>
      </w:r>
      <w:r w:rsidRPr="0082644C">
        <w:rPr>
          <w:sz w:val="20"/>
        </w:rPr>
        <w:t xml:space="preserve"> on </w:t>
      </w:r>
      <w:r w:rsidRPr="0082644C">
        <w:rPr>
          <w:color w:val="000000"/>
          <w:sz w:val="20"/>
        </w:rPr>
        <w:t>t</w:t>
      </w:r>
      <w:r w:rsidRPr="0082644C">
        <w:rPr>
          <w:sz w:val="20"/>
        </w:rPr>
        <w:t>he most feasible and/or useful time period over which a private-label credit card account should have payment or transaction activity to be considered active, as well as what kinds of transactions, if any, should not be counted toward activity.</w:t>
      </w:r>
    </w:p>
  </w:footnote>
  <w:footnote w:id="15">
    <w:p w:rsidR="00B53FF2" w:rsidRPr="0082644C" w:rsidRDefault="00B53FF2">
      <w:pPr>
        <w:pStyle w:val="FootnoteText"/>
        <w:rPr>
          <w:sz w:val="20"/>
        </w:rPr>
      </w:pPr>
      <w:r w:rsidRPr="0082644C">
        <w:rPr>
          <w:rStyle w:val="FootnoteReference"/>
          <w:sz w:val="20"/>
        </w:rPr>
        <w:footnoteRef/>
      </w:r>
      <w:r w:rsidRPr="0082644C">
        <w:rPr>
          <w:sz w:val="20"/>
        </w:rPr>
        <w:t xml:space="preserve"> </w:t>
      </w:r>
      <w:r w:rsidRPr="0082644C">
        <w:rPr>
          <w:color w:val="000000"/>
          <w:sz w:val="20"/>
        </w:rPr>
        <w:t xml:space="preserve">The </w:t>
      </w:r>
      <w:r w:rsidRPr="0082644C">
        <w:rPr>
          <w:i/>
          <w:color w:val="000000"/>
          <w:sz w:val="20"/>
        </w:rPr>
        <w:t>Federal Register</w:t>
      </w:r>
      <w:r w:rsidRPr="0082644C">
        <w:rPr>
          <w:color w:val="000000"/>
          <w:sz w:val="20"/>
        </w:rPr>
        <w:t xml:space="preserve"> notice requested comment</w:t>
      </w:r>
      <w:r w:rsidRPr="0082644C">
        <w:rPr>
          <w:sz w:val="20"/>
        </w:rPr>
        <w:t xml:space="preserve"> on </w:t>
      </w:r>
      <w:r w:rsidRPr="0082644C">
        <w:rPr>
          <w:color w:val="000000"/>
          <w:sz w:val="20"/>
        </w:rPr>
        <w:t>t</w:t>
      </w:r>
      <w:r w:rsidRPr="0082644C">
        <w:rPr>
          <w:sz w:val="20"/>
        </w:rPr>
        <w:t>he most feasible and/or useful time period over which a private-label card account should have payment or transaction activity to be considered active, as well as what kinds of transactions, if any, should not be counted toward activity.</w:t>
      </w:r>
    </w:p>
  </w:footnote>
  <w:footnote w:id="16">
    <w:p w:rsidR="00B53FF2" w:rsidRPr="00136418" w:rsidRDefault="00B53FF2" w:rsidP="0082644C">
      <w:pPr>
        <w:rPr>
          <w:sz w:val="20"/>
        </w:rPr>
      </w:pPr>
      <w:r w:rsidRPr="0082644C">
        <w:rPr>
          <w:rStyle w:val="FootnoteReference"/>
          <w:sz w:val="20"/>
        </w:rPr>
        <w:footnoteRef/>
      </w:r>
      <w:r w:rsidRPr="0082644C">
        <w:rPr>
          <w:sz w:val="20"/>
        </w:rPr>
        <w:t xml:space="preserve"> </w:t>
      </w:r>
      <w:r w:rsidRPr="0082644C">
        <w:rPr>
          <w:color w:val="000000"/>
          <w:sz w:val="20"/>
        </w:rPr>
        <w:t xml:space="preserve">The </w:t>
      </w:r>
      <w:r w:rsidRPr="0082644C">
        <w:rPr>
          <w:i/>
          <w:color w:val="000000"/>
          <w:sz w:val="20"/>
        </w:rPr>
        <w:t>Federal Register</w:t>
      </w:r>
      <w:r w:rsidRPr="0082644C">
        <w:rPr>
          <w:color w:val="000000"/>
          <w:sz w:val="20"/>
        </w:rPr>
        <w:t xml:space="preserve"> notice requested comment</w:t>
      </w:r>
      <w:r w:rsidRPr="0082644C">
        <w:rPr>
          <w:sz w:val="20"/>
        </w:rPr>
        <w:t xml:space="preserve"> on</w:t>
      </w:r>
      <w:r>
        <w:rPr>
          <w:sz w:val="20"/>
        </w:rPr>
        <w:t>: 1)</w:t>
      </w:r>
      <w:r w:rsidRPr="0082644C">
        <w:rPr>
          <w:sz w:val="20"/>
        </w:rPr>
        <w:t xml:space="preserve"> </w:t>
      </w:r>
      <w:r>
        <w:rPr>
          <w:sz w:val="20"/>
        </w:rPr>
        <w:t>w</w:t>
      </w:r>
      <w:r w:rsidRPr="0082644C">
        <w:rPr>
          <w:sz w:val="20"/>
        </w:rPr>
        <w:t xml:space="preserve">hat terms the industry most commonly uses for initiation methods such as NFC, near-field RFID, EMV, and other chip technologies; </w:t>
      </w:r>
      <w:r>
        <w:rPr>
          <w:sz w:val="20"/>
        </w:rPr>
        <w:t xml:space="preserve">2) </w:t>
      </w:r>
      <w:r w:rsidRPr="0082644C">
        <w:rPr>
          <w:sz w:val="20"/>
        </w:rPr>
        <w:t xml:space="preserve">what terms the industry uses for authorization methods that use dynamic data generated by a card or a network-sponsored online verification system; </w:t>
      </w:r>
      <w:r w:rsidRPr="00136418">
        <w:rPr>
          <w:sz w:val="20"/>
        </w:rPr>
        <w:t xml:space="preserve">and 3) which initiation and authorization methods are most feasible and/or useful to report.  </w:t>
      </w:r>
      <w:r>
        <w:rPr>
          <w:color w:val="000000"/>
          <w:sz w:val="20"/>
          <w:lang w:eastAsia="en-US"/>
        </w:rPr>
        <w:t xml:space="preserve">The </w:t>
      </w:r>
      <w:r>
        <w:rPr>
          <w:i/>
          <w:iCs/>
          <w:color w:val="000000"/>
          <w:sz w:val="20"/>
          <w:lang w:eastAsia="en-US"/>
        </w:rPr>
        <w:t>Federal Register</w:t>
      </w:r>
      <w:r>
        <w:rPr>
          <w:color w:val="000000"/>
          <w:sz w:val="20"/>
          <w:lang w:eastAsia="en-US"/>
        </w:rPr>
        <w:t xml:space="preserve"> notice also requested comment on whether networks can distinguish between payments to domestic and foreign payees.</w:t>
      </w:r>
      <w:r w:rsidRPr="00136418">
        <w:rPr>
          <w:sz w:val="20"/>
        </w:rPr>
        <w:t xml:space="preserve">  </w:t>
      </w:r>
    </w:p>
  </w:footnote>
  <w:footnote w:id="17">
    <w:p w:rsidR="00B53FF2" w:rsidRPr="00136418" w:rsidRDefault="00B53FF2">
      <w:pPr>
        <w:pStyle w:val="FootnoteText"/>
        <w:rPr>
          <w:sz w:val="20"/>
        </w:rPr>
      </w:pPr>
      <w:r w:rsidRPr="00136418">
        <w:rPr>
          <w:rStyle w:val="FootnoteReference"/>
          <w:sz w:val="20"/>
        </w:rPr>
        <w:footnoteRef/>
      </w:r>
      <w:r w:rsidRPr="00136418">
        <w:rPr>
          <w:sz w:val="20"/>
        </w:rPr>
        <w:t xml:space="preserve"> </w:t>
      </w:r>
      <w:r w:rsidRPr="00136418">
        <w:rPr>
          <w:color w:val="000000"/>
          <w:sz w:val="20"/>
        </w:rPr>
        <w:t xml:space="preserve">The </w:t>
      </w:r>
      <w:r w:rsidRPr="00136418">
        <w:rPr>
          <w:i/>
          <w:color w:val="000000"/>
          <w:sz w:val="20"/>
        </w:rPr>
        <w:t>Federal Register</w:t>
      </w:r>
      <w:r w:rsidRPr="00136418">
        <w:rPr>
          <w:color w:val="000000"/>
          <w:sz w:val="20"/>
        </w:rPr>
        <w:t xml:space="preserve"> notice requested comment</w:t>
      </w:r>
      <w:r w:rsidRPr="00136418">
        <w:rPr>
          <w:sz w:val="20"/>
        </w:rPr>
        <w:t xml:space="preserve"> on </w:t>
      </w:r>
      <w:r w:rsidRPr="00136418">
        <w:rPr>
          <w:color w:val="000000"/>
          <w:sz w:val="20"/>
        </w:rPr>
        <w:t>h</w:t>
      </w:r>
      <w:r w:rsidRPr="00136418">
        <w:rPr>
          <w:sz w:val="20"/>
        </w:rPr>
        <w:t>ow prepaid cards should be defined in order to develop a consistent definition among responses provided by networks and processors.</w:t>
      </w:r>
    </w:p>
  </w:footnote>
  <w:footnote w:id="18">
    <w:p w:rsidR="00B53FF2" w:rsidRPr="00A22D9F" w:rsidRDefault="00B53FF2" w:rsidP="00F106A5">
      <w:pPr>
        <w:rPr>
          <w:sz w:val="20"/>
        </w:rPr>
      </w:pPr>
      <w:r w:rsidRPr="00A22D9F">
        <w:rPr>
          <w:rStyle w:val="FootnoteReference"/>
          <w:sz w:val="20"/>
        </w:rPr>
        <w:footnoteRef/>
      </w:r>
      <w:r w:rsidRPr="00A22D9F">
        <w:rPr>
          <w:sz w:val="20"/>
        </w:rPr>
        <w:t xml:space="preserve"> </w:t>
      </w:r>
      <w:r w:rsidRPr="00A22D9F">
        <w:rPr>
          <w:color w:val="000000"/>
          <w:sz w:val="20"/>
        </w:rPr>
        <w:t xml:space="preserve">The </w:t>
      </w:r>
      <w:r w:rsidRPr="00A22D9F">
        <w:rPr>
          <w:i/>
          <w:color w:val="000000"/>
          <w:sz w:val="20"/>
        </w:rPr>
        <w:t>Federal Register</w:t>
      </w:r>
      <w:r w:rsidRPr="00A22D9F">
        <w:rPr>
          <w:color w:val="000000"/>
          <w:sz w:val="20"/>
        </w:rPr>
        <w:t xml:space="preserve"> notice requested comment</w:t>
      </w:r>
      <w:r w:rsidRPr="00A22D9F">
        <w:rPr>
          <w:sz w:val="20"/>
        </w:rPr>
        <w:t xml:space="preserve"> on: 1) the categories (e.g. gift, customer incentive, etc.) by which processors can separate prepaid card volumes and which categories are most significant</w:t>
      </w:r>
      <w:r>
        <w:rPr>
          <w:sz w:val="20"/>
        </w:rPr>
        <w:t>;</w:t>
      </w:r>
      <w:r w:rsidRPr="00A22D9F">
        <w:rPr>
          <w:sz w:val="20"/>
        </w:rPr>
        <w:t xml:space="preserve"> 2) </w:t>
      </w:r>
      <w:r>
        <w:rPr>
          <w:sz w:val="20"/>
        </w:rPr>
        <w:t>w</w:t>
      </w:r>
      <w:r w:rsidRPr="00A22D9F">
        <w:rPr>
          <w:sz w:val="20"/>
        </w:rPr>
        <w:t>hether processors can categorize deposits into prepaid card accounts (loads) by the payment instrument or method used to provide the funds</w:t>
      </w:r>
      <w:r>
        <w:rPr>
          <w:sz w:val="20"/>
        </w:rPr>
        <w:t>;</w:t>
      </w:r>
      <w:r w:rsidRPr="00A22D9F">
        <w:rPr>
          <w:sz w:val="20"/>
        </w:rPr>
        <w:t xml:space="preserve"> and 3) </w:t>
      </w:r>
      <w:r>
        <w:rPr>
          <w:sz w:val="20"/>
        </w:rPr>
        <w:t>t</w:t>
      </w:r>
      <w:r w:rsidRPr="00A22D9F">
        <w:rPr>
          <w:sz w:val="20"/>
        </w:rPr>
        <w:t>he most feasible and/or useful time period over which a private-label prepaid card account should have payment or transaction activity to be considered active, as well as what kinds of transactions, if any, should not be counted toward activity.</w:t>
      </w:r>
    </w:p>
  </w:footnote>
  <w:footnote w:id="19">
    <w:p w:rsidR="00B53FF2" w:rsidRPr="0004212D" w:rsidRDefault="00B53FF2" w:rsidP="00A22D9F">
      <w:pPr>
        <w:rPr>
          <w:sz w:val="20"/>
        </w:rPr>
      </w:pPr>
      <w:r w:rsidRPr="00A22D9F">
        <w:rPr>
          <w:rStyle w:val="FootnoteReference"/>
          <w:sz w:val="20"/>
        </w:rPr>
        <w:footnoteRef/>
      </w:r>
      <w:r w:rsidRPr="00A22D9F">
        <w:rPr>
          <w:sz w:val="20"/>
        </w:rPr>
        <w:t xml:space="preserve"> </w:t>
      </w:r>
      <w:r w:rsidRPr="00A22D9F">
        <w:rPr>
          <w:color w:val="000000"/>
          <w:sz w:val="20"/>
        </w:rPr>
        <w:t xml:space="preserve">The </w:t>
      </w:r>
      <w:r w:rsidRPr="00A22D9F">
        <w:rPr>
          <w:i/>
          <w:color w:val="000000"/>
          <w:sz w:val="20"/>
        </w:rPr>
        <w:t>Federal Register</w:t>
      </w:r>
      <w:r w:rsidRPr="00A22D9F">
        <w:rPr>
          <w:color w:val="000000"/>
          <w:sz w:val="20"/>
        </w:rPr>
        <w:t xml:space="preserve"> notice requested comment</w:t>
      </w:r>
      <w:r w:rsidRPr="00A22D9F">
        <w:rPr>
          <w:sz w:val="20"/>
        </w:rPr>
        <w:t xml:space="preserve"> on</w:t>
      </w:r>
      <w:r>
        <w:rPr>
          <w:sz w:val="20"/>
        </w:rPr>
        <w:t>: 1) t</w:t>
      </w:r>
      <w:r w:rsidRPr="00A22D9F">
        <w:rPr>
          <w:sz w:val="20"/>
        </w:rPr>
        <w:t xml:space="preserve">he categories (e.g. gift, customer incentive, etc.) by which processors can separate prepaid card volumes and which </w:t>
      </w:r>
      <w:r>
        <w:rPr>
          <w:sz w:val="20"/>
        </w:rPr>
        <w:t>categories are most significant; 2) w</w:t>
      </w:r>
      <w:r w:rsidRPr="00A22D9F">
        <w:rPr>
          <w:sz w:val="20"/>
        </w:rPr>
        <w:t>hether processors can categorize deposits into prepaid card accounts (loads) by the payment instrument or met</w:t>
      </w:r>
      <w:r>
        <w:rPr>
          <w:sz w:val="20"/>
        </w:rPr>
        <w:t>hod used to provide the funds; and 3) t</w:t>
      </w:r>
      <w:r w:rsidRPr="00A22D9F">
        <w:rPr>
          <w:sz w:val="20"/>
        </w:rPr>
        <w:t xml:space="preserve">he most feasible and/or useful time period over which a private-label prepaid card account should </w:t>
      </w:r>
      <w:r w:rsidRPr="0004212D">
        <w:rPr>
          <w:sz w:val="20"/>
        </w:rPr>
        <w:t>have payment or transaction activity to be considered active, as well as what kinds of transactions, if any, should not be counted toward activity.</w:t>
      </w:r>
    </w:p>
  </w:footnote>
  <w:footnote w:id="20">
    <w:p w:rsidR="00B53FF2" w:rsidRPr="0004212D" w:rsidRDefault="00B53FF2">
      <w:pPr>
        <w:pStyle w:val="FootnoteText"/>
        <w:rPr>
          <w:sz w:val="20"/>
        </w:rPr>
      </w:pPr>
      <w:r w:rsidRPr="0004212D">
        <w:rPr>
          <w:rStyle w:val="FootnoteReference"/>
          <w:sz w:val="20"/>
        </w:rPr>
        <w:footnoteRef/>
      </w:r>
      <w:r w:rsidRPr="0004212D">
        <w:rPr>
          <w:sz w:val="20"/>
        </w:rPr>
        <w:t xml:space="preserve"> </w:t>
      </w:r>
      <w:r w:rsidRPr="0004212D">
        <w:rPr>
          <w:color w:val="000000"/>
          <w:sz w:val="20"/>
        </w:rPr>
        <w:t xml:space="preserve">The </w:t>
      </w:r>
      <w:r w:rsidRPr="0004212D">
        <w:rPr>
          <w:i/>
          <w:color w:val="000000"/>
          <w:sz w:val="20"/>
        </w:rPr>
        <w:t>Federal Register</w:t>
      </w:r>
      <w:r w:rsidRPr="0004212D">
        <w:rPr>
          <w:color w:val="000000"/>
          <w:sz w:val="20"/>
        </w:rPr>
        <w:t xml:space="preserve"> notice requested comment</w:t>
      </w:r>
      <w:r w:rsidRPr="0004212D">
        <w:rPr>
          <w:sz w:val="20"/>
        </w:rPr>
        <w:t xml:space="preserve"> on whether there are additional emerging payments that should be measured in the survey.</w:t>
      </w:r>
    </w:p>
  </w:footnote>
  <w:footnote w:id="21">
    <w:p w:rsidR="00B53FF2" w:rsidRPr="0004212D" w:rsidRDefault="00B53FF2" w:rsidP="0004212D">
      <w:pPr>
        <w:rPr>
          <w:b/>
          <w:sz w:val="20"/>
        </w:rPr>
      </w:pPr>
      <w:r w:rsidRPr="0004212D">
        <w:rPr>
          <w:rStyle w:val="FootnoteReference"/>
          <w:sz w:val="20"/>
        </w:rPr>
        <w:footnoteRef/>
      </w:r>
      <w:r w:rsidRPr="0004212D">
        <w:rPr>
          <w:sz w:val="20"/>
        </w:rPr>
        <w:t xml:space="preserve"> </w:t>
      </w:r>
      <w:r w:rsidRPr="0004212D">
        <w:rPr>
          <w:color w:val="000000"/>
          <w:sz w:val="20"/>
        </w:rPr>
        <w:t xml:space="preserve">The </w:t>
      </w:r>
      <w:r w:rsidRPr="0004212D">
        <w:rPr>
          <w:i/>
          <w:color w:val="000000"/>
          <w:sz w:val="20"/>
        </w:rPr>
        <w:t>Federal Register</w:t>
      </w:r>
      <w:r w:rsidRPr="0004212D">
        <w:rPr>
          <w:color w:val="000000"/>
          <w:sz w:val="20"/>
        </w:rPr>
        <w:t xml:space="preserve"> notice requested comment</w:t>
      </w:r>
      <w:r w:rsidRPr="0004212D">
        <w:rPr>
          <w:sz w:val="20"/>
        </w:rPr>
        <w:t xml:space="preserve"> on</w:t>
      </w:r>
      <w:r>
        <w:rPr>
          <w:sz w:val="20"/>
        </w:rPr>
        <w:t xml:space="preserve"> w</w:t>
      </w:r>
      <w:r w:rsidRPr="0004212D">
        <w:rPr>
          <w:sz w:val="20"/>
        </w:rPr>
        <w:t>hether networks can distinguish between payments</w:t>
      </w:r>
      <w:r>
        <w:rPr>
          <w:sz w:val="20"/>
        </w:rPr>
        <w:t xml:space="preserve"> to domestic and foreign payees and w</w:t>
      </w:r>
      <w:r w:rsidRPr="0004212D">
        <w:rPr>
          <w:sz w:val="20"/>
        </w:rPr>
        <w:t>hether processors are able to report payments by initiation channel (website, mobile, in-person, etc.).</w:t>
      </w:r>
    </w:p>
    <w:p w:rsidR="00B53FF2" w:rsidRPr="0004212D" w:rsidRDefault="00B53FF2" w:rsidP="0004212D">
      <w:pPr>
        <w:pStyle w:val="FootnoteText"/>
        <w:rPr>
          <w:sz w:val="20"/>
        </w:rPr>
      </w:pPr>
    </w:p>
  </w:footnote>
  <w:footnote w:id="22">
    <w:p w:rsidR="00B53FF2" w:rsidRPr="009C43F9" w:rsidRDefault="00B53FF2">
      <w:pPr>
        <w:pStyle w:val="FootnoteText"/>
        <w:rPr>
          <w:sz w:val="20"/>
        </w:rPr>
      </w:pPr>
      <w:r w:rsidRPr="009C43F9">
        <w:rPr>
          <w:rStyle w:val="FootnoteReference"/>
          <w:sz w:val="20"/>
        </w:rPr>
        <w:footnoteRef/>
      </w:r>
      <w:r w:rsidRPr="009C43F9">
        <w:rPr>
          <w:sz w:val="20"/>
        </w:rPr>
        <w:t xml:space="preserve"> </w:t>
      </w:r>
      <w:r w:rsidRPr="009C43F9">
        <w:rPr>
          <w:color w:val="000000"/>
          <w:sz w:val="20"/>
        </w:rPr>
        <w:t xml:space="preserve">The </w:t>
      </w:r>
      <w:r w:rsidRPr="009C43F9">
        <w:rPr>
          <w:i/>
          <w:color w:val="000000"/>
          <w:sz w:val="20"/>
        </w:rPr>
        <w:t>Federal Register</w:t>
      </w:r>
      <w:r w:rsidRPr="009C43F9">
        <w:rPr>
          <w:color w:val="000000"/>
          <w:sz w:val="20"/>
        </w:rPr>
        <w:t xml:space="preserve"> notice requested comment</w:t>
      </w:r>
      <w:r w:rsidRPr="009C43F9">
        <w:rPr>
          <w:sz w:val="20"/>
        </w:rPr>
        <w:t xml:space="preserve"> on whether processors are able to categorize by the payment instrument or method used to fund bill payment transactions.</w:t>
      </w:r>
    </w:p>
  </w:footnote>
  <w:footnote w:id="23">
    <w:p w:rsidR="00B53FF2" w:rsidRPr="009C43F9" w:rsidRDefault="00B53FF2">
      <w:pPr>
        <w:pStyle w:val="FootnoteText"/>
        <w:rPr>
          <w:sz w:val="20"/>
        </w:rPr>
      </w:pPr>
      <w:r w:rsidRPr="009C43F9">
        <w:rPr>
          <w:rStyle w:val="FootnoteReference"/>
          <w:sz w:val="20"/>
        </w:rPr>
        <w:footnoteRef/>
      </w:r>
      <w:r w:rsidRPr="009C43F9">
        <w:rPr>
          <w:sz w:val="20"/>
        </w:rPr>
        <w:t xml:space="preserve"> </w:t>
      </w:r>
      <w:r w:rsidRPr="009C43F9">
        <w:rPr>
          <w:color w:val="000000"/>
          <w:sz w:val="20"/>
        </w:rPr>
        <w:t xml:space="preserve">The </w:t>
      </w:r>
      <w:r w:rsidRPr="009C43F9">
        <w:rPr>
          <w:i/>
          <w:color w:val="000000"/>
          <w:sz w:val="20"/>
        </w:rPr>
        <w:t>Federal Register</w:t>
      </w:r>
      <w:r w:rsidRPr="009C43F9">
        <w:rPr>
          <w:color w:val="000000"/>
          <w:sz w:val="20"/>
        </w:rPr>
        <w:t xml:space="preserve"> notice requested comment</w:t>
      </w:r>
      <w:r w:rsidRPr="009C43F9">
        <w:rPr>
          <w:sz w:val="20"/>
        </w:rPr>
        <w:t xml:space="preserve"> on whether processors are able to categorize by the payment instrument or method used to fund transactions.</w:t>
      </w:r>
    </w:p>
  </w:footnote>
  <w:footnote w:id="24">
    <w:p w:rsidR="00B53FF2" w:rsidRPr="009C43F9" w:rsidRDefault="00B53FF2">
      <w:pPr>
        <w:pStyle w:val="FootnoteText"/>
        <w:rPr>
          <w:sz w:val="20"/>
        </w:rPr>
      </w:pPr>
      <w:r w:rsidRPr="009C43F9">
        <w:rPr>
          <w:rStyle w:val="FootnoteReference"/>
          <w:sz w:val="20"/>
        </w:rPr>
        <w:footnoteRef/>
      </w:r>
      <w:r w:rsidRPr="009C43F9">
        <w:rPr>
          <w:sz w:val="20"/>
        </w:rPr>
        <w:t xml:space="preserve"> </w:t>
      </w:r>
      <w:r w:rsidRPr="009C43F9">
        <w:rPr>
          <w:color w:val="000000"/>
          <w:sz w:val="20"/>
        </w:rPr>
        <w:t xml:space="preserve">The </w:t>
      </w:r>
      <w:r w:rsidRPr="009C43F9">
        <w:rPr>
          <w:i/>
          <w:color w:val="000000"/>
          <w:sz w:val="20"/>
        </w:rPr>
        <w:t>Federal Register</w:t>
      </w:r>
      <w:r w:rsidRPr="009C43F9">
        <w:rPr>
          <w:color w:val="000000"/>
          <w:sz w:val="20"/>
        </w:rPr>
        <w:t xml:space="preserve"> notice requested comment</w:t>
      </w:r>
      <w:r w:rsidRPr="009C43F9">
        <w:rPr>
          <w:sz w:val="20"/>
        </w:rPr>
        <w:t xml:space="preserve"> on the most feasible and/or useful time period over which a private-label ACH debit card account should have payment or transaction activity to be considered active, as well as what kinds of transactions, if any, should not be counted toward activity.</w:t>
      </w:r>
    </w:p>
  </w:footnote>
  <w:footnote w:id="25">
    <w:p w:rsidR="00B53FF2" w:rsidRPr="009C43F9" w:rsidRDefault="00B53FF2">
      <w:pPr>
        <w:pStyle w:val="FootnoteText"/>
        <w:rPr>
          <w:sz w:val="20"/>
        </w:rPr>
      </w:pPr>
      <w:r w:rsidRPr="009C43F9">
        <w:rPr>
          <w:rStyle w:val="FootnoteReference"/>
          <w:sz w:val="20"/>
        </w:rPr>
        <w:footnoteRef/>
      </w:r>
      <w:r w:rsidRPr="009C43F9">
        <w:rPr>
          <w:sz w:val="20"/>
        </w:rPr>
        <w:t xml:space="preserve"> </w:t>
      </w:r>
      <w:r w:rsidRPr="009C43F9">
        <w:rPr>
          <w:color w:val="000000"/>
          <w:sz w:val="20"/>
        </w:rPr>
        <w:t xml:space="preserve">The </w:t>
      </w:r>
      <w:r w:rsidRPr="009C43F9">
        <w:rPr>
          <w:i/>
          <w:color w:val="000000"/>
          <w:sz w:val="20"/>
        </w:rPr>
        <w:t>Federal Register</w:t>
      </w:r>
      <w:r w:rsidRPr="009C43F9">
        <w:rPr>
          <w:color w:val="000000"/>
          <w:sz w:val="20"/>
        </w:rPr>
        <w:t xml:space="preserve"> notice requested comment</w:t>
      </w:r>
      <w:r w:rsidRPr="009C43F9">
        <w:rPr>
          <w:sz w:val="20"/>
        </w:rPr>
        <w:t xml:space="preserve"> on whether processors are able to categorize by the payment instrument or method used to fund accounts and transactions.</w:t>
      </w:r>
    </w:p>
  </w:footnote>
  <w:footnote w:id="26">
    <w:p w:rsidR="00B53FF2" w:rsidRPr="009C43F9" w:rsidRDefault="00B53FF2">
      <w:pPr>
        <w:pStyle w:val="FootnoteText"/>
        <w:rPr>
          <w:sz w:val="20"/>
        </w:rPr>
      </w:pPr>
      <w:r w:rsidRPr="009C43F9">
        <w:rPr>
          <w:rStyle w:val="FootnoteReference"/>
          <w:sz w:val="20"/>
        </w:rPr>
        <w:footnoteRef/>
      </w:r>
      <w:r w:rsidRPr="009C43F9">
        <w:rPr>
          <w:sz w:val="20"/>
        </w:rPr>
        <w:t xml:space="preserve"> </w:t>
      </w:r>
      <w:r w:rsidRPr="009C43F9">
        <w:rPr>
          <w:color w:val="000000"/>
          <w:sz w:val="20"/>
        </w:rPr>
        <w:t xml:space="preserve">The </w:t>
      </w:r>
      <w:r w:rsidRPr="009C43F9">
        <w:rPr>
          <w:i/>
          <w:color w:val="000000"/>
          <w:sz w:val="20"/>
        </w:rPr>
        <w:t>Federal Register</w:t>
      </w:r>
      <w:r w:rsidRPr="009C43F9">
        <w:rPr>
          <w:color w:val="000000"/>
          <w:sz w:val="20"/>
        </w:rPr>
        <w:t xml:space="preserve"> notice requested comment</w:t>
      </w:r>
      <w:r w:rsidRPr="009C43F9">
        <w:rPr>
          <w:sz w:val="20"/>
        </w:rPr>
        <w:t xml:space="preserve"> on which entities should receive the Mobile Wallet Processor Survey and what range of products should be included.</w:t>
      </w:r>
    </w:p>
  </w:footnote>
  <w:footnote w:id="27">
    <w:p w:rsidR="00B53FF2" w:rsidRPr="00B860BC" w:rsidRDefault="00B53FF2" w:rsidP="00EF28EC">
      <w:pPr>
        <w:pStyle w:val="BodyTextIndent"/>
        <w:ind w:firstLine="0"/>
        <w:mirrorIndents/>
        <w:rPr>
          <w:rFonts w:ascii="Times New Roman" w:hAnsi="Times New Roman" w:cs="Times New Roman"/>
          <w:sz w:val="20"/>
          <w:szCs w:val="20"/>
        </w:rPr>
      </w:pPr>
      <w:r w:rsidRPr="00B860BC">
        <w:rPr>
          <w:rStyle w:val="FootnoteReference"/>
          <w:rFonts w:ascii="Times New Roman" w:hAnsi="Times New Roman" w:cs="Times New Roman"/>
          <w:sz w:val="20"/>
          <w:szCs w:val="20"/>
        </w:rPr>
        <w:footnoteRef/>
      </w:r>
      <w:r w:rsidRPr="00B860BC">
        <w:rPr>
          <w:rFonts w:ascii="Times New Roman" w:hAnsi="Times New Roman" w:cs="Times New Roman"/>
          <w:sz w:val="20"/>
          <w:szCs w:val="20"/>
        </w:rPr>
        <w:t xml:space="preserve"> </w:t>
      </w:r>
      <w:r w:rsidRPr="00B860BC">
        <w:rPr>
          <w:rFonts w:ascii="Times New Roman" w:hAnsi="Times New Roman" w:cs="Times New Roman"/>
          <w:color w:val="000000"/>
          <w:sz w:val="20"/>
          <w:szCs w:val="20"/>
        </w:rPr>
        <w:t xml:space="preserve">The </w:t>
      </w:r>
      <w:r w:rsidRPr="00B860BC">
        <w:rPr>
          <w:rFonts w:ascii="Times New Roman" w:hAnsi="Times New Roman" w:cs="Times New Roman"/>
          <w:i/>
          <w:color w:val="000000"/>
          <w:sz w:val="20"/>
          <w:szCs w:val="20"/>
        </w:rPr>
        <w:t>Federal Register</w:t>
      </w:r>
      <w:r w:rsidRPr="00B860BC">
        <w:rPr>
          <w:rFonts w:ascii="Times New Roman" w:hAnsi="Times New Roman" w:cs="Times New Roman"/>
          <w:color w:val="000000"/>
          <w:sz w:val="20"/>
          <w:szCs w:val="20"/>
        </w:rPr>
        <w:t xml:space="preserve"> notice requested comment</w:t>
      </w:r>
      <w:r w:rsidRPr="00B860BC">
        <w:rPr>
          <w:rFonts w:ascii="Times New Roman" w:hAnsi="Times New Roman" w:cs="Times New Roman"/>
          <w:sz w:val="20"/>
          <w:szCs w:val="20"/>
        </w:rPr>
        <w:t xml:space="preserve"> on</w:t>
      </w:r>
      <w:r>
        <w:rPr>
          <w:rFonts w:ascii="Times New Roman" w:hAnsi="Times New Roman" w:cs="Times New Roman"/>
          <w:sz w:val="20"/>
          <w:szCs w:val="20"/>
        </w:rPr>
        <w:t xml:space="preserve"> t</w:t>
      </w:r>
      <w:r w:rsidRPr="00B860BC">
        <w:rPr>
          <w:rFonts w:ascii="Times New Roman" w:hAnsi="Times New Roman" w:cs="Times New Roman"/>
          <w:sz w:val="20"/>
          <w:szCs w:val="20"/>
        </w:rPr>
        <w:t xml:space="preserve">he most effective methods of selecting a random sample of check images from </w:t>
      </w:r>
      <w:r>
        <w:rPr>
          <w:rFonts w:ascii="Times New Roman" w:hAnsi="Times New Roman" w:cs="Times New Roman"/>
          <w:sz w:val="20"/>
          <w:szCs w:val="20"/>
        </w:rPr>
        <w:t>within depository institutions and t</w:t>
      </w:r>
      <w:r w:rsidRPr="00B860BC">
        <w:rPr>
          <w:rFonts w:ascii="Times New Roman" w:hAnsi="Times New Roman" w:cs="Times New Roman"/>
          <w:sz w:val="20"/>
          <w:szCs w:val="20"/>
        </w:rPr>
        <w:t>he most valuable and feasible information to collect from the checks.</w:t>
      </w:r>
    </w:p>
    <w:p w:rsidR="00B53FF2" w:rsidRPr="00B860BC" w:rsidRDefault="00B53FF2">
      <w:pPr>
        <w:pStyle w:val="FootnoteText"/>
        <w:rPr>
          <w:sz w:val="20"/>
        </w:rPr>
      </w:pPr>
    </w:p>
  </w:footnote>
  <w:footnote w:id="28">
    <w:p w:rsidR="00B53FF2" w:rsidRPr="009C43F9" w:rsidRDefault="00B53FF2">
      <w:pPr>
        <w:pStyle w:val="FootnoteText"/>
        <w:rPr>
          <w:sz w:val="20"/>
        </w:rPr>
      </w:pPr>
      <w:r w:rsidRPr="009C43F9">
        <w:rPr>
          <w:rStyle w:val="FootnoteReference"/>
          <w:sz w:val="20"/>
        </w:rPr>
        <w:footnoteRef/>
      </w:r>
      <w:r w:rsidRPr="009C43F9">
        <w:rPr>
          <w:sz w:val="20"/>
        </w:rPr>
        <w:t xml:space="preserve"> Total cost to the public was estimated using the following formula: percent of staff time, multiplied by annual burden hours, multiplied by hourly rate (30% Office &amp; Administrative Support @ $17, 45% Financial Managers @ $52, 15% Legal Counsel @ $55, and 10% Chief Executives @ $81).  Hourly rate for each occupational group are the median hourly wages (rounded up) from the Bureau of Labor and Statistics (BLS), Occupational Employment and Wages 2011, </w:t>
      </w:r>
      <w:hyperlink r:id="rId5" w:history="1">
        <w:r w:rsidRPr="009C43F9">
          <w:rPr>
            <w:rStyle w:val="Hyperlink"/>
            <w:sz w:val="20"/>
          </w:rPr>
          <w:t>www.bls.gov/news.release/ocwage.nr0.htm</w:t>
        </w:r>
      </w:hyperlink>
      <w:r w:rsidRPr="009C43F9">
        <w:rPr>
          <w:sz w:val="20"/>
        </w:rPr>
        <w:t xml:space="preserve">  Occupations are defined using the BLS Occupational Classification System,  </w:t>
      </w:r>
      <w:hyperlink r:id="rId6" w:history="1">
        <w:r w:rsidRPr="009C43F9">
          <w:rPr>
            <w:rStyle w:val="Hyperlink"/>
            <w:sz w:val="20"/>
          </w:rPr>
          <w:t>www.bls.gov/soc/</w:t>
        </w:r>
      </w:hyperlink>
      <w:r w:rsidRPr="009C43F9">
        <w:rPr>
          <w:sz w:val="20"/>
        </w:rPr>
        <w:t xml:space="preserve">  </w:t>
      </w:r>
    </w:p>
  </w:footnote>
  <w:footnote w:id="29">
    <w:p w:rsidR="00B53FF2" w:rsidRPr="009C43F9" w:rsidRDefault="00B53FF2" w:rsidP="008C0E7B">
      <w:pPr>
        <w:pStyle w:val="Default"/>
        <w:rPr>
          <w:rFonts w:ascii="Times New Roman" w:hAnsi="Times New Roman" w:cs="Times New Roman"/>
          <w:sz w:val="20"/>
          <w:szCs w:val="20"/>
        </w:rPr>
      </w:pPr>
      <w:r w:rsidRPr="009C43F9">
        <w:rPr>
          <w:rStyle w:val="FootnoteReference"/>
          <w:rFonts w:ascii="Times New Roman" w:hAnsi="Times New Roman" w:cs="Times New Roman"/>
          <w:sz w:val="20"/>
          <w:szCs w:val="20"/>
        </w:rPr>
        <w:footnoteRef/>
      </w:r>
      <w:r w:rsidRPr="009C43F9">
        <w:rPr>
          <w:rFonts w:ascii="Times New Roman" w:hAnsi="Times New Roman" w:cs="Times New Roman"/>
          <w:sz w:val="20"/>
          <w:szCs w:val="20"/>
        </w:rPr>
        <w:t xml:space="preserve">  Guidance on Agency Survey and Statistical Information Collections, January 20,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F2" w:rsidRDefault="00B53FF2">
    <w:pPr>
      <w:pStyle w:val="Header"/>
    </w:pPr>
    <w:r>
      <w:tab/>
      <w:t xml:space="preserve">- </w:t>
    </w:r>
    <w:r>
      <w:rPr>
        <w:rStyle w:val="PageNumber"/>
      </w:rPr>
      <w:fldChar w:fldCharType="begin"/>
    </w:r>
    <w:r>
      <w:rPr>
        <w:rStyle w:val="PageNumber"/>
      </w:rPr>
      <w:instrText xml:space="preserve"> PAGE </w:instrText>
    </w:r>
    <w:r>
      <w:rPr>
        <w:rStyle w:val="PageNumber"/>
      </w:rPr>
      <w:fldChar w:fldCharType="separate"/>
    </w:r>
    <w:r w:rsidR="0040524C">
      <w:rPr>
        <w:rStyle w:val="PageNumber"/>
        <w:noProof/>
      </w:rPr>
      <w:t>6</w:t>
    </w:r>
    <w:r>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3432"/>
    <w:multiLevelType w:val="hybridMultilevel"/>
    <w:tmpl w:val="65F4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6777C"/>
    <w:multiLevelType w:val="hybridMultilevel"/>
    <w:tmpl w:val="69844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DC23D3"/>
    <w:multiLevelType w:val="multilevel"/>
    <w:tmpl w:val="CAACE010"/>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none"/>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C63373"/>
    <w:multiLevelType w:val="hybridMultilevel"/>
    <w:tmpl w:val="18A82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C5B63"/>
    <w:multiLevelType w:val="hybridMultilevel"/>
    <w:tmpl w:val="9746D620"/>
    <w:lvl w:ilvl="0" w:tplc="2442788C">
      <w:start w:val="1"/>
      <w:numFmt w:val="decimal"/>
      <w:lvlText w:val="%1."/>
      <w:lvlJc w:val="left"/>
      <w:pPr>
        <w:ind w:left="72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85E71"/>
    <w:multiLevelType w:val="hybridMultilevel"/>
    <w:tmpl w:val="E32E1866"/>
    <w:lvl w:ilvl="0" w:tplc="FAF8AD9A">
      <w:start w:val="1"/>
      <w:numFmt w:val="decimal"/>
      <w:lvlText w:val="%1."/>
      <w:lvlJc w:val="left"/>
      <w:pPr>
        <w:ind w:left="720" w:hanging="360"/>
      </w:pPr>
      <w:rPr>
        <w:b/>
      </w:rPr>
    </w:lvl>
    <w:lvl w:ilvl="1" w:tplc="E6D0755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3F426F"/>
    <w:multiLevelType w:val="hybridMultilevel"/>
    <w:tmpl w:val="D750C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C8233A"/>
    <w:multiLevelType w:val="hybridMultilevel"/>
    <w:tmpl w:val="5EEE2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DC064B"/>
    <w:multiLevelType w:val="hybridMultilevel"/>
    <w:tmpl w:val="412C9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6286170"/>
    <w:multiLevelType w:val="multilevel"/>
    <w:tmpl w:val="7C32F05E"/>
    <w:numStyleLink w:val="Style1"/>
  </w:abstractNum>
  <w:abstractNum w:abstractNumId="10">
    <w:nsid w:val="3D4E1496"/>
    <w:multiLevelType w:val="hybridMultilevel"/>
    <w:tmpl w:val="3FBC8A1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0A0E85"/>
    <w:multiLevelType w:val="hybridMultilevel"/>
    <w:tmpl w:val="79E235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760FC3"/>
    <w:multiLevelType w:val="hybridMultilevel"/>
    <w:tmpl w:val="0EAE96B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3B0C1A"/>
    <w:multiLevelType w:val="hybridMultilevel"/>
    <w:tmpl w:val="D0D051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26C5D8F"/>
    <w:multiLevelType w:val="hybridMultilevel"/>
    <w:tmpl w:val="F1A84A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F81294"/>
    <w:multiLevelType w:val="hybridMultilevel"/>
    <w:tmpl w:val="CDBE9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91078E"/>
    <w:multiLevelType w:val="multilevel"/>
    <w:tmpl w:val="7C32F05E"/>
    <w:styleLink w:val="Style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none"/>
      <w:lvlText w:val="%3."/>
      <w:lvlJc w:val="right"/>
      <w:pPr>
        <w:ind w:left="2160" w:hanging="180"/>
      </w:pPr>
    </w:lvl>
    <w:lvl w:ilvl="3">
      <w:start w:val="1"/>
      <w:numFmt w:val="none"/>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D673E47"/>
    <w:multiLevelType w:val="hybridMultilevel"/>
    <w:tmpl w:val="B0C4C8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7B04098"/>
    <w:multiLevelType w:val="hybridMultilevel"/>
    <w:tmpl w:val="8A9C2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9501B9D"/>
    <w:multiLevelType w:val="hybridMultilevel"/>
    <w:tmpl w:val="F3C09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DE26171"/>
    <w:multiLevelType w:val="hybridMultilevel"/>
    <w:tmpl w:val="309E87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E082262"/>
    <w:multiLevelType w:val="hybridMultilevel"/>
    <w:tmpl w:val="A7503B42"/>
    <w:lvl w:ilvl="0" w:tplc="04090001">
      <w:start w:val="1"/>
      <w:numFmt w:val="bullet"/>
      <w:lvlText w:val=""/>
      <w:lvlJc w:val="left"/>
      <w:pPr>
        <w:ind w:left="360" w:hanging="360"/>
      </w:pPr>
      <w:rPr>
        <w:rFonts w:ascii="Symbol" w:hAnsi="Symbo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39177F0"/>
    <w:multiLevelType w:val="hybridMultilevel"/>
    <w:tmpl w:val="10ECA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46E20DA"/>
    <w:multiLevelType w:val="hybridMultilevel"/>
    <w:tmpl w:val="6B483598"/>
    <w:lvl w:ilvl="0" w:tplc="71402686">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5357707"/>
    <w:multiLevelType w:val="hybridMultilevel"/>
    <w:tmpl w:val="19120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B87C3D"/>
    <w:multiLevelType w:val="hybridMultilevel"/>
    <w:tmpl w:val="15223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FF1E6A"/>
    <w:multiLevelType w:val="hybridMultilevel"/>
    <w:tmpl w:val="1CA8A764"/>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27">
    <w:nsid w:val="6F5441A3"/>
    <w:multiLevelType w:val="hybridMultilevel"/>
    <w:tmpl w:val="78049C88"/>
    <w:lvl w:ilvl="0" w:tplc="A4C6E54E">
      <w:start w:val="1"/>
      <w:numFmt w:val="low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046765"/>
    <w:multiLevelType w:val="hybridMultilevel"/>
    <w:tmpl w:val="9CB41EB0"/>
    <w:lvl w:ilvl="0" w:tplc="04090013">
      <w:start w:val="1"/>
      <w:numFmt w:val="upperRoman"/>
      <w:lvlText w:val="%1."/>
      <w:lvlJc w:val="right"/>
      <w:pPr>
        <w:ind w:left="2146" w:hanging="360"/>
      </w:pPr>
      <w:rPr>
        <w:rFonts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29">
    <w:nsid w:val="7A5C639E"/>
    <w:multiLevelType w:val="hybridMultilevel"/>
    <w:tmpl w:val="DC625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6"/>
  </w:num>
  <w:num w:numId="4">
    <w:abstractNumId w:val="22"/>
  </w:num>
  <w:num w:numId="5">
    <w:abstractNumId w:val="19"/>
  </w:num>
  <w:num w:numId="6">
    <w:abstractNumId w:val="8"/>
  </w:num>
  <w:num w:numId="7">
    <w:abstractNumId w:val="21"/>
  </w:num>
  <w:num w:numId="8">
    <w:abstractNumId w:val="15"/>
  </w:num>
  <w:num w:numId="9">
    <w:abstractNumId w:val="29"/>
  </w:num>
  <w:num w:numId="10">
    <w:abstractNumId w:val="17"/>
  </w:num>
  <w:num w:numId="11">
    <w:abstractNumId w:val="28"/>
  </w:num>
  <w:num w:numId="12">
    <w:abstractNumId w:val="14"/>
  </w:num>
  <w:num w:numId="13">
    <w:abstractNumId w:val="4"/>
  </w:num>
  <w:num w:numId="14">
    <w:abstractNumId w:val="5"/>
  </w:num>
  <w:num w:numId="15">
    <w:abstractNumId w:val="24"/>
  </w:num>
  <w:num w:numId="16">
    <w:abstractNumId w:val="3"/>
  </w:num>
  <w:num w:numId="17">
    <w:abstractNumId w:val="11"/>
  </w:num>
  <w:num w:numId="18">
    <w:abstractNumId w:val="1"/>
  </w:num>
  <w:num w:numId="19">
    <w:abstractNumId w:val="9"/>
  </w:num>
  <w:num w:numId="20">
    <w:abstractNumId w:val="16"/>
  </w:num>
  <w:num w:numId="21">
    <w:abstractNumId w:val="2"/>
  </w:num>
  <w:num w:numId="22">
    <w:abstractNumId w:val="13"/>
  </w:num>
  <w:num w:numId="23">
    <w:abstractNumId w:val="12"/>
  </w:num>
  <w:num w:numId="24">
    <w:abstractNumId w:val="0"/>
  </w:num>
  <w:num w:numId="25">
    <w:abstractNumId w:val="10"/>
  </w:num>
  <w:num w:numId="26">
    <w:abstractNumId w:val="23"/>
  </w:num>
  <w:num w:numId="27">
    <w:abstractNumId w:val="27"/>
  </w:num>
  <w:num w:numId="28">
    <w:abstractNumId w:val="20"/>
  </w:num>
  <w:num w:numId="29">
    <w:abstractNumId w:val="2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57"/>
    <w:rsid w:val="0000109F"/>
    <w:rsid w:val="0000194D"/>
    <w:rsid w:val="000033C1"/>
    <w:rsid w:val="000100C8"/>
    <w:rsid w:val="00015037"/>
    <w:rsid w:val="00017DB2"/>
    <w:rsid w:val="00025E2E"/>
    <w:rsid w:val="000307A4"/>
    <w:rsid w:val="00030C5F"/>
    <w:rsid w:val="00036A95"/>
    <w:rsid w:val="00040115"/>
    <w:rsid w:val="0004212D"/>
    <w:rsid w:val="00043840"/>
    <w:rsid w:val="000511A1"/>
    <w:rsid w:val="00051A0F"/>
    <w:rsid w:val="00054AC6"/>
    <w:rsid w:val="00056329"/>
    <w:rsid w:val="00057871"/>
    <w:rsid w:val="0005792E"/>
    <w:rsid w:val="000627F3"/>
    <w:rsid w:val="0006702A"/>
    <w:rsid w:val="0007273D"/>
    <w:rsid w:val="00080E55"/>
    <w:rsid w:val="000839C7"/>
    <w:rsid w:val="0008519F"/>
    <w:rsid w:val="000861FC"/>
    <w:rsid w:val="00091396"/>
    <w:rsid w:val="00094B50"/>
    <w:rsid w:val="00096AA7"/>
    <w:rsid w:val="000A0DB4"/>
    <w:rsid w:val="000B102F"/>
    <w:rsid w:val="000B1655"/>
    <w:rsid w:val="000B6255"/>
    <w:rsid w:val="000C25AA"/>
    <w:rsid w:val="000C2AB5"/>
    <w:rsid w:val="000C5814"/>
    <w:rsid w:val="000C5A7D"/>
    <w:rsid w:val="000D33D2"/>
    <w:rsid w:val="000E1CD1"/>
    <w:rsid w:val="000E1F45"/>
    <w:rsid w:val="000E3783"/>
    <w:rsid w:val="000E43CB"/>
    <w:rsid w:val="000F172D"/>
    <w:rsid w:val="000F266E"/>
    <w:rsid w:val="000F282D"/>
    <w:rsid w:val="000F4CFE"/>
    <w:rsid w:val="000F5022"/>
    <w:rsid w:val="000F7AD3"/>
    <w:rsid w:val="00106840"/>
    <w:rsid w:val="00111806"/>
    <w:rsid w:val="00111AB0"/>
    <w:rsid w:val="001129D0"/>
    <w:rsid w:val="001230B9"/>
    <w:rsid w:val="00125E9D"/>
    <w:rsid w:val="00136418"/>
    <w:rsid w:val="00136917"/>
    <w:rsid w:val="001374FB"/>
    <w:rsid w:val="00137E40"/>
    <w:rsid w:val="001470A0"/>
    <w:rsid w:val="00147536"/>
    <w:rsid w:val="001509EC"/>
    <w:rsid w:val="00163E62"/>
    <w:rsid w:val="00164936"/>
    <w:rsid w:val="00171CBD"/>
    <w:rsid w:val="00172DE7"/>
    <w:rsid w:val="00184334"/>
    <w:rsid w:val="001878EF"/>
    <w:rsid w:val="00192BE0"/>
    <w:rsid w:val="001A1C6E"/>
    <w:rsid w:val="001A28E0"/>
    <w:rsid w:val="001B7F59"/>
    <w:rsid w:val="001C11DD"/>
    <w:rsid w:val="001C1943"/>
    <w:rsid w:val="001C2344"/>
    <w:rsid w:val="001C2E87"/>
    <w:rsid w:val="001C441C"/>
    <w:rsid w:val="001C4ED6"/>
    <w:rsid w:val="001D1350"/>
    <w:rsid w:val="001D7BB5"/>
    <w:rsid w:val="001E3A71"/>
    <w:rsid w:val="001E513E"/>
    <w:rsid w:val="001F1A70"/>
    <w:rsid w:val="001F25AC"/>
    <w:rsid w:val="001F548F"/>
    <w:rsid w:val="001F679A"/>
    <w:rsid w:val="0021386E"/>
    <w:rsid w:val="002145C7"/>
    <w:rsid w:val="00217EBF"/>
    <w:rsid w:val="00220746"/>
    <w:rsid w:val="00222020"/>
    <w:rsid w:val="00222AB5"/>
    <w:rsid w:val="0022652D"/>
    <w:rsid w:val="00226700"/>
    <w:rsid w:val="00227C2E"/>
    <w:rsid w:val="0023336F"/>
    <w:rsid w:val="00234232"/>
    <w:rsid w:val="002358E5"/>
    <w:rsid w:val="00243EEF"/>
    <w:rsid w:val="00245A20"/>
    <w:rsid w:val="0025076C"/>
    <w:rsid w:val="00250BD0"/>
    <w:rsid w:val="002513F2"/>
    <w:rsid w:val="0025144A"/>
    <w:rsid w:val="00252145"/>
    <w:rsid w:val="0025606A"/>
    <w:rsid w:val="00266789"/>
    <w:rsid w:val="00267FB2"/>
    <w:rsid w:val="00271673"/>
    <w:rsid w:val="00277610"/>
    <w:rsid w:val="002810CB"/>
    <w:rsid w:val="002811C4"/>
    <w:rsid w:val="00283D01"/>
    <w:rsid w:val="002877DC"/>
    <w:rsid w:val="00290F10"/>
    <w:rsid w:val="00293910"/>
    <w:rsid w:val="00293F2E"/>
    <w:rsid w:val="002A06FE"/>
    <w:rsid w:val="002A17B9"/>
    <w:rsid w:val="002A3953"/>
    <w:rsid w:val="002A7042"/>
    <w:rsid w:val="002B2455"/>
    <w:rsid w:val="002B301D"/>
    <w:rsid w:val="002B4CCC"/>
    <w:rsid w:val="002B6A22"/>
    <w:rsid w:val="002C0A96"/>
    <w:rsid w:val="002C29DD"/>
    <w:rsid w:val="002C2A0D"/>
    <w:rsid w:val="002C3A63"/>
    <w:rsid w:val="002C460E"/>
    <w:rsid w:val="002C6D3E"/>
    <w:rsid w:val="002C736E"/>
    <w:rsid w:val="002C7441"/>
    <w:rsid w:val="002D0BFD"/>
    <w:rsid w:val="002D5B5A"/>
    <w:rsid w:val="002D5D52"/>
    <w:rsid w:val="002E1998"/>
    <w:rsid w:val="002E25CF"/>
    <w:rsid w:val="002E5FCE"/>
    <w:rsid w:val="00305357"/>
    <w:rsid w:val="00305C2C"/>
    <w:rsid w:val="00313345"/>
    <w:rsid w:val="00315550"/>
    <w:rsid w:val="00315911"/>
    <w:rsid w:val="0032151D"/>
    <w:rsid w:val="00323A29"/>
    <w:rsid w:val="003256E7"/>
    <w:rsid w:val="00326AAB"/>
    <w:rsid w:val="00333AB5"/>
    <w:rsid w:val="00343CC4"/>
    <w:rsid w:val="00347C5A"/>
    <w:rsid w:val="00351EEF"/>
    <w:rsid w:val="00352FCF"/>
    <w:rsid w:val="00353EC9"/>
    <w:rsid w:val="00354921"/>
    <w:rsid w:val="00355547"/>
    <w:rsid w:val="00363929"/>
    <w:rsid w:val="00364F50"/>
    <w:rsid w:val="003650A7"/>
    <w:rsid w:val="00371F5D"/>
    <w:rsid w:val="00372802"/>
    <w:rsid w:val="00373A68"/>
    <w:rsid w:val="00385C5E"/>
    <w:rsid w:val="003871CB"/>
    <w:rsid w:val="00390979"/>
    <w:rsid w:val="0039648C"/>
    <w:rsid w:val="003A2F87"/>
    <w:rsid w:val="003A5B96"/>
    <w:rsid w:val="003B09C6"/>
    <w:rsid w:val="003B295A"/>
    <w:rsid w:val="003B3A4B"/>
    <w:rsid w:val="003B6303"/>
    <w:rsid w:val="003B7152"/>
    <w:rsid w:val="003B7B28"/>
    <w:rsid w:val="003C0C50"/>
    <w:rsid w:val="003C232F"/>
    <w:rsid w:val="003C6B38"/>
    <w:rsid w:val="003C7A19"/>
    <w:rsid w:val="003D01E0"/>
    <w:rsid w:val="003D0B51"/>
    <w:rsid w:val="003D1D31"/>
    <w:rsid w:val="003D261E"/>
    <w:rsid w:val="003D3744"/>
    <w:rsid w:val="003D5DED"/>
    <w:rsid w:val="003D6E9D"/>
    <w:rsid w:val="003E25A6"/>
    <w:rsid w:val="003E29D9"/>
    <w:rsid w:val="003E304A"/>
    <w:rsid w:val="003E51E1"/>
    <w:rsid w:val="003F0536"/>
    <w:rsid w:val="0040524C"/>
    <w:rsid w:val="004053CF"/>
    <w:rsid w:val="00407434"/>
    <w:rsid w:val="004126E2"/>
    <w:rsid w:val="004134CD"/>
    <w:rsid w:val="00420A4A"/>
    <w:rsid w:val="00431F28"/>
    <w:rsid w:val="00434163"/>
    <w:rsid w:val="00434709"/>
    <w:rsid w:val="004366A1"/>
    <w:rsid w:val="004402A6"/>
    <w:rsid w:val="00447676"/>
    <w:rsid w:val="004540A3"/>
    <w:rsid w:val="00456069"/>
    <w:rsid w:val="004623B0"/>
    <w:rsid w:val="0046711C"/>
    <w:rsid w:val="00467366"/>
    <w:rsid w:val="004710D6"/>
    <w:rsid w:val="00472504"/>
    <w:rsid w:val="004735F7"/>
    <w:rsid w:val="00473D36"/>
    <w:rsid w:val="00475376"/>
    <w:rsid w:val="00476535"/>
    <w:rsid w:val="004771F1"/>
    <w:rsid w:val="00483A2D"/>
    <w:rsid w:val="0049129D"/>
    <w:rsid w:val="004921A5"/>
    <w:rsid w:val="004935B4"/>
    <w:rsid w:val="00493855"/>
    <w:rsid w:val="004A6458"/>
    <w:rsid w:val="004A72BF"/>
    <w:rsid w:val="004B0216"/>
    <w:rsid w:val="004B2069"/>
    <w:rsid w:val="004B7CA8"/>
    <w:rsid w:val="004C44A2"/>
    <w:rsid w:val="004C62E9"/>
    <w:rsid w:val="004C637F"/>
    <w:rsid w:val="004D15D4"/>
    <w:rsid w:val="004D2CD0"/>
    <w:rsid w:val="004D4E1D"/>
    <w:rsid w:val="004E02C4"/>
    <w:rsid w:val="004E3D75"/>
    <w:rsid w:val="004F0940"/>
    <w:rsid w:val="004F2F6A"/>
    <w:rsid w:val="004F4B0F"/>
    <w:rsid w:val="004F62D5"/>
    <w:rsid w:val="004F6AC7"/>
    <w:rsid w:val="00502AB4"/>
    <w:rsid w:val="00505155"/>
    <w:rsid w:val="005106A8"/>
    <w:rsid w:val="00515F4A"/>
    <w:rsid w:val="005226DC"/>
    <w:rsid w:val="00522DD3"/>
    <w:rsid w:val="00525D09"/>
    <w:rsid w:val="00546669"/>
    <w:rsid w:val="005516C9"/>
    <w:rsid w:val="00555E12"/>
    <w:rsid w:val="0055744B"/>
    <w:rsid w:val="00560247"/>
    <w:rsid w:val="00560E30"/>
    <w:rsid w:val="00560EA1"/>
    <w:rsid w:val="005637B2"/>
    <w:rsid w:val="005649BB"/>
    <w:rsid w:val="005707C5"/>
    <w:rsid w:val="00571DFA"/>
    <w:rsid w:val="00577C41"/>
    <w:rsid w:val="005809C4"/>
    <w:rsid w:val="00581EFF"/>
    <w:rsid w:val="00581F6E"/>
    <w:rsid w:val="005A2075"/>
    <w:rsid w:val="005A22BC"/>
    <w:rsid w:val="005A2948"/>
    <w:rsid w:val="005A3157"/>
    <w:rsid w:val="005A3DDE"/>
    <w:rsid w:val="005A7DE4"/>
    <w:rsid w:val="005B3E00"/>
    <w:rsid w:val="005B5BF8"/>
    <w:rsid w:val="005C3C10"/>
    <w:rsid w:val="005D570F"/>
    <w:rsid w:val="005D7310"/>
    <w:rsid w:val="005E16C0"/>
    <w:rsid w:val="005E2A9F"/>
    <w:rsid w:val="005E700C"/>
    <w:rsid w:val="005F2841"/>
    <w:rsid w:val="005F589A"/>
    <w:rsid w:val="006027FC"/>
    <w:rsid w:val="00607540"/>
    <w:rsid w:val="00624044"/>
    <w:rsid w:val="00624C1F"/>
    <w:rsid w:val="006304BC"/>
    <w:rsid w:val="00630873"/>
    <w:rsid w:val="0063537B"/>
    <w:rsid w:val="00636056"/>
    <w:rsid w:val="00637CC7"/>
    <w:rsid w:val="00640D25"/>
    <w:rsid w:val="00641F7F"/>
    <w:rsid w:val="006443BE"/>
    <w:rsid w:val="0064544A"/>
    <w:rsid w:val="00655333"/>
    <w:rsid w:val="00657D4D"/>
    <w:rsid w:val="00657EF0"/>
    <w:rsid w:val="0066267E"/>
    <w:rsid w:val="00663E51"/>
    <w:rsid w:val="00665994"/>
    <w:rsid w:val="0067161C"/>
    <w:rsid w:val="00671D6B"/>
    <w:rsid w:val="00672F5C"/>
    <w:rsid w:val="00677894"/>
    <w:rsid w:val="006A091D"/>
    <w:rsid w:val="006A1B5D"/>
    <w:rsid w:val="006A31C3"/>
    <w:rsid w:val="006A4701"/>
    <w:rsid w:val="006B0EE0"/>
    <w:rsid w:val="006B4592"/>
    <w:rsid w:val="006C2B22"/>
    <w:rsid w:val="006C5415"/>
    <w:rsid w:val="006D118C"/>
    <w:rsid w:val="006D20CE"/>
    <w:rsid w:val="006D2116"/>
    <w:rsid w:val="006E0BFA"/>
    <w:rsid w:val="006E1618"/>
    <w:rsid w:val="006F0039"/>
    <w:rsid w:val="006F5A6F"/>
    <w:rsid w:val="00710A34"/>
    <w:rsid w:val="00710FBE"/>
    <w:rsid w:val="007144B3"/>
    <w:rsid w:val="00732056"/>
    <w:rsid w:val="007329F8"/>
    <w:rsid w:val="007361F6"/>
    <w:rsid w:val="00742869"/>
    <w:rsid w:val="00750C3E"/>
    <w:rsid w:val="00751C04"/>
    <w:rsid w:val="007529CC"/>
    <w:rsid w:val="00754CA1"/>
    <w:rsid w:val="00754DC3"/>
    <w:rsid w:val="007552BF"/>
    <w:rsid w:val="00757AFF"/>
    <w:rsid w:val="00765646"/>
    <w:rsid w:val="007666EC"/>
    <w:rsid w:val="007726B7"/>
    <w:rsid w:val="00772C03"/>
    <w:rsid w:val="00773262"/>
    <w:rsid w:val="00774734"/>
    <w:rsid w:val="0078344C"/>
    <w:rsid w:val="00783BFD"/>
    <w:rsid w:val="00784663"/>
    <w:rsid w:val="00784ABF"/>
    <w:rsid w:val="00791395"/>
    <w:rsid w:val="00796D36"/>
    <w:rsid w:val="007A0E7D"/>
    <w:rsid w:val="007A19C1"/>
    <w:rsid w:val="007A3D21"/>
    <w:rsid w:val="007A590A"/>
    <w:rsid w:val="007A5AE7"/>
    <w:rsid w:val="007B1A27"/>
    <w:rsid w:val="007B206B"/>
    <w:rsid w:val="007C05F3"/>
    <w:rsid w:val="007C37F6"/>
    <w:rsid w:val="007C4A66"/>
    <w:rsid w:val="007C5D83"/>
    <w:rsid w:val="007D6863"/>
    <w:rsid w:val="007E5AA0"/>
    <w:rsid w:val="007F10CD"/>
    <w:rsid w:val="007F6CB4"/>
    <w:rsid w:val="00801121"/>
    <w:rsid w:val="00812013"/>
    <w:rsid w:val="008249FD"/>
    <w:rsid w:val="0082644C"/>
    <w:rsid w:val="00827045"/>
    <w:rsid w:val="00831FEB"/>
    <w:rsid w:val="008328C0"/>
    <w:rsid w:val="008355D7"/>
    <w:rsid w:val="008409AC"/>
    <w:rsid w:val="00842A8C"/>
    <w:rsid w:val="0084766C"/>
    <w:rsid w:val="0085077D"/>
    <w:rsid w:val="008509BD"/>
    <w:rsid w:val="00854B62"/>
    <w:rsid w:val="00855AD7"/>
    <w:rsid w:val="0087038A"/>
    <w:rsid w:val="00875C9B"/>
    <w:rsid w:val="008803F4"/>
    <w:rsid w:val="00880459"/>
    <w:rsid w:val="00881D92"/>
    <w:rsid w:val="00886263"/>
    <w:rsid w:val="00887ED4"/>
    <w:rsid w:val="0089570B"/>
    <w:rsid w:val="008957AA"/>
    <w:rsid w:val="00896B19"/>
    <w:rsid w:val="00896C9F"/>
    <w:rsid w:val="008B5006"/>
    <w:rsid w:val="008B67D2"/>
    <w:rsid w:val="008B6F14"/>
    <w:rsid w:val="008B7A38"/>
    <w:rsid w:val="008C0E7B"/>
    <w:rsid w:val="008C2558"/>
    <w:rsid w:val="008C3FC1"/>
    <w:rsid w:val="008C4BC6"/>
    <w:rsid w:val="008C5E69"/>
    <w:rsid w:val="008C663C"/>
    <w:rsid w:val="008C6B1F"/>
    <w:rsid w:val="008D0B6F"/>
    <w:rsid w:val="008D79A6"/>
    <w:rsid w:val="008E097A"/>
    <w:rsid w:val="008E2522"/>
    <w:rsid w:val="008E35AF"/>
    <w:rsid w:val="008E51E8"/>
    <w:rsid w:val="008E68E7"/>
    <w:rsid w:val="008E700A"/>
    <w:rsid w:val="008E7676"/>
    <w:rsid w:val="008E76BB"/>
    <w:rsid w:val="008F1BB5"/>
    <w:rsid w:val="008F4E35"/>
    <w:rsid w:val="00902537"/>
    <w:rsid w:val="0090343F"/>
    <w:rsid w:val="00906319"/>
    <w:rsid w:val="00910A44"/>
    <w:rsid w:val="00935758"/>
    <w:rsid w:val="00942946"/>
    <w:rsid w:val="0094376B"/>
    <w:rsid w:val="00944112"/>
    <w:rsid w:val="0094449C"/>
    <w:rsid w:val="00950D5F"/>
    <w:rsid w:val="00954B41"/>
    <w:rsid w:val="009606CB"/>
    <w:rsid w:val="00960867"/>
    <w:rsid w:val="0096262E"/>
    <w:rsid w:val="00964179"/>
    <w:rsid w:val="00966A17"/>
    <w:rsid w:val="009753B8"/>
    <w:rsid w:val="0098060E"/>
    <w:rsid w:val="00985068"/>
    <w:rsid w:val="00986303"/>
    <w:rsid w:val="00986B84"/>
    <w:rsid w:val="00987441"/>
    <w:rsid w:val="00990608"/>
    <w:rsid w:val="00991D15"/>
    <w:rsid w:val="00993905"/>
    <w:rsid w:val="0099557A"/>
    <w:rsid w:val="009970B3"/>
    <w:rsid w:val="009A2C65"/>
    <w:rsid w:val="009A510C"/>
    <w:rsid w:val="009A5190"/>
    <w:rsid w:val="009B1750"/>
    <w:rsid w:val="009B44D9"/>
    <w:rsid w:val="009B5D97"/>
    <w:rsid w:val="009B683E"/>
    <w:rsid w:val="009C3BA9"/>
    <w:rsid w:val="009C43F9"/>
    <w:rsid w:val="009C50EE"/>
    <w:rsid w:val="009C528A"/>
    <w:rsid w:val="009D0198"/>
    <w:rsid w:val="009D5812"/>
    <w:rsid w:val="009D779F"/>
    <w:rsid w:val="009E017F"/>
    <w:rsid w:val="009E2AEE"/>
    <w:rsid w:val="009F03A7"/>
    <w:rsid w:val="009F160A"/>
    <w:rsid w:val="009F21C3"/>
    <w:rsid w:val="009F67D2"/>
    <w:rsid w:val="009F7CDC"/>
    <w:rsid w:val="00A0347B"/>
    <w:rsid w:val="00A03FB9"/>
    <w:rsid w:val="00A05A8C"/>
    <w:rsid w:val="00A05B13"/>
    <w:rsid w:val="00A06B2F"/>
    <w:rsid w:val="00A07A2E"/>
    <w:rsid w:val="00A13D2C"/>
    <w:rsid w:val="00A149FF"/>
    <w:rsid w:val="00A1615E"/>
    <w:rsid w:val="00A207E7"/>
    <w:rsid w:val="00A22D9F"/>
    <w:rsid w:val="00A23431"/>
    <w:rsid w:val="00A23661"/>
    <w:rsid w:val="00A23F83"/>
    <w:rsid w:val="00A27ED9"/>
    <w:rsid w:val="00A30F8A"/>
    <w:rsid w:val="00A310B7"/>
    <w:rsid w:val="00A377DB"/>
    <w:rsid w:val="00A40492"/>
    <w:rsid w:val="00A40538"/>
    <w:rsid w:val="00A50EE1"/>
    <w:rsid w:val="00A545C1"/>
    <w:rsid w:val="00A60D26"/>
    <w:rsid w:val="00A61A74"/>
    <w:rsid w:val="00A61C2B"/>
    <w:rsid w:val="00A62B03"/>
    <w:rsid w:val="00A704BA"/>
    <w:rsid w:val="00A714A6"/>
    <w:rsid w:val="00A76D3F"/>
    <w:rsid w:val="00A77DCE"/>
    <w:rsid w:val="00A841B7"/>
    <w:rsid w:val="00A86914"/>
    <w:rsid w:val="00A8732D"/>
    <w:rsid w:val="00A91B65"/>
    <w:rsid w:val="00AA7437"/>
    <w:rsid w:val="00AB13C2"/>
    <w:rsid w:val="00AB41F8"/>
    <w:rsid w:val="00AB7D30"/>
    <w:rsid w:val="00AC3907"/>
    <w:rsid w:val="00AC4922"/>
    <w:rsid w:val="00AC7353"/>
    <w:rsid w:val="00AD02CF"/>
    <w:rsid w:val="00AD4697"/>
    <w:rsid w:val="00AD49E2"/>
    <w:rsid w:val="00AE1BD2"/>
    <w:rsid w:val="00AF602C"/>
    <w:rsid w:val="00AF6EE5"/>
    <w:rsid w:val="00AF7399"/>
    <w:rsid w:val="00B00638"/>
    <w:rsid w:val="00B03AB8"/>
    <w:rsid w:val="00B15D02"/>
    <w:rsid w:val="00B22A0C"/>
    <w:rsid w:val="00B24F5C"/>
    <w:rsid w:val="00B301A2"/>
    <w:rsid w:val="00B340C7"/>
    <w:rsid w:val="00B36AB3"/>
    <w:rsid w:val="00B410F5"/>
    <w:rsid w:val="00B45533"/>
    <w:rsid w:val="00B46945"/>
    <w:rsid w:val="00B46964"/>
    <w:rsid w:val="00B474BD"/>
    <w:rsid w:val="00B53FF2"/>
    <w:rsid w:val="00B54487"/>
    <w:rsid w:val="00B56C94"/>
    <w:rsid w:val="00B62C71"/>
    <w:rsid w:val="00B75128"/>
    <w:rsid w:val="00B860BC"/>
    <w:rsid w:val="00B91172"/>
    <w:rsid w:val="00B935A6"/>
    <w:rsid w:val="00B96327"/>
    <w:rsid w:val="00B965E6"/>
    <w:rsid w:val="00BA2CC3"/>
    <w:rsid w:val="00BA3026"/>
    <w:rsid w:val="00BA37C4"/>
    <w:rsid w:val="00BA4975"/>
    <w:rsid w:val="00BA570B"/>
    <w:rsid w:val="00BA60A1"/>
    <w:rsid w:val="00BB1EA3"/>
    <w:rsid w:val="00BC0612"/>
    <w:rsid w:val="00BC1A72"/>
    <w:rsid w:val="00BD4D79"/>
    <w:rsid w:val="00BE72C7"/>
    <w:rsid w:val="00BF22A1"/>
    <w:rsid w:val="00C0056D"/>
    <w:rsid w:val="00C00A94"/>
    <w:rsid w:val="00C03ED9"/>
    <w:rsid w:val="00C0726B"/>
    <w:rsid w:val="00C147F1"/>
    <w:rsid w:val="00C15249"/>
    <w:rsid w:val="00C15903"/>
    <w:rsid w:val="00C217B1"/>
    <w:rsid w:val="00C21BAB"/>
    <w:rsid w:val="00C2644E"/>
    <w:rsid w:val="00C4532A"/>
    <w:rsid w:val="00C47416"/>
    <w:rsid w:val="00C52DAD"/>
    <w:rsid w:val="00C668A2"/>
    <w:rsid w:val="00C67464"/>
    <w:rsid w:val="00C72C14"/>
    <w:rsid w:val="00C734BD"/>
    <w:rsid w:val="00C8446D"/>
    <w:rsid w:val="00C84546"/>
    <w:rsid w:val="00C8559E"/>
    <w:rsid w:val="00C919A4"/>
    <w:rsid w:val="00CA2475"/>
    <w:rsid w:val="00CA6FDD"/>
    <w:rsid w:val="00CB35D6"/>
    <w:rsid w:val="00CB47CB"/>
    <w:rsid w:val="00CB5C35"/>
    <w:rsid w:val="00CB6DF3"/>
    <w:rsid w:val="00CC026F"/>
    <w:rsid w:val="00CC241F"/>
    <w:rsid w:val="00CC3257"/>
    <w:rsid w:val="00CC63C7"/>
    <w:rsid w:val="00CC654A"/>
    <w:rsid w:val="00CD6E96"/>
    <w:rsid w:val="00CD70CD"/>
    <w:rsid w:val="00CE16D9"/>
    <w:rsid w:val="00CF1DBC"/>
    <w:rsid w:val="00CF55F1"/>
    <w:rsid w:val="00D01F95"/>
    <w:rsid w:val="00D04AC7"/>
    <w:rsid w:val="00D14A0A"/>
    <w:rsid w:val="00D16926"/>
    <w:rsid w:val="00D21BA0"/>
    <w:rsid w:val="00D22130"/>
    <w:rsid w:val="00D23AF1"/>
    <w:rsid w:val="00D2477E"/>
    <w:rsid w:val="00D3528E"/>
    <w:rsid w:val="00D44F8D"/>
    <w:rsid w:val="00D542F6"/>
    <w:rsid w:val="00D57F9B"/>
    <w:rsid w:val="00D6027A"/>
    <w:rsid w:val="00D611B4"/>
    <w:rsid w:val="00D6194B"/>
    <w:rsid w:val="00D64591"/>
    <w:rsid w:val="00D66408"/>
    <w:rsid w:val="00D73121"/>
    <w:rsid w:val="00D82784"/>
    <w:rsid w:val="00D836A2"/>
    <w:rsid w:val="00D865F3"/>
    <w:rsid w:val="00D9639B"/>
    <w:rsid w:val="00DA2F36"/>
    <w:rsid w:val="00DA34F7"/>
    <w:rsid w:val="00DA3B30"/>
    <w:rsid w:val="00DA428A"/>
    <w:rsid w:val="00DA4E6C"/>
    <w:rsid w:val="00DA552A"/>
    <w:rsid w:val="00DB03E4"/>
    <w:rsid w:val="00DB055C"/>
    <w:rsid w:val="00DB21DD"/>
    <w:rsid w:val="00DB6463"/>
    <w:rsid w:val="00DB674F"/>
    <w:rsid w:val="00DC1749"/>
    <w:rsid w:val="00DC7FDF"/>
    <w:rsid w:val="00DD6CE0"/>
    <w:rsid w:val="00DD713E"/>
    <w:rsid w:val="00DE362F"/>
    <w:rsid w:val="00DE3E71"/>
    <w:rsid w:val="00DF1EDB"/>
    <w:rsid w:val="00DF297E"/>
    <w:rsid w:val="00E0280D"/>
    <w:rsid w:val="00E03C64"/>
    <w:rsid w:val="00E14F70"/>
    <w:rsid w:val="00E21A79"/>
    <w:rsid w:val="00E30F6C"/>
    <w:rsid w:val="00E31475"/>
    <w:rsid w:val="00E33D89"/>
    <w:rsid w:val="00E35B62"/>
    <w:rsid w:val="00E36D53"/>
    <w:rsid w:val="00E36F3D"/>
    <w:rsid w:val="00E45C0A"/>
    <w:rsid w:val="00E51104"/>
    <w:rsid w:val="00E53CD3"/>
    <w:rsid w:val="00E56B3B"/>
    <w:rsid w:val="00E6088E"/>
    <w:rsid w:val="00E6202E"/>
    <w:rsid w:val="00E71D76"/>
    <w:rsid w:val="00E77081"/>
    <w:rsid w:val="00E8219A"/>
    <w:rsid w:val="00E84F39"/>
    <w:rsid w:val="00E878F5"/>
    <w:rsid w:val="00EA7738"/>
    <w:rsid w:val="00EA7D77"/>
    <w:rsid w:val="00EB2DDE"/>
    <w:rsid w:val="00EB50E3"/>
    <w:rsid w:val="00EB6D06"/>
    <w:rsid w:val="00EC493E"/>
    <w:rsid w:val="00EC7CE3"/>
    <w:rsid w:val="00ED7646"/>
    <w:rsid w:val="00EE21FD"/>
    <w:rsid w:val="00EF1A0B"/>
    <w:rsid w:val="00EF28EC"/>
    <w:rsid w:val="00EF634D"/>
    <w:rsid w:val="00F04DE0"/>
    <w:rsid w:val="00F106A5"/>
    <w:rsid w:val="00F10F74"/>
    <w:rsid w:val="00F1446A"/>
    <w:rsid w:val="00F1480D"/>
    <w:rsid w:val="00F15427"/>
    <w:rsid w:val="00F20EC5"/>
    <w:rsid w:val="00F24F45"/>
    <w:rsid w:val="00F26C9D"/>
    <w:rsid w:val="00F2761E"/>
    <w:rsid w:val="00F351CA"/>
    <w:rsid w:val="00F35AA7"/>
    <w:rsid w:val="00F402C2"/>
    <w:rsid w:val="00F4217A"/>
    <w:rsid w:val="00F46DDD"/>
    <w:rsid w:val="00F46E8D"/>
    <w:rsid w:val="00F53BE9"/>
    <w:rsid w:val="00F619CB"/>
    <w:rsid w:val="00F619ED"/>
    <w:rsid w:val="00F6219B"/>
    <w:rsid w:val="00F62A2D"/>
    <w:rsid w:val="00F62C19"/>
    <w:rsid w:val="00F63FE5"/>
    <w:rsid w:val="00F640A8"/>
    <w:rsid w:val="00F806C9"/>
    <w:rsid w:val="00F80B1C"/>
    <w:rsid w:val="00F8168D"/>
    <w:rsid w:val="00F81986"/>
    <w:rsid w:val="00F85C1F"/>
    <w:rsid w:val="00F860FD"/>
    <w:rsid w:val="00F8617A"/>
    <w:rsid w:val="00F8771D"/>
    <w:rsid w:val="00FA004A"/>
    <w:rsid w:val="00FA3885"/>
    <w:rsid w:val="00FA78C0"/>
    <w:rsid w:val="00FB3773"/>
    <w:rsid w:val="00FB5E9F"/>
    <w:rsid w:val="00FB70F8"/>
    <w:rsid w:val="00FB77A3"/>
    <w:rsid w:val="00FC28C5"/>
    <w:rsid w:val="00FC370D"/>
    <w:rsid w:val="00FC3C17"/>
    <w:rsid w:val="00FD0F65"/>
    <w:rsid w:val="00FD3B15"/>
    <w:rsid w:val="00FE0335"/>
    <w:rsid w:val="00FE12BD"/>
    <w:rsid w:val="00FE35FF"/>
    <w:rsid w:val="00FE6A13"/>
    <w:rsid w:val="00FE7BC8"/>
    <w:rsid w:val="00FF14E2"/>
    <w:rsid w:val="00FF22F5"/>
    <w:rsid w:val="00FF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zh-TW"/>
    </w:rPr>
  </w:style>
  <w:style w:type="paragraph" w:styleId="Heading1">
    <w:name w:val="heading 1"/>
    <w:basedOn w:val="Normal"/>
    <w:next w:val="Normal"/>
    <w:link w:val="Heading1Char"/>
    <w:qFormat/>
    <w:rsid w:val="007666EC"/>
    <w:pPr>
      <w:keepNext/>
      <w:autoSpaceDE w:val="0"/>
      <w:autoSpaceDN w:val="0"/>
      <w:adjustRightInd w:val="0"/>
      <w:ind w:firstLine="360"/>
      <w:outlineLvl w:val="0"/>
    </w:pPr>
    <w:rPr>
      <w:rFonts w:ascii="Times" w:hAnsi="Times" w:cs="Times"/>
      <w:szCs w:val="24"/>
      <w:lang w:eastAsia="en-US"/>
    </w:rPr>
  </w:style>
  <w:style w:type="paragraph" w:styleId="Heading2">
    <w:name w:val="heading 2"/>
    <w:basedOn w:val="Normal"/>
    <w:next w:val="Normal"/>
    <w:link w:val="Heading2Char"/>
    <w:uiPriority w:val="99"/>
    <w:qFormat/>
    <w:rsid w:val="007666EC"/>
    <w:pPr>
      <w:keepNext/>
      <w:autoSpaceDE w:val="0"/>
      <w:autoSpaceDN w:val="0"/>
      <w:adjustRightInd w:val="0"/>
      <w:outlineLvl w:val="1"/>
    </w:pPr>
    <w:rPr>
      <w:rFonts w:ascii="Times" w:hAnsi="Time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keepLines/>
      <w:spacing w:line="190" w:lineRule="exact"/>
    </w:pPr>
    <w:rPr>
      <w:sz w:val="18"/>
    </w:rPr>
  </w:style>
  <w:style w:type="character" w:styleId="FootnoteReference">
    <w:name w:val="footnote reference"/>
    <w:basedOn w:val="DefaultParagraphFont"/>
    <w:semiHidden/>
    <w:rPr>
      <w:vertAlign w:val="superscript"/>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05357"/>
    <w:rPr>
      <w:rFonts w:ascii="Tahoma" w:hAnsi="Tahoma" w:cs="Tahoma"/>
      <w:sz w:val="16"/>
      <w:szCs w:val="16"/>
    </w:rPr>
  </w:style>
  <w:style w:type="character" w:customStyle="1" w:styleId="BalloonTextChar">
    <w:name w:val="Balloon Text Char"/>
    <w:basedOn w:val="DefaultParagraphFont"/>
    <w:link w:val="BalloonText"/>
    <w:uiPriority w:val="99"/>
    <w:semiHidden/>
    <w:rsid w:val="00305357"/>
    <w:rPr>
      <w:rFonts w:ascii="Tahoma" w:hAnsi="Tahoma" w:cs="Tahoma"/>
      <w:sz w:val="16"/>
      <w:szCs w:val="16"/>
      <w:lang w:eastAsia="zh-TW"/>
    </w:rPr>
  </w:style>
  <w:style w:type="character" w:customStyle="1" w:styleId="FooterChar">
    <w:name w:val="Footer Char"/>
    <w:link w:val="Footer"/>
    <w:uiPriority w:val="99"/>
    <w:rsid w:val="00305357"/>
    <w:rPr>
      <w:sz w:val="24"/>
      <w:lang w:eastAsia="zh-TW"/>
    </w:rPr>
  </w:style>
  <w:style w:type="character" w:customStyle="1" w:styleId="Heading1Char">
    <w:name w:val="Heading 1 Char"/>
    <w:basedOn w:val="DefaultParagraphFont"/>
    <w:link w:val="Heading1"/>
    <w:rsid w:val="007666EC"/>
    <w:rPr>
      <w:rFonts w:ascii="Times" w:hAnsi="Times" w:cs="Times"/>
      <w:sz w:val="24"/>
      <w:szCs w:val="24"/>
    </w:rPr>
  </w:style>
  <w:style w:type="character" w:customStyle="1" w:styleId="Heading2Char">
    <w:name w:val="Heading 2 Char"/>
    <w:basedOn w:val="DefaultParagraphFont"/>
    <w:link w:val="Heading2"/>
    <w:uiPriority w:val="99"/>
    <w:rsid w:val="007666EC"/>
    <w:rPr>
      <w:rFonts w:ascii="Times" w:hAnsi="Times"/>
      <w:sz w:val="24"/>
      <w:szCs w:val="24"/>
    </w:rPr>
  </w:style>
  <w:style w:type="paragraph" w:styleId="BodyTextIndent">
    <w:name w:val="Body Text Indent"/>
    <w:basedOn w:val="Normal"/>
    <w:link w:val="BodyTextIndentChar"/>
    <w:rsid w:val="007666EC"/>
    <w:pPr>
      <w:autoSpaceDE w:val="0"/>
      <w:autoSpaceDN w:val="0"/>
      <w:adjustRightInd w:val="0"/>
      <w:ind w:firstLine="360"/>
    </w:pPr>
    <w:rPr>
      <w:rFonts w:ascii="Times" w:hAnsi="Times" w:cs="Times"/>
      <w:szCs w:val="24"/>
      <w:lang w:eastAsia="en-US"/>
    </w:rPr>
  </w:style>
  <w:style w:type="character" w:customStyle="1" w:styleId="BodyTextIndentChar">
    <w:name w:val="Body Text Indent Char"/>
    <w:basedOn w:val="DefaultParagraphFont"/>
    <w:link w:val="BodyTextIndent"/>
    <w:rsid w:val="007666EC"/>
    <w:rPr>
      <w:rFonts w:ascii="Times" w:hAnsi="Times" w:cs="Times"/>
      <w:sz w:val="24"/>
      <w:szCs w:val="24"/>
    </w:rPr>
  </w:style>
  <w:style w:type="character" w:styleId="Hyperlink">
    <w:name w:val="Hyperlink"/>
    <w:basedOn w:val="DefaultParagraphFont"/>
    <w:rsid w:val="007666EC"/>
    <w:rPr>
      <w:color w:val="0000FF"/>
      <w:u w:val="single"/>
    </w:rPr>
  </w:style>
  <w:style w:type="paragraph" w:styleId="BodyText">
    <w:name w:val="Body Text"/>
    <w:basedOn w:val="Normal"/>
    <w:link w:val="BodyTextChar"/>
    <w:rsid w:val="007666EC"/>
    <w:pPr>
      <w:widowControl w:val="0"/>
      <w:autoSpaceDE w:val="0"/>
      <w:autoSpaceDN w:val="0"/>
      <w:adjustRightInd w:val="0"/>
      <w:spacing w:after="120"/>
    </w:pPr>
    <w:rPr>
      <w:rFonts w:ascii="Courier" w:hAnsi="Courier"/>
      <w:sz w:val="20"/>
      <w:szCs w:val="24"/>
      <w:lang w:eastAsia="en-US"/>
    </w:rPr>
  </w:style>
  <w:style w:type="character" w:customStyle="1" w:styleId="BodyTextChar">
    <w:name w:val="Body Text Char"/>
    <w:basedOn w:val="DefaultParagraphFont"/>
    <w:link w:val="BodyText"/>
    <w:rsid w:val="007666EC"/>
    <w:rPr>
      <w:rFonts w:ascii="Courier" w:hAnsi="Courier"/>
      <w:szCs w:val="24"/>
    </w:rPr>
  </w:style>
  <w:style w:type="character" w:styleId="CommentReference">
    <w:name w:val="annotation reference"/>
    <w:basedOn w:val="DefaultParagraphFont"/>
    <w:semiHidden/>
    <w:rsid w:val="007666EC"/>
    <w:rPr>
      <w:sz w:val="16"/>
      <w:szCs w:val="16"/>
    </w:rPr>
  </w:style>
  <w:style w:type="paragraph" w:styleId="CommentText">
    <w:name w:val="annotation text"/>
    <w:basedOn w:val="Normal"/>
    <w:link w:val="CommentTextChar"/>
    <w:semiHidden/>
    <w:rsid w:val="007666EC"/>
    <w:pPr>
      <w:widowControl w:val="0"/>
      <w:autoSpaceDE w:val="0"/>
      <w:autoSpaceDN w:val="0"/>
      <w:adjustRightInd w:val="0"/>
    </w:pPr>
    <w:rPr>
      <w:rFonts w:ascii="Courier" w:hAnsi="Courier"/>
      <w:sz w:val="20"/>
      <w:lang w:eastAsia="en-US"/>
    </w:rPr>
  </w:style>
  <w:style w:type="character" w:customStyle="1" w:styleId="CommentTextChar">
    <w:name w:val="Comment Text Char"/>
    <w:basedOn w:val="DefaultParagraphFont"/>
    <w:link w:val="CommentText"/>
    <w:semiHidden/>
    <w:rsid w:val="007666EC"/>
    <w:rPr>
      <w:rFonts w:ascii="Courier" w:hAnsi="Courier"/>
    </w:rPr>
  </w:style>
  <w:style w:type="paragraph" w:customStyle="1" w:styleId="Default">
    <w:name w:val="Default"/>
    <w:rsid w:val="007666EC"/>
    <w:pPr>
      <w:autoSpaceDE w:val="0"/>
      <w:autoSpaceDN w:val="0"/>
      <w:adjustRightInd w:val="0"/>
    </w:pPr>
    <w:rPr>
      <w:rFonts w:ascii="MACFA D+ Bembo" w:hAnsi="MACFA D+ Bembo" w:cs="MACFA D+ Bembo"/>
      <w:color w:val="000000"/>
      <w:sz w:val="24"/>
      <w:szCs w:val="24"/>
    </w:rPr>
  </w:style>
  <w:style w:type="paragraph" w:customStyle="1" w:styleId="CM66">
    <w:name w:val="CM66"/>
    <w:basedOn w:val="Default"/>
    <w:next w:val="Default"/>
    <w:uiPriority w:val="99"/>
    <w:rsid w:val="007666EC"/>
    <w:rPr>
      <w:rFonts w:cs="Times New Roman"/>
      <w:color w:val="auto"/>
    </w:rPr>
  </w:style>
  <w:style w:type="table" w:styleId="TableGrid">
    <w:name w:val="Table Grid"/>
    <w:basedOn w:val="TableNormal"/>
    <w:uiPriority w:val="59"/>
    <w:rsid w:val="007666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666EC"/>
    <w:pPr>
      <w:widowControl w:val="0"/>
      <w:autoSpaceDE w:val="0"/>
      <w:autoSpaceDN w:val="0"/>
      <w:adjustRightInd w:val="0"/>
      <w:ind w:left="720"/>
      <w:contextualSpacing/>
    </w:pPr>
    <w:rPr>
      <w:rFonts w:ascii="Courier" w:hAnsi="Courier"/>
      <w:sz w:val="20"/>
      <w:szCs w:val="24"/>
      <w:lang w:eastAsia="en-US"/>
    </w:rPr>
  </w:style>
  <w:style w:type="paragraph" w:styleId="EndnoteText">
    <w:name w:val="endnote text"/>
    <w:basedOn w:val="Normal"/>
    <w:link w:val="EndnoteTextChar"/>
    <w:uiPriority w:val="99"/>
    <w:semiHidden/>
    <w:unhideWhenUsed/>
    <w:rsid w:val="007666EC"/>
    <w:pPr>
      <w:widowControl w:val="0"/>
      <w:autoSpaceDE w:val="0"/>
      <w:autoSpaceDN w:val="0"/>
      <w:adjustRightInd w:val="0"/>
    </w:pPr>
    <w:rPr>
      <w:rFonts w:ascii="Courier" w:hAnsi="Courier"/>
      <w:sz w:val="20"/>
      <w:lang w:eastAsia="en-US"/>
    </w:rPr>
  </w:style>
  <w:style w:type="character" w:customStyle="1" w:styleId="EndnoteTextChar">
    <w:name w:val="Endnote Text Char"/>
    <w:basedOn w:val="DefaultParagraphFont"/>
    <w:link w:val="EndnoteText"/>
    <w:uiPriority w:val="99"/>
    <w:semiHidden/>
    <w:rsid w:val="007666EC"/>
    <w:rPr>
      <w:rFonts w:ascii="Courier" w:hAnsi="Courier"/>
    </w:rPr>
  </w:style>
  <w:style w:type="character" w:styleId="EndnoteReference">
    <w:name w:val="endnote reference"/>
    <w:basedOn w:val="DefaultParagraphFont"/>
    <w:uiPriority w:val="99"/>
    <w:semiHidden/>
    <w:unhideWhenUsed/>
    <w:rsid w:val="007666EC"/>
    <w:rPr>
      <w:vertAlign w:val="superscript"/>
    </w:rPr>
  </w:style>
  <w:style w:type="paragraph" w:styleId="CommentSubject">
    <w:name w:val="annotation subject"/>
    <w:basedOn w:val="CommentText"/>
    <w:next w:val="CommentText"/>
    <w:link w:val="CommentSubjectChar"/>
    <w:uiPriority w:val="99"/>
    <w:semiHidden/>
    <w:unhideWhenUsed/>
    <w:rsid w:val="00A27ED9"/>
    <w:pPr>
      <w:widowControl/>
      <w:autoSpaceDE/>
      <w:autoSpaceDN/>
      <w:adjustRightInd/>
    </w:pPr>
    <w:rPr>
      <w:rFonts w:ascii="Times New Roman" w:hAnsi="Times New Roman"/>
      <w:b/>
      <w:bCs/>
      <w:lang w:eastAsia="zh-TW"/>
    </w:rPr>
  </w:style>
  <w:style w:type="character" w:customStyle="1" w:styleId="CommentSubjectChar">
    <w:name w:val="Comment Subject Char"/>
    <w:basedOn w:val="CommentTextChar"/>
    <w:link w:val="CommentSubject"/>
    <w:uiPriority w:val="99"/>
    <w:semiHidden/>
    <w:rsid w:val="00A27ED9"/>
    <w:rPr>
      <w:rFonts w:ascii="Courier" w:hAnsi="Courier"/>
      <w:b/>
      <w:bCs/>
      <w:lang w:eastAsia="zh-TW"/>
    </w:rPr>
  </w:style>
  <w:style w:type="character" w:customStyle="1" w:styleId="HeaderChar">
    <w:name w:val="Header Char"/>
    <w:basedOn w:val="DefaultParagraphFont"/>
    <w:link w:val="Header"/>
    <w:uiPriority w:val="99"/>
    <w:rsid w:val="00E84F39"/>
    <w:rPr>
      <w:sz w:val="24"/>
      <w:lang w:eastAsia="zh-TW"/>
    </w:rPr>
  </w:style>
  <w:style w:type="paragraph" w:styleId="Revision">
    <w:name w:val="Revision"/>
    <w:hidden/>
    <w:uiPriority w:val="99"/>
    <w:semiHidden/>
    <w:rsid w:val="004771F1"/>
    <w:rPr>
      <w:sz w:val="24"/>
      <w:lang w:eastAsia="zh-TW"/>
    </w:rPr>
  </w:style>
  <w:style w:type="numbering" w:customStyle="1" w:styleId="Style1">
    <w:name w:val="Style1"/>
    <w:uiPriority w:val="99"/>
    <w:rsid w:val="000511A1"/>
    <w:pPr>
      <w:numPr>
        <w:numId w:val="20"/>
      </w:numPr>
    </w:pPr>
  </w:style>
  <w:style w:type="character" w:customStyle="1" w:styleId="FootnoteTextChar">
    <w:name w:val="Footnote Text Char"/>
    <w:link w:val="FootnoteText"/>
    <w:semiHidden/>
    <w:rsid w:val="008509BD"/>
    <w:rPr>
      <w:sz w:val="18"/>
      <w:lang w:eastAsia="zh-TW"/>
    </w:rPr>
  </w:style>
  <w:style w:type="character" w:styleId="Emphasis">
    <w:name w:val="Emphasis"/>
    <w:basedOn w:val="DefaultParagraphFont"/>
    <w:uiPriority w:val="20"/>
    <w:qFormat/>
    <w:rsid w:val="00CC3257"/>
    <w:rPr>
      <w:i/>
      <w:iCs/>
    </w:rPr>
  </w:style>
  <w:style w:type="character" w:customStyle="1" w:styleId="st">
    <w:name w:val="st"/>
    <w:basedOn w:val="DefaultParagraphFont"/>
    <w:rsid w:val="00CC3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zh-TW"/>
    </w:rPr>
  </w:style>
  <w:style w:type="paragraph" w:styleId="Heading1">
    <w:name w:val="heading 1"/>
    <w:basedOn w:val="Normal"/>
    <w:next w:val="Normal"/>
    <w:link w:val="Heading1Char"/>
    <w:qFormat/>
    <w:rsid w:val="007666EC"/>
    <w:pPr>
      <w:keepNext/>
      <w:autoSpaceDE w:val="0"/>
      <w:autoSpaceDN w:val="0"/>
      <w:adjustRightInd w:val="0"/>
      <w:ind w:firstLine="360"/>
      <w:outlineLvl w:val="0"/>
    </w:pPr>
    <w:rPr>
      <w:rFonts w:ascii="Times" w:hAnsi="Times" w:cs="Times"/>
      <w:szCs w:val="24"/>
      <w:lang w:eastAsia="en-US"/>
    </w:rPr>
  </w:style>
  <w:style w:type="paragraph" w:styleId="Heading2">
    <w:name w:val="heading 2"/>
    <w:basedOn w:val="Normal"/>
    <w:next w:val="Normal"/>
    <w:link w:val="Heading2Char"/>
    <w:uiPriority w:val="99"/>
    <w:qFormat/>
    <w:rsid w:val="007666EC"/>
    <w:pPr>
      <w:keepNext/>
      <w:autoSpaceDE w:val="0"/>
      <w:autoSpaceDN w:val="0"/>
      <w:adjustRightInd w:val="0"/>
      <w:outlineLvl w:val="1"/>
    </w:pPr>
    <w:rPr>
      <w:rFonts w:ascii="Times" w:hAnsi="Time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keepLines/>
      <w:spacing w:line="190" w:lineRule="exact"/>
    </w:pPr>
    <w:rPr>
      <w:sz w:val="18"/>
    </w:rPr>
  </w:style>
  <w:style w:type="character" w:styleId="FootnoteReference">
    <w:name w:val="footnote reference"/>
    <w:basedOn w:val="DefaultParagraphFont"/>
    <w:semiHidden/>
    <w:rPr>
      <w:vertAlign w:val="superscript"/>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05357"/>
    <w:rPr>
      <w:rFonts w:ascii="Tahoma" w:hAnsi="Tahoma" w:cs="Tahoma"/>
      <w:sz w:val="16"/>
      <w:szCs w:val="16"/>
    </w:rPr>
  </w:style>
  <w:style w:type="character" w:customStyle="1" w:styleId="BalloonTextChar">
    <w:name w:val="Balloon Text Char"/>
    <w:basedOn w:val="DefaultParagraphFont"/>
    <w:link w:val="BalloonText"/>
    <w:uiPriority w:val="99"/>
    <w:semiHidden/>
    <w:rsid w:val="00305357"/>
    <w:rPr>
      <w:rFonts w:ascii="Tahoma" w:hAnsi="Tahoma" w:cs="Tahoma"/>
      <w:sz w:val="16"/>
      <w:szCs w:val="16"/>
      <w:lang w:eastAsia="zh-TW"/>
    </w:rPr>
  </w:style>
  <w:style w:type="character" w:customStyle="1" w:styleId="FooterChar">
    <w:name w:val="Footer Char"/>
    <w:link w:val="Footer"/>
    <w:uiPriority w:val="99"/>
    <w:rsid w:val="00305357"/>
    <w:rPr>
      <w:sz w:val="24"/>
      <w:lang w:eastAsia="zh-TW"/>
    </w:rPr>
  </w:style>
  <w:style w:type="character" w:customStyle="1" w:styleId="Heading1Char">
    <w:name w:val="Heading 1 Char"/>
    <w:basedOn w:val="DefaultParagraphFont"/>
    <w:link w:val="Heading1"/>
    <w:rsid w:val="007666EC"/>
    <w:rPr>
      <w:rFonts w:ascii="Times" w:hAnsi="Times" w:cs="Times"/>
      <w:sz w:val="24"/>
      <w:szCs w:val="24"/>
    </w:rPr>
  </w:style>
  <w:style w:type="character" w:customStyle="1" w:styleId="Heading2Char">
    <w:name w:val="Heading 2 Char"/>
    <w:basedOn w:val="DefaultParagraphFont"/>
    <w:link w:val="Heading2"/>
    <w:uiPriority w:val="99"/>
    <w:rsid w:val="007666EC"/>
    <w:rPr>
      <w:rFonts w:ascii="Times" w:hAnsi="Times"/>
      <w:sz w:val="24"/>
      <w:szCs w:val="24"/>
    </w:rPr>
  </w:style>
  <w:style w:type="paragraph" w:styleId="BodyTextIndent">
    <w:name w:val="Body Text Indent"/>
    <w:basedOn w:val="Normal"/>
    <w:link w:val="BodyTextIndentChar"/>
    <w:rsid w:val="007666EC"/>
    <w:pPr>
      <w:autoSpaceDE w:val="0"/>
      <w:autoSpaceDN w:val="0"/>
      <w:adjustRightInd w:val="0"/>
      <w:ind w:firstLine="360"/>
    </w:pPr>
    <w:rPr>
      <w:rFonts w:ascii="Times" w:hAnsi="Times" w:cs="Times"/>
      <w:szCs w:val="24"/>
      <w:lang w:eastAsia="en-US"/>
    </w:rPr>
  </w:style>
  <w:style w:type="character" w:customStyle="1" w:styleId="BodyTextIndentChar">
    <w:name w:val="Body Text Indent Char"/>
    <w:basedOn w:val="DefaultParagraphFont"/>
    <w:link w:val="BodyTextIndent"/>
    <w:rsid w:val="007666EC"/>
    <w:rPr>
      <w:rFonts w:ascii="Times" w:hAnsi="Times" w:cs="Times"/>
      <w:sz w:val="24"/>
      <w:szCs w:val="24"/>
    </w:rPr>
  </w:style>
  <w:style w:type="character" w:styleId="Hyperlink">
    <w:name w:val="Hyperlink"/>
    <w:basedOn w:val="DefaultParagraphFont"/>
    <w:rsid w:val="007666EC"/>
    <w:rPr>
      <w:color w:val="0000FF"/>
      <w:u w:val="single"/>
    </w:rPr>
  </w:style>
  <w:style w:type="paragraph" w:styleId="BodyText">
    <w:name w:val="Body Text"/>
    <w:basedOn w:val="Normal"/>
    <w:link w:val="BodyTextChar"/>
    <w:rsid w:val="007666EC"/>
    <w:pPr>
      <w:widowControl w:val="0"/>
      <w:autoSpaceDE w:val="0"/>
      <w:autoSpaceDN w:val="0"/>
      <w:adjustRightInd w:val="0"/>
      <w:spacing w:after="120"/>
    </w:pPr>
    <w:rPr>
      <w:rFonts w:ascii="Courier" w:hAnsi="Courier"/>
      <w:sz w:val="20"/>
      <w:szCs w:val="24"/>
      <w:lang w:eastAsia="en-US"/>
    </w:rPr>
  </w:style>
  <w:style w:type="character" w:customStyle="1" w:styleId="BodyTextChar">
    <w:name w:val="Body Text Char"/>
    <w:basedOn w:val="DefaultParagraphFont"/>
    <w:link w:val="BodyText"/>
    <w:rsid w:val="007666EC"/>
    <w:rPr>
      <w:rFonts w:ascii="Courier" w:hAnsi="Courier"/>
      <w:szCs w:val="24"/>
    </w:rPr>
  </w:style>
  <w:style w:type="character" w:styleId="CommentReference">
    <w:name w:val="annotation reference"/>
    <w:basedOn w:val="DefaultParagraphFont"/>
    <w:semiHidden/>
    <w:rsid w:val="007666EC"/>
    <w:rPr>
      <w:sz w:val="16"/>
      <w:szCs w:val="16"/>
    </w:rPr>
  </w:style>
  <w:style w:type="paragraph" w:styleId="CommentText">
    <w:name w:val="annotation text"/>
    <w:basedOn w:val="Normal"/>
    <w:link w:val="CommentTextChar"/>
    <w:semiHidden/>
    <w:rsid w:val="007666EC"/>
    <w:pPr>
      <w:widowControl w:val="0"/>
      <w:autoSpaceDE w:val="0"/>
      <w:autoSpaceDN w:val="0"/>
      <w:adjustRightInd w:val="0"/>
    </w:pPr>
    <w:rPr>
      <w:rFonts w:ascii="Courier" w:hAnsi="Courier"/>
      <w:sz w:val="20"/>
      <w:lang w:eastAsia="en-US"/>
    </w:rPr>
  </w:style>
  <w:style w:type="character" w:customStyle="1" w:styleId="CommentTextChar">
    <w:name w:val="Comment Text Char"/>
    <w:basedOn w:val="DefaultParagraphFont"/>
    <w:link w:val="CommentText"/>
    <w:semiHidden/>
    <w:rsid w:val="007666EC"/>
    <w:rPr>
      <w:rFonts w:ascii="Courier" w:hAnsi="Courier"/>
    </w:rPr>
  </w:style>
  <w:style w:type="paragraph" w:customStyle="1" w:styleId="Default">
    <w:name w:val="Default"/>
    <w:rsid w:val="007666EC"/>
    <w:pPr>
      <w:autoSpaceDE w:val="0"/>
      <w:autoSpaceDN w:val="0"/>
      <w:adjustRightInd w:val="0"/>
    </w:pPr>
    <w:rPr>
      <w:rFonts w:ascii="MACFA D+ Bembo" w:hAnsi="MACFA D+ Bembo" w:cs="MACFA D+ Bembo"/>
      <w:color w:val="000000"/>
      <w:sz w:val="24"/>
      <w:szCs w:val="24"/>
    </w:rPr>
  </w:style>
  <w:style w:type="paragraph" w:customStyle="1" w:styleId="CM66">
    <w:name w:val="CM66"/>
    <w:basedOn w:val="Default"/>
    <w:next w:val="Default"/>
    <w:uiPriority w:val="99"/>
    <w:rsid w:val="007666EC"/>
    <w:rPr>
      <w:rFonts w:cs="Times New Roman"/>
      <w:color w:val="auto"/>
    </w:rPr>
  </w:style>
  <w:style w:type="table" w:styleId="TableGrid">
    <w:name w:val="Table Grid"/>
    <w:basedOn w:val="TableNormal"/>
    <w:uiPriority w:val="59"/>
    <w:rsid w:val="007666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666EC"/>
    <w:pPr>
      <w:widowControl w:val="0"/>
      <w:autoSpaceDE w:val="0"/>
      <w:autoSpaceDN w:val="0"/>
      <w:adjustRightInd w:val="0"/>
      <w:ind w:left="720"/>
      <w:contextualSpacing/>
    </w:pPr>
    <w:rPr>
      <w:rFonts w:ascii="Courier" w:hAnsi="Courier"/>
      <w:sz w:val="20"/>
      <w:szCs w:val="24"/>
      <w:lang w:eastAsia="en-US"/>
    </w:rPr>
  </w:style>
  <w:style w:type="paragraph" w:styleId="EndnoteText">
    <w:name w:val="endnote text"/>
    <w:basedOn w:val="Normal"/>
    <w:link w:val="EndnoteTextChar"/>
    <w:uiPriority w:val="99"/>
    <w:semiHidden/>
    <w:unhideWhenUsed/>
    <w:rsid w:val="007666EC"/>
    <w:pPr>
      <w:widowControl w:val="0"/>
      <w:autoSpaceDE w:val="0"/>
      <w:autoSpaceDN w:val="0"/>
      <w:adjustRightInd w:val="0"/>
    </w:pPr>
    <w:rPr>
      <w:rFonts w:ascii="Courier" w:hAnsi="Courier"/>
      <w:sz w:val="20"/>
      <w:lang w:eastAsia="en-US"/>
    </w:rPr>
  </w:style>
  <w:style w:type="character" w:customStyle="1" w:styleId="EndnoteTextChar">
    <w:name w:val="Endnote Text Char"/>
    <w:basedOn w:val="DefaultParagraphFont"/>
    <w:link w:val="EndnoteText"/>
    <w:uiPriority w:val="99"/>
    <w:semiHidden/>
    <w:rsid w:val="007666EC"/>
    <w:rPr>
      <w:rFonts w:ascii="Courier" w:hAnsi="Courier"/>
    </w:rPr>
  </w:style>
  <w:style w:type="character" w:styleId="EndnoteReference">
    <w:name w:val="endnote reference"/>
    <w:basedOn w:val="DefaultParagraphFont"/>
    <w:uiPriority w:val="99"/>
    <w:semiHidden/>
    <w:unhideWhenUsed/>
    <w:rsid w:val="007666EC"/>
    <w:rPr>
      <w:vertAlign w:val="superscript"/>
    </w:rPr>
  </w:style>
  <w:style w:type="paragraph" w:styleId="CommentSubject">
    <w:name w:val="annotation subject"/>
    <w:basedOn w:val="CommentText"/>
    <w:next w:val="CommentText"/>
    <w:link w:val="CommentSubjectChar"/>
    <w:uiPriority w:val="99"/>
    <w:semiHidden/>
    <w:unhideWhenUsed/>
    <w:rsid w:val="00A27ED9"/>
    <w:pPr>
      <w:widowControl/>
      <w:autoSpaceDE/>
      <w:autoSpaceDN/>
      <w:adjustRightInd/>
    </w:pPr>
    <w:rPr>
      <w:rFonts w:ascii="Times New Roman" w:hAnsi="Times New Roman"/>
      <w:b/>
      <w:bCs/>
      <w:lang w:eastAsia="zh-TW"/>
    </w:rPr>
  </w:style>
  <w:style w:type="character" w:customStyle="1" w:styleId="CommentSubjectChar">
    <w:name w:val="Comment Subject Char"/>
    <w:basedOn w:val="CommentTextChar"/>
    <w:link w:val="CommentSubject"/>
    <w:uiPriority w:val="99"/>
    <w:semiHidden/>
    <w:rsid w:val="00A27ED9"/>
    <w:rPr>
      <w:rFonts w:ascii="Courier" w:hAnsi="Courier"/>
      <w:b/>
      <w:bCs/>
      <w:lang w:eastAsia="zh-TW"/>
    </w:rPr>
  </w:style>
  <w:style w:type="character" w:customStyle="1" w:styleId="HeaderChar">
    <w:name w:val="Header Char"/>
    <w:basedOn w:val="DefaultParagraphFont"/>
    <w:link w:val="Header"/>
    <w:uiPriority w:val="99"/>
    <w:rsid w:val="00E84F39"/>
    <w:rPr>
      <w:sz w:val="24"/>
      <w:lang w:eastAsia="zh-TW"/>
    </w:rPr>
  </w:style>
  <w:style w:type="paragraph" w:styleId="Revision">
    <w:name w:val="Revision"/>
    <w:hidden/>
    <w:uiPriority w:val="99"/>
    <w:semiHidden/>
    <w:rsid w:val="004771F1"/>
    <w:rPr>
      <w:sz w:val="24"/>
      <w:lang w:eastAsia="zh-TW"/>
    </w:rPr>
  </w:style>
  <w:style w:type="numbering" w:customStyle="1" w:styleId="Style1">
    <w:name w:val="Style1"/>
    <w:uiPriority w:val="99"/>
    <w:rsid w:val="000511A1"/>
    <w:pPr>
      <w:numPr>
        <w:numId w:val="20"/>
      </w:numPr>
    </w:pPr>
  </w:style>
  <w:style w:type="character" w:customStyle="1" w:styleId="FootnoteTextChar">
    <w:name w:val="Footnote Text Char"/>
    <w:link w:val="FootnoteText"/>
    <w:semiHidden/>
    <w:rsid w:val="008509BD"/>
    <w:rPr>
      <w:sz w:val="18"/>
      <w:lang w:eastAsia="zh-TW"/>
    </w:rPr>
  </w:style>
  <w:style w:type="character" w:styleId="Emphasis">
    <w:name w:val="Emphasis"/>
    <w:basedOn w:val="DefaultParagraphFont"/>
    <w:uiPriority w:val="20"/>
    <w:qFormat/>
    <w:rsid w:val="00CC3257"/>
    <w:rPr>
      <w:i/>
      <w:iCs/>
    </w:rPr>
  </w:style>
  <w:style w:type="character" w:customStyle="1" w:styleId="st">
    <w:name w:val="st"/>
    <w:basedOn w:val="DefaultParagraphFont"/>
    <w:rsid w:val="00CC3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federalreserve.gov/pubs/bulletin/2005/spring05_payment.pdf" TargetMode="External"/><Relationship Id="rId2" Type="http://schemas.openxmlformats.org/officeDocument/2006/relationships/hyperlink" Target="http://www.federalreserve.gov/pubs/bulletin/2002/0802_2nd.pdf" TargetMode="External"/><Relationship Id="rId1" Type="http://schemas.openxmlformats.org/officeDocument/2006/relationships/hyperlink" Target="http://frbservices.org/communications/payment_system_research.htm" TargetMode="External"/><Relationship Id="rId6" Type="http://schemas.openxmlformats.org/officeDocument/2006/relationships/hyperlink" Target="http://www.bls.gov/soc/" TargetMode="External"/><Relationship Id="rId5" Type="http://schemas.openxmlformats.org/officeDocument/2006/relationships/hyperlink" Target="http://www.bls.gov/news.release/ocwage.nr0.htm" TargetMode="External"/><Relationship Id="rId4" Type="http://schemas.openxmlformats.org/officeDocument/2006/relationships/hyperlink" Target="http://www.federalreserve.gov/pubs/bulletin/2008/pdf/payments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6AA21-FBB3-4F10-B916-B81E64F5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C6B71743</Template>
  <TotalTime>1</TotalTime>
  <Pages>13</Pages>
  <Words>4531</Words>
  <Characters>25828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FRB</Company>
  <LinksUpToDate>false</LinksUpToDate>
  <CharactersWithSpaces>30299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creator>Geoffrey Gerdes</dc:creator>
  <cp:lastModifiedBy>Cynthia Ayouch</cp:lastModifiedBy>
  <cp:revision>2</cp:revision>
  <cp:lastPrinted>2012-12-13T13:06:00Z</cp:lastPrinted>
  <dcterms:created xsi:type="dcterms:W3CDTF">2012-12-26T18:33:00Z</dcterms:created>
  <dcterms:modified xsi:type="dcterms:W3CDTF">2012-12-26T18:33:00Z</dcterms:modified>
</cp:coreProperties>
</file>