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B04" w:rsidRPr="0064132C" w:rsidRDefault="00045B04" w:rsidP="00FE188A">
      <w:pPr>
        <w:widowControl/>
        <w:tabs>
          <w:tab w:val="center" w:pos="4680"/>
        </w:tabs>
        <w:jc w:val="center"/>
        <w:rPr>
          <w:rFonts w:ascii="Times New Roman" w:hAnsi="Times New Roman"/>
          <w:b/>
          <w:szCs w:val="24"/>
        </w:rPr>
      </w:pPr>
      <w:r w:rsidRPr="0064132C">
        <w:rPr>
          <w:rFonts w:ascii="Times New Roman" w:hAnsi="Times New Roman"/>
          <w:b/>
          <w:szCs w:val="24"/>
        </w:rPr>
        <w:t>Supporting Statement for the</w:t>
      </w:r>
    </w:p>
    <w:p w:rsidR="00045B04" w:rsidRPr="0064132C" w:rsidRDefault="00045B04" w:rsidP="00FE188A">
      <w:pPr>
        <w:widowControl/>
        <w:tabs>
          <w:tab w:val="center" w:pos="4680"/>
        </w:tabs>
        <w:jc w:val="center"/>
        <w:rPr>
          <w:rFonts w:ascii="Times New Roman" w:hAnsi="Times New Roman"/>
          <w:b/>
          <w:szCs w:val="24"/>
        </w:rPr>
      </w:pPr>
      <w:r w:rsidRPr="0064132C">
        <w:rPr>
          <w:rFonts w:ascii="Times New Roman" w:hAnsi="Times New Roman"/>
          <w:b/>
          <w:szCs w:val="24"/>
        </w:rPr>
        <w:t>Foreign Branch Report of Condition</w:t>
      </w:r>
    </w:p>
    <w:p w:rsidR="00045B04" w:rsidRPr="0064132C" w:rsidRDefault="00045B04" w:rsidP="00FE188A">
      <w:pPr>
        <w:widowControl/>
        <w:tabs>
          <w:tab w:val="center" w:pos="4680"/>
        </w:tabs>
        <w:jc w:val="center"/>
        <w:rPr>
          <w:rFonts w:ascii="Times New Roman" w:hAnsi="Times New Roman"/>
          <w:b/>
          <w:szCs w:val="24"/>
        </w:rPr>
      </w:pPr>
      <w:r w:rsidRPr="0064132C">
        <w:rPr>
          <w:rFonts w:ascii="Times New Roman" w:hAnsi="Times New Roman"/>
          <w:b/>
          <w:szCs w:val="24"/>
        </w:rPr>
        <w:t>(FFIEC</w:t>
      </w:r>
      <w:r w:rsidR="007B3D84" w:rsidRPr="0064132C">
        <w:rPr>
          <w:rFonts w:ascii="Times New Roman" w:hAnsi="Times New Roman"/>
          <w:b/>
          <w:szCs w:val="24"/>
        </w:rPr>
        <w:t> </w:t>
      </w:r>
      <w:r w:rsidRPr="0064132C">
        <w:rPr>
          <w:rFonts w:ascii="Times New Roman" w:hAnsi="Times New Roman"/>
          <w:b/>
          <w:szCs w:val="24"/>
        </w:rPr>
        <w:t>030</w:t>
      </w:r>
      <w:r w:rsidR="00087817" w:rsidRPr="0064132C">
        <w:rPr>
          <w:rFonts w:ascii="Times New Roman" w:hAnsi="Times New Roman"/>
          <w:b/>
          <w:szCs w:val="24"/>
        </w:rPr>
        <w:t xml:space="preserve"> and FFIEC</w:t>
      </w:r>
      <w:r w:rsidR="0052456A" w:rsidRPr="0064132C">
        <w:rPr>
          <w:rFonts w:ascii="Times New Roman" w:hAnsi="Times New Roman"/>
          <w:b/>
          <w:szCs w:val="24"/>
        </w:rPr>
        <w:t> </w:t>
      </w:r>
      <w:r w:rsidR="00087817" w:rsidRPr="0064132C">
        <w:rPr>
          <w:rFonts w:ascii="Times New Roman" w:hAnsi="Times New Roman"/>
          <w:b/>
          <w:szCs w:val="24"/>
        </w:rPr>
        <w:t>030S</w:t>
      </w:r>
      <w:r w:rsidRPr="0064132C">
        <w:rPr>
          <w:rFonts w:ascii="Times New Roman" w:hAnsi="Times New Roman"/>
          <w:b/>
          <w:szCs w:val="24"/>
        </w:rPr>
        <w:t>; OMB No. 7100-0071)</w:t>
      </w:r>
    </w:p>
    <w:p w:rsidR="00045B04" w:rsidRPr="0064132C" w:rsidRDefault="00045B04">
      <w:pPr>
        <w:widowControl/>
        <w:rPr>
          <w:rFonts w:ascii="Times New Roman" w:hAnsi="Times New Roman"/>
          <w:szCs w:val="24"/>
        </w:rPr>
      </w:pPr>
    </w:p>
    <w:p w:rsidR="00045B04" w:rsidRPr="0064132C" w:rsidRDefault="00045B04" w:rsidP="008A3E21">
      <w:pPr>
        <w:rPr>
          <w:rFonts w:ascii="Times New Roman" w:hAnsi="Times New Roman"/>
          <w:b/>
          <w:szCs w:val="24"/>
        </w:rPr>
      </w:pPr>
      <w:r w:rsidRPr="0064132C">
        <w:rPr>
          <w:rFonts w:ascii="Times New Roman" w:hAnsi="Times New Roman"/>
          <w:b/>
          <w:szCs w:val="24"/>
        </w:rPr>
        <w:t>Summary</w:t>
      </w:r>
    </w:p>
    <w:p w:rsidR="00045B04" w:rsidRPr="0064132C" w:rsidRDefault="00045B04">
      <w:pPr>
        <w:pStyle w:val="Header"/>
        <w:widowControl/>
        <w:tabs>
          <w:tab w:val="clear" w:pos="4320"/>
          <w:tab w:val="clear" w:pos="8640"/>
        </w:tabs>
        <w:rPr>
          <w:rFonts w:ascii="Times New Roman" w:hAnsi="Times New Roman"/>
          <w:szCs w:val="24"/>
        </w:rPr>
      </w:pPr>
    </w:p>
    <w:p w:rsidR="000A41BC" w:rsidRDefault="00045B04" w:rsidP="0034245E">
      <w:pPr>
        <w:widowControl/>
        <w:ind w:firstLine="720"/>
        <w:rPr>
          <w:rFonts w:ascii="Times New Roman" w:hAnsi="Times New Roman"/>
          <w:szCs w:val="24"/>
        </w:rPr>
      </w:pPr>
      <w:r w:rsidRPr="0064132C">
        <w:rPr>
          <w:rFonts w:ascii="Times New Roman" w:hAnsi="Times New Roman"/>
        </w:rPr>
        <w:t xml:space="preserve">The Board of Governors of the Federal Reserve System (Board) requests approval from the Office of Management and Budget (OMB) </w:t>
      </w:r>
      <w:r w:rsidR="00A4290D" w:rsidRPr="0064132C">
        <w:rPr>
          <w:rFonts w:ascii="Times New Roman" w:hAnsi="Times New Roman"/>
        </w:rPr>
        <w:t xml:space="preserve">to </w:t>
      </w:r>
      <w:r w:rsidRPr="0064132C">
        <w:rPr>
          <w:rFonts w:ascii="Times New Roman" w:hAnsi="Times New Roman"/>
        </w:rPr>
        <w:t>exten</w:t>
      </w:r>
      <w:r w:rsidR="00A4290D" w:rsidRPr="0064132C">
        <w:rPr>
          <w:rFonts w:ascii="Times New Roman" w:hAnsi="Times New Roman"/>
        </w:rPr>
        <w:t>d</w:t>
      </w:r>
      <w:r w:rsidRPr="0064132C">
        <w:rPr>
          <w:rFonts w:ascii="Times New Roman" w:hAnsi="Times New Roman"/>
        </w:rPr>
        <w:t>, with revision, the</w:t>
      </w:r>
      <w:r w:rsidR="008A3E21" w:rsidRPr="0064132C">
        <w:rPr>
          <w:rFonts w:ascii="Times New Roman" w:hAnsi="Times New Roman"/>
        </w:rPr>
        <w:t xml:space="preserve"> Federal Financial Institutions Examination Council (FFIEC)</w:t>
      </w:r>
      <w:r w:rsidRPr="0064132C">
        <w:rPr>
          <w:rFonts w:ascii="Times New Roman" w:hAnsi="Times New Roman"/>
        </w:rPr>
        <w:t xml:space="preserve"> Foreign Branch Report of Condition (FFIEC</w:t>
      </w:r>
      <w:r w:rsidR="007B3D84" w:rsidRPr="0064132C">
        <w:rPr>
          <w:rFonts w:ascii="Times New Roman" w:hAnsi="Times New Roman"/>
        </w:rPr>
        <w:t> </w:t>
      </w:r>
      <w:r w:rsidRPr="0064132C">
        <w:rPr>
          <w:rFonts w:ascii="Times New Roman" w:hAnsi="Times New Roman"/>
        </w:rPr>
        <w:t>030</w:t>
      </w:r>
      <w:r w:rsidR="00087817" w:rsidRPr="0064132C">
        <w:rPr>
          <w:rFonts w:ascii="Times New Roman" w:hAnsi="Times New Roman"/>
        </w:rPr>
        <w:t xml:space="preserve"> and FFIEC 030S</w:t>
      </w:r>
      <w:r w:rsidRPr="0064132C">
        <w:rPr>
          <w:rFonts w:ascii="Times New Roman" w:hAnsi="Times New Roman"/>
        </w:rPr>
        <w:t>; OMB No. 7100-0071).  Insured domestically chartered commercial banks (</w:t>
      </w:r>
      <w:smartTag w:uri="urn:schemas-microsoft-com:office:smarttags" w:element="country-region">
        <w:smartTag w:uri="urn:schemas-microsoft-com:office:smarttags" w:element="place">
          <w:r w:rsidRPr="0064132C">
            <w:rPr>
              <w:rFonts w:ascii="Times New Roman" w:hAnsi="Times New Roman"/>
            </w:rPr>
            <w:t>U.S.</w:t>
          </w:r>
        </w:smartTag>
      </w:smartTag>
      <w:r w:rsidRPr="0064132C">
        <w:rPr>
          <w:rFonts w:ascii="Times New Roman" w:hAnsi="Times New Roman"/>
        </w:rPr>
        <w:t xml:space="preserve"> banks) are required to submit, to the appropriate Federal Reserve Bank, a limited balance sheet for all their foreign branches.  This report is collected annually as of December</w:t>
      </w:r>
      <w:r w:rsidR="007860CF" w:rsidRPr="0064132C">
        <w:rPr>
          <w:rFonts w:ascii="Times New Roman" w:hAnsi="Times New Roman"/>
        </w:rPr>
        <w:t> </w:t>
      </w:r>
      <w:r w:rsidRPr="0064132C">
        <w:rPr>
          <w:rFonts w:ascii="Times New Roman" w:hAnsi="Times New Roman"/>
        </w:rPr>
        <w:t xml:space="preserve">31 or quarterly for significant branches as of the last day of each calendar quarter.  The Federal Reserve receives reports for all foreign branches of </w:t>
      </w:r>
      <w:smartTag w:uri="urn:schemas-microsoft-com:office:smarttags" w:element="country-region">
        <w:smartTag w:uri="urn:schemas-microsoft-com:office:smarttags" w:element="place">
          <w:r w:rsidRPr="0064132C">
            <w:rPr>
              <w:rFonts w:ascii="Times New Roman" w:hAnsi="Times New Roman"/>
            </w:rPr>
            <w:t>U.S.</w:t>
          </w:r>
        </w:smartTag>
      </w:smartTag>
      <w:r w:rsidRPr="0064132C">
        <w:rPr>
          <w:rFonts w:ascii="Times New Roman" w:hAnsi="Times New Roman"/>
        </w:rPr>
        <w:t xml:space="preserve"> banks, regardless of charter type, on behalf of the </w:t>
      </w:r>
      <w:smartTag w:uri="urn:schemas-microsoft-com:office:smarttags" w:element="country-region">
        <w:smartTag w:uri="urn:schemas-microsoft-com:office:smarttags" w:element="place">
          <w:r w:rsidRPr="0064132C">
            <w:rPr>
              <w:rFonts w:ascii="Times New Roman" w:hAnsi="Times New Roman"/>
            </w:rPr>
            <w:t>U.S.</w:t>
          </w:r>
        </w:smartTag>
      </w:smartTag>
      <w:r w:rsidRPr="0064132C">
        <w:rPr>
          <w:rFonts w:ascii="Times New Roman" w:hAnsi="Times New Roman"/>
        </w:rPr>
        <w:t xml:space="preserve"> banks</w:t>
      </w:r>
      <w:r w:rsidR="006B2C93">
        <w:rPr>
          <w:rFonts w:ascii="Times New Roman" w:hAnsi="Times New Roman"/>
        </w:rPr>
        <w:t>’</w:t>
      </w:r>
      <w:r w:rsidRPr="0064132C">
        <w:rPr>
          <w:rFonts w:ascii="Times New Roman" w:hAnsi="Times New Roman"/>
        </w:rPr>
        <w:t xml:space="preserve"> primary federal bank regulatory agenc</w:t>
      </w:r>
      <w:r w:rsidR="00A4290D" w:rsidRPr="0064132C">
        <w:rPr>
          <w:rFonts w:ascii="Times New Roman" w:hAnsi="Times New Roman"/>
        </w:rPr>
        <w:t>y</w:t>
      </w:r>
      <w:r w:rsidR="00F21347" w:rsidRPr="0064132C">
        <w:rPr>
          <w:rFonts w:ascii="Times New Roman" w:hAnsi="Times New Roman"/>
        </w:rPr>
        <w:t xml:space="preserve">, </w:t>
      </w:r>
      <w:r w:rsidR="00175B4C" w:rsidRPr="0064132C">
        <w:rPr>
          <w:rFonts w:ascii="Times New Roman" w:hAnsi="Times New Roman"/>
        </w:rPr>
        <w:t xml:space="preserve">which includes </w:t>
      </w:r>
      <w:r w:rsidR="00850DA5" w:rsidRPr="0064132C">
        <w:rPr>
          <w:rFonts w:ascii="Times New Roman" w:hAnsi="Times New Roman"/>
        </w:rPr>
        <w:t>the</w:t>
      </w:r>
      <w:r w:rsidRPr="0064132C">
        <w:rPr>
          <w:rFonts w:ascii="Times New Roman" w:hAnsi="Times New Roman"/>
        </w:rPr>
        <w:t xml:space="preserve"> </w:t>
      </w:r>
      <w:r w:rsidR="00A4290D" w:rsidRPr="0064132C">
        <w:rPr>
          <w:rFonts w:ascii="Times New Roman" w:hAnsi="Times New Roman"/>
        </w:rPr>
        <w:t>Board</w:t>
      </w:r>
      <w:r w:rsidRPr="0064132C">
        <w:rPr>
          <w:rFonts w:ascii="Times New Roman" w:hAnsi="Times New Roman"/>
        </w:rPr>
        <w:t xml:space="preserve">, the Federal Deposit Insurance Corporation (FDIC), </w:t>
      </w:r>
      <w:r w:rsidR="00175B4C" w:rsidRPr="0064132C">
        <w:rPr>
          <w:rFonts w:ascii="Times New Roman" w:hAnsi="Times New Roman"/>
        </w:rPr>
        <w:t>and</w:t>
      </w:r>
      <w:r w:rsidRPr="0064132C">
        <w:rPr>
          <w:rFonts w:ascii="Times New Roman" w:hAnsi="Times New Roman"/>
        </w:rPr>
        <w:t xml:space="preserve"> the Office of the Comptroller of the Currency (OCC)</w:t>
      </w:r>
      <w:r w:rsidR="00850DA5" w:rsidRPr="0064132C">
        <w:rPr>
          <w:rFonts w:ascii="Times New Roman" w:hAnsi="Times New Roman"/>
        </w:rPr>
        <w:t xml:space="preserve"> (collectively the agencies).  The agencies use this report</w:t>
      </w:r>
      <w:r w:rsidRPr="0064132C">
        <w:rPr>
          <w:rFonts w:ascii="Times New Roman" w:hAnsi="Times New Roman"/>
        </w:rPr>
        <w:t xml:space="preserve"> to fulfill their statutory obligation to supervise foreign operations of domestic ban</w:t>
      </w:r>
      <w:r w:rsidR="00F15362" w:rsidRPr="0064132C">
        <w:rPr>
          <w:rFonts w:ascii="Times New Roman" w:hAnsi="Times New Roman"/>
        </w:rPr>
        <w:t>ks.</w:t>
      </w:r>
      <w:r w:rsidR="00F761DF" w:rsidRPr="0064132C">
        <w:rPr>
          <w:rFonts w:ascii="Times New Roman" w:hAnsi="Times New Roman"/>
        </w:rPr>
        <w:t xml:space="preserve">  </w:t>
      </w:r>
      <w:r w:rsidR="00D70291" w:rsidRPr="0064132C">
        <w:rPr>
          <w:rFonts w:ascii="Times New Roman" w:hAnsi="Times New Roman"/>
          <w:szCs w:val="24"/>
        </w:rPr>
        <w:t xml:space="preserve">The FDIC and the OCC also are submitting a similar request for OMB review for banks under their supervision.  </w:t>
      </w:r>
    </w:p>
    <w:p w:rsidR="000A41BC" w:rsidRDefault="000A41BC" w:rsidP="0034245E">
      <w:pPr>
        <w:widowControl/>
        <w:ind w:firstLine="720"/>
        <w:rPr>
          <w:rFonts w:ascii="Times New Roman" w:hAnsi="Times New Roman"/>
          <w:szCs w:val="24"/>
        </w:rPr>
      </w:pPr>
    </w:p>
    <w:p w:rsidR="00A4290D" w:rsidRPr="000A41BC" w:rsidRDefault="000A41BC" w:rsidP="0034245E">
      <w:pPr>
        <w:widowControl/>
        <w:ind w:firstLine="720"/>
        <w:rPr>
          <w:rFonts w:ascii="Times New Roman" w:hAnsi="Times New Roman"/>
          <w:szCs w:val="24"/>
        </w:rPr>
      </w:pPr>
      <w:r>
        <w:rPr>
          <w:rFonts w:ascii="Times New Roman" w:hAnsi="Times New Roman"/>
          <w:szCs w:val="24"/>
        </w:rPr>
        <w:t>P</w:t>
      </w:r>
      <w:r w:rsidRPr="000A41BC">
        <w:rPr>
          <w:rFonts w:ascii="Times New Roman" w:hAnsi="Times New Roman"/>
          <w:szCs w:val="24"/>
        </w:rPr>
        <w:t>ursuant to Title III of the Dodd-Frank Wall Street Reform and Consumer Protection Act, Public Law 111–203</w:t>
      </w:r>
      <w:r>
        <w:rPr>
          <w:rFonts w:ascii="Times New Roman" w:hAnsi="Times New Roman"/>
          <w:szCs w:val="24"/>
        </w:rPr>
        <w:t xml:space="preserve">, </w:t>
      </w:r>
      <w:r w:rsidRPr="000A41BC">
        <w:rPr>
          <w:rFonts w:ascii="Times New Roman" w:hAnsi="Times New Roman"/>
          <w:szCs w:val="24"/>
        </w:rPr>
        <w:t xml:space="preserve">the Foreign Branch Report of Condition would be applicable to foreign branches, if any, of insured U.S. savings associations beginning as of the December 31, 2012, report date.  </w:t>
      </w:r>
      <w:r w:rsidR="00A4290D" w:rsidRPr="000A41BC">
        <w:rPr>
          <w:rFonts w:ascii="Times New Roman" w:hAnsi="Times New Roman"/>
          <w:szCs w:val="24"/>
        </w:rPr>
        <w:t xml:space="preserve">The </w:t>
      </w:r>
      <w:r w:rsidR="00F761DF" w:rsidRPr="000A41BC">
        <w:rPr>
          <w:rFonts w:ascii="Times New Roman" w:hAnsi="Times New Roman"/>
          <w:szCs w:val="24"/>
        </w:rPr>
        <w:t xml:space="preserve">current </w:t>
      </w:r>
      <w:r w:rsidR="00A4290D" w:rsidRPr="000A41BC">
        <w:rPr>
          <w:rFonts w:ascii="Times New Roman" w:hAnsi="Times New Roman"/>
          <w:szCs w:val="24"/>
        </w:rPr>
        <w:t xml:space="preserve">annual reporting burden for the FFIEC 030 and FFIEC 030S is estimated to be </w:t>
      </w:r>
      <w:r w:rsidR="0000565D" w:rsidRPr="000A41BC">
        <w:rPr>
          <w:rFonts w:ascii="Times New Roman" w:hAnsi="Times New Roman"/>
          <w:szCs w:val="24"/>
        </w:rPr>
        <w:t>408</w:t>
      </w:r>
      <w:r w:rsidR="00A4290D" w:rsidRPr="000A41BC">
        <w:rPr>
          <w:rFonts w:ascii="Times New Roman" w:hAnsi="Times New Roman"/>
          <w:szCs w:val="24"/>
        </w:rPr>
        <w:t xml:space="preserve"> hours</w:t>
      </w:r>
      <w:r>
        <w:rPr>
          <w:rFonts w:ascii="Times New Roman" w:hAnsi="Times New Roman"/>
          <w:szCs w:val="24"/>
        </w:rPr>
        <w:t xml:space="preserve"> and would remain unchanged with the proposed revision</w:t>
      </w:r>
      <w:r w:rsidR="00A4290D" w:rsidRPr="000A41BC">
        <w:rPr>
          <w:rFonts w:ascii="Times New Roman" w:hAnsi="Times New Roman"/>
          <w:szCs w:val="24"/>
        </w:rPr>
        <w:t>.</w:t>
      </w:r>
    </w:p>
    <w:p w:rsidR="00045B04" w:rsidRPr="0064132C" w:rsidRDefault="00045B04">
      <w:pPr>
        <w:widowControl/>
        <w:rPr>
          <w:rFonts w:ascii="Times New Roman" w:hAnsi="Times New Roman"/>
          <w:b/>
          <w:szCs w:val="24"/>
          <w:u w:val="single"/>
        </w:rPr>
      </w:pPr>
    </w:p>
    <w:p w:rsidR="00045B04" w:rsidRPr="0064132C" w:rsidRDefault="00045B04">
      <w:pPr>
        <w:widowControl/>
        <w:rPr>
          <w:rFonts w:ascii="Times New Roman" w:hAnsi="Times New Roman"/>
          <w:szCs w:val="24"/>
        </w:rPr>
      </w:pPr>
      <w:r w:rsidRPr="0064132C">
        <w:rPr>
          <w:rFonts w:ascii="Times New Roman" w:hAnsi="Times New Roman"/>
          <w:b/>
          <w:szCs w:val="24"/>
        </w:rPr>
        <w:t>Background and Justification</w:t>
      </w:r>
    </w:p>
    <w:p w:rsidR="00045B04" w:rsidRPr="0064132C" w:rsidRDefault="00045B04">
      <w:pPr>
        <w:widowControl/>
        <w:rPr>
          <w:rFonts w:ascii="Times New Roman" w:hAnsi="Times New Roman"/>
          <w:szCs w:val="24"/>
        </w:rPr>
      </w:pPr>
    </w:p>
    <w:p w:rsidR="00045B04" w:rsidRPr="0064132C" w:rsidRDefault="00045B04" w:rsidP="0034245E">
      <w:pPr>
        <w:widowControl/>
        <w:ind w:firstLine="720"/>
        <w:rPr>
          <w:rFonts w:ascii="Times New Roman" w:hAnsi="Times New Roman"/>
          <w:szCs w:val="24"/>
        </w:rPr>
      </w:pPr>
      <w:r w:rsidRPr="0064132C">
        <w:rPr>
          <w:rFonts w:ascii="Times New Roman" w:hAnsi="Times New Roman"/>
          <w:szCs w:val="24"/>
        </w:rPr>
        <w:t>The Federal Reserve and the OCC have collected some version of the Foreign Branch Report of Condition from member banks since 1965 and 1964, respectively.  The FDIC began collecting this report in the early 1980s from a relatively small number of insured, state nonmember banks.  In 1984, the FFIEC</w:t>
      </w:r>
      <w:r w:rsidR="00CF2060" w:rsidRPr="0064132C">
        <w:rPr>
          <w:rFonts w:ascii="Times New Roman" w:hAnsi="Times New Roman"/>
          <w:szCs w:val="24"/>
        </w:rPr>
        <w:t>, of which the agencies are members,</w:t>
      </w:r>
      <w:r w:rsidRPr="0064132C">
        <w:rPr>
          <w:rFonts w:ascii="Times New Roman" w:hAnsi="Times New Roman"/>
          <w:szCs w:val="24"/>
        </w:rPr>
        <w:t xml:space="preserve"> approved the proposal to give this report an FFIEC number under section 1006 of the Financial Institutions Regulatory and Interest Rate Control Act of 1978 (FIRA).  Prior to 1984, the Federal Reserve collected these data on</w:t>
      </w:r>
      <w:r w:rsidR="00484A75" w:rsidRPr="0064132C">
        <w:rPr>
          <w:rFonts w:ascii="Times New Roman" w:hAnsi="Times New Roman"/>
          <w:szCs w:val="24"/>
        </w:rPr>
        <w:t xml:space="preserve"> the FR</w:t>
      </w:r>
      <w:r w:rsidR="00CF2060" w:rsidRPr="0064132C">
        <w:rPr>
          <w:rFonts w:ascii="Times New Roman" w:hAnsi="Times New Roman"/>
          <w:szCs w:val="24"/>
        </w:rPr>
        <w:t> </w:t>
      </w:r>
      <w:r w:rsidR="00CF1D80" w:rsidRPr="0064132C">
        <w:rPr>
          <w:rFonts w:ascii="Times New Roman" w:hAnsi="Times New Roman"/>
          <w:szCs w:val="24"/>
        </w:rPr>
        <w:t>2105f reporting form.</w:t>
      </w:r>
    </w:p>
    <w:p w:rsidR="00045B04" w:rsidRPr="0064132C" w:rsidRDefault="00045B04" w:rsidP="0034245E">
      <w:pPr>
        <w:widowControl/>
        <w:rPr>
          <w:rFonts w:ascii="Times New Roman" w:hAnsi="Times New Roman"/>
          <w:szCs w:val="24"/>
        </w:rPr>
      </w:pPr>
    </w:p>
    <w:p w:rsidR="00045B04" w:rsidRPr="0064132C" w:rsidRDefault="00045B04" w:rsidP="0034245E">
      <w:pPr>
        <w:widowControl/>
        <w:ind w:firstLine="720"/>
        <w:rPr>
          <w:rFonts w:ascii="Times New Roman" w:hAnsi="Times New Roman"/>
          <w:szCs w:val="24"/>
        </w:rPr>
      </w:pPr>
      <w:r w:rsidRPr="0064132C">
        <w:rPr>
          <w:rFonts w:ascii="Times New Roman" w:hAnsi="Times New Roman"/>
          <w:szCs w:val="24"/>
        </w:rPr>
        <w:t>The FFIEC</w:t>
      </w:r>
      <w:r w:rsidR="007B3D84" w:rsidRPr="0064132C">
        <w:rPr>
          <w:rFonts w:ascii="Times New Roman" w:hAnsi="Times New Roman"/>
          <w:szCs w:val="24"/>
        </w:rPr>
        <w:t> </w:t>
      </w:r>
      <w:r w:rsidRPr="0064132C">
        <w:rPr>
          <w:rFonts w:ascii="Times New Roman" w:hAnsi="Times New Roman"/>
          <w:szCs w:val="24"/>
        </w:rPr>
        <w:t>030 collects information on the structure and geographic distribution of foreign branch assets and liabilities.  The agencies use this information to plan examinations and to analyze the foreign operations of domestic banks.  Growth trends can be measured by bank, by country, and by bank within country.  Aggregate data are a useful source of information on bank activities for the general public.  This series is the oldest statistical series that exists for foreign branches of member banks and is an important source for measuring the growth of these offices.</w:t>
      </w:r>
    </w:p>
    <w:p w:rsidR="005D3839" w:rsidRPr="0064132C" w:rsidRDefault="005D3839" w:rsidP="0034245E">
      <w:pPr>
        <w:widowControl/>
        <w:rPr>
          <w:rFonts w:ascii="Times New Roman" w:hAnsi="Times New Roman"/>
          <w:szCs w:val="24"/>
        </w:rPr>
      </w:pPr>
    </w:p>
    <w:p w:rsidR="00045B04" w:rsidRPr="0064132C" w:rsidRDefault="00045B04" w:rsidP="0034245E">
      <w:pPr>
        <w:widowControl/>
        <w:ind w:firstLine="720"/>
        <w:rPr>
          <w:rFonts w:ascii="Times New Roman" w:hAnsi="Times New Roman"/>
          <w:szCs w:val="24"/>
        </w:rPr>
      </w:pPr>
      <w:r w:rsidRPr="0064132C">
        <w:rPr>
          <w:rFonts w:ascii="Times New Roman" w:hAnsi="Times New Roman"/>
          <w:szCs w:val="24"/>
        </w:rPr>
        <w:t>The FFIEC</w:t>
      </w:r>
      <w:r w:rsidR="007B3D84" w:rsidRPr="0064132C">
        <w:rPr>
          <w:rFonts w:ascii="Times New Roman" w:hAnsi="Times New Roman"/>
          <w:szCs w:val="24"/>
        </w:rPr>
        <w:t> </w:t>
      </w:r>
      <w:r w:rsidRPr="0064132C">
        <w:rPr>
          <w:rFonts w:ascii="Times New Roman" w:hAnsi="Times New Roman"/>
          <w:szCs w:val="24"/>
        </w:rPr>
        <w:t xml:space="preserve">030 is the only report through which the agencies collect balance sheet information on foreign branches from insured domestically chartered commercial banks.  The Federal Reserve uses another report, the Quarterly Report of Assets and Liabilities of Large </w:t>
      </w:r>
      <w:r w:rsidRPr="0064132C">
        <w:rPr>
          <w:rFonts w:ascii="Times New Roman" w:hAnsi="Times New Roman"/>
          <w:szCs w:val="24"/>
        </w:rPr>
        <w:lastRenderedPageBreak/>
        <w:t>Foreign Offices of U.S. Banks (FR</w:t>
      </w:r>
      <w:r w:rsidR="00C35D46" w:rsidRPr="0064132C">
        <w:rPr>
          <w:rFonts w:ascii="Times New Roman" w:hAnsi="Times New Roman"/>
          <w:szCs w:val="24"/>
        </w:rPr>
        <w:t> </w:t>
      </w:r>
      <w:r w:rsidRPr="0064132C">
        <w:rPr>
          <w:rFonts w:ascii="Times New Roman" w:hAnsi="Times New Roman"/>
          <w:szCs w:val="24"/>
        </w:rPr>
        <w:t>2502q; OMB No. 7100-0079)</w:t>
      </w:r>
      <w:proofErr w:type="gramStart"/>
      <w:r w:rsidRPr="0064132C">
        <w:rPr>
          <w:rFonts w:ascii="Times New Roman" w:hAnsi="Times New Roman"/>
          <w:szCs w:val="24"/>
        </w:rPr>
        <w:t>,</w:t>
      </w:r>
      <w:proofErr w:type="gramEnd"/>
      <w:r w:rsidRPr="0064132C">
        <w:rPr>
          <w:rFonts w:ascii="Times New Roman" w:hAnsi="Times New Roman"/>
          <w:szCs w:val="24"/>
        </w:rPr>
        <w:t xml:space="preserve"> to collect less detailed balance sheet information from parent institutions of foreign branches or subsidiaries (specifically, those with total assets of $500 million or more).  This report only collects gross assets and liabilities by the country of the principal address of the customer, rather than the type of assets and liabilities of the branch.  Although the FR</w:t>
      </w:r>
      <w:r w:rsidR="00C35D46" w:rsidRPr="0064132C">
        <w:rPr>
          <w:rFonts w:ascii="Times New Roman" w:hAnsi="Times New Roman"/>
          <w:szCs w:val="24"/>
        </w:rPr>
        <w:t> </w:t>
      </w:r>
      <w:r w:rsidRPr="0064132C">
        <w:rPr>
          <w:rFonts w:ascii="Times New Roman" w:hAnsi="Times New Roman"/>
          <w:szCs w:val="24"/>
        </w:rPr>
        <w:t>2502q does not provide comparable information, the Federal Reserve may check the FFIEC</w:t>
      </w:r>
      <w:r w:rsidR="007B3D84" w:rsidRPr="0064132C">
        <w:rPr>
          <w:rFonts w:ascii="Times New Roman" w:hAnsi="Times New Roman"/>
          <w:szCs w:val="24"/>
        </w:rPr>
        <w:t> </w:t>
      </w:r>
      <w:r w:rsidRPr="0064132C">
        <w:rPr>
          <w:rFonts w:ascii="Times New Roman" w:hAnsi="Times New Roman"/>
          <w:szCs w:val="24"/>
        </w:rPr>
        <w:t>030 to determine whether individual branches that report total assets greater than or equal to $500 million, also report on the FR</w:t>
      </w:r>
      <w:r w:rsidR="00C35D46" w:rsidRPr="0064132C">
        <w:rPr>
          <w:rFonts w:ascii="Times New Roman" w:hAnsi="Times New Roman"/>
          <w:szCs w:val="24"/>
        </w:rPr>
        <w:t> </w:t>
      </w:r>
      <w:r w:rsidRPr="0064132C">
        <w:rPr>
          <w:rFonts w:ascii="Times New Roman" w:hAnsi="Times New Roman"/>
          <w:szCs w:val="24"/>
        </w:rPr>
        <w:t>2502q.</w:t>
      </w:r>
    </w:p>
    <w:p w:rsidR="00C25B75" w:rsidRPr="0064132C" w:rsidRDefault="00C25B75" w:rsidP="0034245E">
      <w:pPr>
        <w:widowControl/>
        <w:rPr>
          <w:rFonts w:ascii="Times New Roman" w:hAnsi="Times New Roman"/>
          <w:szCs w:val="24"/>
        </w:rPr>
      </w:pPr>
    </w:p>
    <w:p w:rsidR="00C25B75" w:rsidRPr="0064132C" w:rsidRDefault="00291844" w:rsidP="0034245E">
      <w:pPr>
        <w:widowControl/>
        <w:ind w:firstLine="720"/>
        <w:rPr>
          <w:rFonts w:ascii="Times New Roman" w:hAnsi="Times New Roman"/>
          <w:szCs w:val="24"/>
        </w:rPr>
      </w:pPr>
      <w:r w:rsidRPr="0064132C">
        <w:rPr>
          <w:rFonts w:ascii="Times New Roman" w:hAnsi="Times New Roman"/>
          <w:szCs w:val="24"/>
        </w:rPr>
        <w:t>Effective with the December 2006 report date, t</w:t>
      </w:r>
      <w:r w:rsidR="00C25B75" w:rsidRPr="0064132C">
        <w:rPr>
          <w:rFonts w:ascii="Times New Roman" w:hAnsi="Times New Roman"/>
          <w:szCs w:val="24"/>
        </w:rPr>
        <w:t xml:space="preserve">he agencies </w:t>
      </w:r>
      <w:r w:rsidR="00CF1D80" w:rsidRPr="0064132C">
        <w:rPr>
          <w:rFonts w:ascii="Times New Roman" w:hAnsi="Times New Roman"/>
          <w:szCs w:val="24"/>
        </w:rPr>
        <w:t xml:space="preserve">(1) </w:t>
      </w:r>
      <w:r w:rsidR="00C25B75" w:rsidRPr="0064132C">
        <w:rPr>
          <w:rFonts w:ascii="Times New Roman" w:hAnsi="Times New Roman"/>
          <w:szCs w:val="24"/>
        </w:rPr>
        <w:t>eliminated five data items on the FFIEC 030 for branches with total assets in excess of $250 million</w:t>
      </w:r>
      <w:r w:rsidRPr="0064132C">
        <w:rPr>
          <w:rFonts w:ascii="Times New Roman" w:hAnsi="Times New Roman"/>
          <w:szCs w:val="24"/>
        </w:rPr>
        <w:t>,</w:t>
      </w:r>
      <w:r w:rsidR="00C25B75" w:rsidRPr="0064132C">
        <w:rPr>
          <w:rFonts w:ascii="Times New Roman" w:hAnsi="Times New Roman"/>
          <w:szCs w:val="24"/>
        </w:rPr>
        <w:t xml:space="preserve"> </w:t>
      </w:r>
      <w:r w:rsidR="00CF1D80" w:rsidRPr="0064132C">
        <w:rPr>
          <w:rFonts w:ascii="Times New Roman" w:hAnsi="Times New Roman"/>
          <w:szCs w:val="24"/>
        </w:rPr>
        <w:t xml:space="preserve">(2) </w:t>
      </w:r>
      <w:r w:rsidR="00C25B75" w:rsidRPr="0064132C">
        <w:rPr>
          <w:rFonts w:ascii="Times New Roman" w:hAnsi="Times New Roman"/>
          <w:szCs w:val="24"/>
        </w:rPr>
        <w:t xml:space="preserve">created </w:t>
      </w:r>
      <w:r w:rsidR="00CF1D80" w:rsidRPr="0064132C">
        <w:rPr>
          <w:rFonts w:ascii="Times New Roman" w:hAnsi="Times New Roman"/>
          <w:szCs w:val="24"/>
        </w:rPr>
        <w:t>the</w:t>
      </w:r>
      <w:r w:rsidR="00C25B75" w:rsidRPr="0064132C">
        <w:rPr>
          <w:rFonts w:ascii="Times New Roman" w:hAnsi="Times New Roman"/>
          <w:szCs w:val="24"/>
        </w:rPr>
        <w:t xml:space="preserve"> abbreviated </w:t>
      </w:r>
      <w:r w:rsidR="00CF1D80" w:rsidRPr="0064132C">
        <w:rPr>
          <w:rFonts w:ascii="Times New Roman" w:hAnsi="Times New Roman"/>
          <w:szCs w:val="24"/>
        </w:rPr>
        <w:t xml:space="preserve">FFIEC 030S </w:t>
      </w:r>
      <w:r w:rsidR="00C25B75" w:rsidRPr="0064132C">
        <w:rPr>
          <w:rFonts w:ascii="Times New Roman" w:hAnsi="Times New Roman"/>
          <w:szCs w:val="24"/>
        </w:rPr>
        <w:t xml:space="preserve">reporting form </w:t>
      </w:r>
      <w:r w:rsidRPr="0064132C">
        <w:rPr>
          <w:rFonts w:ascii="Times New Roman" w:hAnsi="Times New Roman"/>
          <w:szCs w:val="24"/>
        </w:rPr>
        <w:t>that branches with total assets between $50 million and $250 million file annual</w:t>
      </w:r>
      <w:r w:rsidR="00CF1D80" w:rsidRPr="0064132C">
        <w:rPr>
          <w:rFonts w:ascii="Times New Roman" w:hAnsi="Times New Roman"/>
          <w:szCs w:val="24"/>
        </w:rPr>
        <w:t>ly</w:t>
      </w:r>
      <w:r w:rsidRPr="0064132C">
        <w:rPr>
          <w:rFonts w:ascii="Times New Roman" w:hAnsi="Times New Roman"/>
          <w:szCs w:val="24"/>
        </w:rPr>
        <w:t xml:space="preserve">, and </w:t>
      </w:r>
      <w:r w:rsidR="00CF1D80" w:rsidRPr="0064132C">
        <w:rPr>
          <w:rFonts w:ascii="Times New Roman" w:hAnsi="Times New Roman"/>
          <w:szCs w:val="24"/>
        </w:rPr>
        <w:t xml:space="preserve">(3) </w:t>
      </w:r>
      <w:r w:rsidRPr="0064132C">
        <w:rPr>
          <w:rFonts w:ascii="Times New Roman" w:hAnsi="Times New Roman"/>
          <w:szCs w:val="24"/>
        </w:rPr>
        <w:t xml:space="preserve">exempted foreign branches with total assets below $50 million from </w:t>
      </w:r>
      <w:r w:rsidR="00CF1D80" w:rsidRPr="0064132C">
        <w:rPr>
          <w:rFonts w:ascii="Times New Roman" w:hAnsi="Times New Roman"/>
          <w:szCs w:val="24"/>
        </w:rPr>
        <w:t>reporting</w:t>
      </w:r>
      <w:r w:rsidRPr="0064132C">
        <w:rPr>
          <w:rFonts w:ascii="Times New Roman" w:hAnsi="Times New Roman"/>
          <w:szCs w:val="24"/>
        </w:rPr>
        <w:t xml:space="preserve"> requirements</w:t>
      </w:r>
      <w:r w:rsidR="00C25B75" w:rsidRPr="0064132C">
        <w:rPr>
          <w:rFonts w:ascii="Times New Roman" w:hAnsi="Times New Roman"/>
          <w:szCs w:val="24"/>
        </w:rPr>
        <w:t>.</w:t>
      </w:r>
    </w:p>
    <w:p w:rsidR="00045B04" w:rsidRPr="0064132C" w:rsidRDefault="00045B04">
      <w:pPr>
        <w:widowControl/>
        <w:rPr>
          <w:rFonts w:ascii="Times New Roman" w:hAnsi="Times New Roman"/>
          <w:b/>
          <w:szCs w:val="24"/>
          <w:u w:val="single"/>
        </w:rPr>
      </w:pPr>
    </w:p>
    <w:p w:rsidR="00045B04" w:rsidRPr="0064132C" w:rsidRDefault="00045B04">
      <w:pPr>
        <w:widowControl/>
        <w:rPr>
          <w:rFonts w:ascii="Times New Roman" w:hAnsi="Times New Roman"/>
          <w:szCs w:val="24"/>
        </w:rPr>
      </w:pPr>
      <w:r w:rsidRPr="0064132C">
        <w:rPr>
          <w:rFonts w:ascii="Times New Roman" w:hAnsi="Times New Roman"/>
          <w:b/>
          <w:szCs w:val="24"/>
        </w:rPr>
        <w:t>Description of Information Collection</w:t>
      </w:r>
    </w:p>
    <w:p w:rsidR="00045B04" w:rsidRPr="0064132C" w:rsidRDefault="00045B04">
      <w:pPr>
        <w:widowControl/>
        <w:rPr>
          <w:rFonts w:ascii="Times New Roman" w:hAnsi="Times New Roman"/>
          <w:szCs w:val="24"/>
        </w:rPr>
      </w:pPr>
    </w:p>
    <w:p w:rsidR="00045B04" w:rsidRPr="0064132C" w:rsidRDefault="00045B04" w:rsidP="0034245E">
      <w:pPr>
        <w:widowControl/>
        <w:ind w:firstLine="720"/>
        <w:rPr>
          <w:rFonts w:ascii="Times New Roman" w:hAnsi="Times New Roman"/>
          <w:szCs w:val="24"/>
        </w:rPr>
      </w:pPr>
      <w:r w:rsidRPr="0064132C">
        <w:rPr>
          <w:rFonts w:ascii="Times New Roman" w:hAnsi="Times New Roman"/>
          <w:szCs w:val="24"/>
        </w:rPr>
        <w:t>The FFIEC</w:t>
      </w:r>
      <w:r w:rsidR="007B3D84" w:rsidRPr="0064132C">
        <w:rPr>
          <w:rFonts w:ascii="Times New Roman" w:hAnsi="Times New Roman"/>
          <w:szCs w:val="24"/>
        </w:rPr>
        <w:t> </w:t>
      </w:r>
      <w:r w:rsidRPr="0064132C">
        <w:rPr>
          <w:rFonts w:ascii="Times New Roman" w:hAnsi="Times New Roman"/>
          <w:szCs w:val="24"/>
        </w:rPr>
        <w:t xml:space="preserve">030 is a two-page report that collects balance sheet information on all foreign branches from insured domestically chartered commercial banks, regardless of the size of the branch. </w:t>
      </w:r>
      <w:r w:rsidR="008A54FF">
        <w:rPr>
          <w:rFonts w:ascii="Times New Roman" w:hAnsi="Times New Roman"/>
          <w:szCs w:val="24"/>
        </w:rPr>
        <w:t xml:space="preserve"> </w:t>
      </w:r>
      <w:r w:rsidRPr="0064132C">
        <w:rPr>
          <w:rFonts w:ascii="Times New Roman" w:hAnsi="Times New Roman"/>
          <w:szCs w:val="24"/>
        </w:rPr>
        <w:t>Some reporters may choose to file one consolidated report for all their branches located in the same foreign country; however, reporters are not permitted to consolidate data for significant branches with data for any other branches.</w:t>
      </w:r>
    </w:p>
    <w:p w:rsidR="00045B04" w:rsidRPr="0064132C" w:rsidRDefault="00045B04" w:rsidP="0034245E">
      <w:pPr>
        <w:widowControl/>
        <w:rPr>
          <w:rFonts w:ascii="Times New Roman" w:hAnsi="Times New Roman"/>
          <w:szCs w:val="24"/>
        </w:rPr>
      </w:pPr>
    </w:p>
    <w:p w:rsidR="00045B04" w:rsidRPr="0064132C" w:rsidRDefault="00045B04" w:rsidP="0034245E">
      <w:pPr>
        <w:pStyle w:val="BodyTextIndent"/>
        <w:rPr>
          <w:szCs w:val="24"/>
        </w:rPr>
      </w:pPr>
      <w:r w:rsidRPr="0064132C">
        <w:rPr>
          <w:szCs w:val="24"/>
        </w:rPr>
        <w:t xml:space="preserve">Each </w:t>
      </w:r>
      <w:r w:rsidR="004C6DE7" w:rsidRPr="0064132C">
        <w:rPr>
          <w:szCs w:val="24"/>
        </w:rPr>
        <w:t>data</w:t>
      </w:r>
      <w:r w:rsidRPr="0064132C">
        <w:rPr>
          <w:szCs w:val="24"/>
        </w:rPr>
        <w:t xml:space="preserve"> item of the FFIEC</w:t>
      </w:r>
      <w:r w:rsidR="007B3D84" w:rsidRPr="0064132C">
        <w:rPr>
          <w:szCs w:val="24"/>
        </w:rPr>
        <w:t> </w:t>
      </w:r>
      <w:r w:rsidRPr="0064132C">
        <w:rPr>
          <w:szCs w:val="24"/>
        </w:rPr>
        <w:t xml:space="preserve">030 relates directly to one or more </w:t>
      </w:r>
      <w:r w:rsidR="0014696A" w:rsidRPr="0064132C">
        <w:rPr>
          <w:szCs w:val="24"/>
        </w:rPr>
        <w:t xml:space="preserve">data </w:t>
      </w:r>
      <w:r w:rsidRPr="0064132C">
        <w:rPr>
          <w:szCs w:val="24"/>
        </w:rPr>
        <w:t xml:space="preserve">items on the Consolidated Reports of Condition and Income for a Bank </w:t>
      </w:r>
      <w:r w:rsidR="004C6DE7" w:rsidRPr="0064132C">
        <w:rPr>
          <w:szCs w:val="24"/>
        </w:rPr>
        <w:t>w</w:t>
      </w:r>
      <w:r w:rsidRPr="0064132C">
        <w:rPr>
          <w:szCs w:val="24"/>
        </w:rPr>
        <w:t>ith Domestic and Foreign Offices (Call Report; FFIEC</w:t>
      </w:r>
      <w:r w:rsidR="007B3D84" w:rsidRPr="0064132C">
        <w:rPr>
          <w:szCs w:val="24"/>
        </w:rPr>
        <w:t> </w:t>
      </w:r>
      <w:r w:rsidRPr="0064132C">
        <w:rPr>
          <w:szCs w:val="24"/>
        </w:rPr>
        <w:t xml:space="preserve">031; OMB No. 7100-0036); no additional information is requested.  As of </w:t>
      </w:r>
      <w:smartTag w:uri="urn:schemas-microsoft-com:office:smarttags" w:element="date">
        <w:smartTagPr>
          <w:attr w:name="Month" w:val="6"/>
          <w:attr w:name="Day" w:val="30"/>
          <w:attr w:name="Year" w:val="1997"/>
        </w:smartTagPr>
        <w:r w:rsidRPr="0064132C">
          <w:rPr>
            <w:szCs w:val="24"/>
          </w:rPr>
          <w:t>June 30, 1997</w:t>
        </w:r>
      </w:smartTag>
      <w:r w:rsidRPr="0064132C">
        <w:rPr>
          <w:szCs w:val="24"/>
        </w:rPr>
        <w:t xml:space="preserve">, the reporting instructions were revised to conform to the Generally Accepted Accounting Principles (GAAP).  Banks must file quarterly for foreign branches with total assets of at least $2 billion or commitments to purchase foreign currencies and U.S. dollar exchange of at least $5 billion (significant branches) and annually </w:t>
      </w:r>
      <w:r w:rsidR="007016D4" w:rsidRPr="0064132C">
        <w:rPr>
          <w:szCs w:val="24"/>
        </w:rPr>
        <w:t>for all other foreign branches</w:t>
      </w:r>
      <w:r w:rsidR="009261C4" w:rsidRPr="0064132C">
        <w:rPr>
          <w:szCs w:val="24"/>
        </w:rPr>
        <w:t xml:space="preserve"> with total assets of more than $250 million.</w:t>
      </w:r>
    </w:p>
    <w:p w:rsidR="00C25B75" w:rsidRPr="0064132C" w:rsidRDefault="00C25B75" w:rsidP="0034245E">
      <w:pPr>
        <w:pStyle w:val="BodyTextIndent"/>
        <w:ind w:firstLine="0"/>
        <w:rPr>
          <w:szCs w:val="24"/>
        </w:rPr>
      </w:pPr>
    </w:p>
    <w:p w:rsidR="00C25B75" w:rsidRDefault="00C25B75" w:rsidP="0034245E">
      <w:pPr>
        <w:pStyle w:val="BodyTextIndent"/>
        <w:rPr>
          <w:szCs w:val="24"/>
        </w:rPr>
      </w:pPr>
      <w:r w:rsidRPr="0064132C">
        <w:rPr>
          <w:szCs w:val="24"/>
        </w:rPr>
        <w:t>The FFIEC 030S is an abbreviated reporting form containing five data items that branches with total assets between $50 million and $250 million file annual</w:t>
      </w:r>
      <w:r w:rsidR="001E7CDB" w:rsidRPr="0064132C">
        <w:rPr>
          <w:szCs w:val="24"/>
        </w:rPr>
        <w:t>ly</w:t>
      </w:r>
      <w:r w:rsidRPr="0064132C">
        <w:rPr>
          <w:szCs w:val="24"/>
        </w:rPr>
        <w:t>.  The data items for this report are considered the minimum information needed to serve as indicators of higher business volume, risk, and complexity in small-sized foreign branches.  The reported information is also used to monitor potential developments that may pose risks to the overall operations of the parent bank.</w:t>
      </w:r>
      <w:r w:rsidR="009261C4" w:rsidRPr="0064132C">
        <w:rPr>
          <w:szCs w:val="24"/>
        </w:rPr>
        <w:t xml:space="preserve">  Branches with total assets of less than $50 million that do not meet the requirements to file the FFIEC 030 quarterly are exempt from filing.</w:t>
      </w:r>
    </w:p>
    <w:p w:rsidR="000A41BC" w:rsidRDefault="000A41BC" w:rsidP="0034245E">
      <w:pPr>
        <w:pStyle w:val="BodyTextIndent"/>
        <w:rPr>
          <w:szCs w:val="24"/>
        </w:rPr>
      </w:pPr>
    </w:p>
    <w:p w:rsidR="000A41BC" w:rsidRDefault="000A41BC" w:rsidP="0034245E">
      <w:pPr>
        <w:pStyle w:val="BodyTextIndent"/>
        <w:rPr>
          <w:b/>
          <w:szCs w:val="24"/>
        </w:rPr>
      </w:pPr>
      <w:r w:rsidRPr="000A41BC">
        <w:rPr>
          <w:b/>
          <w:szCs w:val="24"/>
        </w:rPr>
        <w:t>Proposed Revision</w:t>
      </w:r>
    </w:p>
    <w:p w:rsidR="000A41BC" w:rsidRDefault="000A41BC" w:rsidP="0034245E">
      <w:pPr>
        <w:pStyle w:val="BodyTextIndent"/>
        <w:rPr>
          <w:szCs w:val="24"/>
        </w:rPr>
      </w:pPr>
    </w:p>
    <w:p w:rsidR="000A41BC" w:rsidRPr="000A41BC" w:rsidRDefault="000A41BC" w:rsidP="0034245E">
      <w:pPr>
        <w:pStyle w:val="BodyTextIndent"/>
        <w:rPr>
          <w:szCs w:val="24"/>
        </w:rPr>
      </w:pPr>
      <w:r w:rsidRPr="00C80184">
        <w:rPr>
          <w:szCs w:val="24"/>
        </w:rPr>
        <w:t>On July 21, 2011, supervisory</w:t>
      </w:r>
      <w:r>
        <w:rPr>
          <w:szCs w:val="24"/>
        </w:rPr>
        <w:t xml:space="preserve"> </w:t>
      </w:r>
      <w:r w:rsidRPr="00C80184">
        <w:rPr>
          <w:szCs w:val="24"/>
        </w:rPr>
        <w:t>responsibility for federal and state</w:t>
      </w:r>
      <w:r>
        <w:rPr>
          <w:szCs w:val="24"/>
        </w:rPr>
        <w:t>-</w:t>
      </w:r>
      <w:r w:rsidRPr="00C80184">
        <w:rPr>
          <w:szCs w:val="24"/>
        </w:rPr>
        <w:t>chartered</w:t>
      </w:r>
      <w:r>
        <w:rPr>
          <w:szCs w:val="24"/>
        </w:rPr>
        <w:t xml:space="preserve"> </w:t>
      </w:r>
      <w:r w:rsidRPr="00C80184">
        <w:rPr>
          <w:szCs w:val="24"/>
        </w:rPr>
        <w:t>savings associations was</w:t>
      </w:r>
      <w:r>
        <w:rPr>
          <w:szCs w:val="24"/>
        </w:rPr>
        <w:t xml:space="preserve"> </w:t>
      </w:r>
      <w:r w:rsidRPr="00C80184">
        <w:rPr>
          <w:szCs w:val="24"/>
        </w:rPr>
        <w:t>transferred from the former Office of</w:t>
      </w:r>
      <w:r>
        <w:rPr>
          <w:szCs w:val="24"/>
        </w:rPr>
        <w:t xml:space="preserve"> </w:t>
      </w:r>
      <w:r w:rsidRPr="00C80184">
        <w:rPr>
          <w:szCs w:val="24"/>
        </w:rPr>
        <w:t>Thrift Supervision to the OCC and the</w:t>
      </w:r>
      <w:r>
        <w:rPr>
          <w:szCs w:val="24"/>
        </w:rPr>
        <w:t xml:space="preserve"> </w:t>
      </w:r>
      <w:r w:rsidRPr="00C80184">
        <w:rPr>
          <w:szCs w:val="24"/>
        </w:rPr>
        <w:t>FDIC, respectively, pursuant to Title III</w:t>
      </w:r>
      <w:r>
        <w:rPr>
          <w:szCs w:val="24"/>
        </w:rPr>
        <w:t xml:space="preserve"> </w:t>
      </w:r>
      <w:r w:rsidRPr="00C80184">
        <w:rPr>
          <w:szCs w:val="24"/>
        </w:rPr>
        <w:t>of the Dodd-Frank Wall Street Reform</w:t>
      </w:r>
      <w:r>
        <w:rPr>
          <w:szCs w:val="24"/>
        </w:rPr>
        <w:t xml:space="preserve"> </w:t>
      </w:r>
      <w:r w:rsidRPr="00C80184">
        <w:rPr>
          <w:szCs w:val="24"/>
        </w:rPr>
        <w:t>and Consumer Protection Act, Public</w:t>
      </w:r>
      <w:r>
        <w:rPr>
          <w:szCs w:val="24"/>
        </w:rPr>
        <w:t xml:space="preserve"> </w:t>
      </w:r>
      <w:r w:rsidRPr="00C80184">
        <w:rPr>
          <w:szCs w:val="24"/>
        </w:rPr>
        <w:t xml:space="preserve">Law 111–203. </w:t>
      </w:r>
      <w:r>
        <w:rPr>
          <w:szCs w:val="24"/>
        </w:rPr>
        <w:t xml:space="preserve"> </w:t>
      </w:r>
      <w:r w:rsidRPr="00C80184">
        <w:rPr>
          <w:szCs w:val="24"/>
        </w:rPr>
        <w:t>Accordingly, the Foreign</w:t>
      </w:r>
      <w:r>
        <w:rPr>
          <w:szCs w:val="24"/>
        </w:rPr>
        <w:t xml:space="preserve"> </w:t>
      </w:r>
      <w:r w:rsidRPr="00C80184">
        <w:rPr>
          <w:szCs w:val="24"/>
        </w:rPr>
        <w:t>Branch Report of Condition would be</w:t>
      </w:r>
      <w:r>
        <w:rPr>
          <w:szCs w:val="24"/>
        </w:rPr>
        <w:t xml:space="preserve"> </w:t>
      </w:r>
      <w:r w:rsidRPr="00C80184">
        <w:rPr>
          <w:szCs w:val="24"/>
        </w:rPr>
        <w:t xml:space="preserve">applicable to foreign branches, if </w:t>
      </w:r>
      <w:proofErr w:type="gramStart"/>
      <w:r w:rsidRPr="00C80184">
        <w:rPr>
          <w:szCs w:val="24"/>
        </w:rPr>
        <w:t>any,</w:t>
      </w:r>
      <w:proofErr w:type="gramEnd"/>
      <w:r w:rsidRPr="00C80184">
        <w:rPr>
          <w:szCs w:val="24"/>
        </w:rPr>
        <w:t xml:space="preserve"> of</w:t>
      </w:r>
      <w:r>
        <w:rPr>
          <w:szCs w:val="24"/>
        </w:rPr>
        <w:t xml:space="preserve"> </w:t>
      </w:r>
      <w:r w:rsidRPr="00C80184">
        <w:rPr>
          <w:szCs w:val="24"/>
        </w:rPr>
        <w:t>insured U.S. savings associations</w:t>
      </w:r>
      <w:r>
        <w:rPr>
          <w:szCs w:val="24"/>
        </w:rPr>
        <w:t xml:space="preserve"> </w:t>
      </w:r>
      <w:r w:rsidRPr="00C80184">
        <w:rPr>
          <w:szCs w:val="24"/>
        </w:rPr>
        <w:t xml:space="preserve">beginning </w:t>
      </w:r>
      <w:r w:rsidRPr="00C80184">
        <w:rPr>
          <w:szCs w:val="24"/>
        </w:rPr>
        <w:lastRenderedPageBreak/>
        <w:t>as of the December 31, 2012,</w:t>
      </w:r>
      <w:r>
        <w:rPr>
          <w:szCs w:val="24"/>
        </w:rPr>
        <w:t xml:space="preserve"> </w:t>
      </w:r>
      <w:r w:rsidRPr="00C80184">
        <w:rPr>
          <w:szCs w:val="24"/>
        </w:rPr>
        <w:t xml:space="preserve">report date. </w:t>
      </w:r>
      <w:r>
        <w:rPr>
          <w:szCs w:val="24"/>
        </w:rPr>
        <w:t xml:space="preserve"> </w:t>
      </w:r>
      <w:r w:rsidRPr="00C80184">
        <w:rPr>
          <w:szCs w:val="24"/>
        </w:rPr>
        <w:t>No other changes are</w:t>
      </w:r>
      <w:r>
        <w:rPr>
          <w:szCs w:val="24"/>
        </w:rPr>
        <w:t xml:space="preserve"> </w:t>
      </w:r>
      <w:r w:rsidRPr="00C80184">
        <w:rPr>
          <w:szCs w:val="24"/>
        </w:rPr>
        <w:t>proposed to the FFIEC 030 or FFIEC</w:t>
      </w:r>
      <w:r>
        <w:rPr>
          <w:szCs w:val="24"/>
        </w:rPr>
        <w:t xml:space="preserve"> </w:t>
      </w:r>
      <w:r w:rsidRPr="00C80184">
        <w:rPr>
          <w:szCs w:val="24"/>
        </w:rPr>
        <w:t>030S reporting forms or instructions.</w:t>
      </w:r>
    </w:p>
    <w:p w:rsidR="00E9003F" w:rsidRPr="0064132C" w:rsidRDefault="00E9003F" w:rsidP="00E9003F">
      <w:pPr>
        <w:rPr>
          <w:rFonts w:ascii="Times New Roman" w:hAnsi="Times New Roman"/>
          <w:szCs w:val="24"/>
        </w:rPr>
      </w:pPr>
    </w:p>
    <w:p w:rsidR="00045B04" w:rsidRPr="0064132C" w:rsidRDefault="00045B04" w:rsidP="00E9003F">
      <w:pPr>
        <w:rPr>
          <w:rFonts w:ascii="Times New Roman" w:hAnsi="Times New Roman"/>
          <w:b/>
          <w:szCs w:val="24"/>
        </w:rPr>
      </w:pPr>
      <w:r w:rsidRPr="0064132C">
        <w:rPr>
          <w:rFonts w:ascii="Times New Roman" w:hAnsi="Times New Roman"/>
          <w:b/>
          <w:szCs w:val="24"/>
        </w:rPr>
        <w:t>Time Schedule for Information Collection</w:t>
      </w:r>
    </w:p>
    <w:p w:rsidR="00045B04" w:rsidRPr="0064132C" w:rsidRDefault="00045B04" w:rsidP="00E9003F">
      <w:pPr>
        <w:rPr>
          <w:rFonts w:ascii="Times New Roman" w:hAnsi="Times New Roman"/>
          <w:szCs w:val="24"/>
        </w:rPr>
      </w:pPr>
    </w:p>
    <w:p w:rsidR="00045B04" w:rsidRPr="0064132C" w:rsidRDefault="00045B04" w:rsidP="0034245E">
      <w:pPr>
        <w:ind w:firstLine="720"/>
        <w:rPr>
          <w:rFonts w:ascii="Times New Roman" w:hAnsi="Times New Roman"/>
          <w:szCs w:val="24"/>
        </w:rPr>
      </w:pPr>
      <w:r w:rsidRPr="0064132C">
        <w:rPr>
          <w:rFonts w:ascii="Times New Roman" w:hAnsi="Times New Roman"/>
          <w:szCs w:val="24"/>
        </w:rPr>
        <w:t>The FFIEC</w:t>
      </w:r>
      <w:r w:rsidR="007B3D84" w:rsidRPr="0064132C">
        <w:rPr>
          <w:rFonts w:ascii="Times New Roman" w:hAnsi="Times New Roman"/>
          <w:szCs w:val="24"/>
        </w:rPr>
        <w:t> </w:t>
      </w:r>
      <w:r w:rsidRPr="0064132C">
        <w:rPr>
          <w:rFonts w:ascii="Times New Roman" w:hAnsi="Times New Roman"/>
          <w:szCs w:val="24"/>
        </w:rPr>
        <w:t xml:space="preserve">030 </w:t>
      </w:r>
      <w:r w:rsidR="00291844" w:rsidRPr="0064132C">
        <w:rPr>
          <w:rFonts w:ascii="Times New Roman" w:hAnsi="Times New Roman"/>
          <w:szCs w:val="24"/>
        </w:rPr>
        <w:t xml:space="preserve">and FFIEC 030S </w:t>
      </w:r>
      <w:r w:rsidRPr="0064132C">
        <w:rPr>
          <w:rFonts w:ascii="Times New Roman" w:hAnsi="Times New Roman"/>
          <w:szCs w:val="24"/>
        </w:rPr>
        <w:t>is collected annually as of December 31 from insured commercial banks with one or more branch offices in a foreign country and quarterly from banks with significant branches as of the last calendar day of March, June, September, and December.  The FFIEC</w:t>
      </w:r>
      <w:r w:rsidR="007B3D84" w:rsidRPr="0064132C">
        <w:rPr>
          <w:rFonts w:ascii="Times New Roman" w:hAnsi="Times New Roman"/>
          <w:szCs w:val="24"/>
        </w:rPr>
        <w:t> </w:t>
      </w:r>
      <w:r w:rsidRPr="0064132C">
        <w:rPr>
          <w:rFonts w:ascii="Times New Roman" w:hAnsi="Times New Roman"/>
          <w:szCs w:val="24"/>
        </w:rPr>
        <w:t>030</w:t>
      </w:r>
      <w:r w:rsidR="00291844" w:rsidRPr="0064132C">
        <w:rPr>
          <w:rFonts w:ascii="Times New Roman" w:hAnsi="Times New Roman"/>
          <w:szCs w:val="24"/>
        </w:rPr>
        <w:t xml:space="preserve"> and FFIEC 030S</w:t>
      </w:r>
      <w:r w:rsidRPr="0064132C">
        <w:rPr>
          <w:rFonts w:ascii="Times New Roman" w:hAnsi="Times New Roman"/>
          <w:szCs w:val="24"/>
        </w:rPr>
        <w:t xml:space="preserve"> must be submitted by qualifying banks regardless of charter type to the local Federal Reserve Bank within forty-five days of the report date.  The </w:t>
      </w:r>
      <w:r w:rsidR="001E7CDB" w:rsidRPr="0064132C">
        <w:rPr>
          <w:rFonts w:ascii="Times New Roman" w:hAnsi="Times New Roman"/>
          <w:szCs w:val="24"/>
        </w:rPr>
        <w:t>Federal Reserve</w:t>
      </w:r>
      <w:r w:rsidRPr="0064132C">
        <w:rPr>
          <w:rFonts w:ascii="Times New Roman" w:hAnsi="Times New Roman"/>
          <w:szCs w:val="24"/>
        </w:rPr>
        <w:t xml:space="preserve"> then compiles the reported information and makes it available to the </w:t>
      </w:r>
      <w:r w:rsidR="00E9725B" w:rsidRPr="0064132C">
        <w:rPr>
          <w:rFonts w:ascii="Times New Roman" w:hAnsi="Times New Roman"/>
          <w:szCs w:val="24"/>
        </w:rPr>
        <w:t>FDIC</w:t>
      </w:r>
      <w:r w:rsidRPr="0064132C">
        <w:rPr>
          <w:rFonts w:ascii="Times New Roman" w:hAnsi="Times New Roman"/>
          <w:szCs w:val="24"/>
        </w:rPr>
        <w:t xml:space="preserve"> and the </w:t>
      </w:r>
      <w:r w:rsidR="00E9725B" w:rsidRPr="0064132C">
        <w:rPr>
          <w:rFonts w:ascii="Times New Roman" w:hAnsi="Times New Roman"/>
          <w:szCs w:val="24"/>
        </w:rPr>
        <w:t>OCC</w:t>
      </w:r>
      <w:r w:rsidRPr="0064132C">
        <w:rPr>
          <w:rFonts w:ascii="Times New Roman" w:hAnsi="Times New Roman"/>
          <w:szCs w:val="24"/>
        </w:rPr>
        <w:t xml:space="preserve"> four months after the as-of date for both quarterly and annual reporters. </w:t>
      </w:r>
      <w:r w:rsidR="007016D4" w:rsidRPr="0064132C">
        <w:rPr>
          <w:rFonts w:ascii="Times New Roman" w:hAnsi="Times New Roman"/>
          <w:szCs w:val="24"/>
        </w:rPr>
        <w:t xml:space="preserve"> </w:t>
      </w:r>
      <w:r w:rsidRPr="0064132C">
        <w:rPr>
          <w:rFonts w:ascii="Times New Roman" w:hAnsi="Times New Roman"/>
          <w:szCs w:val="24"/>
        </w:rPr>
        <w:t>Aggregate data are published in the Federal Reserve Annual Report and the Department of Commerce</w:t>
      </w:r>
      <w:r w:rsidR="006B2C93">
        <w:rPr>
          <w:rFonts w:ascii="Times New Roman" w:hAnsi="Times New Roman"/>
          <w:szCs w:val="24"/>
        </w:rPr>
        <w:t>’</w:t>
      </w:r>
      <w:r w:rsidRPr="0064132C">
        <w:rPr>
          <w:rFonts w:ascii="Times New Roman" w:hAnsi="Times New Roman"/>
          <w:szCs w:val="24"/>
        </w:rPr>
        <w:t xml:space="preserve">s Annual Statistical Digest. </w:t>
      </w:r>
      <w:r w:rsidR="007016D4" w:rsidRPr="0064132C">
        <w:rPr>
          <w:rFonts w:ascii="Times New Roman" w:hAnsi="Times New Roman"/>
          <w:szCs w:val="24"/>
        </w:rPr>
        <w:t xml:space="preserve"> </w:t>
      </w:r>
      <w:r w:rsidR="00291844" w:rsidRPr="0064132C">
        <w:rPr>
          <w:rFonts w:ascii="Times New Roman" w:hAnsi="Times New Roman"/>
          <w:szCs w:val="24"/>
        </w:rPr>
        <w:t xml:space="preserve">The </w:t>
      </w:r>
      <w:proofErr w:type="spellStart"/>
      <w:r w:rsidR="00291844" w:rsidRPr="0064132C">
        <w:rPr>
          <w:rFonts w:ascii="Times New Roman" w:hAnsi="Times New Roman"/>
          <w:szCs w:val="24"/>
        </w:rPr>
        <w:t>m</w:t>
      </w:r>
      <w:r w:rsidRPr="0064132C">
        <w:rPr>
          <w:rFonts w:ascii="Times New Roman" w:hAnsi="Times New Roman"/>
          <w:szCs w:val="24"/>
        </w:rPr>
        <w:t>icrodata</w:t>
      </w:r>
      <w:proofErr w:type="spellEnd"/>
      <w:r w:rsidRPr="0064132C">
        <w:rPr>
          <w:rFonts w:ascii="Times New Roman" w:hAnsi="Times New Roman"/>
          <w:szCs w:val="24"/>
        </w:rPr>
        <w:t xml:space="preserve"> are confidential.</w:t>
      </w:r>
    </w:p>
    <w:p w:rsidR="00045B04" w:rsidRPr="0064132C" w:rsidRDefault="00045B04" w:rsidP="00E9003F">
      <w:pPr>
        <w:rPr>
          <w:rFonts w:ascii="Times New Roman" w:hAnsi="Times New Roman"/>
          <w:szCs w:val="24"/>
          <w:u w:val="single"/>
        </w:rPr>
      </w:pPr>
    </w:p>
    <w:p w:rsidR="00045B04" w:rsidRPr="0064132C" w:rsidRDefault="00045B04">
      <w:pPr>
        <w:widowControl/>
        <w:rPr>
          <w:rFonts w:ascii="Times New Roman" w:hAnsi="Times New Roman"/>
          <w:b/>
          <w:szCs w:val="24"/>
        </w:rPr>
      </w:pPr>
      <w:r w:rsidRPr="0064132C">
        <w:rPr>
          <w:rFonts w:ascii="Times New Roman" w:hAnsi="Times New Roman"/>
          <w:b/>
          <w:szCs w:val="24"/>
        </w:rPr>
        <w:t>Legal Status</w:t>
      </w:r>
    </w:p>
    <w:p w:rsidR="00045B04" w:rsidRPr="0064132C" w:rsidRDefault="00045B04">
      <w:pPr>
        <w:widowControl/>
        <w:rPr>
          <w:rFonts w:ascii="Times New Roman" w:hAnsi="Times New Roman"/>
          <w:szCs w:val="24"/>
        </w:rPr>
      </w:pPr>
    </w:p>
    <w:p w:rsidR="00045B04" w:rsidRPr="0064132C" w:rsidRDefault="00045B04" w:rsidP="0034245E">
      <w:pPr>
        <w:widowControl/>
        <w:ind w:firstLine="720"/>
        <w:rPr>
          <w:rFonts w:ascii="Times New Roman" w:hAnsi="Times New Roman"/>
          <w:szCs w:val="24"/>
        </w:rPr>
      </w:pPr>
      <w:r w:rsidRPr="0064132C">
        <w:rPr>
          <w:rFonts w:ascii="Times New Roman" w:hAnsi="Times New Roman"/>
          <w:szCs w:val="24"/>
        </w:rPr>
        <w:t>The Board</w:t>
      </w:r>
      <w:r w:rsidR="006B2C93">
        <w:rPr>
          <w:rFonts w:ascii="Times New Roman" w:hAnsi="Times New Roman"/>
          <w:szCs w:val="24"/>
        </w:rPr>
        <w:t>’</w:t>
      </w:r>
      <w:r w:rsidRPr="0064132C">
        <w:rPr>
          <w:rFonts w:ascii="Times New Roman" w:hAnsi="Times New Roman"/>
          <w:szCs w:val="24"/>
        </w:rPr>
        <w:t xml:space="preserve">s Legal Division has determined that </w:t>
      </w:r>
      <w:r w:rsidR="002064C1" w:rsidRPr="0064132C">
        <w:rPr>
          <w:rFonts w:ascii="Times New Roman" w:hAnsi="Times New Roman"/>
          <w:szCs w:val="24"/>
        </w:rPr>
        <w:t xml:space="preserve">section 25(7) of the Federal Reserve Act </w:t>
      </w:r>
      <w:r w:rsidR="008A54FF">
        <w:rPr>
          <w:rFonts w:ascii="Times New Roman" w:hAnsi="Times New Roman"/>
          <w:szCs w:val="24"/>
        </w:rPr>
        <w:t>(</w:t>
      </w:r>
      <w:r w:rsidRPr="0064132C">
        <w:rPr>
          <w:rFonts w:ascii="Times New Roman" w:hAnsi="Times New Roman"/>
          <w:szCs w:val="24"/>
        </w:rPr>
        <w:t>12</w:t>
      </w:r>
      <w:r w:rsidR="0052456A" w:rsidRPr="0064132C">
        <w:rPr>
          <w:rFonts w:ascii="Times New Roman" w:hAnsi="Times New Roman"/>
          <w:szCs w:val="24"/>
        </w:rPr>
        <w:t> </w:t>
      </w:r>
      <w:r w:rsidRPr="0064132C">
        <w:rPr>
          <w:rFonts w:ascii="Times New Roman" w:hAnsi="Times New Roman"/>
          <w:szCs w:val="24"/>
        </w:rPr>
        <w:t xml:space="preserve">U.S.C. </w:t>
      </w:r>
      <w:r w:rsidR="00D94FF2" w:rsidRPr="0064132C">
        <w:rPr>
          <w:rFonts w:ascii="Times New Roman" w:hAnsi="Times New Roman"/>
          <w:szCs w:val="24"/>
        </w:rPr>
        <w:t>§</w:t>
      </w:r>
      <w:r w:rsidRPr="0064132C">
        <w:rPr>
          <w:rFonts w:ascii="Times New Roman" w:hAnsi="Times New Roman"/>
          <w:szCs w:val="24"/>
        </w:rPr>
        <w:t xml:space="preserve"> 602</w:t>
      </w:r>
      <w:r w:rsidR="008A54FF">
        <w:rPr>
          <w:rFonts w:ascii="Times New Roman" w:hAnsi="Times New Roman"/>
          <w:szCs w:val="24"/>
        </w:rPr>
        <w:t>)</w:t>
      </w:r>
      <w:r w:rsidRPr="0064132C">
        <w:rPr>
          <w:rFonts w:ascii="Times New Roman" w:hAnsi="Times New Roman"/>
          <w:szCs w:val="24"/>
        </w:rPr>
        <w:t xml:space="preserve"> authorize</w:t>
      </w:r>
      <w:r w:rsidR="007860CF" w:rsidRPr="0064132C">
        <w:rPr>
          <w:rFonts w:ascii="Times New Roman" w:hAnsi="Times New Roman"/>
          <w:szCs w:val="24"/>
        </w:rPr>
        <w:t>s</w:t>
      </w:r>
      <w:r w:rsidRPr="0064132C">
        <w:rPr>
          <w:rFonts w:ascii="Times New Roman" w:hAnsi="Times New Roman"/>
          <w:szCs w:val="24"/>
        </w:rPr>
        <w:t xml:space="preserve"> the Board to require the report.  </w:t>
      </w:r>
      <w:r w:rsidR="00403602" w:rsidRPr="0064132C">
        <w:rPr>
          <w:rFonts w:ascii="Times New Roman" w:hAnsi="Times New Roman"/>
          <w:szCs w:val="24"/>
        </w:rPr>
        <w:t>I</w:t>
      </w:r>
      <w:r w:rsidRPr="0064132C">
        <w:rPr>
          <w:rFonts w:ascii="Times New Roman" w:hAnsi="Times New Roman"/>
          <w:szCs w:val="24"/>
        </w:rPr>
        <w:t xml:space="preserve">ndividual respondent </w:t>
      </w:r>
      <w:r w:rsidR="00403602" w:rsidRPr="0064132C">
        <w:rPr>
          <w:rFonts w:ascii="Times New Roman" w:hAnsi="Times New Roman"/>
          <w:szCs w:val="24"/>
        </w:rPr>
        <w:t>data</w:t>
      </w:r>
      <w:r w:rsidRPr="0064132C">
        <w:rPr>
          <w:rFonts w:ascii="Times New Roman" w:hAnsi="Times New Roman"/>
          <w:szCs w:val="24"/>
        </w:rPr>
        <w:t xml:space="preserve"> </w:t>
      </w:r>
      <w:r w:rsidR="00403602" w:rsidRPr="0064132C">
        <w:rPr>
          <w:rFonts w:ascii="Times New Roman" w:hAnsi="Times New Roman"/>
          <w:szCs w:val="24"/>
        </w:rPr>
        <w:t>are regarded a</w:t>
      </w:r>
      <w:r w:rsidRPr="0064132C">
        <w:rPr>
          <w:rFonts w:ascii="Times New Roman" w:hAnsi="Times New Roman"/>
          <w:szCs w:val="24"/>
        </w:rPr>
        <w:t>s</w:t>
      </w:r>
      <w:r w:rsidR="007860CF" w:rsidRPr="0064132C">
        <w:rPr>
          <w:rFonts w:ascii="Times New Roman" w:hAnsi="Times New Roman"/>
          <w:szCs w:val="24"/>
        </w:rPr>
        <w:t xml:space="preserve"> confidential </w:t>
      </w:r>
      <w:r w:rsidR="00403602" w:rsidRPr="0064132C">
        <w:rPr>
          <w:rFonts w:ascii="Times New Roman" w:hAnsi="Times New Roman"/>
          <w:szCs w:val="24"/>
        </w:rPr>
        <w:t xml:space="preserve">under the Freedom of Information Act </w:t>
      </w:r>
      <w:r w:rsidR="008A54FF">
        <w:rPr>
          <w:rFonts w:ascii="Times New Roman" w:hAnsi="Times New Roman"/>
          <w:szCs w:val="24"/>
        </w:rPr>
        <w:t>(</w:t>
      </w:r>
      <w:r w:rsidR="00403602" w:rsidRPr="0064132C">
        <w:rPr>
          <w:rFonts w:ascii="Times New Roman" w:hAnsi="Times New Roman"/>
          <w:szCs w:val="24"/>
        </w:rPr>
        <w:t>5 U.S.C. § 552</w:t>
      </w:r>
      <w:r w:rsidR="00081D57" w:rsidRPr="0064132C">
        <w:rPr>
          <w:rFonts w:ascii="Times New Roman" w:hAnsi="Times New Roman"/>
          <w:szCs w:val="24"/>
        </w:rPr>
        <w:t>(b</w:t>
      </w:r>
      <w:proofErr w:type="gramStart"/>
      <w:r w:rsidR="00081D57" w:rsidRPr="0064132C">
        <w:rPr>
          <w:rFonts w:ascii="Times New Roman" w:hAnsi="Times New Roman"/>
          <w:szCs w:val="24"/>
        </w:rPr>
        <w:t>)(</w:t>
      </w:r>
      <w:proofErr w:type="gramEnd"/>
      <w:r w:rsidR="00081D57" w:rsidRPr="0064132C">
        <w:rPr>
          <w:rFonts w:ascii="Times New Roman" w:hAnsi="Times New Roman"/>
          <w:szCs w:val="24"/>
        </w:rPr>
        <w:t>4)</w:t>
      </w:r>
      <w:r w:rsidR="008A54FF">
        <w:rPr>
          <w:rFonts w:ascii="Times New Roman" w:hAnsi="Times New Roman"/>
          <w:szCs w:val="24"/>
        </w:rPr>
        <w:t xml:space="preserve"> and (b)(8))</w:t>
      </w:r>
      <w:r w:rsidR="007860CF" w:rsidRPr="0064132C">
        <w:rPr>
          <w:rFonts w:ascii="Times New Roman" w:hAnsi="Times New Roman"/>
          <w:szCs w:val="24"/>
        </w:rPr>
        <w:t>.</w:t>
      </w:r>
    </w:p>
    <w:p w:rsidR="00087817" w:rsidRPr="0064132C" w:rsidRDefault="00087817">
      <w:pPr>
        <w:widowControl/>
        <w:rPr>
          <w:rFonts w:ascii="Times New Roman" w:hAnsi="Times New Roman"/>
          <w:szCs w:val="24"/>
          <w:u w:val="single"/>
        </w:rPr>
      </w:pPr>
    </w:p>
    <w:p w:rsidR="007860CF" w:rsidRPr="0064132C" w:rsidRDefault="007860CF" w:rsidP="007860CF">
      <w:pPr>
        <w:widowControl/>
        <w:rPr>
          <w:rFonts w:ascii="Times New Roman" w:hAnsi="Times New Roman"/>
          <w:b/>
          <w:szCs w:val="24"/>
        </w:rPr>
      </w:pPr>
      <w:r w:rsidRPr="0064132C">
        <w:rPr>
          <w:rFonts w:ascii="Times New Roman" w:hAnsi="Times New Roman"/>
          <w:b/>
          <w:szCs w:val="24"/>
        </w:rPr>
        <w:t xml:space="preserve">Consultation </w:t>
      </w:r>
      <w:proofErr w:type="gramStart"/>
      <w:r w:rsidRPr="0064132C">
        <w:rPr>
          <w:rFonts w:ascii="Times New Roman" w:hAnsi="Times New Roman"/>
          <w:b/>
          <w:szCs w:val="24"/>
        </w:rPr>
        <w:t>Outside</w:t>
      </w:r>
      <w:proofErr w:type="gramEnd"/>
      <w:r w:rsidRPr="0064132C">
        <w:rPr>
          <w:rFonts w:ascii="Times New Roman" w:hAnsi="Times New Roman"/>
          <w:b/>
          <w:szCs w:val="24"/>
        </w:rPr>
        <w:t xml:space="preserve"> the Agency</w:t>
      </w:r>
    </w:p>
    <w:p w:rsidR="007860CF" w:rsidRPr="0064132C" w:rsidRDefault="007860CF" w:rsidP="007860CF">
      <w:pPr>
        <w:widowControl/>
        <w:rPr>
          <w:rFonts w:ascii="Times New Roman" w:hAnsi="Times New Roman"/>
          <w:szCs w:val="24"/>
        </w:rPr>
      </w:pPr>
    </w:p>
    <w:p w:rsidR="007860CF" w:rsidRPr="00E45F5B" w:rsidRDefault="0036262C" w:rsidP="00E45F5B">
      <w:pPr>
        <w:ind w:firstLine="720"/>
        <w:rPr>
          <w:rFonts w:ascii="Times New Roman" w:hAnsi="Times New Roman"/>
          <w:szCs w:val="24"/>
        </w:rPr>
      </w:pPr>
      <w:r w:rsidRPr="00E45F5B">
        <w:rPr>
          <w:rFonts w:ascii="Times New Roman" w:hAnsi="Times New Roman"/>
          <w:szCs w:val="24"/>
        </w:rPr>
        <w:t xml:space="preserve">On </w:t>
      </w:r>
      <w:r w:rsidR="00323F33" w:rsidRPr="00E45F5B">
        <w:rPr>
          <w:rFonts w:ascii="Times New Roman" w:hAnsi="Times New Roman"/>
          <w:szCs w:val="24"/>
        </w:rPr>
        <w:t>July 30</w:t>
      </w:r>
      <w:r w:rsidRPr="00E45F5B">
        <w:rPr>
          <w:rFonts w:ascii="Times New Roman" w:hAnsi="Times New Roman"/>
          <w:szCs w:val="24"/>
        </w:rPr>
        <w:t>, 20</w:t>
      </w:r>
      <w:r w:rsidR="0034245E" w:rsidRPr="00E45F5B">
        <w:rPr>
          <w:rFonts w:ascii="Times New Roman" w:hAnsi="Times New Roman"/>
          <w:szCs w:val="24"/>
        </w:rPr>
        <w:t>12</w:t>
      </w:r>
      <w:r w:rsidRPr="00E45F5B">
        <w:rPr>
          <w:rFonts w:ascii="Times New Roman" w:hAnsi="Times New Roman"/>
          <w:szCs w:val="24"/>
        </w:rPr>
        <w:t xml:space="preserve">, the agencies jointly published a notice in the </w:t>
      </w:r>
      <w:r w:rsidRPr="00E45F5B">
        <w:rPr>
          <w:rFonts w:ascii="Times New Roman" w:hAnsi="Times New Roman"/>
          <w:i/>
          <w:szCs w:val="24"/>
        </w:rPr>
        <w:t>Federal Register</w:t>
      </w:r>
      <w:r w:rsidRPr="00E45F5B">
        <w:rPr>
          <w:rFonts w:ascii="Times New Roman" w:hAnsi="Times New Roman"/>
          <w:szCs w:val="24"/>
        </w:rPr>
        <w:t xml:space="preserve"> (</w:t>
      </w:r>
      <w:r w:rsidR="0034245E" w:rsidRPr="00E45F5B">
        <w:rPr>
          <w:rFonts w:ascii="Times New Roman" w:hAnsi="Times New Roman"/>
          <w:szCs w:val="24"/>
        </w:rPr>
        <w:t>77</w:t>
      </w:r>
      <w:r w:rsidR="000C6FEA" w:rsidRPr="00E45F5B">
        <w:rPr>
          <w:rFonts w:ascii="Times New Roman" w:hAnsi="Times New Roman"/>
          <w:szCs w:val="24"/>
        </w:rPr>
        <w:t> </w:t>
      </w:r>
      <w:r w:rsidRPr="00E45F5B">
        <w:rPr>
          <w:rFonts w:ascii="Times New Roman" w:hAnsi="Times New Roman"/>
          <w:szCs w:val="24"/>
        </w:rPr>
        <w:t>FR</w:t>
      </w:r>
      <w:r w:rsidR="000C6FEA" w:rsidRPr="00E45F5B">
        <w:rPr>
          <w:rFonts w:ascii="Times New Roman" w:hAnsi="Times New Roman"/>
          <w:szCs w:val="24"/>
        </w:rPr>
        <w:t> </w:t>
      </w:r>
      <w:r w:rsidR="00323F33" w:rsidRPr="00E45F5B">
        <w:rPr>
          <w:rFonts w:ascii="Times New Roman" w:hAnsi="Times New Roman"/>
          <w:szCs w:val="24"/>
        </w:rPr>
        <w:t>44714</w:t>
      </w:r>
      <w:r w:rsidRPr="00E45F5B">
        <w:rPr>
          <w:rFonts w:ascii="Times New Roman" w:hAnsi="Times New Roman"/>
          <w:szCs w:val="24"/>
        </w:rPr>
        <w:t xml:space="preserve">) </w:t>
      </w:r>
      <w:r w:rsidR="00081D57" w:rsidRPr="00E45F5B">
        <w:rPr>
          <w:rFonts w:ascii="Times New Roman" w:hAnsi="Times New Roman"/>
          <w:szCs w:val="24"/>
        </w:rPr>
        <w:t xml:space="preserve">requesting public </w:t>
      </w:r>
      <w:r w:rsidRPr="00E45F5B">
        <w:rPr>
          <w:rFonts w:ascii="Times New Roman" w:hAnsi="Times New Roman"/>
          <w:szCs w:val="24"/>
        </w:rPr>
        <w:t>comment</w:t>
      </w:r>
      <w:r w:rsidR="00081D57" w:rsidRPr="00E45F5B">
        <w:rPr>
          <w:rFonts w:ascii="Times New Roman" w:hAnsi="Times New Roman"/>
          <w:szCs w:val="24"/>
        </w:rPr>
        <w:t xml:space="preserve"> for </w:t>
      </w:r>
      <w:r w:rsidR="00EA66B3" w:rsidRPr="00E45F5B">
        <w:rPr>
          <w:rFonts w:ascii="Times New Roman" w:hAnsi="Times New Roman"/>
          <w:szCs w:val="24"/>
        </w:rPr>
        <w:t>60</w:t>
      </w:r>
      <w:r w:rsidR="00081D57" w:rsidRPr="00E45F5B">
        <w:rPr>
          <w:rFonts w:ascii="Times New Roman" w:hAnsi="Times New Roman"/>
          <w:szCs w:val="24"/>
        </w:rPr>
        <w:t xml:space="preserve"> days</w:t>
      </w:r>
      <w:r w:rsidRPr="00E45F5B">
        <w:rPr>
          <w:rFonts w:ascii="Times New Roman" w:hAnsi="Times New Roman"/>
          <w:szCs w:val="24"/>
        </w:rPr>
        <w:t xml:space="preserve"> on </w:t>
      </w:r>
      <w:r w:rsidR="00081D57" w:rsidRPr="00E45F5B">
        <w:rPr>
          <w:rFonts w:ascii="Times New Roman" w:hAnsi="Times New Roman"/>
          <w:szCs w:val="24"/>
        </w:rPr>
        <w:t>the extension, with</w:t>
      </w:r>
      <w:r w:rsidRPr="00E45F5B">
        <w:rPr>
          <w:rFonts w:ascii="Times New Roman" w:hAnsi="Times New Roman"/>
          <w:szCs w:val="24"/>
        </w:rPr>
        <w:t xml:space="preserve"> revision</w:t>
      </w:r>
      <w:r w:rsidR="00081D57" w:rsidRPr="00E45F5B">
        <w:rPr>
          <w:rFonts w:ascii="Times New Roman" w:hAnsi="Times New Roman"/>
          <w:szCs w:val="24"/>
        </w:rPr>
        <w:t>,</w:t>
      </w:r>
      <w:r w:rsidRPr="00E45F5B">
        <w:rPr>
          <w:rFonts w:ascii="Times New Roman" w:hAnsi="Times New Roman"/>
          <w:szCs w:val="24"/>
        </w:rPr>
        <w:t xml:space="preserve"> o</w:t>
      </w:r>
      <w:r w:rsidR="00081D57" w:rsidRPr="00E45F5B">
        <w:rPr>
          <w:rFonts w:ascii="Times New Roman" w:hAnsi="Times New Roman"/>
          <w:szCs w:val="24"/>
        </w:rPr>
        <w:t>f</w:t>
      </w:r>
      <w:r w:rsidRPr="00E45F5B">
        <w:rPr>
          <w:rFonts w:ascii="Times New Roman" w:hAnsi="Times New Roman"/>
          <w:szCs w:val="24"/>
        </w:rPr>
        <w:t xml:space="preserve"> the FFIEC 030</w:t>
      </w:r>
      <w:r w:rsidR="00087817" w:rsidRPr="00E45F5B">
        <w:rPr>
          <w:rFonts w:ascii="Times New Roman" w:hAnsi="Times New Roman"/>
          <w:szCs w:val="24"/>
        </w:rPr>
        <w:t xml:space="preserve"> and FFIEC 030S</w:t>
      </w:r>
      <w:r w:rsidRPr="00E45F5B">
        <w:rPr>
          <w:rFonts w:ascii="Times New Roman" w:hAnsi="Times New Roman"/>
          <w:szCs w:val="24"/>
        </w:rPr>
        <w:t>.</w:t>
      </w:r>
      <w:r w:rsidR="00EA66B3" w:rsidRPr="00E45F5B">
        <w:rPr>
          <w:rFonts w:ascii="Times New Roman" w:hAnsi="Times New Roman"/>
          <w:szCs w:val="24"/>
        </w:rPr>
        <w:t xml:space="preserve">  The comment period for this notice expire</w:t>
      </w:r>
      <w:r w:rsidR="006B1A6F" w:rsidRPr="00E45F5B">
        <w:rPr>
          <w:rFonts w:ascii="Times New Roman" w:hAnsi="Times New Roman"/>
          <w:szCs w:val="24"/>
        </w:rPr>
        <w:t>d</w:t>
      </w:r>
      <w:r w:rsidR="00EA66B3" w:rsidRPr="00E45F5B">
        <w:rPr>
          <w:rFonts w:ascii="Times New Roman" w:hAnsi="Times New Roman"/>
          <w:szCs w:val="24"/>
        </w:rPr>
        <w:t xml:space="preserve"> on </w:t>
      </w:r>
      <w:r w:rsidR="00323F33" w:rsidRPr="00E45F5B">
        <w:rPr>
          <w:rFonts w:ascii="Times New Roman" w:hAnsi="Times New Roman"/>
          <w:szCs w:val="24"/>
        </w:rPr>
        <w:t>September 28</w:t>
      </w:r>
      <w:r w:rsidR="00EA66B3" w:rsidRPr="00E45F5B">
        <w:rPr>
          <w:rFonts w:ascii="Times New Roman" w:hAnsi="Times New Roman"/>
          <w:szCs w:val="24"/>
        </w:rPr>
        <w:t>, 20</w:t>
      </w:r>
      <w:r w:rsidR="0034245E" w:rsidRPr="00E45F5B">
        <w:rPr>
          <w:rFonts w:ascii="Times New Roman" w:hAnsi="Times New Roman"/>
          <w:szCs w:val="24"/>
        </w:rPr>
        <w:t>12</w:t>
      </w:r>
      <w:r w:rsidR="00C37E49" w:rsidRPr="00E45F5B">
        <w:rPr>
          <w:rFonts w:ascii="Times New Roman" w:hAnsi="Times New Roman"/>
          <w:szCs w:val="24"/>
        </w:rPr>
        <w:t xml:space="preserve">.  </w:t>
      </w:r>
      <w:r w:rsidR="00E45F5B" w:rsidRPr="00E45F5B">
        <w:rPr>
          <w:rFonts w:ascii="Times New Roman" w:hAnsi="Times New Roman"/>
          <w:szCs w:val="24"/>
        </w:rPr>
        <w:t>The agencies collectively received one comment that supported the collection of the Foreign Branch Report of Condition.</w:t>
      </w:r>
      <w:r w:rsidR="00E45F5B">
        <w:rPr>
          <w:rFonts w:ascii="Times New Roman" w:hAnsi="Times New Roman"/>
          <w:szCs w:val="24"/>
        </w:rPr>
        <w:t xml:space="preserve">  </w:t>
      </w:r>
      <w:r w:rsidR="006B1A6F" w:rsidRPr="00E45F5B">
        <w:rPr>
          <w:rFonts w:ascii="Times New Roman" w:hAnsi="Times New Roman"/>
          <w:szCs w:val="24"/>
        </w:rPr>
        <w:t>On November 8, 2012, the agencies published a final</w:t>
      </w:r>
      <w:r w:rsidR="00E45F5B">
        <w:rPr>
          <w:rFonts w:ascii="Times New Roman" w:hAnsi="Times New Roman"/>
          <w:szCs w:val="24"/>
        </w:rPr>
        <w:t xml:space="preserve"> notice in the Federal Register (77 FR </w:t>
      </w:r>
      <w:r w:rsidR="00860DD6" w:rsidRPr="00860DD6">
        <w:rPr>
          <w:rFonts w:ascii="Times New Roman" w:hAnsi="Times New Roman"/>
          <w:szCs w:val="24"/>
        </w:rPr>
        <w:t>67057</w:t>
      </w:r>
      <w:r w:rsidR="00E45F5B">
        <w:rPr>
          <w:rFonts w:ascii="Times New Roman" w:hAnsi="Times New Roman"/>
          <w:szCs w:val="24"/>
        </w:rPr>
        <w:t>).</w:t>
      </w:r>
    </w:p>
    <w:p w:rsidR="007860CF" w:rsidRPr="0064132C" w:rsidRDefault="007860CF">
      <w:pPr>
        <w:widowControl/>
        <w:rPr>
          <w:rFonts w:ascii="Times New Roman" w:hAnsi="Times New Roman"/>
          <w:szCs w:val="24"/>
          <w:u w:val="single"/>
        </w:rPr>
      </w:pPr>
    </w:p>
    <w:p w:rsidR="00045B04" w:rsidRPr="0064132C" w:rsidRDefault="00045B04">
      <w:pPr>
        <w:widowControl/>
        <w:rPr>
          <w:rFonts w:ascii="Times New Roman" w:hAnsi="Times New Roman"/>
          <w:b/>
          <w:szCs w:val="24"/>
        </w:rPr>
      </w:pPr>
      <w:r w:rsidRPr="0064132C">
        <w:rPr>
          <w:rFonts w:ascii="Times New Roman" w:hAnsi="Times New Roman"/>
          <w:b/>
          <w:szCs w:val="24"/>
        </w:rPr>
        <w:t>Estimate of Respondent Burden</w:t>
      </w:r>
    </w:p>
    <w:p w:rsidR="00045B04" w:rsidRPr="0064132C" w:rsidRDefault="00045B04" w:rsidP="00D82F8F">
      <w:pPr>
        <w:jc w:val="both"/>
        <w:rPr>
          <w:rFonts w:ascii="Times New Roman" w:hAnsi="Times New Roman"/>
          <w:szCs w:val="24"/>
        </w:rPr>
      </w:pPr>
    </w:p>
    <w:p w:rsidR="009272AC" w:rsidRPr="0064132C" w:rsidRDefault="00B507BF" w:rsidP="0034245E">
      <w:pPr>
        <w:ind w:firstLine="720"/>
        <w:rPr>
          <w:rFonts w:ascii="Times New Roman" w:hAnsi="Times New Roman"/>
          <w:szCs w:val="24"/>
        </w:rPr>
      </w:pPr>
      <w:r w:rsidRPr="0064132C">
        <w:rPr>
          <w:rFonts w:ascii="Times New Roman" w:hAnsi="Times New Roman"/>
          <w:szCs w:val="24"/>
          <w:lang w:val="en-CA"/>
        </w:rPr>
        <w:fldChar w:fldCharType="begin"/>
      </w:r>
      <w:r w:rsidR="009644CD" w:rsidRPr="0064132C">
        <w:rPr>
          <w:rFonts w:ascii="Times New Roman" w:hAnsi="Times New Roman"/>
          <w:szCs w:val="24"/>
          <w:lang w:val="en-CA"/>
        </w:rPr>
        <w:instrText xml:space="preserve"> SEQ CHAPTER \h \r 1</w:instrText>
      </w:r>
      <w:r w:rsidRPr="0064132C">
        <w:rPr>
          <w:rFonts w:ascii="Times New Roman" w:hAnsi="Times New Roman"/>
          <w:szCs w:val="24"/>
          <w:lang w:val="en-CA"/>
        </w:rPr>
        <w:fldChar w:fldCharType="end"/>
      </w:r>
      <w:r w:rsidR="009644CD" w:rsidRPr="0064132C">
        <w:rPr>
          <w:rFonts w:ascii="Times New Roman" w:hAnsi="Times New Roman"/>
          <w:szCs w:val="24"/>
        </w:rPr>
        <w:t xml:space="preserve">The </w:t>
      </w:r>
      <w:r w:rsidR="00D82F8F" w:rsidRPr="0064132C">
        <w:rPr>
          <w:rFonts w:ascii="Times New Roman" w:hAnsi="Times New Roman"/>
          <w:szCs w:val="24"/>
        </w:rPr>
        <w:t>annual</w:t>
      </w:r>
      <w:r w:rsidR="00AD115A" w:rsidRPr="0064132C">
        <w:rPr>
          <w:rFonts w:ascii="Times New Roman" w:hAnsi="Times New Roman"/>
          <w:szCs w:val="24"/>
        </w:rPr>
        <w:t xml:space="preserve"> reporting</w:t>
      </w:r>
      <w:r w:rsidR="00D82F8F" w:rsidRPr="0064132C">
        <w:rPr>
          <w:rFonts w:ascii="Times New Roman" w:hAnsi="Times New Roman"/>
          <w:szCs w:val="24"/>
        </w:rPr>
        <w:t xml:space="preserve"> </w:t>
      </w:r>
      <w:r w:rsidR="009644CD" w:rsidRPr="0064132C">
        <w:rPr>
          <w:rFonts w:ascii="Times New Roman" w:hAnsi="Times New Roman"/>
          <w:szCs w:val="24"/>
        </w:rPr>
        <w:t>burden associated with the</w:t>
      </w:r>
      <w:r w:rsidR="00D82F8F" w:rsidRPr="0064132C">
        <w:rPr>
          <w:rFonts w:ascii="Times New Roman" w:hAnsi="Times New Roman"/>
          <w:szCs w:val="24"/>
        </w:rPr>
        <w:t xml:space="preserve"> Federal Reserve</w:t>
      </w:r>
      <w:r w:rsidR="006B2C93">
        <w:rPr>
          <w:rFonts w:ascii="Times New Roman" w:hAnsi="Times New Roman"/>
          <w:szCs w:val="24"/>
        </w:rPr>
        <w:t>’</w:t>
      </w:r>
      <w:r w:rsidR="00D82F8F" w:rsidRPr="0064132C">
        <w:rPr>
          <w:rFonts w:ascii="Times New Roman" w:hAnsi="Times New Roman"/>
          <w:szCs w:val="24"/>
        </w:rPr>
        <w:t xml:space="preserve">s share of the </w:t>
      </w:r>
      <w:r w:rsidR="009644CD" w:rsidRPr="0064132C">
        <w:rPr>
          <w:rFonts w:ascii="Times New Roman" w:hAnsi="Times New Roman"/>
          <w:szCs w:val="24"/>
        </w:rPr>
        <w:t xml:space="preserve">FFIEC 030 </w:t>
      </w:r>
      <w:r w:rsidR="000C7486" w:rsidRPr="0064132C">
        <w:rPr>
          <w:rFonts w:ascii="Times New Roman" w:hAnsi="Times New Roman"/>
          <w:szCs w:val="24"/>
        </w:rPr>
        <w:t xml:space="preserve">and FFIEC 030S </w:t>
      </w:r>
      <w:r w:rsidR="009644CD" w:rsidRPr="0064132C">
        <w:rPr>
          <w:rFonts w:ascii="Times New Roman" w:hAnsi="Times New Roman"/>
          <w:szCs w:val="24"/>
        </w:rPr>
        <w:t xml:space="preserve">is estimated to </w:t>
      </w:r>
      <w:r w:rsidR="00D82F8F" w:rsidRPr="0064132C">
        <w:rPr>
          <w:rFonts w:ascii="Times New Roman" w:hAnsi="Times New Roman"/>
          <w:szCs w:val="24"/>
        </w:rPr>
        <w:t>b</w:t>
      </w:r>
      <w:r w:rsidR="009644CD" w:rsidRPr="0064132C">
        <w:rPr>
          <w:rFonts w:ascii="Times New Roman" w:hAnsi="Times New Roman"/>
          <w:szCs w:val="24"/>
        </w:rPr>
        <w:t>e</w:t>
      </w:r>
      <w:r w:rsidR="00D82F8F" w:rsidRPr="0064132C">
        <w:rPr>
          <w:rFonts w:ascii="Times New Roman" w:hAnsi="Times New Roman"/>
          <w:szCs w:val="24"/>
        </w:rPr>
        <w:t xml:space="preserve"> </w:t>
      </w:r>
      <w:r w:rsidR="0000565D" w:rsidRPr="0064132C">
        <w:rPr>
          <w:rFonts w:ascii="Times New Roman" w:hAnsi="Times New Roman"/>
          <w:szCs w:val="24"/>
        </w:rPr>
        <w:t>408</w:t>
      </w:r>
      <w:r w:rsidR="009644CD" w:rsidRPr="0064132C">
        <w:rPr>
          <w:rFonts w:ascii="Times New Roman" w:hAnsi="Times New Roman"/>
          <w:szCs w:val="24"/>
        </w:rPr>
        <w:t xml:space="preserve"> hours.  </w:t>
      </w:r>
      <w:r w:rsidR="00D94FF2" w:rsidRPr="0064132C">
        <w:rPr>
          <w:rFonts w:ascii="Times New Roman" w:hAnsi="Times New Roman"/>
          <w:szCs w:val="24"/>
        </w:rPr>
        <w:t xml:space="preserve">The total </w:t>
      </w:r>
      <w:r w:rsidR="009D0B89">
        <w:rPr>
          <w:rFonts w:ascii="Times New Roman" w:hAnsi="Times New Roman"/>
          <w:szCs w:val="24"/>
        </w:rPr>
        <w:t xml:space="preserve">annual </w:t>
      </w:r>
      <w:r w:rsidR="00D94FF2" w:rsidRPr="0064132C">
        <w:rPr>
          <w:rFonts w:ascii="Times New Roman" w:hAnsi="Times New Roman"/>
          <w:szCs w:val="24"/>
        </w:rPr>
        <w:t xml:space="preserve">burden represents less than 1 percent of the total Federal Reserve System </w:t>
      </w:r>
      <w:r w:rsidR="009D0B89">
        <w:rPr>
          <w:rFonts w:ascii="Times New Roman" w:hAnsi="Times New Roman"/>
          <w:szCs w:val="24"/>
        </w:rPr>
        <w:t xml:space="preserve">paperwork </w:t>
      </w:r>
      <w:r w:rsidR="00D94FF2" w:rsidRPr="0064132C">
        <w:rPr>
          <w:rFonts w:ascii="Times New Roman" w:hAnsi="Times New Roman"/>
          <w:szCs w:val="24"/>
        </w:rPr>
        <w:t>burden.</w:t>
      </w:r>
    </w:p>
    <w:p w:rsidR="00E206C3" w:rsidRDefault="00E206C3">
      <w:pPr>
        <w:widowControl/>
        <w:rPr>
          <w:rFonts w:ascii="Times New Roman" w:hAnsi="Times New Roman"/>
          <w:szCs w:val="24"/>
        </w:rPr>
      </w:pPr>
      <w:r>
        <w:rPr>
          <w:rFonts w:ascii="Times New Roman" w:hAnsi="Times New Roman"/>
          <w:szCs w:val="24"/>
        </w:rPr>
        <w:br w:type="page"/>
      </w:r>
    </w:p>
    <w:p w:rsidR="009272AC" w:rsidRPr="0064132C" w:rsidRDefault="009272AC" w:rsidP="009272AC">
      <w:pPr>
        <w:jc w:val="both"/>
        <w:rPr>
          <w:rFonts w:ascii="Times New Roman" w:hAnsi="Times New Roman"/>
          <w:szCs w:val="24"/>
        </w:rPr>
      </w:pPr>
    </w:p>
    <w:tbl>
      <w:tblPr>
        <w:tblW w:w="0" w:type="auto"/>
        <w:tblInd w:w="120" w:type="dxa"/>
        <w:tblLayout w:type="fixed"/>
        <w:tblCellMar>
          <w:left w:w="120" w:type="dxa"/>
          <w:right w:w="120" w:type="dxa"/>
        </w:tblCellMar>
        <w:tblLook w:val="0000"/>
      </w:tblPr>
      <w:tblGrid>
        <w:gridCol w:w="2250"/>
        <w:gridCol w:w="1710"/>
        <w:gridCol w:w="1828"/>
        <w:gridCol w:w="1771"/>
        <w:gridCol w:w="1800"/>
      </w:tblGrid>
      <w:tr w:rsidR="009F3415" w:rsidRPr="0064132C" w:rsidTr="009D0B89">
        <w:tc>
          <w:tcPr>
            <w:tcW w:w="2250" w:type="dxa"/>
            <w:tcBorders>
              <w:top w:val="single" w:sz="6" w:space="0" w:color="auto"/>
              <w:bottom w:val="single" w:sz="6" w:space="0" w:color="auto"/>
            </w:tcBorders>
          </w:tcPr>
          <w:p w:rsidR="009F3415" w:rsidRPr="0064132C" w:rsidRDefault="009F3415" w:rsidP="00C63A4A">
            <w:pPr>
              <w:widowControl/>
              <w:tabs>
                <w:tab w:val="left" w:pos="360"/>
              </w:tabs>
              <w:rPr>
                <w:rFonts w:ascii="Times New Roman" w:hAnsi="Times New Roman"/>
                <w:szCs w:val="24"/>
              </w:rPr>
            </w:pPr>
          </w:p>
        </w:tc>
        <w:tc>
          <w:tcPr>
            <w:tcW w:w="1710" w:type="dxa"/>
            <w:tcBorders>
              <w:top w:val="single" w:sz="6" w:space="0" w:color="auto"/>
              <w:bottom w:val="single" w:sz="6" w:space="0" w:color="auto"/>
            </w:tcBorders>
          </w:tcPr>
          <w:p w:rsidR="009F3415" w:rsidRPr="0064132C" w:rsidRDefault="009F3415" w:rsidP="00C63A4A">
            <w:pPr>
              <w:pStyle w:val="Heading3"/>
              <w:rPr>
                <w:szCs w:val="24"/>
              </w:rPr>
            </w:pPr>
            <w:r w:rsidRPr="0064132C">
              <w:rPr>
                <w:szCs w:val="24"/>
              </w:rPr>
              <w:t>Number of</w:t>
            </w:r>
          </w:p>
          <w:p w:rsidR="009F3415" w:rsidRPr="0064132C" w:rsidRDefault="009F3415" w:rsidP="00C63A4A">
            <w:pPr>
              <w:widowControl/>
              <w:tabs>
                <w:tab w:val="left" w:pos="360"/>
              </w:tabs>
              <w:jc w:val="center"/>
              <w:rPr>
                <w:rFonts w:ascii="Times New Roman" w:hAnsi="Times New Roman"/>
                <w:szCs w:val="24"/>
              </w:rPr>
            </w:pPr>
            <w:r w:rsidRPr="0064132C">
              <w:rPr>
                <w:rFonts w:ascii="Times New Roman" w:hAnsi="Times New Roman"/>
                <w:i/>
                <w:szCs w:val="24"/>
              </w:rPr>
              <w:t>respondents</w:t>
            </w:r>
            <w:r w:rsidR="00D866C4" w:rsidRPr="00D866C4">
              <w:rPr>
                <w:rStyle w:val="FootnoteReference"/>
                <w:rFonts w:ascii="Times New Roman" w:hAnsi="Times New Roman"/>
                <w:i/>
                <w:szCs w:val="24"/>
                <w:vertAlign w:val="superscript"/>
              </w:rPr>
              <w:footnoteReference w:id="1"/>
            </w:r>
          </w:p>
        </w:tc>
        <w:tc>
          <w:tcPr>
            <w:tcW w:w="1828" w:type="dxa"/>
            <w:tcBorders>
              <w:top w:val="single" w:sz="6" w:space="0" w:color="auto"/>
              <w:bottom w:val="single" w:sz="6" w:space="0" w:color="auto"/>
            </w:tcBorders>
          </w:tcPr>
          <w:p w:rsidR="009F3415" w:rsidRPr="0064132C" w:rsidRDefault="009F3415" w:rsidP="00C63A4A">
            <w:pPr>
              <w:pStyle w:val="Heading3"/>
              <w:rPr>
                <w:szCs w:val="24"/>
              </w:rPr>
            </w:pPr>
            <w:r w:rsidRPr="0064132C">
              <w:rPr>
                <w:szCs w:val="24"/>
              </w:rPr>
              <w:t>Annual</w:t>
            </w:r>
          </w:p>
          <w:p w:rsidR="009F3415" w:rsidRPr="0064132C" w:rsidRDefault="009F3415" w:rsidP="00C63A4A">
            <w:pPr>
              <w:widowControl/>
              <w:tabs>
                <w:tab w:val="left" w:pos="360"/>
              </w:tabs>
              <w:jc w:val="center"/>
              <w:rPr>
                <w:rFonts w:ascii="Times New Roman" w:hAnsi="Times New Roman"/>
                <w:szCs w:val="24"/>
              </w:rPr>
            </w:pPr>
            <w:r w:rsidRPr="0064132C">
              <w:rPr>
                <w:rFonts w:ascii="Times New Roman" w:hAnsi="Times New Roman"/>
                <w:i/>
                <w:szCs w:val="24"/>
              </w:rPr>
              <w:t>frequency</w:t>
            </w:r>
          </w:p>
        </w:tc>
        <w:tc>
          <w:tcPr>
            <w:tcW w:w="1771" w:type="dxa"/>
            <w:tcBorders>
              <w:top w:val="single" w:sz="6" w:space="0" w:color="auto"/>
              <w:bottom w:val="single" w:sz="6" w:space="0" w:color="auto"/>
            </w:tcBorders>
          </w:tcPr>
          <w:p w:rsidR="009F3415" w:rsidRPr="0064132C" w:rsidRDefault="009F3415" w:rsidP="00C63A4A">
            <w:pPr>
              <w:widowControl/>
              <w:tabs>
                <w:tab w:val="left" w:pos="360"/>
              </w:tabs>
              <w:jc w:val="center"/>
              <w:rPr>
                <w:rFonts w:ascii="Times New Roman" w:hAnsi="Times New Roman"/>
                <w:i/>
                <w:szCs w:val="24"/>
              </w:rPr>
            </w:pPr>
            <w:r w:rsidRPr="0064132C">
              <w:rPr>
                <w:rFonts w:ascii="Times New Roman" w:hAnsi="Times New Roman"/>
                <w:i/>
                <w:szCs w:val="24"/>
              </w:rPr>
              <w:t>Estimated</w:t>
            </w:r>
          </w:p>
          <w:p w:rsidR="009F3415" w:rsidRPr="0064132C" w:rsidRDefault="009F3415" w:rsidP="00C63A4A">
            <w:pPr>
              <w:widowControl/>
              <w:tabs>
                <w:tab w:val="left" w:pos="360"/>
              </w:tabs>
              <w:jc w:val="center"/>
              <w:rPr>
                <w:rFonts w:ascii="Times New Roman" w:hAnsi="Times New Roman"/>
                <w:i/>
                <w:szCs w:val="24"/>
              </w:rPr>
            </w:pPr>
            <w:r w:rsidRPr="0064132C">
              <w:rPr>
                <w:rFonts w:ascii="Times New Roman" w:hAnsi="Times New Roman"/>
                <w:i/>
                <w:szCs w:val="24"/>
              </w:rPr>
              <w:t>average hours</w:t>
            </w:r>
          </w:p>
          <w:p w:rsidR="009F3415" w:rsidRPr="0064132C" w:rsidRDefault="009F3415" w:rsidP="00C63A4A">
            <w:pPr>
              <w:widowControl/>
              <w:tabs>
                <w:tab w:val="left" w:pos="360"/>
              </w:tabs>
              <w:jc w:val="center"/>
              <w:rPr>
                <w:rFonts w:ascii="Times New Roman" w:hAnsi="Times New Roman"/>
                <w:szCs w:val="24"/>
              </w:rPr>
            </w:pPr>
            <w:r w:rsidRPr="0064132C">
              <w:rPr>
                <w:rFonts w:ascii="Times New Roman" w:hAnsi="Times New Roman"/>
                <w:i/>
                <w:szCs w:val="24"/>
              </w:rPr>
              <w:t>per response</w:t>
            </w:r>
          </w:p>
        </w:tc>
        <w:tc>
          <w:tcPr>
            <w:tcW w:w="1800" w:type="dxa"/>
            <w:tcBorders>
              <w:top w:val="single" w:sz="6" w:space="0" w:color="auto"/>
              <w:bottom w:val="single" w:sz="6" w:space="0" w:color="auto"/>
            </w:tcBorders>
            <w:vAlign w:val="center"/>
          </w:tcPr>
          <w:p w:rsidR="009F3415" w:rsidRPr="0064132C" w:rsidRDefault="009F3415" w:rsidP="00C63A4A">
            <w:pPr>
              <w:widowControl/>
              <w:tabs>
                <w:tab w:val="left" w:pos="360"/>
              </w:tabs>
              <w:jc w:val="center"/>
              <w:rPr>
                <w:rFonts w:ascii="Times New Roman" w:hAnsi="Times New Roman"/>
                <w:i/>
                <w:iCs/>
                <w:szCs w:val="24"/>
              </w:rPr>
            </w:pPr>
            <w:r w:rsidRPr="0064132C">
              <w:rPr>
                <w:rFonts w:ascii="Times New Roman" w:hAnsi="Times New Roman"/>
                <w:i/>
                <w:iCs/>
                <w:szCs w:val="24"/>
              </w:rPr>
              <w:t>Estimated</w:t>
            </w:r>
          </w:p>
          <w:p w:rsidR="009F3415" w:rsidRPr="0064132C" w:rsidRDefault="009F3415" w:rsidP="00C63A4A">
            <w:pPr>
              <w:widowControl/>
              <w:tabs>
                <w:tab w:val="left" w:pos="360"/>
              </w:tabs>
              <w:jc w:val="center"/>
              <w:rPr>
                <w:rFonts w:ascii="Times New Roman" w:hAnsi="Times New Roman"/>
                <w:i/>
                <w:iCs/>
                <w:szCs w:val="24"/>
              </w:rPr>
            </w:pPr>
            <w:r w:rsidRPr="0064132C">
              <w:rPr>
                <w:rFonts w:ascii="Times New Roman" w:hAnsi="Times New Roman"/>
                <w:i/>
                <w:iCs/>
                <w:szCs w:val="24"/>
              </w:rPr>
              <w:t>annual burden</w:t>
            </w:r>
          </w:p>
          <w:p w:rsidR="009F3415" w:rsidRPr="0064132C" w:rsidRDefault="009F3415" w:rsidP="00C63A4A">
            <w:pPr>
              <w:widowControl/>
              <w:tabs>
                <w:tab w:val="left" w:pos="360"/>
              </w:tabs>
              <w:jc w:val="center"/>
              <w:rPr>
                <w:rFonts w:ascii="Times New Roman" w:hAnsi="Times New Roman"/>
                <w:szCs w:val="24"/>
              </w:rPr>
            </w:pPr>
            <w:r w:rsidRPr="0064132C">
              <w:rPr>
                <w:rFonts w:ascii="Times New Roman" w:hAnsi="Times New Roman"/>
                <w:i/>
                <w:iCs/>
                <w:szCs w:val="24"/>
              </w:rPr>
              <w:t>hours</w:t>
            </w:r>
          </w:p>
        </w:tc>
      </w:tr>
      <w:tr w:rsidR="009F3415" w:rsidRPr="0064132C" w:rsidTr="009D0B89">
        <w:trPr>
          <w:trHeight w:val="300"/>
        </w:trPr>
        <w:tc>
          <w:tcPr>
            <w:tcW w:w="2250" w:type="dxa"/>
            <w:tcBorders>
              <w:top w:val="single" w:sz="6" w:space="0" w:color="auto"/>
              <w:left w:val="single" w:sz="6" w:space="0" w:color="FFFFFF"/>
            </w:tcBorders>
          </w:tcPr>
          <w:p w:rsidR="009F3415" w:rsidRPr="0064132C" w:rsidRDefault="009F3415" w:rsidP="00C63A4A">
            <w:pPr>
              <w:pStyle w:val="Heading1"/>
              <w:widowControl w:val="0"/>
              <w:rPr>
                <w:rFonts w:ascii="Times New Roman" w:hAnsi="Times New Roman"/>
                <w:szCs w:val="24"/>
              </w:rPr>
            </w:pPr>
          </w:p>
        </w:tc>
        <w:tc>
          <w:tcPr>
            <w:tcW w:w="1710" w:type="dxa"/>
            <w:tcBorders>
              <w:top w:val="single" w:sz="6" w:space="0" w:color="auto"/>
            </w:tcBorders>
          </w:tcPr>
          <w:p w:rsidR="009F3415" w:rsidRPr="0064132C" w:rsidRDefault="009F3415" w:rsidP="00505630">
            <w:pPr>
              <w:jc w:val="center"/>
              <w:rPr>
                <w:rFonts w:ascii="Times New Roman" w:hAnsi="Times New Roman"/>
                <w:szCs w:val="24"/>
              </w:rPr>
            </w:pPr>
          </w:p>
        </w:tc>
        <w:tc>
          <w:tcPr>
            <w:tcW w:w="1828" w:type="dxa"/>
            <w:tcBorders>
              <w:top w:val="single" w:sz="6" w:space="0" w:color="auto"/>
            </w:tcBorders>
          </w:tcPr>
          <w:p w:rsidR="009F3415" w:rsidRPr="0064132C" w:rsidRDefault="009F3415" w:rsidP="00505630">
            <w:pPr>
              <w:tabs>
                <w:tab w:val="right" w:pos="960"/>
              </w:tabs>
              <w:ind w:right="-2"/>
              <w:jc w:val="center"/>
              <w:rPr>
                <w:rFonts w:ascii="Times New Roman" w:hAnsi="Times New Roman"/>
                <w:szCs w:val="24"/>
              </w:rPr>
            </w:pPr>
          </w:p>
        </w:tc>
        <w:tc>
          <w:tcPr>
            <w:tcW w:w="1771" w:type="dxa"/>
            <w:tcBorders>
              <w:top w:val="single" w:sz="6" w:space="0" w:color="auto"/>
            </w:tcBorders>
          </w:tcPr>
          <w:p w:rsidR="009F3415" w:rsidRPr="0064132C" w:rsidRDefault="009F3415" w:rsidP="009F3415">
            <w:pPr>
              <w:jc w:val="center"/>
              <w:rPr>
                <w:rFonts w:ascii="Times New Roman" w:hAnsi="Times New Roman"/>
                <w:szCs w:val="24"/>
              </w:rPr>
            </w:pPr>
          </w:p>
        </w:tc>
        <w:tc>
          <w:tcPr>
            <w:tcW w:w="1800" w:type="dxa"/>
            <w:tcBorders>
              <w:top w:val="single" w:sz="6" w:space="0" w:color="auto"/>
              <w:right w:val="single" w:sz="6" w:space="0" w:color="FFFFFF"/>
            </w:tcBorders>
          </w:tcPr>
          <w:p w:rsidR="009F3415" w:rsidRPr="0064132C" w:rsidRDefault="009F3415" w:rsidP="00505630">
            <w:pPr>
              <w:tabs>
                <w:tab w:val="left" w:pos="1051"/>
                <w:tab w:val="right" w:pos="1152"/>
              </w:tabs>
              <w:jc w:val="center"/>
              <w:rPr>
                <w:rFonts w:ascii="Times New Roman" w:hAnsi="Times New Roman"/>
                <w:szCs w:val="24"/>
              </w:rPr>
            </w:pPr>
          </w:p>
        </w:tc>
      </w:tr>
      <w:tr w:rsidR="009F3415" w:rsidRPr="0064132C">
        <w:trPr>
          <w:trHeight w:val="300"/>
        </w:trPr>
        <w:tc>
          <w:tcPr>
            <w:tcW w:w="2250" w:type="dxa"/>
            <w:tcBorders>
              <w:left w:val="single" w:sz="6" w:space="0" w:color="FFFFFF"/>
            </w:tcBorders>
          </w:tcPr>
          <w:p w:rsidR="009F3415" w:rsidRPr="0064132C" w:rsidRDefault="009F3415" w:rsidP="00C63A4A">
            <w:pPr>
              <w:pStyle w:val="Heading1"/>
              <w:widowControl w:val="0"/>
              <w:rPr>
                <w:rFonts w:ascii="Times New Roman" w:hAnsi="Times New Roman"/>
                <w:b w:val="0"/>
                <w:bCs/>
                <w:szCs w:val="24"/>
              </w:rPr>
            </w:pPr>
            <w:r w:rsidRPr="0064132C">
              <w:rPr>
                <w:rFonts w:ascii="Times New Roman" w:hAnsi="Times New Roman"/>
                <w:b w:val="0"/>
                <w:szCs w:val="24"/>
              </w:rPr>
              <w:t>FFIEC 030</w:t>
            </w:r>
          </w:p>
        </w:tc>
        <w:tc>
          <w:tcPr>
            <w:tcW w:w="1710" w:type="dxa"/>
          </w:tcPr>
          <w:p w:rsidR="009F3415" w:rsidRPr="0064132C" w:rsidRDefault="009F3415" w:rsidP="00505630">
            <w:pPr>
              <w:pStyle w:val="Header"/>
              <w:tabs>
                <w:tab w:val="clear" w:pos="4320"/>
                <w:tab w:val="clear" w:pos="8640"/>
              </w:tabs>
              <w:jc w:val="center"/>
              <w:rPr>
                <w:rFonts w:ascii="Times New Roman" w:hAnsi="Times New Roman"/>
                <w:szCs w:val="24"/>
              </w:rPr>
            </w:pPr>
          </w:p>
        </w:tc>
        <w:tc>
          <w:tcPr>
            <w:tcW w:w="1828" w:type="dxa"/>
            <w:vAlign w:val="center"/>
          </w:tcPr>
          <w:p w:rsidR="009F3415" w:rsidRPr="0064132C" w:rsidRDefault="009F3415" w:rsidP="00505630">
            <w:pPr>
              <w:tabs>
                <w:tab w:val="right" w:pos="960"/>
              </w:tabs>
              <w:ind w:right="-2"/>
              <w:jc w:val="center"/>
              <w:rPr>
                <w:rFonts w:ascii="Times New Roman" w:hAnsi="Times New Roman"/>
                <w:szCs w:val="24"/>
              </w:rPr>
            </w:pPr>
          </w:p>
        </w:tc>
        <w:tc>
          <w:tcPr>
            <w:tcW w:w="1771" w:type="dxa"/>
          </w:tcPr>
          <w:p w:rsidR="009F3415" w:rsidRPr="0064132C" w:rsidRDefault="009F3415" w:rsidP="009F3415">
            <w:pPr>
              <w:pStyle w:val="Header"/>
              <w:tabs>
                <w:tab w:val="clear" w:pos="4320"/>
                <w:tab w:val="clear" w:pos="8640"/>
              </w:tabs>
              <w:jc w:val="center"/>
              <w:rPr>
                <w:rFonts w:ascii="Times New Roman" w:hAnsi="Times New Roman"/>
                <w:szCs w:val="24"/>
              </w:rPr>
            </w:pPr>
          </w:p>
        </w:tc>
        <w:tc>
          <w:tcPr>
            <w:tcW w:w="1800" w:type="dxa"/>
            <w:tcBorders>
              <w:right w:val="single" w:sz="6" w:space="0" w:color="FFFFFF"/>
            </w:tcBorders>
          </w:tcPr>
          <w:p w:rsidR="009F3415" w:rsidRPr="0064132C" w:rsidRDefault="009F3415" w:rsidP="00505630">
            <w:pPr>
              <w:tabs>
                <w:tab w:val="left" w:pos="1051"/>
                <w:tab w:val="right" w:pos="1152"/>
              </w:tabs>
              <w:jc w:val="center"/>
              <w:rPr>
                <w:rFonts w:ascii="Times New Roman" w:hAnsi="Times New Roman"/>
                <w:szCs w:val="24"/>
              </w:rPr>
            </w:pPr>
          </w:p>
        </w:tc>
      </w:tr>
      <w:tr w:rsidR="009F3415" w:rsidRPr="0064132C">
        <w:trPr>
          <w:trHeight w:val="300"/>
        </w:trPr>
        <w:tc>
          <w:tcPr>
            <w:tcW w:w="2250" w:type="dxa"/>
            <w:tcBorders>
              <w:left w:val="single" w:sz="6" w:space="0" w:color="FFFFFF"/>
            </w:tcBorders>
          </w:tcPr>
          <w:p w:rsidR="009F3415" w:rsidRPr="0064132C" w:rsidRDefault="009F3415" w:rsidP="00C63A4A">
            <w:pPr>
              <w:pStyle w:val="Heading1"/>
              <w:widowControl w:val="0"/>
              <w:rPr>
                <w:rFonts w:ascii="Times New Roman" w:hAnsi="Times New Roman"/>
                <w:b w:val="0"/>
                <w:bCs/>
                <w:szCs w:val="24"/>
              </w:rPr>
            </w:pPr>
            <w:r w:rsidRPr="0064132C">
              <w:rPr>
                <w:rFonts w:ascii="Times New Roman" w:hAnsi="Times New Roman"/>
                <w:b w:val="0"/>
                <w:szCs w:val="24"/>
              </w:rPr>
              <w:t>Annual (branches)</w:t>
            </w:r>
          </w:p>
        </w:tc>
        <w:tc>
          <w:tcPr>
            <w:tcW w:w="1710" w:type="dxa"/>
          </w:tcPr>
          <w:p w:rsidR="009F3415" w:rsidRPr="0064132C" w:rsidRDefault="0000565D" w:rsidP="00505630">
            <w:pPr>
              <w:tabs>
                <w:tab w:val="right" w:pos="1050"/>
              </w:tabs>
              <w:jc w:val="center"/>
              <w:rPr>
                <w:rFonts w:ascii="Times New Roman" w:hAnsi="Times New Roman"/>
                <w:szCs w:val="24"/>
              </w:rPr>
            </w:pPr>
            <w:r w:rsidRPr="0064132C">
              <w:rPr>
                <w:rFonts w:ascii="Times New Roman" w:hAnsi="Times New Roman"/>
                <w:szCs w:val="24"/>
              </w:rPr>
              <w:t>22</w:t>
            </w:r>
          </w:p>
        </w:tc>
        <w:tc>
          <w:tcPr>
            <w:tcW w:w="1828" w:type="dxa"/>
          </w:tcPr>
          <w:p w:rsidR="009F3415" w:rsidRPr="0064132C" w:rsidRDefault="009F3415" w:rsidP="00505630">
            <w:pPr>
              <w:tabs>
                <w:tab w:val="right" w:pos="960"/>
              </w:tabs>
              <w:ind w:right="-2"/>
              <w:jc w:val="center"/>
              <w:rPr>
                <w:rFonts w:ascii="Times New Roman" w:hAnsi="Times New Roman"/>
                <w:szCs w:val="24"/>
              </w:rPr>
            </w:pPr>
            <w:r w:rsidRPr="0064132C">
              <w:rPr>
                <w:rFonts w:ascii="Times New Roman" w:hAnsi="Times New Roman"/>
                <w:szCs w:val="24"/>
              </w:rPr>
              <w:t>1</w:t>
            </w:r>
          </w:p>
        </w:tc>
        <w:tc>
          <w:tcPr>
            <w:tcW w:w="1771" w:type="dxa"/>
          </w:tcPr>
          <w:p w:rsidR="009F3415" w:rsidRPr="0064132C" w:rsidRDefault="009F3415" w:rsidP="00C63A4A">
            <w:pPr>
              <w:pStyle w:val="Header"/>
              <w:tabs>
                <w:tab w:val="clear" w:pos="4320"/>
                <w:tab w:val="clear" w:pos="8640"/>
                <w:tab w:val="decimal" w:pos="662"/>
              </w:tabs>
              <w:rPr>
                <w:rFonts w:ascii="Times New Roman" w:hAnsi="Times New Roman"/>
                <w:szCs w:val="24"/>
              </w:rPr>
            </w:pPr>
            <w:r w:rsidRPr="0064132C">
              <w:rPr>
                <w:rFonts w:ascii="Times New Roman" w:hAnsi="Times New Roman"/>
                <w:szCs w:val="24"/>
              </w:rPr>
              <w:t>3.4</w:t>
            </w:r>
          </w:p>
        </w:tc>
        <w:tc>
          <w:tcPr>
            <w:tcW w:w="1800" w:type="dxa"/>
            <w:tcBorders>
              <w:right w:val="single" w:sz="6" w:space="0" w:color="FFFFFF"/>
            </w:tcBorders>
          </w:tcPr>
          <w:p w:rsidR="009F3415" w:rsidRPr="0064132C" w:rsidRDefault="009F3415" w:rsidP="0000565D">
            <w:pPr>
              <w:tabs>
                <w:tab w:val="right" w:pos="1051"/>
              </w:tabs>
              <w:rPr>
                <w:rFonts w:ascii="Times New Roman" w:hAnsi="Times New Roman"/>
                <w:szCs w:val="24"/>
              </w:rPr>
            </w:pPr>
            <w:r w:rsidRPr="0064132C">
              <w:rPr>
                <w:rFonts w:ascii="Times New Roman" w:hAnsi="Times New Roman"/>
                <w:szCs w:val="24"/>
              </w:rPr>
              <w:tab/>
            </w:r>
            <w:r w:rsidR="00B507BF" w:rsidRPr="0064132C">
              <w:rPr>
                <w:rFonts w:ascii="Times New Roman" w:hAnsi="Times New Roman"/>
                <w:szCs w:val="24"/>
              </w:rPr>
              <w:fldChar w:fldCharType="begin"/>
            </w:r>
            <w:r w:rsidR="00087817" w:rsidRPr="0064132C">
              <w:rPr>
                <w:rFonts w:ascii="Times New Roman" w:hAnsi="Times New Roman"/>
                <w:szCs w:val="24"/>
              </w:rPr>
              <w:instrText xml:space="preserve"> =b4*c4*d4 \# "#,##0" </w:instrText>
            </w:r>
            <w:r w:rsidR="00B507BF" w:rsidRPr="0064132C">
              <w:rPr>
                <w:rFonts w:ascii="Times New Roman" w:hAnsi="Times New Roman"/>
                <w:szCs w:val="24"/>
              </w:rPr>
              <w:fldChar w:fldCharType="separate"/>
            </w:r>
            <w:r w:rsidR="00F16C09">
              <w:rPr>
                <w:rFonts w:ascii="Times New Roman" w:hAnsi="Times New Roman"/>
                <w:noProof/>
                <w:szCs w:val="24"/>
              </w:rPr>
              <w:t xml:space="preserve">  75</w:t>
            </w:r>
            <w:r w:rsidR="00B507BF" w:rsidRPr="0064132C">
              <w:rPr>
                <w:rFonts w:ascii="Times New Roman" w:hAnsi="Times New Roman"/>
                <w:szCs w:val="24"/>
              </w:rPr>
              <w:fldChar w:fldCharType="end"/>
            </w:r>
          </w:p>
        </w:tc>
      </w:tr>
      <w:tr w:rsidR="009F3415" w:rsidRPr="0064132C">
        <w:trPr>
          <w:trHeight w:val="300"/>
        </w:trPr>
        <w:tc>
          <w:tcPr>
            <w:tcW w:w="2250" w:type="dxa"/>
            <w:tcBorders>
              <w:left w:val="single" w:sz="6" w:space="0" w:color="FFFFFF"/>
            </w:tcBorders>
          </w:tcPr>
          <w:p w:rsidR="009F3415" w:rsidRPr="0064132C" w:rsidRDefault="009F3415" w:rsidP="00C63A4A">
            <w:pPr>
              <w:pStyle w:val="Heading1"/>
              <w:widowControl w:val="0"/>
              <w:rPr>
                <w:rFonts w:ascii="Times New Roman" w:hAnsi="Times New Roman"/>
                <w:b w:val="0"/>
                <w:bCs/>
                <w:szCs w:val="24"/>
              </w:rPr>
            </w:pPr>
            <w:r w:rsidRPr="0064132C">
              <w:rPr>
                <w:rFonts w:ascii="Times New Roman" w:hAnsi="Times New Roman"/>
                <w:b w:val="0"/>
                <w:szCs w:val="24"/>
              </w:rPr>
              <w:t>Quarterly (branches)</w:t>
            </w:r>
          </w:p>
        </w:tc>
        <w:tc>
          <w:tcPr>
            <w:tcW w:w="1710" w:type="dxa"/>
          </w:tcPr>
          <w:p w:rsidR="009F3415" w:rsidRPr="0064132C" w:rsidRDefault="0000565D" w:rsidP="00505630">
            <w:pPr>
              <w:tabs>
                <w:tab w:val="right" w:pos="1050"/>
              </w:tabs>
              <w:jc w:val="center"/>
              <w:rPr>
                <w:rFonts w:ascii="Times New Roman" w:hAnsi="Times New Roman"/>
                <w:szCs w:val="24"/>
              </w:rPr>
            </w:pPr>
            <w:r w:rsidRPr="0064132C">
              <w:rPr>
                <w:rFonts w:ascii="Times New Roman" w:hAnsi="Times New Roman"/>
                <w:szCs w:val="24"/>
              </w:rPr>
              <w:t>24</w:t>
            </w:r>
          </w:p>
        </w:tc>
        <w:tc>
          <w:tcPr>
            <w:tcW w:w="1828" w:type="dxa"/>
          </w:tcPr>
          <w:p w:rsidR="009F3415" w:rsidRPr="0064132C" w:rsidRDefault="009F3415" w:rsidP="00505630">
            <w:pPr>
              <w:tabs>
                <w:tab w:val="right" w:pos="960"/>
              </w:tabs>
              <w:ind w:right="-2"/>
              <w:jc w:val="center"/>
              <w:rPr>
                <w:rFonts w:ascii="Times New Roman" w:hAnsi="Times New Roman"/>
                <w:szCs w:val="24"/>
              </w:rPr>
            </w:pPr>
            <w:r w:rsidRPr="0064132C">
              <w:rPr>
                <w:rFonts w:ascii="Times New Roman" w:hAnsi="Times New Roman"/>
                <w:szCs w:val="24"/>
              </w:rPr>
              <w:t>4</w:t>
            </w:r>
          </w:p>
        </w:tc>
        <w:tc>
          <w:tcPr>
            <w:tcW w:w="1771" w:type="dxa"/>
          </w:tcPr>
          <w:p w:rsidR="009F3415" w:rsidRPr="0064132C" w:rsidRDefault="009F3415" w:rsidP="00C63A4A">
            <w:pPr>
              <w:pStyle w:val="Header"/>
              <w:tabs>
                <w:tab w:val="clear" w:pos="4320"/>
                <w:tab w:val="clear" w:pos="8640"/>
                <w:tab w:val="decimal" w:pos="662"/>
              </w:tabs>
              <w:rPr>
                <w:rFonts w:ascii="Times New Roman" w:hAnsi="Times New Roman"/>
                <w:szCs w:val="24"/>
              </w:rPr>
            </w:pPr>
            <w:r w:rsidRPr="0064132C">
              <w:rPr>
                <w:rFonts w:ascii="Times New Roman" w:hAnsi="Times New Roman"/>
                <w:szCs w:val="24"/>
              </w:rPr>
              <w:t>3.4</w:t>
            </w:r>
          </w:p>
        </w:tc>
        <w:tc>
          <w:tcPr>
            <w:tcW w:w="1800" w:type="dxa"/>
            <w:tcBorders>
              <w:right w:val="single" w:sz="6" w:space="0" w:color="FFFFFF"/>
            </w:tcBorders>
          </w:tcPr>
          <w:p w:rsidR="009F3415" w:rsidRPr="0064132C" w:rsidRDefault="009F3415" w:rsidP="0000565D">
            <w:pPr>
              <w:tabs>
                <w:tab w:val="right" w:pos="1051"/>
              </w:tabs>
              <w:rPr>
                <w:rFonts w:ascii="Times New Roman" w:hAnsi="Times New Roman"/>
                <w:szCs w:val="24"/>
              </w:rPr>
            </w:pPr>
            <w:r w:rsidRPr="0064132C">
              <w:rPr>
                <w:rFonts w:ascii="Times New Roman" w:hAnsi="Times New Roman"/>
                <w:szCs w:val="24"/>
              </w:rPr>
              <w:tab/>
            </w:r>
            <w:r w:rsidR="00B507BF" w:rsidRPr="0064132C">
              <w:rPr>
                <w:rFonts w:ascii="Times New Roman" w:hAnsi="Times New Roman"/>
                <w:szCs w:val="24"/>
              </w:rPr>
              <w:fldChar w:fldCharType="begin"/>
            </w:r>
            <w:r w:rsidRPr="0064132C">
              <w:rPr>
                <w:rFonts w:ascii="Times New Roman" w:hAnsi="Times New Roman"/>
                <w:szCs w:val="24"/>
              </w:rPr>
              <w:instrText xml:space="preserve"> =b</w:instrText>
            </w:r>
            <w:r w:rsidR="00087817" w:rsidRPr="0064132C">
              <w:rPr>
                <w:rFonts w:ascii="Times New Roman" w:hAnsi="Times New Roman"/>
                <w:szCs w:val="24"/>
              </w:rPr>
              <w:instrText>5</w:instrText>
            </w:r>
            <w:r w:rsidRPr="0064132C">
              <w:rPr>
                <w:rFonts w:ascii="Times New Roman" w:hAnsi="Times New Roman"/>
                <w:szCs w:val="24"/>
              </w:rPr>
              <w:instrText>*c</w:instrText>
            </w:r>
            <w:r w:rsidR="00087817" w:rsidRPr="0064132C">
              <w:rPr>
                <w:rFonts w:ascii="Times New Roman" w:hAnsi="Times New Roman"/>
                <w:szCs w:val="24"/>
              </w:rPr>
              <w:instrText>5</w:instrText>
            </w:r>
            <w:r w:rsidRPr="0064132C">
              <w:rPr>
                <w:rFonts w:ascii="Times New Roman" w:hAnsi="Times New Roman"/>
                <w:szCs w:val="24"/>
              </w:rPr>
              <w:instrText>*d</w:instrText>
            </w:r>
            <w:r w:rsidR="00087817" w:rsidRPr="0064132C">
              <w:rPr>
                <w:rFonts w:ascii="Times New Roman" w:hAnsi="Times New Roman"/>
                <w:szCs w:val="24"/>
              </w:rPr>
              <w:instrText>5</w:instrText>
            </w:r>
            <w:r w:rsidRPr="0064132C">
              <w:rPr>
                <w:rFonts w:ascii="Times New Roman" w:hAnsi="Times New Roman"/>
                <w:szCs w:val="24"/>
              </w:rPr>
              <w:instrText xml:space="preserve"> \# "#,##0" </w:instrText>
            </w:r>
            <w:r w:rsidR="00B507BF" w:rsidRPr="0064132C">
              <w:rPr>
                <w:rFonts w:ascii="Times New Roman" w:hAnsi="Times New Roman"/>
                <w:szCs w:val="24"/>
              </w:rPr>
              <w:fldChar w:fldCharType="separate"/>
            </w:r>
            <w:r w:rsidR="00F16C09">
              <w:rPr>
                <w:rFonts w:ascii="Times New Roman" w:hAnsi="Times New Roman"/>
                <w:noProof/>
                <w:szCs w:val="24"/>
              </w:rPr>
              <w:t xml:space="preserve"> 326</w:t>
            </w:r>
            <w:r w:rsidR="00B507BF" w:rsidRPr="0064132C">
              <w:rPr>
                <w:rFonts w:ascii="Times New Roman" w:hAnsi="Times New Roman"/>
                <w:szCs w:val="24"/>
              </w:rPr>
              <w:fldChar w:fldCharType="end"/>
            </w:r>
          </w:p>
        </w:tc>
      </w:tr>
      <w:tr w:rsidR="009F3415" w:rsidRPr="0064132C">
        <w:trPr>
          <w:trHeight w:val="300"/>
        </w:trPr>
        <w:tc>
          <w:tcPr>
            <w:tcW w:w="2250" w:type="dxa"/>
            <w:tcBorders>
              <w:left w:val="single" w:sz="6" w:space="0" w:color="FFFFFF"/>
            </w:tcBorders>
          </w:tcPr>
          <w:p w:rsidR="009F3415" w:rsidRPr="0064132C" w:rsidRDefault="009F3415" w:rsidP="00C63A4A">
            <w:pPr>
              <w:pStyle w:val="Heading1"/>
              <w:widowControl w:val="0"/>
              <w:rPr>
                <w:rFonts w:ascii="Times New Roman" w:hAnsi="Times New Roman"/>
                <w:b w:val="0"/>
                <w:bCs/>
                <w:szCs w:val="24"/>
              </w:rPr>
            </w:pPr>
          </w:p>
        </w:tc>
        <w:tc>
          <w:tcPr>
            <w:tcW w:w="1710" w:type="dxa"/>
          </w:tcPr>
          <w:p w:rsidR="009F3415" w:rsidRPr="0064132C" w:rsidRDefault="009F3415" w:rsidP="00505630">
            <w:pPr>
              <w:tabs>
                <w:tab w:val="right" w:pos="1050"/>
              </w:tabs>
              <w:jc w:val="center"/>
              <w:rPr>
                <w:rFonts w:ascii="Times New Roman" w:hAnsi="Times New Roman"/>
                <w:szCs w:val="24"/>
              </w:rPr>
            </w:pPr>
          </w:p>
        </w:tc>
        <w:tc>
          <w:tcPr>
            <w:tcW w:w="1828" w:type="dxa"/>
          </w:tcPr>
          <w:p w:rsidR="009F3415" w:rsidRPr="0064132C" w:rsidRDefault="009F3415" w:rsidP="00505630">
            <w:pPr>
              <w:tabs>
                <w:tab w:val="right" w:pos="960"/>
              </w:tabs>
              <w:ind w:right="-2"/>
              <w:jc w:val="center"/>
              <w:rPr>
                <w:rFonts w:ascii="Times New Roman" w:hAnsi="Times New Roman"/>
                <w:szCs w:val="24"/>
              </w:rPr>
            </w:pPr>
          </w:p>
        </w:tc>
        <w:tc>
          <w:tcPr>
            <w:tcW w:w="1771" w:type="dxa"/>
          </w:tcPr>
          <w:p w:rsidR="009F3415" w:rsidRPr="0064132C" w:rsidRDefault="009F3415" w:rsidP="00505630">
            <w:pPr>
              <w:pStyle w:val="Header"/>
              <w:tabs>
                <w:tab w:val="clear" w:pos="4320"/>
                <w:tab w:val="clear" w:pos="8640"/>
              </w:tabs>
              <w:jc w:val="center"/>
              <w:rPr>
                <w:rFonts w:ascii="Times New Roman" w:hAnsi="Times New Roman"/>
                <w:szCs w:val="24"/>
              </w:rPr>
            </w:pPr>
          </w:p>
        </w:tc>
        <w:tc>
          <w:tcPr>
            <w:tcW w:w="1800" w:type="dxa"/>
            <w:tcBorders>
              <w:right w:val="single" w:sz="6" w:space="0" w:color="FFFFFF"/>
            </w:tcBorders>
          </w:tcPr>
          <w:p w:rsidR="009F3415" w:rsidRPr="0064132C" w:rsidRDefault="009F3415" w:rsidP="00505630">
            <w:pPr>
              <w:tabs>
                <w:tab w:val="left" w:pos="1051"/>
                <w:tab w:val="right" w:pos="1152"/>
              </w:tabs>
              <w:jc w:val="center"/>
              <w:rPr>
                <w:rFonts w:ascii="Times New Roman" w:hAnsi="Times New Roman"/>
                <w:szCs w:val="24"/>
              </w:rPr>
            </w:pPr>
          </w:p>
        </w:tc>
      </w:tr>
      <w:tr w:rsidR="009F3415" w:rsidRPr="0064132C">
        <w:trPr>
          <w:trHeight w:val="300"/>
        </w:trPr>
        <w:tc>
          <w:tcPr>
            <w:tcW w:w="2250" w:type="dxa"/>
            <w:tcBorders>
              <w:left w:val="single" w:sz="6" w:space="0" w:color="FFFFFF"/>
            </w:tcBorders>
          </w:tcPr>
          <w:p w:rsidR="009F3415" w:rsidRPr="0064132C" w:rsidRDefault="009F3415" w:rsidP="00C63A4A">
            <w:pPr>
              <w:pStyle w:val="Heading1"/>
              <w:widowControl w:val="0"/>
              <w:rPr>
                <w:rFonts w:ascii="Times New Roman" w:hAnsi="Times New Roman"/>
                <w:b w:val="0"/>
                <w:bCs/>
                <w:szCs w:val="24"/>
              </w:rPr>
            </w:pPr>
            <w:r w:rsidRPr="0064132C">
              <w:rPr>
                <w:rFonts w:ascii="Times New Roman" w:hAnsi="Times New Roman"/>
                <w:b w:val="0"/>
                <w:szCs w:val="24"/>
              </w:rPr>
              <w:t>FFIEC 030S</w:t>
            </w:r>
          </w:p>
        </w:tc>
        <w:tc>
          <w:tcPr>
            <w:tcW w:w="1710" w:type="dxa"/>
          </w:tcPr>
          <w:p w:rsidR="009F3415" w:rsidRPr="0064132C" w:rsidRDefault="009F3415" w:rsidP="00505630">
            <w:pPr>
              <w:tabs>
                <w:tab w:val="right" w:pos="1050"/>
              </w:tabs>
              <w:jc w:val="center"/>
              <w:rPr>
                <w:rFonts w:ascii="Times New Roman" w:hAnsi="Times New Roman"/>
                <w:szCs w:val="24"/>
              </w:rPr>
            </w:pPr>
          </w:p>
        </w:tc>
        <w:tc>
          <w:tcPr>
            <w:tcW w:w="1828" w:type="dxa"/>
          </w:tcPr>
          <w:p w:rsidR="009F3415" w:rsidRPr="0064132C" w:rsidRDefault="009F3415" w:rsidP="00505630">
            <w:pPr>
              <w:tabs>
                <w:tab w:val="right" w:pos="960"/>
              </w:tabs>
              <w:ind w:right="-2"/>
              <w:jc w:val="center"/>
              <w:rPr>
                <w:rFonts w:ascii="Times New Roman" w:hAnsi="Times New Roman"/>
                <w:szCs w:val="24"/>
              </w:rPr>
            </w:pPr>
          </w:p>
        </w:tc>
        <w:tc>
          <w:tcPr>
            <w:tcW w:w="1771" w:type="dxa"/>
          </w:tcPr>
          <w:p w:rsidR="009F3415" w:rsidRPr="0064132C" w:rsidRDefault="009F3415" w:rsidP="00505630">
            <w:pPr>
              <w:pStyle w:val="Header"/>
              <w:tabs>
                <w:tab w:val="clear" w:pos="4320"/>
                <w:tab w:val="clear" w:pos="8640"/>
              </w:tabs>
              <w:jc w:val="center"/>
              <w:rPr>
                <w:rFonts w:ascii="Times New Roman" w:hAnsi="Times New Roman"/>
                <w:szCs w:val="24"/>
              </w:rPr>
            </w:pPr>
          </w:p>
        </w:tc>
        <w:tc>
          <w:tcPr>
            <w:tcW w:w="1800" w:type="dxa"/>
            <w:tcBorders>
              <w:right w:val="single" w:sz="6" w:space="0" w:color="FFFFFF"/>
            </w:tcBorders>
          </w:tcPr>
          <w:p w:rsidR="009F3415" w:rsidRPr="0064132C" w:rsidRDefault="009F3415" w:rsidP="00505630">
            <w:pPr>
              <w:tabs>
                <w:tab w:val="left" w:pos="1051"/>
                <w:tab w:val="right" w:pos="1152"/>
              </w:tabs>
              <w:jc w:val="center"/>
              <w:rPr>
                <w:rFonts w:ascii="Times New Roman" w:hAnsi="Times New Roman"/>
                <w:szCs w:val="24"/>
              </w:rPr>
            </w:pPr>
          </w:p>
        </w:tc>
      </w:tr>
      <w:tr w:rsidR="00505630" w:rsidRPr="0064132C" w:rsidTr="009D0B89">
        <w:trPr>
          <w:trHeight w:val="300"/>
        </w:trPr>
        <w:tc>
          <w:tcPr>
            <w:tcW w:w="2250" w:type="dxa"/>
            <w:tcBorders>
              <w:left w:val="single" w:sz="6" w:space="0" w:color="FFFFFF"/>
              <w:bottom w:val="single" w:sz="6" w:space="0" w:color="FFFFFF"/>
            </w:tcBorders>
          </w:tcPr>
          <w:p w:rsidR="00505630" w:rsidRPr="0064132C" w:rsidRDefault="00505630" w:rsidP="00C63A4A">
            <w:pPr>
              <w:pStyle w:val="Heading1"/>
              <w:widowControl w:val="0"/>
              <w:rPr>
                <w:rFonts w:ascii="Times New Roman" w:hAnsi="Times New Roman"/>
                <w:b w:val="0"/>
                <w:bCs/>
                <w:szCs w:val="24"/>
              </w:rPr>
            </w:pPr>
            <w:r w:rsidRPr="0064132C">
              <w:rPr>
                <w:rFonts w:ascii="Times New Roman" w:hAnsi="Times New Roman"/>
                <w:b w:val="0"/>
                <w:szCs w:val="24"/>
              </w:rPr>
              <w:t>Annual (branches)</w:t>
            </w:r>
          </w:p>
        </w:tc>
        <w:tc>
          <w:tcPr>
            <w:tcW w:w="1710" w:type="dxa"/>
            <w:tcBorders>
              <w:bottom w:val="single" w:sz="6" w:space="0" w:color="FFFFFF"/>
            </w:tcBorders>
          </w:tcPr>
          <w:p w:rsidR="00505630" w:rsidRPr="0064132C" w:rsidRDefault="0000565D" w:rsidP="00505630">
            <w:pPr>
              <w:tabs>
                <w:tab w:val="right" w:pos="1050"/>
              </w:tabs>
              <w:jc w:val="center"/>
              <w:rPr>
                <w:rFonts w:ascii="Times New Roman" w:hAnsi="Times New Roman"/>
                <w:szCs w:val="24"/>
              </w:rPr>
            </w:pPr>
            <w:r w:rsidRPr="0064132C">
              <w:rPr>
                <w:rFonts w:ascii="Times New Roman" w:hAnsi="Times New Roman"/>
                <w:szCs w:val="24"/>
              </w:rPr>
              <w:t>14</w:t>
            </w:r>
          </w:p>
        </w:tc>
        <w:tc>
          <w:tcPr>
            <w:tcW w:w="1828" w:type="dxa"/>
            <w:tcBorders>
              <w:bottom w:val="single" w:sz="6" w:space="0" w:color="FFFFFF"/>
            </w:tcBorders>
          </w:tcPr>
          <w:p w:rsidR="00505630" w:rsidRPr="0064132C" w:rsidRDefault="00505630" w:rsidP="00505630">
            <w:pPr>
              <w:tabs>
                <w:tab w:val="right" w:pos="960"/>
              </w:tabs>
              <w:ind w:right="-2"/>
              <w:jc w:val="center"/>
              <w:rPr>
                <w:rFonts w:ascii="Times New Roman" w:hAnsi="Times New Roman"/>
                <w:szCs w:val="24"/>
              </w:rPr>
            </w:pPr>
            <w:r w:rsidRPr="0064132C">
              <w:rPr>
                <w:rFonts w:ascii="Times New Roman" w:hAnsi="Times New Roman"/>
                <w:szCs w:val="24"/>
              </w:rPr>
              <w:t>1</w:t>
            </w:r>
          </w:p>
        </w:tc>
        <w:tc>
          <w:tcPr>
            <w:tcW w:w="1771" w:type="dxa"/>
            <w:tcBorders>
              <w:bottom w:val="single" w:sz="6" w:space="0" w:color="FFFFFF"/>
            </w:tcBorders>
          </w:tcPr>
          <w:p w:rsidR="00505630" w:rsidRPr="0064132C" w:rsidRDefault="00505630" w:rsidP="00C63A4A">
            <w:pPr>
              <w:pStyle w:val="Header"/>
              <w:tabs>
                <w:tab w:val="clear" w:pos="4320"/>
                <w:tab w:val="clear" w:pos="8640"/>
                <w:tab w:val="decimal" w:pos="662"/>
              </w:tabs>
              <w:rPr>
                <w:rFonts w:ascii="Times New Roman" w:hAnsi="Times New Roman"/>
                <w:szCs w:val="24"/>
              </w:rPr>
            </w:pPr>
            <w:r w:rsidRPr="0064132C">
              <w:rPr>
                <w:rFonts w:ascii="Times New Roman" w:hAnsi="Times New Roman"/>
                <w:szCs w:val="24"/>
              </w:rPr>
              <w:t>0.5</w:t>
            </w:r>
          </w:p>
        </w:tc>
        <w:tc>
          <w:tcPr>
            <w:tcW w:w="1800" w:type="dxa"/>
            <w:tcBorders>
              <w:bottom w:val="single" w:sz="6" w:space="0" w:color="FFFFFF"/>
              <w:right w:val="single" w:sz="6" w:space="0" w:color="FFFFFF"/>
            </w:tcBorders>
          </w:tcPr>
          <w:p w:rsidR="00505630" w:rsidRPr="0064132C" w:rsidRDefault="00B507BF" w:rsidP="0000565D">
            <w:pPr>
              <w:tabs>
                <w:tab w:val="right" w:pos="1051"/>
              </w:tabs>
              <w:rPr>
                <w:rFonts w:ascii="Times New Roman" w:hAnsi="Times New Roman"/>
                <w:szCs w:val="24"/>
              </w:rPr>
            </w:pPr>
            <w:r>
              <w:rPr>
                <w:rFonts w:ascii="Times New Roman" w:hAnsi="Times New Roman"/>
                <w:noProof/>
                <w:snapToGrid/>
                <w:szCs w:val="24"/>
              </w:rPr>
              <w:pict>
                <v:line id="_x0000_s1027" style="position:absolute;z-index:251657728;mso-position-horizontal-relative:text;mso-position-vertical-relative:text" from="21.95pt,12.95pt" to="57.95pt,12.95pt" strokeweight="1.5pt"/>
              </w:pict>
            </w:r>
            <w:r w:rsidR="00505630" w:rsidRPr="0064132C">
              <w:rPr>
                <w:rFonts w:ascii="Times New Roman" w:hAnsi="Times New Roman"/>
                <w:szCs w:val="24"/>
              </w:rPr>
              <w:tab/>
            </w:r>
            <w:r w:rsidRPr="0064132C">
              <w:rPr>
                <w:rFonts w:ascii="Times New Roman" w:hAnsi="Times New Roman"/>
                <w:szCs w:val="24"/>
              </w:rPr>
              <w:fldChar w:fldCharType="begin"/>
            </w:r>
            <w:r w:rsidR="00505630" w:rsidRPr="0064132C">
              <w:rPr>
                <w:rFonts w:ascii="Times New Roman" w:hAnsi="Times New Roman"/>
                <w:szCs w:val="24"/>
              </w:rPr>
              <w:instrText xml:space="preserve"> =b</w:instrText>
            </w:r>
            <w:r w:rsidR="00087817" w:rsidRPr="0064132C">
              <w:rPr>
                <w:rFonts w:ascii="Times New Roman" w:hAnsi="Times New Roman"/>
                <w:szCs w:val="24"/>
              </w:rPr>
              <w:instrText>8</w:instrText>
            </w:r>
            <w:r w:rsidR="00505630" w:rsidRPr="0064132C">
              <w:rPr>
                <w:rFonts w:ascii="Times New Roman" w:hAnsi="Times New Roman"/>
                <w:szCs w:val="24"/>
              </w:rPr>
              <w:instrText>*c</w:instrText>
            </w:r>
            <w:r w:rsidR="00087817" w:rsidRPr="0064132C">
              <w:rPr>
                <w:rFonts w:ascii="Times New Roman" w:hAnsi="Times New Roman"/>
                <w:szCs w:val="24"/>
              </w:rPr>
              <w:instrText>8</w:instrText>
            </w:r>
            <w:r w:rsidR="00505630" w:rsidRPr="0064132C">
              <w:rPr>
                <w:rFonts w:ascii="Times New Roman" w:hAnsi="Times New Roman"/>
                <w:szCs w:val="24"/>
              </w:rPr>
              <w:instrText>*d</w:instrText>
            </w:r>
            <w:r w:rsidR="00087817" w:rsidRPr="0064132C">
              <w:rPr>
                <w:rFonts w:ascii="Times New Roman" w:hAnsi="Times New Roman"/>
                <w:szCs w:val="24"/>
              </w:rPr>
              <w:instrText>8</w:instrText>
            </w:r>
            <w:r w:rsidR="00505630" w:rsidRPr="0064132C">
              <w:rPr>
                <w:rFonts w:ascii="Times New Roman" w:hAnsi="Times New Roman"/>
                <w:szCs w:val="24"/>
              </w:rPr>
              <w:instrText xml:space="preserve"> \# "#,###" </w:instrText>
            </w:r>
            <w:r w:rsidRPr="0064132C">
              <w:rPr>
                <w:rFonts w:ascii="Times New Roman" w:hAnsi="Times New Roman"/>
                <w:szCs w:val="24"/>
              </w:rPr>
              <w:fldChar w:fldCharType="separate"/>
            </w:r>
            <w:r w:rsidR="00F16C09">
              <w:rPr>
                <w:rFonts w:ascii="Times New Roman" w:hAnsi="Times New Roman"/>
                <w:noProof/>
                <w:szCs w:val="24"/>
              </w:rPr>
              <w:t xml:space="preserve">   7</w:t>
            </w:r>
            <w:r w:rsidRPr="0064132C">
              <w:rPr>
                <w:rFonts w:ascii="Times New Roman" w:hAnsi="Times New Roman"/>
                <w:szCs w:val="24"/>
              </w:rPr>
              <w:fldChar w:fldCharType="end"/>
            </w:r>
          </w:p>
        </w:tc>
      </w:tr>
      <w:tr w:rsidR="009D0B89" w:rsidRPr="0064132C" w:rsidTr="009D0B89">
        <w:trPr>
          <w:trHeight w:val="300"/>
        </w:trPr>
        <w:tc>
          <w:tcPr>
            <w:tcW w:w="2250" w:type="dxa"/>
            <w:tcBorders>
              <w:left w:val="single" w:sz="6" w:space="0" w:color="FFFFFF"/>
              <w:bottom w:val="single" w:sz="6" w:space="0" w:color="FFFFFF"/>
            </w:tcBorders>
          </w:tcPr>
          <w:p w:rsidR="009D0B89" w:rsidRPr="0064132C" w:rsidRDefault="009D0B89" w:rsidP="00C63A4A">
            <w:pPr>
              <w:pStyle w:val="Heading1"/>
              <w:widowControl w:val="0"/>
              <w:rPr>
                <w:rFonts w:ascii="Times New Roman" w:hAnsi="Times New Roman"/>
                <w:b w:val="0"/>
                <w:szCs w:val="24"/>
              </w:rPr>
            </w:pPr>
            <w:r>
              <w:rPr>
                <w:rFonts w:ascii="Times New Roman" w:hAnsi="Times New Roman"/>
                <w:b w:val="0"/>
                <w:szCs w:val="24"/>
              </w:rPr>
              <w:t>Total</w:t>
            </w:r>
          </w:p>
        </w:tc>
        <w:tc>
          <w:tcPr>
            <w:tcW w:w="1710" w:type="dxa"/>
            <w:tcBorders>
              <w:bottom w:val="single" w:sz="6" w:space="0" w:color="FFFFFF"/>
            </w:tcBorders>
          </w:tcPr>
          <w:p w:rsidR="009D0B89" w:rsidRPr="0064132C" w:rsidRDefault="009D0B89" w:rsidP="00505630">
            <w:pPr>
              <w:tabs>
                <w:tab w:val="right" w:pos="1050"/>
              </w:tabs>
              <w:jc w:val="center"/>
              <w:rPr>
                <w:rFonts w:ascii="Times New Roman" w:hAnsi="Times New Roman"/>
                <w:szCs w:val="24"/>
              </w:rPr>
            </w:pPr>
          </w:p>
        </w:tc>
        <w:tc>
          <w:tcPr>
            <w:tcW w:w="1828" w:type="dxa"/>
            <w:tcBorders>
              <w:bottom w:val="single" w:sz="6" w:space="0" w:color="FFFFFF"/>
            </w:tcBorders>
          </w:tcPr>
          <w:p w:rsidR="009D0B89" w:rsidRPr="0064132C" w:rsidRDefault="009D0B89" w:rsidP="00505630">
            <w:pPr>
              <w:tabs>
                <w:tab w:val="right" w:pos="960"/>
              </w:tabs>
              <w:ind w:right="-2"/>
              <w:jc w:val="center"/>
              <w:rPr>
                <w:rFonts w:ascii="Times New Roman" w:hAnsi="Times New Roman"/>
                <w:szCs w:val="24"/>
              </w:rPr>
            </w:pPr>
          </w:p>
        </w:tc>
        <w:tc>
          <w:tcPr>
            <w:tcW w:w="1771" w:type="dxa"/>
            <w:tcBorders>
              <w:bottom w:val="single" w:sz="6" w:space="0" w:color="FFFFFF"/>
            </w:tcBorders>
          </w:tcPr>
          <w:p w:rsidR="009D0B89" w:rsidRPr="0064132C" w:rsidRDefault="009D0B89" w:rsidP="00C63A4A">
            <w:pPr>
              <w:pStyle w:val="Header"/>
              <w:tabs>
                <w:tab w:val="clear" w:pos="4320"/>
                <w:tab w:val="clear" w:pos="8640"/>
                <w:tab w:val="decimal" w:pos="662"/>
              </w:tabs>
              <w:rPr>
                <w:rFonts w:ascii="Times New Roman" w:hAnsi="Times New Roman"/>
                <w:szCs w:val="24"/>
              </w:rPr>
            </w:pPr>
          </w:p>
        </w:tc>
        <w:tc>
          <w:tcPr>
            <w:tcW w:w="1800" w:type="dxa"/>
            <w:tcBorders>
              <w:bottom w:val="single" w:sz="6" w:space="0" w:color="FFFFFF"/>
              <w:right w:val="single" w:sz="6" w:space="0" w:color="FFFFFF"/>
            </w:tcBorders>
          </w:tcPr>
          <w:p w:rsidR="009D0B89" w:rsidRPr="0064132C" w:rsidRDefault="009D0B89" w:rsidP="00774E94">
            <w:pPr>
              <w:tabs>
                <w:tab w:val="right" w:pos="1051"/>
              </w:tabs>
              <w:rPr>
                <w:rFonts w:ascii="Times New Roman" w:hAnsi="Times New Roman"/>
                <w:szCs w:val="24"/>
              </w:rPr>
            </w:pPr>
            <w:r w:rsidRPr="0064132C">
              <w:rPr>
                <w:rFonts w:ascii="Times New Roman" w:hAnsi="Times New Roman"/>
                <w:szCs w:val="24"/>
              </w:rPr>
              <w:tab/>
            </w:r>
            <w:r w:rsidR="00B507BF">
              <w:rPr>
                <w:rFonts w:ascii="Times New Roman" w:hAnsi="Times New Roman"/>
                <w:szCs w:val="24"/>
              </w:rPr>
              <w:fldChar w:fldCharType="begin"/>
            </w:r>
            <w:r w:rsidR="00774E94">
              <w:rPr>
                <w:rFonts w:ascii="Times New Roman" w:hAnsi="Times New Roman"/>
                <w:szCs w:val="24"/>
              </w:rPr>
              <w:instrText xml:space="preserve"> =SUM(e4:e8) \# "#,##0" </w:instrText>
            </w:r>
            <w:r w:rsidR="00B507BF">
              <w:rPr>
                <w:rFonts w:ascii="Times New Roman" w:hAnsi="Times New Roman"/>
                <w:szCs w:val="24"/>
              </w:rPr>
              <w:fldChar w:fldCharType="separate"/>
            </w:r>
            <w:r w:rsidR="00F16C09">
              <w:rPr>
                <w:rFonts w:ascii="Times New Roman" w:hAnsi="Times New Roman"/>
                <w:noProof/>
                <w:szCs w:val="24"/>
              </w:rPr>
              <w:t xml:space="preserve"> 408</w:t>
            </w:r>
            <w:r w:rsidR="00B507BF">
              <w:rPr>
                <w:rFonts w:ascii="Times New Roman" w:hAnsi="Times New Roman"/>
                <w:szCs w:val="24"/>
              </w:rPr>
              <w:fldChar w:fldCharType="end"/>
            </w:r>
          </w:p>
        </w:tc>
      </w:tr>
      <w:tr w:rsidR="00CB463E" w:rsidRPr="0064132C" w:rsidTr="009D0B89">
        <w:trPr>
          <w:trHeight w:val="300"/>
        </w:trPr>
        <w:tc>
          <w:tcPr>
            <w:tcW w:w="2250" w:type="dxa"/>
            <w:tcBorders>
              <w:top w:val="single" w:sz="6" w:space="0" w:color="FFFFFF"/>
              <w:left w:val="single" w:sz="6" w:space="0" w:color="FFFFFF"/>
              <w:bottom w:val="single" w:sz="8" w:space="0" w:color="000000"/>
            </w:tcBorders>
          </w:tcPr>
          <w:p w:rsidR="00CB463E" w:rsidRPr="0064132C" w:rsidRDefault="00CB463E" w:rsidP="00774E94">
            <w:pPr>
              <w:pStyle w:val="Heading2"/>
              <w:jc w:val="left"/>
              <w:rPr>
                <w:rFonts w:ascii="Times New Roman" w:hAnsi="Times New Roman"/>
                <w:szCs w:val="24"/>
              </w:rPr>
            </w:pPr>
          </w:p>
        </w:tc>
        <w:tc>
          <w:tcPr>
            <w:tcW w:w="1710" w:type="dxa"/>
            <w:tcBorders>
              <w:top w:val="single" w:sz="6" w:space="0" w:color="FFFFFF"/>
              <w:bottom w:val="single" w:sz="8" w:space="0" w:color="000000"/>
            </w:tcBorders>
          </w:tcPr>
          <w:p w:rsidR="00CB463E" w:rsidRPr="0064132C" w:rsidRDefault="00CB463E" w:rsidP="00505630">
            <w:pPr>
              <w:widowControl/>
              <w:spacing w:after="19"/>
              <w:jc w:val="center"/>
              <w:rPr>
                <w:rFonts w:ascii="Times New Roman" w:hAnsi="Times New Roman"/>
                <w:szCs w:val="24"/>
              </w:rPr>
            </w:pPr>
          </w:p>
        </w:tc>
        <w:tc>
          <w:tcPr>
            <w:tcW w:w="1828" w:type="dxa"/>
            <w:tcBorders>
              <w:top w:val="single" w:sz="6" w:space="0" w:color="FFFFFF"/>
              <w:bottom w:val="single" w:sz="8" w:space="0" w:color="000000"/>
            </w:tcBorders>
          </w:tcPr>
          <w:p w:rsidR="00CB463E" w:rsidRPr="0064132C" w:rsidRDefault="00CB463E" w:rsidP="00505630">
            <w:pPr>
              <w:widowControl/>
              <w:spacing w:after="19"/>
              <w:jc w:val="center"/>
              <w:rPr>
                <w:rFonts w:ascii="Times New Roman" w:hAnsi="Times New Roman"/>
                <w:szCs w:val="24"/>
              </w:rPr>
            </w:pPr>
          </w:p>
        </w:tc>
        <w:tc>
          <w:tcPr>
            <w:tcW w:w="1771" w:type="dxa"/>
            <w:tcBorders>
              <w:top w:val="single" w:sz="6" w:space="0" w:color="FFFFFF"/>
              <w:bottom w:val="single" w:sz="8" w:space="0" w:color="000000"/>
            </w:tcBorders>
          </w:tcPr>
          <w:p w:rsidR="00CB463E" w:rsidRPr="0064132C" w:rsidRDefault="00CB463E" w:rsidP="00C63A4A">
            <w:pPr>
              <w:widowControl/>
              <w:spacing w:after="19"/>
              <w:jc w:val="center"/>
              <w:rPr>
                <w:rFonts w:ascii="Times New Roman" w:hAnsi="Times New Roman"/>
                <w:szCs w:val="24"/>
              </w:rPr>
            </w:pPr>
          </w:p>
        </w:tc>
        <w:tc>
          <w:tcPr>
            <w:tcW w:w="1800" w:type="dxa"/>
            <w:tcBorders>
              <w:top w:val="single" w:sz="6" w:space="0" w:color="FFFFFF"/>
              <w:bottom w:val="single" w:sz="8" w:space="0" w:color="000000"/>
              <w:right w:val="single" w:sz="6" w:space="0" w:color="FFFFFF"/>
            </w:tcBorders>
            <w:vAlign w:val="bottom"/>
          </w:tcPr>
          <w:p w:rsidR="00CB463E" w:rsidRPr="0064132C" w:rsidRDefault="00CB463E" w:rsidP="001364AF">
            <w:pPr>
              <w:tabs>
                <w:tab w:val="right" w:pos="1141"/>
              </w:tabs>
              <w:rPr>
                <w:rFonts w:ascii="Times New Roman" w:hAnsi="Times New Roman"/>
                <w:szCs w:val="24"/>
              </w:rPr>
            </w:pPr>
          </w:p>
        </w:tc>
      </w:tr>
    </w:tbl>
    <w:p w:rsidR="00C63A4A" w:rsidRPr="0064132C" w:rsidRDefault="00C63A4A">
      <w:pPr>
        <w:widowControl/>
        <w:rPr>
          <w:rFonts w:ascii="Times New Roman" w:hAnsi="Times New Roman"/>
          <w:szCs w:val="24"/>
        </w:rPr>
      </w:pPr>
    </w:p>
    <w:p w:rsidR="00045B04" w:rsidRDefault="0036262C" w:rsidP="0034245E">
      <w:pPr>
        <w:widowControl/>
        <w:rPr>
          <w:rFonts w:ascii="Times New Roman" w:hAnsi="Times New Roman"/>
        </w:rPr>
      </w:pPr>
      <w:r w:rsidRPr="0064132C">
        <w:rPr>
          <w:rFonts w:ascii="Times New Roman" w:hAnsi="Times New Roman"/>
          <w:szCs w:val="24"/>
        </w:rPr>
        <w:t xml:space="preserve">The total cost to the public is estimated to be </w:t>
      </w:r>
      <w:r w:rsidR="00087817" w:rsidRPr="0064132C">
        <w:rPr>
          <w:rFonts w:ascii="Times New Roman" w:hAnsi="Times New Roman"/>
        </w:rPr>
        <w:t>$</w:t>
      </w:r>
      <w:r w:rsidR="0000565D" w:rsidRPr="0064132C">
        <w:rPr>
          <w:rFonts w:ascii="Times New Roman" w:hAnsi="Times New Roman"/>
        </w:rPr>
        <w:t>18</w:t>
      </w:r>
      <w:r w:rsidR="00087817" w:rsidRPr="0064132C">
        <w:rPr>
          <w:rFonts w:ascii="Times New Roman" w:hAnsi="Times New Roman"/>
        </w:rPr>
        <w:t>,</w:t>
      </w:r>
      <w:r w:rsidR="0000565D" w:rsidRPr="0064132C">
        <w:rPr>
          <w:rFonts w:ascii="Times New Roman" w:hAnsi="Times New Roman"/>
        </w:rPr>
        <w:t>299</w:t>
      </w:r>
      <w:r w:rsidR="00087817" w:rsidRPr="0064132C">
        <w:rPr>
          <w:rFonts w:ascii="Times New Roman" w:hAnsi="Times New Roman"/>
        </w:rPr>
        <w:t>.</w:t>
      </w:r>
      <w:r w:rsidR="0000565D" w:rsidRPr="0064132C">
        <w:rPr>
          <w:rStyle w:val="FootnoteReference"/>
          <w:rFonts w:ascii="Times New Roman" w:hAnsi="Times New Roman"/>
          <w:vertAlign w:val="superscript"/>
        </w:rPr>
        <w:footnoteReference w:id="2"/>
      </w:r>
    </w:p>
    <w:p w:rsidR="00F16C09" w:rsidRDefault="00F16C09" w:rsidP="0034245E">
      <w:pPr>
        <w:widowControl/>
        <w:rPr>
          <w:rFonts w:ascii="Times New Roman" w:hAnsi="Times New Roman"/>
        </w:rPr>
      </w:pPr>
    </w:p>
    <w:p w:rsidR="007860CF" w:rsidRPr="0064132C" w:rsidRDefault="007860CF" w:rsidP="007860CF">
      <w:pPr>
        <w:widowControl/>
        <w:rPr>
          <w:rFonts w:ascii="Times New Roman" w:hAnsi="Times New Roman"/>
          <w:szCs w:val="24"/>
        </w:rPr>
      </w:pPr>
      <w:r w:rsidRPr="0064132C">
        <w:rPr>
          <w:rFonts w:ascii="Times New Roman" w:hAnsi="Times New Roman"/>
          <w:b/>
          <w:szCs w:val="24"/>
        </w:rPr>
        <w:t>Sensitive Questions</w:t>
      </w:r>
    </w:p>
    <w:p w:rsidR="007860CF" w:rsidRPr="0064132C" w:rsidRDefault="007860CF" w:rsidP="007860CF">
      <w:pPr>
        <w:widowControl/>
        <w:rPr>
          <w:rFonts w:ascii="Times New Roman" w:hAnsi="Times New Roman"/>
          <w:szCs w:val="24"/>
        </w:rPr>
      </w:pPr>
    </w:p>
    <w:p w:rsidR="007860CF" w:rsidRDefault="007860CF" w:rsidP="0034245E">
      <w:pPr>
        <w:widowControl/>
        <w:ind w:firstLine="720"/>
        <w:rPr>
          <w:rFonts w:ascii="Times New Roman" w:hAnsi="Times New Roman"/>
          <w:szCs w:val="24"/>
        </w:rPr>
      </w:pPr>
      <w:r w:rsidRPr="0064132C">
        <w:rPr>
          <w:rFonts w:ascii="Times New Roman" w:hAnsi="Times New Roman"/>
          <w:szCs w:val="24"/>
        </w:rPr>
        <w:t>This collection of information contains no questions of a sensitive nature, as defined by OMB guidelines.</w:t>
      </w:r>
    </w:p>
    <w:p w:rsidR="00F16C09" w:rsidRPr="0064132C" w:rsidRDefault="00F16C09" w:rsidP="0034245E">
      <w:pPr>
        <w:widowControl/>
        <w:ind w:firstLine="720"/>
        <w:rPr>
          <w:rFonts w:ascii="Times New Roman" w:hAnsi="Times New Roman"/>
          <w:szCs w:val="24"/>
        </w:rPr>
      </w:pPr>
    </w:p>
    <w:p w:rsidR="00045B04" w:rsidRPr="0064132C" w:rsidRDefault="00045B04">
      <w:pPr>
        <w:widowControl/>
        <w:rPr>
          <w:rFonts w:ascii="Times New Roman" w:hAnsi="Times New Roman"/>
          <w:szCs w:val="24"/>
        </w:rPr>
      </w:pPr>
      <w:r w:rsidRPr="0064132C">
        <w:rPr>
          <w:rFonts w:ascii="Times New Roman" w:hAnsi="Times New Roman"/>
          <w:b/>
          <w:szCs w:val="24"/>
        </w:rPr>
        <w:t>Estimated Cost to the Federal Reserve System</w:t>
      </w:r>
    </w:p>
    <w:p w:rsidR="00045B04" w:rsidRPr="0064132C" w:rsidRDefault="00045B04" w:rsidP="009272AC">
      <w:pPr>
        <w:rPr>
          <w:rFonts w:ascii="Times New Roman" w:hAnsi="Times New Roman"/>
          <w:szCs w:val="24"/>
        </w:rPr>
      </w:pPr>
    </w:p>
    <w:p w:rsidR="00045B04" w:rsidRPr="0064132C" w:rsidRDefault="009272AC" w:rsidP="0034245E">
      <w:pPr>
        <w:ind w:firstLine="720"/>
        <w:rPr>
          <w:rFonts w:ascii="Times New Roman" w:hAnsi="Times New Roman"/>
          <w:szCs w:val="24"/>
        </w:rPr>
      </w:pPr>
      <w:r w:rsidRPr="0064132C">
        <w:rPr>
          <w:rFonts w:ascii="Times New Roman" w:hAnsi="Times New Roman"/>
          <w:szCs w:val="24"/>
          <w:lang w:val="en-CA"/>
        </w:rPr>
        <w:t xml:space="preserve">The </w:t>
      </w:r>
      <w:r w:rsidR="00B507BF" w:rsidRPr="0064132C">
        <w:rPr>
          <w:rFonts w:ascii="Times New Roman" w:hAnsi="Times New Roman"/>
          <w:szCs w:val="24"/>
          <w:lang w:val="en-CA"/>
        </w:rPr>
        <w:fldChar w:fldCharType="begin"/>
      </w:r>
      <w:r w:rsidRPr="0064132C">
        <w:rPr>
          <w:rFonts w:ascii="Times New Roman" w:hAnsi="Times New Roman"/>
          <w:szCs w:val="24"/>
          <w:lang w:val="en-CA"/>
        </w:rPr>
        <w:instrText xml:space="preserve"> SEQ CHAPTER \h \r 1</w:instrText>
      </w:r>
      <w:r w:rsidR="00B507BF" w:rsidRPr="0064132C">
        <w:rPr>
          <w:rFonts w:ascii="Times New Roman" w:hAnsi="Times New Roman"/>
          <w:szCs w:val="24"/>
          <w:lang w:val="en-CA"/>
        </w:rPr>
        <w:fldChar w:fldCharType="end"/>
      </w:r>
      <w:r w:rsidRPr="0064132C">
        <w:rPr>
          <w:rFonts w:ascii="Times New Roman" w:hAnsi="Times New Roman"/>
          <w:szCs w:val="24"/>
        </w:rPr>
        <w:t xml:space="preserve">annual cost to the Federal Reserve System for collecting and processing the FFIEC 030 </w:t>
      </w:r>
      <w:r w:rsidR="00B03845" w:rsidRPr="0064132C">
        <w:rPr>
          <w:rFonts w:ascii="Times New Roman" w:hAnsi="Times New Roman"/>
          <w:szCs w:val="24"/>
        </w:rPr>
        <w:t>is estimated to be $</w:t>
      </w:r>
      <w:r w:rsidR="00564624" w:rsidRPr="0064132C">
        <w:rPr>
          <w:rFonts w:ascii="Times New Roman" w:hAnsi="Times New Roman"/>
          <w:szCs w:val="24"/>
        </w:rPr>
        <w:t>5</w:t>
      </w:r>
      <w:r w:rsidR="00B03845" w:rsidRPr="0064132C">
        <w:rPr>
          <w:rFonts w:ascii="Times New Roman" w:hAnsi="Times New Roman"/>
          <w:szCs w:val="24"/>
        </w:rPr>
        <w:t>3,</w:t>
      </w:r>
      <w:r w:rsidR="00564624" w:rsidRPr="0064132C">
        <w:rPr>
          <w:rFonts w:ascii="Times New Roman" w:hAnsi="Times New Roman"/>
          <w:szCs w:val="24"/>
        </w:rPr>
        <w:t>9</w:t>
      </w:r>
      <w:r w:rsidR="00B03845" w:rsidRPr="0064132C">
        <w:rPr>
          <w:rFonts w:ascii="Times New Roman" w:hAnsi="Times New Roman"/>
          <w:szCs w:val="24"/>
        </w:rPr>
        <w:t xml:space="preserve">00 </w:t>
      </w:r>
      <w:r w:rsidRPr="0064132C">
        <w:rPr>
          <w:rFonts w:ascii="Times New Roman" w:hAnsi="Times New Roman"/>
          <w:szCs w:val="24"/>
        </w:rPr>
        <w:t>and FFIEC 030S is estimated to be $</w:t>
      </w:r>
      <w:r w:rsidR="00564624" w:rsidRPr="0064132C">
        <w:rPr>
          <w:rFonts w:ascii="Times New Roman" w:hAnsi="Times New Roman"/>
          <w:szCs w:val="24"/>
        </w:rPr>
        <w:t>11</w:t>
      </w:r>
      <w:r w:rsidRPr="0064132C">
        <w:rPr>
          <w:rFonts w:ascii="Times New Roman" w:hAnsi="Times New Roman"/>
          <w:szCs w:val="24"/>
        </w:rPr>
        <w:t>,</w:t>
      </w:r>
      <w:r w:rsidR="00564624" w:rsidRPr="0064132C">
        <w:rPr>
          <w:rFonts w:ascii="Times New Roman" w:hAnsi="Times New Roman"/>
          <w:szCs w:val="24"/>
        </w:rPr>
        <w:t>2</w:t>
      </w:r>
      <w:r w:rsidRPr="0064132C">
        <w:rPr>
          <w:rFonts w:ascii="Times New Roman" w:hAnsi="Times New Roman"/>
          <w:szCs w:val="24"/>
        </w:rPr>
        <w:t>00.  The Federal Reserve System collects and processes the data for all three of the agencies.</w:t>
      </w:r>
    </w:p>
    <w:sectPr w:rsidR="00045B04" w:rsidRPr="0064132C" w:rsidSect="00D70291">
      <w:footerReference w:type="default" r:id="rId8"/>
      <w:endnotePr>
        <w:numFmt w:val="decimal"/>
      </w:endnotePr>
      <w:type w:val="continuous"/>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B46" w:rsidRDefault="00BC6B46">
      <w:r>
        <w:separator/>
      </w:r>
    </w:p>
  </w:endnote>
  <w:endnote w:type="continuationSeparator" w:id="0">
    <w:p w:rsidR="00BC6B46" w:rsidRDefault="00BC6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B46" w:rsidRPr="00C63A4A" w:rsidRDefault="00B507BF" w:rsidP="00C63A4A">
    <w:pPr>
      <w:pStyle w:val="Footer"/>
      <w:jc w:val="center"/>
      <w:rPr>
        <w:rFonts w:ascii="Times New Roman" w:hAnsi="Times New Roman"/>
      </w:rPr>
    </w:pPr>
    <w:r w:rsidRPr="00C63A4A">
      <w:rPr>
        <w:rStyle w:val="PageNumber"/>
        <w:rFonts w:ascii="Times New Roman" w:hAnsi="Times New Roman"/>
      </w:rPr>
      <w:fldChar w:fldCharType="begin"/>
    </w:r>
    <w:r w:rsidR="00BC6B46" w:rsidRPr="00C63A4A">
      <w:rPr>
        <w:rStyle w:val="PageNumber"/>
        <w:rFonts w:ascii="Times New Roman" w:hAnsi="Times New Roman"/>
      </w:rPr>
      <w:instrText xml:space="preserve"> PAGE </w:instrText>
    </w:r>
    <w:r w:rsidRPr="00C63A4A">
      <w:rPr>
        <w:rStyle w:val="PageNumber"/>
        <w:rFonts w:ascii="Times New Roman" w:hAnsi="Times New Roman"/>
      </w:rPr>
      <w:fldChar w:fldCharType="separate"/>
    </w:r>
    <w:r w:rsidR="00382A4B">
      <w:rPr>
        <w:rStyle w:val="PageNumber"/>
        <w:rFonts w:ascii="Times New Roman" w:hAnsi="Times New Roman"/>
        <w:noProof/>
      </w:rPr>
      <w:t>4</w:t>
    </w:r>
    <w:r w:rsidRPr="00C63A4A">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B46" w:rsidRDefault="00BC6B46">
      <w:r>
        <w:separator/>
      </w:r>
    </w:p>
  </w:footnote>
  <w:footnote w:type="continuationSeparator" w:id="0">
    <w:p w:rsidR="00BC6B46" w:rsidRDefault="00BC6B46">
      <w:r>
        <w:continuationSeparator/>
      </w:r>
    </w:p>
  </w:footnote>
  <w:footnote w:id="1">
    <w:p w:rsidR="00BC6B46" w:rsidRDefault="00BC6B46" w:rsidP="00D866C4">
      <w:pPr>
        <w:pStyle w:val="FootnoteText"/>
      </w:pPr>
      <w:r w:rsidRPr="00D866C4">
        <w:rPr>
          <w:rStyle w:val="FootnoteReference"/>
          <w:szCs w:val="20"/>
          <w:vertAlign w:val="superscript"/>
        </w:rPr>
        <w:footnoteRef/>
      </w:r>
      <w:r>
        <w:t xml:space="preserve">  </w:t>
      </w:r>
      <w:r w:rsidRPr="004169D4">
        <w:t>Of the</w:t>
      </w:r>
      <w:r>
        <w:t>se</w:t>
      </w:r>
      <w:r w:rsidRPr="004169D4">
        <w:t xml:space="preserve"> respondents, </w:t>
      </w:r>
      <w:r w:rsidR="00DA4EFA">
        <w:t>10</w:t>
      </w:r>
      <w:r w:rsidR="00382A4B">
        <w:t xml:space="preserve"> </w:t>
      </w:r>
      <w:r w:rsidR="00DA4EFA">
        <w:t xml:space="preserve">of the </w:t>
      </w:r>
      <w:r w:rsidRPr="00117CB0">
        <w:t>F</w:t>
      </w:r>
      <w:r>
        <w:t xml:space="preserve">FIEC 030S </w:t>
      </w:r>
      <w:r w:rsidRPr="004169D4">
        <w:t xml:space="preserve">are small entities as defined by the Small Business Administration (i.e., entities with less than $175 million in total assets) </w:t>
      </w:r>
      <w:hyperlink r:id="rId1" w:history="1">
        <w:r w:rsidRPr="004169D4">
          <w:rPr>
            <w:rStyle w:val="Hyperlink"/>
          </w:rPr>
          <w:t>www.sba.gov/content/table-small-business-size-standards</w:t>
        </w:r>
      </w:hyperlink>
      <w:r w:rsidRPr="004169D4">
        <w:t>.</w:t>
      </w:r>
    </w:p>
  </w:footnote>
  <w:footnote w:id="2">
    <w:p w:rsidR="00BC6B46" w:rsidRDefault="00BC6B46">
      <w:pPr>
        <w:pStyle w:val="FootnoteText"/>
      </w:pPr>
      <w:r w:rsidRPr="0000565D">
        <w:rPr>
          <w:rStyle w:val="FootnoteReference"/>
          <w:vertAlign w:val="superscript"/>
        </w:rPr>
        <w:footnoteRef/>
      </w:r>
      <w:r>
        <w:t xml:space="preserve">  </w:t>
      </w:r>
      <w:r w:rsidRPr="0000565D">
        <w:t xml:space="preserve">Total cost to the public was estimated using the following formula: </w:t>
      </w:r>
      <w:r>
        <w:t xml:space="preserve"> </w:t>
      </w:r>
      <w:r w:rsidRPr="0000565D">
        <w:t xml:space="preserve">percent of staff time, multiplied by annual burden hours, multiplied by hourly rate (30% Office &amp; Administrative Support @ $17, 45% Financial Managers @ $52, 15% Legal Counsel @ $55, and 10% Chief Executives @ $81).  </w:t>
      </w:r>
      <w:r>
        <w:rPr>
          <w:color w:val="000000"/>
          <w:szCs w:val="20"/>
        </w:rPr>
        <w:t xml:space="preserve">Hourly rate for each occupational group are the median hourly wages (rounded up) from the Bureau of Labor and Statistics (BLS), </w:t>
      </w:r>
      <w:r>
        <w:rPr>
          <w:i/>
          <w:iCs/>
          <w:color w:val="000000"/>
          <w:szCs w:val="20"/>
        </w:rPr>
        <w:t>Occupational Employment and Wages 2011</w:t>
      </w:r>
      <w:r>
        <w:rPr>
          <w:color w:val="000000"/>
          <w:szCs w:val="20"/>
        </w:rPr>
        <w:t xml:space="preserve">, </w:t>
      </w:r>
      <w:r>
        <w:rPr>
          <w:color w:val="0000FF"/>
          <w:szCs w:val="20"/>
        </w:rPr>
        <w:t>www.bls.gov/news.release/ocwage.nr0.htm</w:t>
      </w:r>
      <w:r>
        <w:rPr>
          <w:color w:val="000000"/>
          <w:szCs w:val="20"/>
        </w:rPr>
        <w:t xml:space="preserve">.  Occupations are defined using the BLS Occupational Classification System, </w:t>
      </w:r>
      <w:r>
        <w:rPr>
          <w:color w:val="0000FF"/>
          <w:szCs w:val="20"/>
        </w:rPr>
        <w:t>www.bls.gov/soc/</w:t>
      </w:r>
      <w:r>
        <w:rPr>
          <w:color w:val="00000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60B"/>
    <w:multiLevelType w:val="hybridMultilevel"/>
    <w:tmpl w:val="27E4E454"/>
    <w:lvl w:ilvl="0" w:tplc="FFFFFFF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E6993"/>
    <w:rsid w:val="0000565D"/>
    <w:rsid w:val="00045B04"/>
    <w:rsid w:val="00081D57"/>
    <w:rsid w:val="00087817"/>
    <w:rsid w:val="000A41BC"/>
    <w:rsid w:val="000C6FEA"/>
    <w:rsid w:val="000C7486"/>
    <w:rsid w:val="001364AF"/>
    <w:rsid w:val="0014696A"/>
    <w:rsid w:val="00175B4C"/>
    <w:rsid w:val="0017602C"/>
    <w:rsid w:val="001A1A26"/>
    <w:rsid w:val="001C6CF8"/>
    <w:rsid w:val="001E6993"/>
    <w:rsid w:val="001E7CDB"/>
    <w:rsid w:val="002064C1"/>
    <w:rsid w:val="00207197"/>
    <w:rsid w:val="002646F6"/>
    <w:rsid w:val="00266DD9"/>
    <w:rsid w:val="00281219"/>
    <w:rsid w:val="00291844"/>
    <w:rsid w:val="002C0BE3"/>
    <w:rsid w:val="00316037"/>
    <w:rsid w:val="00323F33"/>
    <w:rsid w:val="0033445E"/>
    <w:rsid w:val="0034245E"/>
    <w:rsid w:val="003612A0"/>
    <w:rsid w:val="0036262C"/>
    <w:rsid w:val="00382A4B"/>
    <w:rsid w:val="003B7531"/>
    <w:rsid w:val="003E736E"/>
    <w:rsid w:val="0040050C"/>
    <w:rsid w:val="00403602"/>
    <w:rsid w:val="00407D2C"/>
    <w:rsid w:val="004256EE"/>
    <w:rsid w:val="00484A75"/>
    <w:rsid w:val="00495BB9"/>
    <w:rsid w:val="004B5377"/>
    <w:rsid w:val="004C6DE7"/>
    <w:rsid w:val="004E07F9"/>
    <w:rsid w:val="00505630"/>
    <w:rsid w:val="0052456A"/>
    <w:rsid w:val="00531A29"/>
    <w:rsid w:val="00564624"/>
    <w:rsid w:val="005A44B9"/>
    <w:rsid w:val="005A5830"/>
    <w:rsid w:val="005A689C"/>
    <w:rsid w:val="005D3839"/>
    <w:rsid w:val="006176B0"/>
    <w:rsid w:val="0064132C"/>
    <w:rsid w:val="006B1A6F"/>
    <w:rsid w:val="006B2C93"/>
    <w:rsid w:val="006F655B"/>
    <w:rsid w:val="007016D4"/>
    <w:rsid w:val="00774E94"/>
    <w:rsid w:val="007860CF"/>
    <w:rsid w:val="007B257E"/>
    <w:rsid w:val="007B3D84"/>
    <w:rsid w:val="007E3BA4"/>
    <w:rsid w:val="00827299"/>
    <w:rsid w:val="00837430"/>
    <w:rsid w:val="00850DA5"/>
    <w:rsid w:val="00860DD6"/>
    <w:rsid w:val="008A2492"/>
    <w:rsid w:val="008A3E21"/>
    <w:rsid w:val="008A54FF"/>
    <w:rsid w:val="008C2195"/>
    <w:rsid w:val="009261C4"/>
    <w:rsid w:val="009272AC"/>
    <w:rsid w:val="00964162"/>
    <w:rsid w:val="009644CD"/>
    <w:rsid w:val="009C4436"/>
    <w:rsid w:val="009D0B89"/>
    <w:rsid w:val="009F3415"/>
    <w:rsid w:val="00A406D4"/>
    <w:rsid w:val="00A4290D"/>
    <w:rsid w:val="00A70811"/>
    <w:rsid w:val="00A73D90"/>
    <w:rsid w:val="00AB3904"/>
    <w:rsid w:val="00AD115A"/>
    <w:rsid w:val="00AE6EFC"/>
    <w:rsid w:val="00AF7186"/>
    <w:rsid w:val="00B03845"/>
    <w:rsid w:val="00B45F49"/>
    <w:rsid w:val="00B507BF"/>
    <w:rsid w:val="00BB2307"/>
    <w:rsid w:val="00BC6B46"/>
    <w:rsid w:val="00BF7247"/>
    <w:rsid w:val="00C25B75"/>
    <w:rsid w:val="00C35D46"/>
    <w:rsid w:val="00C37E49"/>
    <w:rsid w:val="00C63A4A"/>
    <w:rsid w:val="00C64980"/>
    <w:rsid w:val="00CB463E"/>
    <w:rsid w:val="00CD51CA"/>
    <w:rsid w:val="00CE1DD8"/>
    <w:rsid w:val="00CF1D80"/>
    <w:rsid w:val="00CF2060"/>
    <w:rsid w:val="00D70291"/>
    <w:rsid w:val="00D82F8F"/>
    <w:rsid w:val="00D866C4"/>
    <w:rsid w:val="00D94FF2"/>
    <w:rsid w:val="00D955AE"/>
    <w:rsid w:val="00D966CA"/>
    <w:rsid w:val="00DA4EFA"/>
    <w:rsid w:val="00E206C3"/>
    <w:rsid w:val="00E45F5B"/>
    <w:rsid w:val="00E9003F"/>
    <w:rsid w:val="00E9725B"/>
    <w:rsid w:val="00EA66B3"/>
    <w:rsid w:val="00F15362"/>
    <w:rsid w:val="00F16C09"/>
    <w:rsid w:val="00F20ADF"/>
    <w:rsid w:val="00F21347"/>
    <w:rsid w:val="00F761DF"/>
    <w:rsid w:val="00FE18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EE"/>
    <w:pPr>
      <w:widowControl w:val="0"/>
    </w:pPr>
    <w:rPr>
      <w:rFonts w:ascii="Courier" w:hAnsi="Courier"/>
      <w:snapToGrid w:val="0"/>
      <w:sz w:val="24"/>
    </w:rPr>
  </w:style>
  <w:style w:type="paragraph" w:styleId="Heading1">
    <w:name w:val="heading 1"/>
    <w:basedOn w:val="Normal"/>
    <w:next w:val="Normal"/>
    <w:qFormat/>
    <w:rsid w:val="004256EE"/>
    <w:pPr>
      <w:keepNext/>
      <w:widowControl/>
      <w:outlineLvl w:val="0"/>
    </w:pPr>
    <w:rPr>
      <w:rFonts w:ascii="Times" w:hAnsi="Times"/>
      <w:b/>
    </w:rPr>
  </w:style>
  <w:style w:type="paragraph" w:styleId="Heading2">
    <w:name w:val="heading 2"/>
    <w:basedOn w:val="Normal"/>
    <w:next w:val="Normal"/>
    <w:qFormat/>
    <w:rsid w:val="004256EE"/>
    <w:pPr>
      <w:keepNext/>
      <w:widowControl/>
      <w:spacing w:after="58"/>
      <w:jc w:val="right"/>
      <w:outlineLvl w:val="1"/>
    </w:pPr>
    <w:rPr>
      <w:rFonts w:ascii="Times" w:hAnsi="Times"/>
      <w:i/>
    </w:rPr>
  </w:style>
  <w:style w:type="paragraph" w:styleId="Heading3">
    <w:name w:val="heading 3"/>
    <w:basedOn w:val="Normal"/>
    <w:next w:val="Normal"/>
    <w:qFormat/>
    <w:rsid w:val="009F3415"/>
    <w:pPr>
      <w:keepNext/>
      <w:widowControl/>
      <w:tabs>
        <w:tab w:val="left" w:pos="360"/>
      </w:tabs>
      <w:jc w:val="center"/>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56EE"/>
  </w:style>
  <w:style w:type="paragraph" w:styleId="Header">
    <w:name w:val="header"/>
    <w:basedOn w:val="Normal"/>
    <w:rsid w:val="004256EE"/>
    <w:pPr>
      <w:tabs>
        <w:tab w:val="center" w:pos="4320"/>
        <w:tab w:val="right" w:pos="8640"/>
      </w:tabs>
    </w:pPr>
  </w:style>
  <w:style w:type="paragraph" w:styleId="Footer">
    <w:name w:val="footer"/>
    <w:basedOn w:val="Normal"/>
    <w:rsid w:val="004256EE"/>
    <w:pPr>
      <w:tabs>
        <w:tab w:val="center" w:pos="4320"/>
        <w:tab w:val="right" w:pos="8640"/>
      </w:tabs>
    </w:pPr>
  </w:style>
  <w:style w:type="paragraph" w:styleId="BodyTextIndent">
    <w:name w:val="Body Text Indent"/>
    <w:basedOn w:val="Normal"/>
    <w:rsid w:val="004256EE"/>
    <w:pPr>
      <w:widowControl/>
      <w:ind w:firstLine="720"/>
    </w:pPr>
    <w:rPr>
      <w:rFonts w:ascii="Times New Roman" w:hAnsi="Times New Roman"/>
    </w:rPr>
  </w:style>
  <w:style w:type="character" w:styleId="PageNumber">
    <w:name w:val="page number"/>
    <w:basedOn w:val="DefaultParagraphFont"/>
    <w:rsid w:val="00C63A4A"/>
  </w:style>
  <w:style w:type="paragraph" w:styleId="FootnoteText">
    <w:name w:val="footnote text"/>
    <w:basedOn w:val="Normal"/>
    <w:semiHidden/>
    <w:rsid w:val="0036262C"/>
    <w:pPr>
      <w:autoSpaceDE w:val="0"/>
      <w:autoSpaceDN w:val="0"/>
      <w:adjustRightInd w:val="0"/>
    </w:pPr>
    <w:rPr>
      <w:rFonts w:ascii="Times New Roman" w:hAnsi="Times New Roman"/>
      <w:snapToGrid/>
      <w:sz w:val="20"/>
      <w:szCs w:val="24"/>
    </w:rPr>
  </w:style>
  <w:style w:type="character" w:styleId="Hyperlink">
    <w:name w:val="Hyperlink"/>
    <w:basedOn w:val="DefaultParagraphFont"/>
    <w:rsid w:val="00087817"/>
    <w:rPr>
      <w:color w:val="0000FF"/>
      <w:u w:val="single"/>
    </w:rPr>
  </w:style>
  <w:style w:type="character" w:styleId="FollowedHyperlink">
    <w:name w:val="FollowedHyperlink"/>
    <w:basedOn w:val="DefaultParagraphFont"/>
    <w:rsid w:val="0052456A"/>
    <w:rPr>
      <w:color w:val="0000FF"/>
      <w:u w:val="single"/>
    </w:rPr>
  </w:style>
  <w:style w:type="character" w:styleId="CommentReference">
    <w:name w:val="annotation reference"/>
    <w:basedOn w:val="DefaultParagraphFont"/>
    <w:uiPriority w:val="99"/>
    <w:semiHidden/>
    <w:unhideWhenUsed/>
    <w:rsid w:val="00A70811"/>
    <w:rPr>
      <w:sz w:val="16"/>
      <w:szCs w:val="16"/>
    </w:rPr>
  </w:style>
  <w:style w:type="paragraph" w:styleId="CommentText">
    <w:name w:val="annotation text"/>
    <w:basedOn w:val="Normal"/>
    <w:link w:val="CommentTextChar"/>
    <w:uiPriority w:val="99"/>
    <w:semiHidden/>
    <w:unhideWhenUsed/>
    <w:rsid w:val="00A70811"/>
    <w:rPr>
      <w:sz w:val="20"/>
    </w:rPr>
  </w:style>
  <w:style w:type="character" w:customStyle="1" w:styleId="CommentTextChar">
    <w:name w:val="Comment Text Char"/>
    <w:basedOn w:val="DefaultParagraphFont"/>
    <w:link w:val="CommentText"/>
    <w:uiPriority w:val="99"/>
    <w:semiHidden/>
    <w:rsid w:val="00A70811"/>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A70811"/>
    <w:rPr>
      <w:b/>
      <w:bCs/>
    </w:rPr>
  </w:style>
  <w:style w:type="character" w:customStyle="1" w:styleId="CommentSubjectChar">
    <w:name w:val="Comment Subject Char"/>
    <w:basedOn w:val="CommentTextChar"/>
    <w:link w:val="CommentSubject"/>
    <w:uiPriority w:val="99"/>
    <w:semiHidden/>
    <w:rsid w:val="00A70811"/>
    <w:rPr>
      <w:b/>
      <w:bCs/>
    </w:rPr>
  </w:style>
  <w:style w:type="paragraph" w:styleId="BalloonText">
    <w:name w:val="Balloon Text"/>
    <w:basedOn w:val="Normal"/>
    <w:link w:val="BalloonTextChar"/>
    <w:uiPriority w:val="99"/>
    <w:semiHidden/>
    <w:unhideWhenUsed/>
    <w:rsid w:val="00A70811"/>
    <w:rPr>
      <w:rFonts w:ascii="Tahoma" w:hAnsi="Tahoma" w:cs="Tahoma"/>
      <w:sz w:val="16"/>
      <w:szCs w:val="16"/>
    </w:rPr>
  </w:style>
  <w:style w:type="character" w:customStyle="1" w:styleId="BalloonTextChar">
    <w:name w:val="Balloon Text Char"/>
    <w:basedOn w:val="DefaultParagraphFont"/>
    <w:link w:val="BalloonText"/>
    <w:uiPriority w:val="99"/>
    <w:semiHidden/>
    <w:rsid w:val="00A70811"/>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BA9A-7246-494C-80D5-4162CB198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9461</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frbuser</dc:creator>
  <cp:keywords/>
  <dc:description/>
  <cp:lastModifiedBy>frbuser</cp:lastModifiedBy>
  <cp:revision>2</cp:revision>
  <cp:lastPrinted>2012-11-08T21:01:00Z</cp:lastPrinted>
  <dcterms:created xsi:type="dcterms:W3CDTF">2012-11-09T22:09:00Z</dcterms:created>
  <dcterms:modified xsi:type="dcterms:W3CDTF">2012-11-09T22:09:00Z</dcterms:modified>
</cp:coreProperties>
</file>