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E7D" w:rsidRDefault="00A83E7D">
      <w:pPr>
        <w:pStyle w:val="Heading2"/>
        <w:jc w:val="center"/>
      </w:pPr>
      <w:r>
        <w:t>Supporting Statement for Information Collection:</w:t>
      </w:r>
    </w:p>
    <w:p w:rsidR="00A83E7D" w:rsidRDefault="00A83E7D">
      <w:pPr>
        <w:pStyle w:val="Heading2"/>
        <w:jc w:val="center"/>
      </w:pPr>
      <w:r>
        <w:t>Proposal to Lease Space</w:t>
      </w:r>
      <w:r w:rsidR="003701E0">
        <w:t>, GSA Form</w:t>
      </w:r>
      <w:r w:rsidR="001672BA">
        <w:t>s</w:t>
      </w:r>
      <w:r w:rsidR="003701E0">
        <w:t xml:space="preserve"> 1364</w:t>
      </w:r>
      <w:r w:rsidR="001672BA" w:rsidRPr="001672BA">
        <w:t xml:space="preserve">A, 1364A-1, 1364B, 1364C, </w:t>
      </w:r>
      <w:r w:rsidR="001672BA">
        <w:t xml:space="preserve">and </w:t>
      </w:r>
      <w:r w:rsidR="001672BA" w:rsidRPr="001672BA">
        <w:t>1364</w:t>
      </w:r>
      <w:r w:rsidR="00930513">
        <w:t>D</w:t>
      </w:r>
      <w:r w:rsidR="003701E0">
        <w:t xml:space="preserve">, </w:t>
      </w:r>
      <w:r>
        <w:t>(OMB Control No. 3090-0086)</w:t>
      </w:r>
    </w:p>
    <w:p w:rsidR="00A83E7D" w:rsidRDefault="00A83E7D">
      <w:pPr>
        <w:pStyle w:val="Heading2"/>
        <w:jc w:val="center"/>
      </w:pPr>
    </w:p>
    <w:p w:rsidR="00A83E7D" w:rsidRPr="003701E0" w:rsidRDefault="00A83E7D" w:rsidP="003701E0">
      <w:pPr>
        <w:pStyle w:val="Heading1"/>
        <w:numPr>
          <w:ilvl w:val="0"/>
          <w:numId w:val="2"/>
        </w:numPr>
        <w:rPr>
          <w:u w:val="none"/>
        </w:rPr>
      </w:pPr>
      <w:proofErr w:type="gramStart"/>
      <w:r w:rsidRPr="003701E0">
        <w:rPr>
          <w:u w:val="none"/>
        </w:rPr>
        <w:t>Justification.</w:t>
      </w:r>
      <w:proofErr w:type="gramEnd"/>
    </w:p>
    <w:p w:rsidR="00A83E7D" w:rsidRDefault="00A83E7D">
      <w:pPr>
        <w:rPr>
          <w:sz w:val="24"/>
        </w:rPr>
      </w:pPr>
    </w:p>
    <w:p w:rsidR="00A83E7D" w:rsidRPr="003701E0" w:rsidRDefault="00A83E7D">
      <w:pPr>
        <w:rPr>
          <w:color w:val="000000"/>
          <w:sz w:val="24"/>
        </w:rPr>
      </w:pPr>
      <w:r>
        <w:rPr>
          <w:color w:val="000000"/>
          <w:sz w:val="24"/>
        </w:rPr>
        <w:t xml:space="preserve">1.  </w:t>
      </w:r>
      <w:r w:rsidR="003701E0">
        <w:rPr>
          <w:b/>
          <w:color w:val="000000"/>
          <w:sz w:val="24"/>
        </w:rPr>
        <w:t>Administrative requirements.</w:t>
      </w:r>
      <w:r w:rsidR="003701E0">
        <w:rPr>
          <w:color w:val="000000"/>
          <w:sz w:val="24"/>
        </w:rPr>
        <w:t xml:space="preserve">  </w:t>
      </w:r>
      <w:r>
        <w:rPr>
          <w:sz w:val="24"/>
        </w:rPr>
        <w:t>In accordance with GSAR 570.</w:t>
      </w:r>
      <w:r w:rsidR="007423A9">
        <w:rPr>
          <w:sz w:val="24"/>
        </w:rPr>
        <w:t xml:space="preserve">802 </w:t>
      </w:r>
      <w:r>
        <w:rPr>
          <w:sz w:val="24"/>
        </w:rPr>
        <w:t xml:space="preserve">(c), the GSA Form is used to obtain information about property being offered for lease to house Federal agencies. The form also provides an equitable way to compare </w:t>
      </w:r>
      <w:proofErr w:type="spellStart"/>
      <w:r>
        <w:rPr>
          <w:sz w:val="24"/>
        </w:rPr>
        <w:t>lessor</w:t>
      </w:r>
      <w:proofErr w:type="spellEnd"/>
      <w:r>
        <w:rPr>
          <w:sz w:val="24"/>
        </w:rPr>
        <w:t xml:space="preserve"> proposals.  </w:t>
      </w:r>
      <w:r w:rsidR="004E4C44">
        <w:rPr>
          <w:sz w:val="24"/>
        </w:rPr>
        <w:t>(</w:t>
      </w:r>
      <w:r>
        <w:rPr>
          <w:sz w:val="24"/>
        </w:rPr>
        <w:t>Note</w:t>
      </w:r>
      <w:r w:rsidR="004E4C44">
        <w:rPr>
          <w:sz w:val="24"/>
        </w:rPr>
        <w:t>:</w:t>
      </w:r>
      <w:r>
        <w:rPr>
          <w:sz w:val="24"/>
        </w:rPr>
        <w:t xml:space="preserve">  OMB Control No. 3090-0086 is referenced under GSAR 501.106, OMB Approval </w:t>
      </w:r>
      <w:proofErr w:type="gramStart"/>
      <w:r>
        <w:rPr>
          <w:sz w:val="24"/>
        </w:rPr>
        <w:t>Under</w:t>
      </w:r>
      <w:proofErr w:type="gramEnd"/>
      <w:r>
        <w:rPr>
          <w:sz w:val="24"/>
        </w:rPr>
        <w:t xml:space="preserve"> the Paperwork Reduction Act.</w:t>
      </w:r>
      <w:r w:rsidR="004E4C44">
        <w:rPr>
          <w:sz w:val="24"/>
        </w:rPr>
        <w:t>)</w:t>
      </w:r>
    </w:p>
    <w:p w:rsidR="00A83E7D" w:rsidRDefault="00A83E7D">
      <w:pPr>
        <w:rPr>
          <w:sz w:val="24"/>
        </w:rPr>
      </w:pPr>
    </w:p>
    <w:p w:rsidR="00A83E7D" w:rsidRPr="003701E0" w:rsidRDefault="00A83E7D">
      <w:pPr>
        <w:rPr>
          <w:color w:val="000000"/>
          <w:sz w:val="24"/>
        </w:rPr>
      </w:pPr>
      <w:r>
        <w:rPr>
          <w:sz w:val="24"/>
        </w:rPr>
        <w:t xml:space="preserve">2.  </w:t>
      </w:r>
      <w:r w:rsidR="003701E0">
        <w:rPr>
          <w:b/>
          <w:color w:val="000000"/>
          <w:sz w:val="24"/>
        </w:rPr>
        <w:t>Uses of information.</w:t>
      </w:r>
      <w:r w:rsidR="003701E0">
        <w:rPr>
          <w:color w:val="000000"/>
          <w:sz w:val="24"/>
        </w:rPr>
        <w:t xml:space="preserve">  </w:t>
      </w:r>
      <w:r>
        <w:rPr>
          <w:sz w:val="24"/>
        </w:rPr>
        <w:t>The information is used by leasing contracting officers to evaluate</w:t>
      </w:r>
      <w:r w:rsidR="0053229C">
        <w:rPr>
          <w:sz w:val="24"/>
        </w:rPr>
        <w:t xml:space="preserve"> lease</w:t>
      </w:r>
      <w:r>
        <w:rPr>
          <w:sz w:val="24"/>
        </w:rPr>
        <w:t xml:space="preserve"> proposals</w:t>
      </w:r>
      <w:r w:rsidR="0053229C">
        <w:rPr>
          <w:sz w:val="24"/>
        </w:rPr>
        <w:t xml:space="preserve"> and</w:t>
      </w:r>
      <w:r>
        <w:rPr>
          <w:sz w:val="24"/>
        </w:rPr>
        <w:t xml:space="preserve"> </w:t>
      </w:r>
      <w:r w:rsidR="0053229C">
        <w:rPr>
          <w:sz w:val="24"/>
        </w:rPr>
        <w:t>negotiate lease contract terms and conditions</w:t>
      </w:r>
      <w:r>
        <w:rPr>
          <w:sz w:val="24"/>
        </w:rPr>
        <w:t xml:space="preserve"> in a competitive environment. </w:t>
      </w:r>
    </w:p>
    <w:p w:rsidR="00A83E7D" w:rsidRDefault="00A83E7D">
      <w:pPr>
        <w:rPr>
          <w:sz w:val="24"/>
        </w:rPr>
      </w:pPr>
    </w:p>
    <w:p w:rsidR="00A83E7D" w:rsidRPr="003701E0" w:rsidRDefault="00A83E7D">
      <w:pPr>
        <w:rPr>
          <w:b/>
          <w:sz w:val="24"/>
        </w:rPr>
      </w:pPr>
      <w:r>
        <w:rPr>
          <w:sz w:val="24"/>
        </w:rPr>
        <w:t>3.</w:t>
      </w:r>
      <w:r w:rsidR="00F85102">
        <w:rPr>
          <w:sz w:val="24"/>
        </w:rPr>
        <w:t xml:space="preserve"> </w:t>
      </w:r>
      <w:r>
        <w:rPr>
          <w:color w:val="000000"/>
          <w:sz w:val="24"/>
        </w:rPr>
        <w:t xml:space="preserve"> </w:t>
      </w:r>
      <w:r w:rsidR="003701E0">
        <w:rPr>
          <w:b/>
          <w:color w:val="000000"/>
          <w:sz w:val="24"/>
        </w:rPr>
        <w:t>Consideration of information technology.</w:t>
      </w:r>
      <w:r w:rsidR="003701E0">
        <w:rPr>
          <w:b/>
          <w:sz w:val="24"/>
        </w:rPr>
        <w:t xml:space="preserve">  </w:t>
      </w:r>
      <w:r>
        <w:rPr>
          <w:sz w:val="24"/>
        </w:rPr>
        <w:t xml:space="preserve">Currently, proposals are manually completed and submitted by </w:t>
      </w:r>
      <w:proofErr w:type="spellStart"/>
      <w:r>
        <w:rPr>
          <w:sz w:val="24"/>
        </w:rPr>
        <w:t>offerors</w:t>
      </w:r>
      <w:proofErr w:type="spellEnd"/>
      <w:r>
        <w:rPr>
          <w:sz w:val="24"/>
        </w:rPr>
        <w:t xml:space="preserve">.  This form is electronically available and can be posted electronically for solicitation purposes.  </w:t>
      </w:r>
      <w:r w:rsidR="002D7723">
        <w:rPr>
          <w:sz w:val="24"/>
        </w:rPr>
        <w:t>GSA is pursuing the use of electronic proposals in its leasing program but is currently not ready to implement a national Information Technology</w:t>
      </w:r>
      <w:r w:rsidR="00887B21">
        <w:rPr>
          <w:sz w:val="24"/>
        </w:rPr>
        <w:t xml:space="preserve"> solution </w:t>
      </w:r>
      <w:r w:rsidR="002D7723">
        <w:rPr>
          <w:sz w:val="24"/>
        </w:rPr>
        <w:t xml:space="preserve">mandating the use of electronic proposals. </w:t>
      </w:r>
      <w:r w:rsidR="00B30857">
        <w:rPr>
          <w:sz w:val="24"/>
        </w:rPr>
        <w:t xml:space="preserve"> </w:t>
      </w:r>
      <w:r w:rsidR="00887B21">
        <w:rPr>
          <w:sz w:val="24"/>
        </w:rPr>
        <w:t xml:space="preserve">In addition, the </w:t>
      </w:r>
      <w:r>
        <w:rPr>
          <w:sz w:val="24"/>
        </w:rPr>
        <w:t xml:space="preserve">marketplace does not yet support </w:t>
      </w:r>
      <w:r w:rsidR="009D70C0">
        <w:rPr>
          <w:sz w:val="24"/>
        </w:rPr>
        <w:t xml:space="preserve">the sole </w:t>
      </w:r>
      <w:r>
        <w:rPr>
          <w:sz w:val="24"/>
        </w:rPr>
        <w:t>use of electronic solicitations and submission of offers.</w:t>
      </w:r>
    </w:p>
    <w:p w:rsidR="00A83E7D" w:rsidRDefault="00A83E7D">
      <w:pPr>
        <w:rPr>
          <w:sz w:val="24"/>
        </w:rPr>
      </w:pPr>
    </w:p>
    <w:p w:rsidR="00AC759D" w:rsidRPr="00AC759D" w:rsidRDefault="00A83E7D" w:rsidP="00AC759D">
      <w:pPr>
        <w:rPr>
          <w:color w:val="000000"/>
          <w:sz w:val="24"/>
        </w:rPr>
      </w:pPr>
      <w:r>
        <w:rPr>
          <w:sz w:val="24"/>
        </w:rPr>
        <w:t xml:space="preserve">4. </w:t>
      </w:r>
      <w:r w:rsidR="00F85102">
        <w:rPr>
          <w:sz w:val="24"/>
        </w:rPr>
        <w:t xml:space="preserve"> </w:t>
      </w:r>
      <w:r w:rsidR="00F65B5E">
        <w:rPr>
          <w:b/>
          <w:color w:val="000000"/>
          <w:sz w:val="24"/>
        </w:rPr>
        <w:t>E</w:t>
      </w:r>
      <w:r>
        <w:rPr>
          <w:b/>
          <w:color w:val="000000"/>
          <w:sz w:val="24"/>
        </w:rPr>
        <w:t xml:space="preserve">fforts to identify duplication.  </w:t>
      </w:r>
      <w:r w:rsidR="00AC759D" w:rsidRPr="00AC759D">
        <w:rPr>
          <w:color w:val="000000"/>
          <w:sz w:val="24"/>
        </w:rPr>
        <w:t xml:space="preserve">These Form 1364 versions are products of a GSA Lease Reform Initiative to improve the lease acquisition process for GSA, client agencies, and the private sector.  As a direct result of the reform, five lease contract models have been developed that are targeted to meet the needs of the national leased portfolio.  Four of the lease models require </w:t>
      </w:r>
      <w:proofErr w:type="spellStart"/>
      <w:r w:rsidR="00AC759D" w:rsidRPr="00AC759D">
        <w:rPr>
          <w:color w:val="000000"/>
          <w:sz w:val="24"/>
        </w:rPr>
        <w:t>offerors</w:t>
      </w:r>
      <w:proofErr w:type="spellEnd"/>
      <w:r w:rsidR="00AC759D" w:rsidRPr="00AC759D">
        <w:rPr>
          <w:color w:val="000000"/>
          <w:sz w:val="24"/>
        </w:rPr>
        <w:t xml:space="preserve"> to complete a GSA Form 1364.  The new versions of GSA Form 1364 require the submission of information specifically aligned with the leasing models and avoid mandating submission of information that is not required for use in evaluation and award under each model.</w:t>
      </w:r>
    </w:p>
    <w:p w:rsidR="00AC759D" w:rsidRDefault="00AC759D">
      <w:pPr>
        <w:rPr>
          <w:b/>
          <w:color w:val="000000"/>
          <w:sz w:val="24"/>
        </w:rPr>
      </w:pPr>
    </w:p>
    <w:p w:rsidR="00A83E7D" w:rsidRDefault="00A83E7D">
      <w:pPr>
        <w:rPr>
          <w:bCs/>
          <w:sz w:val="24"/>
        </w:rPr>
      </w:pPr>
      <w:r>
        <w:rPr>
          <w:sz w:val="24"/>
        </w:rPr>
        <w:t>The nature of this requirement is such that it relates to a single procurement/lease</w:t>
      </w:r>
      <w:r w:rsidR="00A57A06">
        <w:rPr>
          <w:sz w:val="24"/>
        </w:rPr>
        <w:t xml:space="preserve">; </w:t>
      </w:r>
      <w:r>
        <w:rPr>
          <w:sz w:val="24"/>
        </w:rPr>
        <w:t>therefore no duplication exists.</w:t>
      </w:r>
      <w:r w:rsidR="00661399">
        <w:rPr>
          <w:sz w:val="24"/>
        </w:rPr>
        <w:t xml:space="preserve">  </w:t>
      </w:r>
      <w:r w:rsidR="00661399" w:rsidRPr="00661399">
        <w:rPr>
          <w:bCs/>
          <w:sz w:val="24"/>
        </w:rPr>
        <w:t xml:space="preserve">The new versions of GSA Form 1364 require the submission of information specifically aligned with </w:t>
      </w:r>
      <w:r w:rsidR="00661399">
        <w:rPr>
          <w:bCs/>
          <w:sz w:val="24"/>
        </w:rPr>
        <w:t xml:space="preserve">GSA’s new lease contract models.  With the exception of </w:t>
      </w:r>
      <w:r w:rsidR="00A57A06">
        <w:rPr>
          <w:bCs/>
          <w:sz w:val="24"/>
        </w:rPr>
        <w:t xml:space="preserve">the Simplified Model that requires both </w:t>
      </w:r>
      <w:r w:rsidR="00661399" w:rsidRPr="00661399">
        <w:rPr>
          <w:bCs/>
          <w:sz w:val="24"/>
        </w:rPr>
        <w:t>Form</w:t>
      </w:r>
      <w:r w:rsidR="00661399">
        <w:rPr>
          <w:bCs/>
          <w:sz w:val="24"/>
        </w:rPr>
        <w:t>s</w:t>
      </w:r>
      <w:r w:rsidR="00661399" w:rsidRPr="00661399">
        <w:rPr>
          <w:bCs/>
          <w:sz w:val="24"/>
        </w:rPr>
        <w:t xml:space="preserve"> 1364A and 1364A-1</w:t>
      </w:r>
      <w:r w:rsidR="00A57A06">
        <w:rPr>
          <w:bCs/>
          <w:sz w:val="24"/>
        </w:rPr>
        <w:t xml:space="preserve"> be submitted</w:t>
      </w:r>
      <w:r w:rsidR="00661399">
        <w:rPr>
          <w:bCs/>
          <w:sz w:val="24"/>
        </w:rPr>
        <w:t>,</w:t>
      </w:r>
      <w:r w:rsidR="00661399" w:rsidRPr="00661399">
        <w:rPr>
          <w:bCs/>
          <w:sz w:val="24"/>
        </w:rPr>
        <w:t xml:space="preserve"> </w:t>
      </w:r>
      <w:r w:rsidR="00A57A06">
        <w:rPr>
          <w:bCs/>
          <w:sz w:val="24"/>
        </w:rPr>
        <w:t xml:space="preserve">GSA requires that the </w:t>
      </w:r>
      <w:proofErr w:type="spellStart"/>
      <w:r w:rsidR="00A57A06">
        <w:rPr>
          <w:bCs/>
          <w:sz w:val="24"/>
        </w:rPr>
        <w:t>offerors</w:t>
      </w:r>
      <w:proofErr w:type="spellEnd"/>
      <w:r w:rsidR="00A57A06">
        <w:rPr>
          <w:bCs/>
          <w:sz w:val="24"/>
        </w:rPr>
        <w:t xml:space="preserve"> submit </w:t>
      </w:r>
      <w:r w:rsidR="00661399">
        <w:rPr>
          <w:bCs/>
          <w:sz w:val="24"/>
        </w:rPr>
        <w:t>only one version of the form</w:t>
      </w:r>
      <w:r w:rsidR="00A57A06">
        <w:rPr>
          <w:bCs/>
          <w:sz w:val="24"/>
        </w:rPr>
        <w:t xml:space="preserve"> with their offer.</w:t>
      </w:r>
      <w:r w:rsidR="0055232D">
        <w:rPr>
          <w:bCs/>
          <w:sz w:val="24"/>
        </w:rPr>
        <w:t xml:space="preserve"> </w:t>
      </w:r>
      <w:r w:rsidR="00661399">
        <w:rPr>
          <w:bCs/>
          <w:sz w:val="24"/>
        </w:rPr>
        <w:t xml:space="preserve"> With the issuance of forms applicable to a model, GSA will </w:t>
      </w:r>
      <w:r w:rsidR="00661399" w:rsidRPr="00661399">
        <w:rPr>
          <w:bCs/>
          <w:sz w:val="24"/>
        </w:rPr>
        <w:t>avoid</w:t>
      </w:r>
      <w:r w:rsidR="00661399">
        <w:rPr>
          <w:bCs/>
          <w:sz w:val="24"/>
        </w:rPr>
        <w:t xml:space="preserve"> </w:t>
      </w:r>
      <w:proofErr w:type="spellStart"/>
      <w:r w:rsidR="00661399">
        <w:rPr>
          <w:bCs/>
          <w:sz w:val="24"/>
        </w:rPr>
        <w:t>offeror</w:t>
      </w:r>
      <w:proofErr w:type="spellEnd"/>
      <w:r w:rsidR="00661399" w:rsidRPr="00661399">
        <w:rPr>
          <w:bCs/>
          <w:sz w:val="24"/>
        </w:rPr>
        <w:t xml:space="preserve"> submission of information that is not required for use in evaluation and award under </w:t>
      </w:r>
      <w:r w:rsidR="00661399">
        <w:rPr>
          <w:bCs/>
          <w:sz w:val="24"/>
        </w:rPr>
        <w:t xml:space="preserve">that </w:t>
      </w:r>
      <w:r w:rsidR="00A57A06">
        <w:rPr>
          <w:bCs/>
          <w:sz w:val="24"/>
        </w:rPr>
        <w:t xml:space="preserve">specific lease </w:t>
      </w:r>
      <w:r w:rsidR="00661399" w:rsidRPr="00661399">
        <w:rPr>
          <w:bCs/>
          <w:sz w:val="24"/>
        </w:rPr>
        <w:t>model.</w:t>
      </w:r>
      <w:r w:rsidR="00661399">
        <w:rPr>
          <w:bCs/>
          <w:sz w:val="24"/>
        </w:rPr>
        <w:t xml:space="preserve"> </w:t>
      </w:r>
    </w:p>
    <w:p w:rsidR="007423A9" w:rsidRDefault="007423A9">
      <w:pPr>
        <w:rPr>
          <w:sz w:val="24"/>
        </w:rPr>
      </w:pPr>
    </w:p>
    <w:p w:rsidR="00A83E7D" w:rsidRDefault="00A83E7D">
      <w:pPr>
        <w:rPr>
          <w:sz w:val="24"/>
        </w:rPr>
      </w:pPr>
      <w:r>
        <w:rPr>
          <w:sz w:val="24"/>
        </w:rPr>
        <w:t>5.</w:t>
      </w:r>
      <w:r w:rsidR="00F85102">
        <w:rPr>
          <w:sz w:val="24"/>
        </w:rPr>
        <w:t xml:space="preserve"> </w:t>
      </w:r>
      <w:r>
        <w:rPr>
          <w:sz w:val="24"/>
        </w:rPr>
        <w:t xml:space="preserve"> </w:t>
      </w:r>
      <w:r w:rsidR="00F65B5E" w:rsidRPr="00F65B5E">
        <w:rPr>
          <w:b/>
          <w:sz w:val="24"/>
          <w:szCs w:val="24"/>
        </w:rPr>
        <w:t>If the collection of information impacts small businesses or other entities, describe methods used to minimize burden</w:t>
      </w:r>
      <w:r w:rsidRPr="00F65B5E">
        <w:rPr>
          <w:b/>
          <w:color w:val="000000"/>
          <w:sz w:val="24"/>
        </w:rPr>
        <w:t>.</w:t>
      </w:r>
      <w:r w:rsidRPr="00F65B5E">
        <w:rPr>
          <w:sz w:val="24"/>
        </w:rPr>
        <w:t xml:space="preserve">  </w:t>
      </w:r>
      <w:r>
        <w:rPr>
          <w:sz w:val="24"/>
        </w:rPr>
        <w:t>The burden applies equal</w:t>
      </w:r>
      <w:r w:rsidR="003410B6">
        <w:rPr>
          <w:sz w:val="24"/>
        </w:rPr>
        <w:t>ly to small businesses that opt</w:t>
      </w:r>
      <w:r>
        <w:rPr>
          <w:sz w:val="24"/>
        </w:rPr>
        <w:t xml:space="preserve"> to do busine</w:t>
      </w:r>
      <w:r w:rsidR="003410B6">
        <w:rPr>
          <w:sz w:val="24"/>
        </w:rPr>
        <w:t xml:space="preserve">ss with GSA.  This information </w:t>
      </w:r>
      <w:r>
        <w:rPr>
          <w:sz w:val="24"/>
        </w:rPr>
        <w:t>collected is necessary to meet the specific objectives of the solicitation or contract.</w:t>
      </w:r>
    </w:p>
    <w:p w:rsidR="00A83E7D" w:rsidRDefault="00A83E7D">
      <w:pPr>
        <w:rPr>
          <w:sz w:val="24"/>
        </w:rPr>
      </w:pPr>
    </w:p>
    <w:p w:rsidR="00A83E7D" w:rsidRPr="00F65B5E" w:rsidRDefault="00A83E7D">
      <w:pPr>
        <w:rPr>
          <w:b/>
          <w:sz w:val="24"/>
        </w:rPr>
      </w:pPr>
      <w:r>
        <w:rPr>
          <w:sz w:val="24"/>
        </w:rPr>
        <w:lastRenderedPageBreak/>
        <w:t>6.</w:t>
      </w:r>
      <w:r w:rsidR="00F85102">
        <w:rPr>
          <w:sz w:val="24"/>
        </w:rPr>
        <w:t xml:space="preserve"> </w:t>
      </w:r>
      <w:r>
        <w:rPr>
          <w:color w:val="000000"/>
          <w:sz w:val="24"/>
        </w:rPr>
        <w:t xml:space="preserve"> </w:t>
      </w:r>
      <w:r w:rsidR="00F65B5E" w:rsidRPr="00F65B5E">
        <w:rPr>
          <w:b/>
          <w:sz w:val="24"/>
          <w:szCs w:val="24"/>
        </w:rPr>
        <w:t>Describe consequence to Federal program or policy activities if the collection is not conducted or is conducted less frequently.</w:t>
      </w:r>
      <w:r w:rsidR="00F65B5E">
        <w:rPr>
          <w:b/>
          <w:sz w:val="24"/>
        </w:rPr>
        <w:t xml:space="preserve">  </w:t>
      </w:r>
      <w:r>
        <w:rPr>
          <w:sz w:val="24"/>
        </w:rPr>
        <w:t>GSA would be unable to readily and equitably evaluate offers fairly and competitively.</w:t>
      </w:r>
    </w:p>
    <w:p w:rsidR="00A83E7D" w:rsidRDefault="00A83E7D">
      <w:pPr>
        <w:rPr>
          <w:sz w:val="24"/>
        </w:rPr>
      </w:pPr>
    </w:p>
    <w:p w:rsidR="00A83E7D" w:rsidRDefault="00A83E7D" w:rsidP="00F65B5E">
      <w:pPr>
        <w:rPr>
          <w:b/>
          <w:color w:val="000000"/>
          <w:sz w:val="24"/>
        </w:rPr>
      </w:pPr>
      <w:r>
        <w:rPr>
          <w:sz w:val="24"/>
        </w:rPr>
        <w:t xml:space="preserve">7.  </w:t>
      </w:r>
      <w:r w:rsidR="00F65B5E" w:rsidRPr="00F65B5E">
        <w:rPr>
          <w:b/>
          <w:sz w:val="24"/>
          <w:szCs w:val="24"/>
        </w:rPr>
        <w:t>Special circumstance for collection.</w:t>
      </w:r>
    </w:p>
    <w:p w:rsidR="00A83E7D" w:rsidRDefault="00A83E7D" w:rsidP="004E4C44">
      <w:pPr>
        <w:pStyle w:val="BodyText2"/>
        <w:numPr>
          <w:ilvl w:val="0"/>
          <w:numId w:val="1"/>
        </w:numPr>
        <w:tabs>
          <w:tab w:val="left" w:pos="720"/>
        </w:tabs>
        <w:rPr>
          <w:color w:val="000000"/>
        </w:rPr>
      </w:pPr>
      <w:r>
        <w:rPr>
          <w:color w:val="000000"/>
        </w:rPr>
        <w:t>Report information to the agency more often than quarterly;</w:t>
      </w:r>
    </w:p>
    <w:p w:rsidR="00A83E7D" w:rsidRDefault="00A83E7D" w:rsidP="004E4C44">
      <w:pPr>
        <w:pStyle w:val="BodyText2"/>
        <w:numPr>
          <w:ilvl w:val="0"/>
          <w:numId w:val="1"/>
        </w:numPr>
        <w:tabs>
          <w:tab w:val="left" w:pos="720"/>
        </w:tabs>
        <w:rPr>
          <w:color w:val="000000"/>
        </w:rPr>
      </w:pPr>
      <w:r>
        <w:rPr>
          <w:color w:val="000000"/>
        </w:rPr>
        <w:t>Prepare a written response to a collection of information in fewer than 30 days after receipt of it;</w:t>
      </w:r>
    </w:p>
    <w:p w:rsidR="00A83E7D" w:rsidRDefault="00A83E7D" w:rsidP="004E4C44">
      <w:pPr>
        <w:numPr>
          <w:ilvl w:val="0"/>
          <w:numId w:val="1"/>
        </w:numPr>
        <w:tabs>
          <w:tab w:val="left" w:pos="720"/>
        </w:tabs>
        <w:rPr>
          <w:b/>
          <w:color w:val="000000"/>
          <w:sz w:val="24"/>
        </w:rPr>
      </w:pPr>
      <w:r>
        <w:rPr>
          <w:b/>
          <w:color w:val="000000"/>
          <w:sz w:val="24"/>
        </w:rPr>
        <w:t>Submit more than an original and 2 copies of any document;</w:t>
      </w:r>
    </w:p>
    <w:p w:rsidR="00A83E7D" w:rsidRDefault="00A83E7D" w:rsidP="004E4C44">
      <w:pPr>
        <w:numPr>
          <w:ilvl w:val="0"/>
          <w:numId w:val="1"/>
        </w:numPr>
        <w:tabs>
          <w:tab w:val="left" w:pos="720"/>
        </w:tabs>
        <w:rPr>
          <w:b/>
          <w:color w:val="000000"/>
          <w:sz w:val="24"/>
        </w:rPr>
      </w:pPr>
      <w:r>
        <w:rPr>
          <w:b/>
          <w:color w:val="000000"/>
          <w:sz w:val="24"/>
        </w:rPr>
        <w:t>Retain records, other than health, medical, government contracts, grant-in-aid, or tax records, for more than 3 years;</w:t>
      </w:r>
    </w:p>
    <w:p w:rsidR="00A83E7D" w:rsidRDefault="00A83E7D" w:rsidP="004E4C44">
      <w:pPr>
        <w:numPr>
          <w:ilvl w:val="0"/>
          <w:numId w:val="1"/>
        </w:numPr>
        <w:tabs>
          <w:tab w:val="left" w:pos="720"/>
        </w:tabs>
        <w:rPr>
          <w:b/>
          <w:color w:val="000000"/>
          <w:sz w:val="24"/>
        </w:rPr>
      </w:pPr>
      <w:r>
        <w:rPr>
          <w:b/>
          <w:color w:val="000000"/>
          <w:sz w:val="24"/>
        </w:rPr>
        <w:t>In connection with a statistical survey, that is not designed to produce valid, reliable results that can be generalized to the universe of study;</w:t>
      </w:r>
    </w:p>
    <w:p w:rsidR="00A83E7D" w:rsidRDefault="00A83E7D" w:rsidP="004E4C44">
      <w:pPr>
        <w:numPr>
          <w:ilvl w:val="0"/>
          <w:numId w:val="1"/>
        </w:numPr>
        <w:tabs>
          <w:tab w:val="left" w:pos="720"/>
        </w:tabs>
        <w:rPr>
          <w:b/>
          <w:color w:val="000000"/>
          <w:sz w:val="24"/>
        </w:rPr>
      </w:pPr>
      <w:r>
        <w:rPr>
          <w:b/>
          <w:color w:val="000000"/>
          <w:sz w:val="24"/>
        </w:rPr>
        <w:t>Require the use of a statistical classification that has not been reviewed and approved by OMB;</w:t>
      </w:r>
    </w:p>
    <w:p w:rsidR="00A83E7D" w:rsidRDefault="00A83E7D" w:rsidP="004E4C44">
      <w:pPr>
        <w:numPr>
          <w:ilvl w:val="0"/>
          <w:numId w:val="1"/>
        </w:numPr>
        <w:tabs>
          <w:tab w:val="left" w:pos="720"/>
        </w:tabs>
        <w:rPr>
          <w:b/>
          <w:color w:val="000000"/>
          <w:sz w:val="24"/>
        </w:rPr>
      </w:pPr>
      <w:r>
        <w:rPr>
          <w:b/>
          <w:color w:val="000000"/>
          <w:sz w:val="24"/>
        </w:rP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A83E7D" w:rsidRDefault="00A83E7D" w:rsidP="004E4C44">
      <w:pPr>
        <w:numPr>
          <w:ilvl w:val="12"/>
          <w:numId w:val="0"/>
        </w:numPr>
        <w:rPr>
          <w:sz w:val="24"/>
        </w:rPr>
      </w:pPr>
      <w:r>
        <w:rPr>
          <w:b/>
          <w:color w:val="000000"/>
          <w:sz w:val="24"/>
        </w:rPr>
        <w:t>Submit proprietary trade secrets, or other confidential information unless the agency can demonstrate that it has instituted procedures to protect the information’s confidentiality to the extent permitted by law.</w:t>
      </w:r>
    </w:p>
    <w:p w:rsidR="00A83E7D" w:rsidRDefault="00A83E7D" w:rsidP="004E4C44">
      <w:pPr>
        <w:numPr>
          <w:ilvl w:val="12"/>
          <w:numId w:val="0"/>
        </w:numPr>
        <w:rPr>
          <w:sz w:val="24"/>
        </w:rPr>
      </w:pPr>
    </w:p>
    <w:p w:rsidR="00A83E7D" w:rsidRDefault="00A83E7D" w:rsidP="004E4C44">
      <w:pPr>
        <w:numPr>
          <w:ilvl w:val="12"/>
          <w:numId w:val="0"/>
        </w:numPr>
        <w:rPr>
          <w:sz w:val="24"/>
        </w:rPr>
      </w:pPr>
      <w:r>
        <w:rPr>
          <w:sz w:val="24"/>
        </w:rPr>
        <w:t xml:space="preserve">No special circumstances exist. </w:t>
      </w:r>
    </w:p>
    <w:p w:rsidR="00A83E7D" w:rsidRDefault="00A83E7D" w:rsidP="004E4C44">
      <w:pPr>
        <w:numPr>
          <w:ilvl w:val="12"/>
          <w:numId w:val="0"/>
        </w:numPr>
        <w:rPr>
          <w:sz w:val="24"/>
        </w:rPr>
      </w:pPr>
    </w:p>
    <w:p w:rsidR="00A83E7D" w:rsidRPr="00F65B5E" w:rsidRDefault="00A83E7D" w:rsidP="004E4C44">
      <w:pPr>
        <w:numPr>
          <w:ilvl w:val="12"/>
          <w:numId w:val="0"/>
        </w:numPr>
        <w:rPr>
          <w:b/>
          <w:sz w:val="24"/>
        </w:rPr>
      </w:pPr>
      <w:r>
        <w:rPr>
          <w:sz w:val="24"/>
        </w:rPr>
        <w:t xml:space="preserve">8. </w:t>
      </w:r>
      <w:r w:rsidR="00F65B5E" w:rsidRPr="00F65B5E">
        <w:rPr>
          <w:b/>
          <w:sz w:val="24"/>
          <w:szCs w:val="24"/>
        </w:rPr>
        <w:t>Efforts to consult with persons outside the agency.</w:t>
      </w:r>
      <w:r w:rsidR="00F65B5E">
        <w:rPr>
          <w:b/>
          <w:sz w:val="24"/>
        </w:rPr>
        <w:t xml:space="preserve">  </w:t>
      </w:r>
      <w:r w:rsidR="00CF2505">
        <w:rPr>
          <w:sz w:val="24"/>
        </w:rPr>
        <w:t>A notic</w:t>
      </w:r>
      <w:r w:rsidR="00AA18CE">
        <w:rPr>
          <w:sz w:val="24"/>
        </w:rPr>
        <w:t xml:space="preserve">e was published in the </w:t>
      </w:r>
      <w:r w:rsidR="00AA18CE" w:rsidRPr="00AA18CE">
        <w:rPr>
          <w:i/>
          <w:sz w:val="24"/>
        </w:rPr>
        <w:t>Federal R</w:t>
      </w:r>
      <w:r w:rsidR="00CF2505" w:rsidRPr="00AA18CE">
        <w:rPr>
          <w:i/>
          <w:sz w:val="24"/>
        </w:rPr>
        <w:t>egister</w:t>
      </w:r>
      <w:r w:rsidR="00CF2505">
        <w:rPr>
          <w:sz w:val="24"/>
        </w:rPr>
        <w:t xml:space="preserve"> at </w:t>
      </w:r>
      <w:r w:rsidR="004C65C9">
        <w:rPr>
          <w:sz w:val="24"/>
        </w:rPr>
        <w:t>78 FR 303</w:t>
      </w:r>
      <w:r w:rsidR="00CF2505">
        <w:rPr>
          <w:sz w:val="24"/>
        </w:rPr>
        <w:t xml:space="preserve">, on </w:t>
      </w:r>
      <w:r w:rsidR="004C65C9">
        <w:rPr>
          <w:sz w:val="24"/>
        </w:rPr>
        <w:t>January 3, 2013</w:t>
      </w:r>
      <w:r w:rsidR="00CF2505">
        <w:rPr>
          <w:sz w:val="24"/>
        </w:rPr>
        <w:t xml:space="preserve">.  </w:t>
      </w:r>
      <w:r w:rsidR="00AA18CE">
        <w:rPr>
          <w:sz w:val="24"/>
        </w:rPr>
        <w:t>No</w:t>
      </w:r>
      <w:r w:rsidR="00CF2505">
        <w:rPr>
          <w:sz w:val="24"/>
        </w:rPr>
        <w:t xml:space="preserve"> comments were received.</w:t>
      </w:r>
    </w:p>
    <w:p w:rsidR="00A83E7D" w:rsidRDefault="00A83E7D" w:rsidP="004E4C44">
      <w:pPr>
        <w:numPr>
          <w:ilvl w:val="12"/>
          <w:numId w:val="0"/>
        </w:numPr>
        <w:rPr>
          <w:sz w:val="24"/>
        </w:rPr>
      </w:pPr>
    </w:p>
    <w:p w:rsidR="00A83E7D" w:rsidRDefault="00A83E7D" w:rsidP="004E4C44">
      <w:pPr>
        <w:numPr>
          <w:ilvl w:val="12"/>
          <w:numId w:val="0"/>
        </w:numPr>
        <w:rPr>
          <w:sz w:val="24"/>
        </w:rPr>
      </w:pPr>
      <w:r>
        <w:rPr>
          <w:sz w:val="24"/>
        </w:rPr>
        <w:t xml:space="preserve">9.  </w:t>
      </w:r>
      <w:r w:rsidR="00F65B5E" w:rsidRPr="00F65B5E">
        <w:rPr>
          <w:b/>
          <w:sz w:val="24"/>
          <w:szCs w:val="24"/>
        </w:rPr>
        <w:t>Explanation of any decision to provide any payment or gift to respondents, other than re</w:t>
      </w:r>
      <w:r w:rsidR="00CF2505">
        <w:rPr>
          <w:b/>
          <w:sz w:val="24"/>
          <w:szCs w:val="24"/>
        </w:rPr>
        <w:t>-</w:t>
      </w:r>
      <w:r w:rsidR="00F65B5E" w:rsidRPr="00F65B5E">
        <w:rPr>
          <w:b/>
          <w:sz w:val="24"/>
          <w:szCs w:val="24"/>
        </w:rPr>
        <w:t>enumeration of contractors or guarantees.</w:t>
      </w:r>
      <w:r w:rsidRPr="00F65B5E">
        <w:rPr>
          <w:b/>
          <w:sz w:val="24"/>
        </w:rPr>
        <w:t xml:space="preserve">  </w:t>
      </w:r>
      <w:r w:rsidRPr="00F65B5E">
        <w:rPr>
          <w:sz w:val="24"/>
        </w:rPr>
        <w:t xml:space="preserve"> </w:t>
      </w:r>
      <w:r>
        <w:rPr>
          <w:sz w:val="24"/>
        </w:rPr>
        <w:t>N/A</w:t>
      </w:r>
    </w:p>
    <w:p w:rsidR="00A83E7D" w:rsidRDefault="00A83E7D" w:rsidP="004E4C44">
      <w:pPr>
        <w:numPr>
          <w:ilvl w:val="12"/>
          <w:numId w:val="0"/>
        </w:numPr>
        <w:rPr>
          <w:sz w:val="24"/>
        </w:rPr>
      </w:pPr>
    </w:p>
    <w:p w:rsidR="00A83E7D" w:rsidRDefault="00A83E7D" w:rsidP="004E4C44">
      <w:pPr>
        <w:numPr>
          <w:ilvl w:val="12"/>
          <w:numId w:val="0"/>
        </w:numPr>
        <w:rPr>
          <w:sz w:val="24"/>
        </w:rPr>
      </w:pPr>
      <w:r>
        <w:rPr>
          <w:sz w:val="24"/>
        </w:rPr>
        <w:t xml:space="preserve">10.  </w:t>
      </w:r>
      <w:r>
        <w:rPr>
          <w:b/>
          <w:color w:val="000000"/>
          <w:sz w:val="24"/>
        </w:rPr>
        <w:t>Describe any assurance of confidentiality provided to respondents.</w:t>
      </w:r>
      <w:r>
        <w:rPr>
          <w:b/>
          <w:sz w:val="24"/>
        </w:rPr>
        <w:t xml:space="preserve">  </w:t>
      </w:r>
      <w:r>
        <w:rPr>
          <w:sz w:val="24"/>
        </w:rPr>
        <w:t>N/A</w:t>
      </w:r>
    </w:p>
    <w:p w:rsidR="00A83E7D" w:rsidRDefault="00A83E7D" w:rsidP="004E4C44">
      <w:pPr>
        <w:numPr>
          <w:ilvl w:val="12"/>
          <w:numId w:val="0"/>
        </w:numPr>
        <w:rPr>
          <w:sz w:val="24"/>
        </w:rPr>
      </w:pPr>
    </w:p>
    <w:p w:rsidR="00A83E7D" w:rsidRDefault="00A83E7D" w:rsidP="004E4C44">
      <w:pPr>
        <w:numPr>
          <w:ilvl w:val="12"/>
          <w:numId w:val="0"/>
        </w:numPr>
        <w:rPr>
          <w:sz w:val="24"/>
        </w:rPr>
      </w:pPr>
      <w:r>
        <w:rPr>
          <w:sz w:val="24"/>
        </w:rPr>
        <w:t>11</w:t>
      </w:r>
      <w:r w:rsidR="00F65B5E" w:rsidRPr="00F65B5E">
        <w:rPr>
          <w:rFonts w:ascii="Courier New" w:hAnsi="Courier New" w:cs="Courier New"/>
          <w:b/>
          <w:sz w:val="24"/>
          <w:szCs w:val="24"/>
        </w:rPr>
        <w:t xml:space="preserve"> </w:t>
      </w:r>
      <w:r w:rsidR="00F65B5E" w:rsidRPr="00F65B5E">
        <w:rPr>
          <w:b/>
          <w:sz w:val="24"/>
          <w:szCs w:val="24"/>
        </w:rPr>
        <w:t xml:space="preserve">Additional </w:t>
      </w:r>
      <w:proofErr w:type="gramStart"/>
      <w:r w:rsidR="00F65B5E" w:rsidRPr="00F65B5E">
        <w:rPr>
          <w:b/>
          <w:sz w:val="24"/>
          <w:szCs w:val="24"/>
        </w:rPr>
        <w:t>justification</w:t>
      </w:r>
      <w:proofErr w:type="gramEnd"/>
      <w:r w:rsidR="00F65B5E" w:rsidRPr="00F65B5E">
        <w:rPr>
          <w:b/>
          <w:sz w:val="24"/>
          <w:szCs w:val="24"/>
        </w:rPr>
        <w:t xml:space="preserve"> for questions of a sensitive nature.</w:t>
      </w:r>
      <w:r w:rsidR="00F65B5E">
        <w:rPr>
          <w:sz w:val="24"/>
        </w:rPr>
        <w:t xml:space="preserve">  </w:t>
      </w:r>
      <w:r>
        <w:rPr>
          <w:sz w:val="24"/>
        </w:rPr>
        <w:t xml:space="preserve">No sensitive questions are involved. </w:t>
      </w:r>
    </w:p>
    <w:p w:rsidR="00A83E7D" w:rsidRDefault="00A83E7D" w:rsidP="004E4C44">
      <w:pPr>
        <w:numPr>
          <w:ilvl w:val="12"/>
          <w:numId w:val="0"/>
        </w:numPr>
        <w:rPr>
          <w:sz w:val="24"/>
        </w:rPr>
      </w:pPr>
    </w:p>
    <w:p w:rsidR="00A83E7D" w:rsidRPr="00F65B5E" w:rsidRDefault="00A83E7D" w:rsidP="004E4C44">
      <w:pPr>
        <w:numPr>
          <w:ilvl w:val="12"/>
          <w:numId w:val="0"/>
        </w:numPr>
        <w:rPr>
          <w:b/>
          <w:sz w:val="24"/>
        </w:rPr>
      </w:pPr>
      <w:r>
        <w:rPr>
          <w:sz w:val="24"/>
        </w:rPr>
        <w:t>12</w:t>
      </w:r>
      <w:r w:rsidR="00F65B5E">
        <w:rPr>
          <w:sz w:val="24"/>
        </w:rPr>
        <w:t>/13.</w:t>
      </w:r>
      <w:r>
        <w:rPr>
          <w:sz w:val="24"/>
        </w:rPr>
        <w:t xml:space="preserve"> </w:t>
      </w:r>
      <w:r w:rsidR="00F65B5E" w:rsidRPr="00F65B5E">
        <w:rPr>
          <w:b/>
          <w:sz w:val="24"/>
          <w:szCs w:val="24"/>
        </w:rPr>
        <w:t>Estimated total annual public hour burden and cost burden</w:t>
      </w:r>
      <w:r w:rsidRPr="00F65B5E">
        <w:rPr>
          <w:b/>
          <w:sz w:val="24"/>
        </w:rPr>
        <w:t xml:space="preserve">: </w:t>
      </w:r>
      <w:r w:rsidR="009F4C69">
        <w:rPr>
          <w:b/>
          <w:sz w:val="24"/>
        </w:rPr>
        <w:t xml:space="preserve"> </w:t>
      </w:r>
      <w:r>
        <w:rPr>
          <w:sz w:val="24"/>
        </w:rPr>
        <w:t xml:space="preserve">The estimates </w:t>
      </w:r>
      <w:r w:rsidR="00492189">
        <w:rPr>
          <w:sz w:val="24"/>
        </w:rPr>
        <w:t xml:space="preserve">are </w:t>
      </w:r>
      <w:r>
        <w:rPr>
          <w:sz w:val="24"/>
        </w:rPr>
        <w:t xml:space="preserve">based on </w:t>
      </w:r>
      <w:r w:rsidR="009F0889">
        <w:rPr>
          <w:sz w:val="24"/>
        </w:rPr>
        <w:t>n</w:t>
      </w:r>
      <w:r w:rsidR="00492189" w:rsidRPr="00492189">
        <w:rPr>
          <w:sz w:val="24"/>
        </w:rPr>
        <w:t xml:space="preserve">umber of </w:t>
      </w:r>
      <w:r w:rsidR="009F0889">
        <w:rPr>
          <w:sz w:val="24"/>
        </w:rPr>
        <w:t>p</w:t>
      </w:r>
      <w:r w:rsidR="00492189" w:rsidRPr="00492189">
        <w:rPr>
          <w:sz w:val="24"/>
        </w:rPr>
        <w:t>rojects</w:t>
      </w:r>
      <w:r w:rsidR="009F0889">
        <w:rPr>
          <w:sz w:val="24"/>
        </w:rPr>
        <w:t>, n</w:t>
      </w:r>
      <w:r w:rsidR="00492189" w:rsidRPr="00492189">
        <w:rPr>
          <w:sz w:val="24"/>
        </w:rPr>
        <w:t xml:space="preserve">umber of </w:t>
      </w:r>
      <w:r w:rsidR="009F0889">
        <w:rPr>
          <w:sz w:val="24"/>
        </w:rPr>
        <w:t>o</w:t>
      </w:r>
      <w:r w:rsidR="00492189" w:rsidRPr="00492189">
        <w:rPr>
          <w:sz w:val="24"/>
        </w:rPr>
        <w:t>ffers</w:t>
      </w:r>
      <w:r w:rsidR="009F0889">
        <w:rPr>
          <w:sz w:val="24"/>
        </w:rPr>
        <w:t xml:space="preserve"> per project,</w:t>
      </w:r>
      <w:r w:rsidR="00492189" w:rsidRPr="00492189">
        <w:rPr>
          <w:sz w:val="24"/>
        </w:rPr>
        <w:t xml:space="preserve"> </w:t>
      </w:r>
      <w:r w:rsidR="009F0889">
        <w:rPr>
          <w:sz w:val="24"/>
        </w:rPr>
        <w:t>n</w:t>
      </w:r>
      <w:r w:rsidR="00492189" w:rsidRPr="00492189">
        <w:rPr>
          <w:sz w:val="24"/>
        </w:rPr>
        <w:t xml:space="preserve">umber of </w:t>
      </w:r>
      <w:r w:rsidR="009F0889">
        <w:rPr>
          <w:sz w:val="24"/>
        </w:rPr>
        <w:t>preparation h</w:t>
      </w:r>
      <w:r w:rsidR="00492189" w:rsidRPr="00492189">
        <w:rPr>
          <w:sz w:val="24"/>
        </w:rPr>
        <w:t xml:space="preserve">ours </w:t>
      </w:r>
      <w:r w:rsidR="009F0889">
        <w:rPr>
          <w:sz w:val="24"/>
        </w:rPr>
        <w:t>per o</w:t>
      </w:r>
      <w:r w:rsidR="00492189" w:rsidRPr="00492189">
        <w:rPr>
          <w:sz w:val="24"/>
        </w:rPr>
        <w:t>ffer</w:t>
      </w:r>
      <w:r w:rsidR="00EE3997">
        <w:rPr>
          <w:sz w:val="24"/>
        </w:rPr>
        <w:t xml:space="preserve">, and the </w:t>
      </w:r>
      <w:proofErr w:type="spellStart"/>
      <w:r w:rsidR="00EE3997">
        <w:rPr>
          <w:sz w:val="24"/>
        </w:rPr>
        <w:t>offeror’s</w:t>
      </w:r>
      <w:proofErr w:type="spellEnd"/>
      <w:r w:rsidR="00EE3997">
        <w:rPr>
          <w:sz w:val="24"/>
        </w:rPr>
        <w:t xml:space="preserve"> hourly salary.</w:t>
      </w:r>
      <w:r>
        <w:rPr>
          <w:sz w:val="24"/>
        </w:rPr>
        <w:t xml:space="preserve">  The average time to complete each form from region to region </w:t>
      </w:r>
      <w:r w:rsidR="00B75DEB">
        <w:rPr>
          <w:sz w:val="24"/>
        </w:rPr>
        <w:t>varied between 1 hour and 3.7 hours</w:t>
      </w:r>
      <w:r>
        <w:rPr>
          <w:sz w:val="24"/>
        </w:rPr>
        <w:t xml:space="preserve">.  </w:t>
      </w:r>
    </w:p>
    <w:p w:rsidR="009979E3" w:rsidRDefault="009979E3">
      <w:pPr>
        <w:overflowPunct/>
        <w:autoSpaceDE/>
        <w:autoSpaceDN/>
        <w:adjustRightInd/>
        <w:textAlignment w:val="auto"/>
        <w:rPr>
          <w:sz w:val="24"/>
        </w:rPr>
      </w:pPr>
      <w:r>
        <w:rPr>
          <w:sz w:val="24"/>
        </w:rPr>
        <w:br w:type="page"/>
      </w:r>
    </w:p>
    <w:tbl>
      <w:tblPr>
        <w:tblW w:w="8507" w:type="dxa"/>
        <w:tblInd w:w="108" w:type="dxa"/>
        <w:tblLook w:val="04A0"/>
      </w:tblPr>
      <w:tblGrid>
        <w:gridCol w:w="1620"/>
        <w:gridCol w:w="1350"/>
        <w:gridCol w:w="1440"/>
        <w:gridCol w:w="1440"/>
        <w:gridCol w:w="1440"/>
        <w:gridCol w:w="1217"/>
      </w:tblGrid>
      <w:tr w:rsidR="009979E3" w:rsidRPr="006173D1" w:rsidTr="009979E3">
        <w:trPr>
          <w:trHeight w:val="255"/>
        </w:trPr>
        <w:tc>
          <w:tcPr>
            <w:tcW w:w="1620" w:type="dxa"/>
            <w:tcBorders>
              <w:top w:val="nil"/>
              <w:left w:val="nil"/>
              <w:bottom w:val="nil"/>
              <w:right w:val="nil"/>
            </w:tcBorders>
            <w:shd w:val="clear" w:color="auto" w:fill="auto"/>
            <w:noWrap/>
            <w:vAlign w:val="bottom"/>
            <w:hideMark/>
          </w:tcPr>
          <w:p w:rsidR="006173D1" w:rsidRPr="006173D1" w:rsidRDefault="006173D1" w:rsidP="006173D1">
            <w:pPr>
              <w:overflowPunct/>
              <w:autoSpaceDE/>
              <w:autoSpaceDN/>
              <w:adjustRightInd/>
              <w:textAlignment w:val="auto"/>
              <w:rPr>
                <w:rFonts w:ascii="Arial" w:hAnsi="Arial" w:cs="Arial"/>
                <w:color w:val="000000"/>
              </w:rPr>
            </w:pPr>
          </w:p>
        </w:tc>
        <w:tc>
          <w:tcPr>
            <w:tcW w:w="1350" w:type="dxa"/>
            <w:tcBorders>
              <w:top w:val="nil"/>
              <w:left w:val="nil"/>
              <w:bottom w:val="single" w:sz="4" w:space="0" w:color="auto"/>
              <w:right w:val="nil"/>
            </w:tcBorders>
            <w:shd w:val="clear" w:color="auto" w:fill="auto"/>
            <w:noWrap/>
            <w:vAlign w:val="bottom"/>
            <w:hideMark/>
          </w:tcPr>
          <w:p w:rsidR="006173D1" w:rsidRPr="006173D1" w:rsidRDefault="006173D1" w:rsidP="006173D1">
            <w:pPr>
              <w:overflowPunct/>
              <w:autoSpaceDE/>
              <w:autoSpaceDN/>
              <w:adjustRightInd/>
              <w:jc w:val="center"/>
              <w:textAlignment w:val="auto"/>
              <w:rPr>
                <w:rFonts w:ascii="Arial" w:hAnsi="Arial" w:cs="Arial"/>
                <w:b/>
                <w:bCs/>
                <w:color w:val="000000"/>
              </w:rPr>
            </w:pPr>
            <w:r w:rsidRPr="006173D1">
              <w:rPr>
                <w:rFonts w:ascii="Arial" w:hAnsi="Arial" w:cs="Arial"/>
                <w:b/>
                <w:bCs/>
                <w:color w:val="000000"/>
              </w:rPr>
              <w:t>Simplified</w:t>
            </w:r>
          </w:p>
        </w:tc>
        <w:tc>
          <w:tcPr>
            <w:tcW w:w="1440" w:type="dxa"/>
            <w:tcBorders>
              <w:top w:val="nil"/>
              <w:left w:val="nil"/>
              <w:bottom w:val="single" w:sz="4" w:space="0" w:color="auto"/>
              <w:right w:val="nil"/>
            </w:tcBorders>
            <w:shd w:val="clear" w:color="auto" w:fill="auto"/>
            <w:noWrap/>
            <w:vAlign w:val="bottom"/>
            <w:hideMark/>
          </w:tcPr>
          <w:p w:rsidR="006173D1" w:rsidRPr="006173D1" w:rsidRDefault="006173D1" w:rsidP="006173D1">
            <w:pPr>
              <w:overflowPunct/>
              <w:autoSpaceDE/>
              <w:autoSpaceDN/>
              <w:adjustRightInd/>
              <w:jc w:val="center"/>
              <w:textAlignment w:val="auto"/>
              <w:rPr>
                <w:rFonts w:ascii="Arial" w:hAnsi="Arial" w:cs="Arial"/>
                <w:b/>
                <w:bCs/>
                <w:color w:val="000000"/>
              </w:rPr>
            </w:pPr>
            <w:r w:rsidRPr="006173D1">
              <w:rPr>
                <w:rFonts w:ascii="Arial" w:hAnsi="Arial" w:cs="Arial"/>
                <w:b/>
                <w:bCs/>
                <w:color w:val="000000"/>
              </w:rPr>
              <w:t>Streamlined</w:t>
            </w:r>
          </w:p>
        </w:tc>
        <w:tc>
          <w:tcPr>
            <w:tcW w:w="1440" w:type="dxa"/>
            <w:tcBorders>
              <w:top w:val="nil"/>
              <w:left w:val="nil"/>
              <w:bottom w:val="single" w:sz="4" w:space="0" w:color="auto"/>
              <w:right w:val="nil"/>
            </w:tcBorders>
            <w:shd w:val="clear" w:color="auto" w:fill="auto"/>
            <w:noWrap/>
            <w:vAlign w:val="bottom"/>
            <w:hideMark/>
          </w:tcPr>
          <w:p w:rsidR="006173D1" w:rsidRPr="006173D1" w:rsidRDefault="006173D1" w:rsidP="006173D1">
            <w:pPr>
              <w:overflowPunct/>
              <w:autoSpaceDE/>
              <w:autoSpaceDN/>
              <w:adjustRightInd/>
              <w:jc w:val="center"/>
              <w:textAlignment w:val="auto"/>
              <w:rPr>
                <w:rFonts w:ascii="Arial" w:hAnsi="Arial" w:cs="Arial"/>
                <w:b/>
                <w:bCs/>
                <w:color w:val="000000"/>
              </w:rPr>
            </w:pPr>
            <w:r w:rsidRPr="006173D1">
              <w:rPr>
                <w:rFonts w:ascii="Arial" w:hAnsi="Arial" w:cs="Arial"/>
                <w:b/>
                <w:bCs/>
                <w:color w:val="000000"/>
              </w:rPr>
              <w:t>Standard</w:t>
            </w:r>
          </w:p>
        </w:tc>
        <w:tc>
          <w:tcPr>
            <w:tcW w:w="1440" w:type="dxa"/>
            <w:tcBorders>
              <w:top w:val="nil"/>
              <w:left w:val="nil"/>
              <w:bottom w:val="single" w:sz="4" w:space="0" w:color="auto"/>
              <w:right w:val="nil"/>
            </w:tcBorders>
            <w:shd w:val="clear" w:color="auto" w:fill="auto"/>
            <w:noWrap/>
            <w:vAlign w:val="bottom"/>
            <w:hideMark/>
          </w:tcPr>
          <w:p w:rsidR="006173D1" w:rsidRPr="006173D1" w:rsidRDefault="006173D1" w:rsidP="00A83F78">
            <w:pPr>
              <w:overflowPunct/>
              <w:autoSpaceDE/>
              <w:autoSpaceDN/>
              <w:adjustRightInd/>
              <w:jc w:val="center"/>
              <w:textAlignment w:val="auto"/>
              <w:rPr>
                <w:rFonts w:ascii="Arial" w:hAnsi="Arial" w:cs="Arial"/>
                <w:b/>
                <w:bCs/>
                <w:color w:val="000000"/>
              </w:rPr>
            </w:pPr>
            <w:r w:rsidRPr="006173D1">
              <w:rPr>
                <w:rFonts w:ascii="Arial" w:hAnsi="Arial" w:cs="Arial"/>
                <w:b/>
                <w:bCs/>
                <w:color w:val="000000"/>
              </w:rPr>
              <w:t>Succeeding/</w:t>
            </w:r>
            <w:r>
              <w:rPr>
                <w:rFonts w:ascii="Arial" w:hAnsi="Arial" w:cs="Arial"/>
                <w:b/>
                <w:bCs/>
                <w:color w:val="000000"/>
              </w:rPr>
              <w:t xml:space="preserve"> </w:t>
            </w:r>
            <w:r w:rsidRPr="006173D1">
              <w:rPr>
                <w:rFonts w:ascii="Arial" w:hAnsi="Arial" w:cs="Arial"/>
                <w:b/>
                <w:bCs/>
                <w:color w:val="000000"/>
              </w:rPr>
              <w:t>Super</w:t>
            </w:r>
            <w:r w:rsidR="00A83F78">
              <w:rPr>
                <w:rFonts w:ascii="Arial" w:hAnsi="Arial" w:cs="Arial"/>
                <w:b/>
                <w:bCs/>
                <w:color w:val="000000"/>
              </w:rPr>
              <w:t>s</w:t>
            </w:r>
            <w:r w:rsidRPr="006173D1">
              <w:rPr>
                <w:rFonts w:ascii="Arial" w:hAnsi="Arial" w:cs="Arial"/>
                <w:b/>
                <w:bCs/>
                <w:color w:val="000000"/>
              </w:rPr>
              <w:t>eding</w:t>
            </w:r>
          </w:p>
        </w:tc>
        <w:tc>
          <w:tcPr>
            <w:tcW w:w="1217" w:type="dxa"/>
            <w:tcBorders>
              <w:top w:val="nil"/>
              <w:left w:val="nil"/>
              <w:bottom w:val="single" w:sz="4" w:space="0" w:color="auto"/>
              <w:right w:val="nil"/>
            </w:tcBorders>
            <w:shd w:val="clear" w:color="auto" w:fill="auto"/>
            <w:noWrap/>
            <w:vAlign w:val="bottom"/>
            <w:hideMark/>
          </w:tcPr>
          <w:p w:rsidR="006173D1" w:rsidRPr="006173D1" w:rsidRDefault="006173D1" w:rsidP="006173D1">
            <w:pPr>
              <w:overflowPunct/>
              <w:autoSpaceDE/>
              <w:autoSpaceDN/>
              <w:adjustRightInd/>
              <w:jc w:val="center"/>
              <w:textAlignment w:val="auto"/>
              <w:rPr>
                <w:rFonts w:ascii="Arial" w:hAnsi="Arial" w:cs="Arial"/>
                <w:b/>
                <w:bCs/>
                <w:color w:val="000000"/>
              </w:rPr>
            </w:pPr>
            <w:r w:rsidRPr="006173D1">
              <w:rPr>
                <w:rFonts w:ascii="Arial" w:hAnsi="Arial" w:cs="Arial"/>
                <w:b/>
                <w:bCs/>
                <w:color w:val="000000"/>
              </w:rPr>
              <w:t>Total</w:t>
            </w:r>
          </w:p>
        </w:tc>
      </w:tr>
      <w:tr w:rsidR="00AC7CC2" w:rsidRPr="006173D1" w:rsidTr="009979E3">
        <w:trPr>
          <w:trHeight w:val="255"/>
        </w:trPr>
        <w:tc>
          <w:tcPr>
            <w:tcW w:w="1620" w:type="dxa"/>
            <w:tcBorders>
              <w:top w:val="nil"/>
              <w:left w:val="nil"/>
              <w:bottom w:val="nil"/>
              <w:right w:val="nil"/>
            </w:tcBorders>
            <w:shd w:val="clear" w:color="auto" w:fill="auto"/>
            <w:noWrap/>
            <w:vAlign w:val="bottom"/>
            <w:hideMark/>
          </w:tcPr>
          <w:p w:rsidR="00AC7CC2" w:rsidRPr="006173D1" w:rsidRDefault="00AC7CC2" w:rsidP="00AC7CC2">
            <w:pPr>
              <w:overflowPunct/>
              <w:autoSpaceDE/>
              <w:autoSpaceDN/>
              <w:adjustRightInd/>
              <w:textAlignment w:val="auto"/>
              <w:rPr>
                <w:rFonts w:ascii="Arial" w:hAnsi="Arial" w:cs="Arial"/>
                <w:color w:val="000000"/>
              </w:rPr>
            </w:pPr>
            <w:r w:rsidRPr="006173D1">
              <w:rPr>
                <w:rFonts w:ascii="Arial" w:hAnsi="Arial" w:cs="Arial"/>
                <w:color w:val="000000"/>
              </w:rPr>
              <w:t>Total Projects</w:t>
            </w:r>
          </w:p>
        </w:tc>
        <w:tc>
          <w:tcPr>
            <w:tcW w:w="1350" w:type="dxa"/>
            <w:tcBorders>
              <w:top w:val="nil"/>
              <w:left w:val="nil"/>
              <w:bottom w:val="single" w:sz="4" w:space="0" w:color="auto"/>
              <w:right w:val="nil"/>
            </w:tcBorders>
            <w:shd w:val="clear" w:color="auto" w:fill="auto"/>
            <w:noWrap/>
            <w:vAlign w:val="bottom"/>
            <w:hideMark/>
          </w:tcPr>
          <w:p w:rsidR="00AC7CC2" w:rsidRPr="006173D1" w:rsidRDefault="00AC7CC2" w:rsidP="00AC7CC2">
            <w:pPr>
              <w:overflowPunct/>
              <w:autoSpaceDE/>
              <w:autoSpaceDN/>
              <w:adjustRightInd/>
              <w:jc w:val="right"/>
              <w:textAlignment w:val="auto"/>
              <w:rPr>
                <w:rFonts w:ascii="Arial" w:hAnsi="Arial" w:cs="Arial"/>
                <w:b/>
                <w:bCs/>
                <w:color w:val="000000"/>
              </w:rPr>
            </w:pPr>
            <w:r w:rsidRPr="006173D1">
              <w:rPr>
                <w:rFonts w:ascii="Arial" w:hAnsi="Arial" w:cs="Arial"/>
                <w:color w:val="000000"/>
              </w:rPr>
              <w:t>243</w:t>
            </w:r>
          </w:p>
        </w:tc>
        <w:tc>
          <w:tcPr>
            <w:tcW w:w="1440" w:type="dxa"/>
            <w:tcBorders>
              <w:top w:val="nil"/>
              <w:left w:val="nil"/>
              <w:bottom w:val="single" w:sz="4" w:space="0" w:color="auto"/>
              <w:right w:val="nil"/>
            </w:tcBorders>
            <w:shd w:val="clear" w:color="auto" w:fill="auto"/>
            <w:noWrap/>
            <w:vAlign w:val="bottom"/>
            <w:hideMark/>
          </w:tcPr>
          <w:p w:rsidR="00AC7CC2" w:rsidRPr="006173D1" w:rsidRDefault="00AC7CC2" w:rsidP="00AC7CC2">
            <w:pPr>
              <w:overflowPunct/>
              <w:autoSpaceDE/>
              <w:autoSpaceDN/>
              <w:adjustRightInd/>
              <w:jc w:val="right"/>
              <w:textAlignment w:val="auto"/>
              <w:rPr>
                <w:rFonts w:ascii="Arial" w:hAnsi="Arial" w:cs="Arial"/>
                <w:b/>
                <w:bCs/>
                <w:color w:val="000000"/>
              </w:rPr>
            </w:pPr>
            <w:r w:rsidRPr="006173D1">
              <w:rPr>
                <w:rFonts w:ascii="Arial" w:hAnsi="Arial" w:cs="Arial"/>
                <w:color w:val="000000"/>
              </w:rPr>
              <w:t>109</w:t>
            </w:r>
          </w:p>
        </w:tc>
        <w:tc>
          <w:tcPr>
            <w:tcW w:w="1440" w:type="dxa"/>
            <w:tcBorders>
              <w:top w:val="nil"/>
              <w:left w:val="nil"/>
              <w:bottom w:val="single" w:sz="4" w:space="0" w:color="auto"/>
              <w:right w:val="nil"/>
            </w:tcBorders>
            <w:shd w:val="clear" w:color="auto" w:fill="auto"/>
            <w:noWrap/>
            <w:vAlign w:val="bottom"/>
            <w:hideMark/>
          </w:tcPr>
          <w:p w:rsidR="00AC7CC2" w:rsidRPr="006173D1" w:rsidRDefault="00AC7CC2" w:rsidP="00AC7CC2">
            <w:pPr>
              <w:overflowPunct/>
              <w:autoSpaceDE/>
              <w:autoSpaceDN/>
              <w:adjustRightInd/>
              <w:jc w:val="right"/>
              <w:textAlignment w:val="auto"/>
              <w:rPr>
                <w:rFonts w:ascii="Arial" w:hAnsi="Arial" w:cs="Arial"/>
                <w:b/>
                <w:bCs/>
                <w:color w:val="000000"/>
              </w:rPr>
            </w:pPr>
            <w:r w:rsidRPr="006173D1">
              <w:rPr>
                <w:rFonts w:ascii="Arial" w:hAnsi="Arial" w:cs="Arial"/>
                <w:color w:val="000000"/>
              </w:rPr>
              <w:t>423</w:t>
            </w:r>
          </w:p>
        </w:tc>
        <w:tc>
          <w:tcPr>
            <w:tcW w:w="1440" w:type="dxa"/>
            <w:tcBorders>
              <w:top w:val="nil"/>
              <w:left w:val="nil"/>
              <w:bottom w:val="single" w:sz="4" w:space="0" w:color="auto"/>
              <w:right w:val="nil"/>
            </w:tcBorders>
            <w:shd w:val="clear" w:color="auto" w:fill="auto"/>
            <w:noWrap/>
            <w:vAlign w:val="bottom"/>
            <w:hideMark/>
          </w:tcPr>
          <w:p w:rsidR="00AC7CC2" w:rsidRPr="006173D1" w:rsidRDefault="00AC7CC2" w:rsidP="00AC7CC2">
            <w:pPr>
              <w:overflowPunct/>
              <w:autoSpaceDE/>
              <w:autoSpaceDN/>
              <w:adjustRightInd/>
              <w:jc w:val="right"/>
              <w:textAlignment w:val="auto"/>
              <w:rPr>
                <w:rFonts w:ascii="Arial" w:hAnsi="Arial" w:cs="Arial"/>
                <w:b/>
                <w:bCs/>
                <w:color w:val="000000"/>
              </w:rPr>
            </w:pPr>
            <w:r w:rsidRPr="006173D1">
              <w:rPr>
                <w:rFonts w:ascii="Arial" w:hAnsi="Arial" w:cs="Arial"/>
                <w:color w:val="000000"/>
              </w:rPr>
              <w:t>528</w:t>
            </w:r>
          </w:p>
        </w:tc>
        <w:tc>
          <w:tcPr>
            <w:tcW w:w="1217" w:type="dxa"/>
            <w:tcBorders>
              <w:top w:val="nil"/>
              <w:left w:val="nil"/>
              <w:bottom w:val="single" w:sz="4" w:space="0" w:color="auto"/>
              <w:right w:val="nil"/>
            </w:tcBorders>
            <w:shd w:val="clear" w:color="auto" w:fill="auto"/>
            <w:noWrap/>
            <w:vAlign w:val="bottom"/>
            <w:hideMark/>
          </w:tcPr>
          <w:p w:rsidR="00AC7CC2" w:rsidRPr="006173D1" w:rsidRDefault="00AC7CC2" w:rsidP="00AC7CC2">
            <w:pPr>
              <w:overflowPunct/>
              <w:autoSpaceDE/>
              <w:autoSpaceDN/>
              <w:adjustRightInd/>
              <w:jc w:val="right"/>
              <w:textAlignment w:val="auto"/>
              <w:rPr>
                <w:rFonts w:ascii="Arial" w:hAnsi="Arial" w:cs="Arial"/>
                <w:b/>
                <w:bCs/>
                <w:color w:val="000000"/>
              </w:rPr>
            </w:pPr>
            <w:r w:rsidRPr="006173D1">
              <w:rPr>
                <w:rFonts w:ascii="Arial" w:hAnsi="Arial" w:cs="Arial"/>
                <w:color w:val="000000"/>
              </w:rPr>
              <w:t xml:space="preserve">              1,303 </w:t>
            </w:r>
          </w:p>
        </w:tc>
      </w:tr>
      <w:tr w:rsidR="00AC7CC2" w:rsidRPr="006173D1" w:rsidTr="009979E3">
        <w:trPr>
          <w:trHeight w:val="255"/>
        </w:trPr>
        <w:tc>
          <w:tcPr>
            <w:tcW w:w="1620"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textAlignment w:val="auto"/>
              <w:rPr>
                <w:rFonts w:ascii="Arial" w:hAnsi="Arial" w:cs="Arial"/>
                <w:color w:val="000000"/>
              </w:rPr>
            </w:pPr>
            <w:r w:rsidRPr="006173D1">
              <w:rPr>
                <w:rFonts w:ascii="Arial" w:hAnsi="Arial" w:cs="Arial"/>
                <w:color w:val="000000"/>
              </w:rPr>
              <w:t>Number of Responses</w:t>
            </w:r>
          </w:p>
        </w:tc>
        <w:tc>
          <w:tcPr>
            <w:tcW w:w="1350"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r w:rsidRPr="006173D1">
              <w:rPr>
                <w:rFonts w:ascii="Arial" w:hAnsi="Arial" w:cs="Arial"/>
                <w:color w:val="000000"/>
              </w:rPr>
              <w:t>3.7</w:t>
            </w:r>
          </w:p>
        </w:tc>
        <w:tc>
          <w:tcPr>
            <w:tcW w:w="1440"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r w:rsidRPr="006173D1">
              <w:rPr>
                <w:rFonts w:ascii="Arial" w:hAnsi="Arial" w:cs="Arial"/>
                <w:color w:val="000000"/>
              </w:rPr>
              <w:t>3.7</w:t>
            </w:r>
          </w:p>
        </w:tc>
        <w:tc>
          <w:tcPr>
            <w:tcW w:w="1440"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r w:rsidRPr="006173D1">
              <w:rPr>
                <w:rFonts w:ascii="Arial" w:hAnsi="Arial" w:cs="Arial"/>
                <w:color w:val="000000"/>
              </w:rPr>
              <w:t>4.1</w:t>
            </w:r>
          </w:p>
        </w:tc>
        <w:tc>
          <w:tcPr>
            <w:tcW w:w="1440"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r w:rsidRPr="006173D1">
              <w:rPr>
                <w:rFonts w:ascii="Arial" w:hAnsi="Arial" w:cs="Arial"/>
                <w:color w:val="000000"/>
              </w:rPr>
              <w:t>1</w:t>
            </w:r>
          </w:p>
        </w:tc>
        <w:tc>
          <w:tcPr>
            <w:tcW w:w="1217" w:type="dxa"/>
            <w:tcBorders>
              <w:top w:val="nil"/>
              <w:left w:val="nil"/>
              <w:bottom w:val="nil"/>
              <w:right w:val="nil"/>
            </w:tcBorders>
            <w:shd w:val="clear" w:color="auto" w:fill="auto"/>
            <w:noWrap/>
            <w:vAlign w:val="bottom"/>
            <w:hideMark/>
          </w:tcPr>
          <w:p w:rsidR="00AC7CC2" w:rsidRPr="006173D1" w:rsidRDefault="00607980" w:rsidP="00607980">
            <w:pPr>
              <w:overflowPunct/>
              <w:autoSpaceDE/>
              <w:autoSpaceDN/>
              <w:adjustRightInd/>
              <w:jc w:val="right"/>
              <w:textAlignment w:val="auto"/>
              <w:rPr>
                <w:rFonts w:ascii="Arial" w:hAnsi="Arial" w:cs="Arial"/>
                <w:color w:val="000000"/>
              </w:rPr>
            </w:pPr>
            <w:r>
              <w:rPr>
                <w:rFonts w:ascii="Arial" w:hAnsi="Arial" w:cs="Arial"/>
                <w:color w:val="000000"/>
              </w:rPr>
              <w:t>3</w:t>
            </w:r>
            <w:r w:rsidR="00452DAF">
              <w:rPr>
                <w:rFonts w:ascii="Arial" w:hAnsi="Arial" w:cs="Arial"/>
                <w:color w:val="000000"/>
              </w:rPr>
              <w:t>,</w:t>
            </w:r>
            <w:r>
              <w:rPr>
                <w:rFonts w:ascii="Arial" w:hAnsi="Arial" w:cs="Arial"/>
                <w:color w:val="000000"/>
              </w:rPr>
              <w:t>565</w:t>
            </w:r>
          </w:p>
        </w:tc>
      </w:tr>
      <w:tr w:rsidR="00AC7CC2" w:rsidRPr="006173D1" w:rsidTr="009979E3">
        <w:trPr>
          <w:trHeight w:val="255"/>
        </w:trPr>
        <w:tc>
          <w:tcPr>
            <w:tcW w:w="1620"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textAlignment w:val="auto"/>
              <w:rPr>
                <w:rFonts w:ascii="Arial" w:hAnsi="Arial" w:cs="Arial"/>
                <w:color w:val="000000"/>
              </w:rPr>
            </w:pPr>
            <w:r w:rsidRPr="006173D1">
              <w:rPr>
                <w:rFonts w:ascii="Arial" w:hAnsi="Arial" w:cs="Arial"/>
                <w:color w:val="000000"/>
              </w:rPr>
              <w:t>Estimated Hrs/Response</w:t>
            </w:r>
          </w:p>
        </w:tc>
        <w:tc>
          <w:tcPr>
            <w:tcW w:w="1350"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r w:rsidRPr="006173D1">
              <w:rPr>
                <w:rFonts w:ascii="Arial" w:hAnsi="Arial" w:cs="Arial"/>
                <w:color w:val="000000"/>
              </w:rPr>
              <w:t>2</w:t>
            </w:r>
          </w:p>
        </w:tc>
        <w:tc>
          <w:tcPr>
            <w:tcW w:w="1440"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r w:rsidRPr="006173D1">
              <w:rPr>
                <w:rFonts w:ascii="Arial" w:hAnsi="Arial" w:cs="Arial"/>
                <w:color w:val="000000"/>
              </w:rPr>
              <w:t>2.7</w:t>
            </w:r>
          </w:p>
        </w:tc>
        <w:tc>
          <w:tcPr>
            <w:tcW w:w="1440"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r w:rsidRPr="006173D1">
              <w:rPr>
                <w:rFonts w:ascii="Arial" w:hAnsi="Arial" w:cs="Arial"/>
                <w:color w:val="000000"/>
              </w:rPr>
              <w:t>2.8</w:t>
            </w:r>
          </w:p>
        </w:tc>
        <w:tc>
          <w:tcPr>
            <w:tcW w:w="1440"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r w:rsidRPr="006173D1">
              <w:rPr>
                <w:rFonts w:ascii="Arial" w:hAnsi="Arial" w:cs="Arial"/>
                <w:color w:val="000000"/>
              </w:rPr>
              <w:t>1.7</w:t>
            </w:r>
          </w:p>
        </w:tc>
        <w:tc>
          <w:tcPr>
            <w:tcW w:w="1217"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textAlignment w:val="auto"/>
              <w:rPr>
                <w:rFonts w:ascii="Arial" w:hAnsi="Arial" w:cs="Arial"/>
                <w:color w:val="000000"/>
              </w:rPr>
            </w:pPr>
          </w:p>
        </w:tc>
      </w:tr>
      <w:tr w:rsidR="00AC7CC2" w:rsidRPr="006173D1" w:rsidTr="009979E3">
        <w:trPr>
          <w:trHeight w:val="255"/>
        </w:trPr>
        <w:tc>
          <w:tcPr>
            <w:tcW w:w="1620"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textAlignment w:val="auto"/>
              <w:rPr>
                <w:rFonts w:ascii="Arial" w:hAnsi="Arial" w:cs="Arial"/>
                <w:color w:val="000000"/>
              </w:rPr>
            </w:pPr>
            <w:r w:rsidRPr="006173D1">
              <w:rPr>
                <w:rFonts w:ascii="Arial" w:hAnsi="Arial" w:cs="Arial"/>
                <w:color w:val="000000"/>
              </w:rPr>
              <w:t>Estimated Total Burden Hours</w:t>
            </w:r>
          </w:p>
        </w:tc>
        <w:tc>
          <w:tcPr>
            <w:tcW w:w="1350"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r w:rsidRPr="006173D1">
              <w:rPr>
                <w:rFonts w:ascii="Arial" w:hAnsi="Arial" w:cs="Arial"/>
                <w:color w:val="000000"/>
              </w:rPr>
              <w:t xml:space="preserve">           1,798 </w:t>
            </w:r>
          </w:p>
        </w:tc>
        <w:tc>
          <w:tcPr>
            <w:tcW w:w="1440"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r w:rsidRPr="006173D1">
              <w:rPr>
                <w:rFonts w:ascii="Arial" w:hAnsi="Arial" w:cs="Arial"/>
                <w:color w:val="000000"/>
              </w:rPr>
              <w:t xml:space="preserve">           1,089 </w:t>
            </w:r>
          </w:p>
        </w:tc>
        <w:tc>
          <w:tcPr>
            <w:tcW w:w="1440"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r w:rsidRPr="006173D1">
              <w:rPr>
                <w:rFonts w:ascii="Arial" w:hAnsi="Arial" w:cs="Arial"/>
                <w:color w:val="000000"/>
              </w:rPr>
              <w:t xml:space="preserve">            4,856 </w:t>
            </w:r>
          </w:p>
        </w:tc>
        <w:tc>
          <w:tcPr>
            <w:tcW w:w="1440"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r w:rsidRPr="006173D1">
              <w:rPr>
                <w:rFonts w:ascii="Arial" w:hAnsi="Arial" w:cs="Arial"/>
                <w:color w:val="000000"/>
              </w:rPr>
              <w:t xml:space="preserve">                                   898 </w:t>
            </w:r>
          </w:p>
        </w:tc>
        <w:tc>
          <w:tcPr>
            <w:tcW w:w="1217" w:type="dxa"/>
            <w:tcBorders>
              <w:top w:val="nil"/>
              <w:left w:val="nil"/>
              <w:bottom w:val="nil"/>
              <w:right w:val="nil"/>
            </w:tcBorders>
            <w:shd w:val="clear" w:color="auto" w:fill="auto"/>
            <w:noWrap/>
            <w:vAlign w:val="bottom"/>
            <w:hideMark/>
          </w:tcPr>
          <w:p w:rsidR="00AC7CC2" w:rsidRPr="006173D1" w:rsidRDefault="00AC7CC2" w:rsidP="00AC7CC2">
            <w:pPr>
              <w:overflowPunct/>
              <w:autoSpaceDE/>
              <w:autoSpaceDN/>
              <w:adjustRightInd/>
              <w:jc w:val="right"/>
              <w:textAlignment w:val="auto"/>
              <w:rPr>
                <w:rFonts w:ascii="Arial" w:hAnsi="Arial" w:cs="Arial"/>
                <w:color w:val="000000"/>
              </w:rPr>
            </w:pPr>
            <w:r w:rsidRPr="006173D1">
              <w:rPr>
                <w:rFonts w:ascii="Arial" w:hAnsi="Arial" w:cs="Arial"/>
                <w:color w:val="000000"/>
              </w:rPr>
              <w:t xml:space="preserve">  8,641 </w:t>
            </w:r>
          </w:p>
        </w:tc>
      </w:tr>
      <w:tr w:rsidR="00AC7CC2" w:rsidRPr="006173D1" w:rsidTr="009979E3">
        <w:trPr>
          <w:trHeight w:val="255"/>
        </w:trPr>
        <w:tc>
          <w:tcPr>
            <w:tcW w:w="1620"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textAlignment w:val="auto"/>
              <w:rPr>
                <w:rFonts w:ascii="Arial" w:hAnsi="Arial" w:cs="Arial"/>
                <w:color w:val="000000"/>
              </w:rPr>
            </w:pPr>
          </w:p>
        </w:tc>
        <w:tc>
          <w:tcPr>
            <w:tcW w:w="1350"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p>
        </w:tc>
        <w:tc>
          <w:tcPr>
            <w:tcW w:w="1440"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p>
        </w:tc>
        <w:tc>
          <w:tcPr>
            <w:tcW w:w="1440"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p>
        </w:tc>
        <w:tc>
          <w:tcPr>
            <w:tcW w:w="1440"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p>
        </w:tc>
        <w:tc>
          <w:tcPr>
            <w:tcW w:w="1217"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p>
        </w:tc>
      </w:tr>
      <w:tr w:rsidR="00AC7CC2" w:rsidRPr="006173D1" w:rsidTr="009979E3">
        <w:trPr>
          <w:trHeight w:val="270"/>
        </w:trPr>
        <w:tc>
          <w:tcPr>
            <w:tcW w:w="1620"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textAlignment w:val="auto"/>
              <w:rPr>
                <w:rFonts w:ascii="Arial" w:hAnsi="Arial" w:cs="Arial"/>
                <w:color w:val="000000"/>
              </w:rPr>
            </w:pPr>
            <w:r w:rsidRPr="006173D1">
              <w:rPr>
                <w:rFonts w:ascii="Arial" w:hAnsi="Arial" w:cs="Arial"/>
                <w:color w:val="000000"/>
              </w:rPr>
              <w:t>Average Cost per hour</w:t>
            </w:r>
          </w:p>
        </w:tc>
        <w:tc>
          <w:tcPr>
            <w:tcW w:w="1350" w:type="dxa"/>
            <w:tcBorders>
              <w:top w:val="nil"/>
              <w:left w:val="nil"/>
              <w:bottom w:val="single" w:sz="8" w:space="0" w:color="auto"/>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r w:rsidRPr="006173D1">
              <w:rPr>
                <w:rFonts w:ascii="Arial" w:hAnsi="Arial" w:cs="Arial"/>
                <w:color w:val="000000"/>
              </w:rPr>
              <w:t xml:space="preserve"> $        40.87 </w:t>
            </w:r>
          </w:p>
        </w:tc>
        <w:tc>
          <w:tcPr>
            <w:tcW w:w="1440" w:type="dxa"/>
            <w:tcBorders>
              <w:top w:val="nil"/>
              <w:left w:val="nil"/>
              <w:bottom w:val="single" w:sz="8" w:space="0" w:color="auto"/>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r w:rsidRPr="006173D1">
              <w:rPr>
                <w:rFonts w:ascii="Arial" w:hAnsi="Arial" w:cs="Arial"/>
                <w:color w:val="000000"/>
              </w:rPr>
              <w:t xml:space="preserve"> $        40.87 </w:t>
            </w:r>
          </w:p>
        </w:tc>
        <w:tc>
          <w:tcPr>
            <w:tcW w:w="1440" w:type="dxa"/>
            <w:tcBorders>
              <w:top w:val="nil"/>
              <w:left w:val="nil"/>
              <w:bottom w:val="single" w:sz="8" w:space="0" w:color="auto"/>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r w:rsidRPr="006173D1">
              <w:rPr>
                <w:rFonts w:ascii="Arial" w:hAnsi="Arial" w:cs="Arial"/>
                <w:color w:val="000000"/>
              </w:rPr>
              <w:t xml:space="preserve"> $       40.87 </w:t>
            </w:r>
          </w:p>
        </w:tc>
        <w:tc>
          <w:tcPr>
            <w:tcW w:w="1440" w:type="dxa"/>
            <w:tcBorders>
              <w:top w:val="nil"/>
              <w:left w:val="nil"/>
              <w:bottom w:val="single" w:sz="8" w:space="0" w:color="auto"/>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r w:rsidRPr="006173D1">
              <w:rPr>
                <w:rFonts w:ascii="Arial" w:hAnsi="Arial" w:cs="Arial"/>
                <w:color w:val="000000"/>
              </w:rPr>
              <w:t xml:space="preserve">$                             40.87 </w:t>
            </w:r>
          </w:p>
        </w:tc>
        <w:tc>
          <w:tcPr>
            <w:tcW w:w="1217" w:type="dxa"/>
            <w:tcBorders>
              <w:top w:val="nil"/>
              <w:left w:val="nil"/>
              <w:bottom w:val="single" w:sz="8" w:space="0" w:color="auto"/>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r w:rsidRPr="006173D1">
              <w:rPr>
                <w:rFonts w:ascii="Arial" w:hAnsi="Arial" w:cs="Arial"/>
                <w:color w:val="000000"/>
              </w:rPr>
              <w:t xml:space="preserve"> $           40.87</w:t>
            </w:r>
            <w:r w:rsidR="00950001">
              <w:rPr>
                <w:rFonts w:ascii="Arial" w:hAnsi="Arial" w:cs="Arial"/>
                <w:color w:val="000000"/>
              </w:rPr>
              <w:t>*</w:t>
            </w:r>
            <w:r w:rsidRPr="006173D1">
              <w:rPr>
                <w:rFonts w:ascii="Arial" w:hAnsi="Arial" w:cs="Arial"/>
                <w:color w:val="000000"/>
              </w:rPr>
              <w:t xml:space="preserve"> </w:t>
            </w:r>
          </w:p>
        </w:tc>
      </w:tr>
      <w:tr w:rsidR="00AC7CC2" w:rsidRPr="006173D1" w:rsidTr="009979E3">
        <w:trPr>
          <w:trHeight w:val="255"/>
        </w:trPr>
        <w:tc>
          <w:tcPr>
            <w:tcW w:w="1620"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textAlignment w:val="auto"/>
              <w:rPr>
                <w:rFonts w:ascii="Arial" w:hAnsi="Arial" w:cs="Arial"/>
                <w:color w:val="000000"/>
              </w:rPr>
            </w:pPr>
          </w:p>
        </w:tc>
        <w:tc>
          <w:tcPr>
            <w:tcW w:w="1350"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p>
        </w:tc>
        <w:tc>
          <w:tcPr>
            <w:tcW w:w="1440"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p>
        </w:tc>
        <w:tc>
          <w:tcPr>
            <w:tcW w:w="1440"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p>
        </w:tc>
        <w:tc>
          <w:tcPr>
            <w:tcW w:w="1440"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p>
        </w:tc>
        <w:tc>
          <w:tcPr>
            <w:tcW w:w="1217"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p>
        </w:tc>
      </w:tr>
      <w:tr w:rsidR="00AC7CC2" w:rsidRPr="006173D1" w:rsidTr="009979E3">
        <w:trPr>
          <w:trHeight w:val="270"/>
        </w:trPr>
        <w:tc>
          <w:tcPr>
            <w:tcW w:w="1620"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textAlignment w:val="auto"/>
              <w:rPr>
                <w:rFonts w:ascii="Arial" w:hAnsi="Arial" w:cs="Arial"/>
                <w:b/>
                <w:bCs/>
                <w:color w:val="000000"/>
              </w:rPr>
            </w:pPr>
            <w:r w:rsidRPr="006173D1">
              <w:rPr>
                <w:rFonts w:ascii="Arial" w:hAnsi="Arial" w:cs="Arial"/>
                <w:b/>
                <w:bCs/>
                <w:color w:val="000000"/>
              </w:rPr>
              <w:t>Total Cost to Public</w:t>
            </w:r>
          </w:p>
        </w:tc>
        <w:tc>
          <w:tcPr>
            <w:tcW w:w="1350" w:type="dxa"/>
            <w:tcBorders>
              <w:top w:val="nil"/>
              <w:left w:val="nil"/>
              <w:bottom w:val="single" w:sz="8" w:space="0" w:color="auto"/>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r w:rsidRPr="006173D1">
              <w:rPr>
                <w:rFonts w:ascii="Arial" w:hAnsi="Arial" w:cs="Arial"/>
                <w:color w:val="000000"/>
              </w:rPr>
              <w:t xml:space="preserve"> $  73,492.43 </w:t>
            </w:r>
          </w:p>
        </w:tc>
        <w:tc>
          <w:tcPr>
            <w:tcW w:w="1440" w:type="dxa"/>
            <w:tcBorders>
              <w:top w:val="nil"/>
              <w:left w:val="nil"/>
              <w:bottom w:val="single" w:sz="8" w:space="0" w:color="auto"/>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r w:rsidRPr="006173D1">
              <w:rPr>
                <w:rFonts w:ascii="Arial" w:hAnsi="Arial" w:cs="Arial"/>
                <w:color w:val="000000"/>
              </w:rPr>
              <w:t xml:space="preserve"> $  44,503.75 </w:t>
            </w:r>
          </w:p>
        </w:tc>
        <w:tc>
          <w:tcPr>
            <w:tcW w:w="1440" w:type="dxa"/>
            <w:tcBorders>
              <w:top w:val="nil"/>
              <w:left w:val="nil"/>
              <w:bottom w:val="single" w:sz="8" w:space="0" w:color="auto"/>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r w:rsidRPr="006173D1">
              <w:rPr>
                <w:rFonts w:ascii="Arial" w:hAnsi="Arial" w:cs="Arial"/>
                <w:color w:val="000000"/>
              </w:rPr>
              <w:t xml:space="preserve"> $ 198,466.35 </w:t>
            </w:r>
          </w:p>
        </w:tc>
        <w:tc>
          <w:tcPr>
            <w:tcW w:w="1440" w:type="dxa"/>
            <w:tcBorders>
              <w:top w:val="nil"/>
              <w:left w:val="nil"/>
              <w:bottom w:val="single" w:sz="8" w:space="0" w:color="auto"/>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r w:rsidRPr="006173D1">
              <w:rPr>
                <w:rFonts w:ascii="Arial" w:hAnsi="Arial" w:cs="Arial"/>
                <w:color w:val="000000"/>
              </w:rPr>
              <w:t xml:space="preserve"> $                       36,684.91 </w:t>
            </w:r>
          </w:p>
        </w:tc>
        <w:tc>
          <w:tcPr>
            <w:tcW w:w="1217" w:type="dxa"/>
            <w:tcBorders>
              <w:top w:val="nil"/>
              <w:left w:val="nil"/>
              <w:bottom w:val="single" w:sz="8" w:space="0" w:color="auto"/>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r w:rsidRPr="006173D1">
              <w:rPr>
                <w:rFonts w:ascii="Arial" w:hAnsi="Arial" w:cs="Arial"/>
                <w:color w:val="000000"/>
              </w:rPr>
              <w:t xml:space="preserve"> $   353,147.45 </w:t>
            </w:r>
          </w:p>
        </w:tc>
      </w:tr>
      <w:tr w:rsidR="00AC7CC2" w:rsidRPr="006173D1" w:rsidTr="009979E3">
        <w:trPr>
          <w:trHeight w:val="255"/>
        </w:trPr>
        <w:tc>
          <w:tcPr>
            <w:tcW w:w="1620"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textAlignment w:val="auto"/>
              <w:rPr>
                <w:rFonts w:ascii="Arial" w:hAnsi="Arial" w:cs="Arial"/>
                <w:color w:val="000000"/>
              </w:rPr>
            </w:pPr>
          </w:p>
        </w:tc>
        <w:tc>
          <w:tcPr>
            <w:tcW w:w="1350"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p>
        </w:tc>
        <w:tc>
          <w:tcPr>
            <w:tcW w:w="1440"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p>
        </w:tc>
        <w:tc>
          <w:tcPr>
            <w:tcW w:w="1440"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p>
        </w:tc>
        <w:tc>
          <w:tcPr>
            <w:tcW w:w="1440"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p>
        </w:tc>
        <w:tc>
          <w:tcPr>
            <w:tcW w:w="1217" w:type="dxa"/>
            <w:tcBorders>
              <w:top w:val="nil"/>
              <w:left w:val="nil"/>
              <w:bottom w:val="nil"/>
              <w:right w:val="nil"/>
            </w:tcBorders>
            <w:shd w:val="clear" w:color="auto" w:fill="auto"/>
            <w:noWrap/>
            <w:vAlign w:val="bottom"/>
            <w:hideMark/>
          </w:tcPr>
          <w:p w:rsidR="00AC7CC2" w:rsidRPr="006173D1" w:rsidRDefault="00AC7CC2" w:rsidP="006173D1">
            <w:pPr>
              <w:overflowPunct/>
              <w:autoSpaceDE/>
              <w:autoSpaceDN/>
              <w:adjustRightInd/>
              <w:jc w:val="right"/>
              <w:textAlignment w:val="auto"/>
              <w:rPr>
                <w:rFonts w:ascii="Arial" w:hAnsi="Arial" w:cs="Arial"/>
                <w:color w:val="000000"/>
              </w:rPr>
            </w:pPr>
          </w:p>
        </w:tc>
      </w:tr>
    </w:tbl>
    <w:p w:rsidR="00A83E7D" w:rsidRDefault="00A83E7D" w:rsidP="004E4C44">
      <w:pPr>
        <w:numPr>
          <w:ilvl w:val="12"/>
          <w:numId w:val="0"/>
        </w:numPr>
        <w:rPr>
          <w:sz w:val="24"/>
        </w:rPr>
      </w:pPr>
      <w:r>
        <w:rPr>
          <w:sz w:val="24"/>
        </w:rPr>
        <w:t>Total annual responses</w:t>
      </w:r>
      <w:r>
        <w:rPr>
          <w:sz w:val="24"/>
        </w:rPr>
        <w:tab/>
      </w:r>
      <w:r>
        <w:rPr>
          <w:sz w:val="24"/>
        </w:rPr>
        <w:tab/>
      </w:r>
      <w:r>
        <w:rPr>
          <w:sz w:val="24"/>
        </w:rPr>
        <w:tab/>
      </w:r>
      <w:r>
        <w:rPr>
          <w:sz w:val="24"/>
        </w:rPr>
        <w:tab/>
      </w:r>
      <w:r w:rsidR="003B7FE1">
        <w:rPr>
          <w:sz w:val="24"/>
        </w:rPr>
        <w:t>3,565</w:t>
      </w:r>
    </w:p>
    <w:p w:rsidR="00A83E7D" w:rsidRDefault="00A83E7D" w:rsidP="004E4C44">
      <w:pPr>
        <w:numPr>
          <w:ilvl w:val="12"/>
          <w:numId w:val="0"/>
        </w:numPr>
        <w:rPr>
          <w:sz w:val="24"/>
          <w:u w:val="single"/>
        </w:rPr>
      </w:pPr>
      <w:r>
        <w:rPr>
          <w:sz w:val="24"/>
        </w:rPr>
        <w:t>Estimates hours/response</w:t>
      </w:r>
      <w:r>
        <w:rPr>
          <w:sz w:val="24"/>
        </w:rPr>
        <w:tab/>
      </w:r>
      <w:r>
        <w:rPr>
          <w:sz w:val="24"/>
        </w:rPr>
        <w:tab/>
      </w:r>
      <w:r>
        <w:rPr>
          <w:sz w:val="24"/>
        </w:rPr>
        <w:tab/>
      </w:r>
      <w:r w:rsidR="00655727">
        <w:rPr>
          <w:sz w:val="24"/>
        </w:rPr>
        <w:tab/>
      </w:r>
      <w:r w:rsidR="00452DAF">
        <w:rPr>
          <w:sz w:val="24"/>
        </w:rPr>
        <w:t xml:space="preserve">2.4238 </w:t>
      </w:r>
      <w:r w:rsidR="00AC41CA">
        <w:rPr>
          <w:sz w:val="24"/>
        </w:rPr>
        <w:t xml:space="preserve">hr </w:t>
      </w:r>
      <w:r>
        <w:rPr>
          <w:sz w:val="24"/>
        </w:rPr>
        <w:t>(average)</w:t>
      </w:r>
    </w:p>
    <w:p w:rsidR="00A83E7D" w:rsidRDefault="00A83E7D" w:rsidP="004E4C44">
      <w:pPr>
        <w:numPr>
          <w:ilvl w:val="12"/>
          <w:numId w:val="0"/>
        </w:numPr>
        <w:rPr>
          <w:sz w:val="24"/>
        </w:rPr>
      </w:pPr>
      <w:r>
        <w:rPr>
          <w:sz w:val="24"/>
        </w:rPr>
        <w:t>Estimated total burden/hrs</w:t>
      </w:r>
      <w:r>
        <w:rPr>
          <w:sz w:val="24"/>
        </w:rPr>
        <w:tab/>
      </w:r>
      <w:r>
        <w:rPr>
          <w:sz w:val="24"/>
        </w:rPr>
        <w:tab/>
      </w:r>
      <w:r>
        <w:rPr>
          <w:sz w:val="24"/>
        </w:rPr>
        <w:tab/>
        <w:t xml:space="preserve">          </w:t>
      </w:r>
      <w:r w:rsidR="00655727">
        <w:rPr>
          <w:sz w:val="24"/>
        </w:rPr>
        <w:t>8,641</w:t>
      </w:r>
    </w:p>
    <w:p w:rsidR="00950001" w:rsidRPr="00950001" w:rsidRDefault="00A83E7D" w:rsidP="00950001">
      <w:pPr>
        <w:pStyle w:val="Heading3"/>
        <w:numPr>
          <w:ilvl w:val="12"/>
          <w:numId w:val="0"/>
        </w:numPr>
      </w:pPr>
      <w:r>
        <w:t>Average cost per hour</w:t>
      </w:r>
      <w:r>
        <w:tab/>
      </w:r>
      <w:r>
        <w:tab/>
      </w:r>
      <w:r>
        <w:tab/>
      </w:r>
      <w:r>
        <w:tab/>
      </w:r>
      <w:r w:rsidR="00655727">
        <w:tab/>
      </w:r>
      <w:r>
        <w:rPr>
          <w:u w:val="single"/>
        </w:rPr>
        <w:t>$</w:t>
      </w:r>
      <w:r w:rsidR="00655727">
        <w:rPr>
          <w:u w:val="single"/>
        </w:rPr>
        <w:t>40.87</w:t>
      </w:r>
      <w:r w:rsidR="00655727">
        <w:t xml:space="preserve"> </w:t>
      </w:r>
      <w:r>
        <w:t>hr</w:t>
      </w:r>
    </w:p>
    <w:p w:rsidR="00A83E7D" w:rsidRDefault="00A83E7D" w:rsidP="004E4C44">
      <w:pPr>
        <w:numPr>
          <w:ilvl w:val="12"/>
          <w:numId w:val="0"/>
        </w:numPr>
        <w:rPr>
          <w:sz w:val="24"/>
        </w:rPr>
      </w:pPr>
      <w:r>
        <w:rPr>
          <w:sz w:val="24"/>
        </w:rPr>
        <w:t>Total cost to the public</w:t>
      </w:r>
      <w:r>
        <w:rPr>
          <w:sz w:val="24"/>
        </w:rPr>
        <w:tab/>
      </w:r>
      <w:r>
        <w:rPr>
          <w:sz w:val="24"/>
        </w:rPr>
        <w:tab/>
      </w:r>
      <w:r>
        <w:rPr>
          <w:sz w:val="24"/>
        </w:rPr>
        <w:tab/>
        <w:t xml:space="preserve">     </w:t>
      </w:r>
      <w:r w:rsidR="00CF2505">
        <w:rPr>
          <w:sz w:val="24"/>
        </w:rPr>
        <w:t xml:space="preserve">  </w:t>
      </w:r>
      <w:r>
        <w:rPr>
          <w:sz w:val="24"/>
        </w:rPr>
        <w:t xml:space="preserve"> $</w:t>
      </w:r>
      <w:r w:rsidR="00655727">
        <w:rPr>
          <w:sz w:val="24"/>
        </w:rPr>
        <w:t>353,147</w:t>
      </w:r>
    </w:p>
    <w:p w:rsidR="00A83E7D" w:rsidRDefault="00A83E7D" w:rsidP="004E4C44">
      <w:pPr>
        <w:numPr>
          <w:ilvl w:val="12"/>
          <w:numId w:val="0"/>
        </w:numPr>
        <w:rPr>
          <w:sz w:val="24"/>
        </w:rPr>
      </w:pPr>
    </w:p>
    <w:p w:rsidR="00950001" w:rsidRDefault="00950001" w:rsidP="004E4C44">
      <w:pPr>
        <w:numPr>
          <w:ilvl w:val="12"/>
          <w:numId w:val="0"/>
        </w:numPr>
        <w:rPr>
          <w:sz w:val="24"/>
        </w:rPr>
      </w:pPr>
      <w:proofErr w:type="gramStart"/>
      <w:r>
        <w:rPr>
          <w:sz w:val="24"/>
        </w:rPr>
        <w:t xml:space="preserve">*  </w:t>
      </w:r>
      <w:r w:rsidR="004321BB">
        <w:rPr>
          <w:sz w:val="24"/>
        </w:rPr>
        <w:t>According</w:t>
      </w:r>
      <w:proofErr w:type="gramEnd"/>
      <w:r w:rsidR="004321BB">
        <w:rPr>
          <w:sz w:val="24"/>
        </w:rPr>
        <w:t xml:space="preserve"> to</w:t>
      </w:r>
      <w:r>
        <w:rPr>
          <w:sz w:val="24"/>
        </w:rPr>
        <w:t xml:space="preserve"> a National Association of Realtors </w:t>
      </w:r>
      <w:r w:rsidR="004321BB">
        <w:rPr>
          <w:sz w:val="24"/>
        </w:rPr>
        <w:t xml:space="preserve">(NAR) </w:t>
      </w:r>
      <w:r>
        <w:rPr>
          <w:sz w:val="24"/>
        </w:rPr>
        <w:t>survey o</w:t>
      </w:r>
      <w:r w:rsidR="00830DB0">
        <w:rPr>
          <w:sz w:val="24"/>
        </w:rPr>
        <w:t>f</w:t>
      </w:r>
      <w:r>
        <w:rPr>
          <w:sz w:val="24"/>
        </w:rPr>
        <w:t xml:space="preserve"> members</w:t>
      </w:r>
      <w:r w:rsidR="004321BB">
        <w:rPr>
          <w:sz w:val="24"/>
        </w:rPr>
        <w:t>, commercial real estate brokers</w:t>
      </w:r>
      <w:r>
        <w:rPr>
          <w:sz w:val="24"/>
        </w:rPr>
        <w:t xml:space="preserve"> report an average annual </w:t>
      </w:r>
      <w:r w:rsidR="008257A9">
        <w:rPr>
          <w:sz w:val="24"/>
        </w:rPr>
        <w:t xml:space="preserve">income </w:t>
      </w:r>
      <w:r>
        <w:rPr>
          <w:sz w:val="24"/>
        </w:rPr>
        <w:t xml:space="preserve">of </w:t>
      </w:r>
      <w:r w:rsidR="008467F5">
        <w:rPr>
          <w:sz w:val="24"/>
        </w:rPr>
        <w:t>$85,000.  When divided by</w:t>
      </w:r>
      <w:r w:rsidR="00830DB0">
        <w:rPr>
          <w:sz w:val="24"/>
        </w:rPr>
        <w:t xml:space="preserve"> 2080 hours per year, </w:t>
      </w:r>
      <w:r w:rsidR="004321BB">
        <w:rPr>
          <w:sz w:val="24"/>
        </w:rPr>
        <w:t>that</w:t>
      </w:r>
      <w:r w:rsidR="008467F5">
        <w:rPr>
          <w:sz w:val="24"/>
        </w:rPr>
        <w:t xml:space="preserve"> </w:t>
      </w:r>
      <w:r w:rsidR="00830DB0">
        <w:rPr>
          <w:sz w:val="24"/>
        </w:rPr>
        <w:t xml:space="preserve">equals </w:t>
      </w:r>
      <w:r w:rsidR="008467F5">
        <w:rPr>
          <w:sz w:val="24"/>
        </w:rPr>
        <w:t>$40.87 per hour.</w:t>
      </w:r>
      <w:r w:rsidR="004321BB">
        <w:rPr>
          <w:sz w:val="24"/>
        </w:rPr>
        <w:t xml:space="preserve">  The NAR survey results were reported on the job site monster.com.</w:t>
      </w:r>
    </w:p>
    <w:p w:rsidR="00950001" w:rsidRDefault="00950001" w:rsidP="004E4C44">
      <w:pPr>
        <w:numPr>
          <w:ilvl w:val="12"/>
          <w:numId w:val="0"/>
        </w:numPr>
        <w:rPr>
          <w:sz w:val="24"/>
        </w:rPr>
      </w:pPr>
    </w:p>
    <w:p w:rsidR="00F65B5E" w:rsidRPr="00F65B5E" w:rsidRDefault="00F65B5E" w:rsidP="00F65B5E">
      <w:pPr>
        <w:numPr>
          <w:ilvl w:val="0"/>
          <w:numId w:val="4"/>
        </w:numPr>
        <w:tabs>
          <w:tab w:val="left" w:pos="0"/>
          <w:tab w:val="left" w:pos="720"/>
          <w:tab w:val="left" w:pos="6390"/>
        </w:tabs>
        <w:overflowPunct/>
        <w:autoSpaceDE/>
        <w:autoSpaceDN/>
        <w:adjustRightInd/>
        <w:textAlignment w:val="auto"/>
        <w:rPr>
          <w:b/>
          <w:sz w:val="24"/>
          <w:szCs w:val="24"/>
        </w:rPr>
      </w:pPr>
      <w:r w:rsidRPr="00F65B5E">
        <w:rPr>
          <w:b/>
          <w:sz w:val="24"/>
          <w:szCs w:val="24"/>
        </w:rPr>
        <w:t>Estimate of annualized costs to the Federal Government.</w:t>
      </w:r>
    </w:p>
    <w:p w:rsidR="00A83E7D" w:rsidRDefault="00A83E7D" w:rsidP="00F65B5E">
      <w:pPr>
        <w:numPr>
          <w:ilvl w:val="12"/>
          <w:numId w:val="0"/>
        </w:numPr>
        <w:rPr>
          <w:sz w:val="24"/>
        </w:rPr>
      </w:pPr>
    </w:p>
    <w:tbl>
      <w:tblPr>
        <w:tblW w:w="8495" w:type="dxa"/>
        <w:tblInd w:w="198" w:type="dxa"/>
        <w:tblLook w:val="04A0"/>
      </w:tblPr>
      <w:tblGrid>
        <w:gridCol w:w="1620"/>
        <w:gridCol w:w="1260"/>
        <w:gridCol w:w="1440"/>
        <w:gridCol w:w="1530"/>
        <w:gridCol w:w="1428"/>
        <w:gridCol w:w="1217"/>
      </w:tblGrid>
      <w:tr w:rsidR="00A36E70" w:rsidRPr="00A36E70" w:rsidTr="00AC7CC2">
        <w:trPr>
          <w:trHeight w:val="255"/>
        </w:trPr>
        <w:tc>
          <w:tcPr>
            <w:tcW w:w="1620" w:type="dxa"/>
            <w:tcBorders>
              <w:top w:val="nil"/>
              <w:left w:val="nil"/>
              <w:bottom w:val="nil"/>
              <w:right w:val="nil"/>
            </w:tcBorders>
            <w:shd w:val="clear" w:color="auto" w:fill="auto"/>
            <w:noWrap/>
            <w:vAlign w:val="bottom"/>
            <w:hideMark/>
          </w:tcPr>
          <w:p w:rsidR="00A36E70" w:rsidRPr="00A36E70" w:rsidRDefault="00A36E70" w:rsidP="00A36E70">
            <w:pPr>
              <w:overflowPunct/>
              <w:autoSpaceDE/>
              <w:autoSpaceDN/>
              <w:adjustRightInd/>
              <w:textAlignment w:val="auto"/>
              <w:rPr>
                <w:rFonts w:ascii="Arial" w:hAnsi="Arial" w:cs="Arial"/>
                <w:color w:val="000000"/>
              </w:rPr>
            </w:pPr>
          </w:p>
        </w:tc>
        <w:tc>
          <w:tcPr>
            <w:tcW w:w="1260" w:type="dxa"/>
            <w:tcBorders>
              <w:top w:val="nil"/>
              <w:left w:val="nil"/>
              <w:bottom w:val="nil"/>
              <w:right w:val="nil"/>
            </w:tcBorders>
            <w:shd w:val="clear" w:color="auto" w:fill="auto"/>
            <w:noWrap/>
            <w:vAlign w:val="bottom"/>
            <w:hideMark/>
          </w:tcPr>
          <w:p w:rsidR="00A36E70" w:rsidRPr="00A36E70" w:rsidRDefault="00A36E70" w:rsidP="00A36E70">
            <w:pPr>
              <w:overflowPunct/>
              <w:autoSpaceDE/>
              <w:autoSpaceDN/>
              <w:adjustRightInd/>
              <w:jc w:val="center"/>
              <w:textAlignment w:val="auto"/>
              <w:rPr>
                <w:rFonts w:ascii="Arial" w:hAnsi="Arial" w:cs="Arial"/>
                <w:b/>
                <w:bCs/>
                <w:color w:val="000000"/>
              </w:rPr>
            </w:pPr>
            <w:r w:rsidRPr="00A36E70">
              <w:rPr>
                <w:rFonts w:ascii="Arial" w:hAnsi="Arial" w:cs="Arial"/>
                <w:b/>
                <w:bCs/>
                <w:color w:val="000000"/>
              </w:rPr>
              <w:t>Simplified</w:t>
            </w:r>
          </w:p>
        </w:tc>
        <w:tc>
          <w:tcPr>
            <w:tcW w:w="1440" w:type="dxa"/>
            <w:tcBorders>
              <w:top w:val="nil"/>
              <w:left w:val="nil"/>
              <w:bottom w:val="nil"/>
              <w:right w:val="nil"/>
            </w:tcBorders>
            <w:shd w:val="clear" w:color="auto" w:fill="auto"/>
            <w:noWrap/>
            <w:vAlign w:val="bottom"/>
            <w:hideMark/>
          </w:tcPr>
          <w:p w:rsidR="00A36E70" w:rsidRPr="00A36E70" w:rsidRDefault="00A36E70" w:rsidP="00A36E70">
            <w:pPr>
              <w:overflowPunct/>
              <w:autoSpaceDE/>
              <w:autoSpaceDN/>
              <w:adjustRightInd/>
              <w:jc w:val="center"/>
              <w:textAlignment w:val="auto"/>
              <w:rPr>
                <w:rFonts w:ascii="Arial" w:hAnsi="Arial" w:cs="Arial"/>
                <w:b/>
                <w:bCs/>
                <w:color w:val="000000"/>
              </w:rPr>
            </w:pPr>
            <w:r w:rsidRPr="00A36E70">
              <w:rPr>
                <w:rFonts w:ascii="Arial" w:hAnsi="Arial" w:cs="Arial"/>
                <w:b/>
                <w:bCs/>
                <w:color w:val="000000"/>
              </w:rPr>
              <w:t>Streamlined</w:t>
            </w:r>
          </w:p>
        </w:tc>
        <w:tc>
          <w:tcPr>
            <w:tcW w:w="1530" w:type="dxa"/>
            <w:tcBorders>
              <w:top w:val="nil"/>
              <w:left w:val="nil"/>
              <w:bottom w:val="nil"/>
              <w:right w:val="nil"/>
            </w:tcBorders>
            <w:shd w:val="clear" w:color="auto" w:fill="auto"/>
            <w:noWrap/>
            <w:vAlign w:val="bottom"/>
            <w:hideMark/>
          </w:tcPr>
          <w:p w:rsidR="00A36E70" w:rsidRPr="00A36E70" w:rsidRDefault="00A36E70" w:rsidP="00A36E70">
            <w:pPr>
              <w:overflowPunct/>
              <w:autoSpaceDE/>
              <w:autoSpaceDN/>
              <w:adjustRightInd/>
              <w:jc w:val="center"/>
              <w:textAlignment w:val="auto"/>
              <w:rPr>
                <w:rFonts w:ascii="Arial" w:hAnsi="Arial" w:cs="Arial"/>
                <w:b/>
                <w:bCs/>
                <w:color w:val="000000"/>
              </w:rPr>
            </w:pPr>
            <w:r w:rsidRPr="00A36E70">
              <w:rPr>
                <w:rFonts w:ascii="Arial" w:hAnsi="Arial" w:cs="Arial"/>
                <w:b/>
                <w:bCs/>
                <w:color w:val="000000"/>
              </w:rPr>
              <w:t>Standard</w:t>
            </w:r>
          </w:p>
        </w:tc>
        <w:tc>
          <w:tcPr>
            <w:tcW w:w="1428" w:type="dxa"/>
            <w:tcBorders>
              <w:top w:val="nil"/>
              <w:left w:val="nil"/>
              <w:bottom w:val="nil"/>
              <w:right w:val="nil"/>
            </w:tcBorders>
            <w:shd w:val="clear" w:color="auto" w:fill="auto"/>
            <w:noWrap/>
            <w:vAlign w:val="bottom"/>
            <w:hideMark/>
          </w:tcPr>
          <w:p w:rsidR="00A36E70" w:rsidRPr="00A36E70" w:rsidRDefault="00A36E70" w:rsidP="00A83F78">
            <w:pPr>
              <w:overflowPunct/>
              <w:autoSpaceDE/>
              <w:autoSpaceDN/>
              <w:adjustRightInd/>
              <w:jc w:val="center"/>
              <w:textAlignment w:val="auto"/>
              <w:rPr>
                <w:rFonts w:ascii="Arial" w:hAnsi="Arial" w:cs="Arial"/>
                <w:b/>
                <w:bCs/>
                <w:color w:val="000000"/>
              </w:rPr>
            </w:pPr>
            <w:r w:rsidRPr="00A36E70">
              <w:rPr>
                <w:rFonts w:ascii="Arial" w:hAnsi="Arial" w:cs="Arial"/>
                <w:b/>
                <w:bCs/>
                <w:color w:val="000000"/>
              </w:rPr>
              <w:t>Succeeding/</w:t>
            </w:r>
            <w:r>
              <w:rPr>
                <w:rFonts w:ascii="Arial" w:hAnsi="Arial" w:cs="Arial"/>
                <w:b/>
                <w:bCs/>
                <w:color w:val="000000"/>
              </w:rPr>
              <w:t xml:space="preserve"> </w:t>
            </w:r>
            <w:r w:rsidRPr="00A36E70">
              <w:rPr>
                <w:rFonts w:ascii="Arial" w:hAnsi="Arial" w:cs="Arial"/>
                <w:b/>
                <w:bCs/>
                <w:color w:val="000000"/>
              </w:rPr>
              <w:t>Super</w:t>
            </w:r>
            <w:r w:rsidR="00A83F78">
              <w:rPr>
                <w:rFonts w:ascii="Arial" w:hAnsi="Arial" w:cs="Arial"/>
                <w:b/>
                <w:bCs/>
                <w:color w:val="000000"/>
              </w:rPr>
              <w:t>s</w:t>
            </w:r>
            <w:r w:rsidRPr="00A36E70">
              <w:rPr>
                <w:rFonts w:ascii="Arial" w:hAnsi="Arial" w:cs="Arial"/>
                <w:b/>
                <w:bCs/>
                <w:color w:val="000000"/>
              </w:rPr>
              <w:t>eding</w:t>
            </w:r>
          </w:p>
        </w:tc>
        <w:tc>
          <w:tcPr>
            <w:tcW w:w="1217" w:type="dxa"/>
            <w:tcBorders>
              <w:top w:val="nil"/>
              <w:left w:val="nil"/>
              <w:bottom w:val="nil"/>
              <w:right w:val="nil"/>
            </w:tcBorders>
            <w:shd w:val="clear" w:color="auto" w:fill="auto"/>
            <w:noWrap/>
            <w:vAlign w:val="bottom"/>
            <w:hideMark/>
          </w:tcPr>
          <w:p w:rsidR="00A36E70" w:rsidRPr="00A36E70" w:rsidRDefault="00A36E70" w:rsidP="00A36E70">
            <w:pPr>
              <w:overflowPunct/>
              <w:autoSpaceDE/>
              <w:autoSpaceDN/>
              <w:adjustRightInd/>
              <w:jc w:val="center"/>
              <w:textAlignment w:val="auto"/>
              <w:rPr>
                <w:rFonts w:ascii="Arial" w:hAnsi="Arial" w:cs="Arial"/>
                <w:b/>
                <w:bCs/>
                <w:color w:val="000000"/>
              </w:rPr>
            </w:pPr>
            <w:r w:rsidRPr="00A36E70">
              <w:rPr>
                <w:rFonts w:ascii="Arial" w:hAnsi="Arial" w:cs="Arial"/>
                <w:b/>
                <w:bCs/>
                <w:color w:val="000000"/>
              </w:rPr>
              <w:t>Total</w:t>
            </w:r>
          </w:p>
        </w:tc>
      </w:tr>
      <w:tr w:rsidR="00AC7CC2" w:rsidRPr="00A36E70" w:rsidTr="00AC7CC2">
        <w:trPr>
          <w:trHeight w:val="255"/>
        </w:trPr>
        <w:tc>
          <w:tcPr>
            <w:tcW w:w="1620" w:type="dxa"/>
            <w:tcBorders>
              <w:top w:val="nil"/>
              <w:left w:val="nil"/>
              <w:bottom w:val="nil"/>
              <w:right w:val="nil"/>
            </w:tcBorders>
            <w:shd w:val="clear" w:color="auto" w:fill="auto"/>
            <w:noWrap/>
            <w:vAlign w:val="bottom"/>
            <w:hideMark/>
          </w:tcPr>
          <w:p w:rsidR="00AC7CC2" w:rsidRPr="00A36E70" w:rsidRDefault="00AC7CC2" w:rsidP="00AC7CC2">
            <w:pPr>
              <w:overflowPunct/>
              <w:autoSpaceDE/>
              <w:autoSpaceDN/>
              <w:adjustRightInd/>
              <w:textAlignment w:val="auto"/>
              <w:rPr>
                <w:rFonts w:ascii="Arial" w:hAnsi="Arial" w:cs="Arial"/>
                <w:color w:val="000000"/>
              </w:rPr>
            </w:pPr>
            <w:r w:rsidRPr="00A36E70">
              <w:rPr>
                <w:rFonts w:ascii="Arial" w:hAnsi="Arial" w:cs="Arial"/>
                <w:color w:val="000000"/>
              </w:rPr>
              <w:t>Total Projects</w:t>
            </w:r>
          </w:p>
        </w:tc>
        <w:tc>
          <w:tcPr>
            <w:tcW w:w="1260" w:type="dxa"/>
            <w:tcBorders>
              <w:top w:val="nil"/>
              <w:left w:val="nil"/>
              <w:bottom w:val="nil"/>
              <w:right w:val="nil"/>
            </w:tcBorders>
            <w:shd w:val="clear" w:color="auto" w:fill="auto"/>
            <w:noWrap/>
            <w:vAlign w:val="bottom"/>
            <w:hideMark/>
          </w:tcPr>
          <w:p w:rsidR="00AC7CC2" w:rsidRPr="00A36E70" w:rsidRDefault="00AC7CC2" w:rsidP="00AC7CC2">
            <w:pPr>
              <w:overflowPunct/>
              <w:autoSpaceDE/>
              <w:autoSpaceDN/>
              <w:adjustRightInd/>
              <w:jc w:val="right"/>
              <w:textAlignment w:val="auto"/>
              <w:rPr>
                <w:rFonts w:ascii="Arial" w:hAnsi="Arial" w:cs="Arial"/>
                <w:color w:val="000000"/>
              </w:rPr>
            </w:pPr>
            <w:r w:rsidRPr="00A36E70">
              <w:rPr>
                <w:rFonts w:ascii="Arial" w:hAnsi="Arial" w:cs="Arial"/>
                <w:color w:val="000000"/>
              </w:rPr>
              <w:t>243</w:t>
            </w:r>
          </w:p>
        </w:tc>
        <w:tc>
          <w:tcPr>
            <w:tcW w:w="1440" w:type="dxa"/>
            <w:tcBorders>
              <w:top w:val="nil"/>
              <w:left w:val="nil"/>
              <w:bottom w:val="nil"/>
              <w:right w:val="nil"/>
            </w:tcBorders>
            <w:shd w:val="clear" w:color="auto" w:fill="auto"/>
            <w:noWrap/>
            <w:vAlign w:val="bottom"/>
            <w:hideMark/>
          </w:tcPr>
          <w:p w:rsidR="00AC7CC2" w:rsidRPr="00A36E70" w:rsidRDefault="00AC7CC2" w:rsidP="00AC7CC2">
            <w:pPr>
              <w:overflowPunct/>
              <w:autoSpaceDE/>
              <w:autoSpaceDN/>
              <w:adjustRightInd/>
              <w:jc w:val="right"/>
              <w:textAlignment w:val="auto"/>
              <w:rPr>
                <w:rFonts w:ascii="Arial" w:hAnsi="Arial" w:cs="Arial"/>
                <w:color w:val="000000"/>
              </w:rPr>
            </w:pPr>
            <w:r w:rsidRPr="00A36E70">
              <w:rPr>
                <w:rFonts w:ascii="Arial" w:hAnsi="Arial" w:cs="Arial"/>
                <w:color w:val="000000"/>
              </w:rPr>
              <w:t>109</w:t>
            </w:r>
          </w:p>
        </w:tc>
        <w:tc>
          <w:tcPr>
            <w:tcW w:w="1530" w:type="dxa"/>
            <w:tcBorders>
              <w:top w:val="nil"/>
              <w:left w:val="nil"/>
              <w:bottom w:val="nil"/>
              <w:right w:val="nil"/>
            </w:tcBorders>
            <w:shd w:val="clear" w:color="auto" w:fill="auto"/>
            <w:noWrap/>
            <w:vAlign w:val="bottom"/>
            <w:hideMark/>
          </w:tcPr>
          <w:p w:rsidR="00AC7CC2" w:rsidRPr="00A36E70" w:rsidRDefault="00AC7CC2" w:rsidP="00AC7CC2">
            <w:pPr>
              <w:overflowPunct/>
              <w:autoSpaceDE/>
              <w:autoSpaceDN/>
              <w:adjustRightInd/>
              <w:jc w:val="right"/>
              <w:textAlignment w:val="auto"/>
              <w:rPr>
                <w:rFonts w:ascii="Arial" w:hAnsi="Arial" w:cs="Arial"/>
                <w:color w:val="000000"/>
              </w:rPr>
            </w:pPr>
            <w:r w:rsidRPr="00A36E70">
              <w:rPr>
                <w:rFonts w:ascii="Arial" w:hAnsi="Arial" w:cs="Arial"/>
                <w:color w:val="000000"/>
              </w:rPr>
              <w:t>423</w:t>
            </w:r>
          </w:p>
        </w:tc>
        <w:tc>
          <w:tcPr>
            <w:tcW w:w="1428" w:type="dxa"/>
            <w:tcBorders>
              <w:top w:val="nil"/>
              <w:left w:val="nil"/>
              <w:bottom w:val="nil"/>
              <w:right w:val="nil"/>
            </w:tcBorders>
            <w:shd w:val="clear" w:color="auto" w:fill="auto"/>
            <w:noWrap/>
            <w:vAlign w:val="bottom"/>
            <w:hideMark/>
          </w:tcPr>
          <w:p w:rsidR="00AC7CC2" w:rsidRPr="00A36E70" w:rsidRDefault="00AC7CC2" w:rsidP="00AC7CC2">
            <w:pPr>
              <w:overflowPunct/>
              <w:autoSpaceDE/>
              <w:autoSpaceDN/>
              <w:adjustRightInd/>
              <w:jc w:val="right"/>
              <w:textAlignment w:val="auto"/>
              <w:rPr>
                <w:rFonts w:ascii="Arial" w:hAnsi="Arial" w:cs="Arial"/>
                <w:color w:val="000000"/>
              </w:rPr>
            </w:pPr>
            <w:r w:rsidRPr="00A36E70">
              <w:rPr>
                <w:rFonts w:ascii="Arial" w:hAnsi="Arial" w:cs="Arial"/>
                <w:color w:val="000000"/>
              </w:rPr>
              <w:t>528</w:t>
            </w:r>
          </w:p>
        </w:tc>
        <w:tc>
          <w:tcPr>
            <w:tcW w:w="1217" w:type="dxa"/>
            <w:tcBorders>
              <w:top w:val="nil"/>
              <w:left w:val="nil"/>
              <w:bottom w:val="nil"/>
              <w:right w:val="nil"/>
            </w:tcBorders>
            <w:shd w:val="clear" w:color="auto" w:fill="auto"/>
            <w:noWrap/>
            <w:vAlign w:val="bottom"/>
            <w:hideMark/>
          </w:tcPr>
          <w:p w:rsidR="00AC7CC2" w:rsidRPr="00CF2505" w:rsidRDefault="00AC7CC2" w:rsidP="00AC7CC2">
            <w:pPr>
              <w:overflowPunct/>
              <w:autoSpaceDE/>
              <w:autoSpaceDN/>
              <w:adjustRightInd/>
              <w:jc w:val="right"/>
              <w:textAlignment w:val="auto"/>
              <w:rPr>
                <w:rFonts w:ascii="Arial" w:hAnsi="Arial" w:cs="Arial"/>
                <w:color w:val="000000"/>
                <w:u w:val="single"/>
              </w:rPr>
            </w:pPr>
            <w:r w:rsidRPr="00CF2505">
              <w:rPr>
                <w:rFonts w:ascii="Arial" w:hAnsi="Arial" w:cs="Arial"/>
                <w:color w:val="000000"/>
                <w:u w:val="single"/>
              </w:rPr>
              <w:t xml:space="preserve">              1,303 </w:t>
            </w:r>
          </w:p>
        </w:tc>
      </w:tr>
      <w:tr w:rsidR="00A36E70" w:rsidRPr="00A36E70" w:rsidTr="00AC7CC2">
        <w:trPr>
          <w:trHeight w:val="255"/>
        </w:trPr>
        <w:tc>
          <w:tcPr>
            <w:tcW w:w="1620" w:type="dxa"/>
            <w:tcBorders>
              <w:top w:val="nil"/>
              <w:left w:val="nil"/>
              <w:bottom w:val="nil"/>
              <w:right w:val="nil"/>
            </w:tcBorders>
            <w:shd w:val="clear" w:color="auto" w:fill="auto"/>
            <w:noWrap/>
            <w:vAlign w:val="bottom"/>
            <w:hideMark/>
          </w:tcPr>
          <w:p w:rsidR="00A36E70" w:rsidRPr="00A36E70" w:rsidRDefault="00A36E70" w:rsidP="00A36E70">
            <w:pPr>
              <w:overflowPunct/>
              <w:autoSpaceDE/>
              <w:autoSpaceDN/>
              <w:adjustRightInd/>
              <w:textAlignment w:val="auto"/>
              <w:rPr>
                <w:rFonts w:ascii="Arial" w:hAnsi="Arial" w:cs="Arial"/>
                <w:color w:val="000000"/>
              </w:rPr>
            </w:pPr>
            <w:r w:rsidRPr="00A36E70">
              <w:rPr>
                <w:rFonts w:ascii="Arial" w:hAnsi="Arial" w:cs="Arial"/>
                <w:color w:val="000000"/>
              </w:rPr>
              <w:t>Number of Responses</w:t>
            </w:r>
          </w:p>
        </w:tc>
        <w:tc>
          <w:tcPr>
            <w:tcW w:w="1260" w:type="dxa"/>
            <w:tcBorders>
              <w:top w:val="single" w:sz="4" w:space="0" w:color="auto"/>
              <w:left w:val="nil"/>
              <w:bottom w:val="nil"/>
              <w:right w:val="nil"/>
            </w:tcBorders>
            <w:shd w:val="clear" w:color="auto" w:fill="auto"/>
            <w:noWrap/>
            <w:vAlign w:val="bottom"/>
            <w:hideMark/>
          </w:tcPr>
          <w:p w:rsidR="00A36E70" w:rsidRPr="00A36E70" w:rsidRDefault="00A36E70" w:rsidP="00A36E70">
            <w:pPr>
              <w:overflowPunct/>
              <w:autoSpaceDE/>
              <w:autoSpaceDN/>
              <w:adjustRightInd/>
              <w:jc w:val="right"/>
              <w:textAlignment w:val="auto"/>
              <w:rPr>
                <w:rFonts w:ascii="Arial" w:hAnsi="Arial" w:cs="Arial"/>
                <w:color w:val="000000"/>
              </w:rPr>
            </w:pPr>
            <w:r w:rsidRPr="00A36E70">
              <w:rPr>
                <w:rFonts w:ascii="Arial" w:hAnsi="Arial" w:cs="Arial"/>
                <w:color w:val="000000"/>
              </w:rPr>
              <w:t>3.7</w:t>
            </w:r>
          </w:p>
        </w:tc>
        <w:tc>
          <w:tcPr>
            <w:tcW w:w="1440" w:type="dxa"/>
            <w:tcBorders>
              <w:top w:val="single" w:sz="4" w:space="0" w:color="auto"/>
              <w:left w:val="nil"/>
              <w:bottom w:val="nil"/>
              <w:right w:val="nil"/>
            </w:tcBorders>
            <w:shd w:val="clear" w:color="auto" w:fill="auto"/>
            <w:noWrap/>
            <w:vAlign w:val="bottom"/>
            <w:hideMark/>
          </w:tcPr>
          <w:p w:rsidR="00A36E70" w:rsidRPr="00A36E70" w:rsidRDefault="00A36E70" w:rsidP="00A36E70">
            <w:pPr>
              <w:overflowPunct/>
              <w:autoSpaceDE/>
              <w:autoSpaceDN/>
              <w:adjustRightInd/>
              <w:jc w:val="right"/>
              <w:textAlignment w:val="auto"/>
              <w:rPr>
                <w:rFonts w:ascii="Arial" w:hAnsi="Arial" w:cs="Arial"/>
                <w:color w:val="000000"/>
              </w:rPr>
            </w:pPr>
            <w:r w:rsidRPr="00A36E70">
              <w:rPr>
                <w:rFonts w:ascii="Arial" w:hAnsi="Arial" w:cs="Arial"/>
                <w:color w:val="000000"/>
              </w:rPr>
              <w:t>3.7</w:t>
            </w:r>
          </w:p>
        </w:tc>
        <w:tc>
          <w:tcPr>
            <w:tcW w:w="1530" w:type="dxa"/>
            <w:tcBorders>
              <w:top w:val="single" w:sz="4" w:space="0" w:color="auto"/>
              <w:left w:val="nil"/>
              <w:bottom w:val="nil"/>
              <w:right w:val="nil"/>
            </w:tcBorders>
            <w:shd w:val="clear" w:color="auto" w:fill="auto"/>
            <w:noWrap/>
            <w:vAlign w:val="bottom"/>
            <w:hideMark/>
          </w:tcPr>
          <w:p w:rsidR="00A36E70" w:rsidRPr="00A36E70" w:rsidRDefault="00A36E70" w:rsidP="00A36E70">
            <w:pPr>
              <w:overflowPunct/>
              <w:autoSpaceDE/>
              <w:autoSpaceDN/>
              <w:adjustRightInd/>
              <w:jc w:val="right"/>
              <w:textAlignment w:val="auto"/>
              <w:rPr>
                <w:rFonts w:ascii="Arial" w:hAnsi="Arial" w:cs="Arial"/>
                <w:color w:val="000000"/>
              </w:rPr>
            </w:pPr>
            <w:r w:rsidRPr="00A36E70">
              <w:rPr>
                <w:rFonts w:ascii="Arial" w:hAnsi="Arial" w:cs="Arial"/>
                <w:color w:val="000000"/>
              </w:rPr>
              <w:t>4.1</w:t>
            </w:r>
          </w:p>
        </w:tc>
        <w:tc>
          <w:tcPr>
            <w:tcW w:w="1428" w:type="dxa"/>
            <w:tcBorders>
              <w:top w:val="single" w:sz="4" w:space="0" w:color="auto"/>
              <w:left w:val="nil"/>
              <w:bottom w:val="nil"/>
              <w:right w:val="nil"/>
            </w:tcBorders>
            <w:shd w:val="clear" w:color="auto" w:fill="auto"/>
            <w:noWrap/>
            <w:vAlign w:val="bottom"/>
            <w:hideMark/>
          </w:tcPr>
          <w:p w:rsidR="00A36E70" w:rsidRPr="00A36E70" w:rsidRDefault="00A36E70" w:rsidP="00A36E70">
            <w:pPr>
              <w:overflowPunct/>
              <w:autoSpaceDE/>
              <w:autoSpaceDN/>
              <w:adjustRightInd/>
              <w:jc w:val="center"/>
              <w:textAlignment w:val="auto"/>
              <w:rPr>
                <w:rFonts w:ascii="Arial" w:hAnsi="Arial" w:cs="Arial"/>
                <w:color w:val="000000"/>
              </w:rPr>
            </w:pPr>
            <w:r w:rsidRPr="00A36E70">
              <w:rPr>
                <w:rFonts w:ascii="Arial" w:hAnsi="Arial" w:cs="Arial"/>
                <w:color w:val="000000"/>
              </w:rPr>
              <w:t>1</w:t>
            </w:r>
          </w:p>
        </w:tc>
        <w:tc>
          <w:tcPr>
            <w:tcW w:w="1217" w:type="dxa"/>
            <w:tcBorders>
              <w:top w:val="nil"/>
              <w:left w:val="nil"/>
              <w:bottom w:val="nil"/>
              <w:right w:val="nil"/>
            </w:tcBorders>
            <w:shd w:val="clear" w:color="auto" w:fill="auto"/>
            <w:noWrap/>
            <w:vAlign w:val="bottom"/>
            <w:hideMark/>
          </w:tcPr>
          <w:p w:rsidR="00A36E70" w:rsidRPr="00A36E70" w:rsidRDefault="00A36E70" w:rsidP="00534BCA">
            <w:pPr>
              <w:overflowPunct/>
              <w:autoSpaceDE/>
              <w:autoSpaceDN/>
              <w:adjustRightInd/>
              <w:jc w:val="right"/>
              <w:textAlignment w:val="auto"/>
              <w:rPr>
                <w:rFonts w:ascii="Arial" w:hAnsi="Arial" w:cs="Arial"/>
                <w:color w:val="000000"/>
              </w:rPr>
            </w:pPr>
            <w:r w:rsidRPr="00A36E70">
              <w:rPr>
                <w:rFonts w:ascii="Arial" w:hAnsi="Arial" w:cs="Arial"/>
                <w:color w:val="000000"/>
              </w:rPr>
              <w:t xml:space="preserve">                  </w:t>
            </w:r>
          </w:p>
        </w:tc>
      </w:tr>
      <w:tr w:rsidR="00A36E70" w:rsidRPr="00A36E70" w:rsidTr="00AC7CC2">
        <w:trPr>
          <w:trHeight w:val="255"/>
        </w:trPr>
        <w:tc>
          <w:tcPr>
            <w:tcW w:w="1620" w:type="dxa"/>
            <w:tcBorders>
              <w:top w:val="nil"/>
              <w:left w:val="nil"/>
              <w:bottom w:val="nil"/>
              <w:right w:val="nil"/>
            </w:tcBorders>
            <w:shd w:val="clear" w:color="auto" w:fill="auto"/>
            <w:noWrap/>
            <w:vAlign w:val="bottom"/>
            <w:hideMark/>
          </w:tcPr>
          <w:p w:rsidR="00A36E70" w:rsidRPr="00A36E70" w:rsidRDefault="00534BCA" w:rsidP="00870C7F">
            <w:pPr>
              <w:overflowPunct/>
              <w:autoSpaceDE/>
              <w:autoSpaceDN/>
              <w:adjustRightInd/>
              <w:textAlignment w:val="auto"/>
              <w:rPr>
                <w:rFonts w:ascii="Arial" w:hAnsi="Arial" w:cs="Arial"/>
                <w:color w:val="000000"/>
              </w:rPr>
            </w:pPr>
            <w:r>
              <w:rPr>
                <w:rFonts w:ascii="Arial" w:hAnsi="Arial" w:cs="Arial"/>
                <w:color w:val="000000"/>
              </w:rPr>
              <w:t>Est</w:t>
            </w:r>
            <w:r w:rsidR="00870C7F">
              <w:rPr>
                <w:rFonts w:ascii="Arial" w:hAnsi="Arial" w:cs="Arial"/>
                <w:color w:val="000000"/>
              </w:rPr>
              <w:t>.</w:t>
            </w:r>
            <w:r>
              <w:rPr>
                <w:rFonts w:ascii="Arial" w:hAnsi="Arial" w:cs="Arial"/>
                <w:color w:val="000000"/>
              </w:rPr>
              <w:t xml:space="preserve"> </w:t>
            </w:r>
            <w:r w:rsidR="00A36E70" w:rsidRPr="00A36E70">
              <w:rPr>
                <w:rFonts w:ascii="Arial" w:hAnsi="Arial" w:cs="Arial"/>
                <w:color w:val="000000"/>
              </w:rPr>
              <w:t>Review</w:t>
            </w:r>
            <w:r>
              <w:rPr>
                <w:rFonts w:ascii="Arial" w:hAnsi="Arial" w:cs="Arial"/>
                <w:color w:val="000000"/>
              </w:rPr>
              <w:t xml:space="preserve"> and Evaluation</w:t>
            </w:r>
            <w:r w:rsidR="00A36E70" w:rsidRPr="00A36E70">
              <w:rPr>
                <w:rFonts w:ascii="Arial" w:hAnsi="Arial" w:cs="Arial"/>
                <w:color w:val="000000"/>
              </w:rPr>
              <w:t xml:space="preserve"> Time/</w:t>
            </w:r>
            <w:r>
              <w:rPr>
                <w:rFonts w:ascii="Arial" w:hAnsi="Arial" w:cs="Arial"/>
                <w:color w:val="000000"/>
              </w:rPr>
              <w:t>Response</w:t>
            </w:r>
          </w:p>
        </w:tc>
        <w:tc>
          <w:tcPr>
            <w:tcW w:w="1260" w:type="dxa"/>
            <w:tcBorders>
              <w:top w:val="nil"/>
              <w:left w:val="nil"/>
              <w:bottom w:val="nil"/>
              <w:right w:val="nil"/>
            </w:tcBorders>
            <w:shd w:val="clear" w:color="auto" w:fill="auto"/>
            <w:noWrap/>
            <w:vAlign w:val="bottom"/>
            <w:hideMark/>
          </w:tcPr>
          <w:p w:rsidR="00A36E70" w:rsidRPr="00A36E70" w:rsidRDefault="00A36E70" w:rsidP="00A36E70">
            <w:pPr>
              <w:overflowPunct/>
              <w:autoSpaceDE/>
              <w:autoSpaceDN/>
              <w:adjustRightInd/>
              <w:jc w:val="right"/>
              <w:textAlignment w:val="auto"/>
              <w:rPr>
                <w:rFonts w:ascii="Arial" w:hAnsi="Arial" w:cs="Arial"/>
                <w:color w:val="000000"/>
              </w:rPr>
            </w:pPr>
            <w:r w:rsidRPr="00A36E70">
              <w:rPr>
                <w:rFonts w:ascii="Arial" w:hAnsi="Arial" w:cs="Arial"/>
                <w:color w:val="000000"/>
              </w:rPr>
              <w:t>2.3</w:t>
            </w:r>
          </w:p>
        </w:tc>
        <w:tc>
          <w:tcPr>
            <w:tcW w:w="1440" w:type="dxa"/>
            <w:tcBorders>
              <w:top w:val="nil"/>
              <w:left w:val="nil"/>
              <w:bottom w:val="nil"/>
              <w:right w:val="nil"/>
            </w:tcBorders>
            <w:shd w:val="clear" w:color="auto" w:fill="auto"/>
            <w:noWrap/>
            <w:vAlign w:val="bottom"/>
            <w:hideMark/>
          </w:tcPr>
          <w:p w:rsidR="00A36E70" w:rsidRPr="00A36E70" w:rsidRDefault="00A36E70" w:rsidP="00A36E70">
            <w:pPr>
              <w:overflowPunct/>
              <w:autoSpaceDE/>
              <w:autoSpaceDN/>
              <w:adjustRightInd/>
              <w:jc w:val="right"/>
              <w:textAlignment w:val="auto"/>
              <w:rPr>
                <w:rFonts w:ascii="Arial" w:hAnsi="Arial" w:cs="Arial"/>
                <w:color w:val="000000"/>
              </w:rPr>
            </w:pPr>
            <w:r w:rsidRPr="00A36E70">
              <w:rPr>
                <w:rFonts w:ascii="Arial" w:hAnsi="Arial" w:cs="Arial"/>
                <w:color w:val="000000"/>
              </w:rPr>
              <w:t>2.3</w:t>
            </w:r>
          </w:p>
        </w:tc>
        <w:tc>
          <w:tcPr>
            <w:tcW w:w="1530" w:type="dxa"/>
            <w:tcBorders>
              <w:top w:val="nil"/>
              <w:left w:val="nil"/>
              <w:bottom w:val="nil"/>
              <w:right w:val="nil"/>
            </w:tcBorders>
            <w:shd w:val="clear" w:color="auto" w:fill="auto"/>
            <w:noWrap/>
            <w:vAlign w:val="bottom"/>
            <w:hideMark/>
          </w:tcPr>
          <w:p w:rsidR="00A36E70" w:rsidRPr="00A36E70" w:rsidRDefault="00A36E70" w:rsidP="00A36E70">
            <w:pPr>
              <w:overflowPunct/>
              <w:autoSpaceDE/>
              <w:autoSpaceDN/>
              <w:adjustRightInd/>
              <w:jc w:val="right"/>
              <w:textAlignment w:val="auto"/>
              <w:rPr>
                <w:rFonts w:ascii="Arial" w:hAnsi="Arial" w:cs="Arial"/>
                <w:color w:val="000000"/>
              </w:rPr>
            </w:pPr>
            <w:r w:rsidRPr="00A36E70">
              <w:rPr>
                <w:rFonts w:ascii="Arial" w:hAnsi="Arial" w:cs="Arial"/>
                <w:color w:val="000000"/>
              </w:rPr>
              <w:t>2.3</w:t>
            </w:r>
          </w:p>
        </w:tc>
        <w:tc>
          <w:tcPr>
            <w:tcW w:w="1428" w:type="dxa"/>
            <w:tcBorders>
              <w:top w:val="nil"/>
              <w:left w:val="nil"/>
              <w:bottom w:val="nil"/>
              <w:right w:val="nil"/>
            </w:tcBorders>
            <w:shd w:val="clear" w:color="auto" w:fill="auto"/>
            <w:noWrap/>
            <w:vAlign w:val="bottom"/>
            <w:hideMark/>
          </w:tcPr>
          <w:p w:rsidR="00A36E70" w:rsidRPr="00A36E70" w:rsidRDefault="00A36E70" w:rsidP="00A36E70">
            <w:pPr>
              <w:overflowPunct/>
              <w:autoSpaceDE/>
              <w:autoSpaceDN/>
              <w:adjustRightInd/>
              <w:jc w:val="right"/>
              <w:textAlignment w:val="auto"/>
              <w:rPr>
                <w:rFonts w:ascii="Arial" w:hAnsi="Arial" w:cs="Arial"/>
                <w:color w:val="000000"/>
              </w:rPr>
            </w:pPr>
            <w:r w:rsidRPr="00A36E70">
              <w:rPr>
                <w:rFonts w:ascii="Arial" w:hAnsi="Arial" w:cs="Arial"/>
                <w:color w:val="000000"/>
              </w:rPr>
              <w:t>1.9</w:t>
            </w:r>
          </w:p>
        </w:tc>
        <w:tc>
          <w:tcPr>
            <w:tcW w:w="1217" w:type="dxa"/>
            <w:tcBorders>
              <w:top w:val="nil"/>
              <w:left w:val="nil"/>
              <w:bottom w:val="nil"/>
              <w:right w:val="nil"/>
            </w:tcBorders>
            <w:shd w:val="clear" w:color="auto" w:fill="auto"/>
            <w:noWrap/>
            <w:vAlign w:val="bottom"/>
            <w:hideMark/>
          </w:tcPr>
          <w:p w:rsidR="00A36E70" w:rsidRPr="00A36E70" w:rsidRDefault="00A36E70" w:rsidP="00A36E70">
            <w:pPr>
              <w:overflowPunct/>
              <w:autoSpaceDE/>
              <w:autoSpaceDN/>
              <w:adjustRightInd/>
              <w:jc w:val="right"/>
              <w:textAlignment w:val="auto"/>
              <w:rPr>
                <w:rFonts w:ascii="Arial" w:hAnsi="Arial" w:cs="Arial"/>
                <w:color w:val="000000"/>
              </w:rPr>
            </w:pPr>
          </w:p>
        </w:tc>
      </w:tr>
      <w:tr w:rsidR="00A36E70" w:rsidRPr="00A36E70" w:rsidTr="00AC7CC2">
        <w:trPr>
          <w:trHeight w:val="255"/>
        </w:trPr>
        <w:tc>
          <w:tcPr>
            <w:tcW w:w="1620" w:type="dxa"/>
            <w:tcBorders>
              <w:top w:val="nil"/>
              <w:left w:val="nil"/>
              <w:bottom w:val="nil"/>
              <w:right w:val="nil"/>
            </w:tcBorders>
            <w:shd w:val="clear" w:color="auto" w:fill="auto"/>
            <w:noWrap/>
            <w:vAlign w:val="bottom"/>
            <w:hideMark/>
          </w:tcPr>
          <w:p w:rsidR="00A36E70" w:rsidRPr="00A36E70" w:rsidRDefault="00A36E70" w:rsidP="00A36E70">
            <w:pPr>
              <w:overflowPunct/>
              <w:autoSpaceDE/>
              <w:autoSpaceDN/>
              <w:adjustRightInd/>
              <w:textAlignment w:val="auto"/>
              <w:rPr>
                <w:rFonts w:ascii="Arial" w:hAnsi="Arial" w:cs="Arial"/>
                <w:color w:val="000000"/>
              </w:rPr>
            </w:pPr>
            <w:r w:rsidRPr="00A36E70">
              <w:rPr>
                <w:rFonts w:ascii="Arial" w:hAnsi="Arial" w:cs="Arial"/>
                <w:color w:val="000000"/>
              </w:rPr>
              <w:t>Review Time/Yr</w:t>
            </w:r>
          </w:p>
        </w:tc>
        <w:tc>
          <w:tcPr>
            <w:tcW w:w="1260" w:type="dxa"/>
            <w:tcBorders>
              <w:top w:val="nil"/>
              <w:left w:val="nil"/>
              <w:bottom w:val="nil"/>
              <w:right w:val="nil"/>
            </w:tcBorders>
            <w:shd w:val="clear" w:color="auto" w:fill="auto"/>
            <w:noWrap/>
            <w:vAlign w:val="bottom"/>
            <w:hideMark/>
          </w:tcPr>
          <w:p w:rsidR="00A36E70" w:rsidRPr="00A36E70" w:rsidRDefault="00A36E70" w:rsidP="00A36E70">
            <w:pPr>
              <w:overflowPunct/>
              <w:autoSpaceDE/>
              <w:autoSpaceDN/>
              <w:adjustRightInd/>
              <w:jc w:val="right"/>
              <w:textAlignment w:val="auto"/>
              <w:rPr>
                <w:rFonts w:ascii="Arial" w:hAnsi="Arial" w:cs="Arial"/>
                <w:color w:val="000000"/>
              </w:rPr>
            </w:pPr>
            <w:r w:rsidRPr="00A36E70">
              <w:rPr>
                <w:rFonts w:ascii="Arial" w:hAnsi="Arial" w:cs="Arial"/>
                <w:color w:val="000000"/>
              </w:rPr>
              <w:t xml:space="preserve">         2,068 </w:t>
            </w:r>
          </w:p>
        </w:tc>
        <w:tc>
          <w:tcPr>
            <w:tcW w:w="1440" w:type="dxa"/>
            <w:tcBorders>
              <w:top w:val="nil"/>
              <w:left w:val="nil"/>
              <w:bottom w:val="nil"/>
              <w:right w:val="nil"/>
            </w:tcBorders>
            <w:shd w:val="clear" w:color="auto" w:fill="auto"/>
            <w:noWrap/>
            <w:vAlign w:val="bottom"/>
            <w:hideMark/>
          </w:tcPr>
          <w:p w:rsidR="00A36E70" w:rsidRPr="00A36E70" w:rsidRDefault="00A36E70" w:rsidP="00A36E70">
            <w:pPr>
              <w:overflowPunct/>
              <w:autoSpaceDE/>
              <w:autoSpaceDN/>
              <w:adjustRightInd/>
              <w:jc w:val="right"/>
              <w:textAlignment w:val="auto"/>
              <w:rPr>
                <w:rFonts w:ascii="Arial" w:hAnsi="Arial" w:cs="Arial"/>
                <w:color w:val="000000"/>
              </w:rPr>
            </w:pPr>
            <w:r w:rsidRPr="00A36E70">
              <w:rPr>
                <w:rFonts w:ascii="Arial" w:hAnsi="Arial" w:cs="Arial"/>
                <w:color w:val="000000"/>
              </w:rPr>
              <w:t xml:space="preserve">             928 </w:t>
            </w:r>
          </w:p>
        </w:tc>
        <w:tc>
          <w:tcPr>
            <w:tcW w:w="1530" w:type="dxa"/>
            <w:tcBorders>
              <w:top w:val="nil"/>
              <w:left w:val="nil"/>
              <w:bottom w:val="nil"/>
              <w:right w:val="nil"/>
            </w:tcBorders>
            <w:shd w:val="clear" w:color="auto" w:fill="auto"/>
            <w:noWrap/>
            <w:vAlign w:val="bottom"/>
            <w:hideMark/>
          </w:tcPr>
          <w:p w:rsidR="00A36E70" w:rsidRPr="00A36E70" w:rsidRDefault="00A36E70" w:rsidP="00A36E70">
            <w:pPr>
              <w:overflowPunct/>
              <w:autoSpaceDE/>
              <w:autoSpaceDN/>
              <w:adjustRightInd/>
              <w:jc w:val="right"/>
              <w:textAlignment w:val="auto"/>
              <w:rPr>
                <w:rFonts w:ascii="Arial" w:hAnsi="Arial" w:cs="Arial"/>
                <w:color w:val="000000"/>
              </w:rPr>
            </w:pPr>
            <w:r w:rsidRPr="00A36E70">
              <w:rPr>
                <w:rFonts w:ascii="Arial" w:hAnsi="Arial" w:cs="Arial"/>
                <w:color w:val="000000"/>
              </w:rPr>
              <w:t xml:space="preserve">           3,989 </w:t>
            </w:r>
          </w:p>
        </w:tc>
        <w:tc>
          <w:tcPr>
            <w:tcW w:w="1428" w:type="dxa"/>
            <w:tcBorders>
              <w:top w:val="nil"/>
              <w:left w:val="nil"/>
              <w:bottom w:val="nil"/>
              <w:right w:val="nil"/>
            </w:tcBorders>
            <w:shd w:val="clear" w:color="auto" w:fill="auto"/>
            <w:noWrap/>
            <w:vAlign w:val="bottom"/>
            <w:hideMark/>
          </w:tcPr>
          <w:p w:rsidR="00A36E70" w:rsidRPr="00A36E70" w:rsidRDefault="00A36E70" w:rsidP="00A36E70">
            <w:pPr>
              <w:overflowPunct/>
              <w:autoSpaceDE/>
              <w:autoSpaceDN/>
              <w:adjustRightInd/>
              <w:jc w:val="right"/>
              <w:textAlignment w:val="auto"/>
              <w:rPr>
                <w:rFonts w:ascii="Arial" w:hAnsi="Arial" w:cs="Arial"/>
                <w:color w:val="000000"/>
              </w:rPr>
            </w:pPr>
            <w:r w:rsidRPr="00A36E70">
              <w:rPr>
                <w:rFonts w:ascii="Arial" w:hAnsi="Arial" w:cs="Arial"/>
                <w:color w:val="000000"/>
              </w:rPr>
              <w:t xml:space="preserve">                                1,003 </w:t>
            </w:r>
          </w:p>
        </w:tc>
        <w:tc>
          <w:tcPr>
            <w:tcW w:w="1217" w:type="dxa"/>
            <w:tcBorders>
              <w:top w:val="nil"/>
              <w:left w:val="nil"/>
              <w:bottom w:val="nil"/>
              <w:right w:val="nil"/>
            </w:tcBorders>
            <w:shd w:val="clear" w:color="auto" w:fill="auto"/>
            <w:noWrap/>
            <w:vAlign w:val="bottom"/>
            <w:hideMark/>
          </w:tcPr>
          <w:p w:rsidR="00A36E70" w:rsidRPr="00A36E70" w:rsidRDefault="00A36E70" w:rsidP="00A36E70">
            <w:pPr>
              <w:overflowPunct/>
              <w:autoSpaceDE/>
              <w:autoSpaceDN/>
              <w:adjustRightInd/>
              <w:jc w:val="right"/>
              <w:textAlignment w:val="auto"/>
              <w:rPr>
                <w:rFonts w:ascii="Arial" w:hAnsi="Arial" w:cs="Arial"/>
                <w:color w:val="000000"/>
              </w:rPr>
            </w:pPr>
            <w:r w:rsidRPr="00A36E70">
              <w:rPr>
                <w:rFonts w:ascii="Arial" w:hAnsi="Arial" w:cs="Arial"/>
                <w:color w:val="000000"/>
              </w:rPr>
              <w:t xml:space="preserve">              7,988 </w:t>
            </w:r>
          </w:p>
        </w:tc>
      </w:tr>
      <w:tr w:rsidR="00A36E70" w:rsidRPr="00A36E70" w:rsidTr="00AC7CC2">
        <w:trPr>
          <w:trHeight w:val="255"/>
        </w:trPr>
        <w:tc>
          <w:tcPr>
            <w:tcW w:w="1620" w:type="dxa"/>
            <w:tcBorders>
              <w:top w:val="nil"/>
              <w:left w:val="nil"/>
              <w:bottom w:val="nil"/>
              <w:right w:val="nil"/>
            </w:tcBorders>
            <w:shd w:val="clear" w:color="auto" w:fill="auto"/>
            <w:noWrap/>
            <w:vAlign w:val="bottom"/>
            <w:hideMark/>
          </w:tcPr>
          <w:p w:rsidR="00A36E70" w:rsidRPr="00A36E70" w:rsidRDefault="00A36E70" w:rsidP="00A36E70">
            <w:pPr>
              <w:overflowPunct/>
              <w:autoSpaceDE/>
              <w:autoSpaceDN/>
              <w:adjustRightInd/>
              <w:textAlignment w:val="auto"/>
              <w:rPr>
                <w:rFonts w:ascii="Arial" w:hAnsi="Arial" w:cs="Arial"/>
                <w:color w:val="000000"/>
              </w:rPr>
            </w:pPr>
          </w:p>
        </w:tc>
        <w:tc>
          <w:tcPr>
            <w:tcW w:w="1260" w:type="dxa"/>
            <w:tcBorders>
              <w:top w:val="nil"/>
              <w:left w:val="nil"/>
              <w:bottom w:val="nil"/>
              <w:right w:val="nil"/>
            </w:tcBorders>
            <w:shd w:val="clear" w:color="auto" w:fill="auto"/>
            <w:noWrap/>
            <w:vAlign w:val="bottom"/>
            <w:hideMark/>
          </w:tcPr>
          <w:p w:rsidR="00A36E70" w:rsidRPr="00A36E70" w:rsidRDefault="00A36E70" w:rsidP="00A36E70">
            <w:pPr>
              <w:overflowPunct/>
              <w:autoSpaceDE/>
              <w:autoSpaceDN/>
              <w:adjustRightInd/>
              <w:jc w:val="right"/>
              <w:textAlignment w:val="auto"/>
              <w:rPr>
                <w:rFonts w:ascii="Arial" w:hAnsi="Arial" w:cs="Arial"/>
                <w:color w:val="000000"/>
              </w:rPr>
            </w:pPr>
          </w:p>
        </w:tc>
        <w:tc>
          <w:tcPr>
            <w:tcW w:w="1440" w:type="dxa"/>
            <w:tcBorders>
              <w:top w:val="nil"/>
              <w:left w:val="nil"/>
              <w:bottom w:val="nil"/>
              <w:right w:val="nil"/>
            </w:tcBorders>
            <w:shd w:val="clear" w:color="auto" w:fill="auto"/>
            <w:noWrap/>
            <w:vAlign w:val="bottom"/>
            <w:hideMark/>
          </w:tcPr>
          <w:p w:rsidR="00A36E70" w:rsidRPr="00A36E70" w:rsidRDefault="00A36E70" w:rsidP="00A36E70">
            <w:pPr>
              <w:overflowPunct/>
              <w:autoSpaceDE/>
              <w:autoSpaceDN/>
              <w:adjustRightInd/>
              <w:jc w:val="right"/>
              <w:textAlignment w:val="auto"/>
              <w:rPr>
                <w:rFonts w:ascii="Arial" w:hAnsi="Arial" w:cs="Arial"/>
                <w:color w:val="000000"/>
              </w:rPr>
            </w:pPr>
          </w:p>
        </w:tc>
        <w:tc>
          <w:tcPr>
            <w:tcW w:w="1530" w:type="dxa"/>
            <w:tcBorders>
              <w:top w:val="nil"/>
              <w:left w:val="nil"/>
              <w:bottom w:val="nil"/>
              <w:right w:val="nil"/>
            </w:tcBorders>
            <w:shd w:val="clear" w:color="auto" w:fill="auto"/>
            <w:noWrap/>
            <w:vAlign w:val="bottom"/>
            <w:hideMark/>
          </w:tcPr>
          <w:p w:rsidR="00A36E70" w:rsidRPr="00A36E70" w:rsidRDefault="00A36E70" w:rsidP="00A36E70">
            <w:pPr>
              <w:overflowPunct/>
              <w:autoSpaceDE/>
              <w:autoSpaceDN/>
              <w:adjustRightInd/>
              <w:jc w:val="right"/>
              <w:textAlignment w:val="auto"/>
              <w:rPr>
                <w:rFonts w:ascii="Arial" w:hAnsi="Arial" w:cs="Arial"/>
                <w:color w:val="000000"/>
              </w:rPr>
            </w:pPr>
          </w:p>
        </w:tc>
        <w:tc>
          <w:tcPr>
            <w:tcW w:w="1428" w:type="dxa"/>
            <w:tcBorders>
              <w:top w:val="nil"/>
              <w:left w:val="nil"/>
              <w:bottom w:val="nil"/>
              <w:right w:val="nil"/>
            </w:tcBorders>
            <w:shd w:val="clear" w:color="auto" w:fill="auto"/>
            <w:noWrap/>
            <w:vAlign w:val="bottom"/>
            <w:hideMark/>
          </w:tcPr>
          <w:p w:rsidR="00A36E70" w:rsidRPr="00A36E70" w:rsidRDefault="00A36E70" w:rsidP="00A36E70">
            <w:pPr>
              <w:overflowPunct/>
              <w:autoSpaceDE/>
              <w:autoSpaceDN/>
              <w:adjustRightInd/>
              <w:jc w:val="right"/>
              <w:textAlignment w:val="auto"/>
              <w:rPr>
                <w:rFonts w:ascii="Arial" w:hAnsi="Arial" w:cs="Arial"/>
                <w:color w:val="000000"/>
              </w:rPr>
            </w:pPr>
          </w:p>
        </w:tc>
        <w:tc>
          <w:tcPr>
            <w:tcW w:w="1217" w:type="dxa"/>
            <w:tcBorders>
              <w:top w:val="nil"/>
              <w:left w:val="nil"/>
              <w:bottom w:val="nil"/>
              <w:right w:val="nil"/>
            </w:tcBorders>
            <w:shd w:val="clear" w:color="auto" w:fill="auto"/>
            <w:noWrap/>
            <w:vAlign w:val="bottom"/>
            <w:hideMark/>
          </w:tcPr>
          <w:p w:rsidR="00A36E70" w:rsidRPr="00A36E70" w:rsidRDefault="00A36E70" w:rsidP="00A36E70">
            <w:pPr>
              <w:overflowPunct/>
              <w:autoSpaceDE/>
              <w:autoSpaceDN/>
              <w:adjustRightInd/>
              <w:jc w:val="right"/>
              <w:textAlignment w:val="auto"/>
              <w:rPr>
                <w:rFonts w:ascii="Arial" w:hAnsi="Arial" w:cs="Arial"/>
                <w:color w:val="000000"/>
              </w:rPr>
            </w:pPr>
          </w:p>
        </w:tc>
      </w:tr>
      <w:tr w:rsidR="00A36E70" w:rsidRPr="00A36E70" w:rsidTr="00AC7CC2">
        <w:trPr>
          <w:trHeight w:val="270"/>
        </w:trPr>
        <w:tc>
          <w:tcPr>
            <w:tcW w:w="1620" w:type="dxa"/>
            <w:tcBorders>
              <w:top w:val="nil"/>
              <w:left w:val="nil"/>
              <w:bottom w:val="nil"/>
              <w:right w:val="nil"/>
            </w:tcBorders>
            <w:shd w:val="clear" w:color="auto" w:fill="auto"/>
            <w:noWrap/>
            <w:vAlign w:val="bottom"/>
            <w:hideMark/>
          </w:tcPr>
          <w:p w:rsidR="00A36E70" w:rsidRPr="00A36E70" w:rsidRDefault="00A36E70" w:rsidP="00A36E70">
            <w:pPr>
              <w:overflowPunct/>
              <w:autoSpaceDE/>
              <w:autoSpaceDN/>
              <w:adjustRightInd/>
              <w:textAlignment w:val="auto"/>
              <w:rPr>
                <w:rFonts w:ascii="Arial" w:hAnsi="Arial" w:cs="Arial"/>
                <w:color w:val="000000"/>
              </w:rPr>
            </w:pPr>
            <w:r w:rsidRPr="00A36E70">
              <w:rPr>
                <w:rFonts w:ascii="Arial" w:hAnsi="Arial" w:cs="Arial"/>
                <w:color w:val="000000"/>
              </w:rPr>
              <w:t>Average Cost per hour</w:t>
            </w:r>
          </w:p>
        </w:tc>
        <w:tc>
          <w:tcPr>
            <w:tcW w:w="1260" w:type="dxa"/>
            <w:tcBorders>
              <w:top w:val="nil"/>
              <w:left w:val="nil"/>
              <w:bottom w:val="single" w:sz="8" w:space="0" w:color="auto"/>
              <w:right w:val="nil"/>
            </w:tcBorders>
            <w:shd w:val="clear" w:color="auto" w:fill="auto"/>
            <w:noWrap/>
            <w:vAlign w:val="bottom"/>
            <w:hideMark/>
          </w:tcPr>
          <w:p w:rsidR="00A36E70" w:rsidRPr="00A36E70" w:rsidRDefault="00A36E70" w:rsidP="00A36E70">
            <w:pPr>
              <w:overflowPunct/>
              <w:autoSpaceDE/>
              <w:autoSpaceDN/>
              <w:adjustRightInd/>
              <w:jc w:val="right"/>
              <w:textAlignment w:val="auto"/>
              <w:rPr>
                <w:rFonts w:ascii="Arial" w:hAnsi="Arial" w:cs="Arial"/>
                <w:color w:val="000000"/>
              </w:rPr>
            </w:pPr>
            <w:r w:rsidRPr="00A36E70">
              <w:rPr>
                <w:rFonts w:ascii="Arial" w:hAnsi="Arial" w:cs="Arial"/>
                <w:color w:val="000000"/>
              </w:rPr>
              <w:t xml:space="preserve"> $      40.42 </w:t>
            </w:r>
          </w:p>
        </w:tc>
        <w:tc>
          <w:tcPr>
            <w:tcW w:w="1440" w:type="dxa"/>
            <w:tcBorders>
              <w:top w:val="nil"/>
              <w:left w:val="nil"/>
              <w:bottom w:val="single" w:sz="8" w:space="0" w:color="auto"/>
              <w:right w:val="nil"/>
            </w:tcBorders>
            <w:shd w:val="clear" w:color="auto" w:fill="auto"/>
            <w:noWrap/>
            <w:vAlign w:val="bottom"/>
            <w:hideMark/>
          </w:tcPr>
          <w:p w:rsidR="00A36E70" w:rsidRPr="00A36E70" w:rsidRDefault="00A36E70" w:rsidP="00A36E70">
            <w:pPr>
              <w:overflowPunct/>
              <w:autoSpaceDE/>
              <w:autoSpaceDN/>
              <w:adjustRightInd/>
              <w:jc w:val="right"/>
              <w:textAlignment w:val="auto"/>
              <w:rPr>
                <w:rFonts w:ascii="Arial" w:hAnsi="Arial" w:cs="Arial"/>
                <w:color w:val="000000"/>
              </w:rPr>
            </w:pPr>
            <w:r w:rsidRPr="00A36E70">
              <w:rPr>
                <w:rFonts w:ascii="Arial" w:hAnsi="Arial" w:cs="Arial"/>
                <w:color w:val="000000"/>
              </w:rPr>
              <w:t xml:space="preserve"> $        40.42 </w:t>
            </w:r>
          </w:p>
        </w:tc>
        <w:tc>
          <w:tcPr>
            <w:tcW w:w="1530" w:type="dxa"/>
            <w:tcBorders>
              <w:top w:val="nil"/>
              <w:left w:val="nil"/>
              <w:bottom w:val="single" w:sz="8" w:space="0" w:color="auto"/>
              <w:right w:val="nil"/>
            </w:tcBorders>
            <w:shd w:val="clear" w:color="auto" w:fill="auto"/>
            <w:noWrap/>
            <w:vAlign w:val="bottom"/>
            <w:hideMark/>
          </w:tcPr>
          <w:p w:rsidR="00A36E70" w:rsidRPr="00A36E70" w:rsidRDefault="00A36E70" w:rsidP="00A36E70">
            <w:pPr>
              <w:overflowPunct/>
              <w:autoSpaceDE/>
              <w:autoSpaceDN/>
              <w:adjustRightInd/>
              <w:jc w:val="right"/>
              <w:textAlignment w:val="auto"/>
              <w:rPr>
                <w:rFonts w:ascii="Arial" w:hAnsi="Arial" w:cs="Arial"/>
                <w:color w:val="000000"/>
              </w:rPr>
            </w:pPr>
            <w:r w:rsidRPr="00A36E70">
              <w:rPr>
                <w:rFonts w:ascii="Arial" w:hAnsi="Arial" w:cs="Arial"/>
                <w:color w:val="000000"/>
              </w:rPr>
              <w:t xml:space="preserve"> $        40.42 </w:t>
            </w:r>
          </w:p>
        </w:tc>
        <w:tc>
          <w:tcPr>
            <w:tcW w:w="1428" w:type="dxa"/>
            <w:tcBorders>
              <w:top w:val="nil"/>
              <w:left w:val="nil"/>
              <w:bottom w:val="single" w:sz="8" w:space="0" w:color="auto"/>
              <w:right w:val="nil"/>
            </w:tcBorders>
            <w:shd w:val="clear" w:color="auto" w:fill="auto"/>
            <w:noWrap/>
            <w:vAlign w:val="bottom"/>
            <w:hideMark/>
          </w:tcPr>
          <w:p w:rsidR="00A36E70" w:rsidRPr="00A36E70" w:rsidRDefault="00A36E70" w:rsidP="00A36E70">
            <w:pPr>
              <w:overflowPunct/>
              <w:autoSpaceDE/>
              <w:autoSpaceDN/>
              <w:adjustRightInd/>
              <w:jc w:val="right"/>
              <w:textAlignment w:val="auto"/>
              <w:rPr>
                <w:rFonts w:ascii="Arial" w:hAnsi="Arial" w:cs="Arial"/>
                <w:color w:val="000000"/>
              </w:rPr>
            </w:pPr>
            <w:r w:rsidRPr="00A36E70">
              <w:rPr>
                <w:rFonts w:ascii="Arial" w:hAnsi="Arial" w:cs="Arial"/>
                <w:color w:val="000000"/>
              </w:rPr>
              <w:t xml:space="preserve"> $                             40.42 </w:t>
            </w:r>
          </w:p>
        </w:tc>
        <w:tc>
          <w:tcPr>
            <w:tcW w:w="1217" w:type="dxa"/>
            <w:tcBorders>
              <w:top w:val="nil"/>
              <w:left w:val="nil"/>
              <w:bottom w:val="single" w:sz="8" w:space="0" w:color="auto"/>
              <w:right w:val="nil"/>
            </w:tcBorders>
            <w:shd w:val="clear" w:color="auto" w:fill="auto"/>
            <w:noWrap/>
            <w:vAlign w:val="bottom"/>
            <w:hideMark/>
          </w:tcPr>
          <w:p w:rsidR="00A36E70" w:rsidRPr="00A36E70" w:rsidRDefault="00A36E70" w:rsidP="00A36E70">
            <w:pPr>
              <w:overflowPunct/>
              <w:autoSpaceDE/>
              <w:autoSpaceDN/>
              <w:adjustRightInd/>
              <w:jc w:val="right"/>
              <w:textAlignment w:val="auto"/>
              <w:rPr>
                <w:rFonts w:ascii="Arial" w:hAnsi="Arial" w:cs="Arial"/>
                <w:color w:val="000000"/>
              </w:rPr>
            </w:pPr>
            <w:r w:rsidRPr="00A36E70">
              <w:rPr>
                <w:rFonts w:ascii="Arial" w:hAnsi="Arial" w:cs="Arial"/>
                <w:color w:val="000000"/>
              </w:rPr>
              <w:t xml:space="preserve"> $           40.42 </w:t>
            </w:r>
          </w:p>
        </w:tc>
      </w:tr>
      <w:tr w:rsidR="00A36E70" w:rsidRPr="00A36E70" w:rsidTr="00AC7CC2">
        <w:trPr>
          <w:trHeight w:val="255"/>
        </w:trPr>
        <w:tc>
          <w:tcPr>
            <w:tcW w:w="1620" w:type="dxa"/>
            <w:tcBorders>
              <w:top w:val="nil"/>
              <w:left w:val="nil"/>
              <w:bottom w:val="nil"/>
              <w:right w:val="nil"/>
            </w:tcBorders>
            <w:shd w:val="clear" w:color="auto" w:fill="auto"/>
            <w:noWrap/>
            <w:vAlign w:val="bottom"/>
            <w:hideMark/>
          </w:tcPr>
          <w:p w:rsidR="00A36E70" w:rsidRPr="00A36E70" w:rsidRDefault="00A36E70" w:rsidP="00A36E70">
            <w:pPr>
              <w:overflowPunct/>
              <w:autoSpaceDE/>
              <w:autoSpaceDN/>
              <w:adjustRightInd/>
              <w:textAlignment w:val="auto"/>
              <w:rPr>
                <w:rFonts w:ascii="Arial" w:hAnsi="Arial" w:cs="Arial"/>
                <w:color w:val="000000"/>
              </w:rPr>
            </w:pPr>
          </w:p>
        </w:tc>
        <w:tc>
          <w:tcPr>
            <w:tcW w:w="1260" w:type="dxa"/>
            <w:tcBorders>
              <w:top w:val="nil"/>
              <w:left w:val="nil"/>
              <w:bottom w:val="nil"/>
              <w:right w:val="nil"/>
            </w:tcBorders>
            <w:shd w:val="clear" w:color="auto" w:fill="auto"/>
            <w:noWrap/>
            <w:vAlign w:val="bottom"/>
            <w:hideMark/>
          </w:tcPr>
          <w:p w:rsidR="00A36E70" w:rsidRPr="00A36E70" w:rsidRDefault="00A36E70" w:rsidP="00A36E70">
            <w:pPr>
              <w:overflowPunct/>
              <w:autoSpaceDE/>
              <w:autoSpaceDN/>
              <w:adjustRightInd/>
              <w:jc w:val="right"/>
              <w:textAlignment w:val="auto"/>
              <w:rPr>
                <w:rFonts w:ascii="Arial" w:hAnsi="Arial" w:cs="Arial"/>
                <w:color w:val="000000"/>
              </w:rPr>
            </w:pPr>
          </w:p>
        </w:tc>
        <w:tc>
          <w:tcPr>
            <w:tcW w:w="1440" w:type="dxa"/>
            <w:tcBorders>
              <w:top w:val="nil"/>
              <w:left w:val="nil"/>
              <w:bottom w:val="nil"/>
              <w:right w:val="nil"/>
            </w:tcBorders>
            <w:shd w:val="clear" w:color="auto" w:fill="auto"/>
            <w:noWrap/>
            <w:vAlign w:val="bottom"/>
            <w:hideMark/>
          </w:tcPr>
          <w:p w:rsidR="00A36E70" w:rsidRPr="00A36E70" w:rsidRDefault="00A36E70" w:rsidP="00A36E70">
            <w:pPr>
              <w:overflowPunct/>
              <w:autoSpaceDE/>
              <w:autoSpaceDN/>
              <w:adjustRightInd/>
              <w:jc w:val="right"/>
              <w:textAlignment w:val="auto"/>
              <w:rPr>
                <w:rFonts w:ascii="Arial" w:hAnsi="Arial" w:cs="Arial"/>
                <w:color w:val="000000"/>
              </w:rPr>
            </w:pPr>
          </w:p>
        </w:tc>
        <w:tc>
          <w:tcPr>
            <w:tcW w:w="1530" w:type="dxa"/>
            <w:tcBorders>
              <w:top w:val="nil"/>
              <w:left w:val="nil"/>
              <w:bottom w:val="nil"/>
              <w:right w:val="nil"/>
            </w:tcBorders>
            <w:shd w:val="clear" w:color="auto" w:fill="auto"/>
            <w:noWrap/>
            <w:vAlign w:val="bottom"/>
            <w:hideMark/>
          </w:tcPr>
          <w:p w:rsidR="00A36E70" w:rsidRPr="00A36E70" w:rsidRDefault="00A36E70" w:rsidP="00A36E70">
            <w:pPr>
              <w:overflowPunct/>
              <w:autoSpaceDE/>
              <w:autoSpaceDN/>
              <w:adjustRightInd/>
              <w:jc w:val="right"/>
              <w:textAlignment w:val="auto"/>
              <w:rPr>
                <w:rFonts w:ascii="Arial" w:hAnsi="Arial" w:cs="Arial"/>
                <w:color w:val="000000"/>
              </w:rPr>
            </w:pPr>
          </w:p>
        </w:tc>
        <w:tc>
          <w:tcPr>
            <w:tcW w:w="1428" w:type="dxa"/>
            <w:tcBorders>
              <w:top w:val="nil"/>
              <w:left w:val="nil"/>
              <w:bottom w:val="nil"/>
              <w:right w:val="nil"/>
            </w:tcBorders>
            <w:shd w:val="clear" w:color="auto" w:fill="auto"/>
            <w:noWrap/>
            <w:vAlign w:val="bottom"/>
            <w:hideMark/>
          </w:tcPr>
          <w:p w:rsidR="00A36E70" w:rsidRPr="00A36E70" w:rsidRDefault="00A36E70" w:rsidP="00A36E70">
            <w:pPr>
              <w:overflowPunct/>
              <w:autoSpaceDE/>
              <w:autoSpaceDN/>
              <w:adjustRightInd/>
              <w:jc w:val="right"/>
              <w:textAlignment w:val="auto"/>
              <w:rPr>
                <w:rFonts w:ascii="Arial" w:hAnsi="Arial" w:cs="Arial"/>
                <w:color w:val="000000"/>
              </w:rPr>
            </w:pPr>
          </w:p>
        </w:tc>
        <w:tc>
          <w:tcPr>
            <w:tcW w:w="1217" w:type="dxa"/>
            <w:tcBorders>
              <w:top w:val="nil"/>
              <w:left w:val="nil"/>
              <w:bottom w:val="nil"/>
              <w:right w:val="nil"/>
            </w:tcBorders>
            <w:shd w:val="clear" w:color="auto" w:fill="auto"/>
            <w:noWrap/>
            <w:vAlign w:val="bottom"/>
            <w:hideMark/>
          </w:tcPr>
          <w:p w:rsidR="00A36E70" w:rsidRPr="00A36E70" w:rsidRDefault="00A36E70" w:rsidP="00A36E70">
            <w:pPr>
              <w:overflowPunct/>
              <w:autoSpaceDE/>
              <w:autoSpaceDN/>
              <w:adjustRightInd/>
              <w:jc w:val="right"/>
              <w:textAlignment w:val="auto"/>
              <w:rPr>
                <w:rFonts w:ascii="Arial" w:hAnsi="Arial" w:cs="Arial"/>
                <w:color w:val="000000"/>
              </w:rPr>
            </w:pPr>
          </w:p>
        </w:tc>
      </w:tr>
      <w:tr w:rsidR="00A36E70" w:rsidRPr="00A36E70" w:rsidTr="00AC7CC2">
        <w:trPr>
          <w:trHeight w:val="270"/>
        </w:trPr>
        <w:tc>
          <w:tcPr>
            <w:tcW w:w="1620" w:type="dxa"/>
            <w:tcBorders>
              <w:top w:val="nil"/>
              <w:left w:val="nil"/>
              <w:bottom w:val="nil"/>
              <w:right w:val="nil"/>
            </w:tcBorders>
            <w:shd w:val="clear" w:color="auto" w:fill="auto"/>
            <w:noWrap/>
            <w:vAlign w:val="bottom"/>
            <w:hideMark/>
          </w:tcPr>
          <w:p w:rsidR="00A36E70" w:rsidRPr="00A36E70" w:rsidRDefault="00A36E70" w:rsidP="00A36E70">
            <w:pPr>
              <w:overflowPunct/>
              <w:autoSpaceDE/>
              <w:autoSpaceDN/>
              <w:adjustRightInd/>
              <w:textAlignment w:val="auto"/>
              <w:rPr>
                <w:rFonts w:ascii="Arial" w:hAnsi="Arial" w:cs="Arial"/>
                <w:b/>
                <w:bCs/>
                <w:color w:val="000000"/>
              </w:rPr>
            </w:pPr>
            <w:r w:rsidRPr="00A36E70">
              <w:rPr>
                <w:rFonts w:ascii="Arial" w:hAnsi="Arial" w:cs="Arial"/>
                <w:b/>
                <w:bCs/>
                <w:color w:val="000000"/>
              </w:rPr>
              <w:t>Total Cost to government</w:t>
            </w:r>
          </w:p>
        </w:tc>
        <w:tc>
          <w:tcPr>
            <w:tcW w:w="1260" w:type="dxa"/>
            <w:tcBorders>
              <w:top w:val="nil"/>
              <w:left w:val="nil"/>
              <w:bottom w:val="single" w:sz="8" w:space="0" w:color="auto"/>
              <w:right w:val="nil"/>
            </w:tcBorders>
            <w:shd w:val="clear" w:color="auto" w:fill="auto"/>
            <w:noWrap/>
            <w:vAlign w:val="bottom"/>
            <w:hideMark/>
          </w:tcPr>
          <w:p w:rsidR="00A36E70" w:rsidRPr="00A36E70" w:rsidRDefault="00A36E70" w:rsidP="00A36E70">
            <w:pPr>
              <w:overflowPunct/>
              <w:autoSpaceDE/>
              <w:autoSpaceDN/>
              <w:adjustRightInd/>
              <w:jc w:val="right"/>
              <w:textAlignment w:val="auto"/>
              <w:rPr>
                <w:rFonts w:ascii="Arial" w:hAnsi="Arial" w:cs="Arial"/>
                <w:color w:val="000000"/>
              </w:rPr>
            </w:pPr>
            <w:r w:rsidRPr="00A36E70">
              <w:rPr>
                <w:rFonts w:ascii="Arial" w:hAnsi="Arial" w:cs="Arial"/>
                <w:color w:val="000000"/>
              </w:rPr>
              <w:t xml:space="preserve"> $     83,586 </w:t>
            </w:r>
          </w:p>
        </w:tc>
        <w:tc>
          <w:tcPr>
            <w:tcW w:w="1440" w:type="dxa"/>
            <w:tcBorders>
              <w:top w:val="nil"/>
              <w:left w:val="nil"/>
              <w:bottom w:val="single" w:sz="8" w:space="0" w:color="auto"/>
              <w:right w:val="nil"/>
            </w:tcBorders>
            <w:shd w:val="clear" w:color="auto" w:fill="auto"/>
            <w:noWrap/>
            <w:vAlign w:val="bottom"/>
            <w:hideMark/>
          </w:tcPr>
          <w:p w:rsidR="00A36E70" w:rsidRPr="00A36E70" w:rsidRDefault="00A36E70" w:rsidP="00A36E70">
            <w:pPr>
              <w:overflowPunct/>
              <w:autoSpaceDE/>
              <w:autoSpaceDN/>
              <w:adjustRightInd/>
              <w:jc w:val="right"/>
              <w:textAlignment w:val="auto"/>
              <w:rPr>
                <w:rFonts w:ascii="Arial" w:hAnsi="Arial" w:cs="Arial"/>
                <w:color w:val="000000"/>
              </w:rPr>
            </w:pPr>
            <w:r w:rsidRPr="00A36E70">
              <w:rPr>
                <w:rFonts w:ascii="Arial" w:hAnsi="Arial" w:cs="Arial"/>
                <w:color w:val="000000"/>
              </w:rPr>
              <w:t xml:space="preserve"> $      37,493 </w:t>
            </w:r>
          </w:p>
        </w:tc>
        <w:tc>
          <w:tcPr>
            <w:tcW w:w="1530" w:type="dxa"/>
            <w:tcBorders>
              <w:top w:val="nil"/>
              <w:left w:val="nil"/>
              <w:bottom w:val="single" w:sz="8" w:space="0" w:color="auto"/>
              <w:right w:val="nil"/>
            </w:tcBorders>
            <w:shd w:val="clear" w:color="auto" w:fill="auto"/>
            <w:noWrap/>
            <w:vAlign w:val="bottom"/>
            <w:hideMark/>
          </w:tcPr>
          <w:p w:rsidR="00A36E70" w:rsidRPr="00A36E70" w:rsidRDefault="00A36E70" w:rsidP="00A36E70">
            <w:pPr>
              <w:overflowPunct/>
              <w:autoSpaceDE/>
              <w:autoSpaceDN/>
              <w:adjustRightInd/>
              <w:jc w:val="right"/>
              <w:textAlignment w:val="auto"/>
              <w:rPr>
                <w:rFonts w:ascii="Arial" w:hAnsi="Arial" w:cs="Arial"/>
                <w:color w:val="000000"/>
              </w:rPr>
            </w:pPr>
            <w:r w:rsidRPr="00A36E70">
              <w:rPr>
                <w:rFonts w:ascii="Arial" w:hAnsi="Arial" w:cs="Arial"/>
                <w:color w:val="000000"/>
              </w:rPr>
              <w:t xml:space="preserve"> $     161,231 </w:t>
            </w:r>
          </w:p>
        </w:tc>
        <w:tc>
          <w:tcPr>
            <w:tcW w:w="1428" w:type="dxa"/>
            <w:tcBorders>
              <w:top w:val="nil"/>
              <w:left w:val="nil"/>
              <w:bottom w:val="single" w:sz="8" w:space="0" w:color="auto"/>
              <w:right w:val="nil"/>
            </w:tcBorders>
            <w:shd w:val="clear" w:color="auto" w:fill="auto"/>
            <w:noWrap/>
            <w:vAlign w:val="bottom"/>
            <w:hideMark/>
          </w:tcPr>
          <w:p w:rsidR="00A36E70" w:rsidRPr="00A36E70" w:rsidRDefault="00A36E70" w:rsidP="00A36E70">
            <w:pPr>
              <w:overflowPunct/>
              <w:autoSpaceDE/>
              <w:autoSpaceDN/>
              <w:adjustRightInd/>
              <w:jc w:val="right"/>
              <w:textAlignment w:val="auto"/>
              <w:rPr>
                <w:rFonts w:ascii="Arial" w:hAnsi="Arial" w:cs="Arial"/>
                <w:color w:val="000000"/>
              </w:rPr>
            </w:pPr>
            <w:r w:rsidRPr="00A36E70">
              <w:rPr>
                <w:rFonts w:ascii="Arial" w:hAnsi="Arial" w:cs="Arial"/>
                <w:color w:val="000000"/>
              </w:rPr>
              <w:t xml:space="preserve"> $                           40,549 </w:t>
            </w:r>
          </w:p>
        </w:tc>
        <w:tc>
          <w:tcPr>
            <w:tcW w:w="1217" w:type="dxa"/>
            <w:tcBorders>
              <w:top w:val="nil"/>
              <w:left w:val="nil"/>
              <w:bottom w:val="single" w:sz="8" w:space="0" w:color="auto"/>
              <w:right w:val="nil"/>
            </w:tcBorders>
            <w:shd w:val="clear" w:color="auto" w:fill="auto"/>
            <w:noWrap/>
            <w:vAlign w:val="bottom"/>
            <w:hideMark/>
          </w:tcPr>
          <w:p w:rsidR="00A36E70" w:rsidRPr="00A36E70" w:rsidRDefault="00A36E70" w:rsidP="00A36E70">
            <w:pPr>
              <w:overflowPunct/>
              <w:autoSpaceDE/>
              <w:autoSpaceDN/>
              <w:adjustRightInd/>
              <w:jc w:val="right"/>
              <w:textAlignment w:val="auto"/>
              <w:rPr>
                <w:rFonts w:ascii="Arial" w:hAnsi="Arial" w:cs="Arial"/>
                <w:color w:val="000000"/>
              </w:rPr>
            </w:pPr>
            <w:r w:rsidRPr="00A36E70">
              <w:rPr>
                <w:rFonts w:ascii="Arial" w:hAnsi="Arial" w:cs="Arial"/>
                <w:color w:val="000000"/>
              </w:rPr>
              <w:t xml:space="preserve"> $   322,859.20 </w:t>
            </w:r>
          </w:p>
        </w:tc>
      </w:tr>
    </w:tbl>
    <w:p w:rsidR="00A36E70" w:rsidRDefault="00A36E70" w:rsidP="00F65B5E">
      <w:pPr>
        <w:numPr>
          <w:ilvl w:val="12"/>
          <w:numId w:val="0"/>
        </w:numPr>
        <w:rPr>
          <w:sz w:val="24"/>
        </w:rPr>
      </w:pPr>
    </w:p>
    <w:p w:rsidR="00A83E7D" w:rsidRDefault="00A83E7D">
      <w:pPr>
        <w:rPr>
          <w:sz w:val="24"/>
        </w:rPr>
      </w:pPr>
      <w:r>
        <w:rPr>
          <w:sz w:val="24"/>
        </w:rPr>
        <w:t>Responses/yr</w:t>
      </w:r>
      <w:r>
        <w:rPr>
          <w:sz w:val="24"/>
        </w:rPr>
        <w:tab/>
      </w:r>
      <w:r>
        <w:rPr>
          <w:sz w:val="24"/>
        </w:rPr>
        <w:tab/>
      </w:r>
      <w:r>
        <w:rPr>
          <w:sz w:val="24"/>
        </w:rPr>
        <w:tab/>
        <w:t xml:space="preserve">                  </w:t>
      </w:r>
      <w:r w:rsidR="00452DAF">
        <w:rPr>
          <w:sz w:val="24"/>
          <w:u w:val="single"/>
        </w:rPr>
        <w:t>3,565</w:t>
      </w:r>
      <w:r>
        <w:rPr>
          <w:sz w:val="24"/>
        </w:rPr>
        <w:t xml:space="preserve">  </w:t>
      </w:r>
    </w:p>
    <w:p w:rsidR="00870C7F" w:rsidRDefault="00870C7F" w:rsidP="00870C7F">
      <w:pPr>
        <w:pStyle w:val="Heading3"/>
      </w:pPr>
      <w:r>
        <w:t>Reviewing time/hour</w:t>
      </w:r>
      <w:r>
        <w:tab/>
      </w:r>
      <w:r>
        <w:tab/>
      </w:r>
      <w:r>
        <w:tab/>
        <w:t xml:space="preserve">    2.2</w:t>
      </w:r>
      <w:r w:rsidR="00CD1919">
        <w:t>406</w:t>
      </w:r>
      <w:r>
        <w:t xml:space="preserve"> hr (average)</w:t>
      </w:r>
    </w:p>
    <w:p w:rsidR="00A83E7D" w:rsidRDefault="00A83E7D">
      <w:pPr>
        <w:rPr>
          <w:sz w:val="24"/>
        </w:rPr>
      </w:pPr>
      <w:r>
        <w:rPr>
          <w:sz w:val="24"/>
        </w:rPr>
        <w:t>Review time/yr</w:t>
      </w:r>
      <w:r>
        <w:rPr>
          <w:sz w:val="24"/>
        </w:rPr>
        <w:tab/>
      </w:r>
      <w:r>
        <w:rPr>
          <w:sz w:val="24"/>
        </w:rPr>
        <w:tab/>
      </w:r>
      <w:r>
        <w:rPr>
          <w:sz w:val="24"/>
        </w:rPr>
        <w:tab/>
        <w:t xml:space="preserve">    </w:t>
      </w:r>
      <w:r w:rsidR="00CF2505">
        <w:rPr>
          <w:sz w:val="24"/>
        </w:rPr>
        <w:t xml:space="preserve">  </w:t>
      </w:r>
      <w:r w:rsidR="00452DAF">
        <w:rPr>
          <w:sz w:val="24"/>
        </w:rPr>
        <w:t>7,988</w:t>
      </w:r>
    </w:p>
    <w:p w:rsidR="00A83E7D" w:rsidRDefault="00A83E7D">
      <w:pPr>
        <w:pStyle w:val="Heading3"/>
      </w:pPr>
      <w:r>
        <w:t>Average cost per hour</w:t>
      </w:r>
      <w:r>
        <w:tab/>
      </w:r>
      <w:r>
        <w:tab/>
      </w:r>
      <w:r>
        <w:tab/>
        <w:t xml:space="preserve">    </w:t>
      </w:r>
      <w:r>
        <w:rPr>
          <w:u w:val="single"/>
        </w:rPr>
        <w:t>$</w:t>
      </w:r>
      <w:r w:rsidR="00452DAF">
        <w:rPr>
          <w:u w:val="single"/>
        </w:rPr>
        <w:t>40.42</w:t>
      </w:r>
    </w:p>
    <w:p w:rsidR="00A83E7D" w:rsidRDefault="00A83E7D">
      <w:pPr>
        <w:rPr>
          <w:sz w:val="24"/>
        </w:rPr>
      </w:pPr>
      <w:r>
        <w:rPr>
          <w:sz w:val="24"/>
        </w:rPr>
        <w:t>Total Government cost</w:t>
      </w:r>
      <w:r>
        <w:rPr>
          <w:sz w:val="24"/>
        </w:rPr>
        <w:tab/>
      </w:r>
      <w:r>
        <w:rPr>
          <w:sz w:val="24"/>
        </w:rPr>
        <w:tab/>
        <w:t>$</w:t>
      </w:r>
      <w:r w:rsidR="00870C7F">
        <w:rPr>
          <w:sz w:val="24"/>
        </w:rPr>
        <w:t>322,859</w:t>
      </w:r>
    </w:p>
    <w:p w:rsidR="00A83E7D" w:rsidRDefault="00A83E7D">
      <w:pPr>
        <w:rPr>
          <w:sz w:val="24"/>
        </w:rPr>
      </w:pPr>
    </w:p>
    <w:p w:rsidR="00A83E7D" w:rsidRDefault="00A83E7D">
      <w:pPr>
        <w:rPr>
          <w:b/>
          <w:sz w:val="24"/>
        </w:rPr>
      </w:pPr>
      <w:r>
        <w:rPr>
          <w:sz w:val="24"/>
        </w:rPr>
        <w:t>1</w:t>
      </w:r>
      <w:r w:rsidR="00F65B5E">
        <w:rPr>
          <w:sz w:val="24"/>
        </w:rPr>
        <w:t>5</w:t>
      </w:r>
      <w:r>
        <w:rPr>
          <w:sz w:val="24"/>
        </w:rPr>
        <w:t xml:space="preserve">. </w:t>
      </w:r>
      <w:r w:rsidR="00F65B5E">
        <w:rPr>
          <w:sz w:val="24"/>
        </w:rPr>
        <w:t xml:space="preserve">   </w:t>
      </w:r>
      <w:r>
        <w:rPr>
          <w:b/>
          <w:color w:val="000000"/>
          <w:sz w:val="24"/>
        </w:rPr>
        <w:t>Explain the reasons for any program changes or adjustments reported in Items 13 or 14.</w:t>
      </w:r>
      <w:r>
        <w:rPr>
          <w:b/>
          <w:sz w:val="24"/>
        </w:rPr>
        <w:t xml:space="preserve">  </w:t>
      </w:r>
    </w:p>
    <w:p w:rsidR="00A83E7D" w:rsidRDefault="00A83E7D">
      <w:pPr>
        <w:rPr>
          <w:sz w:val="24"/>
        </w:rPr>
      </w:pPr>
    </w:p>
    <w:p w:rsidR="00A83E7D" w:rsidRDefault="00F65B5E">
      <w:pPr>
        <w:rPr>
          <w:sz w:val="24"/>
        </w:rPr>
      </w:pPr>
      <w:r>
        <w:rPr>
          <w:sz w:val="24"/>
        </w:rPr>
        <w:t>This submission requests</w:t>
      </w:r>
      <w:r w:rsidR="00A83E7D">
        <w:rPr>
          <w:sz w:val="24"/>
        </w:rPr>
        <w:t xml:space="preserve"> OMB’s approval of an information collection requirement in the GSAR.  </w:t>
      </w:r>
      <w:r w:rsidR="00804E57">
        <w:rPr>
          <w:sz w:val="24"/>
        </w:rPr>
        <w:t xml:space="preserve">This </w:t>
      </w:r>
      <w:r w:rsidR="00A83E7D">
        <w:rPr>
          <w:sz w:val="24"/>
        </w:rPr>
        <w:t>information collection requirement in the GSAR remains unchanged.  However, the number of responses has increased from 3,200 in 1991 to 5,016 in 2001</w:t>
      </w:r>
      <w:r w:rsidR="00870C7F">
        <w:rPr>
          <w:sz w:val="24"/>
        </w:rPr>
        <w:t xml:space="preserve"> and decreased to 3,565 in 2012</w:t>
      </w:r>
      <w:r w:rsidR="00A83E7D">
        <w:rPr>
          <w:sz w:val="24"/>
        </w:rPr>
        <w:t xml:space="preserve">.  </w:t>
      </w:r>
      <w:r w:rsidR="00870C7F">
        <w:rPr>
          <w:sz w:val="24"/>
        </w:rPr>
        <w:t xml:space="preserve">We attribute this </w:t>
      </w:r>
      <w:r w:rsidR="00B75DEB">
        <w:rPr>
          <w:sz w:val="24"/>
        </w:rPr>
        <w:t>change</w:t>
      </w:r>
      <w:r w:rsidR="00870C7F">
        <w:rPr>
          <w:sz w:val="24"/>
        </w:rPr>
        <w:t xml:space="preserve"> to </w:t>
      </w:r>
      <w:r w:rsidR="00B75DEB">
        <w:rPr>
          <w:sz w:val="24"/>
        </w:rPr>
        <w:t>increased data accuracy in GSA reporting systems.</w:t>
      </w:r>
      <w:r w:rsidR="00A83E7D">
        <w:rPr>
          <w:sz w:val="24"/>
        </w:rPr>
        <w:t xml:space="preserve">  </w:t>
      </w:r>
    </w:p>
    <w:p w:rsidR="00A83E7D" w:rsidRDefault="00A83E7D">
      <w:pPr>
        <w:rPr>
          <w:sz w:val="24"/>
        </w:rPr>
      </w:pPr>
    </w:p>
    <w:p w:rsidR="00A83E7D" w:rsidRPr="00F65B5E" w:rsidRDefault="00F65B5E" w:rsidP="00F65B5E">
      <w:pPr>
        <w:numPr>
          <w:ilvl w:val="0"/>
          <w:numId w:val="5"/>
        </w:numPr>
        <w:tabs>
          <w:tab w:val="center" w:pos="0"/>
        </w:tabs>
        <w:ind w:left="0" w:firstLine="0"/>
        <w:rPr>
          <w:b/>
          <w:sz w:val="24"/>
        </w:rPr>
      </w:pPr>
      <w:r w:rsidRPr="00F65B5E">
        <w:rPr>
          <w:b/>
          <w:sz w:val="24"/>
          <w:szCs w:val="24"/>
        </w:rPr>
        <w:t>Outline plans for published results of information collections.</w:t>
      </w:r>
      <w:r w:rsidR="00A83E7D" w:rsidRPr="00F65B5E">
        <w:rPr>
          <w:b/>
          <w:sz w:val="24"/>
        </w:rPr>
        <w:t xml:space="preserve"> </w:t>
      </w:r>
      <w:r w:rsidRPr="00F65B5E">
        <w:rPr>
          <w:b/>
          <w:sz w:val="24"/>
        </w:rPr>
        <w:t xml:space="preserve"> </w:t>
      </w:r>
      <w:r w:rsidR="00A83E7D" w:rsidRPr="00F65B5E">
        <w:rPr>
          <w:sz w:val="24"/>
        </w:rPr>
        <w:t xml:space="preserve">Results will not be tabulated or published.  Data collected will be used for internal administration of contracts. </w:t>
      </w:r>
    </w:p>
    <w:p w:rsidR="00A83E7D" w:rsidRDefault="00A83E7D">
      <w:pPr>
        <w:rPr>
          <w:sz w:val="24"/>
        </w:rPr>
      </w:pPr>
    </w:p>
    <w:p w:rsidR="00A83E7D" w:rsidRPr="00F65B5E" w:rsidRDefault="00A83E7D">
      <w:pPr>
        <w:rPr>
          <w:b/>
          <w:sz w:val="24"/>
        </w:rPr>
      </w:pPr>
      <w:r w:rsidRPr="00F65B5E">
        <w:rPr>
          <w:sz w:val="24"/>
        </w:rPr>
        <w:t>1</w:t>
      </w:r>
      <w:r w:rsidR="00F65B5E" w:rsidRPr="00F65B5E">
        <w:rPr>
          <w:sz w:val="24"/>
        </w:rPr>
        <w:t>7</w:t>
      </w:r>
      <w:r w:rsidRPr="00F65B5E">
        <w:rPr>
          <w:sz w:val="24"/>
        </w:rPr>
        <w:t xml:space="preserve">. </w:t>
      </w:r>
      <w:r w:rsidR="00F65B5E" w:rsidRPr="00F65B5E">
        <w:rPr>
          <w:sz w:val="24"/>
        </w:rPr>
        <w:t xml:space="preserve">   </w:t>
      </w:r>
      <w:r w:rsidR="00F65B5E" w:rsidRPr="00F65B5E">
        <w:rPr>
          <w:b/>
          <w:sz w:val="24"/>
          <w:szCs w:val="24"/>
        </w:rPr>
        <w:t>Approval not to display expiration date.</w:t>
      </w:r>
      <w:r w:rsidR="00F65B5E" w:rsidRPr="00F65B5E">
        <w:rPr>
          <w:sz w:val="24"/>
          <w:szCs w:val="24"/>
        </w:rPr>
        <w:t xml:space="preserve">  </w:t>
      </w:r>
      <w:r w:rsidR="00F65B5E">
        <w:rPr>
          <w:b/>
          <w:sz w:val="24"/>
        </w:rPr>
        <w:t xml:space="preserve"> </w:t>
      </w:r>
      <w:r w:rsidR="00CD1919" w:rsidRPr="00CD1919">
        <w:rPr>
          <w:sz w:val="24"/>
        </w:rPr>
        <w:t>N/A</w:t>
      </w:r>
      <w:r>
        <w:rPr>
          <w:sz w:val="24"/>
        </w:rPr>
        <w:t xml:space="preserve"> </w:t>
      </w:r>
    </w:p>
    <w:p w:rsidR="00A83E7D" w:rsidRDefault="00A83E7D">
      <w:pPr>
        <w:rPr>
          <w:sz w:val="24"/>
        </w:rPr>
      </w:pPr>
    </w:p>
    <w:p w:rsidR="00A83E7D" w:rsidRDefault="00A83E7D">
      <w:pPr>
        <w:rPr>
          <w:sz w:val="24"/>
        </w:rPr>
      </w:pPr>
      <w:r>
        <w:rPr>
          <w:sz w:val="24"/>
        </w:rPr>
        <w:t>1</w:t>
      </w:r>
      <w:r w:rsidR="00F65B5E">
        <w:rPr>
          <w:sz w:val="24"/>
        </w:rPr>
        <w:t>8</w:t>
      </w:r>
      <w:r>
        <w:rPr>
          <w:sz w:val="24"/>
        </w:rPr>
        <w:t xml:space="preserve">. </w:t>
      </w:r>
      <w:r w:rsidR="00F65B5E">
        <w:rPr>
          <w:sz w:val="24"/>
        </w:rPr>
        <w:t xml:space="preserve">  </w:t>
      </w:r>
      <w:r w:rsidR="00F65B5E" w:rsidRPr="00F65B5E">
        <w:rPr>
          <w:b/>
          <w:sz w:val="24"/>
          <w:szCs w:val="24"/>
        </w:rPr>
        <w:t>Explanation of exception to certification statement.</w:t>
      </w:r>
      <w:r w:rsidR="00F65B5E">
        <w:rPr>
          <w:sz w:val="24"/>
        </w:rPr>
        <w:t xml:space="preserve">  </w:t>
      </w:r>
      <w:proofErr w:type="gramStart"/>
      <w:r>
        <w:rPr>
          <w:sz w:val="24"/>
        </w:rPr>
        <w:t>N/A.</w:t>
      </w:r>
      <w:proofErr w:type="gramEnd"/>
    </w:p>
    <w:p w:rsidR="00A83E7D" w:rsidRDefault="00A83E7D">
      <w:pPr>
        <w:rPr>
          <w:sz w:val="24"/>
        </w:rPr>
      </w:pPr>
    </w:p>
    <w:p w:rsidR="00A83E7D" w:rsidRPr="00F65B5E" w:rsidRDefault="00F65B5E" w:rsidP="00F65B5E">
      <w:pPr>
        <w:pStyle w:val="BodyText2"/>
        <w:numPr>
          <w:ilvl w:val="0"/>
          <w:numId w:val="2"/>
        </w:numPr>
        <w:ind w:left="270" w:hanging="270"/>
        <w:rPr>
          <w:b w:val="0"/>
        </w:rPr>
      </w:pPr>
      <w:r>
        <w:t xml:space="preserve">  </w:t>
      </w:r>
      <w:r w:rsidR="00A83E7D">
        <w:t>Collections of Information Employing Statistical Methods.</w:t>
      </w:r>
      <w:r w:rsidR="004321BB">
        <w:t xml:space="preserve">  </w:t>
      </w:r>
      <w:r w:rsidR="004321BB" w:rsidRPr="004321BB">
        <w:rPr>
          <w:b w:val="0"/>
        </w:rPr>
        <w:t xml:space="preserve">GSA </w:t>
      </w:r>
      <w:r w:rsidR="000F4AE1">
        <w:rPr>
          <w:b w:val="0"/>
        </w:rPr>
        <w:t>r</w:t>
      </w:r>
      <w:r w:rsidR="00AC41CA">
        <w:rPr>
          <w:b w:val="0"/>
        </w:rPr>
        <w:t>egional</w:t>
      </w:r>
      <w:r w:rsidR="000F4AE1">
        <w:rPr>
          <w:b w:val="0"/>
        </w:rPr>
        <w:t xml:space="preserve"> leasing services officers </w:t>
      </w:r>
      <w:r w:rsidR="00AC41CA">
        <w:rPr>
          <w:b w:val="0"/>
        </w:rPr>
        <w:t>estimate</w:t>
      </w:r>
      <w:r w:rsidR="000F4AE1">
        <w:rPr>
          <w:b w:val="0"/>
        </w:rPr>
        <w:t>d</w:t>
      </w:r>
      <w:r w:rsidR="00D20360">
        <w:rPr>
          <w:b w:val="0"/>
        </w:rPr>
        <w:t xml:space="preserve"> the average </w:t>
      </w:r>
      <w:r w:rsidR="00AC41CA">
        <w:rPr>
          <w:b w:val="0"/>
        </w:rPr>
        <w:t xml:space="preserve">number </w:t>
      </w:r>
      <w:r w:rsidR="00D20360">
        <w:rPr>
          <w:b w:val="0"/>
        </w:rPr>
        <w:t xml:space="preserve">of </w:t>
      </w:r>
      <w:r w:rsidR="000F4AE1">
        <w:rPr>
          <w:b w:val="0"/>
        </w:rPr>
        <w:t xml:space="preserve">responses and </w:t>
      </w:r>
      <w:r w:rsidR="00D20360">
        <w:rPr>
          <w:b w:val="0"/>
        </w:rPr>
        <w:t>hours</w:t>
      </w:r>
      <w:r w:rsidR="000F4AE1">
        <w:rPr>
          <w:b w:val="0"/>
        </w:rPr>
        <w:t xml:space="preserve"> required by the public and the government</w:t>
      </w:r>
      <w:r w:rsidR="00D20360">
        <w:rPr>
          <w:b w:val="0"/>
        </w:rPr>
        <w:t xml:space="preserve"> </w:t>
      </w:r>
      <w:r w:rsidR="000F4AE1">
        <w:rPr>
          <w:b w:val="0"/>
        </w:rPr>
        <w:t>to complete, review, and evaluate the information submitted on</w:t>
      </w:r>
      <w:r w:rsidR="00D20360">
        <w:rPr>
          <w:b w:val="0"/>
        </w:rPr>
        <w:t xml:space="preserve"> each form.  </w:t>
      </w:r>
      <w:r w:rsidR="00AC41CA">
        <w:rPr>
          <w:b w:val="0"/>
        </w:rPr>
        <w:t>Forecasting i</w:t>
      </w:r>
      <w:r w:rsidR="00D20360">
        <w:rPr>
          <w:b w:val="0"/>
        </w:rPr>
        <w:t>s based</w:t>
      </w:r>
      <w:r w:rsidR="00AC41CA">
        <w:rPr>
          <w:b w:val="0"/>
        </w:rPr>
        <w:t xml:space="preserve"> on</w:t>
      </w:r>
      <w:r w:rsidR="00D20360">
        <w:rPr>
          <w:b w:val="0"/>
        </w:rPr>
        <w:t xml:space="preserve"> empirical data for number of actions and salaries.</w:t>
      </w:r>
      <w:r w:rsidR="00A83E7D" w:rsidRPr="00F65B5E">
        <w:rPr>
          <w:b w:val="0"/>
        </w:rPr>
        <w:t xml:space="preserve">  </w:t>
      </w:r>
    </w:p>
    <w:p w:rsidR="00A83E7D" w:rsidRDefault="00A83E7D">
      <w:pPr>
        <w:rPr>
          <w:sz w:val="24"/>
        </w:rPr>
      </w:pPr>
    </w:p>
    <w:sectPr w:rsidR="00A83E7D" w:rsidSect="00142A05">
      <w:footerReference w:type="default" r:id="rId8"/>
      <w:pgSz w:w="12240" w:h="15840"/>
      <w:pgMar w:top="1152" w:right="1800" w:bottom="1152"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1BB" w:rsidRDefault="004321BB">
      <w:r>
        <w:separator/>
      </w:r>
    </w:p>
  </w:endnote>
  <w:endnote w:type="continuationSeparator" w:id="0">
    <w:p w:rsidR="004321BB" w:rsidRDefault="004321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1BB" w:rsidRDefault="006D07D0">
    <w:pPr>
      <w:pStyle w:val="Footer"/>
      <w:framePr w:wrap="auto" w:vAnchor="text" w:hAnchor="margin" w:xAlign="center" w:y="1"/>
      <w:rPr>
        <w:rStyle w:val="PageNumber"/>
      </w:rPr>
    </w:pPr>
    <w:r>
      <w:rPr>
        <w:rStyle w:val="PageNumber"/>
      </w:rPr>
      <w:fldChar w:fldCharType="begin"/>
    </w:r>
    <w:r w:rsidR="004321BB">
      <w:rPr>
        <w:rStyle w:val="PageNumber"/>
      </w:rPr>
      <w:instrText xml:space="preserve">PAGE  </w:instrText>
    </w:r>
    <w:r>
      <w:rPr>
        <w:rStyle w:val="PageNumber"/>
      </w:rPr>
      <w:fldChar w:fldCharType="separate"/>
    </w:r>
    <w:r w:rsidR="00AA18CE">
      <w:rPr>
        <w:rStyle w:val="PageNumber"/>
        <w:noProof/>
      </w:rPr>
      <w:t>3</w:t>
    </w:r>
    <w:r>
      <w:rPr>
        <w:rStyle w:val="PageNumber"/>
      </w:rPr>
      <w:fldChar w:fldCharType="end"/>
    </w:r>
  </w:p>
  <w:p w:rsidR="004321BB" w:rsidRDefault="004321BB">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1BB" w:rsidRDefault="004321BB">
      <w:r>
        <w:separator/>
      </w:r>
    </w:p>
  </w:footnote>
  <w:footnote w:type="continuationSeparator" w:id="0">
    <w:p w:rsidR="004321BB" w:rsidRDefault="004321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5F4793E"/>
    <w:lvl w:ilvl="0">
      <w:numFmt w:val="bullet"/>
      <w:lvlText w:val="*"/>
      <w:lvlJc w:val="left"/>
    </w:lvl>
  </w:abstractNum>
  <w:abstractNum w:abstractNumId="1">
    <w:nsid w:val="04351B0D"/>
    <w:multiLevelType w:val="hybridMultilevel"/>
    <w:tmpl w:val="D3CCBE6E"/>
    <w:lvl w:ilvl="0" w:tplc="33B61F20">
      <w:start w:val="14"/>
      <w:numFmt w:val="decimal"/>
      <w:lvlText w:val="%1."/>
      <w:lvlJc w:val="left"/>
      <w:pPr>
        <w:tabs>
          <w:tab w:val="num" w:pos="720"/>
        </w:tabs>
        <w:ind w:left="720" w:hanging="720"/>
      </w:pPr>
      <w:rPr>
        <w:rFonts w:ascii="Times New Roman" w:hAnsi="Times New Roman" w:cs="Times New Roman"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9CA3707"/>
    <w:multiLevelType w:val="hybridMultilevel"/>
    <w:tmpl w:val="7D98A8A4"/>
    <w:lvl w:ilvl="0" w:tplc="E7BE1644">
      <w:start w:val="14"/>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3800047F"/>
    <w:multiLevelType w:val="hybridMultilevel"/>
    <w:tmpl w:val="C436F7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627C3D"/>
    <w:multiLevelType w:val="hybridMultilevel"/>
    <w:tmpl w:val="7C0A1A40"/>
    <w:lvl w:ilvl="0" w:tplc="2A9AD4E8">
      <w:start w:val="16"/>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4E4C44"/>
    <w:rsid w:val="000F4AE1"/>
    <w:rsid w:val="00142A05"/>
    <w:rsid w:val="001672BA"/>
    <w:rsid w:val="001F1D09"/>
    <w:rsid w:val="00237866"/>
    <w:rsid w:val="002609EC"/>
    <w:rsid w:val="002837B9"/>
    <w:rsid w:val="002D7723"/>
    <w:rsid w:val="003307E2"/>
    <w:rsid w:val="003410B6"/>
    <w:rsid w:val="003701E0"/>
    <w:rsid w:val="003B7FE1"/>
    <w:rsid w:val="003E7476"/>
    <w:rsid w:val="004321BB"/>
    <w:rsid w:val="00452DAF"/>
    <w:rsid w:val="00456A3F"/>
    <w:rsid w:val="00457182"/>
    <w:rsid w:val="00492189"/>
    <w:rsid w:val="004B1E0C"/>
    <w:rsid w:val="004C65C9"/>
    <w:rsid w:val="004D79F8"/>
    <w:rsid w:val="004E122F"/>
    <w:rsid w:val="004E4C44"/>
    <w:rsid w:val="00510AC3"/>
    <w:rsid w:val="0053229C"/>
    <w:rsid w:val="00534BCA"/>
    <w:rsid w:val="0055232D"/>
    <w:rsid w:val="005A040C"/>
    <w:rsid w:val="00607980"/>
    <w:rsid w:val="006173D1"/>
    <w:rsid w:val="00655727"/>
    <w:rsid w:val="00655F1B"/>
    <w:rsid w:val="00661399"/>
    <w:rsid w:val="006D07D0"/>
    <w:rsid w:val="006E3295"/>
    <w:rsid w:val="007423A9"/>
    <w:rsid w:val="0077369C"/>
    <w:rsid w:val="007B1A09"/>
    <w:rsid w:val="008029E2"/>
    <w:rsid w:val="00804E57"/>
    <w:rsid w:val="008257A9"/>
    <w:rsid w:val="00830DB0"/>
    <w:rsid w:val="008467F5"/>
    <w:rsid w:val="008504F2"/>
    <w:rsid w:val="00854FAE"/>
    <w:rsid w:val="00870C7F"/>
    <w:rsid w:val="00887B21"/>
    <w:rsid w:val="008B2B18"/>
    <w:rsid w:val="0091363D"/>
    <w:rsid w:val="00930513"/>
    <w:rsid w:val="009308F9"/>
    <w:rsid w:val="00950001"/>
    <w:rsid w:val="009979E3"/>
    <w:rsid w:val="009D70C0"/>
    <w:rsid w:val="009F0889"/>
    <w:rsid w:val="009F4C69"/>
    <w:rsid w:val="00A27207"/>
    <w:rsid w:val="00A36E70"/>
    <w:rsid w:val="00A415AD"/>
    <w:rsid w:val="00A57A06"/>
    <w:rsid w:val="00A83E7D"/>
    <w:rsid w:val="00A83F78"/>
    <w:rsid w:val="00AA18CE"/>
    <w:rsid w:val="00AC41CA"/>
    <w:rsid w:val="00AC759D"/>
    <w:rsid w:val="00AC7CC2"/>
    <w:rsid w:val="00B30857"/>
    <w:rsid w:val="00B75DEB"/>
    <w:rsid w:val="00BD09EB"/>
    <w:rsid w:val="00C259B4"/>
    <w:rsid w:val="00CC0BF7"/>
    <w:rsid w:val="00CD1919"/>
    <w:rsid w:val="00CF2505"/>
    <w:rsid w:val="00D05494"/>
    <w:rsid w:val="00D20360"/>
    <w:rsid w:val="00D70A94"/>
    <w:rsid w:val="00D85AF4"/>
    <w:rsid w:val="00DC4DAC"/>
    <w:rsid w:val="00DF0BAB"/>
    <w:rsid w:val="00E92C6B"/>
    <w:rsid w:val="00EE3997"/>
    <w:rsid w:val="00F65B5E"/>
    <w:rsid w:val="00F85102"/>
    <w:rsid w:val="00FE0E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A05"/>
    <w:pPr>
      <w:overflowPunct w:val="0"/>
      <w:autoSpaceDE w:val="0"/>
      <w:autoSpaceDN w:val="0"/>
      <w:adjustRightInd w:val="0"/>
      <w:textAlignment w:val="baseline"/>
    </w:pPr>
  </w:style>
  <w:style w:type="paragraph" w:styleId="Heading1">
    <w:name w:val="heading 1"/>
    <w:basedOn w:val="Normal"/>
    <w:next w:val="Normal"/>
    <w:qFormat/>
    <w:rsid w:val="00142A05"/>
    <w:pPr>
      <w:keepNext/>
      <w:outlineLvl w:val="0"/>
    </w:pPr>
    <w:rPr>
      <w:b/>
      <w:sz w:val="24"/>
      <w:u w:val="single"/>
    </w:rPr>
  </w:style>
  <w:style w:type="paragraph" w:styleId="Heading2">
    <w:name w:val="heading 2"/>
    <w:basedOn w:val="Normal"/>
    <w:next w:val="Normal"/>
    <w:qFormat/>
    <w:rsid w:val="00142A05"/>
    <w:pPr>
      <w:keepNext/>
      <w:outlineLvl w:val="1"/>
    </w:pPr>
    <w:rPr>
      <w:b/>
      <w:sz w:val="24"/>
    </w:rPr>
  </w:style>
  <w:style w:type="paragraph" w:styleId="Heading3">
    <w:name w:val="heading 3"/>
    <w:basedOn w:val="Normal"/>
    <w:next w:val="Normal"/>
    <w:qFormat/>
    <w:rsid w:val="00142A05"/>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42A05"/>
  </w:style>
  <w:style w:type="character" w:styleId="FootnoteReference">
    <w:name w:val="footnote reference"/>
    <w:basedOn w:val="DefaultParagraphFont"/>
    <w:semiHidden/>
    <w:rsid w:val="00142A05"/>
    <w:rPr>
      <w:vertAlign w:val="superscript"/>
    </w:rPr>
  </w:style>
  <w:style w:type="paragraph" w:styleId="BodyText">
    <w:name w:val="Body Text"/>
    <w:basedOn w:val="Normal"/>
    <w:rsid w:val="00142A05"/>
    <w:pPr>
      <w:jc w:val="center"/>
    </w:pPr>
    <w:rPr>
      <w:rFonts w:ascii="Arial" w:hAnsi="Arial"/>
      <w:b/>
      <w:sz w:val="24"/>
    </w:rPr>
  </w:style>
  <w:style w:type="paragraph" w:styleId="BodyText2">
    <w:name w:val="Body Text 2"/>
    <w:basedOn w:val="Normal"/>
    <w:rsid w:val="00142A05"/>
    <w:rPr>
      <w:b/>
      <w:sz w:val="24"/>
    </w:rPr>
  </w:style>
  <w:style w:type="paragraph" w:styleId="Header">
    <w:name w:val="header"/>
    <w:basedOn w:val="Normal"/>
    <w:rsid w:val="00142A05"/>
    <w:pPr>
      <w:tabs>
        <w:tab w:val="center" w:pos="4320"/>
        <w:tab w:val="right" w:pos="8640"/>
      </w:tabs>
    </w:pPr>
  </w:style>
  <w:style w:type="paragraph" w:styleId="Footer">
    <w:name w:val="footer"/>
    <w:basedOn w:val="Normal"/>
    <w:rsid w:val="00142A05"/>
    <w:pPr>
      <w:tabs>
        <w:tab w:val="center" w:pos="4320"/>
        <w:tab w:val="right" w:pos="8640"/>
      </w:tabs>
    </w:pPr>
  </w:style>
  <w:style w:type="character" w:styleId="PageNumber">
    <w:name w:val="page number"/>
    <w:basedOn w:val="DefaultParagraphFont"/>
    <w:rsid w:val="00142A05"/>
  </w:style>
  <w:style w:type="character" w:styleId="CommentReference">
    <w:name w:val="annotation reference"/>
    <w:basedOn w:val="DefaultParagraphFont"/>
    <w:rsid w:val="00E92C6B"/>
    <w:rPr>
      <w:sz w:val="16"/>
      <w:szCs w:val="16"/>
    </w:rPr>
  </w:style>
  <w:style w:type="paragraph" w:styleId="CommentText">
    <w:name w:val="annotation text"/>
    <w:basedOn w:val="Normal"/>
    <w:link w:val="CommentTextChar"/>
    <w:rsid w:val="00E92C6B"/>
  </w:style>
  <w:style w:type="character" w:customStyle="1" w:styleId="CommentTextChar">
    <w:name w:val="Comment Text Char"/>
    <w:basedOn w:val="DefaultParagraphFont"/>
    <w:link w:val="CommentText"/>
    <w:rsid w:val="00E92C6B"/>
  </w:style>
  <w:style w:type="paragraph" w:styleId="CommentSubject">
    <w:name w:val="annotation subject"/>
    <w:basedOn w:val="CommentText"/>
    <w:next w:val="CommentText"/>
    <w:link w:val="CommentSubjectChar"/>
    <w:rsid w:val="00E92C6B"/>
    <w:rPr>
      <w:b/>
      <w:bCs/>
    </w:rPr>
  </w:style>
  <w:style w:type="character" w:customStyle="1" w:styleId="CommentSubjectChar">
    <w:name w:val="Comment Subject Char"/>
    <w:basedOn w:val="CommentTextChar"/>
    <w:link w:val="CommentSubject"/>
    <w:rsid w:val="00E92C6B"/>
    <w:rPr>
      <w:b/>
      <w:bCs/>
    </w:rPr>
  </w:style>
  <w:style w:type="paragraph" w:styleId="BalloonText">
    <w:name w:val="Balloon Text"/>
    <w:basedOn w:val="Normal"/>
    <w:link w:val="BalloonTextChar"/>
    <w:rsid w:val="00E92C6B"/>
    <w:rPr>
      <w:rFonts w:ascii="Tahoma" w:hAnsi="Tahoma" w:cs="Tahoma"/>
      <w:sz w:val="16"/>
      <w:szCs w:val="16"/>
    </w:rPr>
  </w:style>
  <w:style w:type="character" w:customStyle="1" w:styleId="BalloonTextChar">
    <w:name w:val="Balloon Text Char"/>
    <w:basedOn w:val="DefaultParagraphFont"/>
    <w:link w:val="BalloonText"/>
    <w:rsid w:val="00E92C6B"/>
    <w:rPr>
      <w:rFonts w:ascii="Tahoma" w:hAnsi="Tahoma" w:cs="Tahoma"/>
      <w:sz w:val="16"/>
      <w:szCs w:val="16"/>
    </w:rPr>
  </w:style>
  <w:style w:type="paragraph" w:styleId="Revision">
    <w:name w:val="Revision"/>
    <w:hidden/>
    <w:uiPriority w:val="99"/>
    <w:semiHidden/>
    <w:rsid w:val="009F4C69"/>
  </w:style>
  <w:style w:type="paragraph" w:styleId="ListParagraph">
    <w:name w:val="List Paragraph"/>
    <w:basedOn w:val="Normal"/>
    <w:uiPriority w:val="34"/>
    <w:qFormat/>
    <w:rsid w:val="00950001"/>
    <w:pPr>
      <w:ind w:left="720"/>
      <w:contextualSpacing/>
    </w:pPr>
  </w:style>
</w:styles>
</file>

<file path=word/webSettings.xml><?xml version="1.0" encoding="utf-8"?>
<w:webSettings xmlns:r="http://schemas.openxmlformats.org/officeDocument/2006/relationships" xmlns:w="http://schemas.openxmlformats.org/wordprocessingml/2006/main">
  <w:divs>
    <w:div w:id="1051001221">
      <w:bodyDiv w:val="1"/>
      <w:marLeft w:val="0"/>
      <w:marRight w:val="0"/>
      <w:marTop w:val="0"/>
      <w:marBottom w:val="0"/>
      <w:divBdr>
        <w:top w:val="none" w:sz="0" w:space="0" w:color="auto"/>
        <w:left w:val="none" w:sz="0" w:space="0" w:color="auto"/>
        <w:bottom w:val="none" w:sz="0" w:space="0" w:color="auto"/>
        <w:right w:val="none" w:sz="0" w:space="0" w:color="auto"/>
      </w:divBdr>
    </w:div>
    <w:div w:id="1553619410">
      <w:bodyDiv w:val="1"/>
      <w:marLeft w:val="0"/>
      <w:marRight w:val="0"/>
      <w:marTop w:val="0"/>
      <w:marBottom w:val="0"/>
      <w:divBdr>
        <w:top w:val="none" w:sz="0" w:space="0" w:color="auto"/>
        <w:left w:val="none" w:sz="0" w:space="0" w:color="auto"/>
        <w:bottom w:val="none" w:sz="0" w:space="0" w:color="auto"/>
        <w:right w:val="none" w:sz="0" w:space="0" w:color="auto"/>
      </w:divBdr>
    </w:div>
    <w:div w:id="158834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0E7B99-A815-4812-A04D-2EFA249D8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1171</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Information Collection: GSA Form 1364, Proposal to Lease Space</vt:lpstr>
    </vt:vector>
  </TitlesOfParts>
  <Company>Litton/PRC, Inc.</Company>
  <LinksUpToDate>false</LinksUpToDate>
  <CharactersWithSpaces>8138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GSA Form 1364, Proposal to Lease Space</dc:title>
  <dc:creator>GSA Seat Management</dc:creator>
  <cp:lastModifiedBy>CherriaPDay</cp:lastModifiedBy>
  <cp:revision>4</cp:revision>
  <cp:lastPrinted>2012-12-21T14:39:00Z</cp:lastPrinted>
  <dcterms:created xsi:type="dcterms:W3CDTF">2012-12-21T14:39:00Z</dcterms:created>
  <dcterms:modified xsi:type="dcterms:W3CDTF">2013-03-07T14:29:00Z</dcterms:modified>
</cp:coreProperties>
</file>