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37" w:rsidRDefault="00C00837" w:rsidP="00C00837">
      <w:pPr>
        <w:widowControl w:val="0"/>
        <w:tabs>
          <w:tab w:val="left" w:pos="5490"/>
        </w:tabs>
        <w:suppressAutoHyphens/>
        <w:jc w:val="center"/>
        <w:rPr>
          <w:bCs/>
          <w:sz w:val="32"/>
          <w:szCs w:val="32"/>
        </w:rPr>
      </w:pPr>
      <w:bookmarkStart w:id="0" w:name="_GoBack"/>
      <w:bookmarkEnd w:id="0"/>
    </w:p>
    <w:p w:rsidR="00C00837" w:rsidRDefault="00C00837" w:rsidP="00C00837">
      <w:pPr>
        <w:widowControl w:val="0"/>
        <w:suppressAutoHyphens/>
        <w:jc w:val="center"/>
        <w:rPr>
          <w:bCs/>
          <w:sz w:val="32"/>
          <w:szCs w:val="32"/>
        </w:rPr>
      </w:pPr>
    </w:p>
    <w:p w:rsidR="00C00837" w:rsidRDefault="00C00837" w:rsidP="00C00837">
      <w:pPr>
        <w:widowControl w:val="0"/>
        <w:suppressAutoHyphens/>
        <w:jc w:val="center"/>
        <w:rPr>
          <w:bCs/>
          <w:sz w:val="32"/>
          <w:szCs w:val="32"/>
        </w:rPr>
      </w:pPr>
    </w:p>
    <w:p w:rsidR="00C00837" w:rsidRDefault="00C00837" w:rsidP="00C00837">
      <w:pPr>
        <w:widowControl w:val="0"/>
        <w:suppressAutoHyphens/>
        <w:jc w:val="center"/>
        <w:rPr>
          <w:bCs/>
          <w:sz w:val="32"/>
          <w:szCs w:val="32"/>
        </w:rPr>
      </w:pPr>
    </w:p>
    <w:p w:rsidR="00C00837" w:rsidRDefault="00F84E4D" w:rsidP="00C00837">
      <w:pPr>
        <w:widowControl w:val="0"/>
        <w:suppressAutoHyphens/>
        <w:jc w:val="center"/>
        <w:rPr>
          <w:bCs/>
          <w:sz w:val="32"/>
          <w:szCs w:val="32"/>
        </w:rPr>
      </w:pPr>
      <w:r>
        <w:rPr>
          <w:bCs/>
          <w:sz w:val="32"/>
          <w:szCs w:val="32"/>
        </w:rPr>
        <w:t>2700-0150</w:t>
      </w:r>
    </w:p>
    <w:p w:rsidR="00C00837" w:rsidRPr="00A30497" w:rsidRDefault="00C00837" w:rsidP="00C00837">
      <w:pPr>
        <w:widowControl w:val="0"/>
        <w:suppressAutoHyphens/>
        <w:jc w:val="center"/>
        <w:rPr>
          <w:bCs/>
          <w:sz w:val="32"/>
          <w:szCs w:val="32"/>
        </w:rPr>
      </w:pPr>
      <w:r w:rsidRPr="00A30497">
        <w:rPr>
          <w:bCs/>
          <w:sz w:val="32"/>
          <w:szCs w:val="32"/>
        </w:rPr>
        <w:t>SUPPORTING STATEMENT</w:t>
      </w:r>
    </w:p>
    <w:p w:rsidR="00C00837" w:rsidRPr="00A30497" w:rsidRDefault="00C00837" w:rsidP="00C00837">
      <w:pPr>
        <w:widowControl w:val="0"/>
        <w:suppressAutoHyphens/>
        <w:jc w:val="center"/>
        <w:rPr>
          <w:bCs/>
          <w:sz w:val="32"/>
          <w:szCs w:val="32"/>
        </w:rPr>
      </w:pPr>
      <w:r w:rsidRPr="00A30497">
        <w:rPr>
          <w:bCs/>
          <w:sz w:val="32"/>
          <w:szCs w:val="32"/>
        </w:rPr>
        <w:t>FOR OMB CLEARANCE</w:t>
      </w:r>
    </w:p>
    <w:p w:rsidR="00C00837" w:rsidRPr="00A30497" w:rsidRDefault="00C00837" w:rsidP="00C00837">
      <w:pPr>
        <w:widowControl w:val="0"/>
        <w:suppressAutoHyphens/>
        <w:jc w:val="center"/>
        <w:rPr>
          <w:sz w:val="32"/>
          <w:szCs w:val="32"/>
        </w:rPr>
      </w:pPr>
      <w:r w:rsidRPr="00A30497">
        <w:rPr>
          <w:sz w:val="32"/>
          <w:szCs w:val="32"/>
        </w:rPr>
        <w:t>PART A</w:t>
      </w: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sz w:val="32"/>
          <w:szCs w:val="32"/>
        </w:rPr>
      </w:pPr>
    </w:p>
    <w:p w:rsidR="00405E96" w:rsidRPr="00A30497" w:rsidRDefault="00C00837" w:rsidP="00C00837">
      <w:pPr>
        <w:widowControl w:val="0"/>
        <w:suppressAutoHyphens/>
        <w:jc w:val="center"/>
        <w:rPr>
          <w:sz w:val="32"/>
          <w:szCs w:val="32"/>
        </w:rPr>
      </w:pPr>
      <w:r w:rsidRPr="00A30497">
        <w:rPr>
          <w:sz w:val="32"/>
          <w:szCs w:val="32"/>
        </w:rPr>
        <w:t xml:space="preserve">NASA Summer of Innovation </w:t>
      </w:r>
    </w:p>
    <w:p w:rsidR="00405E96" w:rsidRPr="00A30497" w:rsidRDefault="00405E96" w:rsidP="00C00837">
      <w:pPr>
        <w:widowControl w:val="0"/>
        <w:suppressAutoHyphens/>
        <w:jc w:val="center"/>
        <w:rPr>
          <w:sz w:val="32"/>
          <w:szCs w:val="32"/>
        </w:rPr>
      </w:pPr>
    </w:p>
    <w:p w:rsidR="00C00837" w:rsidRPr="00A30497" w:rsidRDefault="0024495F" w:rsidP="00C00837">
      <w:pPr>
        <w:widowControl w:val="0"/>
        <w:suppressAutoHyphens/>
        <w:jc w:val="center"/>
        <w:rPr>
          <w:sz w:val="32"/>
          <w:szCs w:val="32"/>
        </w:rPr>
      </w:pPr>
      <w:r w:rsidRPr="00A30497">
        <w:rPr>
          <w:sz w:val="32"/>
          <w:szCs w:val="32"/>
        </w:rPr>
        <w:t>FY201</w:t>
      </w:r>
      <w:r w:rsidR="00405E96" w:rsidRPr="00A30497">
        <w:rPr>
          <w:sz w:val="32"/>
          <w:szCs w:val="32"/>
        </w:rPr>
        <w:t>3 EVALUATION DATA COLLECTION</w:t>
      </w: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sz w:val="32"/>
          <w:szCs w:val="32"/>
        </w:rPr>
      </w:pPr>
      <w:r w:rsidRPr="00A30497">
        <w:rPr>
          <w:sz w:val="32"/>
          <w:szCs w:val="32"/>
        </w:rPr>
        <w:t>National Aeronautics and Science Administration</w:t>
      </w:r>
    </w:p>
    <w:p w:rsidR="00C00837" w:rsidRPr="00A30497" w:rsidRDefault="00C00837" w:rsidP="00C00837">
      <w:pPr>
        <w:widowControl w:val="0"/>
        <w:suppressAutoHyphens/>
        <w:jc w:val="center"/>
        <w:rPr>
          <w:sz w:val="32"/>
          <w:szCs w:val="32"/>
        </w:rPr>
      </w:pPr>
    </w:p>
    <w:p w:rsidR="00C00837" w:rsidRPr="00A30497" w:rsidRDefault="00C00837" w:rsidP="00C00837">
      <w:pPr>
        <w:widowControl w:val="0"/>
        <w:suppressAutoHyphens/>
        <w:jc w:val="center"/>
        <w:rPr>
          <w:b/>
          <w:bCs/>
          <w:sz w:val="32"/>
          <w:szCs w:val="32"/>
        </w:rPr>
      </w:pPr>
    </w:p>
    <w:p w:rsidR="00777223" w:rsidRPr="00755AA4" w:rsidRDefault="00777223" w:rsidP="00777223">
      <w:pPr>
        <w:widowControl w:val="0"/>
        <w:suppressAutoHyphens/>
        <w:jc w:val="center"/>
        <w:rPr>
          <w:sz w:val="32"/>
          <w:szCs w:val="32"/>
        </w:rPr>
      </w:pPr>
      <w:r w:rsidRPr="00755AA4">
        <w:rPr>
          <w:sz w:val="32"/>
          <w:szCs w:val="32"/>
        </w:rPr>
        <w:t>October 30, 2012</w:t>
      </w:r>
    </w:p>
    <w:p w:rsidR="00C00837" w:rsidRPr="00A30497" w:rsidRDefault="00777223" w:rsidP="00C00837">
      <w:pPr>
        <w:widowControl w:val="0"/>
        <w:suppressAutoHyphens/>
        <w:jc w:val="center"/>
        <w:rPr>
          <w:sz w:val="32"/>
          <w:szCs w:val="32"/>
        </w:rPr>
      </w:pPr>
      <w:r>
        <w:rPr>
          <w:sz w:val="32"/>
          <w:szCs w:val="32"/>
        </w:rPr>
        <w:t xml:space="preserve">(Revised </w:t>
      </w:r>
      <w:r w:rsidR="003424FC">
        <w:rPr>
          <w:sz w:val="32"/>
          <w:szCs w:val="32"/>
        </w:rPr>
        <w:t xml:space="preserve">January </w:t>
      </w:r>
      <w:r w:rsidR="00697C3E">
        <w:rPr>
          <w:sz w:val="32"/>
          <w:szCs w:val="32"/>
        </w:rPr>
        <w:t>2</w:t>
      </w:r>
      <w:r w:rsidR="00650AB4">
        <w:rPr>
          <w:sz w:val="32"/>
          <w:szCs w:val="32"/>
        </w:rPr>
        <w:t>4</w:t>
      </w:r>
      <w:r w:rsidR="003424FC">
        <w:rPr>
          <w:sz w:val="32"/>
          <w:szCs w:val="32"/>
        </w:rPr>
        <w:t>, 2013</w:t>
      </w:r>
      <w:r>
        <w:rPr>
          <w:sz w:val="32"/>
          <w:szCs w:val="32"/>
        </w:rPr>
        <w:t>)</w:t>
      </w:r>
    </w:p>
    <w:p w:rsidR="00C00837" w:rsidRPr="00A30497" w:rsidRDefault="00C00837" w:rsidP="00C00837">
      <w:pPr>
        <w:pStyle w:val="EndnoteText"/>
        <w:jc w:val="center"/>
        <w:rPr>
          <w:sz w:val="32"/>
          <w:szCs w:val="32"/>
        </w:rPr>
      </w:pPr>
    </w:p>
    <w:p w:rsidR="00C00837" w:rsidRPr="00A30497" w:rsidRDefault="00C00837" w:rsidP="00C00837">
      <w:pPr>
        <w:widowControl w:val="0"/>
        <w:suppressAutoHyphens/>
        <w:jc w:val="both"/>
        <w:rPr>
          <w:szCs w:val="24"/>
        </w:rPr>
      </w:pPr>
    </w:p>
    <w:p w:rsidR="00C00837" w:rsidRPr="00A30497" w:rsidRDefault="00C00837" w:rsidP="00C00837">
      <w:pPr>
        <w:widowControl w:val="0"/>
        <w:suppressAutoHyphens/>
        <w:jc w:val="both"/>
        <w:rPr>
          <w:szCs w:val="24"/>
        </w:rPr>
      </w:pPr>
    </w:p>
    <w:p w:rsidR="00C00837" w:rsidRPr="00A30497" w:rsidRDefault="00C00837" w:rsidP="00C00837">
      <w:pPr>
        <w:pStyle w:val="AbtHeadA"/>
        <w:spacing w:after="240"/>
      </w:pPr>
    </w:p>
    <w:p w:rsidR="00C00837" w:rsidRPr="00A30497" w:rsidRDefault="00C00837" w:rsidP="00C00837">
      <w:pPr>
        <w:pStyle w:val="AbtHeadA"/>
        <w:spacing w:after="240"/>
      </w:pPr>
    </w:p>
    <w:p w:rsidR="00C00837" w:rsidRPr="00A30497" w:rsidRDefault="00C00837" w:rsidP="00C00837">
      <w:pPr>
        <w:pStyle w:val="BodyText"/>
        <w:tabs>
          <w:tab w:val="clear" w:pos="1080"/>
          <w:tab w:val="clear" w:pos="1440"/>
          <w:tab w:val="clear" w:pos="1800"/>
          <w:tab w:val="right" w:leader="dot" w:pos="9270"/>
        </w:tabs>
        <w:ind w:right="432"/>
      </w:pPr>
    </w:p>
    <w:p w:rsidR="00C00837" w:rsidRPr="00A30497" w:rsidRDefault="00C00837" w:rsidP="00C00837"/>
    <w:p w:rsidR="00C00837" w:rsidRPr="00A30497" w:rsidRDefault="00C00837" w:rsidP="00C00837">
      <w:pPr>
        <w:sectPr w:rsidR="00C00837" w:rsidRPr="00A30497" w:rsidSect="00C00837">
          <w:footerReference w:type="even" r:id="rId9"/>
          <w:footerReference w:type="default" r:id="rId10"/>
          <w:footerReference w:type="first" r:id="rId11"/>
          <w:pgSz w:w="12240" w:h="15840" w:code="1"/>
          <w:pgMar w:top="1440" w:right="1440" w:bottom="1008" w:left="1440" w:header="720" w:footer="576" w:gutter="0"/>
          <w:pgNumType w:fmt="lowerRoman" w:start="1"/>
          <w:cols w:space="720"/>
        </w:sectPr>
      </w:pPr>
    </w:p>
    <w:p w:rsidR="00C00837" w:rsidRPr="00A30497" w:rsidRDefault="00145291" w:rsidP="00BA3634">
      <w:pPr>
        <w:pStyle w:val="AbtHeadA"/>
        <w:spacing w:after="240"/>
        <w:rPr>
          <w:rFonts w:ascii="Times New Roman" w:hAnsi="Times New Roman"/>
        </w:rPr>
      </w:pPr>
      <w:bookmarkStart w:id="1" w:name="_Toc534193417"/>
      <w:bookmarkStart w:id="2" w:name="_Toc8118876"/>
      <w:bookmarkStart w:id="3" w:name="_Toc81803506"/>
      <w:bookmarkStart w:id="4" w:name="_Toc88301177"/>
      <w:bookmarkStart w:id="5" w:name="_Toc213748171"/>
      <w:bookmarkStart w:id="6" w:name="_Toc341972151"/>
      <w:r>
        <w:rPr>
          <w:rFonts w:ascii="Times New Roman" w:hAnsi="Times New Roman"/>
        </w:rPr>
        <w:lastRenderedPageBreak/>
        <w:t>P</w:t>
      </w:r>
      <w:r w:rsidR="00C00837" w:rsidRPr="00A30497">
        <w:rPr>
          <w:rFonts w:ascii="Times New Roman" w:hAnsi="Times New Roman"/>
        </w:rPr>
        <w:t>art A</w:t>
      </w:r>
      <w:bookmarkEnd w:id="1"/>
      <w:bookmarkEnd w:id="2"/>
      <w:bookmarkEnd w:id="3"/>
      <w:r w:rsidR="00C00837" w:rsidRPr="00A30497">
        <w:rPr>
          <w:rFonts w:ascii="Times New Roman" w:hAnsi="Times New Roman"/>
        </w:rPr>
        <w:t>:</w:t>
      </w:r>
      <w:bookmarkStart w:id="7" w:name="_Toc8118877"/>
      <w:bookmarkStart w:id="8" w:name="_Toc81803507"/>
      <w:r w:rsidR="00C00837" w:rsidRPr="00A30497">
        <w:rPr>
          <w:rFonts w:ascii="Times New Roman" w:hAnsi="Times New Roman"/>
        </w:rPr>
        <w:tab/>
        <w:t>Justification</w:t>
      </w:r>
      <w:bookmarkEnd w:id="4"/>
      <w:bookmarkEnd w:id="5"/>
      <w:bookmarkEnd w:id="6"/>
      <w:bookmarkEnd w:id="7"/>
      <w:bookmarkEnd w:id="8"/>
    </w:p>
    <w:p w:rsidR="00DB79F4" w:rsidRPr="007D6D77" w:rsidRDefault="006F3AE2" w:rsidP="00DB79F4">
      <w:pPr>
        <w:pStyle w:val="BodyText"/>
        <w:rPr>
          <w:szCs w:val="22"/>
        </w:rPr>
      </w:pPr>
      <w:bookmarkStart w:id="9" w:name="_Toc8118878"/>
      <w:bookmarkStart w:id="10" w:name="_Toc81803508"/>
      <w:bookmarkStart w:id="11" w:name="_Toc88301178"/>
      <w:bookmarkStart w:id="12" w:name="_Toc213748172"/>
      <w:r w:rsidRPr="00A30497">
        <w:rPr>
          <w:szCs w:val="22"/>
        </w:rPr>
        <w:t xml:space="preserve">The National Aeronautics and Space Administration (NASA) Office of Education, requests that the Office of Management and Budget (OMB) approve, under the </w:t>
      </w:r>
      <w:r w:rsidRPr="00A30497">
        <w:rPr>
          <w:i/>
          <w:szCs w:val="22"/>
        </w:rPr>
        <w:t>Paperwork Reduction Act of 1995</w:t>
      </w:r>
      <w:r w:rsidRPr="00A30497">
        <w:rPr>
          <w:szCs w:val="22"/>
        </w:rPr>
        <w:t xml:space="preserve">, a clearance for NASA to collect parent survey, </w:t>
      </w:r>
      <w:r w:rsidR="008552CE" w:rsidRPr="00A30497">
        <w:rPr>
          <w:szCs w:val="22"/>
        </w:rPr>
        <w:t>youth</w:t>
      </w:r>
      <w:r w:rsidR="00D80D41" w:rsidRPr="00A30497">
        <w:rPr>
          <w:szCs w:val="22"/>
        </w:rPr>
        <w:t xml:space="preserve"> survey</w:t>
      </w:r>
      <w:r w:rsidRPr="00A30497">
        <w:rPr>
          <w:szCs w:val="22"/>
        </w:rPr>
        <w:t xml:space="preserve">, and teacher focus group data as part of an implementation/outcome evaluation study of NASA’s Summer of Innovation (SoI) Project FY2013.  </w:t>
      </w:r>
      <w:r w:rsidR="00DB79F4" w:rsidRPr="00A30497">
        <w:rPr>
          <w:szCs w:val="22"/>
        </w:rPr>
        <w:t xml:space="preserve">The Summer of Innovation engages and supports external partners in the delivery of evidence-based summer engagement opportunities in STEM to youth from underserved/underrepresented populations with the intent of increasing interest and participation in STEM and contributing toward the national-level impact of increased numbers of high school </w:t>
      </w:r>
      <w:r w:rsidR="00DB79F4" w:rsidRPr="007D6D77">
        <w:rPr>
          <w:szCs w:val="22"/>
        </w:rPr>
        <w:t>graduates pursuing STEM majors and careers.</w:t>
      </w:r>
    </w:p>
    <w:p w:rsidR="00DB79F4" w:rsidRPr="007D6D77" w:rsidRDefault="00DB79F4" w:rsidP="00DB79F4">
      <w:pPr>
        <w:pStyle w:val="BodyText"/>
        <w:rPr>
          <w:szCs w:val="18"/>
        </w:rPr>
      </w:pPr>
    </w:p>
    <w:p w:rsidR="00AF0C0A" w:rsidRPr="007D6D77" w:rsidRDefault="00C00837" w:rsidP="00145291">
      <w:pPr>
        <w:pStyle w:val="Heading3"/>
      </w:pPr>
      <w:bookmarkStart w:id="13" w:name="_Toc341972152"/>
      <w:r w:rsidRPr="007D6D77">
        <w:t>A.1</w:t>
      </w:r>
      <w:r w:rsidRPr="007D6D77">
        <w:tab/>
      </w:r>
      <w:bookmarkEnd w:id="9"/>
      <w:bookmarkEnd w:id="10"/>
      <w:bookmarkEnd w:id="11"/>
      <w:bookmarkEnd w:id="12"/>
      <w:r w:rsidR="00AF0C0A" w:rsidRPr="007D6D77">
        <w:t>EXPLAIN THE CIRCUMSTANCES THAT MAKE THE COLLECTION OF INFORMATION NECESSARY.</w:t>
      </w:r>
      <w:bookmarkEnd w:id="13"/>
      <w:r w:rsidR="00AF0C0A" w:rsidRPr="007D6D77">
        <w:t xml:space="preserve">  </w:t>
      </w:r>
      <w:r w:rsidR="00AF0C0A" w:rsidRPr="007D6D77">
        <w:rPr>
          <w:szCs w:val="24"/>
        </w:rPr>
        <w:t xml:space="preserve">IDENTIFY ANY LEGAL OR ADMINISTRATIVE REQUIREMENTS THAT NECESSITATE THE COLLECTION. </w:t>
      </w:r>
    </w:p>
    <w:p w:rsidR="00AF0C0A" w:rsidRPr="007D6D77" w:rsidRDefault="00AF0C0A" w:rsidP="000427C9">
      <w:pPr>
        <w:pStyle w:val="BodyText"/>
        <w:rPr>
          <w:szCs w:val="22"/>
        </w:rPr>
      </w:pPr>
    </w:p>
    <w:p w:rsidR="00B67140" w:rsidRPr="007D6D77" w:rsidRDefault="00C00837" w:rsidP="000427C9">
      <w:pPr>
        <w:pStyle w:val="BodyText"/>
        <w:rPr>
          <w:szCs w:val="22"/>
        </w:rPr>
      </w:pPr>
      <w:r w:rsidRPr="007D6D77">
        <w:rPr>
          <w:szCs w:val="22"/>
        </w:rPr>
        <w:t xml:space="preserve">This clearance request pertains to </w:t>
      </w:r>
      <w:r w:rsidR="00D80D41" w:rsidRPr="007D6D77">
        <w:rPr>
          <w:szCs w:val="22"/>
        </w:rPr>
        <w:t>information</w:t>
      </w:r>
      <w:r w:rsidR="009E28FE" w:rsidRPr="007D6D77">
        <w:rPr>
          <w:szCs w:val="22"/>
        </w:rPr>
        <w:t xml:space="preserve"> collection that </w:t>
      </w:r>
      <w:r w:rsidR="00121336" w:rsidRPr="007D6D77">
        <w:rPr>
          <w:szCs w:val="22"/>
        </w:rPr>
        <w:t>will occur</w:t>
      </w:r>
      <w:r w:rsidR="00A27329" w:rsidRPr="007D6D77">
        <w:rPr>
          <w:szCs w:val="22"/>
        </w:rPr>
        <w:t xml:space="preserve"> between </w:t>
      </w:r>
      <w:r w:rsidR="00184496" w:rsidRPr="007D6D77">
        <w:rPr>
          <w:szCs w:val="22"/>
        </w:rPr>
        <w:t>February</w:t>
      </w:r>
      <w:r w:rsidR="00AC0B8D" w:rsidRPr="007D6D77">
        <w:rPr>
          <w:szCs w:val="22"/>
        </w:rPr>
        <w:t xml:space="preserve"> 1</w:t>
      </w:r>
      <w:r w:rsidR="00F44B4C" w:rsidRPr="007D6D77">
        <w:rPr>
          <w:szCs w:val="22"/>
        </w:rPr>
        <w:t>5</w:t>
      </w:r>
      <w:r w:rsidR="00702986" w:rsidRPr="007D6D77">
        <w:rPr>
          <w:szCs w:val="22"/>
        </w:rPr>
        <w:t xml:space="preserve">, </w:t>
      </w:r>
      <w:r w:rsidR="009E28FE" w:rsidRPr="007D6D77">
        <w:rPr>
          <w:szCs w:val="22"/>
        </w:rPr>
        <w:t>201</w:t>
      </w:r>
      <w:r w:rsidR="00F44B4C" w:rsidRPr="007D6D77">
        <w:rPr>
          <w:szCs w:val="22"/>
        </w:rPr>
        <w:t>3</w:t>
      </w:r>
      <w:r w:rsidR="00A27329" w:rsidRPr="007D6D77">
        <w:rPr>
          <w:szCs w:val="22"/>
        </w:rPr>
        <w:t xml:space="preserve"> and </w:t>
      </w:r>
      <w:r w:rsidR="00F44B4C" w:rsidRPr="007D6D77">
        <w:rPr>
          <w:szCs w:val="22"/>
        </w:rPr>
        <w:t>August 15</w:t>
      </w:r>
      <w:r w:rsidR="00AC0B8D" w:rsidRPr="007D6D77">
        <w:rPr>
          <w:szCs w:val="22"/>
        </w:rPr>
        <w:t>, 2013</w:t>
      </w:r>
      <w:r w:rsidR="009E28FE" w:rsidRPr="007D6D77">
        <w:rPr>
          <w:szCs w:val="22"/>
        </w:rPr>
        <w:t xml:space="preserve">. </w:t>
      </w:r>
      <w:r w:rsidR="00063937" w:rsidRPr="007D6D77">
        <w:rPr>
          <w:szCs w:val="22"/>
        </w:rPr>
        <w:t xml:space="preserve">This </w:t>
      </w:r>
      <w:r w:rsidR="00D80D41" w:rsidRPr="007D6D77">
        <w:rPr>
          <w:szCs w:val="22"/>
        </w:rPr>
        <w:t>information</w:t>
      </w:r>
      <w:r w:rsidR="00063937" w:rsidRPr="007D6D77">
        <w:rPr>
          <w:szCs w:val="22"/>
        </w:rPr>
        <w:t xml:space="preserve"> collection supports an implementation/outcome evaluation of SoI. </w:t>
      </w:r>
      <w:r w:rsidR="003845D3" w:rsidRPr="007D6D77">
        <w:rPr>
          <w:szCs w:val="22"/>
        </w:rPr>
        <w:t>The implementation component of this evaluation is intended to provide information that will inform the continued improvement of this STEM education investment. The outcome evaluation is intended to assess the primary evaluation question of how the SoI experience affects youth engagement with</w:t>
      </w:r>
      <w:r w:rsidR="003D30F8" w:rsidRPr="007D6D77">
        <w:rPr>
          <w:szCs w:val="22"/>
        </w:rPr>
        <w:t xml:space="preserve"> STEM, which includes interest in STEM and participation in STEM activities. </w:t>
      </w:r>
    </w:p>
    <w:p w:rsidR="00B67140" w:rsidRPr="007D6D77" w:rsidRDefault="00B67140" w:rsidP="000427C9">
      <w:pPr>
        <w:pStyle w:val="BodyText"/>
        <w:rPr>
          <w:szCs w:val="22"/>
        </w:rPr>
      </w:pPr>
    </w:p>
    <w:p w:rsidR="00B67140" w:rsidRPr="007D6D77" w:rsidRDefault="00B67140" w:rsidP="000427C9">
      <w:pPr>
        <w:pStyle w:val="BodyText"/>
        <w:rPr>
          <w:szCs w:val="22"/>
        </w:rPr>
      </w:pPr>
      <w:r w:rsidRPr="007D6D77">
        <w:rPr>
          <w:szCs w:val="22"/>
        </w:rPr>
        <w:t>This clearance package revises the SoI evaluation activities previously approved under two OMB control numbers, 2700-0150</w:t>
      </w:r>
      <w:r w:rsidRPr="007D6D77">
        <w:rPr>
          <w:rFonts w:ascii="Calibri" w:hAnsi="Calibri"/>
          <w:szCs w:val="22"/>
        </w:rPr>
        <w:t xml:space="preserve"> </w:t>
      </w:r>
      <w:r w:rsidRPr="007D6D77">
        <w:rPr>
          <w:szCs w:val="22"/>
        </w:rPr>
        <w:t xml:space="preserve">and 2700-0151.  </w:t>
      </w:r>
      <w:r w:rsidR="00866F8B" w:rsidRPr="007D6D77">
        <w:rPr>
          <w:szCs w:val="22"/>
        </w:rPr>
        <w:t xml:space="preserve">NASA was asked by OSTP and OMB to propose a new evaluation design for SoI following two consecutive years of low response rates on surveys associated with the previous evaluation design implemented in FY2010 and FY2011. </w:t>
      </w:r>
      <w:r w:rsidR="00063937" w:rsidRPr="007D6D77">
        <w:rPr>
          <w:szCs w:val="22"/>
        </w:rPr>
        <w:t xml:space="preserve">The </w:t>
      </w:r>
      <w:r w:rsidR="00866F8B" w:rsidRPr="007D6D77">
        <w:rPr>
          <w:szCs w:val="22"/>
        </w:rPr>
        <w:t xml:space="preserve">new </w:t>
      </w:r>
      <w:r w:rsidR="00063937" w:rsidRPr="007D6D77">
        <w:rPr>
          <w:szCs w:val="22"/>
        </w:rPr>
        <w:t xml:space="preserve">design for this evaluation was discussed and agreed upon </w:t>
      </w:r>
      <w:r w:rsidR="00D80D41" w:rsidRPr="007D6D77">
        <w:rPr>
          <w:szCs w:val="22"/>
        </w:rPr>
        <w:t xml:space="preserve">by </w:t>
      </w:r>
      <w:r w:rsidR="00063937" w:rsidRPr="007D6D77">
        <w:rPr>
          <w:szCs w:val="22"/>
        </w:rPr>
        <w:t xml:space="preserve">the NASA Office of Education and OMB/OIRA, with final consensus on the evaluation design and high-level plan reached on October 10, 2012. </w:t>
      </w:r>
    </w:p>
    <w:p w:rsidR="0090584E" w:rsidRPr="007D6D77" w:rsidRDefault="0096282B" w:rsidP="0090584E">
      <w:pPr>
        <w:pStyle w:val="NormalWeb"/>
        <w:rPr>
          <w:rFonts w:ascii="Verdana" w:hAnsi="Verdana"/>
          <w:sz w:val="22"/>
          <w:szCs w:val="22"/>
        </w:rPr>
      </w:pPr>
      <w:r w:rsidRPr="007D6D77">
        <w:rPr>
          <w:sz w:val="22"/>
          <w:szCs w:val="22"/>
        </w:rPr>
        <w:t>Data under this clear</w:t>
      </w:r>
      <w:r w:rsidR="00BD56E7" w:rsidRPr="007D6D77">
        <w:rPr>
          <w:sz w:val="22"/>
          <w:szCs w:val="22"/>
        </w:rPr>
        <w:t xml:space="preserve">ance will be collected during the </w:t>
      </w:r>
      <w:r w:rsidR="00F44B4C" w:rsidRPr="007D6D77">
        <w:rPr>
          <w:sz w:val="22"/>
          <w:szCs w:val="22"/>
        </w:rPr>
        <w:t>third</w:t>
      </w:r>
      <w:r w:rsidR="00BD56E7" w:rsidRPr="007D6D77">
        <w:rPr>
          <w:sz w:val="22"/>
          <w:szCs w:val="22"/>
        </w:rPr>
        <w:t xml:space="preserve"> year of SoI implementation from the </w:t>
      </w:r>
      <w:r w:rsidRPr="007D6D77">
        <w:rPr>
          <w:sz w:val="22"/>
          <w:szCs w:val="22"/>
        </w:rPr>
        <w:t xml:space="preserve">2011 </w:t>
      </w:r>
      <w:r w:rsidR="00625DBE" w:rsidRPr="007D6D77">
        <w:rPr>
          <w:sz w:val="22"/>
          <w:szCs w:val="22"/>
        </w:rPr>
        <w:t xml:space="preserve">cohort of </w:t>
      </w:r>
      <w:r w:rsidRPr="007D6D77">
        <w:rPr>
          <w:sz w:val="22"/>
          <w:szCs w:val="22"/>
        </w:rPr>
        <w:t xml:space="preserve">SoI national </w:t>
      </w:r>
      <w:r w:rsidR="00BD56E7" w:rsidRPr="007D6D77">
        <w:rPr>
          <w:sz w:val="22"/>
          <w:szCs w:val="22"/>
        </w:rPr>
        <w:t xml:space="preserve">awardees </w:t>
      </w:r>
      <w:r w:rsidR="00FF1ADD" w:rsidRPr="007D6D77">
        <w:rPr>
          <w:sz w:val="22"/>
          <w:szCs w:val="22"/>
        </w:rPr>
        <w:t xml:space="preserve">and NASA Centers (collectively referred to as “SoI awardees”) </w:t>
      </w:r>
      <w:r w:rsidR="008552CE" w:rsidRPr="007D6D77">
        <w:rPr>
          <w:sz w:val="22"/>
          <w:szCs w:val="22"/>
        </w:rPr>
        <w:t>who offer stand-alone SoI camps with a minimum dosage of 30 hours of SoI content</w:t>
      </w:r>
      <w:r w:rsidR="00FA41A3" w:rsidRPr="007D6D77">
        <w:rPr>
          <w:sz w:val="22"/>
          <w:szCs w:val="22"/>
          <w:vertAlign w:val="superscript"/>
        </w:rPr>
        <w:footnoteReference w:id="1"/>
      </w:r>
      <w:r w:rsidR="008552CE" w:rsidRPr="007D6D77">
        <w:rPr>
          <w:sz w:val="22"/>
          <w:szCs w:val="22"/>
        </w:rPr>
        <w:t xml:space="preserve"> </w:t>
      </w:r>
      <w:r w:rsidR="006D36EB" w:rsidRPr="007D6D77">
        <w:rPr>
          <w:sz w:val="22"/>
          <w:szCs w:val="22"/>
        </w:rPr>
        <w:t xml:space="preserve">and an expectation of meeting the minimum success criterion of </w:t>
      </w:r>
      <w:r w:rsidR="00192849" w:rsidRPr="007D6D77">
        <w:rPr>
          <w:sz w:val="22"/>
          <w:szCs w:val="22"/>
        </w:rPr>
        <w:t xml:space="preserve">greater than </w:t>
      </w:r>
      <w:r w:rsidR="006D36EB" w:rsidRPr="007D6D77">
        <w:rPr>
          <w:sz w:val="22"/>
          <w:szCs w:val="22"/>
        </w:rPr>
        <w:t>75% of enrolled</w:t>
      </w:r>
      <w:r w:rsidR="00192849" w:rsidRPr="007D6D77">
        <w:rPr>
          <w:sz w:val="22"/>
          <w:szCs w:val="22"/>
        </w:rPr>
        <w:t xml:space="preserve"> students in actual attendance </w:t>
      </w:r>
      <w:r w:rsidR="006D36EB" w:rsidRPr="007D6D77">
        <w:rPr>
          <w:sz w:val="22"/>
          <w:szCs w:val="22"/>
        </w:rPr>
        <w:t>51%</w:t>
      </w:r>
      <w:r w:rsidR="00192849" w:rsidRPr="007D6D77">
        <w:rPr>
          <w:sz w:val="22"/>
          <w:szCs w:val="22"/>
        </w:rPr>
        <w:t xml:space="preserve"> or more</w:t>
      </w:r>
      <w:r w:rsidR="006D36EB" w:rsidRPr="007D6D77">
        <w:rPr>
          <w:sz w:val="22"/>
          <w:szCs w:val="22"/>
        </w:rPr>
        <w:t xml:space="preserve"> of camp time</w:t>
      </w:r>
      <w:r w:rsidR="00192849" w:rsidRPr="007D6D77">
        <w:rPr>
          <w:sz w:val="22"/>
          <w:szCs w:val="22"/>
        </w:rPr>
        <w:t>.</w:t>
      </w:r>
      <w:r w:rsidR="00192849" w:rsidRPr="007D6D77">
        <w:rPr>
          <w:color w:val="000000"/>
          <w:sz w:val="22"/>
          <w:szCs w:val="22"/>
        </w:rPr>
        <w:t xml:space="preserve"> T</w:t>
      </w:r>
      <w:r w:rsidR="00E16612" w:rsidRPr="007D6D77">
        <w:rPr>
          <w:sz w:val="22"/>
          <w:szCs w:val="22"/>
        </w:rPr>
        <w:t>his request</w:t>
      </w:r>
      <w:r w:rsidR="009E28FE" w:rsidRPr="007D6D77">
        <w:rPr>
          <w:sz w:val="22"/>
          <w:szCs w:val="22"/>
        </w:rPr>
        <w:t xml:space="preserve"> includes </w:t>
      </w:r>
      <w:r w:rsidR="008552CE" w:rsidRPr="007D6D77">
        <w:rPr>
          <w:sz w:val="22"/>
          <w:szCs w:val="22"/>
        </w:rPr>
        <w:t xml:space="preserve">the following instruments that </w:t>
      </w:r>
      <w:r w:rsidR="0090584E" w:rsidRPr="007D6D77">
        <w:rPr>
          <w:sz w:val="22"/>
          <w:szCs w:val="22"/>
        </w:rPr>
        <w:t>collect standardized data from 10 or more respondents:</w:t>
      </w:r>
    </w:p>
    <w:p w:rsidR="00184496" w:rsidRPr="007D6D77" w:rsidRDefault="00A17216" w:rsidP="000427C9">
      <w:pPr>
        <w:pStyle w:val="BodyText"/>
        <w:numPr>
          <w:ilvl w:val="0"/>
          <w:numId w:val="10"/>
        </w:numPr>
        <w:spacing w:after="120"/>
        <w:rPr>
          <w:szCs w:val="22"/>
        </w:rPr>
      </w:pPr>
      <w:r w:rsidRPr="007D6D77">
        <w:rPr>
          <w:szCs w:val="22"/>
        </w:rPr>
        <w:t>Parent</w:t>
      </w:r>
      <w:r w:rsidR="00184496" w:rsidRPr="007D6D77">
        <w:rPr>
          <w:szCs w:val="22"/>
        </w:rPr>
        <w:t xml:space="preserve"> </w:t>
      </w:r>
      <w:r w:rsidR="00AC0B8D" w:rsidRPr="007D6D77">
        <w:rPr>
          <w:szCs w:val="22"/>
        </w:rPr>
        <w:t>survey (</w:t>
      </w:r>
      <w:r w:rsidR="00184496" w:rsidRPr="007D6D77">
        <w:rPr>
          <w:szCs w:val="22"/>
        </w:rPr>
        <w:t>Appendi</w:t>
      </w:r>
      <w:r w:rsidR="0090584E" w:rsidRPr="007D6D77">
        <w:rPr>
          <w:szCs w:val="22"/>
        </w:rPr>
        <w:t>x 1; item by item justification provided in Appendix 2</w:t>
      </w:r>
      <w:r w:rsidR="00184496" w:rsidRPr="007D6D77">
        <w:rPr>
          <w:szCs w:val="22"/>
        </w:rPr>
        <w:t>)</w:t>
      </w:r>
    </w:p>
    <w:p w:rsidR="001E1D69" w:rsidRPr="007D6D77" w:rsidRDefault="001E1D69" w:rsidP="000427C9">
      <w:pPr>
        <w:pStyle w:val="BodyText"/>
        <w:numPr>
          <w:ilvl w:val="0"/>
          <w:numId w:val="10"/>
        </w:numPr>
        <w:spacing w:after="120"/>
        <w:rPr>
          <w:szCs w:val="22"/>
        </w:rPr>
      </w:pPr>
      <w:r w:rsidRPr="007D6D77">
        <w:rPr>
          <w:szCs w:val="22"/>
        </w:rPr>
        <w:lastRenderedPageBreak/>
        <w:t xml:space="preserve">Baseline </w:t>
      </w:r>
      <w:r w:rsidR="008552CE" w:rsidRPr="007D6D77">
        <w:rPr>
          <w:szCs w:val="22"/>
        </w:rPr>
        <w:t>youth</w:t>
      </w:r>
      <w:r w:rsidR="00AC0B8D" w:rsidRPr="007D6D77">
        <w:rPr>
          <w:szCs w:val="22"/>
        </w:rPr>
        <w:t xml:space="preserve"> survey</w:t>
      </w:r>
      <w:r w:rsidR="0090584E" w:rsidRPr="007D6D77">
        <w:rPr>
          <w:szCs w:val="22"/>
        </w:rPr>
        <w:t xml:space="preserve"> (Appendix 3; item by item justification provided in Appendix 4)</w:t>
      </w:r>
    </w:p>
    <w:p w:rsidR="00AC0B8D" w:rsidRPr="007D6D77" w:rsidRDefault="001E1D69" w:rsidP="000427C9">
      <w:pPr>
        <w:pStyle w:val="BodyText"/>
        <w:numPr>
          <w:ilvl w:val="0"/>
          <w:numId w:val="10"/>
        </w:numPr>
        <w:spacing w:after="120"/>
        <w:rPr>
          <w:szCs w:val="22"/>
        </w:rPr>
      </w:pPr>
      <w:r w:rsidRPr="007D6D77">
        <w:rPr>
          <w:szCs w:val="22"/>
        </w:rPr>
        <w:t xml:space="preserve">Follow-up </w:t>
      </w:r>
      <w:r w:rsidR="008552CE" w:rsidRPr="007D6D77">
        <w:rPr>
          <w:szCs w:val="22"/>
        </w:rPr>
        <w:t>youth</w:t>
      </w:r>
      <w:r w:rsidRPr="007D6D77">
        <w:rPr>
          <w:szCs w:val="22"/>
        </w:rPr>
        <w:t xml:space="preserve"> survey</w:t>
      </w:r>
      <w:r w:rsidR="0090584E" w:rsidRPr="007D6D77">
        <w:rPr>
          <w:szCs w:val="22"/>
        </w:rPr>
        <w:t xml:space="preserve"> (Appendix 5; item by item justification provided in Appendix 6)</w:t>
      </w:r>
    </w:p>
    <w:p w:rsidR="00A17216" w:rsidRPr="007D6D77" w:rsidRDefault="00A17216" w:rsidP="00A17216">
      <w:pPr>
        <w:pStyle w:val="BodyText"/>
        <w:numPr>
          <w:ilvl w:val="0"/>
          <w:numId w:val="10"/>
        </w:numPr>
        <w:spacing w:after="120"/>
        <w:rPr>
          <w:szCs w:val="22"/>
        </w:rPr>
      </w:pPr>
      <w:r w:rsidRPr="007D6D77">
        <w:rPr>
          <w:szCs w:val="22"/>
        </w:rPr>
        <w:t>Teacher focus group protocol</w:t>
      </w:r>
      <w:r w:rsidR="0090584E" w:rsidRPr="007D6D77">
        <w:rPr>
          <w:szCs w:val="22"/>
        </w:rPr>
        <w:t xml:space="preserve"> (Appendix 7; consent script presented in Appendix 8)</w:t>
      </w:r>
    </w:p>
    <w:p w:rsidR="00176856" w:rsidRPr="007D6D77" w:rsidRDefault="00E16612" w:rsidP="000427C9">
      <w:pPr>
        <w:pStyle w:val="BodyText"/>
        <w:rPr>
          <w:szCs w:val="22"/>
        </w:rPr>
      </w:pPr>
      <w:r w:rsidRPr="007D6D77">
        <w:rPr>
          <w:szCs w:val="22"/>
        </w:rPr>
        <w:t>T</w:t>
      </w:r>
      <w:r w:rsidR="00E164E7" w:rsidRPr="007D6D77">
        <w:rPr>
          <w:szCs w:val="22"/>
        </w:rPr>
        <w:t xml:space="preserve">he data </w:t>
      </w:r>
      <w:r w:rsidR="00626A12" w:rsidRPr="007D6D77">
        <w:rPr>
          <w:szCs w:val="22"/>
        </w:rPr>
        <w:t>to be collected</w:t>
      </w:r>
      <w:r w:rsidR="00E164E7" w:rsidRPr="007D6D77">
        <w:rPr>
          <w:szCs w:val="22"/>
        </w:rPr>
        <w:t xml:space="preserve"> are not available elsewhere unless collected through </w:t>
      </w:r>
      <w:r w:rsidR="0090584E" w:rsidRPr="007D6D77">
        <w:rPr>
          <w:szCs w:val="22"/>
        </w:rPr>
        <w:t>this information collection</w:t>
      </w:r>
      <w:r w:rsidR="00E164E7" w:rsidRPr="007D6D77">
        <w:rPr>
          <w:szCs w:val="22"/>
        </w:rPr>
        <w:t>. T</w:t>
      </w:r>
      <w:r w:rsidR="00C00837" w:rsidRPr="007D6D77">
        <w:rPr>
          <w:szCs w:val="22"/>
        </w:rPr>
        <w:t>he</w:t>
      </w:r>
      <w:r w:rsidR="009E28FE" w:rsidRPr="007D6D77">
        <w:rPr>
          <w:szCs w:val="22"/>
        </w:rPr>
        <w:t xml:space="preserve"> </w:t>
      </w:r>
      <w:r w:rsidR="008552CE" w:rsidRPr="007D6D77">
        <w:rPr>
          <w:szCs w:val="22"/>
        </w:rPr>
        <w:t>youth</w:t>
      </w:r>
      <w:r w:rsidR="00C00837" w:rsidRPr="007D6D77">
        <w:rPr>
          <w:szCs w:val="22"/>
        </w:rPr>
        <w:t xml:space="preserve"> instruments will be used to gather </w:t>
      </w:r>
      <w:r w:rsidR="0090584E" w:rsidRPr="007D6D77">
        <w:rPr>
          <w:szCs w:val="22"/>
        </w:rPr>
        <w:t xml:space="preserve">data prior to and three months following </w:t>
      </w:r>
      <w:r w:rsidR="0066553A" w:rsidRPr="007D6D77">
        <w:rPr>
          <w:szCs w:val="22"/>
        </w:rPr>
        <w:t xml:space="preserve">the </w:t>
      </w:r>
      <w:r w:rsidR="008545D0" w:rsidRPr="007D6D77">
        <w:rPr>
          <w:szCs w:val="22"/>
        </w:rPr>
        <w:t>summer activit</w:t>
      </w:r>
      <w:r w:rsidR="0066553A" w:rsidRPr="007D6D77">
        <w:rPr>
          <w:szCs w:val="22"/>
        </w:rPr>
        <w:t>ies in order</w:t>
      </w:r>
      <w:r w:rsidR="00C00837" w:rsidRPr="007D6D77">
        <w:rPr>
          <w:szCs w:val="22"/>
        </w:rPr>
        <w:t xml:space="preserve"> to </w:t>
      </w:r>
      <w:r w:rsidR="00CE084F" w:rsidRPr="007D6D77">
        <w:rPr>
          <w:szCs w:val="22"/>
        </w:rPr>
        <w:t>assess</w:t>
      </w:r>
      <w:r w:rsidR="008545D0" w:rsidRPr="007D6D77">
        <w:rPr>
          <w:szCs w:val="22"/>
        </w:rPr>
        <w:t xml:space="preserve"> </w:t>
      </w:r>
      <w:r w:rsidR="00C00837" w:rsidRPr="007D6D77">
        <w:rPr>
          <w:szCs w:val="22"/>
        </w:rPr>
        <w:t>change</w:t>
      </w:r>
      <w:r w:rsidR="009E28FE" w:rsidRPr="007D6D77">
        <w:rPr>
          <w:szCs w:val="22"/>
        </w:rPr>
        <w:t xml:space="preserve"> in </w:t>
      </w:r>
      <w:r w:rsidR="002D5EC6" w:rsidRPr="007D6D77">
        <w:rPr>
          <w:szCs w:val="22"/>
        </w:rPr>
        <w:t>SoI’s key short term outcome of youth engagement with STEM</w:t>
      </w:r>
      <w:r w:rsidR="00C00837" w:rsidRPr="007D6D77">
        <w:rPr>
          <w:szCs w:val="22"/>
        </w:rPr>
        <w:t xml:space="preserve">. </w:t>
      </w:r>
      <w:r w:rsidR="00A27329" w:rsidRPr="007D6D77">
        <w:rPr>
          <w:szCs w:val="22"/>
        </w:rPr>
        <w:t>Information about implementation will be gathered from numerous sources, i</w:t>
      </w:r>
      <w:r w:rsidR="002D5EC6" w:rsidRPr="007D6D77">
        <w:rPr>
          <w:szCs w:val="22"/>
        </w:rPr>
        <w:t xml:space="preserve">ncluding </w:t>
      </w:r>
      <w:r w:rsidR="00A17216" w:rsidRPr="007D6D77">
        <w:rPr>
          <w:szCs w:val="22"/>
        </w:rPr>
        <w:t xml:space="preserve">teacher group focus group discussions. </w:t>
      </w:r>
      <w:r w:rsidR="00A27329" w:rsidRPr="007D6D77">
        <w:rPr>
          <w:szCs w:val="22"/>
        </w:rPr>
        <w:t xml:space="preserve">These data will allow </w:t>
      </w:r>
      <w:r w:rsidR="00A17216" w:rsidRPr="007D6D77">
        <w:rPr>
          <w:szCs w:val="22"/>
        </w:rPr>
        <w:t xml:space="preserve">NASA to </w:t>
      </w:r>
      <w:r w:rsidR="00F44B4C" w:rsidRPr="007D6D77">
        <w:rPr>
          <w:szCs w:val="22"/>
        </w:rPr>
        <w:t>collect fidelity of implementation and formative data to inform continuous program improvement.</w:t>
      </w:r>
      <w:r w:rsidR="00176856" w:rsidRPr="007D6D77">
        <w:rPr>
          <w:szCs w:val="22"/>
        </w:rPr>
        <w:t xml:space="preserve">  </w:t>
      </w:r>
    </w:p>
    <w:p w:rsidR="005176EB" w:rsidRPr="007D6D77" w:rsidRDefault="005176EB" w:rsidP="000427C9">
      <w:pPr>
        <w:pStyle w:val="BodyText"/>
        <w:rPr>
          <w:szCs w:val="22"/>
        </w:rPr>
      </w:pPr>
    </w:p>
    <w:p w:rsidR="00C00837" w:rsidRPr="007D6D77" w:rsidRDefault="00C00837" w:rsidP="00145291">
      <w:pPr>
        <w:pStyle w:val="Heading3"/>
        <w:rPr>
          <w:rFonts w:ascii="Times New Roman" w:hAnsi="Times New Roman"/>
        </w:rPr>
      </w:pPr>
      <w:bookmarkStart w:id="14" w:name="_Toc8118879"/>
      <w:bookmarkStart w:id="15" w:name="_Toc81803509"/>
      <w:bookmarkStart w:id="16" w:name="_Toc88301179"/>
      <w:bookmarkStart w:id="17" w:name="_Toc213748173"/>
      <w:bookmarkStart w:id="18" w:name="_Toc341972153"/>
      <w:r w:rsidRPr="007D6D77">
        <w:t>A.2</w:t>
      </w:r>
      <w:r w:rsidRPr="007D6D77">
        <w:tab/>
      </w:r>
      <w:bookmarkEnd w:id="14"/>
      <w:bookmarkEnd w:id="15"/>
      <w:bookmarkEnd w:id="16"/>
      <w:bookmarkEnd w:id="17"/>
      <w:r w:rsidR="00AF0C0A" w:rsidRPr="007D6D77">
        <w:t>INDICATE HOW, BY WHOM, AND FOR WHAT PURPOSE THE INFORMATION IS TO BE USED.</w:t>
      </w:r>
      <w:r w:rsidR="00AF0C0A" w:rsidRPr="007D6D77">
        <w:rPr>
          <w:rFonts w:ascii="Times New Roman" w:hAnsi="Times New Roman"/>
        </w:rPr>
        <w:t xml:space="preserve">  </w:t>
      </w:r>
      <w:r w:rsidR="00AF0C0A" w:rsidRPr="007D6D77">
        <w:t>EXCEPT FOR A NEW COLLECTION, INDICATE THE ACTUAL USE THE AGENCY HAS MADE OF THE INFORMATION RECEIVED FROM THE CURRENT COLLECTION.</w:t>
      </w:r>
      <w:bookmarkEnd w:id="18"/>
    </w:p>
    <w:p w:rsidR="00145291" w:rsidRPr="007D6D77" w:rsidRDefault="00145291" w:rsidP="00F05DB6">
      <w:pPr>
        <w:pStyle w:val="subheading"/>
        <w:rPr>
          <w:rFonts w:ascii="Times New Roman" w:hAnsi="Times New Roman"/>
          <w:sz w:val="22"/>
          <w:szCs w:val="22"/>
        </w:rPr>
      </w:pPr>
      <w:bookmarkStart w:id="19" w:name="_Toc341972154"/>
    </w:p>
    <w:p w:rsidR="00C00837" w:rsidRPr="007D6D77" w:rsidRDefault="00C00837" w:rsidP="00F05DB6">
      <w:pPr>
        <w:pStyle w:val="subheading"/>
        <w:rPr>
          <w:rFonts w:ascii="Times New Roman" w:hAnsi="Times New Roman"/>
          <w:sz w:val="22"/>
          <w:szCs w:val="22"/>
        </w:rPr>
      </w:pPr>
      <w:r w:rsidRPr="007D6D77">
        <w:rPr>
          <w:rFonts w:ascii="Times New Roman" w:hAnsi="Times New Roman"/>
          <w:sz w:val="22"/>
          <w:szCs w:val="22"/>
        </w:rPr>
        <w:t>How Information Will Be Collected</w:t>
      </w:r>
      <w:bookmarkEnd w:id="19"/>
      <w:r w:rsidRPr="007D6D77">
        <w:rPr>
          <w:rFonts w:ascii="Times New Roman" w:hAnsi="Times New Roman"/>
          <w:sz w:val="22"/>
          <w:szCs w:val="22"/>
        </w:rPr>
        <w:t xml:space="preserve"> </w:t>
      </w:r>
    </w:p>
    <w:p w:rsidR="009640FB" w:rsidRPr="007D6D77" w:rsidRDefault="00D9753A" w:rsidP="00D9753A">
      <w:pPr>
        <w:pStyle w:val="BodyText"/>
        <w:rPr>
          <w:szCs w:val="22"/>
        </w:rPr>
      </w:pPr>
      <w:r w:rsidRPr="007D6D77">
        <w:rPr>
          <w:szCs w:val="22"/>
        </w:rPr>
        <w:t xml:space="preserve">Data will be collected using </w:t>
      </w:r>
      <w:r w:rsidR="00380BF2" w:rsidRPr="007D6D77">
        <w:rPr>
          <w:szCs w:val="22"/>
        </w:rPr>
        <w:t>several methods</w:t>
      </w:r>
      <w:r w:rsidR="002D5EC6" w:rsidRPr="007D6D77">
        <w:rPr>
          <w:szCs w:val="22"/>
        </w:rPr>
        <w:t>; see Exhibit 1 for an overview of the data collection associated with the SoI evaluation, including a crosswalk between the research questions and the data collection strategies</w:t>
      </w:r>
      <w:r w:rsidR="003D7CDA" w:rsidRPr="007D6D77">
        <w:rPr>
          <w:szCs w:val="22"/>
        </w:rPr>
        <w:t xml:space="preserve">. </w:t>
      </w:r>
      <w:r w:rsidR="008552CE" w:rsidRPr="007D6D77">
        <w:rPr>
          <w:szCs w:val="22"/>
        </w:rPr>
        <w:t>B</w:t>
      </w:r>
      <w:r w:rsidR="00B32503" w:rsidRPr="007D6D77">
        <w:rPr>
          <w:szCs w:val="22"/>
        </w:rPr>
        <w:t xml:space="preserve">ackground </w:t>
      </w:r>
      <w:r w:rsidR="00CD66BC" w:rsidRPr="007D6D77">
        <w:rPr>
          <w:szCs w:val="22"/>
        </w:rPr>
        <w:t xml:space="preserve">and demographic </w:t>
      </w:r>
      <w:r w:rsidR="00B32503" w:rsidRPr="007D6D77">
        <w:rPr>
          <w:szCs w:val="22"/>
        </w:rPr>
        <w:t xml:space="preserve">information will be collected through parent </w:t>
      </w:r>
      <w:r w:rsidR="008552CE" w:rsidRPr="007D6D77">
        <w:rPr>
          <w:szCs w:val="22"/>
        </w:rPr>
        <w:t>surveys</w:t>
      </w:r>
      <w:r w:rsidR="00007E28" w:rsidRPr="007D6D77">
        <w:rPr>
          <w:szCs w:val="22"/>
        </w:rPr>
        <w:t xml:space="preserve"> </w:t>
      </w:r>
      <w:r w:rsidR="00B32503" w:rsidRPr="007D6D77">
        <w:rPr>
          <w:szCs w:val="22"/>
        </w:rPr>
        <w:t>that will be</w:t>
      </w:r>
      <w:r w:rsidR="00F05DB6" w:rsidRPr="007D6D77">
        <w:rPr>
          <w:szCs w:val="22"/>
        </w:rPr>
        <w:t xml:space="preserve"> part of the registration process</w:t>
      </w:r>
      <w:r w:rsidR="00007E28" w:rsidRPr="007D6D77">
        <w:rPr>
          <w:szCs w:val="22"/>
        </w:rPr>
        <w:t xml:space="preserve">. </w:t>
      </w:r>
      <w:r w:rsidR="008552CE" w:rsidRPr="007D6D77">
        <w:rPr>
          <w:szCs w:val="22"/>
        </w:rPr>
        <w:t>Youth</w:t>
      </w:r>
      <w:r w:rsidR="003D7CDA" w:rsidRPr="007D6D77">
        <w:rPr>
          <w:szCs w:val="22"/>
        </w:rPr>
        <w:t xml:space="preserve"> </w:t>
      </w:r>
      <w:r w:rsidR="008552CE" w:rsidRPr="007D6D77">
        <w:rPr>
          <w:szCs w:val="22"/>
        </w:rPr>
        <w:t xml:space="preserve">outcome </w:t>
      </w:r>
      <w:r w:rsidR="003D7CDA" w:rsidRPr="007D6D77">
        <w:rPr>
          <w:szCs w:val="22"/>
        </w:rPr>
        <w:t xml:space="preserve">data will be collected </w:t>
      </w:r>
      <w:r w:rsidR="00313289" w:rsidRPr="007D6D77">
        <w:rPr>
          <w:szCs w:val="22"/>
        </w:rPr>
        <w:t xml:space="preserve">through </w:t>
      </w:r>
      <w:r w:rsidRPr="007D6D77">
        <w:rPr>
          <w:szCs w:val="22"/>
        </w:rPr>
        <w:t>survey instruments</w:t>
      </w:r>
      <w:r w:rsidR="00D90FDA" w:rsidRPr="007D6D77">
        <w:rPr>
          <w:szCs w:val="22"/>
        </w:rPr>
        <w:t xml:space="preserve">, </w:t>
      </w:r>
      <w:r w:rsidR="00BD4CEE" w:rsidRPr="007D6D77">
        <w:rPr>
          <w:szCs w:val="22"/>
        </w:rPr>
        <w:t xml:space="preserve">while implementation data </w:t>
      </w:r>
      <w:r w:rsidR="003716C3" w:rsidRPr="007D6D77">
        <w:rPr>
          <w:szCs w:val="22"/>
        </w:rPr>
        <w:t xml:space="preserve">for summer activities </w:t>
      </w:r>
      <w:r w:rsidRPr="007D6D77">
        <w:rPr>
          <w:szCs w:val="22"/>
        </w:rPr>
        <w:t xml:space="preserve">will be collected </w:t>
      </w:r>
      <w:r w:rsidR="00313289" w:rsidRPr="007D6D77">
        <w:rPr>
          <w:szCs w:val="22"/>
        </w:rPr>
        <w:t xml:space="preserve">via </w:t>
      </w:r>
      <w:r w:rsidR="009640FB" w:rsidRPr="007D6D77">
        <w:rPr>
          <w:szCs w:val="22"/>
        </w:rPr>
        <w:t xml:space="preserve">teacher focus group discussions. Data collected through the OMB-cleared forms will be complemented by other information collected through different strategies (e.g., camp observations, PI interviews) that are not required </w:t>
      </w:r>
      <w:r w:rsidR="00A3332C" w:rsidRPr="007D6D77">
        <w:rPr>
          <w:szCs w:val="22"/>
        </w:rPr>
        <w:t xml:space="preserve">to be cleared </w:t>
      </w:r>
      <w:r w:rsidR="009640FB" w:rsidRPr="007D6D77">
        <w:rPr>
          <w:szCs w:val="22"/>
        </w:rPr>
        <w:t xml:space="preserve">by the Paperwork Reduction Act </w:t>
      </w:r>
      <w:r w:rsidR="00A3332C" w:rsidRPr="007D6D77">
        <w:rPr>
          <w:szCs w:val="22"/>
        </w:rPr>
        <w:t xml:space="preserve">due to the small number of participants or the nature of the information collection. </w:t>
      </w:r>
    </w:p>
    <w:p w:rsidR="009640FB" w:rsidRDefault="009640FB" w:rsidP="00D9753A">
      <w:pPr>
        <w:pStyle w:val="BodyText"/>
        <w:rPr>
          <w:szCs w:val="22"/>
        </w:rPr>
      </w:pPr>
    </w:p>
    <w:p w:rsidR="00650AB4" w:rsidRPr="00E561FE" w:rsidRDefault="00C8515C" w:rsidP="00D9753A">
      <w:pPr>
        <w:pStyle w:val="BodyText"/>
        <w:rPr>
          <w:b/>
          <w:i/>
          <w:szCs w:val="22"/>
        </w:rPr>
      </w:pPr>
      <w:r w:rsidRPr="00C8515C">
        <w:rPr>
          <w:b/>
          <w:i/>
          <w:szCs w:val="22"/>
        </w:rPr>
        <w:t>Consent Process</w:t>
      </w:r>
    </w:p>
    <w:p w:rsidR="00D15A8F" w:rsidRDefault="00E561FE">
      <w:pPr>
        <w:pStyle w:val="BodyText"/>
      </w:pPr>
      <w:r w:rsidRPr="007D6D77">
        <w:t xml:space="preserve">As part of the registration </w:t>
      </w:r>
      <w:r w:rsidR="002A6039">
        <w:t>materials</w:t>
      </w:r>
      <w:r w:rsidRPr="007D6D77">
        <w:t xml:space="preserve">, awardees will </w:t>
      </w:r>
      <w:r w:rsidR="002A6039">
        <w:t>include</w:t>
      </w:r>
      <w:r w:rsidRPr="007D6D77">
        <w:t xml:space="preserve"> a parent </w:t>
      </w:r>
      <w:r>
        <w:t>consent form</w:t>
      </w:r>
      <w:r w:rsidRPr="007D6D77">
        <w:t xml:space="preserve"> </w:t>
      </w:r>
      <w:r>
        <w:t xml:space="preserve">that describes the </w:t>
      </w:r>
      <w:r w:rsidRPr="007D6D77">
        <w:t>evaluation</w:t>
      </w:r>
      <w:r>
        <w:t xml:space="preserve"> components (a parent survey, a student baseline survey, and a student follow-up survey) and asks parents</w:t>
      </w:r>
      <w:r w:rsidR="00117A82">
        <w:t xml:space="preserve"> to</w:t>
      </w:r>
      <w:r>
        <w:t xml:space="preserve"> give consent for their and their children’s inclusion in the evaluation</w:t>
      </w:r>
      <w:r w:rsidR="00434477">
        <w:t xml:space="preserve"> (see Appendix 10)</w:t>
      </w:r>
      <w:r>
        <w:t xml:space="preserve">.  </w:t>
      </w:r>
      <w:r w:rsidR="00117A82">
        <w:t xml:space="preserve">Study inclusion means that registration contact information will be made available to the study team, and that parents and students will be contacted in the fall about the student follow-up survey. However, </w:t>
      </w:r>
      <w:r w:rsidR="00A72304">
        <w:t>as recommended for the protection of human subjects,</w:t>
      </w:r>
      <w:r w:rsidR="00F01122">
        <w:rPr>
          <w:rStyle w:val="FootnoteReference"/>
        </w:rPr>
        <w:footnoteReference w:id="2"/>
      </w:r>
      <w:r w:rsidR="00A72304">
        <w:t xml:space="preserve"> a statement that participation in individual surveys is voluntary</w:t>
      </w:r>
      <w:r w:rsidR="00F01122">
        <w:t xml:space="preserve"> is included on each survey form. That is, s</w:t>
      </w:r>
      <w:r w:rsidR="00117A82">
        <w:t xml:space="preserve">urvey participation remains voluntary and will not affect student participation in SoI. </w:t>
      </w:r>
      <w:r>
        <w:t xml:space="preserve">The signed parent consent form will be a required component of the SoI registration process. Parents that do not sign </w:t>
      </w:r>
      <w:r w:rsidR="002A6039">
        <w:t xml:space="preserve">and submit </w:t>
      </w:r>
      <w:r>
        <w:t xml:space="preserve">the consent form allowing for inclusion in the study will not be eligible to register their children for SoI. </w:t>
      </w:r>
    </w:p>
    <w:p w:rsidR="00AA5FD3" w:rsidRDefault="00AA5FD3" w:rsidP="00E561FE">
      <w:pPr>
        <w:keepNext/>
        <w:keepLines/>
        <w:widowControl w:val="0"/>
        <w:tabs>
          <w:tab w:val="clear" w:pos="720"/>
          <w:tab w:val="clear" w:pos="1080"/>
          <w:tab w:val="clear" w:pos="1440"/>
          <w:tab w:val="clear" w:pos="1800"/>
        </w:tabs>
        <w:rPr>
          <w:szCs w:val="22"/>
        </w:rPr>
      </w:pPr>
    </w:p>
    <w:p w:rsidR="00E561FE" w:rsidRPr="00AA5FD3" w:rsidRDefault="00AA5FD3" w:rsidP="00E561FE">
      <w:pPr>
        <w:keepNext/>
        <w:keepLines/>
        <w:widowControl w:val="0"/>
        <w:tabs>
          <w:tab w:val="clear" w:pos="720"/>
          <w:tab w:val="clear" w:pos="1080"/>
          <w:tab w:val="clear" w:pos="1440"/>
          <w:tab w:val="clear" w:pos="1800"/>
        </w:tabs>
        <w:rPr>
          <w:szCs w:val="22"/>
        </w:rPr>
      </w:pPr>
      <w:r>
        <w:rPr>
          <w:szCs w:val="22"/>
        </w:rPr>
        <w:t xml:space="preserve">Careful attention will be paid to the ordering of the parent consent form and the parent survey (discussed below) in registration packages. NASA will work with awardees to ensure that the parent consent form precedes the parent survey in paper-based packages. </w:t>
      </w:r>
      <w:r w:rsidR="00D7318B">
        <w:rPr>
          <w:szCs w:val="22"/>
        </w:rPr>
        <w:t>The parent consent form will be made available in online format for those selected awardees who use an online registration process</w:t>
      </w:r>
      <w:r w:rsidR="001873DB">
        <w:rPr>
          <w:szCs w:val="22"/>
        </w:rPr>
        <w:t xml:space="preserve">. NASA will work with awardees to ensure that </w:t>
      </w:r>
      <w:r w:rsidR="00D7318B">
        <w:rPr>
          <w:szCs w:val="22"/>
        </w:rPr>
        <w:t xml:space="preserve">when </w:t>
      </w:r>
      <w:r w:rsidR="001873DB">
        <w:rPr>
          <w:szCs w:val="22"/>
        </w:rPr>
        <w:t xml:space="preserve">the consent form is </w:t>
      </w:r>
      <w:r w:rsidR="00D7318B">
        <w:rPr>
          <w:szCs w:val="22"/>
        </w:rPr>
        <w:t xml:space="preserve">made available in an online registration package, </w:t>
      </w:r>
      <w:r w:rsidR="001873DB">
        <w:rPr>
          <w:szCs w:val="22"/>
        </w:rPr>
        <w:t>it</w:t>
      </w:r>
      <w:r w:rsidR="00D7318B">
        <w:rPr>
          <w:szCs w:val="22"/>
        </w:rPr>
        <w:t xml:space="preserve"> </w:t>
      </w:r>
      <w:r w:rsidR="001873DB">
        <w:rPr>
          <w:szCs w:val="22"/>
        </w:rPr>
        <w:t xml:space="preserve">will precede the link to the parent survey. </w:t>
      </w:r>
    </w:p>
    <w:p w:rsidR="00E561FE" w:rsidRDefault="00E561FE" w:rsidP="00D9753A">
      <w:pPr>
        <w:pStyle w:val="BodyText"/>
        <w:rPr>
          <w:szCs w:val="22"/>
        </w:rPr>
      </w:pPr>
    </w:p>
    <w:p w:rsidR="00BE71C8" w:rsidRPr="007D6D77" w:rsidRDefault="00007E28" w:rsidP="00D9753A">
      <w:pPr>
        <w:pStyle w:val="BodyText"/>
        <w:rPr>
          <w:b/>
          <w:i/>
          <w:szCs w:val="22"/>
        </w:rPr>
      </w:pPr>
      <w:r w:rsidRPr="007D6D77">
        <w:rPr>
          <w:b/>
          <w:i/>
          <w:szCs w:val="22"/>
        </w:rPr>
        <w:t xml:space="preserve">Parent </w:t>
      </w:r>
      <w:r w:rsidR="00A3332C" w:rsidRPr="007D6D77">
        <w:rPr>
          <w:b/>
          <w:i/>
          <w:szCs w:val="22"/>
        </w:rPr>
        <w:t>Surveys</w:t>
      </w:r>
    </w:p>
    <w:p w:rsidR="000427C9" w:rsidRPr="007D6D77" w:rsidRDefault="00A3332C" w:rsidP="00007E28">
      <w:pPr>
        <w:pStyle w:val="BodyText"/>
        <w:rPr>
          <w:szCs w:val="22"/>
        </w:rPr>
      </w:pPr>
      <w:r w:rsidRPr="007D6D77">
        <w:rPr>
          <w:szCs w:val="22"/>
        </w:rPr>
        <w:t xml:space="preserve">Participating </w:t>
      </w:r>
      <w:r w:rsidR="00007E28" w:rsidRPr="007D6D77">
        <w:rPr>
          <w:szCs w:val="22"/>
        </w:rPr>
        <w:t xml:space="preserve">SoI awardees </w:t>
      </w:r>
      <w:r w:rsidR="00B32503" w:rsidRPr="007D6D77">
        <w:rPr>
          <w:szCs w:val="22"/>
        </w:rPr>
        <w:t xml:space="preserve">will </w:t>
      </w:r>
      <w:r w:rsidR="00007E28" w:rsidRPr="007D6D77">
        <w:rPr>
          <w:szCs w:val="22"/>
        </w:rPr>
        <w:t xml:space="preserve">include </w:t>
      </w:r>
      <w:r w:rsidRPr="007D6D77">
        <w:rPr>
          <w:szCs w:val="22"/>
        </w:rPr>
        <w:t xml:space="preserve">the parent survey (Appendices 1 and 2) </w:t>
      </w:r>
      <w:r w:rsidR="00007E28" w:rsidRPr="007D6D77">
        <w:rPr>
          <w:szCs w:val="22"/>
        </w:rPr>
        <w:t xml:space="preserve">in the </w:t>
      </w:r>
      <w:r w:rsidRPr="007D6D77">
        <w:rPr>
          <w:szCs w:val="22"/>
        </w:rPr>
        <w:t xml:space="preserve">camp </w:t>
      </w:r>
      <w:r w:rsidR="00007E28" w:rsidRPr="007D6D77">
        <w:rPr>
          <w:szCs w:val="22"/>
        </w:rPr>
        <w:t>registration materials that parents</w:t>
      </w:r>
      <w:r w:rsidR="00EE2EA9" w:rsidRPr="007D6D77">
        <w:rPr>
          <w:szCs w:val="22"/>
        </w:rPr>
        <w:t>/caregivers</w:t>
      </w:r>
      <w:r w:rsidR="00007E28" w:rsidRPr="007D6D77">
        <w:rPr>
          <w:szCs w:val="22"/>
        </w:rPr>
        <w:t xml:space="preserve"> </w:t>
      </w:r>
      <w:r w:rsidR="00710AB0">
        <w:rPr>
          <w:szCs w:val="22"/>
        </w:rPr>
        <w:t>will be asked to</w:t>
      </w:r>
      <w:r w:rsidR="00710AB0" w:rsidRPr="007D6D77">
        <w:rPr>
          <w:szCs w:val="22"/>
        </w:rPr>
        <w:t xml:space="preserve"> </w:t>
      </w:r>
      <w:r w:rsidR="00007E28" w:rsidRPr="007D6D77">
        <w:rPr>
          <w:szCs w:val="22"/>
        </w:rPr>
        <w:t xml:space="preserve">return </w:t>
      </w:r>
      <w:r w:rsidR="00710AB0">
        <w:rPr>
          <w:szCs w:val="22"/>
        </w:rPr>
        <w:t>with the rest of their registration materials</w:t>
      </w:r>
      <w:r w:rsidR="00007E28" w:rsidRPr="007D6D77">
        <w:rPr>
          <w:szCs w:val="22"/>
        </w:rPr>
        <w:t xml:space="preserve">. </w:t>
      </w:r>
      <w:r w:rsidR="008B5816" w:rsidRPr="007D6D77">
        <w:rPr>
          <w:szCs w:val="22"/>
        </w:rPr>
        <w:t xml:space="preserve">The </w:t>
      </w:r>
      <w:r w:rsidR="00C1176B" w:rsidRPr="007D6D77">
        <w:rPr>
          <w:szCs w:val="22"/>
        </w:rPr>
        <w:t xml:space="preserve">brief </w:t>
      </w:r>
      <w:r w:rsidR="00EE2EA9" w:rsidRPr="007D6D77">
        <w:rPr>
          <w:szCs w:val="22"/>
        </w:rPr>
        <w:t xml:space="preserve">survey form </w:t>
      </w:r>
      <w:r w:rsidR="00007E28" w:rsidRPr="007D6D77">
        <w:rPr>
          <w:szCs w:val="22"/>
        </w:rPr>
        <w:t>provides information regarding the purpo</w:t>
      </w:r>
      <w:r w:rsidR="008B5816" w:rsidRPr="007D6D77">
        <w:rPr>
          <w:szCs w:val="22"/>
        </w:rPr>
        <w:t xml:space="preserve">se of the </w:t>
      </w:r>
      <w:r w:rsidR="00B32503" w:rsidRPr="007D6D77">
        <w:rPr>
          <w:szCs w:val="22"/>
        </w:rPr>
        <w:t>data collection</w:t>
      </w:r>
      <w:r w:rsidR="00EE2EA9" w:rsidRPr="007D6D77">
        <w:rPr>
          <w:szCs w:val="22"/>
        </w:rPr>
        <w:t xml:space="preserve"> and collects data on</w:t>
      </w:r>
      <w:r w:rsidR="00007E28" w:rsidRPr="007D6D77">
        <w:rPr>
          <w:szCs w:val="22"/>
        </w:rPr>
        <w:t xml:space="preserve"> </w:t>
      </w:r>
      <w:r w:rsidR="008552CE" w:rsidRPr="007D6D77">
        <w:rPr>
          <w:szCs w:val="22"/>
        </w:rPr>
        <w:t>youth</w:t>
      </w:r>
      <w:r w:rsidR="00BA7608" w:rsidRPr="007D6D77">
        <w:rPr>
          <w:szCs w:val="22"/>
        </w:rPr>
        <w:t xml:space="preserve"> and parent</w:t>
      </w:r>
      <w:r w:rsidR="00007E28" w:rsidRPr="007D6D77">
        <w:rPr>
          <w:szCs w:val="22"/>
        </w:rPr>
        <w:t xml:space="preserve"> demographic </w:t>
      </w:r>
      <w:r w:rsidR="00C1176B" w:rsidRPr="007D6D77">
        <w:rPr>
          <w:szCs w:val="22"/>
        </w:rPr>
        <w:t xml:space="preserve">and personal </w:t>
      </w:r>
      <w:r w:rsidR="00007E28" w:rsidRPr="007D6D77">
        <w:rPr>
          <w:szCs w:val="22"/>
        </w:rPr>
        <w:t>characteristics as well as the reasons for enrolling their child in the program.</w:t>
      </w:r>
      <w:r w:rsidR="008B5816" w:rsidRPr="007D6D77">
        <w:rPr>
          <w:szCs w:val="22"/>
        </w:rPr>
        <w:t xml:space="preserve"> </w:t>
      </w:r>
      <w:r w:rsidR="00892739" w:rsidRPr="007D6D77">
        <w:rPr>
          <w:szCs w:val="22"/>
        </w:rPr>
        <w:t xml:space="preserve">While NASA has projected a 85% response rate, it is NASA’s intent to </w:t>
      </w:r>
      <w:r w:rsidR="00CD66BC" w:rsidRPr="007D6D77">
        <w:rPr>
          <w:szCs w:val="22"/>
        </w:rPr>
        <w:t>work closely with participating awardees to seek a 100% response rate on surveys since the data collected through this form will enable the agency to conduct non-response bias analysis on the youth surveys.</w:t>
      </w:r>
      <w:r w:rsidR="00892739" w:rsidRPr="007D6D77">
        <w:rPr>
          <w:rStyle w:val="FootnoteReference"/>
          <w:szCs w:val="22"/>
        </w:rPr>
        <w:footnoteReference w:id="3"/>
      </w:r>
      <w:r w:rsidR="00007E28" w:rsidRPr="007D6D77">
        <w:rPr>
          <w:szCs w:val="22"/>
        </w:rPr>
        <w:t xml:space="preserve"> </w:t>
      </w:r>
      <w:r w:rsidR="00277309" w:rsidRPr="007D6D77">
        <w:rPr>
          <w:szCs w:val="22"/>
        </w:rPr>
        <w:t>A</w:t>
      </w:r>
      <w:r w:rsidR="00DF07E7" w:rsidRPr="007D6D77">
        <w:rPr>
          <w:szCs w:val="22"/>
        </w:rPr>
        <w:t>n item-by-item justification and</w:t>
      </w:r>
      <w:r w:rsidR="00277309" w:rsidRPr="007D6D77">
        <w:rPr>
          <w:szCs w:val="22"/>
        </w:rPr>
        <w:t xml:space="preserve"> crosswalk describing how the items are used to address research questions is included in </w:t>
      </w:r>
      <w:r w:rsidR="00BA7608" w:rsidRPr="007D6D77">
        <w:rPr>
          <w:szCs w:val="22"/>
        </w:rPr>
        <w:t xml:space="preserve">Appendix </w:t>
      </w:r>
      <w:r w:rsidR="00DF07E7" w:rsidRPr="007D6D77">
        <w:rPr>
          <w:szCs w:val="22"/>
        </w:rPr>
        <w:t>2</w:t>
      </w:r>
      <w:r w:rsidR="00277309" w:rsidRPr="007D6D77">
        <w:rPr>
          <w:szCs w:val="22"/>
        </w:rPr>
        <w:t xml:space="preserve">. </w:t>
      </w:r>
    </w:p>
    <w:p w:rsidR="003A5439" w:rsidRPr="007D6D77" w:rsidRDefault="003A5439" w:rsidP="000427C9">
      <w:pPr>
        <w:pStyle w:val="PlainText"/>
        <w:spacing w:line="264" w:lineRule="auto"/>
        <w:rPr>
          <w:rFonts w:ascii="Times New Roman" w:hAnsi="Times New Roman"/>
          <w:szCs w:val="22"/>
        </w:rPr>
      </w:pPr>
    </w:p>
    <w:p w:rsidR="00D15A8F" w:rsidRDefault="004D2B62">
      <w:r w:rsidRPr="007D6D77">
        <w:rPr>
          <w:szCs w:val="22"/>
        </w:rPr>
        <w:t xml:space="preserve">As part of the registration process, awardees will </w:t>
      </w:r>
      <w:r w:rsidR="00892739" w:rsidRPr="007D6D77">
        <w:rPr>
          <w:szCs w:val="22"/>
        </w:rPr>
        <w:t xml:space="preserve">distribute </w:t>
      </w:r>
      <w:r w:rsidRPr="007D6D77">
        <w:rPr>
          <w:szCs w:val="22"/>
        </w:rPr>
        <w:t xml:space="preserve">the </w:t>
      </w:r>
      <w:r w:rsidR="007370BD" w:rsidRPr="007D6D77">
        <w:rPr>
          <w:szCs w:val="22"/>
        </w:rPr>
        <w:t xml:space="preserve">parent </w:t>
      </w:r>
      <w:r w:rsidRPr="007D6D77">
        <w:rPr>
          <w:szCs w:val="22"/>
        </w:rPr>
        <w:t xml:space="preserve">survey (Appendix 1) using either a paper or online format. Offering multiple survey modes will ease burden on the awardees which collect the information, allowing the awardees to offer parents the most convenient mode. Awardees, especially those with online registration procedures, may opt to offer the parent survey form online by providing </w:t>
      </w:r>
      <w:r w:rsidR="00710AB0">
        <w:rPr>
          <w:szCs w:val="22"/>
        </w:rPr>
        <w:t xml:space="preserve">all </w:t>
      </w:r>
      <w:r w:rsidRPr="007D6D77">
        <w:rPr>
          <w:szCs w:val="22"/>
        </w:rPr>
        <w:t xml:space="preserve">parents with the survey URL and a site-specific PIN to gain access to the survey </w:t>
      </w:r>
      <w:r w:rsidR="00710AB0">
        <w:rPr>
          <w:szCs w:val="22"/>
        </w:rPr>
        <w:t xml:space="preserve">in their registration </w:t>
      </w:r>
      <w:r w:rsidR="00710AB0" w:rsidRPr="00650AB4">
        <w:rPr>
          <w:szCs w:val="22"/>
        </w:rPr>
        <w:t xml:space="preserve">materials </w:t>
      </w:r>
      <w:r w:rsidRPr="00650AB4">
        <w:rPr>
          <w:szCs w:val="22"/>
        </w:rPr>
        <w:t xml:space="preserve">(see Appendix 9 for an example of the PIN and agreement to participate screens). </w:t>
      </w:r>
      <w:r w:rsidR="00C8515C" w:rsidRPr="00C8515C">
        <w:t xml:space="preserve">Each access to the survey will create a new record and existing records will not be accessible to the survey responder. Respondents accessing the online survey will go through the survey vendor’s website where they are protected by the vendor’s strict data security system. Only those given the PIN can enter the survey.  Upon entering the PIN, the respondent will need to fill in and submit their surveys. They will not be able to return to a submitted survey. A parent will not be able to save an incomplete survey. If they cannot complete the survey in one sitting, they would need to begin again. The PIN will only give respondents access to a single version of the survey; respondents will not have access to any other respondents’ surveys.  The data collected on the online surveys will be automatically maintained on the survey vendor’s secure server and then safely transferred to the external evaluator. These data will not be accessible by Awardee, Center, or camp administrative staff.  A link to the online survey via the survey vendor’s website will also be available on the NASA Summer of Innovation website.  </w:t>
      </w:r>
      <w:r w:rsidRPr="00650AB4">
        <w:rPr>
          <w:szCs w:val="22"/>
        </w:rPr>
        <w:t xml:space="preserve">Awardees that choose to administer the paper version will return them to the external evaluator for safe-keeping and data entry. </w:t>
      </w:r>
      <w:r w:rsidR="00007E28" w:rsidRPr="00650AB4">
        <w:rPr>
          <w:szCs w:val="22"/>
        </w:rPr>
        <w:t>We anticipate</w:t>
      </w:r>
      <w:r w:rsidR="00007E28" w:rsidRPr="007D6D77">
        <w:rPr>
          <w:szCs w:val="22"/>
        </w:rPr>
        <w:t xml:space="preserve"> that </w:t>
      </w:r>
      <w:r w:rsidR="00BA4B6E" w:rsidRPr="007D6D77">
        <w:rPr>
          <w:szCs w:val="22"/>
        </w:rPr>
        <w:t>the registration process</w:t>
      </w:r>
      <w:r w:rsidR="00007E28" w:rsidRPr="007D6D77">
        <w:rPr>
          <w:szCs w:val="22"/>
        </w:rPr>
        <w:t xml:space="preserve"> will begin </w:t>
      </w:r>
      <w:r w:rsidR="004B4BE7" w:rsidRPr="007D6D77">
        <w:rPr>
          <w:szCs w:val="22"/>
        </w:rPr>
        <w:t>by mid-February 2013</w:t>
      </w:r>
      <w:r w:rsidR="00007E28" w:rsidRPr="007D6D77">
        <w:rPr>
          <w:szCs w:val="22"/>
        </w:rPr>
        <w:t>.</w:t>
      </w:r>
    </w:p>
    <w:p w:rsidR="00117A82" w:rsidRPr="007D6D77" w:rsidRDefault="00117A82" w:rsidP="000427C9">
      <w:pPr>
        <w:pStyle w:val="BodyText"/>
        <w:rPr>
          <w:szCs w:val="22"/>
        </w:rPr>
      </w:pPr>
    </w:p>
    <w:p w:rsidR="00C57A86" w:rsidRPr="007D6D77" w:rsidRDefault="008552CE" w:rsidP="000427C9">
      <w:pPr>
        <w:pStyle w:val="BodyText"/>
        <w:rPr>
          <w:b/>
          <w:i/>
          <w:szCs w:val="22"/>
        </w:rPr>
      </w:pPr>
      <w:r w:rsidRPr="007D6D77">
        <w:rPr>
          <w:b/>
          <w:i/>
          <w:szCs w:val="22"/>
        </w:rPr>
        <w:t>Youth</w:t>
      </w:r>
      <w:r w:rsidR="00C57A86" w:rsidRPr="007D6D77">
        <w:rPr>
          <w:b/>
          <w:i/>
          <w:szCs w:val="22"/>
        </w:rPr>
        <w:t xml:space="preserve"> Surveys</w:t>
      </w:r>
    </w:p>
    <w:p w:rsidR="00A70E82" w:rsidRPr="007D6D77" w:rsidRDefault="00292820" w:rsidP="000427C9">
      <w:pPr>
        <w:pStyle w:val="BodyText"/>
        <w:rPr>
          <w:szCs w:val="22"/>
        </w:rPr>
      </w:pPr>
      <w:r w:rsidRPr="007D6D77">
        <w:rPr>
          <w:szCs w:val="22"/>
        </w:rPr>
        <w:t xml:space="preserve">The </w:t>
      </w:r>
      <w:r w:rsidR="006747CB" w:rsidRPr="007D6D77">
        <w:rPr>
          <w:szCs w:val="22"/>
        </w:rPr>
        <w:t>youths</w:t>
      </w:r>
      <w:r w:rsidRPr="007D6D77">
        <w:rPr>
          <w:szCs w:val="22"/>
        </w:rPr>
        <w:t xml:space="preserve"> in grades 6-8 taking part in stand-alone SoI camps </w:t>
      </w:r>
      <w:r w:rsidR="00F56709" w:rsidRPr="007D6D77">
        <w:rPr>
          <w:szCs w:val="22"/>
        </w:rPr>
        <w:t>across the award</w:t>
      </w:r>
      <w:r w:rsidR="008737D6" w:rsidRPr="007D6D77">
        <w:rPr>
          <w:szCs w:val="22"/>
        </w:rPr>
        <w:t>ee</w:t>
      </w:r>
      <w:r w:rsidR="00F56709" w:rsidRPr="007D6D77">
        <w:rPr>
          <w:szCs w:val="22"/>
        </w:rPr>
        <w:t xml:space="preserve">s </w:t>
      </w:r>
      <w:r w:rsidRPr="007D6D77">
        <w:rPr>
          <w:szCs w:val="22"/>
        </w:rPr>
        <w:t xml:space="preserve">will be </w:t>
      </w:r>
      <w:r w:rsidR="00F56709" w:rsidRPr="007D6D77">
        <w:rPr>
          <w:szCs w:val="22"/>
        </w:rPr>
        <w:t xml:space="preserve">asked to complete </w:t>
      </w:r>
      <w:r w:rsidRPr="007D6D77">
        <w:rPr>
          <w:szCs w:val="22"/>
        </w:rPr>
        <w:t>baseline and follow-up</w:t>
      </w:r>
      <w:r w:rsidR="00F56709" w:rsidRPr="007D6D77">
        <w:rPr>
          <w:szCs w:val="22"/>
        </w:rPr>
        <w:t xml:space="preserve"> surveys</w:t>
      </w:r>
      <w:r w:rsidR="00277309" w:rsidRPr="007D6D77">
        <w:rPr>
          <w:szCs w:val="22"/>
        </w:rPr>
        <w:t xml:space="preserve"> (</w:t>
      </w:r>
      <w:r w:rsidRPr="007D6D77">
        <w:rPr>
          <w:szCs w:val="22"/>
        </w:rPr>
        <w:t>see Appendices 3 and 5</w:t>
      </w:r>
      <w:r w:rsidR="00277309" w:rsidRPr="007D6D77">
        <w:rPr>
          <w:szCs w:val="22"/>
        </w:rPr>
        <w:t>)</w:t>
      </w:r>
      <w:r w:rsidR="00F86F3A" w:rsidRPr="007D6D77">
        <w:rPr>
          <w:szCs w:val="22"/>
        </w:rPr>
        <w:t xml:space="preserve">. </w:t>
      </w:r>
      <w:r w:rsidR="00835EC0" w:rsidRPr="007D6D77">
        <w:rPr>
          <w:szCs w:val="22"/>
        </w:rPr>
        <w:t xml:space="preserve">The baseline survey form provides information regarding the purpose of the data collection and collects data on motivation for registering for SoI, personal interest in STEM, and participation in STEM activities. The follow-up survey </w:t>
      </w:r>
      <w:r w:rsidR="00B65FD2" w:rsidRPr="007D6D77">
        <w:rPr>
          <w:szCs w:val="22"/>
        </w:rPr>
        <w:t xml:space="preserve">repeats questions on interest and participation in STEM to track differences in these areas and also asks questions </w:t>
      </w:r>
      <w:r w:rsidR="00B65FD2" w:rsidRPr="007D6D77">
        <w:rPr>
          <w:szCs w:val="22"/>
        </w:rPr>
        <w:lastRenderedPageBreak/>
        <w:t xml:space="preserve">that </w:t>
      </w:r>
      <w:r w:rsidR="00A16A5C" w:rsidRPr="007D6D77">
        <w:rPr>
          <w:szCs w:val="22"/>
        </w:rPr>
        <w:t>require</w:t>
      </w:r>
      <w:r w:rsidR="00A653B2" w:rsidRPr="007D6D77">
        <w:rPr>
          <w:szCs w:val="22"/>
        </w:rPr>
        <w:t xml:space="preserve"> youth to </w:t>
      </w:r>
      <w:r w:rsidR="00B65FD2" w:rsidRPr="007D6D77">
        <w:rPr>
          <w:szCs w:val="22"/>
        </w:rPr>
        <w:t xml:space="preserve">recall SoI and </w:t>
      </w:r>
      <w:r w:rsidR="00CD66BC" w:rsidRPr="007D6D77">
        <w:rPr>
          <w:szCs w:val="22"/>
        </w:rPr>
        <w:t xml:space="preserve">its impact on them. </w:t>
      </w:r>
      <w:r w:rsidRPr="007D6D77">
        <w:rPr>
          <w:szCs w:val="22"/>
        </w:rPr>
        <w:t>C</w:t>
      </w:r>
      <w:r w:rsidR="00AC1C2A" w:rsidRPr="007D6D77">
        <w:rPr>
          <w:szCs w:val="22"/>
        </w:rPr>
        <w:t>rosswalk</w:t>
      </w:r>
      <w:r w:rsidRPr="007D6D77">
        <w:rPr>
          <w:szCs w:val="22"/>
        </w:rPr>
        <w:t>s that describe</w:t>
      </w:r>
      <w:r w:rsidR="00AC1C2A" w:rsidRPr="007D6D77">
        <w:rPr>
          <w:szCs w:val="22"/>
        </w:rPr>
        <w:t xml:space="preserve"> how the survey items link to the research questions, their purpose, and their source</w:t>
      </w:r>
      <w:r w:rsidR="00137603" w:rsidRPr="007D6D77">
        <w:rPr>
          <w:szCs w:val="22"/>
        </w:rPr>
        <w:t>s</w:t>
      </w:r>
      <w:r w:rsidR="00AC1C2A" w:rsidRPr="007D6D77">
        <w:rPr>
          <w:szCs w:val="22"/>
        </w:rPr>
        <w:t xml:space="preserve"> </w:t>
      </w:r>
      <w:r w:rsidRPr="007D6D77">
        <w:rPr>
          <w:szCs w:val="22"/>
        </w:rPr>
        <w:t>are included in Appendices</w:t>
      </w:r>
      <w:r w:rsidR="00AC1C2A" w:rsidRPr="007D6D77">
        <w:rPr>
          <w:szCs w:val="22"/>
        </w:rPr>
        <w:t xml:space="preserve"> </w:t>
      </w:r>
      <w:r w:rsidRPr="007D6D77">
        <w:rPr>
          <w:szCs w:val="22"/>
        </w:rPr>
        <w:t>4 and 6</w:t>
      </w:r>
      <w:r w:rsidR="00AC1C2A" w:rsidRPr="007D6D77">
        <w:rPr>
          <w:szCs w:val="22"/>
        </w:rPr>
        <w:t>.</w:t>
      </w:r>
      <w:r w:rsidR="00D9753A" w:rsidRPr="007D6D77">
        <w:rPr>
          <w:szCs w:val="22"/>
        </w:rPr>
        <w:t xml:space="preserve"> </w:t>
      </w:r>
    </w:p>
    <w:p w:rsidR="00A70E82" w:rsidRPr="007D6D77" w:rsidRDefault="00A70E82" w:rsidP="000427C9">
      <w:pPr>
        <w:pStyle w:val="BodyText"/>
        <w:rPr>
          <w:szCs w:val="22"/>
        </w:rPr>
      </w:pPr>
    </w:p>
    <w:p w:rsidR="00A653B2" w:rsidRPr="007D6D77" w:rsidRDefault="00621878" w:rsidP="00B65FD2">
      <w:pPr>
        <w:pStyle w:val="PlainText"/>
        <w:spacing w:line="264" w:lineRule="auto"/>
        <w:rPr>
          <w:rFonts w:ascii="Times New Roman" w:hAnsi="Times New Roman"/>
          <w:szCs w:val="22"/>
        </w:rPr>
      </w:pPr>
      <w:r w:rsidRPr="007D6D77">
        <w:rPr>
          <w:rFonts w:ascii="Times New Roman" w:hAnsi="Times New Roman"/>
          <w:szCs w:val="22"/>
        </w:rPr>
        <w:t xml:space="preserve">The baseline youth survey form </w:t>
      </w:r>
      <w:r w:rsidR="002907A9" w:rsidRPr="007D6D77">
        <w:rPr>
          <w:rFonts w:ascii="Times New Roman" w:hAnsi="Times New Roman"/>
          <w:szCs w:val="22"/>
        </w:rPr>
        <w:t xml:space="preserve">will </w:t>
      </w:r>
      <w:r w:rsidRPr="007D6D77">
        <w:rPr>
          <w:rFonts w:ascii="Times New Roman" w:hAnsi="Times New Roman"/>
          <w:szCs w:val="22"/>
        </w:rPr>
        <w:t xml:space="preserve">be </w:t>
      </w:r>
      <w:r w:rsidR="002907A9" w:rsidRPr="007D6D77">
        <w:rPr>
          <w:rFonts w:ascii="Times New Roman" w:hAnsi="Times New Roman"/>
          <w:szCs w:val="22"/>
        </w:rPr>
        <w:t xml:space="preserve">made </w:t>
      </w:r>
      <w:r w:rsidRPr="007D6D77">
        <w:rPr>
          <w:rFonts w:ascii="Times New Roman" w:hAnsi="Times New Roman"/>
          <w:szCs w:val="22"/>
        </w:rPr>
        <w:t xml:space="preserve">available in </w:t>
      </w:r>
      <w:r w:rsidR="002907A9" w:rsidRPr="007D6D77">
        <w:rPr>
          <w:rFonts w:ascii="Times New Roman" w:hAnsi="Times New Roman"/>
          <w:szCs w:val="22"/>
        </w:rPr>
        <w:t>paper format.</w:t>
      </w:r>
      <w:r w:rsidRPr="007D6D77">
        <w:rPr>
          <w:rFonts w:ascii="Times New Roman" w:hAnsi="Times New Roman"/>
          <w:szCs w:val="22"/>
        </w:rPr>
        <w:t xml:space="preserve"> </w:t>
      </w:r>
      <w:r w:rsidR="002907A9" w:rsidRPr="007D6D77">
        <w:rPr>
          <w:rFonts w:ascii="Times New Roman" w:hAnsi="Times New Roman"/>
          <w:szCs w:val="22"/>
        </w:rPr>
        <w:t xml:space="preserve">The survey will be administered to all enrolled youth during the first day of the camp experience. Paper survey forms will be returned to </w:t>
      </w:r>
      <w:r w:rsidRPr="007D6D77">
        <w:rPr>
          <w:rFonts w:ascii="Times New Roman" w:hAnsi="Times New Roman"/>
          <w:szCs w:val="22"/>
        </w:rPr>
        <w:t xml:space="preserve">the external evaluator for safe-keeping and data entry. </w:t>
      </w:r>
    </w:p>
    <w:p w:rsidR="008D772A" w:rsidRPr="007D6D77" w:rsidRDefault="008D772A" w:rsidP="00B65FD2">
      <w:pPr>
        <w:pStyle w:val="PlainText"/>
        <w:spacing w:line="264" w:lineRule="auto"/>
        <w:rPr>
          <w:rFonts w:ascii="Times New Roman" w:hAnsi="Times New Roman"/>
          <w:szCs w:val="22"/>
        </w:rPr>
      </w:pPr>
    </w:p>
    <w:p w:rsidR="00BA4B6E" w:rsidRPr="007D6D77" w:rsidRDefault="00BA4B6E" w:rsidP="00BA4B6E">
      <w:pPr>
        <w:pStyle w:val="BodyText"/>
      </w:pPr>
      <w:r w:rsidRPr="007D6D77">
        <w:t xml:space="preserve">Follow-up surveys will be administered by mail </w:t>
      </w:r>
      <w:r w:rsidR="00FD7E60">
        <w:t xml:space="preserve">in October 2013, approximately </w:t>
      </w:r>
      <w:r w:rsidRPr="007D6D77">
        <w:t xml:space="preserve">three months following the completion of a camp. </w:t>
      </w:r>
      <w:r w:rsidR="00A40F13">
        <w:t>Since mobility is expected to be ongoing prior to the start of the school year, i</w:t>
      </w:r>
      <w:r w:rsidRPr="007D6D77">
        <w:t xml:space="preserve">n </w:t>
      </w:r>
      <w:r w:rsidR="00FD7E60">
        <w:t>September</w:t>
      </w:r>
      <w:r w:rsidRPr="007D6D77">
        <w:t xml:space="preserve">, the evaluation team will </w:t>
      </w:r>
      <w:r w:rsidR="00FD7E60">
        <w:t xml:space="preserve">send via first-class </w:t>
      </w:r>
      <w:r w:rsidRPr="007D6D77">
        <w:t xml:space="preserve">mail a pre-notification </w:t>
      </w:r>
      <w:r w:rsidR="00FD7E60">
        <w:t xml:space="preserve">letter </w:t>
      </w:r>
      <w:r w:rsidRPr="007D6D77">
        <w:t xml:space="preserve">to the </w:t>
      </w:r>
      <w:r w:rsidR="00FD7E60">
        <w:t xml:space="preserve">parent at their </w:t>
      </w:r>
      <w:r w:rsidRPr="007D6D77">
        <w:t xml:space="preserve">home addresses on file reminding </w:t>
      </w:r>
      <w:r w:rsidR="00FD7E60">
        <w:t xml:space="preserve">them </w:t>
      </w:r>
      <w:r w:rsidRPr="007D6D77">
        <w:t xml:space="preserve">that a survey </w:t>
      </w:r>
      <w:r w:rsidR="00E73619">
        <w:t xml:space="preserve">for their child </w:t>
      </w:r>
      <w:r w:rsidRPr="007D6D77">
        <w:t>will be coming in October</w:t>
      </w:r>
      <w:r w:rsidR="00FD7E60">
        <w:t xml:space="preserve">. </w:t>
      </w:r>
      <w:r w:rsidR="00E73619">
        <w:t>Given the short time period between follow-up survey reminder letter and follow-up survey administration, only one reminder will be sent. In addition to the the survey reminder, t</w:t>
      </w:r>
      <w:r w:rsidR="00FD7E60">
        <w:t xml:space="preserve">he first-class letter will contain a </w:t>
      </w:r>
      <w:r w:rsidR="000015E5">
        <w:t xml:space="preserve">pre-paid </w:t>
      </w:r>
      <w:r w:rsidR="00FD7E60">
        <w:t>postcard</w:t>
      </w:r>
      <w:r w:rsidR="000015E5">
        <w:t xml:space="preserve"> addressed to the </w:t>
      </w:r>
      <w:r w:rsidR="00A40F13">
        <w:t>external evaluator</w:t>
      </w:r>
      <w:r w:rsidR="00FD7E60">
        <w:t xml:space="preserve"> </w:t>
      </w:r>
      <w:r w:rsidRPr="007D6D77">
        <w:t xml:space="preserve">requesting </w:t>
      </w:r>
      <w:r w:rsidR="00FD7E60">
        <w:t xml:space="preserve">any </w:t>
      </w:r>
      <w:r w:rsidRPr="007D6D77">
        <w:t xml:space="preserve">updated contact information. </w:t>
      </w:r>
      <w:r w:rsidR="00FD7E60">
        <w:t xml:space="preserve">In addition to any postcards returned to the </w:t>
      </w:r>
      <w:r w:rsidR="00A40F13">
        <w:t>external evaluator</w:t>
      </w:r>
      <w:r w:rsidR="00FD7E60">
        <w:t xml:space="preserve">, updated addresses will be obtained through letters returned by the U.S. Postal Service with forwarding addresses. </w:t>
      </w:r>
      <w:r w:rsidR="00A40F13">
        <w:t>Further, the external evaluator will use the Lexis-Nexis database</w:t>
      </w:r>
      <w:r w:rsidR="00BC0FA3">
        <w:t xml:space="preserve">, </w:t>
      </w:r>
      <w:r w:rsidR="00BC0FA3" w:rsidRPr="00755AA4">
        <w:t>which provides access to public records to verify information</w:t>
      </w:r>
      <w:r w:rsidR="00BC0FA3">
        <w:t>,</w:t>
      </w:r>
      <w:r w:rsidR="00A40F13">
        <w:t xml:space="preserve"> to update home addresses. </w:t>
      </w:r>
      <w:r w:rsidRPr="007D6D77">
        <w:t xml:space="preserve">Follow-up student surveys will be mailed to the home address on file in October, with a return postage paid envelope. </w:t>
      </w:r>
      <w:r w:rsidR="00E73619">
        <w:t xml:space="preserve">Follow-up efforts to </w:t>
      </w:r>
      <w:r w:rsidRPr="007D6D77">
        <w:t>increase response rates</w:t>
      </w:r>
      <w:r w:rsidR="00E73619">
        <w:t xml:space="preserve"> include </w:t>
      </w:r>
      <w:r w:rsidR="00E73619" w:rsidRPr="007D6D77">
        <w:t>up to three phone calls to encourage non-respo</w:t>
      </w:r>
      <w:r w:rsidR="00E73619">
        <w:t xml:space="preserve">nders to complete their surveys </w:t>
      </w:r>
      <w:r w:rsidRPr="007D6D77">
        <w:t xml:space="preserve">and mailing another copy of the survey to non-responders. </w:t>
      </w:r>
    </w:p>
    <w:p w:rsidR="00BA4B6E" w:rsidRPr="007D6D77" w:rsidRDefault="00BA4B6E" w:rsidP="00621878">
      <w:pPr>
        <w:pStyle w:val="BodyText"/>
      </w:pPr>
    </w:p>
    <w:p w:rsidR="00A653B2" w:rsidRPr="007D6D77" w:rsidRDefault="00621878" w:rsidP="00621878">
      <w:pPr>
        <w:pStyle w:val="BodyText"/>
        <w:rPr>
          <w:color w:val="000000"/>
          <w:szCs w:val="22"/>
        </w:rPr>
      </w:pPr>
      <w:r w:rsidRPr="007D6D77">
        <w:rPr>
          <w:szCs w:val="22"/>
        </w:rPr>
        <w:t xml:space="preserve">We anticipate that baseline survey administration will begin as early as </w:t>
      </w:r>
      <w:r w:rsidR="008D772A" w:rsidRPr="007D6D77">
        <w:rPr>
          <w:szCs w:val="22"/>
        </w:rPr>
        <w:t>May</w:t>
      </w:r>
      <w:r w:rsidRPr="007D6D77">
        <w:rPr>
          <w:szCs w:val="22"/>
        </w:rPr>
        <w:t xml:space="preserve"> 2013 and follow-up survey administration </w:t>
      </w:r>
      <w:r w:rsidR="00E73619">
        <w:rPr>
          <w:szCs w:val="22"/>
        </w:rPr>
        <w:t>in October</w:t>
      </w:r>
      <w:r w:rsidRPr="007D6D77">
        <w:rPr>
          <w:szCs w:val="22"/>
        </w:rPr>
        <w:t xml:space="preserve"> 2013. </w:t>
      </w:r>
      <w:r w:rsidR="00BA4B6E" w:rsidRPr="007D6D77">
        <w:rPr>
          <w:szCs w:val="22"/>
        </w:rPr>
        <w:t>Data collection procedures are</w:t>
      </w:r>
      <w:r w:rsidR="00A653B2" w:rsidRPr="007D6D77">
        <w:rPr>
          <w:szCs w:val="22"/>
        </w:rPr>
        <w:t xml:space="preserve"> </w:t>
      </w:r>
      <w:r w:rsidR="00BA4B6E" w:rsidRPr="007D6D77">
        <w:rPr>
          <w:szCs w:val="22"/>
        </w:rPr>
        <w:t xml:space="preserve">also </w:t>
      </w:r>
      <w:r w:rsidR="00A653B2" w:rsidRPr="007D6D77">
        <w:rPr>
          <w:szCs w:val="22"/>
        </w:rPr>
        <w:t xml:space="preserve">discussed in </w:t>
      </w:r>
      <w:r w:rsidR="00BA4B6E" w:rsidRPr="007D6D77">
        <w:rPr>
          <w:szCs w:val="22"/>
        </w:rPr>
        <w:t>Part B.</w:t>
      </w:r>
    </w:p>
    <w:p w:rsidR="00B65FD2" w:rsidRPr="007D6D77" w:rsidRDefault="00B65FD2" w:rsidP="000427C9">
      <w:pPr>
        <w:pStyle w:val="BodyText"/>
        <w:rPr>
          <w:szCs w:val="22"/>
        </w:rPr>
      </w:pPr>
    </w:p>
    <w:p w:rsidR="0043055C" w:rsidRPr="007D6D77" w:rsidRDefault="0080071D" w:rsidP="00F13CFF">
      <w:pPr>
        <w:pStyle w:val="BodyText"/>
        <w:rPr>
          <w:b/>
          <w:i/>
          <w:szCs w:val="22"/>
        </w:rPr>
      </w:pPr>
      <w:r w:rsidRPr="007D6D77">
        <w:rPr>
          <w:b/>
          <w:i/>
          <w:szCs w:val="22"/>
        </w:rPr>
        <w:t>Teacher Focus Group Discussions</w:t>
      </w:r>
    </w:p>
    <w:p w:rsidR="00725F53" w:rsidRPr="007D6D77" w:rsidRDefault="0080071D" w:rsidP="00131481">
      <w:pPr>
        <w:pStyle w:val="BodyText"/>
        <w:rPr>
          <w:szCs w:val="22"/>
        </w:rPr>
      </w:pPr>
      <w:r w:rsidRPr="007D6D77">
        <w:rPr>
          <w:szCs w:val="22"/>
        </w:rPr>
        <w:t>Approximately 50 teachers will be asked to participate in focus group discussions held in conjunction with site visits c</w:t>
      </w:r>
      <w:r w:rsidR="00FC614D" w:rsidRPr="007D6D77">
        <w:rPr>
          <w:szCs w:val="22"/>
        </w:rPr>
        <w:t>onducted to each participating a</w:t>
      </w:r>
      <w:r w:rsidRPr="007D6D77">
        <w:rPr>
          <w:szCs w:val="22"/>
        </w:rPr>
        <w:t>wardees’ summer program</w:t>
      </w:r>
      <w:r w:rsidR="00DB2D00" w:rsidRPr="007D6D77">
        <w:rPr>
          <w:szCs w:val="22"/>
        </w:rPr>
        <w:t xml:space="preserve">. </w:t>
      </w:r>
      <w:r w:rsidR="00D10A52" w:rsidRPr="007D6D77">
        <w:rPr>
          <w:szCs w:val="22"/>
        </w:rPr>
        <w:t>See</w:t>
      </w:r>
      <w:r w:rsidR="00A653B2" w:rsidRPr="007D6D77">
        <w:rPr>
          <w:szCs w:val="22"/>
        </w:rPr>
        <w:t xml:space="preserve"> Appendices 7 and 8</w:t>
      </w:r>
      <w:r w:rsidR="00B14984" w:rsidRPr="007D6D77">
        <w:rPr>
          <w:szCs w:val="22"/>
        </w:rPr>
        <w:t xml:space="preserve"> </w:t>
      </w:r>
      <w:r w:rsidR="00486808" w:rsidRPr="007D6D77">
        <w:rPr>
          <w:szCs w:val="22"/>
        </w:rPr>
        <w:t xml:space="preserve">for </w:t>
      </w:r>
      <w:r w:rsidR="00A653B2" w:rsidRPr="007D6D77">
        <w:rPr>
          <w:szCs w:val="22"/>
        </w:rPr>
        <w:t xml:space="preserve">the focus group </w:t>
      </w:r>
      <w:r w:rsidR="00131481" w:rsidRPr="007D6D77">
        <w:rPr>
          <w:szCs w:val="22"/>
        </w:rPr>
        <w:t xml:space="preserve">protocol, including the consent script. The protocol asks questions about camp-level implementation intended to ascertain the supports and challenges awardees faced in implementing SoI curricula; the staff, materials, and NASA resources necessary for successful SoI activities; and the timing of plans and preparation for successful program implementation. </w:t>
      </w:r>
      <w:r w:rsidR="00564039" w:rsidRPr="007D6D77">
        <w:rPr>
          <w:szCs w:val="22"/>
        </w:rPr>
        <w:t xml:space="preserve">These </w:t>
      </w:r>
      <w:r w:rsidR="00D27BA8" w:rsidRPr="007D6D77">
        <w:rPr>
          <w:szCs w:val="22"/>
        </w:rPr>
        <w:t>interviews</w:t>
      </w:r>
      <w:r w:rsidR="00564039" w:rsidRPr="007D6D77">
        <w:rPr>
          <w:szCs w:val="22"/>
        </w:rPr>
        <w:t xml:space="preserve"> will allow the evaluators to collect qualitative descriptions </w:t>
      </w:r>
      <w:r w:rsidR="00B14984" w:rsidRPr="007D6D77">
        <w:rPr>
          <w:szCs w:val="22"/>
        </w:rPr>
        <w:t xml:space="preserve">of the SoI </w:t>
      </w:r>
      <w:r w:rsidR="00131481" w:rsidRPr="007D6D77">
        <w:rPr>
          <w:szCs w:val="22"/>
        </w:rPr>
        <w:t xml:space="preserve">programs </w:t>
      </w:r>
      <w:r w:rsidR="00B14984" w:rsidRPr="007D6D77">
        <w:rPr>
          <w:szCs w:val="22"/>
        </w:rPr>
        <w:t xml:space="preserve">as implemented </w:t>
      </w:r>
      <w:r w:rsidR="00564039" w:rsidRPr="007D6D77">
        <w:rPr>
          <w:szCs w:val="22"/>
        </w:rPr>
        <w:t>that will c</w:t>
      </w:r>
      <w:r w:rsidR="00F2044C" w:rsidRPr="007D6D77">
        <w:rPr>
          <w:szCs w:val="22"/>
        </w:rPr>
        <w:t xml:space="preserve">omplement </w:t>
      </w:r>
      <w:r w:rsidR="00305D5E" w:rsidRPr="007D6D77">
        <w:rPr>
          <w:szCs w:val="22"/>
        </w:rPr>
        <w:t xml:space="preserve">information collected through the PI interviews and </w:t>
      </w:r>
      <w:r w:rsidR="00F2044C" w:rsidRPr="007D6D77">
        <w:rPr>
          <w:szCs w:val="22"/>
        </w:rPr>
        <w:t xml:space="preserve">the quantitative </w:t>
      </w:r>
      <w:r w:rsidR="00305D5E" w:rsidRPr="007D6D77">
        <w:rPr>
          <w:szCs w:val="22"/>
        </w:rPr>
        <w:t>performance</w:t>
      </w:r>
      <w:r w:rsidR="00564039" w:rsidRPr="007D6D77">
        <w:rPr>
          <w:szCs w:val="22"/>
        </w:rPr>
        <w:t xml:space="preserve"> data collected through reporting forms. </w:t>
      </w:r>
    </w:p>
    <w:p w:rsidR="00621878" w:rsidRPr="007D6D77" w:rsidRDefault="00621878" w:rsidP="00131481">
      <w:pPr>
        <w:pStyle w:val="BodyText"/>
        <w:rPr>
          <w:szCs w:val="22"/>
        </w:rPr>
      </w:pPr>
    </w:p>
    <w:p w:rsidR="00621878" w:rsidRPr="007D6D77" w:rsidRDefault="00621878" w:rsidP="00621878">
      <w:pPr>
        <w:pStyle w:val="BodyText"/>
        <w:rPr>
          <w:szCs w:val="22"/>
        </w:rPr>
      </w:pPr>
      <w:r w:rsidRPr="007D6D77">
        <w:rPr>
          <w:szCs w:val="22"/>
        </w:rPr>
        <w:t xml:space="preserve">The external evaluator will work closely with the participating awardees </w:t>
      </w:r>
      <w:r w:rsidR="002D0A54" w:rsidRPr="007D6D77">
        <w:rPr>
          <w:szCs w:val="22"/>
        </w:rPr>
        <w:t xml:space="preserve">and camp staff </w:t>
      </w:r>
      <w:r w:rsidRPr="007D6D77">
        <w:rPr>
          <w:szCs w:val="22"/>
        </w:rPr>
        <w:t xml:space="preserve">to issue an invitation to all lead camp teachers to participate in one focus group discussion per awardee. The emailed invitation will include in part the consent script included in Appendix 8. The focus group discussion will be facilitated on-site as part of a regularly scheduled evaluation site visit. The awardee will be responsible for coordinating the logistics for the focus group discussion, including providing a location appropriate to convening a focus group discussion. Representatives from the awardee administration and NASA will not be permitted to observe the discussion. The external evaluator, with the permission of the participating teachers, will audio-record the focus group discussion and produced a transcript for analysis. Content analysis will be supported using qualitative data analysis software (N-Vivo), with themes and sub-themes identified using the original questions as guiding categories. </w:t>
      </w:r>
    </w:p>
    <w:p w:rsidR="00621878" w:rsidRPr="007D6D77" w:rsidRDefault="00621878" w:rsidP="00131481">
      <w:pPr>
        <w:pStyle w:val="BodyText"/>
        <w:rPr>
          <w:szCs w:val="22"/>
        </w:rPr>
      </w:pPr>
    </w:p>
    <w:p w:rsidR="003E3DDE" w:rsidRPr="007D6D77" w:rsidRDefault="003E3DDE" w:rsidP="00C54A4D">
      <w:pPr>
        <w:pStyle w:val="subheading"/>
        <w:spacing w:after="0"/>
        <w:rPr>
          <w:rFonts w:ascii="Times New Roman" w:hAnsi="Times New Roman"/>
          <w:sz w:val="22"/>
          <w:szCs w:val="22"/>
        </w:rPr>
      </w:pPr>
      <w:bookmarkStart w:id="20" w:name="_Toc341972155"/>
      <w:r w:rsidRPr="007D6D77">
        <w:rPr>
          <w:rFonts w:ascii="Times New Roman" w:hAnsi="Times New Roman"/>
          <w:sz w:val="22"/>
          <w:szCs w:val="22"/>
        </w:rPr>
        <w:lastRenderedPageBreak/>
        <w:t>Who Will Collect the Information</w:t>
      </w:r>
      <w:bookmarkEnd w:id="20"/>
    </w:p>
    <w:p w:rsidR="00C54A4D" w:rsidRPr="007D6D77" w:rsidRDefault="00C54A4D" w:rsidP="00C54A4D">
      <w:pPr>
        <w:pStyle w:val="subheading"/>
        <w:spacing w:after="0"/>
        <w:rPr>
          <w:rFonts w:ascii="Times New Roman" w:hAnsi="Times New Roman"/>
          <w:sz w:val="22"/>
          <w:szCs w:val="22"/>
        </w:rPr>
      </w:pPr>
    </w:p>
    <w:p w:rsidR="007A7396" w:rsidRPr="007D6D77" w:rsidRDefault="00C00837" w:rsidP="00C54A4D">
      <w:pPr>
        <w:pStyle w:val="BodyText"/>
        <w:rPr>
          <w:szCs w:val="22"/>
        </w:rPr>
      </w:pPr>
      <w:r w:rsidRPr="007D6D77">
        <w:rPr>
          <w:szCs w:val="22"/>
        </w:rPr>
        <w:t xml:space="preserve">As part of the solicitation, awardees have been notified that they will be required to identify an </w:t>
      </w:r>
      <w:r w:rsidR="004D2B62" w:rsidRPr="007D6D77">
        <w:rPr>
          <w:szCs w:val="22"/>
        </w:rPr>
        <w:t>evaluation</w:t>
      </w:r>
      <w:r w:rsidRPr="007D6D77">
        <w:rPr>
          <w:szCs w:val="22"/>
        </w:rPr>
        <w:t xml:space="preserve"> coordinator </w:t>
      </w:r>
      <w:r w:rsidR="00D74389" w:rsidRPr="007D6D77">
        <w:rPr>
          <w:szCs w:val="22"/>
        </w:rPr>
        <w:t xml:space="preserve">among their staff </w:t>
      </w:r>
      <w:r w:rsidRPr="007D6D77">
        <w:rPr>
          <w:szCs w:val="22"/>
        </w:rPr>
        <w:t xml:space="preserve">who will assist in the evaluation’s data collection. </w:t>
      </w:r>
      <w:r w:rsidR="00D74389" w:rsidRPr="007D6D77">
        <w:rPr>
          <w:szCs w:val="22"/>
        </w:rPr>
        <w:t xml:space="preserve">These </w:t>
      </w:r>
      <w:r w:rsidR="00042D71" w:rsidRPr="007D6D77">
        <w:rPr>
          <w:szCs w:val="22"/>
        </w:rPr>
        <w:t xml:space="preserve">coordinators will be responsible for </w:t>
      </w:r>
      <w:r w:rsidR="00FC614D" w:rsidRPr="007D6D77">
        <w:rPr>
          <w:szCs w:val="22"/>
        </w:rPr>
        <w:t xml:space="preserve">overseeing the </w:t>
      </w:r>
      <w:r w:rsidR="00E25834" w:rsidRPr="007D6D77">
        <w:rPr>
          <w:szCs w:val="22"/>
        </w:rPr>
        <w:t xml:space="preserve">registration process, including the </w:t>
      </w:r>
      <w:r w:rsidR="002D0A54" w:rsidRPr="007D6D77">
        <w:rPr>
          <w:szCs w:val="22"/>
        </w:rPr>
        <w:t xml:space="preserve">overall </w:t>
      </w:r>
      <w:r w:rsidR="00E25834" w:rsidRPr="007D6D77">
        <w:rPr>
          <w:szCs w:val="22"/>
        </w:rPr>
        <w:t xml:space="preserve">administration of </w:t>
      </w:r>
      <w:r w:rsidR="00042D71" w:rsidRPr="007D6D77">
        <w:rPr>
          <w:szCs w:val="22"/>
        </w:rPr>
        <w:t xml:space="preserve">the </w:t>
      </w:r>
      <w:r w:rsidR="00722179" w:rsidRPr="007D6D77">
        <w:rPr>
          <w:szCs w:val="22"/>
        </w:rPr>
        <w:t>parent survey</w:t>
      </w:r>
      <w:r w:rsidR="00AB7F9E" w:rsidRPr="007D6D77">
        <w:rPr>
          <w:szCs w:val="22"/>
        </w:rPr>
        <w:t xml:space="preserve"> form and </w:t>
      </w:r>
      <w:r w:rsidR="00CD0F7C" w:rsidRPr="007D6D77">
        <w:rPr>
          <w:szCs w:val="22"/>
        </w:rPr>
        <w:t xml:space="preserve">the </w:t>
      </w:r>
      <w:r w:rsidR="00B254F4" w:rsidRPr="007D6D77">
        <w:rPr>
          <w:szCs w:val="22"/>
        </w:rPr>
        <w:t xml:space="preserve">baseline </w:t>
      </w:r>
      <w:r w:rsidR="008552CE" w:rsidRPr="007D6D77">
        <w:rPr>
          <w:szCs w:val="22"/>
        </w:rPr>
        <w:t>youth</w:t>
      </w:r>
      <w:r w:rsidR="00CD0F7C" w:rsidRPr="007D6D77">
        <w:rPr>
          <w:szCs w:val="22"/>
        </w:rPr>
        <w:t xml:space="preserve"> </w:t>
      </w:r>
      <w:r w:rsidR="00042D71" w:rsidRPr="007D6D77">
        <w:rPr>
          <w:szCs w:val="22"/>
        </w:rPr>
        <w:t xml:space="preserve">surveys </w:t>
      </w:r>
      <w:r w:rsidR="00CD0F7C" w:rsidRPr="007D6D77">
        <w:rPr>
          <w:szCs w:val="22"/>
        </w:rPr>
        <w:t xml:space="preserve">as well as </w:t>
      </w:r>
      <w:r w:rsidR="00B254F4" w:rsidRPr="007D6D77">
        <w:rPr>
          <w:szCs w:val="22"/>
        </w:rPr>
        <w:t xml:space="preserve">supporting the external evaluator in the recruitment of teachers for the focus group discussions. </w:t>
      </w:r>
      <w:r w:rsidR="002D0A54" w:rsidRPr="007D6D77">
        <w:rPr>
          <w:szCs w:val="22"/>
        </w:rPr>
        <w:t xml:space="preserve">An evaluation point of contact will also be identified at each camp. This individual will hold responsibility for ensuring that baseline youth surveys are administered by camp instructors and collected and submitted to the external evaluator. </w:t>
      </w:r>
      <w:r w:rsidR="00B254F4" w:rsidRPr="007D6D77">
        <w:rPr>
          <w:szCs w:val="22"/>
        </w:rPr>
        <w:t xml:space="preserve">The </w:t>
      </w:r>
      <w:r w:rsidR="00F72B04" w:rsidRPr="007D6D77">
        <w:rPr>
          <w:szCs w:val="22"/>
        </w:rPr>
        <w:t>awardee- and camp-level evaluation points of contact</w:t>
      </w:r>
      <w:r w:rsidR="00B254F4" w:rsidRPr="007D6D77">
        <w:rPr>
          <w:szCs w:val="22"/>
        </w:rPr>
        <w:t xml:space="preserve"> will also be responsible for ensuring that student contact information is updated at the conclusion of each camp.</w:t>
      </w:r>
      <w:r w:rsidR="00F72B04" w:rsidRPr="007D6D77">
        <w:rPr>
          <w:rStyle w:val="FootnoteReference"/>
          <w:szCs w:val="22"/>
        </w:rPr>
        <w:footnoteReference w:id="4"/>
      </w:r>
      <w:r w:rsidR="00B254F4" w:rsidRPr="007D6D77">
        <w:rPr>
          <w:szCs w:val="22"/>
        </w:rPr>
        <w:t xml:space="preserve"> </w:t>
      </w:r>
      <w:r w:rsidR="00FC614D" w:rsidRPr="007D6D77">
        <w:rPr>
          <w:szCs w:val="22"/>
        </w:rPr>
        <w:t xml:space="preserve">The awardee PIs/POCs </w:t>
      </w:r>
      <w:r w:rsidR="007A7396" w:rsidRPr="007D6D77">
        <w:rPr>
          <w:szCs w:val="22"/>
        </w:rPr>
        <w:t>will be accountable to NASA for ensuring that all data collection occurs in a timely manner.</w:t>
      </w:r>
      <w:r w:rsidR="00B254F4" w:rsidRPr="007D6D77">
        <w:rPr>
          <w:szCs w:val="22"/>
        </w:rPr>
        <w:t xml:space="preserve"> The external evaluator will be responsible for administering the follow-up survey and facilitating the focus group discussions.</w:t>
      </w:r>
      <w:r w:rsidR="004D2B62" w:rsidRPr="007D6D77">
        <w:rPr>
          <w:szCs w:val="22"/>
        </w:rPr>
        <w:t xml:space="preserve"> The NASA Headquarters Evaluation Manager is responsible for providing oversight of the evaluation, while the SoI Evaluation Team, which includes SoI project staff, external evaluator representatives, and the Evaluation Manager, will coordinate evaluation activities. </w:t>
      </w:r>
    </w:p>
    <w:p w:rsidR="007A7396" w:rsidRPr="007D6D77" w:rsidRDefault="007A7396" w:rsidP="00C54A4D">
      <w:pPr>
        <w:pStyle w:val="BodyText"/>
        <w:rPr>
          <w:szCs w:val="22"/>
        </w:rPr>
      </w:pPr>
    </w:p>
    <w:p w:rsidR="00770310" w:rsidRPr="007D6D77" w:rsidRDefault="006C18F8" w:rsidP="00C54A4D">
      <w:pPr>
        <w:pStyle w:val="BodyText"/>
        <w:rPr>
          <w:szCs w:val="22"/>
        </w:rPr>
      </w:pPr>
      <w:r w:rsidRPr="007D6D77">
        <w:rPr>
          <w:szCs w:val="22"/>
        </w:rPr>
        <w:t xml:space="preserve">NASA will negotiate the awardees’ statements of collaboration </w:t>
      </w:r>
      <w:r w:rsidR="00FC614D" w:rsidRPr="007D6D77">
        <w:rPr>
          <w:szCs w:val="22"/>
        </w:rPr>
        <w:t xml:space="preserve">and agreements </w:t>
      </w:r>
      <w:r w:rsidRPr="007D6D77">
        <w:rPr>
          <w:szCs w:val="22"/>
        </w:rPr>
        <w:t xml:space="preserve">to explicitly include specific roles and responsibilities for the collection of data, including evaluation data. </w:t>
      </w:r>
      <w:r w:rsidR="006F0C59" w:rsidRPr="007D6D77">
        <w:rPr>
          <w:szCs w:val="22"/>
        </w:rPr>
        <w:t xml:space="preserve">During the kick-off </w:t>
      </w:r>
      <w:r w:rsidR="00FC614D" w:rsidRPr="007D6D77">
        <w:rPr>
          <w:szCs w:val="22"/>
        </w:rPr>
        <w:t>meeting held in</w:t>
      </w:r>
      <w:r w:rsidR="00AB7F9E" w:rsidRPr="007D6D77">
        <w:rPr>
          <w:szCs w:val="22"/>
        </w:rPr>
        <w:t xml:space="preserve"> November 2012</w:t>
      </w:r>
      <w:r w:rsidR="006F0C59" w:rsidRPr="007D6D77">
        <w:rPr>
          <w:szCs w:val="22"/>
        </w:rPr>
        <w:t xml:space="preserve">, the </w:t>
      </w:r>
      <w:r w:rsidR="00654BB0" w:rsidRPr="007D6D77">
        <w:rPr>
          <w:szCs w:val="22"/>
        </w:rPr>
        <w:t xml:space="preserve">NASA evaluation manager </w:t>
      </w:r>
      <w:r w:rsidR="00784731" w:rsidRPr="007D6D77">
        <w:rPr>
          <w:szCs w:val="22"/>
        </w:rPr>
        <w:t>present</w:t>
      </w:r>
      <w:r w:rsidR="00FC614D" w:rsidRPr="007D6D77">
        <w:rPr>
          <w:szCs w:val="22"/>
        </w:rPr>
        <w:t>ed</w:t>
      </w:r>
      <w:r w:rsidR="00784731" w:rsidRPr="007D6D77">
        <w:rPr>
          <w:szCs w:val="22"/>
        </w:rPr>
        <w:t xml:space="preserve"> </w:t>
      </w:r>
      <w:r w:rsidR="006F0C59" w:rsidRPr="007D6D77">
        <w:rPr>
          <w:szCs w:val="22"/>
        </w:rPr>
        <w:t xml:space="preserve">the </w:t>
      </w:r>
      <w:r w:rsidR="00137603" w:rsidRPr="007D6D77">
        <w:rPr>
          <w:szCs w:val="22"/>
        </w:rPr>
        <w:t xml:space="preserve">purpose of the </w:t>
      </w:r>
      <w:r w:rsidR="006F0C59" w:rsidRPr="007D6D77">
        <w:rPr>
          <w:szCs w:val="22"/>
        </w:rPr>
        <w:t xml:space="preserve">evaluation to the principal investigators </w:t>
      </w:r>
      <w:r w:rsidR="00042D71" w:rsidRPr="007D6D77">
        <w:rPr>
          <w:szCs w:val="22"/>
        </w:rPr>
        <w:t xml:space="preserve">(PIs) </w:t>
      </w:r>
      <w:r w:rsidR="006F0C59" w:rsidRPr="007D6D77">
        <w:rPr>
          <w:szCs w:val="22"/>
        </w:rPr>
        <w:t xml:space="preserve">and </w:t>
      </w:r>
      <w:r w:rsidR="00722179" w:rsidRPr="007D6D77">
        <w:rPr>
          <w:szCs w:val="22"/>
        </w:rPr>
        <w:t xml:space="preserve">their evaluation coordinators and </w:t>
      </w:r>
      <w:r w:rsidR="00FC614D" w:rsidRPr="007D6D77">
        <w:rPr>
          <w:szCs w:val="22"/>
        </w:rPr>
        <w:t>outline</w:t>
      </w:r>
      <w:r w:rsidR="00A76DAD">
        <w:rPr>
          <w:szCs w:val="22"/>
        </w:rPr>
        <w:t>d</w:t>
      </w:r>
      <w:r w:rsidR="00FC614D" w:rsidRPr="007D6D77">
        <w:rPr>
          <w:szCs w:val="22"/>
        </w:rPr>
        <w:t xml:space="preserve"> their responsibilities; individual conversations were also held with center POCs explaining the evaluation redesign. </w:t>
      </w:r>
      <w:r w:rsidR="0041567C" w:rsidRPr="007D6D77">
        <w:rPr>
          <w:szCs w:val="22"/>
        </w:rPr>
        <w:t>Prior to administration</w:t>
      </w:r>
      <w:r w:rsidR="006F0C59" w:rsidRPr="007D6D77">
        <w:rPr>
          <w:szCs w:val="22"/>
        </w:rPr>
        <w:t>,</w:t>
      </w:r>
      <w:r w:rsidR="0084390F" w:rsidRPr="007D6D77">
        <w:rPr>
          <w:szCs w:val="22"/>
        </w:rPr>
        <w:t xml:space="preserve"> </w:t>
      </w:r>
      <w:r w:rsidR="00042D71" w:rsidRPr="007D6D77">
        <w:rPr>
          <w:szCs w:val="22"/>
        </w:rPr>
        <w:t>mandatory</w:t>
      </w:r>
      <w:r w:rsidR="006F0C59" w:rsidRPr="007D6D77">
        <w:rPr>
          <w:szCs w:val="22"/>
        </w:rPr>
        <w:t xml:space="preserve"> webinar training</w:t>
      </w:r>
      <w:r w:rsidR="00042D71" w:rsidRPr="007D6D77">
        <w:rPr>
          <w:szCs w:val="22"/>
        </w:rPr>
        <w:t>s</w:t>
      </w:r>
      <w:r w:rsidR="006F0C59" w:rsidRPr="007D6D77">
        <w:rPr>
          <w:szCs w:val="22"/>
        </w:rPr>
        <w:t xml:space="preserve"> </w:t>
      </w:r>
      <w:r w:rsidR="00784731" w:rsidRPr="007D6D77">
        <w:rPr>
          <w:szCs w:val="22"/>
        </w:rPr>
        <w:t xml:space="preserve">will be </w:t>
      </w:r>
      <w:r w:rsidR="006F0C59" w:rsidRPr="007D6D77">
        <w:rPr>
          <w:szCs w:val="22"/>
        </w:rPr>
        <w:t>provided to</w:t>
      </w:r>
      <w:r w:rsidR="00C00837" w:rsidRPr="007D6D77">
        <w:rPr>
          <w:szCs w:val="22"/>
        </w:rPr>
        <w:t xml:space="preserve"> </w:t>
      </w:r>
      <w:r w:rsidR="00FC614D" w:rsidRPr="007D6D77">
        <w:rPr>
          <w:szCs w:val="22"/>
        </w:rPr>
        <w:t xml:space="preserve">evaluation </w:t>
      </w:r>
      <w:r w:rsidR="0041567C" w:rsidRPr="007D6D77">
        <w:rPr>
          <w:szCs w:val="22"/>
        </w:rPr>
        <w:t>points of contacts</w:t>
      </w:r>
      <w:r w:rsidR="00B254F4" w:rsidRPr="007D6D77">
        <w:rPr>
          <w:szCs w:val="22"/>
        </w:rPr>
        <w:t xml:space="preserve"> </w:t>
      </w:r>
      <w:r w:rsidR="00042D71" w:rsidRPr="007D6D77">
        <w:rPr>
          <w:szCs w:val="22"/>
        </w:rPr>
        <w:t>and PIs</w:t>
      </w:r>
      <w:r w:rsidR="00C00837" w:rsidRPr="007D6D77">
        <w:rPr>
          <w:szCs w:val="22"/>
        </w:rPr>
        <w:t xml:space="preserve"> </w:t>
      </w:r>
      <w:r w:rsidR="00042D71" w:rsidRPr="007D6D77">
        <w:rPr>
          <w:szCs w:val="22"/>
        </w:rPr>
        <w:t xml:space="preserve">in order to prepare them </w:t>
      </w:r>
      <w:r w:rsidR="00541164" w:rsidRPr="007D6D77">
        <w:rPr>
          <w:szCs w:val="22"/>
        </w:rPr>
        <w:t xml:space="preserve">to </w:t>
      </w:r>
      <w:r w:rsidR="0087133E">
        <w:rPr>
          <w:szCs w:val="22"/>
        </w:rPr>
        <w:t xml:space="preserve">collect parent consent and </w:t>
      </w:r>
      <w:r w:rsidR="00C00837" w:rsidRPr="007D6D77">
        <w:rPr>
          <w:szCs w:val="22"/>
        </w:rPr>
        <w:t>administer</w:t>
      </w:r>
      <w:r w:rsidR="00541164" w:rsidRPr="007D6D77">
        <w:rPr>
          <w:szCs w:val="22"/>
        </w:rPr>
        <w:t xml:space="preserve"> the surveys to ensure that the data are collected </w:t>
      </w:r>
      <w:r w:rsidR="00D457F7" w:rsidRPr="007D6D77">
        <w:rPr>
          <w:szCs w:val="22"/>
        </w:rPr>
        <w:t>consistently a</w:t>
      </w:r>
      <w:r w:rsidR="00C00837" w:rsidRPr="007D6D77">
        <w:rPr>
          <w:szCs w:val="22"/>
        </w:rPr>
        <w:t xml:space="preserve">cross </w:t>
      </w:r>
      <w:r w:rsidR="00541164" w:rsidRPr="007D6D77">
        <w:rPr>
          <w:szCs w:val="22"/>
        </w:rPr>
        <w:t>sites</w:t>
      </w:r>
      <w:r w:rsidR="00C00837" w:rsidRPr="007D6D77">
        <w:rPr>
          <w:szCs w:val="22"/>
        </w:rPr>
        <w:t xml:space="preserve">. </w:t>
      </w:r>
      <w:r w:rsidR="00042D71" w:rsidRPr="007D6D77">
        <w:rPr>
          <w:szCs w:val="22"/>
        </w:rPr>
        <w:t xml:space="preserve"> Additional </w:t>
      </w:r>
      <w:r w:rsidR="00EA4285" w:rsidRPr="007D6D77">
        <w:rPr>
          <w:szCs w:val="22"/>
        </w:rPr>
        <w:t xml:space="preserve">evaluation </w:t>
      </w:r>
      <w:r w:rsidR="00042D71" w:rsidRPr="007D6D77">
        <w:rPr>
          <w:szCs w:val="22"/>
        </w:rPr>
        <w:t xml:space="preserve">guidance will be provided </w:t>
      </w:r>
      <w:r w:rsidR="00EA4285" w:rsidRPr="007D6D77">
        <w:rPr>
          <w:szCs w:val="22"/>
        </w:rPr>
        <w:t>in FY 201</w:t>
      </w:r>
      <w:r w:rsidR="00FC614D" w:rsidRPr="007D6D77">
        <w:rPr>
          <w:szCs w:val="22"/>
        </w:rPr>
        <w:t>3</w:t>
      </w:r>
      <w:r w:rsidR="00EA4285" w:rsidRPr="007D6D77">
        <w:rPr>
          <w:szCs w:val="22"/>
        </w:rPr>
        <w:t xml:space="preserve"> to awardees in the form of a comprehensive guide to the evaluation activities available online and in hardcopy. </w:t>
      </w:r>
    </w:p>
    <w:p w:rsidR="00722179" w:rsidRPr="007D6D77" w:rsidRDefault="00722179" w:rsidP="00C54A4D">
      <w:pPr>
        <w:pStyle w:val="BodyText"/>
        <w:rPr>
          <w:szCs w:val="22"/>
        </w:rPr>
      </w:pPr>
    </w:p>
    <w:p w:rsidR="00C00837" w:rsidRPr="007D6D77" w:rsidRDefault="00C00837" w:rsidP="00C54A4D">
      <w:pPr>
        <w:pStyle w:val="subheading"/>
        <w:spacing w:after="0"/>
        <w:rPr>
          <w:rFonts w:ascii="Times New Roman" w:hAnsi="Times New Roman"/>
          <w:sz w:val="22"/>
          <w:szCs w:val="22"/>
        </w:rPr>
      </w:pPr>
      <w:bookmarkStart w:id="21" w:name="_Toc341972156"/>
      <w:r w:rsidRPr="007D6D77">
        <w:rPr>
          <w:rFonts w:ascii="Times New Roman" w:hAnsi="Times New Roman"/>
          <w:sz w:val="22"/>
          <w:szCs w:val="22"/>
        </w:rPr>
        <w:t>For What Purpose</w:t>
      </w:r>
      <w:bookmarkEnd w:id="21"/>
    </w:p>
    <w:p w:rsidR="00C54A4D" w:rsidRPr="007D6D77" w:rsidRDefault="00C54A4D" w:rsidP="00C54A4D">
      <w:pPr>
        <w:pStyle w:val="subheading"/>
        <w:spacing w:after="0"/>
        <w:rPr>
          <w:rFonts w:ascii="Times New Roman" w:hAnsi="Times New Roman"/>
          <w:sz w:val="22"/>
          <w:szCs w:val="22"/>
        </w:rPr>
      </w:pPr>
    </w:p>
    <w:p w:rsidR="002914E6" w:rsidRPr="007D6D77" w:rsidRDefault="00750303" w:rsidP="00C54A4D">
      <w:pPr>
        <w:pStyle w:val="BodyText"/>
        <w:rPr>
          <w:szCs w:val="22"/>
        </w:rPr>
      </w:pPr>
      <w:r w:rsidRPr="007D6D77">
        <w:rPr>
          <w:szCs w:val="22"/>
        </w:rPr>
        <w:t xml:space="preserve">The purpose of this data collection effort is to support the national evaluation of the SoI project. </w:t>
      </w:r>
      <w:r w:rsidR="00C00837" w:rsidRPr="007D6D77">
        <w:rPr>
          <w:szCs w:val="22"/>
        </w:rPr>
        <w:t xml:space="preserve">The goal of </w:t>
      </w:r>
      <w:r w:rsidR="00EE22A2" w:rsidRPr="007D6D77">
        <w:rPr>
          <w:szCs w:val="22"/>
        </w:rPr>
        <w:t xml:space="preserve">this evaluation is twofold: to collect information on implementation to inform NASA’s continued </w:t>
      </w:r>
      <w:r w:rsidR="00176804" w:rsidRPr="007D6D77">
        <w:rPr>
          <w:szCs w:val="22"/>
        </w:rPr>
        <w:t>improve</w:t>
      </w:r>
      <w:r w:rsidR="00EE22A2" w:rsidRPr="007D6D77">
        <w:rPr>
          <w:szCs w:val="22"/>
        </w:rPr>
        <w:t xml:space="preserve">ment of the program model, and to collect outcome data to assess the project’s effectiveness. </w:t>
      </w:r>
      <w:r w:rsidR="0039137C" w:rsidRPr="007D6D77">
        <w:rPr>
          <w:szCs w:val="22"/>
        </w:rPr>
        <w:t xml:space="preserve">As such, the evaluation will focus on describing </w:t>
      </w:r>
      <w:r w:rsidR="00C00837" w:rsidRPr="007D6D77">
        <w:rPr>
          <w:szCs w:val="22"/>
        </w:rPr>
        <w:t>SoI’s implementation and associated outcomes</w:t>
      </w:r>
      <w:r w:rsidR="009B206C" w:rsidRPr="007D6D77">
        <w:rPr>
          <w:szCs w:val="22"/>
        </w:rPr>
        <w:t>,</w:t>
      </w:r>
      <w:r w:rsidR="00CD55BC" w:rsidRPr="007D6D77">
        <w:rPr>
          <w:szCs w:val="22"/>
        </w:rPr>
        <w:t xml:space="preserve"> </w:t>
      </w:r>
      <w:r w:rsidR="00C9097B" w:rsidRPr="007D6D77">
        <w:rPr>
          <w:szCs w:val="22"/>
        </w:rPr>
        <w:t>but</w:t>
      </w:r>
      <w:r w:rsidR="009B206C" w:rsidRPr="007D6D77">
        <w:rPr>
          <w:szCs w:val="22"/>
        </w:rPr>
        <w:t xml:space="preserve"> will</w:t>
      </w:r>
      <w:r w:rsidR="00CC7047" w:rsidRPr="007D6D77">
        <w:rPr>
          <w:szCs w:val="22"/>
        </w:rPr>
        <w:t xml:space="preserve"> not determin</w:t>
      </w:r>
      <w:r w:rsidR="009B206C" w:rsidRPr="007D6D77">
        <w:rPr>
          <w:szCs w:val="22"/>
        </w:rPr>
        <w:t>e whether there is</w:t>
      </w:r>
      <w:r w:rsidR="00C9097B" w:rsidRPr="007D6D77">
        <w:rPr>
          <w:szCs w:val="22"/>
        </w:rPr>
        <w:t xml:space="preserve"> a causal</w:t>
      </w:r>
      <w:r w:rsidR="0039137C" w:rsidRPr="007D6D77">
        <w:rPr>
          <w:szCs w:val="22"/>
        </w:rPr>
        <w:t xml:space="preserve"> </w:t>
      </w:r>
      <w:r w:rsidR="00C9097B" w:rsidRPr="007D6D77">
        <w:rPr>
          <w:szCs w:val="22"/>
        </w:rPr>
        <w:t xml:space="preserve">link </w:t>
      </w:r>
      <w:r w:rsidR="0039137C" w:rsidRPr="007D6D77">
        <w:rPr>
          <w:szCs w:val="22"/>
        </w:rPr>
        <w:t xml:space="preserve">between the program and outcomes. </w:t>
      </w:r>
    </w:p>
    <w:p w:rsidR="00200931" w:rsidRPr="007D6D77" w:rsidRDefault="00200931" w:rsidP="00C54A4D">
      <w:pPr>
        <w:pStyle w:val="BodyText"/>
        <w:rPr>
          <w:szCs w:val="22"/>
        </w:rPr>
      </w:pPr>
    </w:p>
    <w:p w:rsidR="00200931" w:rsidRPr="007D6D77" w:rsidRDefault="00200931" w:rsidP="00C54A4D">
      <w:pPr>
        <w:pStyle w:val="BodyText"/>
        <w:rPr>
          <w:szCs w:val="22"/>
        </w:rPr>
      </w:pPr>
      <w:r w:rsidRPr="007D6D77">
        <w:rPr>
          <w:szCs w:val="22"/>
        </w:rPr>
        <w:t xml:space="preserve">NASA has collected evaluation and performance data on the SoI project since FY2010. While past evaluation studies have not yielded high-quality findings, NASA has utilized performance data to improve the project. For instance, NASA recently utilized performance data, including on the number of students as well as qualitative data collected through a site visit, to identify awardees who are under-performing. This identification was followed by targeted assistance to improve performance and increased accountability. </w:t>
      </w:r>
    </w:p>
    <w:p w:rsidR="00E7544E" w:rsidRPr="007D6D77" w:rsidRDefault="00E7544E" w:rsidP="00C54A4D">
      <w:pPr>
        <w:pStyle w:val="BodyText"/>
        <w:rPr>
          <w:szCs w:val="22"/>
        </w:rPr>
      </w:pPr>
    </w:p>
    <w:p w:rsidR="00C00837" w:rsidRPr="007D6D77" w:rsidRDefault="00C00837" w:rsidP="00C54A4D">
      <w:pPr>
        <w:pStyle w:val="BodyText"/>
        <w:rPr>
          <w:szCs w:val="22"/>
        </w:rPr>
      </w:pPr>
      <w:r w:rsidRPr="007D6D77">
        <w:rPr>
          <w:szCs w:val="22"/>
        </w:rPr>
        <w:lastRenderedPageBreak/>
        <w:t xml:space="preserve">Exhibit 1 </w:t>
      </w:r>
      <w:r w:rsidR="000F275E" w:rsidRPr="007D6D77">
        <w:rPr>
          <w:szCs w:val="22"/>
        </w:rPr>
        <w:t xml:space="preserve">below </w:t>
      </w:r>
      <w:r w:rsidRPr="007D6D77">
        <w:rPr>
          <w:szCs w:val="22"/>
        </w:rPr>
        <w:t>outlines the research questions for the SoI national evaluation, data</w:t>
      </w:r>
      <w:r w:rsidR="00176804" w:rsidRPr="007D6D77">
        <w:rPr>
          <w:szCs w:val="22"/>
        </w:rPr>
        <w:t xml:space="preserve"> collection instruments and</w:t>
      </w:r>
      <w:r w:rsidRPr="007D6D77">
        <w:rPr>
          <w:szCs w:val="22"/>
        </w:rPr>
        <w:t xml:space="preserve"> sources</w:t>
      </w:r>
      <w:r w:rsidR="00E7544E" w:rsidRPr="007D6D77">
        <w:rPr>
          <w:szCs w:val="22"/>
        </w:rPr>
        <w:t xml:space="preserve"> (including, but not limited to, data collections that are part of this clearance package)</w:t>
      </w:r>
      <w:r w:rsidRPr="007D6D77">
        <w:rPr>
          <w:szCs w:val="22"/>
        </w:rPr>
        <w:t xml:space="preserve">, and </w:t>
      </w:r>
      <w:r w:rsidR="00AC0657" w:rsidRPr="007D6D77">
        <w:rPr>
          <w:szCs w:val="22"/>
        </w:rPr>
        <w:t>constructs</w:t>
      </w:r>
      <w:r w:rsidRPr="007D6D77">
        <w:rPr>
          <w:szCs w:val="22"/>
        </w:rPr>
        <w:t>.</w:t>
      </w:r>
      <w:r w:rsidR="0036051C" w:rsidRPr="007D6D77">
        <w:rPr>
          <w:szCs w:val="22"/>
        </w:rPr>
        <w:t xml:space="preserve"> As is explained in more detail in Part B, the participating sample includes five Awardees whose programming meets the evaluation requirement of a minimum of 30 hours of SoI content during a one-week, stand-alone SoI camp</w:t>
      </w:r>
      <w:r w:rsidR="00176804" w:rsidRPr="007D6D77">
        <w:rPr>
          <w:szCs w:val="22"/>
        </w:rPr>
        <w:t xml:space="preserve"> for rising 6</w:t>
      </w:r>
      <w:r w:rsidR="00176804" w:rsidRPr="007D6D77">
        <w:rPr>
          <w:szCs w:val="22"/>
          <w:vertAlign w:val="superscript"/>
        </w:rPr>
        <w:t>th</w:t>
      </w:r>
      <w:r w:rsidR="00176804" w:rsidRPr="007D6D77">
        <w:rPr>
          <w:szCs w:val="22"/>
        </w:rPr>
        <w:t xml:space="preserve"> through 8</w:t>
      </w:r>
      <w:r w:rsidR="00176804" w:rsidRPr="007D6D77">
        <w:rPr>
          <w:szCs w:val="22"/>
          <w:vertAlign w:val="superscript"/>
        </w:rPr>
        <w:t>th</w:t>
      </w:r>
      <w:r w:rsidR="00176804" w:rsidRPr="007D6D77">
        <w:rPr>
          <w:szCs w:val="22"/>
        </w:rPr>
        <w:t xml:space="preserve"> grade youth</w:t>
      </w:r>
      <w:r w:rsidR="0036051C" w:rsidRPr="007D6D77">
        <w:rPr>
          <w:szCs w:val="22"/>
        </w:rPr>
        <w:t xml:space="preserve">. </w:t>
      </w:r>
      <w:r w:rsidR="00077672" w:rsidRPr="007D6D77">
        <w:rPr>
          <w:szCs w:val="22"/>
        </w:rPr>
        <w:t xml:space="preserve">Data collections for which we are seeking PRA clearance are highlighted in bold in the Data Collection Instrument/Source column. </w:t>
      </w:r>
    </w:p>
    <w:p w:rsidR="00C00837" w:rsidRPr="007D6D77" w:rsidRDefault="00C00837" w:rsidP="00C00837">
      <w:pPr>
        <w:pStyle w:val="BodyText"/>
        <w:rPr>
          <w:sz w:val="24"/>
          <w:szCs w:val="24"/>
        </w:rPr>
      </w:pPr>
    </w:p>
    <w:tbl>
      <w:tblPr>
        <w:tblW w:w="9370" w:type="dxa"/>
        <w:tblInd w:w="98" w:type="dxa"/>
        <w:tblLayout w:type="fixed"/>
        <w:tblLook w:val="04A0" w:firstRow="1" w:lastRow="0" w:firstColumn="1" w:lastColumn="0" w:noHBand="0" w:noVBand="1"/>
      </w:tblPr>
      <w:tblGrid>
        <w:gridCol w:w="2350"/>
        <w:gridCol w:w="2700"/>
        <w:gridCol w:w="2520"/>
        <w:gridCol w:w="1800"/>
      </w:tblGrid>
      <w:tr w:rsidR="00077672" w:rsidRPr="007D6D77" w:rsidTr="00077672">
        <w:trPr>
          <w:trHeight w:val="330"/>
        </w:trPr>
        <w:tc>
          <w:tcPr>
            <w:tcW w:w="937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b/>
                <w:bCs/>
                <w:color w:val="000000"/>
                <w:sz w:val="18"/>
                <w:szCs w:val="18"/>
              </w:rPr>
            </w:pPr>
            <w:r w:rsidRPr="007D6D77">
              <w:rPr>
                <w:b/>
                <w:bCs/>
                <w:color w:val="000000"/>
                <w:sz w:val="18"/>
                <w:szCs w:val="18"/>
              </w:rPr>
              <w:lastRenderedPageBreak/>
              <w:t>Exhibit 1: National Evaluation Research Questions</w:t>
            </w:r>
          </w:p>
        </w:tc>
      </w:tr>
      <w:tr w:rsidR="00077672" w:rsidRPr="007D6D77" w:rsidTr="00077672">
        <w:trPr>
          <w:trHeight w:val="300"/>
        </w:trPr>
        <w:tc>
          <w:tcPr>
            <w:tcW w:w="2350" w:type="dxa"/>
            <w:tcBorders>
              <w:top w:val="nil"/>
              <w:left w:val="single" w:sz="4" w:space="0" w:color="auto"/>
              <w:bottom w:val="single" w:sz="4" w:space="0" w:color="auto"/>
              <w:right w:val="single" w:sz="4" w:space="0" w:color="auto"/>
            </w:tcBorders>
            <w:shd w:val="clear" w:color="000000" w:fill="D8D8D8"/>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b/>
                <w:bCs/>
                <w:color w:val="000000"/>
                <w:sz w:val="18"/>
                <w:szCs w:val="18"/>
              </w:rPr>
            </w:pPr>
            <w:r w:rsidRPr="007D6D77">
              <w:rPr>
                <w:b/>
                <w:bCs/>
                <w:color w:val="000000"/>
                <w:sz w:val="18"/>
                <w:szCs w:val="18"/>
              </w:rPr>
              <w:t>Research Questions</w:t>
            </w:r>
          </w:p>
        </w:tc>
        <w:tc>
          <w:tcPr>
            <w:tcW w:w="2700" w:type="dxa"/>
            <w:tcBorders>
              <w:top w:val="nil"/>
              <w:left w:val="nil"/>
              <w:bottom w:val="single" w:sz="4" w:space="0" w:color="auto"/>
              <w:right w:val="single" w:sz="4" w:space="0" w:color="auto"/>
            </w:tcBorders>
            <w:shd w:val="clear" w:color="000000" w:fill="D8D8D8"/>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b/>
                <w:bCs/>
                <w:color w:val="000000"/>
                <w:sz w:val="18"/>
                <w:szCs w:val="18"/>
              </w:rPr>
            </w:pPr>
            <w:r w:rsidRPr="007D6D77">
              <w:rPr>
                <w:b/>
                <w:bCs/>
                <w:color w:val="000000"/>
                <w:sz w:val="18"/>
                <w:szCs w:val="18"/>
              </w:rPr>
              <w:t>Indicators</w:t>
            </w:r>
          </w:p>
        </w:tc>
        <w:tc>
          <w:tcPr>
            <w:tcW w:w="2520" w:type="dxa"/>
            <w:tcBorders>
              <w:top w:val="nil"/>
              <w:left w:val="nil"/>
              <w:bottom w:val="single" w:sz="4" w:space="0" w:color="auto"/>
              <w:right w:val="single" w:sz="4" w:space="0" w:color="auto"/>
            </w:tcBorders>
            <w:shd w:val="clear" w:color="000000" w:fill="D8D8D8"/>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b/>
                <w:bCs/>
                <w:color w:val="000000"/>
                <w:sz w:val="18"/>
                <w:szCs w:val="18"/>
              </w:rPr>
            </w:pPr>
            <w:r w:rsidRPr="007D6D77">
              <w:rPr>
                <w:b/>
                <w:bCs/>
                <w:color w:val="000000"/>
                <w:sz w:val="18"/>
                <w:szCs w:val="18"/>
              </w:rPr>
              <w:t>Data Collection Instrument/Source</w:t>
            </w:r>
          </w:p>
        </w:tc>
        <w:tc>
          <w:tcPr>
            <w:tcW w:w="1800" w:type="dxa"/>
            <w:tcBorders>
              <w:top w:val="nil"/>
              <w:left w:val="nil"/>
              <w:bottom w:val="single" w:sz="4" w:space="0" w:color="auto"/>
              <w:right w:val="single" w:sz="4" w:space="0" w:color="auto"/>
            </w:tcBorders>
            <w:shd w:val="clear" w:color="000000" w:fill="D8D8D8"/>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b/>
                <w:bCs/>
                <w:color w:val="000000"/>
                <w:sz w:val="18"/>
                <w:szCs w:val="18"/>
              </w:rPr>
            </w:pPr>
            <w:r w:rsidRPr="007D6D77">
              <w:rPr>
                <w:b/>
                <w:bCs/>
                <w:color w:val="000000"/>
                <w:sz w:val="18"/>
                <w:szCs w:val="18"/>
              </w:rPr>
              <w:t>Timing of Collection</w:t>
            </w:r>
          </w:p>
        </w:tc>
      </w:tr>
      <w:tr w:rsidR="00077672" w:rsidRPr="007D6D77" w:rsidTr="00077672">
        <w:trPr>
          <w:trHeight w:val="1952"/>
        </w:trPr>
        <w:tc>
          <w:tcPr>
            <w:tcW w:w="2350" w:type="dxa"/>
            <w:tcBorders>
              <w:top w:val="nil"/>
              <w:left w:val="single" w:sz="4" w:space="0" w:color="auto"/>
              <w:bottom w:val="single" w:sz="4" w:space="0" w:color="auto"/>
              <w:right w:val="single" w:sz="4" w:space="0" w:color="auto"/>
            </w:tcBorders>
            <w:shd w:val="clear" w:color="auto" w:fill="auto"/>
            <w:hideMark/>
          </w:tcPr>
          <w:p w:rsidR="00077672" w:rsidRPr="007D6D77" w:rsidRDefault="00FA1A7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1. </w:t>
            </w:r>
            <w:r w:rsidR="00077672" w:rsidRPr="007D6D77">
              <w:rPr>
                <w:color w:val="000000"/>
                <w:sz w:val="18"/>
                <w:szCs w:val="18"/>
              </w:rPr>
              <w:t>To what extent do SoI awardees meet new project requirements?</w:t>
            </w:r>
          </w:p>
        </w:tc>
        <w:tc>
          <w:tcPr>
            <w:tcW w:w="27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of SoI camps, by awardee and across project, that include:</w:t>
            </w:r>
            <w:r w:rsidRPr="007D6D77">
              <w:rPr>
                <w:color w:val="000000"/>
                <w:sz w:val="18"/>
                <w:szCs w:val="18"/>
              </w:rPr>
              <w:br/>
              <w:t>- Engagement of parents/caregivers in family events;</w:t>
            </w:r>
            <w:r w:rsidRPr="007D6D77">
              <w:rPr>
                <w:color w:val="000000"/>
                <w:sz w:val="18"/>
                <w:szCs w:val="18"/>
              </w:rPr>
              <w:br/>
              <w:t>- Student to teacher ratio no greater than 15:1;</w:t>
            </w:r>
            <w:r w:rsidRPr="007D6D77">
              <w:rPr>
                <w:color w:val="000000"/>
                <w:sz w:val="18"/>
                <w:szCs w:val="18"/>
              </w:rPr>
              <w:br/>
              <w:t>- Inquiry-based NASA-related STEM experiences</w:t>
            </w:r>
          </w:p>
        </w:tc>
        <w:tc>
          <w:tcPr>
            <w:tcW w:w="252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SoI project activity reporting form and back-up documentation (program flyers) providing evidence for audit purposes</w:t>
            </w:r>
          </w:p>
        </w:tc>
        <w:tc>
          <w:tcPr>
            <w:tcW w:w="18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after="240" w:line="240" w:lineRule="auto"/>
              <w:rPr>
                <w:color w:val="000000"/>
                <w:sz w:val="18"/>
                <w:szCs w:val="18"/>
              </w:rPr>
            </w:pPr>
            <w:r w:rsidRPr="007D6D77">
              <w:rPr>
                <w:color w:val="000000"/>
                <w:sz w:val="18"/>
                <w:szCs w:val="18"/>
              </w:rPr>
              <w:t xml:space="preserve">Monthly </w:t>
            </w:r>
          </w:p>
        </w:tc>
      </w:tr>
      <w:tr w:rsidR="00077672" w:rsidRPr="007D6D77" w:rsidTr="00077672">
        <w:trPr>
          <w:trHeight w:val="1790"/>
        </w:trPr>
        <w:tc>
          <w:tcPr>
            <w:tcW w:w="2350" w:type="dxa"/>
            <w:tcBorders>
              <w:top w:val="nil"/>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2. </w:t>
            </w:r>
            <w:r w:rsidR="00077672" w:rsidRPr="007D6D77">
              <w:rPr>
                <w:color w:val="000000"/>
                <w:sz w:val="18"/>
                <w:szCs w:val="18"/>
              </w:rPr>
              <w:t>To what extent do SoI camps meet the minimum expectation of 30 hours of SoI content in a one-week camp?</w:t>
            </w:r>
          </w:p>
        </w:tc>
        <w:tc>
          <w:tcPr>
            <w:tcW w:w="27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of SoI camps including:</w:t>
            </w:r>
            <w:r w:rsidRPr="007D6D77">
              <w:rPr>
                <w:color w:val="000000"/>
                <w:sz w:val="18"/>
                <w:szCs w:val="18"/>
              </w:rPr>
              <w:br/>
              <w:t>- Minimum 30 hours of SoI content during a one-week period</w:t>
            </w:r>
          </w:p>
        </w:tc>
        <w:tc>
          <w:tcPr>
            <w:tcW w:w="252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SoI project activity reporting form and back-up documentation (program flyers, attendance logs, camp curriculum, etc.) providing evidence of minimum 30 hours of SoI content for auditing purposes</w:t>
            </w:r>
          </w:p>
        </w:tc>
        <w:tc>
          <w:tcPr>
            <w:tcW w:w="18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Monthly</w:t>
            </w:r>
          </w:p>
        </w:tc>
      </w:tr>
      <w:tr w:rsidR="00077672" w:rsidRPr="007D6D77" w:rsidTr="00077672">
        <w:trPr>
          <w:trHeight w:val="1250"/>
        </w:trPr>
        <w:tc>
          <w:tcPr>
            <w:tcW w:w="235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3. </w:t>
            </w:r>
            <w:r w:rsidR="00077672" w:rsidRPr="007D6D77">
              <w:rPr>
                <w:color w:val="000000"/>
                <w:sz w:val="18"/>
                <w:szCs w:val="18"/>
              </w:rPr>
              <w:t>To what extent do SoI camps meet the minimum success criterion of &gt;75% of enrolled students in actual attendance &gt; 51% of camp time?</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Percentage of students reported as attending an SoI camp at least 51% of camp time</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SoI project activity reporting form and back-up documentation (i.e., attendance logs) providing evidence for auditing purposes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Monthly</w:t>
            </w:r>
          </w:p>
        </w:tc>
      </w:tr>
      <w:tr w:rsidR="00077672" w:rsidRPr="007D6D77" w:rsidTr="006C45D8">
        <w:trPr>
          <w:trHeight w:val="260"/>
        </w:trPr>
        <w:tc>
          <w:tcPr>
            <w:tcW w:w="235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4. </w:t>
            </w:r>
            <w:r w:rsidR="00077672" w:rsidRPr="007D6D77">
              <w:rPr>
                <w:color w:val="000000"/>
                <w:sz w:val="18"/>
                <w:szCs w:val="18"/>
              </w:rPr>
              <w:t>What are the characteristics of SoI camps</w:t>
            </w:r>
            <w:r w:rsidR="004F5FFF" w:rsidRPr="007D6D77">
              <w:rPr>
                <w:color w:val="000000"/>
                <w:sz w:val="18"/>
                <w:szCs w:val="18"/>
              </w:rPr>
              <w:t xml:space="preserve"> and their participants</w:t>
            </w:r>
            <w:r w:rsidR="00077672" w:rsidRPr="007D6D77">
              <w:rPr>
                <w:color w:val="000000"/>
                <w:sz w:val="18"/>
                <w:szCs w:val="18"/>
              </w:rPr>
              <w:t>?</w:t>
            </w:r>
            <w:r w:rsidR="00077672" w:rsidRPr="007D6D77">
              <w:rPr>
                <w:color w:val="000000"/>
                <w:sz w:val="18"/>
                <w:szCs w:val="18"/>
              </w:rPr>
              <w:br/>
            </w:r>
            <w:r w:rsidR="00077672" w:rsidRPr="007D6D77">
              <w:rPr>
                <w:color w:val="000000"/>
                <w:sz w:val="18"/>
                <w:szCs w:val="18"/>
              </w:rPr>
              <w:br/>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4F5FFF"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 NASA curricula used in camp </w:t>
            </w:r>
            <w:r w:rsidRPr="007D6D77">
              <w:rPr>
                <w:color w:val="000000"/>
                <w:sz w:val="18"/>
                <w:szCs w:val="18"/>
              </w:rPr>
              <w:br/>
              <w:t>- % of camp educators who are certified teachers )</w:t>
            </w:r>
            <w:r w:rsidRPr="007D6D77">
              <w:rPr>
                <w:color w:val="000000"/>
                <w:sz w:val="18"/>
                <w:szCs w:val="18"/>
              </w:rPr>
              <w:br/>
              <w:t>- Average # of hours spent by camp educators in PD</w:t>
            </w:r>
            <w:r w:rsidRPr="007D6D77">
              <w:rPr>
                <w:color w:val="000000"/>
                <w:sz w:val="18"/>
                <w:szCs w:val="18"/>
              </w:rPr>
              <w:br/>
              <w:t xml:space="preserve">- Average student to teacher ratio in SoI camps </w:t>
            </w:r>
            <w:r w:rsidRPr="007D6D77">
              <w:rPr>
                <w:color w:val="000000"/>
                <w:sz w:val="18"/>
                <w:szCs w:val="18"/>
              </w:rPr>
              <w:br/>
              <w:t xml:space="preserve">- # of youth by gender, race, ethnicity, grade  </w:t>
            </w:r>
            <w:r w:rsidRPr="007D6D77">
              <w:rPr>
                <w:color w:val="000000"/>
                <w:sz w:val="18"/>
                <w:szCs w:val="18"/>
              </w:rPr>
              <w:br/>
              <w:t xml:space="preserve">- # of youth  from underserved/ underrepresented  populations participating in SOI camps </w:t>
            </w:r>
          </w:p>
          <w:p w:rsidR="004F5FFF" w:rsidRPr="007D6D77" w:rsidRDefault="004F5FFF"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Average parent educational expectations for child</w:t>
            </w:r>
          </w:p>
          <w:p w:rsidR="00F2731C" w:rsidRPr="007D6D77" w:rsidRDefault="00F2731C"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Average youth’s educational expectations for self</w:t>
            </w:r>
          </w:p>
          <w:p w:rsidR="001F716C" w:rsidRPr="007D6D77" w:rsidRDefault="0041013E"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 Median household income of zip code areas in which </w:t>
            </w:r>
            <w:r w:rsidR="001F716C" w:rsidRPr="007D6D77">
              <w:rPr>
                <w:color w:val="000000"/>
                <w:sz w:val="18"/>
                <w:szCs w:val="18"/>
              </w:rPr>
              <w:t>camp participants</w:t>
            </w:r>
            <w:r w:rsidRPr="007D6D77">
              <w:rPr>
                <w:color w:val="000000"/>
                <w:sz w:val="18"/>
                <w:szCs w:val="18"/>
              </w:rPr>
              <w:t xml:space="preserve"> are resident</w:t>
            </w:r>
          </w:p>
          <w:p w:rsidR="004F5FFF" w:rsidRPr="007D6D77" w:rsidRDefault="004F5FFF"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Average parent educational achievement level</w:t>
            </w:r>
          </w:p>
          <w:p w:rsidR="00621551" w:rsidRPr="007D6D77" w:rsidRDefault="00621551"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 Parent </w:t>
            </w:r>
            <w:r w:rsidR="00F2731C" w:rsidRPr="007D6D77">
              <w:rPr>
                <w:color w:val="000000"/>
                <w:sz w:val="18"/>
                <w:szCs w:val="18"/>
              </w:rPr>
              <w:t xml:space="preserve">and youth </w:t>
            </w:r>
            <w:r w:rsidRPr="007D6D77">
              <w:rPr>
                <w:color w:val="000000"/>
                <w:sz w:val="18"/>
                <w:szCs w:val="18"/>
              </w:rPr>
              <w:t>motivation for enrollment</w:t>
            </w:r>
          </w:p>
          <w:p w:rsidR="00F2731C" w:rsidRPr="007D6D77" w:rsidRDefault="00F2731C"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 youth with previous SoI experience</w:t>
            </w:r>
          </w:p>
          <w:p w:rsidR="004F5FFF" w:rsidRPr="007D6D77" w:rsidRDefault="004F5FFF"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 of parents with academic degrees in STEM</w:t>
            </w:r>
          </w:p>
          <w:p w:rsidR="004F5FFF" w:rsidRPr="007D6D77" w:rsidRDefault="004F5FFF"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 </w:t>
            </w:r>
            <w:r w:rsidR="00621551" w:rsidRPr="007D6D77">
              <w:rPr>
                <w:color w:val="000000"/>
                <w:sz w:val="18"/>
                <w:szCs w:val="18"/>
              </w:rPr>
              <w:t>% of</w:t>
            </w:r>
            <w:r w:rsidRPr="007D6D77">
              <w:rPr>
                <w:color w:val="000000"/>
                <w:sz w:val="18"/>
                <w:szCs w:val="18"/>
              </w:rPr>
              <w:t xml:space="preserve"> parent</w:t>
            </w:r>
            <w:r w:rsidR="00621551" w:rsidRPr="007D6D77">
              <w:rPr>
                <w:color w:val="000000"/>
                <w:sz w:val="18"/>
                <w:szCs w:val="18"/>
              </w:rPr>
              <w:t>s</w:t>
            </w:r>
            <w:r w:rsidRPr="007D6D77">
              <w:rPr>
                <w:color w:val="000000"/>
                <w:sz w:val="18"/>
                <w:szCs w:val="18"/>
              </w:rPr>
              <w:t xml:space="preserve"> </w:t>
            </w:r>
            <w:r w:rsidR="00621551" w:rsidRPr="007D6D77">
              <w:rPr>
                <w:color w:val="000000"/>
                <w:sz w:val="18"/>
                <w:szCs w:val="18"/>
              </w:rPr>
              <w:t xml:space="preserve">in </w:t>
            </w:r>
            <w:r w:rsidRPr="007D6D77">
              <w:rPr>
                <w:color w:val="000000"/>
                <w:sz w:val="18"/>
                <w:szCs w:val="18"/>
              </w:rPr>
              <w:t>STEM career</w:t>
            </w:r>
            <w:r w:rsidR="00621551" w:rsidRPr="007D6D77">
              <w:rPr>
                <w:color w:val="000000"/>
                <w:sz w:val="18"/>
                <w:szCs w:val="18"/>
              </w:rPr>
              <w:t>s</w:t>
            </w:r>
          </w:p>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 of SoI contact hours for students</w:t>
            </w:r>
            <w:r w:rsidRPr="007D6D77">
              <w:rPr>
                <w:color w:val="000000"/>
                <w:sz w:val="18"/>
                <w:szCs w:val="18"/>
              </w:rPr>
              <w:br/>
            </w:r>
            <w:r w:rsidRPr="007D6D77">
              <w:rPr>
                <w:color w:val="000000"/>
                <w:sz w:val="18"/>
                <w:szCs w:val="18"/>
              </w:rPr>
              <w:lastRenderedPageBreak/>
              <w:t>- # of unique parents/caregivers attending SoI events</w:t>
            </w:r>
            <w:r w:rsidR="00D74A96" w:rsidRPr="007D6D77">
              <w:rPr>
                <w:rStyle w:val="FootnoteReference"/>
                <w:color w:val="000000"/>
                <w:sz w:val="18"/>
                <w:szCs w:val="18"/>
              </w:rPr>
              <w:footnoteReference w:id="5"/>
            </w:r>
            <w:r w:rsidRPr="007D6D77">
              <w:rPr>
                <w:color w:val="000000"/>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817ADE"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lastRenderedPageBreak/>
              <w:t>SoI project activity r</w:t>
            </w:r>
            <w:r w:rsidR="00817ADE" w:rsidRPr="007D6D77">
              <w:rPr>
                <w:color w:val="000000"/>
                <w:sz w:val="18"/>
                <w:szCs w:val="18"/>
              </w:rPr>
              <w:t>eporting form and back-up documentation on NASA curricula used in camp</w:t>
            </w:r>
          </w:p>
          <w:p w:rsidR="00817ADE" w:rsidRPr="007D6D77" w:rsidRDefault="00817ADE" w:rsidP="00176804">
            <w:pPr>
              <w:keepNext/>
              <w:keepLines/>
              <w:widowControl w:val="0"/>
              <w:tabs>
                <w:tab w:val="clear" w:pos="720"/>
                <w:tab w:val="clear" w:pos="1080"/>
                <w:tab w:val="clear" w:pos="1440"/>
                <w:tab w:val="clear" w:pos="1800"/>
              </w:tabs>
              <w:spacing w:line="240" w:lineRule="auto"/>
              <w:rPr>
                <w:color w:val="000000"/>
                <w:sz w:val="18"/>
                <w:szCs w:val="18"/>
              </w:rPr>
            </w:pPr>
          </w:p>
          <w:p w:rsidR="00817ADE" w:rsidRPr="007D6D77" w:rsidRDefault="00817ADE" w:rsidP="00176804">
            <w:pPr>
              <w:keepNext/>
              <w:keepLines/>
              <w:widowControl w:val="0"/>
              <w:tabs>
                <w:tab w:val="clear" w:pos="720"/>
                <w:tab w:val="clear" w:pos="1080"/>
                <w:tab w:val="clear" w:pos="1440"/>
                <w:tab w:val="clear" w:pos="1800"/>
              </w:tabs>
              <w:spacing w:line="240" w:lineRule="auto"/>
              <w:rPr>
                <w:b/>
                <w:color w:val="000000"/>
                <w:sz w:val="18"/>
                <w:szCs w:val="18"/>
              </w:rPr>
            </w:pPr>
            <w:r w:rsidRPr="007D6D77">
              <w:rPr>
                <w:b/>
                <w:color w:val="000000"/>
                <w:sz w:val="18"/>
                <w:szCs w:val="18"/>
              </w:rPr>
              <w:t>Parent survey</w:t>
            </w:r>
          </w:p>
          <w:p w:rsidR="00F2731C" w:rsidRPr="007D6D77" w:rsidRDefault="00F2731C" w:rsidP="00176804">
            <w:pPr>
              <w:keepNext/>
              <w:keepLines/>
              <w:widowControl w:val="0"/>
              <w:tabs>
                <w:tab w:val="clear" w:pos="720"/>
                <w:tab w:val="clear" w:pos="1080"/>
                <w:tab w:val="clear" w:pos="1440"/>
                <w:tab w:val="clear" w:pos="1800"/>
              </w:tabs>
              <w:spacing w:line="240" w:lineRule="auto"/>
              <w:rPr>
                <w:b/>
                <w:color w:val="000000"/>
                <w:sz w:val="18"/>
                <w:szCs w:val="18"/>
              </w:rPr>
            </w:pPr>
          </w:p>
          <w:p w:rsidR="00077672" w:rsidRPr="007D6D77" w:rsidRDefault="00F2731C"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b/>
                <w:color w:val="000000"/>
                <w:sz w:val="18"/>
                <w:szCs w:val="18"/>
              </w:rPr>
              <w:t xml:space="preserve">Baseline and follow-up youth survey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817ADE"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Monthly</w:t>
            </w:r>
            <w:r w:rsidRPr="007D6D77">
              <w:rPr>
                <w:color w:val="000000"/>
                <w:sz w:val="18"/>
                <w:szCs w:val="18"/>
              </w:rPr>
              <w:br/>
            </w:r>
            <w:r w:rsidRPr="007D6D77">
              <w:rPr>
                <w:color w:val="000000"/>
                <w:sz w:val="18"/>
                <w:szCs w:val="18"/>
              </w:rPr>
              <w:br/>
            </w:r>
          </w:p>
          <w:p w:rsidR="00817ADE" w:rsidRPr="007D6D77" w:rsidRDefault="00817ADE" w:rsidP="00176804">
            <w:pPr>
              <w:keepNext/>
              <w:keepLines/>
              <w:widowControl w:val="0"/>
              <w:tabs>
                <w:tab w:val="clear" w:pos="720"/>
                <w:tab w:val="clear" w:pos="1080"/>
                <w:tab w:val="clear" w:pos="1440"/>
                <w:tab w:val="clear" w:pos="1800"/>
              </w:tabs>
              <w:spacing w:line="240" w:lineRule="auto"/>
              <w:rPr>
                <w:color w:val="000000"/>
                <w:sz w:val="18"/>
                <w:szCs w:val="18"/>
              </w:rPr>
            </w:pPr>
          </w:p>
          <w:p w:rsidR="00817ADE" w:rsidRPr="007D6D77" w:rsidRDefault="00817ADE" w:rsidP="00176804">
            <w:pPr>
              <w:keepNext/>
              <w:keepLines/>
              <w:widowControl w:val="0"/>
              <w:tabs>
                <w:tab w:val="clear" w:pos="720"/>
                <w:tab w:val="clear" w:pos="1080"/>
                <w:tab w:val="clear" w:pos="1440"/>
                <w:tab w:val="clear" w:pos="1800"/>
              </w:tabs>
              <w:spacing w:line="240" w:lineRule="auto"/>
              <w:rPr>
                <w:color w:val="000000"/>
                <w:sz w:val="18"/>
                <w:szCs w:val="18"/>
              </w:rPr>
            </w:pPr>
          </w:p>
          <w:p w:rsidR="00077672" w:rsidRPr="007D6D77" w:rsidRDefault="00817ADE"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On</w:t>
            </w:r>
            <w:r w:rsidR="00077672" w:rsidRPr="007D6D77">
              <w:rPr>
                <w:color w:val="000000"/>
                <w:sz w:val="18"/>
                <w:szCs w:val="18"/>
              </w:rPr>
              <w:t xml:space="preserve">ce per summer </w:t>
            </w:r>
          </w:p>
        </w:tc>
      </w:tr>
      <w:tr w:rsidR="00077672" w:rsidRPr="007D6D77" w:rsidTr="00077672">
        <w:trPr>
          <w:trHeight w:val="1790"/>
        </w:trPr>
        <w:tc>
          <w:tcPr>
            <w:tcW w:w="235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lastRenderedPageBreak/>
              <w:t xml:space="preserve">5. </w:t>
            </w:r>
            <w:r w:rsidR="00077672" w:rsidRPr="007D6D77">
              <w:rPr>
                <w:color w:val="000000"/>
                <w:sz w:val="18"/>
                <w:szCs w:val="18"/>
              </w:rPr>
              <w:t>To what extent do SoI camps meet program quality expectations?</w:t>
            </w:r>
          </w:p>
        </w:tc>
        <w:tc>
          <w:tcPr>
            <w:tcW w:w="2700" w:type="dxa"/>
            <w:tcBorders>
              <w:top w:val="single" w:sz="4" w:space="0" w:color="auto"/>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of observed SoI camps provide reasonable or compelling evidence of effective OST STEM practices for the learning environment, activity engagement, STEM knowledge and practices, and youth development in STEM</w:t>
            </w:r>
          </w:p>
        </w:tc>
        <w:tc>
          <w:tcPr>
            <w:tcW w:w="2520" w:type="dxa"/>
            <w:tcBorders>
              <w:top w:val="single" w:sz="4" w:space="0" w:color="auto"/>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Site visit with camp observations using the Dimensions of Success observation tool (PEAR, 2012)</w:t>
            </w:r>
          </w:p>
        </w:tc>
        <w:tc>
          <w:tcPr>
            <w:tcW w:w="1800" w:type="dxa"/>
            <w:tcBorders>
              <w:top w:val="single" w:sz="4" w:space="0" w:color="auto"/>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Once per summer</w:t>
            </w:r>
          </w:p>
        </w:tc>
      </w:tr>
      <w:tr w:rsidR="00077672" w:rsidRPr="007D6D77" w:rsidTr="00A20117">
        <w:trPr>
          <w:trHeight w:val="1160"/>
        </w:trPr>
        <w:tc>
          <w:tcPr>
            <w:tcW w:w="2350" w:type="dxa"/>
            <w:tcBorders>
              <w:top w:val="nil"/>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6. </w:t>
            </w:r>
            <w:r w:rsidR="00077672" w:rsidRPr="007D6D77">
              <w:rPr>
                <w:color w:val="000000"/>
                <w:sz w:val="18"/>
                <w:szCs w:val="18"/>
              </w:rPr>
              <w:t>What supports and challenges do awardees face in implementing SoI curricula? How do they handle these challenges?</w:t>
            </w:r>
          </w:p>
        </w:tc>
        <w:tc>
          <w:tcPr>
            <w:tcW w:w="27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Qualitative description of supports and challenges</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b/>
                <w:color w:val="000000"/>
                <w:sz w:val="18"/>
                <w:szCs w:val="18"/>
              </w:rPr>
              <w:t>Teacher focus group protocol</w:t>
            </w:r>
            <w:r w:rsidRPr="007D6D77">
              <w:rPr>
                <w:color w:val="000000"/>
                <w:sz w:val="18"/>
                <w:szCs w:val="18"/>
              </w:rPr>
              <w:t xml:space="preserve"> </w:t>
            </w:r>
            <w:r w:rsidRPr="007D6D77">
              <w:rPr>
                <w:color w:val="000000"/>
                <w:sz w:val="18"/>
                <w:szCs w:val="18"/>
              </w:rPr>
              <w:br/>
            </w:r>
            <w:r w:rsidRPr="007D6D77">
              <w:rPr>
                <w:color w:val="000000"/>
                <w:sz w:val="18"/>
                <w:szCs w:val="18"/>
              </w:rPr>
              <w:br/>
              <w:t>PI interview protocol</w:t>
            </w:r>
            <w:r w:rsidRPr="007D6D77">
              <w:rPr>
                <w:color w:val="000000"/>
                <w:sz w:val="18"/>
                <w:szCs w:val="18"/>
              </w:rPr>
              <w:br/>
            </w:r>
            <w:r w:rsidRPr="007D6D77">
              <w:rPr>
                <w:color w:val="000000"/>
                <w:sz w:val="18"/>
                <w:szCs w:val="18"/>
              </w:rPr>
              <w:br/>
              <w:t>Review of quarterly reports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Once per summer</w:t>
            </w:r>
            <w:r w:rsidRPr="007D6D77">
              <w:rPr>
                <w:color w:val="000000"/>
                <w:sz w:val="18"/>
                <w:szCs w:val="18"/>
              </w:rPr>
              <w:br/>
            </w:r>
            <w:r w:rsidRPr="007D6D77">
              <w:rPr>
                <w:color w:val="000000"/>
                <w:sz w:val="18"/>
                <w:szCs w:val="18"/>
              </w:rPr>
              <w:br/>
            </w:r>
            <w:r w:rsidRPr="007D6D77">
              <w:rPr>
                <w:color w:val="000000"/>
                <w:sz w:val="18"/>
                <w:szCs w:val="18"/>
              </w:rPr>
              <w:br/>
            </w:r>
            <w:r w:rsidRPr="007D6D77">
              <w:rPr>
                <w:color w:val="000000"/>
                <w:sz w:val="18"/>
                <w:szCs w:val="18"/>
              </w:rPr>
              <w:br/>
              <w:t>Quarterly</w:t>
            </w:r>
          </w:p>
        </w:tc>
      </w:tr>
      <w:tr w:rsidR="00077672" w:rsidRPr="007D6D77" w:rsidTr="00077672">
        <w:trPr>
          <w:trHeight w:val="980"/>
        </w:trPr>
        <w:tc>
          <w:tcPr>
            <w:tcW w:w="2350" w:type="dxa"/>
            <w:tcBorders>
              <w:top w:val="nil"/>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7. </w:t>
            </w:r>
            <w:r w:rsidR="00077672" w:rsidRPr="007D6D77">
              <w:rPr>
                <w:color w:val="000000"/>
                <w:sz w:val="18"/>
                <w:szCs w:val="18"/>
              </w:rPr>
              <w:t>What staff, materials, and NASA resources are necessary for successful SoI activities?</w:t>
            </w:r>
          </w:p>
        </w:tc>
        <w:tc>
          <w:tcPr>
            <w:tcW w:w="27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Qualitative description of necessary staff, materials, and NASA resources</w:t>
            </w:r>
          </w:p>
        </w:tc>
        <w:tc>
          <w:tcPr>
            <w:tcW w:w="2520" w:type="dxa"/>
            <w:vMerge/>
            <w:tcBorders>
              <w:top w:val="nil"/>
              <w:left w:val="single" w:sz="4" w:space="0" w:color="auto"/>
              <w:bottom w:val="single" w:sz="4" w:space="0" w:color="auto"/>
              <w:right w:val="single" w:sz="4" w:space="0" w:color="auto"/>
            </w:tcBorders>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p>
        </w:tc>
        <w:tc>
          <w:tcPr>
            <w:tcW w:w="1800" w:type="dxa"/>
            <w:vMerge/>
            <w:tcBorders>
              <w:top w:val="nil"/>
              <w:left w:val="single" w:sz="4" w:space="0" w:color="auto"/>
              <w:bottom w:val="single" w:sz="4" w:space="0" w:color="auto"/>
              <w:right w:val="single" w:sz="4" w:space="0" w:color="auto"/>
            </w:tcBorders>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p>
        </w:tc>
      </w:tr>
      <w:tr w:rsidR="00077672" w:rsidRPr="007D6D77" w:rsidTr="00077672">
        <w:trPr>
          <w:trHeight w:val="980"/>
        </w:trPr>
        <w:tc>
          <w:tcPr>
            <w:tcW w:w="2350" w:type="dxa"/>
            <w:tcBorders>
              <w:top w:val="nil"/>
              <w:left w:val="single" w:sz="4" w:space="0" w:color="auto"/>
              <w:bottom w:val="single" w:sz="4" w:space="0" w:color="auto"/>
              <w:right w:val="single" w:sz="4" w:space="0" w:color="auto"/>
            </w:tcBorders>
            <w:shd w:val="clear" w:color="auto" w:fill="auto"/>
            <w:hideMark/>
          </w:tcPr>
          <w:p w:rsidR="00077672" w:rsidRPr="007D6D77" w:rsidRDefault="00A20117"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xml:space="preserve">8. </w:t>
            </w:r>
            <w:r w:rsidR="00077672" w:rsidRPr="007D6D77">
              <w:rPr>
                <w:color w:val="000000"/>
                <w:sz w:val="18"/>
                <w:szCs w:val="18"/>
              </w:rPr>
              <w:t>How early and to what extent must plans and preparation begin for successful program implementation?</w:t>
            </w:r>
          </w:p>
        </w:tc>
        <w:tc>
          <w:tcPr>
            <w:tcW w:w="2700" w:type="dxa"/>
            <w:tcBorders>
              <w:top w:val="nil"/>
              <w:left w:val="nil"/>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Qualitative description of necessary timeline of activities for SoI camp implementation</w:t>
            </w:r>
          </w:p>
        </w:tc>
        <w:tc>
          <w:tcPr>
            <w:tcW w:w="2520" w:type="dxa"/>
            <w:vMerge/>
            <w:tcBorders>
              <w:top w:val="nil"/>
              <w:left w:val="single" w:sz="4" w:space="0" w:color="auto"/>
              <w:bottom w:val="single" w:sz="4" w:space="0" w:color="auto"/>
              <w:right w:val="single" w:sz="4" w:space="0" w:color="auto"/>
            </w:tcBorders>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p>
        </w:tc>
        <w:tc>
          <w:tcPr>
            <w:tcW w:w="1800" w:type="dxa"/>
            <w:vMerge/>
            <w:tcBorders>
              <w:top w:val="nil"/>
              <w:left w:val="single" w:sz="4" w:space="0" w:color="auto"/>
              <w:bottom w:val="single" w:sz="4" w:space="0" w:color="auto"/>
              <w:right w:val="single" w:sz="4" w:space="0" w:color="auto"/>
            </w:tcBorders>
            <w:vAlign w:val="center"/>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p>
        </w:tc>
      </w:tr>
      <w:tr w:rsidR="00BE2859" w:rsidRPr="007D6D77" w:rsidTr="00077672">
        <w:trPr>
          <w:trHeight w:val="980"/>
        </w:trPr>
        <w:tc>
          <w:tcPr>
            <w:tcW w:w="2350" w:type="dxa"/>
            <w:tcBorders>
              <w:top w:val="nil"/>
              <w:left w:val="single" w:sz="4" w:space="0" w:color="auto"/>
              <w:bottom w:val="single" w:sz="4" w:space="0" w:color="auto"/>
              <w:right w:val="single" w:sz="4" w:space="0" w:color="auto"/>
            </w:tcBorders>
            <w:shd w:val="clear" w:color="auto" w:fill="auto"/>
          </w:tcPr>
          <w:p w:rsidR="00BE2859" w:rsidRPr="007D6D77" w:rsidRDefault="00BE2859" w:rsidP="00176804">
            <w:pPr>
              <w:keepNext/>
              <w:keepLines/>
              <w:widowControl w:val="0"/>
              <w:tabs>
                <w:tab w:val="clear" w:pos="720"/>
                <w:tab w:val="clear" w:pos="1080"/>
                <w:tab w:val="clear" w:pos="1440"/>
                <w:tab w:val="clear" w:pos="1800"/>
              </w:tabs>
              <w:spacing w:line="240" w:lineRule="auto"/>
              <w:rPr>
                <w:color w:val="000000"/>
                <w:sz w:val="18"/>
                <w:szCs w:val="18"/>
              </w:rPr>
            </w:pPr>
            <w:r>
              <w:rPr>
                <w:color w:val="000000"/>
                <w:sz w:val="18"/>
                <w:szCs w:val="18"/>
              </w:rPr>
              <w:t>9. What process</w:t>
            </w:r>
            <w:r w:rsidR="001516BF">
              <w:rPr>
                <w:color w:val="000000"/>
                <w:sz w:val="18"/>
                <w:szCs w:val="18"/>
              </w:rPr>
              <w:t>es</w:t>
            </w:r>
            <w:r>
              <w:rPr>
                <w:color w:val="000000"/>
                <w:sz w:val="18"/>
                <w:szCs w:val="18"/>
              </w:rPr>
              <w:t xml:space="preserve"> and materials do camps use to register students for SoI?</w:t>
            </w:r>
          </w:p>
        </w:tc>
        <w:tc>
          <w:tcPr>
            <w:tcW w:w="2700" w:type="dxa"/>
            <w:tcBorders>
              <w:top w:val="nil"/>
              <w:left w:val="nil"/>
              <w:bottom w:val="single" w:sz="4" w:space="0" w:color="auto"/>
              <w:right w:val="single" w:sz="4" w:space="0" w:color="auto"/>
            </w:tcBorders>
            <w:shd w:val="clear" w:color="auto" w:fill="auto"/>
          </w:tcPr>
          <w:p w:rsidR="00BE2859" w:rsidRPr="007D6D77" w:rsidRDefault="00BE2859" w:rsidP="00176804">
            <w:pPr>
              <w:keepNext/>
              <w:keepLines/>
              <w:widowControl w:val="0"/>
              <w:tabs>
                <w:tab w:val="clear" w:pos="720"/>
                <w:tab w:val="clear" w:pos="1080"/>
                <w:tab w:val="clear" w:pos="1440"/>
                <w:tab w:val="clear" w:pos="1800"/>
              </w:tabs>
              <w:spacing w:line="240" w:lineRule="auto"/>
              <w:rPr>
                <w:color w:val="000000"/>
                <w:sz w:val="18"/>
                <w:szCs w:val="18"/>
              </w:rPr>
            </w:pPr>
            <w:r>
              <w:rPr>
                <w:color w:val="000000"/>
                <w:sz w:val="18"/>
                <w:szCs w:val="18"/>
              </w:rPr>
              <w:t>Qualitative description of camp registration process, timeline, requirements, and materials</w:t>
            </w:r>
            <w:r w:rsidR="001516BF">
              <w:rPr>
                <w:color w:val="000000"/>
                <w:sz w:val="18"/>
                <w:szCs w:val="18"/>
              </w:rPr>
              <w:t>, including forms</w:t>
            </w:r>
          </w:p>
        </w:tc>
        <w:tc>
          <w:tcPr>
            <w:tcW w:w="2520" w:type="dxa"/>
            <w:tcBorders>
              <w:top w:val="nil"/>
              <w:left w:val="single" w:sz="4" w:space="0" w:color="auto"/>
              <w:bottom w:val="single" w:sz="4" w:space="0" w:color="auto"/>
              <w:right w:val="single" w:sz="4" w:space="0" w:color="auto"/>
            </w:tcBorders>
            <w:vAlign w:val="center"/>
          </w:tcPr>
          <w:p w:rsidR="001516BF" w:rsidRPr="007D6D77" w:rsidRDefault="00BE2859" w:rsidP="00176804">
            <w:pPr>
              <w:keepNext/>
              <w:keepLines/>
              <w:widowControl w:val="0"/>
              <w:tabs>
                <w:tab w:val="clear" w:pos="720"/>
                <w:tab w:val="clear" w:pos="1080"/>
                <w:tab w:val="clear" w:pos="1440"/>
                <w:tab w:val="clear" w:pos="1800"/>
              </w:tabs>
              <w:spacing w:line="240" w:lineRule="auto"/>
              <w:rPr>
                <w:color w:val="000000"/>
                <w:sz w:val="18"/>
                <w:szCs w:val="18"/>
              </w:rPr>
            </w:pPr>
            <w:r>
              <w:rPr>
                <w:color w:val="000000"/>
                <w:sz w:val="18"/>
                <w:szCs w:val="18"/>
              </w:rPr>
              <w:t xml:space="preserve">PI interview protocol </w:t>
            </w:r>
          </w:p>
        </w:tc>
        <w:tc>
          <w:tcPr>
            <w:tcW w:w="1800" w:type="dxa"/>
            <w:tcBorders>
              <w:top w:val="nil"/>
              <w:left w:val="single" w:sz="4" w:space="0" w:color="auto"/>
              <w:bottom w:val="single" w:sz="4" w:space="0" w:color="auto"/>
              <w:right w:val="single" w:sz="4" w:space="0" w:color="auto"/>
            </w:tcBorders>
            <w:vAlign w:val="center"/>
          </w:tcPr>
          <w:p w:rsidR="00BE2859" w:rsidRPr="007D6D77" w:rsidRDefault="00BE2859" w:rsidP="00176804">
            <w:pPr>
              <w:keepNext/>
              <w:keepLines/>
              <w:widowControl w:val="0"/>
              <w:tabs>
                <w:tab w:val="clear" w:pos="720"/>
                <w:tab w:val="clear" w:pos="1080"/>
                <w:tab w:val="clear" w:pos="1440"/>
                <w:tab w:val="clear" w:pos="1800"/>
              </w:tabs>
              <w:spacing w:line="240" w:lineRule="auto"/>
              <w:rPr>
                <w:color w:val="000000"/>
                <w:sz w:val="18"/>
                <w:szCs w:val="18"/>
              </w:rPr>
            </w:pPr>
            <w:r>
              <w:rPr>
                <w:color w:val="000000"/>
                <w:sz w:val="18"/>
                <w:szCs w:val="18"/>
              </w:rPr>
              <w:t>Once per summer</w:t>
            </w:r>
          </w:p>
        </w:tc>
      </w:tr>
      <w:tr w:rsidR="00077672" w:rsidRPr="007D6D77" w:rsidTr="00077672">
        <w:trPr>
          <w:trHeight w:val="3060"/>
        </w:trPr>
        <w:tc>
          <w:tcPr>
            <w:tcW w:w="235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BE2859" w:rsidP="00176804">
            <w:pPr>
              <w:keepNext/>
              <w:keepLines/>
              <w:widowControl w:val="0"/>
              <w:tabs>
                <w:tab w:val="clear" w:pos="720"/>
                <w:tab w:val="clear" w:pos="1080"/>
                <w:tab w:val="clear" w:pos="1440"/>
                <w:tab w:val="clear" w:pos="1800"/>
              </w:tabs>
              <w:spacing w:line="240" w:lineRule="auto"/>
              <w:rPr>
                <w:color w:val="000000"/>
                <w:sz w:val="18"/>
                <w:szCs w:val="18"/>
              </w:rPr>
            </w:pPr>
            <w:r>
              <w:rPr>
                <w:color w:val="000000"/>
                <w:sz w:val="18"/>
                <w:szCs w:val="18"/>
              </w:rPr>
              <w:t>10</w:t>
            </w:r>
            <w:r w:rsidR="00A20117" w:rsidRPr="007D6D77">
              <w:rPr>
                <w:color w:val="000000"/>
                <w:sz w:val="18"/>
                <w:szCs w:val="18"/>
              </w:rPr>
              <w:t xml:space="preserve">. </w:t>
            </w:r>
            <w:r w:rsidR="00077672" w:rsidRPr="007D6D77">
              <w:rPr>
                <w:color w:val="000000"/>
                <w:sz w:val="18"/>
                <w:szCs w:val="18"/>
              </w:rPr>
              <w:t xml:space="preserve">How does the SoI experience affect youth engagement with STEM?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654BB0">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 of youth whose interest in STEM changed significantly between the baseline and follow-up</w:t>
            </w:r>
            <w:r w:rsidR="00654BB0" w:rsidRPr="007D6D77">
              <w:rPr>
                <w:color w:val="000000"/>
                <w:sz w:val="18"/>
                <w:szCs w:val="18"/>
              </w:rPr>
              <w:t xml:space="preserve"> </w:t>
            </w:r>
            <w:r w:rsidRPr="007D6D77">
              <w:rPr>
                <w:color w:val="000000"/>
                <w:sz w:val="18"/>
                <w:szCs w:val="18"/>
              </w:rPr>
              <w:t>surveys, by awardee and camp, by total population and underserved/underrepresented</w:t>
            </w:r>
            <w:r w:rsidRPr="007D6D77">
              <w:rPr>
                <w:color w:val="000000"/>
                <w:sz w:val="18"/>
                <w:szCs w:val="18"/>
              </w:rPr>
              <w:br/>
            </w:r>
            <w:r w:rsidRPr="007D6D77">
              <w:rPr>
                <w:color w:val="000000"/>
                <w:sz w:val="18"/>
                <w:szCs w:val="18"/>
              </w:rPr>
              <w:br/>
              <w:t>% of youth whose participation in STEM changed significantly in either in-school, extracurricular, or out-of-school activities, by total population and underserved/underrepresented</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b/>
                <w:color w:val="000000"/>
                <w:sz w:val="18"/>
                <w:szCs w:val="18"/>
              </w:rPr>
              <w:t xml:space="preserve">Baseline and follow-up </w:t>
            </w:r>
            <w:r w:rsidR="00F2731C" w:rsidRPr="007D6D77">
              <w:rPr>
                <w:b/>
                <w:color w:val="000000"/>
                <w:sz w:val="18"/>
                <w:szCs w:val="18"/>
              </w:rPr>
              <w:t>youth</w:t>
            </w:r>
            <w:r w:rsidRPr="007D6D77">
              <w:rPr>
                <w:b/>
                <w:color w:val="000000"/>
                <w:sz w:val="18"/>
                <w:szCs w:val="18"/>
              </w:rPr>
              <w:t xml:space="preserve"> survey </w:t>
            </w:r>
            <w:r w:rsidRPr="007D6D77">
              <w:rPr>
                <w:color w:val="000000"/>
                <w:sz w:val="18"/>
                <w:szCs w:val="18"/>
              </w:rPr>
              <w:t>with validated scales for assessment of student interest and participation in STEM</w:t>
            </w:r>
          </w:p>
          <w:p w:rsidR="00176804" w:rsidRPr="007D6D77" w:rsidRDefault="00176804" w:rsidP="00176804">
            <w:pPr>
              <w:keepNext/>
              <w:keepLines/>
              <w:widowControl w:val="0"/>
              <w:tabs>
                <w:tab w:val="clear" w:pos="720"/>
                <w:tab w:val="clear" w:pos="1080"/>
                <w:tab w:val="clear" w:pos="1440"/>
                <w:tab w:val="clear" w:pos="1800"/>
              </w:tabs>
              <w:spacing w:line="240" w:lineRule="auto"/>
              <w:rPr>
                <w:color w:val="000000"/>
                <w:sz w:val="18"/>
                <w:szCs w:val="18"/>
              </w:rPr>
            </w:pPr>
          </w:p>
          <w:p w:rsidR="00176804" w:rsidRPr="007D6D77" w:rsidRDefault="00176804" w:rsidP="00176804">
            <w:pPr>
              <w:keepNext/>
              <w:keepLines/>
              <w:widowControl w:val="0"/>
              <w:tabs>
                <w:tab w:val="clear" w:pos="720"/>
                <w:tab w:val="clear" w:pos="1080"/>
                <w:tab w:val="clear" w:pos="1440"/>
                <w:tab w:val="clear" w:pos="1800"/>
              </w:tabs>
              <w:spacing w:line="240" w:lineRule="auto"/>
              <w:rPr>
                <w:b/>
                <w:color w:val="000000"/>
                <w:sz w:val="18"/>
                <w:szCs w:val="18"/>
              </w:rPr>
            </w:pPr>
          </w:p>
          <w:p w:rsidR="00176804" w:rsidRPr="007D6D77" w:rsidRDefault="00176804" w:rsidP="00176804">
            <w:pPr>
              <w:keepNext/>
              <w:keepLines/>
              <w:widowControl w:val="0"/>
              <w:tabs>
                <w:tab w:val="clear" w:pos="720"/>
                <w:tab w:val="clear" w:pos="1080"/>
                <w:tab w:val="clear" w:pos="1440"/>
                <w:tab w:val="clear" w:pos="1800"/>
              </w:tabs>
              <w:spacing w:line="240" w:lineRule="auto"/>
              <w:rPr>
                <w:b/>
                <w:color w:val="000000"/>
                <w:sz w:val="18"/>
                <w:szCs w:val="18"/>
              </w:rPr>
            </w:pPr>
          </w:p>
          <w:p w:rsidR="00176804" w:rsidRPr="007D6D77" w:rsidRDefault="00176804" w:rsidP="00176804">
            <w:pPr>
              <w:keepNext/>
              <w:keepLines/>
              <w:widowControl w:val="0"/>
              <w:tabs>
                <w:tab w:val="clear" w:pos="720"/>
                <w:tab w:val="clear" w:pos="1080"/>
                <w:tab w:val="clear" w:pos="1440"/>
                <w:tab w:val="clear" w:pos="1800"/>
              </w:tabs>
              <w:spacing w:line="240" w:lineRule="auto"/>
              <w:rPr>
                <w:b/>
                <w:color w:val="000000"/>
                <w:sz w:val="18"/>
                <w:szCs w:val="18"/>
              </w:rPr>
            </w:pPr>
            <w:r w:rsidRPr="007D6D77">
              <w:rPr>
                <w:b/>
                <w:color w:val="000000"/>
                <w:sz w:val="18"/>
                <w:szCs w:val="18"/>
              </w:rPr>
              <w:t>Parent survey</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77672" w:rsidRPr="007D6D77" w:rsidRDefault="00077672"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Baseline: Prior to camp activities</w:t>
            </w:r>
            <w:r w:rsidRPr="007D6D77">
              <w:rPr>
                <w:color w:val="000000"/>
                <w:sz w:val="18"/>
                <w:szCs w:val="18"/>
              </w:rPr>
              <w:br/>
            </w:r>
            <w:r w:rsidRPr="007D6D77">
              <w:rPr>
                <w:color w:val="000000"/>
                <w:sz w:val="18"/>
                <w:szCs w:val="18"/>
              </w:rPr>
              <w:br/>
              <w:t>Follow-up: Administered 3 months following end of camp</w:t>
            </w:r>
          </w:p>
          <w:p w:rsidR="00176804" w:rsidRPr="007D6D77" w:rsidRDefault="00176804" w:rsidP="00176804">
            <w:pPr>
              <w:keepNext/>
              <w:keepLines/>
              <w:widowControl w:val="0"/>
              <w:tabs>
                <w:tab w:val="clear" w:pos="720"/>
                <w:tab w:val="clear" w:pos="1080"/>
                <w:tab w:val="clear" w:pos="1440"/>
                <w:tab w:val="clear" w:pos="1800"/>
              </w:tabs>
              <w:spacing w:line="240" w:lineRule="auto"/>
              <w:rPr>
                <w:color w:val="000000"/>
                <w:sz w:val="18"/>
                <w:szCs w:val="18"/>
              </w:rPr>
            </w:pPr>
          </w:p>
          <w:p w:rsidR="00176804" w:rsidRPr="007D6D77" w:rsidRDefault="00176804" w:rsidP="00176804">
            <w:pPr>
              <w:keepNext/>
              <w:keepLines/>
              <w:widowControl w:val="0"/>
              <w:tabs>
                <w:tab w:val="clear" w:pos="720"/>
                <w:tab w:val="clear" w:pos="1080"/>
                <w:tab w:val="clear" w:pos="1440"/>
                <w:tab w:val="clear" w:pos="1800"/>
              </w:tabs>
              <w:spacing w:line="240" w:lineRule="auto"/>
              <w:rPr>
                <w:color w:val="000000"/>
                <w:sz w:val="18"/>
                <w:szCs w:val="18"/>
              </w:rPr>
            </w:pPr>
            <w:r w:rsidRPr="007D6D77">
              <w:rPr>
                <w:color w:val="000000"/>
                <w:sz w:val="18"/>
                <w:szCs w:val="18"/>
              </w:rPr>
              <w:t>Once per summer</w:t>
            </w:r>
          </w:p>
        </w:tc>
      </w:tr>
    </w:tbl>
    <w:p w:rsidR="00C00837" w:rsidRPr="007D6D77" w:rsidRDefault="00C00837" w:rsidP="00C00837">
      <w:pPr>
        <w:pStyle w:val="BodyText"/>
        <w:rPr>
          <w:color w:val="0000FF"/>
        </w:rPr>
      </w:pPr>
    </w:p>
    <w:p w:rsidR="002318E1" w:rsidRPr="007D6D77" w:rsidRDefault="002318E1" w:rsidP="00C54A4D">
      <w:pPr>
        <w:pStyle w:val="BodyText"/>
        <w:rPr>
          <w:szCs w:val="22"/>
        </w:rPr>
      </w:pPr>
    </w:p>
    <w:p w:rsidR="002318E1" w:rsidRPr="007D6D77" w:rsidRDefault="00342305" w:rsidP="00C54A4D">
      <w:pPr>
        <w:pStyle w:val="BodyText"/>
        <w:rPr>
          <w:szCs w:val="22"/>
        </w:rPr>
      </w:pPr>
      <w:r w:rsidRPr="007D6D77">
        <w:rPr>
          <w:szCs w:val="22"/>
        </w:rPr>
        <w:t>I</w:t>
      </w:r>
      <w:r w:rsidR="002318E1" w:rsidRPr="007D6D77">
        <w:rPr>
          <w:szCs w:val="22"/>
        </w:rPr>
        <w:t>mplementation data col</w:t>
      </w:r>
      <w:r w:rsidR="00DE3C63" w:rsidRPr="007D6D77">
        <w:rPr>
          <w:szCs w:val="22"/>
        </w:rPr>
        <w:t xml:space="preserve">lected through </w:t>
      </w:r>
      <w:r w:rsidR="00FA1A77" w:rsidRPr="007D6D77">
        <w:rPr>
          <w:szCs w:val="22"/>
        </w:rPr>
        <w:t xml:space="preserve">the </w:t>
      </w:r>
      <w:r w:rsidR="00F57055" w:rsidRPr="007D6D77">
        <w:rPr>
          <w:szCs w:val="22"/>
        </w:rPr>
        <w:t xml:space="preserve">project </w:t>
      </w:r>
      <w:r w:rsidR="00FA1A77" w:rsidRPr="007D6D77">
        <w:rPr>
          <w:szCs w:val="22"/>
        </w:rPr>
        <w:t>activity reporting form, focus group discussions,</w:t>
      </w:r>
      <w:r w:rsidR="00DE3C63" w:rsidRPr="007D6D77">
        <w:rPr>
          <w:szCs w:val="22"/>
        </w:rPr>
        <w:t xml:space="preserve"> </w:t>
      </w:r>
      <w:r w:rsidR="006938CF" w:rsidRPr="007D6D77">
        <w:rPr>
          <w:szCs w:val="22"/>
        </w:rPr>
        <w:t xml:space="preserve">activity observations, </w:t>
      </w:r>
      <w:r w:rsidR="00DE3C63" w:rsidRPr="007D6D77">
        <w:rPr>
          <w:szCs w:val="22"/>
        </w:rPr>
        <w:t xml:space="preserve">and </w:t>
      </w:r>
      <w:r w:rsidRPr="007D6D77">
        <w:rPr>
          <w:szCs w:val="22"/>
        </w:rPr>
        <w:t>interviews</w:t>
      </w:r>
      <w:r w:rsidR="003E5438" w:rsidRPr="007D6D77">
        <w:rPr>
          <w:szCs w:val="22"/>
        </w:rPr>
        <w:t xml:space="preserve"> answer questions </w:t>
      </w:r>
      <w:r w:rsidR="006938CF" w:rsidRPr="007D6D77">
        <w:rPr>
          <w:szCs w:val="22"/>
        </w:rPr>
        <w:t>1-</w:t>
      </w:r>
      <w:r w:rsidR="002A6039">
        <w:rPr>
          <w:szCs w:val="22"/>
        </w:rPr>
        <w:t>9</w:t>
      </w:r>
      <w:r w:rsidR="003E5438" w:rsidRPr="007D6D77">
        <w:rPr>
          <w:szCs w:val="22"/>
        </w:rPr>
        <w:t xml:space="preserve">. </w:t>
      </w:r>
      <w:r w:rsidR="006938CF" w:rsidRPr="007D6D77">
        <w:rPr>
          <w:szCs w:val="22"/>
        </w:rPr>
        <w:t>T</w:t>
      </w:r>
      <w:r w:rsidR="003E5438" w:rsidRPr="007D6D77">
        <w:rPr>
          <w:szCs w:val="22"/>
        </w:rPr>
        <w:t xml:space="preserve">he data </w:t>
      </w:r>
      <w:r w:rsidR="006938CF" w:rsidRPr="007D6D77">
        <w:rPr>
          <w:szCs w:val="22"/>
        </w:rPr>
        <w:t xml:space="preserve">will </w:t>
      </w:r>
      <w:r w:rsidR="003E5438" w:rsidRPr="007D6D77">
        <w:rPr>
          <w:szCs w:val="22"/>
        </w:rPr>
        <w:t xml:space="preserve">be vital in </w:t>
      </w:r>
      <w:r w:rsidR="006938CF" w:rsidRPr="007D6D77">
        <w:rPr>
          <w:szCs w:val="22"/>
        </w:rPr>
        <w:t xml:space="preserve">monitoring implementation to ensure accountability and providing critical information to inform continuous project improvement. </w:t>
      </w:r>
    </w:p>
    <w:p w:rsidR="000053B8" w:rsidRPr="007D6D77" w:rsidRDefault="000053B8" w:rsidP="000053B8">
      <w:pPr>
        <w:pStyle w:val="BodyText"/>
        <w:rPr>
          <w:szCs w:val="22"/>
        </w:rPr>
      </w:pPr>
    </w:p>
    <w:p w:rsidR="000053B8" w:rsidRPr="007D6D77" w:rsidRDefault="000053B8" w:rsidP="000053B8">
      <w:pPr>
        <w:pStyle w:val="BodyText"/>
        <w:rPr>
          <w:szCs w:val="22"/>
        </w:rPr>
      </w:pPr>
      <w:r w:rsidRPr="007D6D77">
        <w:rPr>
          <w:szCs w:val="22"/>
        </w:rPr>
        <w:t xml:space="preserve">The last research question will be answered using the baseline and follow-up youth survey forms. Analysis of survey data will allow the external evaluator to explore changes associated with youth interest </w:t>
      </w:r>
      <w:r w:rsidR="00722179" w:rsidRPr="007D6D77">
        <w:rPr>
          <w:szCs w:val="22"/>
        </w:rPr>
        <w:t xml:space="preserve">and participation </w:t>
      </w:r>
      <w:r w:rsidRPr="007D6D77">
        <w:rPr>
          <w:szCs w:val="22"/>
        </w:rPr>
        <w:t>in STEM. In the youth survey</w:t>
      </w:r>
      <w:r w:rsidR="00F57055" w:rsidRPr="007D6D77">
        <w:rPr>
          <w:szCs w:val="22"/>
        </w:rPr>
        <w:t>,</w:t>
      </w:r>
      <w:r w:rsidRPr="007D6D77">
        <w:rPr>
          <w:szCs w:val="22"/>
        </w:rPr>
        <w:t xml:space="preserve"> NASA focuses </w:t>
      </w:r>
      <w:r w:rsidR="004305CB" w:rsidRPr="007D6D77">
        <w:rPr>
          <w:szCs w:val="22"/>
        </w:rPr>
        <w:t>primari</w:t>
      </w:r>
      <w:r w:rsidRPr="007D6D77">
        <w:rPr>
          <w:szCs w:val="22"/>
        </w:rPr>
        <w:t>ly on youths’ interest in science</w:t>
      </w:r>
      <w:r w:rsidR="004305CB" w:rsidRPr="007D6D77">
        <w:rPr>
          <w:szCs w:val="22"/>
        </w:rPr>
        <w:t xml:space="preserve">. </w:t>
      </w:r>
      <w:r w:rsidR="00142902" w:rsidRPr="007D6D77">
        <w:rPr>
          <w:szCs w:val="22"/>
        </w:rPr>
        <w:t xml:space="preserve">While NASA is certain science will be addressed by all </w:t>
      </w:r>
      <w:r w:rsidR="00C80443" w:rsidRPr="007D6D77">
        <w:rPr>
          <w:szCs w:val="22"/>
        </w:rPr>
        <w:t xml:space="preserve">SoI </w:t>
      </w:r>
      <w:r w:rsidR="00142902" w:rsidRPr="007D6D77">
        <w:rPr>
          <w:szCs w:val="22"/>
        </w:rPr>
        <w:t xml:space="preserve">programs, technology and engineering </w:t>
      </w:r>
      <w:r w:rsidR="00C80443" w:rsidRPr="007D6D77">
        <w:rPr>
          <w:szCs w:val="22"/>
        </w:rPr>
        <w:t>are</w:t>
      </w:r>
      <w:r w:rsidR="00B011DF" w:rsidRPr="007D6D77">
        <w:rPr>
          <w:szCs w:val="22"/>
        </w:rPr>
        <w:t xml:space="preserve"> addressed in the SoI curriculum to a significantly lesser degree and m</w:t>
      </w:r>
      <w:r w:rsidR="00142902" w:rsidRPr="007D6D77">
        <w:rPr>
          <w:szCs w:val="22"/>
        </w:rPr>
        <w:t xml:space="preserve">athematics is rarely addressed. Since engineering and technology are part of the SoI curriculum, NASA did adopt attitudinal scales </w:t>
      </w:r>
      <w:r w:rsidR="00B011DF" w:rsidRPr="007D6D77">
        <w:rPr>
          <w:szCs w:val="22"/>
        </w:rPr>
        <w:t xml:space="preserve">for the youth surveys </w:t>
      </w:r>
      <w:r w:rsidR="00142902" w:rsidRPr="007D6D77">
        <w:rPr>
          <w:szCs w:val="22"/>
        </w:rPr>
        <w:t xml:space="preserve">that incorporate statements about </w:t>
      </w:r>
      <w:r w:rsidR="004305CB" w:rsidRPr="007D6D77">
        <w:rPr>
          <w:szCs w:val="22"/>
        </w:rPr>
        <w:t xml:space="preserve">engineering and technology. </w:t>
      </w:r>
      <w:r w:rsidR="00B011DF" w:rsidRPr="007D6D77">
        <w:rPr>
          <w:szCs w:val="22"/>
        </w:rPr>
        <w:t>Example attitudinal statements addressing engineering and technology are as follows:</w:t>
      </w:r>
    </w:p>
    <w:p w:rsidR="00B011DF" w:rsidRPr="007D6D77" w:rsidRDefault="00B011DF" w:rsidP="00B011DF">
      <w:pPr>
        <w:pStyle w:val="BodyText"/>
        <w:numPr>
          <w:ilvl w:val="0"/>
          <w:numId w:val="31"/>
        </w:numPr>
        <w:rPr>
          <w:szCs w:val="22"/>
        </w:rPr>
      </w:pPr>
      <w:r w:rsidRPr="007D6D77">
        <w:rPr>
          <w:color w:val="000000"/>
          <w:szCs w:val="22"/>
        </w:rPr>
        <w:t>I like to take things apart to learn more about them</w:t>
      </w:r>
      <w:r w:rsidR="00A93679" w:rsidRPr="007D6D77">
        <w:rPr>
          <w:color w:val="000000"/>
          <w:szCs w:val="22"/>
        </w:rPr>
        <w:t>.</w:t>
      </w:r>
    </w:p>
    <w:p w:rsidR="00A93679" w:rsidRPr="007D6D77" w:rsidRDefault="00A93679" w:rsidP="00B011DF">
      <w:pPr>
        <w:pStyle w:val="BodyText"/>
        <w:numPr>
          <w:ilvl w:val="0"/>
          <w:numId w:val="31"/>
        </w:numPr>
        <w:rPr>
          <w:szCs w:val="22"/>
        </w:rPr>
      </w:pPr>
      <w:r w:rsidRPr="007D6D77">
        <w:rPr>
          <w:szCs w:val="22"/>
        </w:rPr>
        <w:t>I like to be part of a team that designs and builds a hands-on project.</w:t>
      </w:r>
    </w:p>
    <w:p w:rsidR="00A93679" w:rsidRPr="007D6D77" w:rsidRDefault="00A93679" w:rsidP="00B011DF">
      <w:pPr>
        <w:pStyle w:val="BodyText"/>
        <w:numPr>
          <w:ilvl w:val="0"/>
          <w:numId w:val="31"/>
        </w:numPr>
        <w:rPr>
          <w:szCs w:val="22"/>
        </w:rPr>
      </w:pPr>
      <w:r w:rsidRPr="007D6D77">
        <w:rPr>
          <w:szCs w:val="22"/>
        </w:rPr>
        <w:t>I like to design a solution to a problem.</w:t>
      </w:r>
    </w:p>
    <w:p w:rsidR="00A93679" w:rsidRPr="007D6D77" w:rsidRDefault="00A93679" w:rsidP="00B011DF">
      <w:pPr>
        <w:pStyle w:val="BodyText"/>
        <w:numPr>
          <w:ilvl w:val="0"/>
          <w:numId w:val="31"/>
        </w:numPr>
        <w:rPr>
          <w:szCs w:val="22"/>
        </w:rPr>
      </w:pPr>
      <w:r w:rsidRPr="007D6D77">
        <w:rPr>
          <w:color w:val="000000"/>
          <w:szCs w:val="22"/>
        </w:rPr>
        <w:t>I’m curious to learn how to program a computer game.</w:t>
      </w:r>
    </w:p>
    <w:p w:rsidR="00A93679" w:rsidRPr="007D6D77" w:rsidRDefault="00A93679" w:rsidP="00B011DF">
      <w:pPr>
        <w:pStyle w:val="BodyText"/>
        <w:numPr>
          <w:ilvl w:val="0"/>
          <w:numId w:val="31"/>
        </w:numPr>
        <w:rPr>
          <w:szCs w:val="22"/>
        </w:rPr>
      </w:pPr>
      <w:r w:rsidRPr="007D6D77">
        <w:rPr>
          <w:szCs w:val="22"/>
        </w:rPr>
        <w:t>I like to design and build something mechanical that works.</w:t>
      </w:r>
    </w:p>
    <w:p w:rsidR="000053B8" w:rsidRPr="007D6D77" w:rsidRDefault="000053B8" w:rsidP="000053B8">
      <w:pPr>
        <w:pStyle w:val="BodyText"/>
        <w:rPr>
          <w:szCs w:val="22"/>
        </w:rPr>
      </w:pPr>
    </w:p>
    <w:p w:rsidR="000053B8" w:rsidRPr="007D6D77" w:rsidRDefault="000053B8" w:rsidP="000053B8">
      <w:pPr>
        <w:pStyle w:val="BodyText"/>
        <w:rPr>
          <w:szCs w:val="22"/>
        </w:rPr>
      </w:pPr>
      <w:r w:rsidRPr="007D6D77">
        <w:rPr>
          <w:szCs w:val="22"/>
        </w:rPr>
        <w:t xml:space="preserve">As mentioned earlier, while measuring outcomes at multiple points in time can provide evidence of whether the outcomes of interest change, it will not allow us to rule out the possibility that something other than the program is affecting this change. However, it will support investigation into associations between implementation and outcomes of interest to inform future program strategy, as well as inform the future decision about whether a more rigorous impact evaluation should be undertaken. </w:t>
      </w:r>
    </w:p>
    <w:p w:rsidR="000053B8" w:rsidRPr="007D6D77" w:rsidRDefault="000053B8" w:rsidP="00C54A4D">
      <w:pPr>
        <w:pStyle w:val="BodyText"/>
        <w:rPr>
          <w:color w:val="0000FF"/>
          <w:szCs w:val="22"/>
        </w:rPr>
      </w:pPr>
    </w:p>
    <w:p w:rsidR="00C00837" w:rsidRPr="007D6D77" w:rsidRDefault="00C00837" w:rsidP="00C00837">
      <w:pPr>
        <w:pStyle w:val="BodyText"/>
        <w:rPr>
          <w:color w:val="0000FF"/>
          <w:sz w:val="24"/>
          <w:szCs w:val="24"/>
        </w:rPr>
      </w:pPr>
    </w:p>
    <w:p w:rsidR="003F56F6" w:rsidRPr="007D6D77" w:rsidRDefault="00C00837" w:rsidP="00145291">
      <w:pPr>
        <w:pStyle w:val="Heading3"/>
      </w:pPr>
      <w:bookmarkStart w:id="22" w:name="_Toc8118880"/>
      <w:bookmarkStart w:id="23" w:name="_Toc81803510"/>
      <w:bookmarkStart w:id="24" w:name="_Toc88301180"/>
      <w:bookmarkStart w:id="25" w:name="_Toc213748174"/>
      <w:r w:rsidRPr="007D6D77">
        <w:rPr>
          <w:szCs w:val="28"/>
        </w:rPr>
        <w:t>A.3</w:t>
      </w:r>
      <w:r w:rsidRPr="007D6D77">
        <w:rPr>
          <w:szCs w:val="28"/>
        </w:rPr>
        <w:tab/>
      </w:r>
      <w:bookmarkEnd w:id="22"/>
      <w:bookmarkEnd w:id="23"/>
      <w:bookmarkEnd w:id="24"/>
      <w:bookmarkEnd w:id="25"/>
      <w:r w:rsidR="003F56F6" w:rsidRPr="007D6D77">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F56F6" w:rsidRPr="007D6D77" w:rsidRDefault="003F56F6" w:rsidP="00C54A4D">
      <w:pPr>
        <w:pStyle w:val="BodyText"/>
        <w:rPr>
          <w:szCs w:val="22"/>
        </w:rPr>
      </w:pPr>
    </w:p>
    <w:p w:rsidR="00F04910" w:rsidRPr="007D6D77" w:rsidRDefault="00F2044C" w:rsidP="00C54A4D">
      <w:pPr>
        <w:pStyle w:val="BodyText"/>
        <w:rPr>
          <w:szCs w:val="22"/>
        </w:rPr>
      </w:pPr>
      <w:r w:rsidRPr="007D6D77">
        <w:rPr>
          <w:szCs w:val="22"/>
        </w:rPr>
        <w:t xml:space="preserve">Parent surveys will be available online and on paper. These dual modes of survey data collection will allow </w:t>
      </w:r>
      <w:r w:rsidR="00E52A5D" w:rsidRPr="007D6D77">
        <w:rPr>
          <w:szCs w:val="22"/>
        </w:rPr>
        <w:t xml:space="preserve">awardees to </w:t>
      </w:r>
      <w:r w:rsidRPr="007D6D77">
        <w:rPr>
          <w:szCs w:val="22"/>
        </w:rPr>
        <w:t xml:space="preserve">choose the approach that </w:t>
      </w:r>
      <w:r w:rsidR="007E239F" w:rsidRPr="007D6D77">
        <w:rPr>
          <w:szCs w:val="22"/>
        </w:rPr>
        <w:t>aligns most closely with their own approach to camp registration (online or paper)</w:t>
      </w:r>
      <w:r w:rsidR="00E52A5D" w:rsidRPr="007D6D77">
        <w:rPr>
          <w:szCs w:val="22"/>
        </w:rPr>
        <w:t>.</w:t>
      </w:r>
      <w:r w:rsidRPr="007D6D77">
        <w:rPr>
          <w:szCs w:val="22"/>
        </w:rPr>
        <w:t xml:space="preserve"> </w:t>
      </w:r>
      <w:r w:rsidR="00866FD4" w:rsidRPr="007D6D77">
        <w:rPr>
          <w:szCs w:val="22"/>
        </w:rPr>
        <w:t xml:space="preserve">NASA anticipates that approximately 20% of the parent surveys will be administered electronically. </w:t>
      </w:r>
      <w:r w:rsidR="0043165C" w:rsidRPr="007D6D77">
        <w:rPr>
          <w:szCs w:val="22"/>
        </w:rPr>
        <w:t xml:space="preserve">The </w:t>
      </w:r>
      <w:r w:rsidR="005D5A09" w:rsidRPr="007D6D77">
        <w:rPr>
          <w:szCs w:val="22"/>
        </w:rPr>
        <w:t>external evaluator</w:t>
      </w:r>
      <w:r w:rsidR="0043165C" w:rsidRPr="007D6D77">
        <w:rPr>
          <w:szCs w:val="22"/>
        </w:rPr>
        <w:t xml:space="preserve">’s electronic mail address and toll-free telephone number will be included on the first page of the </w:t>
      </w:r>
      <w:r w:rsidR="004F16D2" w:rsidRPr="007D6D77">
        <w:rPr>
          <w:szCs w:val="22"/>
        </w:rPr>
        <w:t xml:space="preserve">survey instruments </w:t>
      </w:r>
      <w:r w:rsidR="0043165C" w:rsidRPr="007D6D77">
        <w:rPr>
          <w:szCs w:val="22"/>
        </w:rPr>
        <w:t>for participants who have questions</w:t>
      </w:r>
      <w:r w:rsidR="008C00E8" w:rsidRPr="007D6D77">
        <w:rPr>
          <w:szCs w:val="22"/>
        </w:rPr>
        <w:t xml:space="preserve">. </w:t>
      </w:r>
    </w:p>
    <w:p w:rsidR="00866FD4" w:rsidRPr="007D6D77" w:rsidRDefault="00866FD4" w:rsidP="00C54A4D">
      <w:pPr>
        <w:pStyle w:val="BodyText"/>
        <w:rPr>
          <w:szCs w:val="22"/>
        </w:rPr>
      </w:pPr>
    </w:p>
    <w:p w:rsidR="00D15A8F" w:rsidRDefault="00C00837">
      <w:pPr>
        <w:pStyle w:val="Heading3"/>
        <w:widowControl w:val="0"/>
      </w:pPr>
      <w:bookmarkStart w:id="26" w:name="_Toc8118881"/>
      <w:bookmarkStart w:id="27" w:name="_Toc81803511"/>
      <w:bookmarkStart w:id="28" w:name="_Toc88301181"/>
      <w:bookmarkStart w:id="29" w:name="_Toc213748175"/>
      <w:r w:rsidRPr="007D6D77">
        <w:lastRenderedPageBreak/>
        <w:t>A.4</w:t>
      </w:r>
      <w:r w:rsidRPr="007D6D77">
        <w:tab/>
      </w:r>
      <w:bookmarkEnd w:id="26"/>
      <w:bookmarkEnd w:id="27"/>
      <w:bookmarkEnd w:id="28"/>
      <w:bookmarkEnd w:id="29"/>
      <w:r w:rsidR="003F56F6" w:rsidRPr="007D6D77">
        <w:t>DESCRIBE EFFORTS TO IDENTIFY DUPLICATION.  SHOW SPECIFICALLY WHY ANY SIMILAR INFORMATION ALREADY AVAILABLE CANNOT BE USED OR MODIFIED FOR USE FOR THE PURPOSE(S) DESCRIBED IN ITEM 2 ABOVE.</w:t>
      </w:r>
    </w:p>
    <w:p w:rsidR="00D15A8F" w:rsidRDefault="00D15A8F">
      <w:pPr>
        <w:pStyle w:val="BodyText"/>
        <w:keepNext/>
        <w:keepLines/>
        <w:widowControl w:val="0"/>
        <w:rPr>
          <w:szCs w:val="22"/>
        </w:rPr>
      </w:pPr>
    </w:p>
    <w:p w:rsidR="00D15A8F" w:rsidRDefault="00C00837">
      <w:pPr>
        <w:pStyle w:val="BodyText"/>
        <w:keepNext/>
        <w:keepLines/>
        <w:widowControl w:val="0"/>
        <w:rPr>
          <w:szCs w:val="22"/>
        </w:rPr>
      </w:pPr>
      <w:r w:rsidRPr="007D6D77">
        <w:rPr>
          <w:szCs w:val="22"/>
        </w:rPr>
        <w:t xml:space="preserve">This effort will yield data to </w:t>
      </w:r>
      <w:r w:rsidR="00874F21" w:rsidRPr="007D6D77">
        <w:rPr>
          <w:szCs w:val="22"/>
        </w:rPr>
        <w:t>assess</w:t>
      </w:r>
      <w:r w:rsidRPr="007D6D77">
        <w:rPr>
          <w:szCs w:val="22"/>
        </w:rPr>
        <w:t xml:space="preserve"> S</w:t>
      </w:r>
      <w:r w:rsidR="0019752D" w:rsidRPr="007D6D77">
        <w:rPr>
          <w:szCs w:val="22"/>
        </w:rPr>
        <w:t>o</w:t>
      </w:r>
      <w:r w:rsidRPr="007D6D77">
        <w:rPr>
          <w:szCs w:val="22"/>
        </w:rPr>
        <w:t xml:space="preserve">I </w:t>
      </w:r>
      <w:r w:rsidR="00874F21" w:rsidRPr="007D6D77">
        <w:rPr>
          <w:szCs w:val="22"/>
        </w:rPr>
        <w:t xml:space="preserve">implementation and </w:t>
      </w:r>
      <w:r w:rsidR="00381B33" w:rsidRPr="007D6D77">
        <w:rPr>
          <w:szCs w:val="22"/>
        </w:rPr>
        <w:t xml:space="preserve">measures of participant </w:t>
      </w:r>
      <w:r w:rsidR="00874F21" w:rsidRPr="007D6D77">
        <w:rPr>
          <w:szCs w:val="22"/>
        </w:rPr>
        <w:t>outcomes; a</w:t>
      </w:r>
      <w:r w:rsidRPr="007D6D77">
        <w:rPr>
          <w:szCs w:val="22"/>
        </w:rPr>
        <w:t xml:space="preserve">s such, there is no similar evaluation being conducted and there is no alternative source for collecting the information. </w:t>
      </w:r>
      <w:r w:rsidR="009F1791" w:rsidRPr="007D6D77">
        <w:rPr>
          <w:szCs w:val="22"/>
        </w:rPr>
        <w:t xml:space="preserve">NASA has identified technical representatives who will be responsible for coordinating the requests for information from </w:t>
      </w:r>
      <w:r w:rsidR="00C80F6C" w:rsidRPr="007D6D77">
        <w:rPr>
          <w:szCs w:val="22"/>
        </w:rPr>
        <w:t xml:space="preserve">the </w:t>
      </w:r>
      <w:r w:rsidR="00F04CB8" w:rsidRPr="007D6D77">
        <w:rPr>
          <w:szCs w:val="22"/>
        </w:rPr>
        <w:t>SoI project team and contractors to ensure that duplicative questions are not asked</w:t>
      </w:r>
      <w:r w:rsidR="009F1791" w:rsidRPr="007D6D77">
        <w:rPr>
          <w:szCs w:val="22"/>
        </w:rPr>
        <w:t xml:space="preserve">. </w:t>
      </w:r>
    </w:p>
    <w:p w:rsidR="00F04CB8" w:rsidRPr="007D6D77" w:rsidRDefault="00F04CB8" w:rsidP="00C54A4D">
      <w:pPr>
        <w:pStyle w:val="BodyText"/>
        <w:rPr>
          <w:color w:val="0000FF"/>
          <w:szCs w:val="22"/>
        </w:rPr>
      </w:pPr>
    </w:p>
    <w:p w:rsidR="00C00837" w:rsidRPr="007D6D77" w:rsidRDefault="00C00837" w:rsidP="00145291">
      <w:pPr>
        <w:pStyle w:val="Heading3"/>
      </w:pPr>
      <w:bookmarkStart w:id="30" w:name="_Toc8118882"/>
      <w:bookmarkStart w:id="31" w:name="_Toc81803512"/>
      <w:bookmarkStart w:id="32" w:name="_Toc88301182"/>
      <w:bookmarkStart w:id="33" w:name="_Toc213748176"/>
      <w:bookmarkStart w:id="34" w:name="_Toc341972157"/>
      <w:r w:rsidRPr="007D6D77">
        <w:t>A.5</w:t>
      </w:r>
      <w:r w:rsidRPr="007D6D77">
        <w:tab/>
      </w:r>
      <w:bookmarkEnd w:id="30"/>
      <w:bookmarkEnd w:id="31"/>
      <w:bookmarkEnd w:id="32"/>
      <w:bookmarkEnd w:id="33"/>
      <w:r w:rsidR="003F56F6" w:rsidRPr="007D6D77">
        <w:t>IF THE COLLECTION OF INFORMATION IMPACTS SMALL BUSINESSES OR OTHER SMALL ENTITIES (ITEM 5 OF THE OMB FORM 83-1), DESCRIBE THE METHODS USED TO MINIMIZE BURDEN.</w:t>
      </w:r>
      <w:bookmarkEnd w:id="34"/>
    </w:p>
    <w:p w:rsidR="00145291" w:rsidRPr="007D6D77" w:rsidRDefault="00145291" w:rsidP="00145291"/>
    <w:p w:rsidR="00C00837" w:rsidRPr="007D6D77" w:rsidRDefault="00F32122" w:rsidP="00C54A4D">
      <w:pPr>
        <w:pStyle w:val="BodyText"/>
        <w:rPr>
          <w:szCs w:val="22"/>
        </w:rPr>
      </w:pPr>
      <w:r w:rsidRPr="007D6D77">
        <w:rPr>
          <w:szCs w:val="22"/>
        </w:rPr>
        <w:t xml:space="preserve">No small businesses will be involved as respondents. </w:t>
      </w:r>
      <w:r w:rsidR="00C00837" w:rsidRPr="007D6D77">
        <w:rPr>
          <w:szCs w:val="22"/>
        </w:rPr>
        <w:t xml:space="preserve">The primary survey entities for data collection efforts described in this package are </w:t>
      </w:r>
      <w:r w:rsidR="00D0107E" w:rsidRPr="007D6D77">
        <w:rPr>
          <w:szCs w:val="22"/>
        </w:rPr>
        <w:t xml:space="preserve">parents, </w:t>
      </w:r>
      <w:r w:rsidR="008552CE" w:rsidRPr="007D6D77">
        <w:rPr>
          <w:szCs w:val="22"/>
        </w:rPr>
        <w:t>youth</w:t>
      </w:r>
      <w:r w:rsidR="00C00837" w:rsidRPr="007D6D77">
        <w:rPr>
          <w:szCs w:val="22"/>
        </w:rPr>
        <w:t>s</w:t>
      </w:r>
      <w:r w:rsidR="001C06B6" w:rsidRPr="007D6D77">
        <w:rPr>
          <w:szCs w:val="22"/>
        </w:rPr>
        <w:t>, teachers,</w:t>
      </w:r>
      <w:r w:rsidR="00C00837" w:rsidRPr="007D6D77">
        <w:rPr>
          <w:szCs w:val="22"/>
        </w:rPr>
        <w:t xml:space="preserve"> and awardees. Burden is minimized for all respondents by requesting only the minimum information to meet study objectives. All primary data collection will be coordinated by the </w:t>
      </w:r>
      <w:r w:rsidR="001E52FB" w:rsidRPr="007D6D77">
        <w:rPr>
          <w:szCs w:val="22"/>
        </w:rPr>
        <w:t>awardee PIs and center POCs with strong support provided by dedicated staff from the e</w:t>
      </w:r>
      <w:r w:rsidR="005D5A09" w:rsidRPr="007D6D77">
        <w:rPr>
          <w:szCs w:val="22"/>
        </w:rPr>
        <w:t>xternal evaluator</w:t>
      </w:r>
      <w:r w:rsidR="00C00837" w:rsidRPr="007D6D77">
        <w:rPr>
          <w:szCs w:val="22"/>
        </w:rPr>
        <w:t xml:space="preserve">, so as to reduce the burden on the SoI </w:t>
      </w:r>
      <w:r w:rsidR="000451E1" w:rsidRPr="007D6D77">
        <w:rPr>
          <w:szCs w:val="22"/>
        </w:rPr>
        <w:t>a</w:t>
      </w:r>
      <w:r w:rsidR="00C00837" w:rsidRPr="007D6D77">
        <w:rPr>
          <w:szCs w:val="22"/>
        </w:rPr>
        <w:t>wardees</w:t>
      </w:r>
      <w:r w:rsidR="0026261A" w:rsidRPr="007D6D77">
        <w:rPr>
          <w:szCs w:val="22"/>
        </w:rPr>
        <w:t>.</w:t>
      </w:r>
    </w:p>
    <w:p w:rsidR="00C00837" w:rsidRPr="007D6D77" w:rsidRDefault="00C00837" w:rsidP="007E239F">
      <w:pPr>
        <w:pStyle w:val="Heading3"/>
      </w:pPr>
      <w:bookmarkStart w:id="35" w:name="_Toc8118883"/>
      <w:bookmarkStart w:id="36" w:name="_Toc81803513"/>
      <w:bookmarkStart w:id="37" w:name="_Toc88301183"/>
      <w:bookmarkStart w:id="38" w:name="_Toc213748177"/>
      <w:bookmarkStart w:id="39" w:name="_Toc341972158"/>
      <w:r w:rsidRPr="007D6D77">
        <w:t>A.6</w:t>
      </w:r>
      <w:r w:rsidRPr="007D6D77">
        <w:tab/>
      </w:r>
      <w:bookmarkEnd w:id="35"/>
      <w:bookmarkEnd w:id="36"/>
      <w:bookmarkEnd w:id="37"/>
      <w:bookmarkEnd w:id="38"/>
      <w:r w:rsidR="003F56F6" w:rsidRPr="007D6D77">
        <w:t>DESCRIBE THE CONSEQUENCE TO FEDERAL PROGRAM OR POLICY ACTIVITIES IF THE COLLECTION IS NOT CONDUCTED OR IS CONDUCTED LESS FREQUENTLY, AS WELL AS ANY TECHNICAL OR LEGAL OBSTACLES TO REDUCING BURDEN.</w:t>
      </w:r>
      <w:bookmarkEnd w:id="39"/>
    </w:p>
    <w:p w:rsidR="00D348F3" w:rsidRPr="007D6D77" w:rsidRDefault="00D348F3" w:rsidP="00106A59">
      <w:pPr>
        <w:pStyle w:val="BodyText"/>
        <w:tabs>
          <w:tab w:val="clear" w:pos="720"/>
        </w:tabs>
        <w:rPr>
          <w:szCs w:val="22"/>
        </w:rPr>
      </w:pPr>
    </w:p>
    <w:p w:rsidR="00EA724D" w:rsidRPr="007D6D77" w:rsidRDefault="00D348F3" w:rsidP="00106A59">
      <w:pPr>
        <w:pStyle w:val="BodyText"/>
        <w:tabs>
          <w:tab w:val="clear" w:pos="720"/>
        </w:tabs>
        <w:rPr>
          <w:szCs w:val="22"/>
        </w:rPr>
      </w:pPr>
      <w:r w:rsidRPr="007D6D77">
        <w:rPr>
          <w:szCs w:val="22"/>
        </w:rPr>
        <w:t>Each form is used once in this evaluation, therefore frequency of use of individual forms is not an issue.</w:t>
      </w:r>
      <w:r w:rsidR="00EA724D" w:rsidRPr="007D6D77">
        <w:rPr>
          <w:szCs w:val="22"/>
        </w:rPr>
        <w:t xml:space="preserve"> None of these information forms in their present state have been utilized before. </w:t>
      </w:r>
    </w:p>
    <w:p w:rsidR="00EA724D" w:rsidRPr="007D6D77" w:rsidRDefault="00EA724D" w:rsidP="00106A59">
      <w:pPr>
        <w:pStyle w:val="BodyText"/>
        <w:tabs>
          <w:tab w:val="clear" w:pos="720"/>
        </w:tabs>
        <w:rPr>
          <w:szCs w:val="22"/>
        </w:rPr>
      </w:pPr>
    </w:p>
    <w:p w:rsidR="0019752D" w:rsidRPr="007D6D77" w:rsidRDefault="00D348F3" w:rsidP="00106A59">
      <w:pPr>
        <w:pStyle w:val="BodyText"/>
        <w:tabs>
          <w:tab w:val="clear" w:pos="720"/>
        </w:tabs>
        <w:rPr>
          <w:szCs w:val="22"/>
        </w:rPr>
      </w:pPr>
      <w:r w:rsidRPr="007D6D77">
        <w:rPr>
          <w:szCs w:val="22"/>
        </w:rPr>
        <w:t xml:space="preserve"> </w:t>
      </w:r>
      <w:r w:rsidR="00D0107E" w:rsidRPr="007D6D77">
        <w:rPr>
          <w:szCs w:val="22"/>
        </w:rPr>
        <w:t xml:space="preserve">If the proposed parent survey data were not collected, NASA would not fulfill NASA’s compliance need to ascertain the demographic characteristics of the SoI participants. </w:t>
      </w:r>
      <w:r w:rsidR="00C00837" w:rsidRPr="007D6D77">
        <w:rPr>
          <w:szCs w:val="22"/>
        </w:rPr>
        <w:t xml:space="preserve">If the proposed </w:t>
      </w:r>
      <w:r w:rsidR="008552CE" w:rsidRPr="007D6D77">
        <w:rPr>
          <w:szCs w:val="22"/>
        </w:rPr>
        <w:t>youth</w:t>
      </w:r>
      <w:r w:rsidR="00C00837" w:rsidRPr="007D6D77">
        <w:rPr>
          <w:szCs w:val="22"/>
        </w:rPr>
        <w:t xml:space="preserve"> survey data were not collected, NASA would not fulfill its objectives in </w:t>
      </w:r>
      <w:r w:rsidR="00381B33" w:rsidRPr="007D6D77">
        <w:rPr>
          <w:szCs w:val="22"/>
        </w:rPr>
        <w:t xml:space="preserve">investigating </w:t>
      </w:r>
      <w:r w:rsidR="008552CE" w:rsidRPr="007D6D77">
        <w:rPr>
          <w:szCs w:val="22"/>
        </w:rPr>
        <w:t>youth</w:t>
      </w:r>
      <w:r w:rsidR="00C00837" w:rsidRPr="007D6D77">
        <w:rPr>
          <w:szCs w:val="22"/>
        </w:rPr>
        <w:t xml:space="preserve"> outcomes </w:t>
      </w:r>
      <w:r w:rsidR="00EA1C48" w:rsidRPr="007D6D77">
        <w:rPr>
          <w:szCs w:val="22"/>
        </w:rPr>
        <w:t xml:space="preserve">that may be </w:t>
      </w:r>
      <w:r w:rsidR="00C00837" w:rsidRPr="007D6D77">
        <w:rPr>
          <w:szCs w:val="22"/>
        </w:rPr>
        <w:t xml:space="preserve">associated with participation in SoI. </w:t>
      </w:r>
      <w:r w:rsidR="00561D13" w:rsidRPr="007D6D77">
        <w:rPr>
          <w:szCs w:val="22"/>
        </w:rPr>
        <w:t>Without the implementation data</w:t>
      </w:r>
      <w:r w:rsidR="00106A59" w:rsidRPr="007D6D77">
        <w:rPr>
          <w:szCs w:val="22"/>
        </w:rPr>
        <w:t xml:space="preserve"> collected from teachers</w:t>
      </w:r>
      <w:r w:rsidR="00561D13" w:rsidRPr="007D6D77">
        <w:rPr>
          <w:szCs w:val="22"/>
        </w:rPr>
        <w:t xml:space="preserve">, NASA would not understand </w:t>
      </w:r>
      <w:r w:rsidR="00106A59" w:rsidRPr="007D6D77">
        <w:rPr>
          <w:szCs w:val="22"/>
        </w:rPr>
        <w:t>the supports and challenges awardees face in implementing SoI curricula</w:t>
      </w:r>
      <w:r w:rsidR="0026261A" w:rsidRPr="007D6D77">
        <w:rPr>
          <w:szCs w:val="22"/>
        </w:rPr>
        <w:t xml:space="preserve"> </w:t>
      </w:r>
      <w:r w:rsidR="00106A59" w:rsidRPr="007D6D77">
        <w:rPr>
          <w:szCs w:val="22"/>
        </w:rPr>
        <w:t>or how they handle those challenges. NASA also would not fully understand the staff, materials, and NASA resources necessary for successful SoI implementation nor how early and to what extent must plans and preparation begin for su</w:t>
      </w:r>
      <w:r w:rsidR="0026261A" w:rsidRPr="007D6D77">
        <w:rPr>
          <w:szCs w:val="22"/>
        </w:rPr>
        <w:t>ccessful implementation.</w:t>
      </w:r>
      <w:r w:rsidR="00561D13" w:rsidRPr="007D6D77">
        <w:rPr>
          <w:szCs w:val="22"/>
        </w:rPr>
        <w:t xml:space="preserve"> In addition, NASA would not know what would be required to replicate the models, should they be associated with promising outcomes. </w:t>
      </w:r>
      <w:r w:rsidR="00C00837" w:rsidRPr="007D6D77">
        <w:rPr>
          <w:szCs w:val="22"/>
        </w:rPr>
        <w:t xml:space="preserve">Thus, by not </w:t>
      </w:r>
      <w:r w:rsidR="00561D13" w:rsidRPr="007D6D77">
        <w:rPr>
          <w:szCs w:val="22"/>
        </w:rPr>
        <w:t>collecting survey</w:t>
      </w:r>
      <w:r w:rsidR="00F57BA1" w:rsidRPr="007D6D77">
        <w:rPr>
          <w:szCs w:val="22"/>
        </w:rPr>
        <w:t xml:space="preserve"> </w:t>
      </w:r>
      <w:r w:rsidR="00561D13" w:rsidRPr="007D6D77">
        <w:rPr>
          <w:szCs w:val="22"/>
        </w:rPr>
        <w:t>and implementation data</w:t>
      </w:r>
      <w:r w:rsidR="00C00837" w:rsidRPr="007D6D77">
        <w:rPr>
          <w:szCs w:val="22"/>
        </w:rPr>
        <w:t xml:space="preserve">, </w:t>
      </w:r>
      <w:r w:rsidR="0026261A" w:rsidRPr="007D6D77">
        <w:rPr>
          <w:szCs w:val="22"/>
        </w:rPr>
        <w:t>F</w:t>
      </w:r>
      <w:r w:rsidR="00C00837" w:rsidRPr="007D6D77">
        <w:rPr>
          <w:szCs w:val="22"/>
        </w:rPr>
        <w:t xml:space="preserve">ederal resources would be allocated and program decisions would be made in the absence of </w:t>
      </w:r>
      <w:r w:rsidR="00561D13" w:rsidRPr="007D6D77">
        <w:rPr>
          <w:szCs w:val="22"/>
        </w:rPr>
        <w:t xml:space="preserve">information about </w:t>
      </w:r>
      <w:r w:rsidR="00716ED7" w:rsidRPr="007D6D77">
        <w:rPr>
          <w:szCs w:val="22"/>
        </w:rPr>
        <w:t xml:space="preserve">the actual activities provided by the SoI awardees </w:t>
      </w:r>
      <w:r w:rsidR="00561D13" w:rsidRPr="007D6D77">
        <w:rPr>
          <w:szCs w:val="22"/>
        </w:rPr>
        <w:t>and lessons learned.</w:t>
      </w:r>
      <w:r w:rsidR="00C00837" w:rsidRPr="007D6D77">
        <w:rPr>
          <w:szCs w:val="22"/>
        </w:rPr>
        <w:t xml:space="preserve"> </w:t>
      </w:r>
    </w:p>
    <w:p w:rsidR="00D348F3" w:rsidRPr="007D6D77" w:rsidRDefault="00D348F3" w:rsidP="00106A59">
      <w:pPr>
        <w:pStyle w:val="BodyText"/>
        <w:tabs>
          <w:tab w:val="clear" w:pos="720"/>
        </w:tabs>
        <w:rPr>
          <w:szCs w:val="22"/>
        </w:rPr>
      </w:pPr>
    </w:p>
    <w:p w:rsidR="00926E13" w:rsidRPr="007D6D77" w:rsidRDefault="00C00837" w:rsidP="00145291">
      <w:pPr>
        <w:pStyle w:val="Heading3"/>
      </w:pPr>
      <w:bookmarkStart w:id="40" w:name="_Toc8118884"/>
      <w:bookmarkStart w:id="41" w:name="_Toc81803514"/>
      <w:bookmarkStart w:id="42" w:name="_Toc88301184"/>
      <w:bookmarkStart w:id="43" w:name="_Toc213748178"/>
      <w:bookmarkStart w:id="44" w:name="_Toc341972159"/>
      <w:r w:rsidRPr="007D6D77">
        <w:t>A.7</w:t>
      </w:r>
      <w:r w:rsidRPr="007D6D77">
        <w:tab/>
      </w:r>
      <w:bookmarkEnd w:id="40"/>
      <w:bookmarkEnd w:id="41"/>
      <w:bookmarkEnd w:id="42"/>
      <w:bookmarkEnd w:id="43"/>
      <w:r w:rsidR="00926E13" w:rsidRPr="007D6D77">
        <w:t>EXPLAIN ANY SPECIAL CIRCUMSTANCES THAT WOULD CAUSE AN INFORMATION COLLECTION TO BE CONDUCTED IN A MANNER:</w:t>
      </w:r>
      <w:bookmarkEnd w:id="44"/>
      <w:r w:rsidR="00926E13" w:rsidRPr="007D6D77">
        <w:t xml:space="preserve">  </w:t>
      </w:r>
    </w:p>
    <w:p w:rsidR="00926E13" w:rsidRPr="007D6D77" w:rsidRDefault="00926E13" w:rsidP="00926E13">
      <w:pPr>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REPORT INFORMATION TO THE AGENCY MORE OFTEN THAN QUARTERLY; </w:t>
      </w:r>
    </w:p>
    <w:p w:rsidR="00926E13" w:rsidRPr="007D6D77" w:rsidRDefault="00926E13" w:rsidP="00926E13">
      <w:pPr>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REQUIRING RESPONDENTS TO PREPARE A WRITTEN RESPONSE TO A COLLECTION OF INFORMATION IN FEWER THAN 30 DAYS AFTER RECEIPT OF IT;</w:t>
      </w:r>
    </w:p>
    <w:p w:rsidR="00926E13" w:rsidRPr="007D6D77" w:rsidRDefault="00926E13" w:rsidP="00926E13">
      <w:pPr>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SUBMIT MORE THAN AN ORIGINAL AND TWO COPIES OF ANY DOCUMENT; </w:t>
      </w:r>
    </w:p>
    <w:p w:rsidR="00926E13" w:rsidRPr="007D6D77" w:rsidRDefault="00926E13" w:rsidP="00926E13">
      <w:pPr>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 xml:space="preserve">REQUIRING RESPONDENTS TO RETAIN RECORDS, OTHER THAN HEALTH, MEDICAL, GOVERNMENT CONTRACT, GRANT-IN-AID, OR TAX RECORDS FOR MORE THAN 3 YEARS; </w:t>
      </w:r>
    </w:p>
    <w:p w:rsidR="00926E13" w:rsidRPr="007D6D77" w:rsidRDefault="00926E13" w:rsidP="00926E13">
      <w:pPr>
        <w:tabs>
          <w:tab w:val="left" w:pos="-1440"/>
        </w:tabs>
        <w:ind w:left="2880" w:hanging="720"/>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IN CONNECTION WITH A STATISTICAL SURVEY, THAT IS NOT DESIGNED TO PRODUCE VALID AND RELIABLE RESULTS THAT CAN BE GENERALIZED TO THE UNIVERSE OF STUDY;</w:t>
      </w:r>
    </w:p>
    <w:p w:rsidR="00926E13" w:rsidRPr="007D6D77" w:rsidRDefault="00926E13" w:rsidP="00926E13">
      <w:pPr>
        <w:rPr>
          <w:rFonts w:ascii="Arial Narrow" w:hAnsi="Arial Narrow"/>
          <w:b/>
          <w:sz w:val="24"/>
          <w:szCs w:val="24"/>
        </w:rPr>
      </w:pPr>
    </w:p>
    <w:p w:rsidR="00926E13" w:rsidRPr="007D6D77" w:rsidRDefault="00926E13" w:rsidP="00926E13">
      <w:pPr>
        <w:tabs>
          <w:tab w:val="left" w:pos="-1440"/>
        </w:tabs>
        <w:ind w:left="2880" w:hanging="720"/>
        <w:rPr>
          <w:rFonts w:ascii="Arial Narrow" w:hAnsi="Arial Narrow"/>
          <w:b/>
          <w:sz w:val="24"/>
          <w:szCs w:val="24"/>
        </w:rPr>
      </w:pPr>
      <w:r w:rsidRPr="007D6D77">
        <w:rPr>
          <w:rFonts w:ascii="Arial Narrow" w:hAnsi="Arial Narrow"/>
          <w:b/>
          <w:sz w:val="24"/>
          <w:szCs w:val="24"/>
        </w:rPr>
        <w:t>-</w:t>
      </w:r>
      <w:r w:rsidRPr="007D6D77">
        <w:rPr>
          <w:rFonts w:ascii="Arial Narrow" w:hAnsi="Arial Narrow"/>
          <w:b/>
          <w:sz w:val="24"/>
          <w:szCs w:val="24"/>
        </w:rPr>
        <w:tab/>
        <w:t>REQUIRING THE USE OF A STATISTICAL DATA CLASSIFICATION THAT HAS NOT BEEN REVIEWED AND APPROVED BY OMB;</w:t>
      </w:r>
    </w:p>
    <w:p w:rsidR="00926E13" w:rsidRPr="007D6D77" w:rsidRDefault="00926E13" w:rsidP="00926E13">
      <w:pPr>
        <w:rPr>
          <w:rFonts w:ascii="Arial Narrow" w:hAnsi="Arial Narrow"/>
          <w:b/>
          <w:sz w:val="24"/>
          <w:szCs w:val="24"/>
        </w:rPr>
      </w:pPr>
    </w:p>
    <w:p w:rsidR="00926E13" w:rsidRPr="007D6D77" w:rsidRDefault="00926E13" w:rsidP="00926E13">
      <w:pPr>
        <w:widowControl w:val="0"/>
        <w:numPr>
          <w:ilvl w:val="0"/>
          <w:numId w:val="28"/>
        </w:numPr>
        <w:tabs>
          <w:tab w:val="clear" w:pos="720"/>
          <w:tab w:val="clear" w:pos="1080"/>
          <w:tab w:val="clear" w:pos="1440"/>
          <w:tab w:val="clear" w:pos="1800"/>
          <w:tab w:val="left" w:pos="-1440"/>
        </w:tabs>
        <w:spacing w:line="240" w:lineRule="auto"/>
        <w:rPr>
          <w:rFonts w:ascii="Arial Narrow" w:hAnsi="Arial Narrow"/>
          <w:b/>
          <w:sz w:val="24"/>
          <w:szCs w:val="24"/>
        </w:rPr>
      </w:pPr>
      <w:r w:rsidRPr="007D6D77">
        <w:rPr>
          <w:rFonts w:ascii="Arial Narrow" w:hAnsi="Arial Narrow"/>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26E13" w:rsidRPr="007D6D77" w:rsidRDefault="00926E13" w:rsidP="00926E13">
      <w:pPr>
        <w:tabs>
          <w:tab w:val="left" w:pos="-1440"/>
        </w:tabs>
        <w:ind w:left="2160"/>
        <w:rPr>
          <w:rFonts w:ascii="Arial Narrow" w:hAnsi="Arial Narrow"/>
          <w:b/>
          <w:sz w:val="24"/>
          <w:szCs w:val="24"/>
        </w:rPr>
      </w:pPr>
    </w:p>
    <w:p w:rsidR="00926E13" w:rsidRPr="007D6D77" w:rsidRDefault="00926E13" w:rsidP="00926E13">
      <w:pPr>
        <w:widowControl w:val="0"/>
        <w:numPr>
          <w:ilvl w:val="0"/>
          <w:numId w:val="28"/>
        </w:numPr>
        <w:tabs>
          <w:tab w:val="clear" w:pos="720"/>
          <w:tab w:val="clear" w:pos="1080"/>
          <w:tab w:val="clear" w:pos="1440"/>
          <w:tab w:val="clear" w:pos="1800"/>
          <w:tab w:val="left" w:pos="-1440"/>
        </w:tabs>
        <w:spacing w:line="240" w:lineRule="auto"/>
        <w:rPr>
          <w:rFonts w:ascii="Arial Narrow" w:hAnsi="Arial Narrow"/>
          <w:b/>
          <w:sz w:val="24"/>
          <w:szCs w:val="24"/>
        </w:rPr>
      </w:pPr>
      <w:r w:rsidRPr="007D6D77">
        <w:rPr>
          <w:rFonts w:ascii="Arial Narrow" w:hAnsi="Arial Narrow"/>
          <w:b/>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C00837" w:rsidRPr="007D6D77" w:rsidRDefault="00C00837" w:rsidP="00C00837">
      <w:pPr>
        <w:pStyle w:val="AbtHeadB"/>
        <w:ind w:left="720" w:hanging="720"/>
        <w:rPr>
          <w:rFonts w:ascii="Times New Roman" w:hAnsi="Times New Roman"/>
        </w:rPr>
      </w:pPr>
    </w:p>
    <w:p w:rsidR="00C00837" w:rsidRPr="007D6D77" w:rsidRDefault="00C00837" w:rsidP="00C00837">
      <w:pPr>
        <w:pStyle w:val="BodyText"/>
        <w:rPr>
          <w:szCs w:val="22"/>
        </w:rPr>
      </w:pPr>
      <w:r w:rsidRPr="007D6D77">
        <w:rPr>
          <w:szCs w:val="22"/>
        </w:rPr>
        <w:t>There are no special circumstances associated with this data collection.</w:t>
      </w:r>
    </w:p>
    <w:p w:rsidR="00C00837" w:rsidRPr="007D6D77" w:rsidRDefault="00C00837" w:rsidP="00C00837">
      <w:pPr>
        <w:pStyle w:val="BodyText"/>
      </w:pPr>
    </w:p>
    <w:p w:rsidR="005C0866" w:rsidRPr="007D6D77" w:rsidRDefault="00C00837" w:rsidP="00145291">
      <w:pPr>
        <w:pStyle w:val="Heading3"/>
        <w:rPr>
          <w:rFonts w:ascii="Times New Roman" w:hAnsi="Times New Roman"/>
        </w:rPr>
      </w:pPr>
      <w:bookmarkStart w:id="45" w:name="_Toc8118885"/>
      <w:bookmarkStart w:id="46" w:name="_Toc81803515"/>
      <w:bookmarkStart w:id="47" w:name="_Toc88301185"/>
      <w:bookmarkStart w:id="48" w:name="_Toc213748179"/>
      <w:bookmarkStart w:id="49" w:name="_Toc341972160"/>
      <w:r w:rsidRPr="007D6D77">
        <w:t>A.8</w:t>
      </w:r>
      <w:r w:rsidRPr="007D6D77">
        <w:tab/>
      </w:r>
      <w:bookmarkEnd w:id="45"/>
      <w:bookmarkEnd w:id="46"/>
      <w:bookmarkEnd w:id="47"/>
      <w:bookmarkEnd w:id="48"/>
      <w:r w:rsidR="005C0866" w:rsidRPr="007D6D77">
        <w:t xml:space="preserve">IF APPLICABLE, PROVIDE A COPY AND </w:t>
      </w:r>
      <w:r w:rsidR="00FF56CC" w:rsidRPr="007D6D77">
        <w:t xml:space="preserve">IDENTIFY THE </w:t>
      </w:r>
      <w:r w:rsidR="005C0866" w:rsidRPr="007D6D77">
        <w:t>DATE AND PAGE NUMBER OF PUBLICATION</w:t>
      </w:r>
      <w:r w:rsidR="00FF56CC" w:rsidRPr="007D6D77">
        <w:t xml:space="preserve"> IN THE </w:t>
      </w:r>
      <w:r w:rsidR="005C0866" w:rsidRPr="007D6D77">
        <w:t xml:space="preserve">FEDERAL REGISTER OF THE AGENCY'S </w:t>
      </w:r>
      <w:r w:rsidR="00FF56CC" w:rsidRPr="007D6D77">
        <w:t>NOTICE,</w:t>
      </w:r>
      <w:r w:rsidR="00FF56CC" w:rsidRPr="007D6D77">
        <w:rPr>
          <w:szCs w:val="24"/>
        </w:rPr>
        <w:t xml:space="preserve"> REQUIRED </w:t>
      </w:r>
      <w:r w:rsidR="005C0866" w:rsidRPr="007D6D77">
        <w:rPr>
          <w:szCs w:val="24"/>
        </w:rPr>
        <w:t>BY 5 CFR 1320.8(d), SOLICITING COMMENT</w:t>
      </w:r>
      <w:r w:rsidR="00FF56CC" w:rsidRPr="007D6D77">
        <w:rPr>
          <w:szCs w:val="24"/>
        </w:rPr>
        <w:t xml:space="preserve">S ON THE </w:t>
      </w:r>
      <w:r w:rsidR="005C0866" w:rsidRPr="007D6D77">
        <w:rPr>
          <w:szCs w:val="24"/>
        </w:rPr>
        <w:t xml:space="preserve">INFORMATION COLLECTION PRIOR </w:t>
      </w:r>
      <w:r w:rsidR="00FF56CC" w:rsidRPr="007D6D77">
        <w:rPr>
          <w:szCs w:val="24"/>
        </w:rPr>
        <w:t xml:space="preserve">TO SUBMISSION TO </w:t>
      </w:r>
      <w:r w:rsidR="005C0866" w:rsidRPr="007D6D77">
        <w:rPr>
          <w:szCs w:val="24"/>
        </w:rPr>
        <w:t xml:space="preserve">OMB.  SUMMARIZE PUBLIC COMMENTS </w:t>
      </w:r>
      <w:r w:rsidR="00145291" w:rsidRPr="007D6D77">
        <w:rPr>
          <w:szCs w:val="24"/>
        </w:rPr>
        <w:t xml:space="preserve">RECEIVED IN  </w:t>
      </w:r>
      <w:r w:rsidR="005C0866" w:rsidRPr="007D6D77">
        <w:rPr>
          <w:szCs w:val="24"/>
        </w:rPr>
        <w:t>RESPONSE TO THAT NOTICE AND DESCR</w:t>
      </w:r>
      <w:r w:rsidR="00FF56CC" w:rsidRPr="007D6D77">
        <w:rPr>
          <w:szCs w:val="24"/>
        </w:rPr>
        <w:t xml:space="preserve">IBE ACTIONS </w:t>
      </w:r>
      <w:r w:rsidR="005C0866" w:rsidRPr="007D6D77">
        <w:rPr>
          <w:szCs w:val="24"/>
        </w:rPr>
        <w:t>TAKEN BY THE AGENCY IN RESPONSE TO T</w:t>
      </w:r>
      <w:r w:rsidR="00FF56CC" w:rsidRPr="007D6D77">
        <w:rPr>
          <w:szCs w:val="24"/>
        </w:rPr>
        <w:t xml:space="preserve">HESE </w:t>
      </w:r>
      <w:r w:rsidR="005C0866" w:rsidRPr="007D6D77">
        <w:rPr>
          <w:szCs w:val="24"/>
        </w:rPr>
        <w:t>COMMENTS.  SPECIFICALLY ADDRESS CO</w:t>
      </w:r>
      <w:r w:rsidR="00FF56CC" w:rsidRPr="007D6D77">
        <w:rPr>
          <w:szCs w:val="24"/>
        </w:rPr>
        <w:t xml:space="preserve">MMENTS </w:t>
      </w:r>
      <w:r w:rsidR="005C0866" w:rsidRPr="007D6D77">
        <w:rPr>
          <w:szCs w:val="24"/>
        </w:rPr>
        <w:t>RECEIVED ON COST AND HOUR BURDEN.</w:t>
      </w:r>
      <w:bookmarkEnd w:id="49"/>
      <w:r w:rsidR="005C0866" w:rsidRPr="007D6D77">
        <w:rPr>
          <w:rFonts w:ascii="Times New Roman" w:hAnsi="Times New Roman"/>
        </w:rPr>
        <w:t xml:space="preserve">  </w:t>
      </w:r>
    </w:p>
    <w:p w:rsidR="00145291" w:rsidRPr="007D6D77" w:rsidRDefault="00145291" w:rsidP="005C0866">
      <w:pPr>
        <w:spacing w:line="240" w:lineRule="auto"/>
      </w:pPr>
    </w:p>
    <w:p w:rsidR="00D0107E" w:rsidRPr="007D6D77" w:rsidRDefault="00C00837" w:rsidP="005C0866">
      <w:pPr>
        <w:spacing w:line="240" w:lineRule="auto"/>
      </w:pPr>
      <w:r w:rsidRPr="007D6D77">
        <w:lastRenderedPageBreak/>
        <w:t xml:space="preserve">In accordance with the Paperwork Reduction Act of 1995, NASA published a notice in the Federal Register announcing the agency’s intention to request an OMB review of data collection activities. The notice was published on </w:t>
      </w:r>
      <w:r w:rsidR="00C81608" w:rsidRPr="007D6D77">
        <w:t>June 30, 2011 (FRN 11-056) for a 60-day review period</w:t>
      </w:r>
      <w:r w:rsidR="007E239F" w:rsidRPr="007D6D77">
        <w:t xml:space="preserve">. </w:t>
      </w:r>
      <w:r w:rsidR="005C0866" w:rsidRPr="007D6D77">
        <w:t>The Agency issued a second notice on November 14, 2012 (FRN 12-097) for a 30-day review period. No comments have been received.</w:t>
      </w:r>
    </w:p>
    <w:p w:rsidR="00C81608" w:rsidRPr="007D6D77" w:rsidRDefault="00C81608" w:rsidP="005C0866">
      <w:pPr>
        <w:spacing w:line="240" w:lineRule="auto"/>
        <w:rPr>
          <w:szCs w:val="22"/>
        </w:rPr>
      </w:pPr>
    </w:p>
    <w:p w:rsidR="00A03D38" w:rsidRPr="007D6D77" w:rsidRDefault="00A03D38" w:rsidP="00A03D38">
      <w:pPr>
        <w:rPr>
          <w:szCs w:val="28"/>
        </w:rPr>
      </w:pPr>
      <w:bookmarkStart w:id="50" w:name="_Toc8118886"/>
      <w:bookmarkStart w:id="51" w:name="_Toc81803516"/>
      <w:bookmarkStart w:id="52" w:name="_Toc88301186"/>
      <w:bookmarkStart w:id="53" w:name="_Toc213748180"/>
    </w:p>
    <w:bookmarkEnd w:id="50"/>
    <w:bookmarkEnd w:id="51"/>
    <w:bookmarkEnd w:id="52"/>
    <w:bookmarkEnd w:id="53"/>
    <w:p w:rsidR="00A03D38" w:rsidRPr="007D6D77" w:rsidRDefault="00A03D38" w:rsidP="000B5116">
      <w:pPr>
        <w:ind w:left="720"/>
        <w:rPr>
          <w:rFonts w:ascii="Arial Narrow" w:hAnsi="Arial Narrow"/>
          <w:b/>
          <w:sz w:val="24"/>
          <w:szCs w:val="24"/>
        </w:rPr>
      </w:pPr>
      <w:r w:rsidRPr="007D6D77">
        <w:rPr>
          <w:rFonts w:ascii="Arial Narrow" w:hAnsi="Arial Narrow"/>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03D38" w:rsidRPr="007D6D77" w:rsidRDefault="00A03D38" w:rsidP="000B5116">
      <w:pPr>
        <w:ind w:left="720"/>
        <w:rPr>
          <w:rFonts w:ascii="Arial Narrow" w:hAnsi="Arial Narrow"/>
          <w:b/>
          <w:sz w:val="24"/>
          <w:szCs w:val="24"/>
        </w:rPr>
      </w:pPr>
    </w:p>
    <w:p w:rsidR="00A03D38" w:rsidRPr="007D6D77" w:rsidRDefault="00A03D38" w:rsidP="000B5116">
      <w:pPr>
        <w:ind w:left="720"/>
        <w:rPr>
          <w:rFonts w:ascii="Arial Narrow" w:hAnsi="Arial Narrow"/>
          <w:b/>
          <w:sz w:val="24"/>
          <w:szCs w:val="24"/>
        </w:rPr>
      </w:pPr>
      <w:r w:rsidRPr="007D6D77">
        <w:rPr>
          <w:rFonts w:ascii="Arial Narrow" w:hAnsi="Arial Narrow"/>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03D38" w:rsidRPr="007D6D77" w:rsidRDefault="00A03D38" w:rsidP="00A03D38">
      <w:pPr>
        <w:spacing w:line="240" w:lineRule="auto"/>
        <w:rPr>
          <w:rFonts w:ascii="Arial Narrow" w:hAnsi="Arial Narrow"/>
          <w:b/>
          <w:sz w:val="24"/>
          <w:szCs w:val="24"/>
        </w:rPr>
      </w:pPr>
    </w:p>
    <w:p w:rsidR="00A03D38" w:rsidRPr="007D6D77" w:rsidRDefault="00A03D38" w:rsidP="00A03D38">
      <w:pPr>
        <w:spacing w:line="240" w:lineRule="auto"/>
        <w:rPr>
          <w:szCs w:val="22"/>
        </w:rPr>
      </w:pPr>
      <w:r w:rsidRPr="007D6D77">
        <w:rPr>
          <w:szCs w:val="22"/>
        </w:rPr>
        <w:t xml:space="preserve">The parent and youth surveys, the teacher focus group protocol, and this PRA clearance package were developed by NASA staff in consultation with several external experts, including Laura LoGerfo, the Project Officer for High School Longitudinal Study of 2009 at the U.S. Department of Education National Center for Education Statistics; Gil Noam, </w:t>
      </w:r>
      <w:r w:rsidRPr="007D6D77">
        <w:rPr>
          <w:rStyle w:val="st1"/>
          <w:szCs w:val="22"/>
        </w:rPr>
        <w:t xml:space="preserve">Founder and Director of the Program in Education, Afterschool &amp; Resiliency (PEAR), Harvard University; and Sara Spiegel, Director of Administration at the Noyce Foundation. </w:t>
      </w:r>
      <w:r w:rsidRPr="007D6D77">
        <w:rPr>
          <w:szCs w:val="22"/>
        </w:rPr>
        <w:t xml:space="preserve">Several experts also advised on the evaluation design, including Henry Frierson, University of Florida; Anita Krishnamurthi, Afterschool Alliance; Carol Stoel, National Science Foundation; Robert Tai, University of Virginia; and Diego Zapata-Rivera, Educational Testing Service. Copies of the instruments were also distributed to representatives of Summer of Innovation awards, who </w:t>
      </w:r>
      <w:r w:rsidR="004E3D44" w:rsidRPr="007D6D77">
        <w:rPr>
          <w:szCs w:val="22"/>
        </w:rPr>
        <w:t xml:space="preserve">are responsible for administration of two of the instruments (parent survey; baseline youth survey). The awardees </w:t>
      </w:r>
      <w:r w:rsidRPr="007D6D77">
        <w:rPr>
          <w:szCs w:val="22"/>
        </w:rPr>
        <w:t xml:space="preserve">provided some feedback on </w:t>
      </w:r>
      <w:r w:rsidR="00892A04" w:rsidRPr="007D6D77">
        <w:rPr>
          <w:szCs w:val="22"/>
        </w:rPr>
        <w:t>individual</w:t>
      </w:r>
      <w:r w:rsidRPr="007D6D77">
        <w:rPr>
          <w:szCs w:val="22"/>
        </w:rPr>
        <w:t xml:space="preserve"> question items and survey administration. </w:t>
      </w:r>
    </w:p>
    <w:p w:rsidR="00A03D38" w:rsidRPr="007D6D77" w:rsidRDefault="00A03D38" w:rsidP="00A03D38">
      <w:pPr>
        <w:pStyle w:val="Default"/>
        <w:rPr>
          <w:rStyle w:val="st1"/>
          <w:color w:val="222222"/>
          <w:sz w:val="22"/>
          <w:szCs w:val="22"/>
        </w:rPr>
      </w:pPr>
    </w:p>
    <w:p w:rsidR="00A03D38" w:rsidRPr="007D6D77" w:rsidRDefault="00A03D38" w:rsidP="00A03D38">
      <w:pPr>
        <w:pStyle w:val="Default"/>
        <w:rPr>
          <w:sz w:val="22"/>
          <w:szCs w:val="22"/>
        </w:rPr>
      </w:pPr>
      <w:r w:rsidRPr="007D6D77">
        <w:rPr>
          <w:sz w:val="22"/>
          <w:szCs w:val="22"/>
        </w:rPr>
        <w:t>The surveys are based on the theory of change depicted in the SoI logic model (revised in August 2012) and informed by the evaluators’ knowledge of the program. Survey question items were selected and/or adapted from previously field-tested and validated instruments, eliminating the need for cognitive testing. The source instruments for the survey question items are as follows:</w:t>
      </w:r>
    </w:p>
    <w:p w:rsidR="00A03D38" w:rsidRPr="007D6D77" w:rsidRDefault="00A03D38" w:rsidP="00A03D38">
      <w:pPr>
        <w:pStyle w:val="Default"/>
        <w:rPr>
          <w:sz w:val="22"/>
          <w:szCs w:val="22"/>
        </w:rPr>
      </w:pPr>
    </w:p>
    <w:p w:rsidR="00A03D38" w:rsidRPr="007D6D77" w:rsidRDefault="00A03D38" w:rsidP="00A03D38">
      <w:pPr>
        <w:pStyle w:val="Default"/>
        <w:numPr>
          <w:ilvl w:val="0"/>
          <w:numId w:val="25"/>
        </w:numPr>
        <w:rPr>
          <w:sz w:val="22"/>
          <w:szCs w:val="22"/>
        </w:rPr>
      </w:pPr>
      <w:r w:rsidRPr="007D6D77">
        <w:rPr>
          <w:sz w:val="22"/>
          <w:szCs w:val="22"/>
        </w:rPr>
        <w:t>Student Baseline Survey and Parent Baseline Survey, High School Longitudinal Study (HSLS) of 2009, IES/Department of Education</w:t>
      </w:r>
    </w:p>
    <w:p w:rsidR="00A03D38" w:rsidRPr="007D6D77" w:rsidRDefault="00A03D38" w:rsidP="00A03D38">
      <w:pPr>
        <w:pStyle w:val="Default"/>
        <w:numPr>
          <w:ilvl w:val="0"/>
          <w:numId w:val="25"/>
        </w:numPr>
        <w:rPr>
          <w:sz w:val="22"/>
          <w:szCs w:val="22"/>
        </w:rPr>
      </w:pPr>
      <w:r w:rsidRPr="007D6D77">
        <w:rPr>
          <w:sz w:val="22"/>
          <w:szCs w:val="22"/>
        </w:rPr>
        <w:t>Assessing Women and Men In Engineering (AWE), Middle School Students Pre-Activity Surveys and Immediate Post-Activity Surveys for Middle School-Aged Participants – Science and Engineering (2009)</w:t>
      </w:r>
    </w:p>
    <w:p w:rsidR="00A03D38" w:rsidRPr="007D6D77" w:rsidRDefault="00A03D38" w:rsidP="00A03D38">
      <w:pPr>
        <w:pStyle w:val="Default"/>
        <w:numPr>
          <w:ilvl w:val="0"/>
          <w:numId w:val="25"/>
        </w:numPr>
        <w:rPr>
          <w:sz w:val="22"/>
          <w:szCs w:val="22"/>
        </w:rPr>
      </w:pPr>
      <w:r w:rsidRPr="007D6D77">
        <w:rPr>
          <w:sz w:val="22"/>
          <w:szCs w:val="22"/>
        </w:rPr>
        <w:t>4-H Science Youth Survey (2012)</w:t>
      </w:r>
    </w:p>
    <w:p w:rsidR="00A03D38" w:rsidRPr="007D6D77" w:rsidRDefault="00A03D38" w:rsidP="00A03D38">
      <w:pPr>
        <w:pStyle w:val="Default"/>
        <w:numPr>
          <w:ilvl w:val="0"/>
          <w:numId w:val="25"/>
        </w:numPr>
        <w:rPr>
          <w:sz w:val="22"/>
          <w:szCs w:val="22"/>
        </w:rPr>
      </w:pPr>
      <w:r w:rsidRPr="007D6D77">
        <w:rPr>
          <w:sz w:val="22"/>
          <w:szCs w:val="22"/>
        </w:rPr>
        <w:t>Summer of Innovation Parent Survey and Baseline Student Survey (2011)</w:t>
      </w:r>
    </w:p>
    <w:p w:rsidR="00A03D38" w:rsidRPr="007D6D77" w:rsidRDefault="00A03D38" w:rsidP="00A03D38">
      <w:pPr>
        <w:pStyle w:val="Default"/>
        <w:numPr>
          <w:ilvl w:val="0"/>
          <w:numId w:val="25"/>
        </w:numPr>
        <w:rPr>
          <w:color w:val="auto"/>
          <w:sz w:val="22"/>
          <w:szCs w:val="22"/>
        </w:rPr>
      </w:pPr>
      <w:r w:rsidRPr="007D6D77">
        <w:rPr>
          <w:color w:val="auto"/>
          <w:sz w:val="22"/>
          <w:szCs w:val="22"/>
        </w:rPr>
        <w:t>Excited, Engaged and Interested Science Learner Survey (2011), Noyce Foundation</w:t>
      </w:r>
    </w:p>
    <w:p w:rsidR="00A03D38" w:rsidRPr="007D6D77" w:rsidRDefault="00A03D38" w:rsidP="00A03D38">
      <w:pPr>
        <w:pStyle w:val="Default"/>
        <w:rPr>
          <w:sz w:val="22"/>
          <w:szCs w:val="22"/>
        </w:rPr>
      </w:pPr>
    </w:p>
    <w:p w:rsidR="00A03D38" w:rsidRPr="007D6D77" w:rsidRDefault="00A03D38" w:rsidP="00A03D38">
      <w:pPr>
        <w:pStyle w:val="Default"/>
        <w:rPr>
          <w:rStyle w:val="st1"/>
          <w:rFonts w:ascii="Arial" w:hAnsi="Arial" w:cs="Arial"/>
          <w:color w:val="222222"/>
          <w:sz w:val="22"/>
          <w:szCs w:val="22"/>
        </w:rPr>
      </w:pPr>
      <w:r w:rsidRPr="007D6D77">
        <w:rPr>
          <w:sz w:val="22"/>
          <w:szCs w:val="22"/>
        </w:rPr>
        <w:t xml:space="preserve">In the case of the youth surveys, an entire scale of question items on youth interest in science (“Enthusiasm for Science”) was adopted from the </w:t>
      </w:r>
      <w:r w:rsidRPr="007D6D77">
        <w:rPr>
          <w:color w:val="auto"/>
          <w:sz w:val="22"/>
          <w:szCs w:val="22"/>
        </w:rPr>
        <w:t xml:space="preserve">Excited, Engaged and Interested Science Learner Survey </w:t>
      </w:r>
      <w:r w:rsidRPr="007D6D77">
        <w:rPr>
          <w:sz w:val="22"/>
          <w:szCs w:val="22"/>
        </w:rPr>
        <w:t xml:space="preserve">developed by the </w:t>
      </w:r>
      <w:r w:rsidRPr="007D6D77">
        <w:rPr>
          <w:rStyle w:val="st1"/>
          <w:color w:val="222222"/>
          <w:sz w:val="22"/>
          <w:szCs w:val="22"/>
        </w:rPr>
        <w:t xml:space="preserve">Program in Education, Afterschool &amp; Resiliency (PEAR) for the Noyce Foundation and recently validated with a middle school audience as part of the national </w:t>
      </w:r>
      <w:r w:rsidRPr="007D6D77">
        <w:rPr>
          <w:bCs/>
          <w:sz w:val="22"/>
          <w:szCs w:val="22"/>
        </w:rPr>
        <w:t xml:space="preserve">Youth </w:t>
      </w:r>
      <w:r w:rsidRPr="007D6D77">
        <w:rPr>
          <w:bCs/>
          <w:sz w:val="22"/>
          <w:szCs w:val="22"/>
        </w:rPr>
        <w:lastRenderedPageBreak/>
        <w:t xml:space="preserve">Engagement, Attitudes, and Knowledge </w:t>
      </w:r>
      <w:r w:rsidRPr="007D6D77">
        <w:rPr>
          <w:rStyle w:val="st1"/>
          <w:color w:val="222222"/>
          <w:sz w:val="22"/>
          <w:szCs w:val="22"/>
        </w:rPr>
        <w:t>study of the 4-H Science Initiative. This scale incorporates question items from NAEP - Science (2005, 2009), allowing comparison of SoI survey data to nationally representative NAEP results available from the Department of Education.</w:t>
      </w:r>
      <w:r w:rsidRPr="007D6D77">
        <w:rPr>
          <w:rStyle w:val="st1"/>
          <w:rFonts w:ascii="Arial" w:hAnsi="Arial" w:cs="Arial"/>
          <w:color w:val="222222"/>
          <w:sz w:val="22"/>
          <w:szCs w:val="22"/>
        </w:rPr>
        <w:t xml:space="preserve"> </w:t>
      </w:r>
      <w:r w:rsidR="00563D7A" w:rsidRPr="007D6D77">
        <w:rPr>
          <w:sz w:val="22"/>
          <w:szCs w:val="22"/>
        </w:rPr>
        <w:t xml:space="preserve">This survey will be released as the Common Instrument in 2013 following the release of a validation study by Harvard University. </w:t>
      </w:r>
    </w:p>
    <w:p w:rsidR="000B5116" w:rsidRPr="007D6D77" w:rsidRDefault="000B5116" w:rsidP="00A03D38">
      <w:pPr>
        <w:pStyle w:val="Default"/>
        <w:rPr>
          <w:szCs w:val="22"/>
        </w:rPr>
      </w:pPr>
    </w:p>
    <w:p w:rsidR="00C00837" w:rsidRPr="007D6D77" w:rsidRDefault="000B5116" w:rsidP="0068743C">
      <w:pPr>
        <w:pStyle w:val="Heading3"/>
        <w:widowControl w:val="0"/>
      </w:pPr>
      <w:bookmarkStart w:id="54" w:name="_Toc341972161"/>
      <w:r w:rsidRPr="007D6D77">
        <w:t xml:space="preserve">A.9 </w:t>
      </w:r>
      <w:r w:rsidRPr="007D6D77">
        <w:tab/>
      </w:r>
      <w:r w:rsidR="00FF56CC" w:rsidRPr="007D6D77">
        <w:t>EXPLAIN ANY DECISION TO PROVIDE ANY PAYMENT OR GIFT TO RESPONDENTS, OTHER THAN REMUNERATION OF CONTRACTORS OR GRANTEES.</w:t>
      </w:r>
      <w:bookmarkEnd w:id="54"/>
      <w:r w:rsidR="00FF56CC" w:rsidRPr="007D6D77">
        <w:t xml:space="preserve">  </w:t>
      </w:r>
    </w:p>
    <w:p w:rsidR="000B5116" w:rsidRPr="007D6D77" w:rsidRDefault="000B5116" w:rsidP="0068743C">
      <w:pPr>
        <w:keepNext/>
        <w:keepLines/>
        <w:widowControl w:val="0"/>
      </w:pPr>
    </w:p>
    <w:p w:rsidR="00B45217" w:rsidRPr="007D6D77" w:rsidRDefault="002B0301" w:rsidP="0068743C">
      <w:pPr>
        <w:keepNext/>
        <w:keepLines/>
        <w:widowControl w:val="0"/>
        <w:tabs>
          <w:tab w:val="clear" w:pos="720"/>
          <w:tab w:val="clear" w:pos="1080"/>
          <w:tab w:val="clear" w:pos="1440"/>
          <w:tab w:val="clear" w:pos="1800"/>
        </w:tabs>
        <w:autoSpaceDE w:val="0"/>
        <w:autoSpaceDN w:val="0"/>
        <w:adjustRightInd w:val="0"/>
        <w:spacing w:line="240" w:lineRule="auto"/>
      </w:pPr>
      <w:r w:rsidRPr="007D6D77">
        <w:rPr>
          <w:szCs w:val="22"/>
        </w:rPr>
        <w:t xml:space="preserve">No payment or gifts will be provided to respondents. </w:t>
      </w:r>
    </w:p>
    <w:p w:rsidR="00B45217" w:rsidRPr="007D6D77" w:rsidRDefault="00B45217" w:rsidP="000C38CB">
      <w:pPr>
        <w:tabs>
          <w:tab w:val="clear" w:pos="720"/>
          <w:tab w:val="clear" w:pos="1080"/>
          <w:tab w:val="clear" w:pos="1440"/>
          <w:tab w:val="clear" w:pos="1800"/>
        </w:tabs>
        <w:autoSpaceDE w:val="0"/>
        <w:autoSpaceDN w:val="0"/>
        <w:adjustRightInd w:val="0"/>
        <w:spacing w:line="240" w:lineRule="auto"/>
        <w:rPr>
          <w:szCs w:val="22"/>
        </w:rPr>
      </w:pPr>
    </w:p>
    <w:p w:rsidR="00C00837" w:rsidRPr="007D6D77" w:rsidRDefault="00C00837" w:rsidP="000B5116">
      <w:pPr>
        <w:pStyle w:val="Heading3"/>
        <w:rPr>
          <w:i/>
          <w:iCs/>
        </w:rPr>
      </w:pPr>
      <w:bookmarkStart w:id="55" w:name="_Toc8118887"/>
      <w:bookmarkStart w:id="56" w:name="_Toc81803517"/>
      <w:bookmarkStart w:id="57" w:name="_Toc88301187"/>
      <w:bookmarkStart w:id="58" w:name="_Toc213748181"/>
      <w:bookmarkStart w:id="59" w:name="_Toc341972162"/>
      <w:r w:rsidRPr="007D6D77">
        <w:t>A.10</w:t>
      </w:r>
      <w:r w:rsidRPr="007D6D77">
        <w:tab/>
      </w:r>
      <w:bookmarkEnd w:id="55"/>
      <w:bookmarkEnd w:id="56"/>
      <w:bookmarkEnd w:id="57"/>
      <w:bookmarkEnd w:id="58"/>
      <w:r w:rsidR="000B5116" w:rsidRPr="007D6D77">
        <w:t>DESCRIBE ANY ASSURANCE OF CONFIDENTIALITY PROVIDED TO RESPONDENTS AND THE BASIS FOR THE ASSURANCE IN STATUTE, REGULATION, OR AGENCY POLICY.</w:t>
      </w:r>
      <w:bookmarkEnd w:id="59"/>
    </w:p>
    <w:p w:rsidR="000B5116" w:rsidRPr="007D6D77" w:rsidRDefault="000B5116" w:rsidP="00C00837">
      <w:pPr>
        <w:pStyle w:val="BodyText"/>
        <w:rPr>
          <w:szCs w:val="22"/>
        </w:rPr>
      </w:pPr>
    </w:p>
    <w:p w:rsidR="00C00837" w:rsidRPr="007D6D77" w:rsidRDefault="00C00837" w:rsidP="00C00837">
      <w:pPr>
        <w:pStyle w:val="BodyText"/>
        <w:rPr>
          <w:szCs w:val="22"/>
        </w:rPr>
      </w:pPr>
      <w:r w:rsidRPr="007D6D77">
        <w:rPr>
          <w:szCs w:val="22"/>
        </w:rPr>
        <w:t xml:space="preserve">Every effort will be made to maintain the </w:t>
      </w:r>
      <w:r w:rsidR="00DC1A04" w:rsidRPr="007D6D77">
        <w:rPr>
          <w:szCs w:val="22"/>
        </w:rPr>
        <w:t xml:space="preserve">privacy </w:t>
      </w:r>
      <w:r w:rsidRPr="007D6D77">
        <w:rPr>
          <w:szCs w:val="22"/>
        </w:rPr>
        <w:t>of respondents</w:t>
      </w:r>
      <w:r w:rsidR="00452EB8" w:rsidRPr="007D6D77">
        <w:rPr>
          <w:szCs w:val="22"/>
        </w:rPr>
        <w:t xml:space="preserve"> </w:t>
      </w:r>
      <w:r w:rsidR="00452EB8" w:rsidRPr="007D6D77">
        <w:rPr>
          <w:color w:val="000000"/>
          <w:szCs w:val="22"/>
        </w:rPr>
        <w:t>to the extent provided by law</w:t>
      </w:r>
      <w:r w:rsidR="006A099C" w:rsidRPr="007D6D77">
        <w:rPr>
          <w:color w:val="000000"/>
          <w:szCs w:val="22"/>
        </w:rPr>
        <w:t>,</w:t>
      </w:r>
      <w:r w:rsidR="00452EB8" w:rsidRPr="007D6D77">
        <w:rPr>
          <w:color w:val="000000"/>
          <w:szCs w:val="22"/>
        </w:rPr>
        <w:t xml:space="preserve"> includ</w:t>
      </w:r>
      <w:r w:rsidR="006A099C" w:rsidRPr="007D6D77">
        <w:rPr>
          <w:color w:val="000000"/>
          <w:szCs w:val="22"/>
        </w:rPr>
        <w:t xml:space="preserve">ing the </w:t>
      </w:r>
      <w:r w:rsidRPr="007D6D77">
        <w:rPr>
          <w:szCs w:val="22"/>
        </w:rPr>
        <w:t>us</w:t>
      </w:r>
      <w:r w:rsidR="006A099C" w:rsidRPr="007D6D77">
        <w:rPr>
          <w:szCs w:val="22"/>
        </w:rPr>
        <w:t>e of</w:t>
      </w:r>
      <w:r w:rsidRPr="007D6D77">
        <w:rPr>
          <w:szCs w:val="22"/>
        </w:rPr>
        <w:t xml:space="preserve"> several procedural and control measures to protect the data from unauthorized use. Collected data will not be released with </w:t>
      </w:r>
      <w:r w:rsidR="00521C9E" w:rsidRPr="007D6D77">
        <w:rPr>
          <w:szCs w:val="22"/>
        </w:rPr>
        <w:t>personally identifiable information</w:t>
      </w:r>
      <w:r w:rsidRPr="007D6D77">
        <w:rPr>
          <w:szCs w:val="22"/>
        </w:rPr>
        <w:t xml:space="preserve">, and results will be presented only in aggregated form. A statement to this effect will be included </w:t>
      </w:r>
      <w:r w:rsidR="001A71F5" w:rsidRPr="007D6D77">
        <w:rPr>
          <w:szCs w:val="22"/>
        </w:rPr>
        <w:t xml:space="preserve">on </w:t>
      </w:r>
      <w:r w:rsidR="003D28D8" w:rsidRPr="007D6D77">
        <w:rPr>
          <w:szCs w:val="22"/>
        </w:rPr>
        <w:t>all instruments</w:t>
      </w:r>
      <w:r w:rsidRPr="007D6D77">
        <w:rPr>
          <w:szCs w:val="22"/>
        </w:rPr>
        <w:t xml:space="preserve"> and will be read to </w:t>
      </w:r>
      <w:r w:rsidR="003D28D8" w:rsidRPr="007D6D77">
        <w:rPr>
          <w:szCs w:val="22"/>
        </w:rPr>
        <w:t xml:space="preserve">teachers prior to participating in focus group discussions. </w:t>
      </w:r>
      <w:r w:rsidRPr="007D6D77">
        <w:rPr>
          <w:szCs w:val="22"/>
        </w:rPr>
        <w:t xml:space="preserve">Respondents will be assured that all information identifying them will be kept </w:t>
      </w:r>
      <w:r w:rsidR="00DC1A04" w:rsidRPr="007D6D77">
        <w:rPr>
          <w:szCs w:val="22"/>
        </w:rPr>
        <w:t>private</w:t>
      </w:r>
      <w:r w:rsidR="0037275D" w:rsidRPr="007D6D77">
        <w:rPr>
          <w:szCs w:val="22"/>
        </w:rPr>
        <w:t>.</w:t>
      </w:r>
    </w:p>
    <w:p w:rsidR="00C00837" w:rsidRPr="007D6D77" w:rsidRDefault="00C00837" w:rsidP="00C00837">
      <w:pPr>
        <w:pStyle w:val="BodyText"/>
        <w:rPr>
          <w:color w:val="0000FF"/>
          <w:szCs w:val="22"/>
        </w:rPr>
      </w:pPr>
    </w:p>
    <w:p w:rsidR="00C00837" w:rsidRPr="007D6D77" w:rsidRDefault="00C00837" w:rsidP="00C00837">
      <w:pPr>
        <w:pStyle w:val="BodyText"/>
        <w:rPr>
          <w:szCs w:val="22"/>
        </w:rPr>
      </w:pPr>
      <w:r w:rsidRPr="007D6D77">
        <w:rPr>
          <w:szCs w:val="22"/>
        </w:rPr>
        <w:t>The procedures to protect data during information collection, data processing, and analysis activities are as follows:</w:t>
      </w:r>
    </w:p>
    <w:p w:rsidR="00C00837" w:rsidRPr="007D6D77" w:rsidRDefault="00C00837" w:rsidP="00C00837">
      <w:pPr>
        <w:pStyle w:val="BodyText"/>
        <w:rPr>
          <w:color w:val="0000FF"/>
          <w:szCs w:val="22"/>
        </w:rPr>
      </w:pPr>
    </w:p>
    <w:p w:rsidR="00C00837" w:rsidRPr="007D6D77" w:rsidRDefault="00C00837" w:rsidP="004053EC">
      <w:pPr>
        <w:pStyle w:val="BodyText"/>
        <w:numPr>
          <w:ilvl w:val="0"/>
          <w:numId w:val="1"/>
        </w:numPr>
        <w:tabs>
          <w:tab w:val="clear" w:pos="720"/>
          <w:tab w:val="num" w:pos="1080"/>
        </w:tabs>
        <w:spacing w:after="120"/>
        <w:ind w:left="1080"/>
        <w:rPr>
          <w:szCs w:val="22"/>
        </w:rPr>
      </w:pPr>
      <w:r w:rsidRPr="007D6D77">
        <w:rPr>
          <w:szCs w:val="22"/>
        </w:rPr>
        <w:t>All respondents included in the study sample will be informed that the information they provide will be used only for the purpose of this research. Individuals will not be cited as sources of information in prepared reports.</w:t>
      </w:r>
    </w:p>
    <w:p w:rsidR="00C00837" w:rsidRPr="007D6D77" w:rsidRDefault="00C00837" w:rsidP="004053EC">
      <w:pPr>
        <w:numPr>
          <w:ilvl w:val="0"/>
          <w:numId w:val="2"/>
        </w:numPr>
        <w:tabs>
          <w:tab w:val="clear" w:pos="360"/>
          <w:tab w:val="clear" w:pos="720"/>
          <w:tab w:val="clear" w:pos="1080"/>
          <w:tab w:val="clear" w:pos="1440"/>
          <w:tab w:val="clear" w:pos="1800"/>
        </w:tabs>
        <w:spacing w:after="120"/>
        <w:ind w:left="1080"/>
        <w:rPr>
          <w:szCs w:val="22"/>
        </w:rPr>
      </w:pPr>
      <w:r w:rsidRPr="007D6D77">
        <w:rPr>
          <w:szCs w:val="22"/>
        </w:rPr>
        <w:t xml:space="preserve">Hard-copy data collection forms will be delivered to a locked area at the </w:t>
      </w:r>
      <w:r w:rsidR="00D064FA" w:rsidRPr="007D6D77">
        <w:rPr>
          <w:szCs w:val="22"/>
        </w:rPr>
        <w:t>external evaluator</w:t>
      </w:r>
      <w:r w:rsidRPr="007D6D77">
        <w:rPr>
          <w:szCs w:val="22"/>
        </w:rPr>
        <w:t>’s office for receipt and processing. The contractor will maintain restricted access to all data preparation areas (i.e., receipt, coding, and data entry). All data files on multi-user systems will be under the control of a database manager, with access limited to project staff on a “need-to-know” basis only.</w:t>
      </w:r>
    </w:p>
    <w:p w:rsidR="000D65B0" w:rsidRPr="007D6D77" w:rsidRDefault="000D65B0" w:rsidP="004053EC">
      <w:pPr>
        <w:numPr>
          <w:ilvl w:val="0"/>
          <w:numId w:val="1"/>
        </w:numPr>
        <w:tabs>
          <w:tab w:val="clear" w:pos="720"/>
          <w:tab w:val="clear" w:pos="1080"/>
          <w:tab w:val="clear" w:pos="1440"/>
          <w:tab w:val="clear" w:pos="1800"/>
        </w:tabs>
        <w:spacing w:after="120"/>
        <w:ind w:left="1080"/>
        <w:rPr>
          <w:szCs w:val="22"/>
        </w:rPr>
      </w:pPr>
      <w:r w:rsidRPr="007D6D77">
        <w:rPr>
          <w:szCs w:val="22"/>
        </w:rPr>
        <w:t xml:space="preserve">Respondents accessing the online surveys will go through the </w:t>
      </w:r>
      <w:r w:rsidR="00D064FA" w:rsidRPr="007D6D77">
        <w:rPr>
          <w:szCs w:val="22"/>
        </w:rPr>
        <w:t>external evaluator</w:t>
      </w:r>
      <w:r w:rsidRPr="007D6D77">
        <w:rPr>
          <w:szCs w:val="22"/>
        </w:rPr>
        <w:t xml:space="preserve">’s website where they are protected by the </w:t>
      </w:r>
      <w:r w:rsidR="00D064FA" w:rsidRPr="007D6D77">
        <w:rPr>
          <w:szCs w:val="22"/>
        </w:rPr>
        <w:t>external evaluator</w:t>
      </w:r>
      <w:r w:rsidRPr="007D6D77">
        <w:rPr>
          <w:szCs w:val="22"/>
        </w:rPr>
        <w:t xml:space="preserve">’s strict data security system.  Only those given the seven-digit personal identification numbers (PIN) can enter the survey.  Upon entering the PIN, the respondent moves to a non-public directory inaccessible through the Internet.  When entered, the data interfaces with a script located on a second non-public directory accessible only to the </w:t>
      </w:r>
      <w:r w:rsidR="00901D14" w:rsidRPr="007D6D77">
        <w:rPr>
          <w:szCs w:val="22"/>
        </w:rPr>
        <w:t>external evaluator</w:t>
      </w:r>
      <w:r w:rsidRPr="007D6D77">
        <w:rPr>
          <w:szCs w:val="22"/>
        </w:rPr>
        <w:t xml:space="preserve"> system administrator. </w:t>
      </w:r>
      <w:r w:rsidRPr="007D6D77">
        <w:rPr>
          <w:color w:val="000000"/>
          <w:szCs w:val="22"/>
        </w:rPr>
        <w:t xml:space="preserve">Sample screen shots of the introductory screens that respondents will see are included in Appendix </w:t>
      </w:r>
      <w:r w:rsidR="00DF06F9" w:rsidRPr="007D6D77">
        <w:rPr>
          <w:color w:val="000000"/>
          <w:szCs w:val="22"/>
        </w:rPr>
        <w:t>9</w:t>
      </w:r>
      <w:r w:rsidRPr="007D6D77">
        <w:rPr>
          <w:color w:val="000000"/>
          <w:szCs w:val="22"/>
        </w:rPr>
        <w:t>. The final introductory screens of the online surveys will comply with NASA’s privacy and security requirements.</w:t>
      </w:r>
    </w:p>
    <w:p w:rsidR="00C00837" w:rsidRPr="007D6D77" w:rsidRDefault="000D65B0" w:rsidP="004053EC">
      <w:pPr>
        <w:numPr>
          <w:ilvl w:val="0"/>
          <w:numId w:val="1"/>
        </w:numPr>
        <w:tabs>
          <w:tab w:val="clear" w:pos="720"/>
          <w:tab w:val="clear" w:pos="1080"/>
          <w:tab w:val="clear" w:pos="1440"/>
          <w:tab w:val="clear" w:pos="1800"/>
        </w:tabs>
        <w:spacing w:after="120"/>
        <w:ind w:left="1080"/>
        <w:rPr>
          <w:szCs w:val="22"/>
        </w:rPr>
      </w:pPr>
      <w:r w:rsidRPr="007D6D77">
        <w:rPr>
          <w:szCs w:val="22"/>
        </w:rPr>
        <w:t xml:space="preserve">The </w:t>
      </w:r>
      <w:r w:rsidR="00D064FA" w:rsidRPr="007D6D77">
        <w:rPr>
          <w:szCs w:val="22"/>
        </w:rPr>
        <w:t xml:space="preserve">external evaluator </w:t>
      </w:r>
      <w:r w:rsidRPr="007D6D77">
        <w:rPr>
          <w:szCs w:val="22"/>
        </w:rPr>
        <w:t xml:space="preserve">takes every precaution to ensure data collected on the Internet remains both secure and confidential.  All </w:t>
      </w:r>
      <w:r w:rsidR="00901D14" w:rsidRPr="007D6D77">
        <w:rPr>
          <w:szCs w:val="22"/>
        </w:rPr>
        <w:t>external evaluator</w:t>
      </w:r>
      <w:r w:rsidRPr="007D6D77">
        <w:rPr>
          <w:szCs w:val="22"/>
        </w:rPr>
        <w:t xml:space="preserve"> data collection servers are housed in a facility that has redundant power, expandable bandwidth and a high level of physical security.  All data collection and data storage servers are built on a Storage Area Network (SAN). Database servers are mirrored with an active/passive configuration. Passive servers become </w:t>
      </w:r>
      <w:r w:rsidRPr="007D6D77">
        <w:rPr>
          <w:szCs w:val="22"/>
        </w:rPr>
        <w:lastRenderedPageBreak/>
        <w:t xml:space="preserve">active 30 seconds after a hardware failure. </w:t>
      </w:r>
      <w:r w:rsidR="003D28D8" w:rsidRPr="007D6D77">
        <w:rPr>
          <w:szCs w:val="22"/>
        </w:rPr>
        <w:t xml:space="preserve">The </w:t>
      </w:r>
      <w:r w:rsidR="00901D14" w:rsidRPr="007D6D77">
        <w:rPr>
          <w:szCs w:val="22"/>
        </w:rPr>
        <w:t>external evaluator</w:t>
      </w:r>
      <w:r w:rsidR="003D28D8" w:rsidRPr="007D6D77">
        <w:rPr>
          <w:szCs w:val="22"/>
        </w:rPr>
        <w:t xml:space="preserve"> maintains</w:t>
      </w:r>
      <w:r w:rsidRPr="007D6D77">
        <w:rPr>
          <w:szCs w:val="22"/>
        </w:rPr>
        <w:t xml:space="preserve"> enough excess hardware capacity to withstand a hardware failure on any single device.  The facility is monitored 24 hours, 7 days a week by on-site professional security guards and monitored over continuous closed circuit video surveillance from a command </w:t>
      </w:r>
      <w:r w:rsidR="00F952C9" w:rsidRPr="007D6D77">
        <w:rPr>
          <w:szCs w:val="22"/>
        </w:rPr>
        <w:t>Center</w:t>
      </w:r>
      <w:r w:rsidRPr="007D6D77">
        <w:rPr>
          <w:szCs w:val="22"/>
        </w:rPr>
        <w:t xml:space="preserve"> via both stationary and 360° cameras located both outside and inside the facility. The </w:t>
      </w:r>
      <w:r w:rsidR="00901D14" w:rsidRPr="007D6D77">
        <w:rPr>
          <w:szCs w:val="22"/>
        </w:rPr>
        <w:t>external evaluator</w:t>
      </w:r>
      <w:r w:rsidRPr="007D6D77">
        <w:rPr>
          <w:szCs w:val="22"/>
        </w:rPr>
        <w:t xml:space="preserve">’s security measures </w:t>
      </w:r>
      <w:r w:rsidRPr="007D6D77">
        <w:rPr>
          <w:color w:val="000000"/>
          <w:szCs w:val="22"/>
        </w:rPr>
        <w:t>comply with NASA's privacy and security requirements</w:t>
      </w:r>
    </w:p>
    <w:p w:rsidR="000D65B0" w:rsidRPr="007D6D77" w:rsidRDefault="000D65B0" w:rsidP="004053EC">
      <w:pPr>
        <w:numPr>
          <w:ilvl w:val="0"/>
          <w:numId w:val="1"/>
        </w:numPr>
        <w:tabs>
          <w:tab w:val="clear" w:pos="720"/>
          <w:tab w:val="clear" w:pos="1080"/>
          <w:tab w:val="clear" w:pos="1440"/>
          <w:tab w:val="clear" w:pos="1800"/>
        </w:tabs>
        <w:spacing w:after="120"/>
        <w:ind w:left="1080"/>
        <w:rPr>
          <w:szCs w:val="22"/>
        </w:rPr>
      </w:pPr>
      <w:r w:rsidRPr="007D6D77">
        <w:rPr>
          <w:szCs w:val="22"/>
        </w:rPr>
        <w:t>Individual identifying information will be maintained separately from completed data collection forms and from computerized data files used for analysis.</w:t>
      </w:r>
    </w:p>
    <w:p w:rsidR="00FA5E8D" w:rsidRPr="007D6D77" w:rsidRDefault="00FA5E8D" w:rsidP="00FA5E8D">
      <w:pPr>
        <w:tabs>
          <w:tab w:val="clear" w:pos="720"/>
          <w:tab w:val="clear" w:pos="1080"/>
          <w:tab w:val="clear" w:pos="1440"/>
          <w:tab w:val="clear" w:pos="1800"/>
        </w:tabs>
        <w:ind w:left="720"/>
        <w:rPr>
          <w:szCs w:val="22"/>
        </w:rPr>
      </w:pPr>
    </w:p>
    <w:p w:rsidR="000B5116" w:rsidRPr="007D6D77" w:rsidRDefault="00B35992" w:rsidP="00145291">
      <w:pPr>
        <w:pStyle w:val="Heading3"/>
        <w:rPr>
          <w:szCs w:val="24"/>
        </w:rPr>
      </w:pPr>
      <w:bookmarkStart w:id="60" w:name="_Toc341972163"/>
      <w:r w:rsidRPr="007D6D77">
        <w:t>A.11</w:t>
      </w:r>
      <w:r w:rsidRPr="007D6D77">
        <w:tab/>
      </w:r>
      <w:r w:rsidR="000B5116" w:rsidRPr="007D6D77">
        <w:t>PROVIDE ADDITIONAL JUSTIFICATION FOR ANY QUESTIONS OF A SENSITIVE NATURE, SUCH AS SEXUAL BEHAVIOR AND ATTITUDES, RELIGIOUS BELIEFS, AND OTHER MATTERS THAT ARE COMMONLY CONSIDERED PRIVATE.</w:t>
      </w:r>
      <w:bookmarkEnd w:id="60"/>
      <w:r w:rsidR="000B5116" w:rsidRPr="007D6D77">
        <w:rPr>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016D" w:rsidRPr="007D6D77" w:rsidRDefault="00A5016D" w:rsidP="004053EC">
      <w:pPr>
        <w:pStyle w:val="BodyText"/>
        <w:rPr>
          <w:b/>
        </w:rPr>
      </w:pPr>
    </w:p>
    <w:p w:rsidR="00B35992" w:rsidRPr="007D6D77" w:rsidRDefault="007E0CB3" w:rsidP="00A5016D">
      <w:pPr>
        <w:rPr>
          <w:szCs w:val="22"/>
        </w:rPr>
      </w:pPr>
      <w:r w:rsidRPr="007D6D77">
        <w:t xml:space="preserve">Questions are included on </w:t>
      </w:r>
      <w:r w:rsidR="00EC2FE7" w:rsidRPr="007D6D77">
        <w:t>the parent survey</w:t>
      </w:r>
      <w:r w:rsidR="00A5016D" w:rsidRPr="007D6D77">
        <w:t xml:space="preserve"> about race/ethnicity and gender. Data collected through these questions will be used to generate the percentage of participating students from underserved/ underrepresented groups. </w:t>
      </w:r>
      <w:r w:rsidRPr="007D6D77">
        <w:rPr>
          <w:szCs w:val="22"/>
        </w:rPr>
        <w:t>R</w:t>
      </w:r>
      <w:r w:rsidR="00B35992" w:rsidRPr="007D6D77">
        <w:rPr>
          <w:szCs w:val="22"/>
        </w:rPr>
        <w:t xml:space="preserve">espondents may skip </w:t>
      </w:r>
      <w:r w:rsidRPr="007D6D77">
        <w:rPr>
          <w:szCs w:val="22"/>
        </w:rPr>
        <w:t xml:space="preserve">questions </w:t>
      </w:r>
      <w:r w:rsidR="00B35992" w:rsidRPr="007D6D77">
        <w:rPr>
          <w:szCs w:val="22"/>
        </w:rPr>
        <w:t xml:space="preserve">items if they so wish. </w:t>
      </w:r>
    </w:p>
    <w:p w:rsidR="00B35992" w:rsidRPr="007D6D77" w:rsidRDefault="00B35992" w:rsidP="004053EC">
      <w:pPr>
        <w:pStyle w:val="BodyText"/>
        <w:rPr>
          <w:szCs w:val="22"/>
        </w:rPr>
      </w:pPr>
    </w:p>
    <w:p w:rsidR="00B35992" w:rsidRPr="007D6D77" w:rsidRDefault="00B35992" w:rsidP="00A5016D">
      <w:pPr>
        <w:pStyle w:val="Heading3"/>
      </w:pPr>
      <w:bookmarkStart w:id="61" w:name="_Toc8118889"/>
      <w:bookmarkStart w:id="62" w:name="_Toc81803519"/>
      <w:bookmarkStart w:id="63" w:name="_Toc88301189"/>
      <w:bookmarkStart w:id="64" w:name="_Toc213748183"/>
      <w:bookmarkStart w:id="65" w:name="_Toc341972164"/>
      <w:r w:rsidRPr="007D6D77">
        <w:t>A.12</w:t>
      </w:r>
      <w:r w:rsidRPr="007D6D77">
        <w:tab/>
      </w:r>
      <w:bookmarkEnd w:id="61"/>
      <w:bookmarkEnd w:id="62"/>
      <w:bookmarkEnd w:id="63"/>
      <w:bookmarkEnd w:id="64"/>
      <w:r w:rsidR="00A5016D" w:rsidRPr="007D6D77">
        <w:t>PROVIDE ESTIMATES OF THE HOUR BURDEN OF THE COLLECTION OF INFORMATION.</w:t>
      </w:r>
      <w:bookmarkEnd w:id="65"/>
      <w:r w:rsidR="00A5016D" w:rsidRPr="007D6D77">
        <w:t xml:space="preserve">  </w:t>
      </w:r>
    </w:p>
    <w:p w:rsidR="005B2EA0" w:rsidRPr="007D6D77" w:rsidRDefault="005B2EA0" w:rsidP="005B2EA0">
      <w:pPr>
        <w:rPr>
          <w:rFonts w:ascii="Arial Narrow" w:hAnsi="Arial Narrow"/>
        </w:rPr>
      </w:pPr>
    </w:p>
    <w:p w:rsidR="005B2EA0" w:rsidRPr="007D6D77" w:rsidRDefault="005B2EA0" w:rsidP="005B2EA0">
      <w:pPr>
        <w:tabs>
          <w:tab w:val="left" w:pos="-1440"/>
        </w:tabs>
        <w:ind w:left="720"/>
        <w:rPr>
          <w:rFonts w:ascii="Arial Narrow" w:hAnsi="Arial Narrow"/>
          <w:b/>
        </w:rPr>
      </w:pPr>
      <w:r w:rsidRPr="007D6D77">
        <w:rPr>
          <w:rFonts w:ascii="Arial Narrow" w:hAnsi="Arial Narrow"/>
          <w:b/>
        </w:rPr>
        <w:t>THE STATEMENT SHOULD:</w:t>
      </w:r>
    </w:p>
    <w:p w:rsidR="005B2EA0" w:rsidRPr="007D6D77" w:rsidRDefault="005B2EA0" w:rsidP="005B2EA0">
      <w:pPr>
        <w:tabs>
          <w:tab w:val="left" w:pos="-1440"/>
        </w:tabs>
        <w:rPr>
          <w:rFonts w:ascii="Arial Narrow" w:hAnsi="Arial Narrow"/>
          <w:b/>
        </w:rPr>
      </w:pPr>
    </w:p>
    <w:p w:rsidR="005B2EA0" w:rsidRPr="007D6D77" w:rsidRDefault="005B2EA0" w:rsidP="005B2EA0">
      <w:pPr>
        <w:tabs>
          <w:tab w:val="left" w:pos="-1440"/>
        </w:tabs>
        <w:ind w:left="2160" w:hanging="2160"/>
        <w:rPr>
          <w:rFonts w:ascii="Arial Narrow" w:hAnsi="Arial Narrow"/>
          <w:b/>
        </w:rPr>
      </w:pPr>
      <w:r w:rsidRPr="007D6D77">
        <w:rPr>
          <w:rFonts w:ascii="Arial Narrow" w:hAnsi="Arial Narrow"/>
          <w:b/>
        </w:rPr>
        <w:tab/>
      </w:r>
      <w:r w:rsidRPr="007D6D77">
        <w:rPr>
          <w:rFonts w:ascii="Arial Narrow" w:hAnsi="Arial Narrow"/>
          <w:b/>
        </w:rPr>
        <w:tab/>
        <w:t>-</w:t>
      </w:r>
      <w:r w:rsidRPr="007D6D77">
        <w:rPr>
          <w:rFonts w:ascii="Arial Narrow" w:hAnsi="Arial Narrow"/>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5B2EA0" w:rsidRPr="007D6D77" w:rsidRDefault="005B2EA0" w:rsidP="005B2EA0">
      <w:pPr>
        <w:tabs>
          <w:tab w:val="left" w:pos="-1440"/>
        </w:tabs>
        <w:ind w:left="2160"/>
        <w:rPr>
          <w:rFonts w:ascii="Arial Narrow" w:hAnsi="Arial Narrow"/>
          <w:b/>
        </w:rPr>
      </w:pPr>
    </w:p>
    <w:p w:rsidR="005B2EA0" w:rsidRPr="007D6D77" w:rsidRDefault="005B2EA0" w:rsidP="005B2EA0">
      <w:pPr>
        <w:tabs>
          <w:tab w:val="left" w:pos="-1440"/>
        </w:tabs>
        <w:ind w:left="2160" w:hanging="2160"/>
        <w:rPr>
          <w:rFonts w:ascii="Arial Narrow" w:hAnsi="Arial Narrow"/>
          <w:b/>
        </w:rPr>
      </w:pPr>
      <w:r w:rsidRPr="007D6D77">
        <w:rPr>
          <w:rFonts w:ascii="Arial Narrow" w:hAnsi="Arial Narrow"/>
          <w:b/>
        </w:rPr>
        <w:tab/>
      </w:r>
      <w:r w:rsidRPr="007D6D77">
        <w:rPr>
          <w:rFonts w:ascii="Arial Narrow" w:hAnsi="Arial Narrow"/>
          <w:b/>
        </w:rPr>
        <w:tab/>
        <w:t>-</w:t>
      </w:r>
      <w:r w:rsidRPr="007D6D77">
        <w:rPr>
          <w:rFonts w:ascii="Arial Narrow" w:hAnsi="Arial Narrow"/>
          <w:b/>
        </w:rPr>
        <w:tab/>
        <w:t xml:space="preserve">IF THIS REQUEST FOR APPROVAL COVERS MORE THAN ONE FORM, PROVIDE SEPARATE HOUR BURDEN ESTIMATES FOR EACH FORM AND AGGREGATE THE HOUR BURDENS IN ITEM 13 OF OMB FORM 83-I.    </w:t>
      </w:r>
    </w:p>
    <w:p w:rsidR="005B2EA0" w:rsidRPr="007D6D77" w:rsidRDefault="005B2EA0" w:rsidP="005B2EA0">
      <w:pPr>
        <w:rPr>
          <w:szCs w:val="22"/>
        </w:rPr>
      </w:pPr>
    </w:p>
    <w:p w:rsidR="005B2EA0" w:rsidRPr="007D6D77" w:rsidRDefault="00B35992" w:rsidP="004053EC">
      <w:pPr>
        <w:pStyle w:val="BodyText"/>
        <w:rPr>
          <w:szCs w:val="22"/>
        </w:rPr>
      </w:pPr>
      <w:r w:rsidRPr="007D6D77">
        <w:rPr>
          <w:szCs w:val="22"/>
        </w:rPr>
        <w:t>Exhibit 2 presents estimates of the reporting burden for the</w:t>
      </w:r>
      <w:r w:rsidR="00C0728F" w:rsidRPr="007D6D77">
        <w:rPr>
          <w:szCs w:val="22"/>
        </w:rPr>
        <w:t xml:space="preserve"> parent </w:t>
      </w:r>
      <w:r w:rsidR="00B61BC0" w:rsidRPr="007D6D77">
        <w:rPr>
          <w:szCs w:val="22"/>
        </w:rPr>
        <w:t>survey</w:t>
      </w:r>
      <w:r w:rsidR="00C0728F" w:rsidRPr="007D6D77">
        <w:rPr>
          <w:szCs w:val="22"/>
        </w:rPr>
        <w:t>,</w:t>
      </w:r>
      <w:r w:rsidRPr="007D6D77">
        <w:rPr>
          <w:szCs w:val="22"/>
        </w:rPr>
        <w:t xml:space="preserve"> </w:t>
      </w:r>
      <w:r w:rsidR="008552CE" w:rsidRPr="007D6D77">
        <w:rPr>
          <w:szCs w:val="22"/>
        </w:rPr>
        <w:t>youth</w:t>
      </w:r>
      <w:r w:rsidRPr="007D6D77">
        <w:rPr>
          <w:szCs w:val="22"/>
        </w:rPr>
        <w:t xml:space="preserve"> surveys</w:t>
      </w:r>
      <w:r w:rsidR="008A383F" w:rsidRPr="007D6D77">
        <w:rPr>
          <w:szCs w:val="22"/>
        </w:rPr>
        <w:t xml:space="preserve">, </w:t>
      </w:r>
      <w:r w:rsidR="00B61BC0" w:rsidRPr="007D6D77">
        <w:rPr>
          <w:szCs w:val="22"/>
        </w:rPr>
        <w:t xml:space="preserve">and the teacher focus group discussions: </w:t>
      </w:r>
      <w:r w:rsidR="005B2EA0" w:rsidRPr="007D6D77">
        <w:rPr>
          <w:szCs w:val="22"/>
        </w:rPr>
        <w:t>NASA</w:t>
      </w:r>
      <w:r w:rsidRPr="007D6D77">
        <w:rPr>
          <w:szCs w:val="22"/>
        </w:rPr>
        <w:t xml:space="preserve"> estimate</w:t>
      </w:r>
      <w:r w:rsidR="005B2EA0" w:rsidRPr="007D6D77">
        <w:rPr>
          <w:szCs w:val="22"/>
        </w:rPr>
        <w:t>s</w:t>
      </w:r>
      <w:r w:rsidRPr="007D6D77">
        <w:rPr>
          <w:szCs w:val="22"/>
        </w:rPr>
        <w:t xml:space="preserve"> that the annualized response burden</w:t>
      </w:r>
      <w:r w:rsidR="001A5D43" w:rsidRPr="007D6D77">
        <w:rPr>
          <w:szCs w:val="22"/>
        </w:rPr>
        <w:t xml:space="preserve"> for the entire evaluation</w:t>
      </w:r>
      <w:r w:rsidRPr="007D6D77">
        <w:rPr>
          <w:szCs w:val="22"/>
        </w:rPr>
        <w:t xml:space="preserve"> </w:t>
      </w:r>
      <w:r w:rsidR="00C0728F" w:rsidRPr="007D6D77">
        <w:rPr>
          <w:szCs w:val="22"/>
        </w:rPr>
        <w:t>is</w:t>
      </w:r>
      <w:r w:rsidR="00570B26" w:rsidRPr="007D6D77">
        <w:rPr>
          <w:szCs w:val="22"/>
        </w:rPr>
        <w:t xml:space="preserve"> </w:t>
      </w:r>
      <w:r w:rsidR="006F31E7" w:rsidRPr="006F31E7">
        <w:rPr>
          <w:color w:val="000000"/>
          <w:szCs w:val="22"/>
        </w:rPr>
        <w:t>468.6</w:t>
      </w:r>
      <w:r w:rsidR="006F31E7" w:rsidRPr="007D6D77">
        <w:rPr>
          <w:color w:val="000000"/>
          <w:szCs w:val="22"/>
        </w:rPr>
        <w:t xml:space="preserve"> </w:t>
      </w:r>
      <w:r w:rsidRPr="007D6D77">
        <w:rPr>
          <w:szCs w:val="22"/>
        </w:rPr>
        <w:t xml:space="preserve">hours for </w:t>
      </w:r>
      <w:r w:rsidR="008552CE" w:rsidRPr="007D6D77">
        <w:rPr>
          <w:szCs w:val="22"/>
        </w:rPr>
        <w:t>youth</w:t>
      </w:r>
      <w:r w:rsidR="003D43E8" w:rsidRPr="007D6D77">
        <w:rPr>
          <w:szCs w:val="22"/>
        </w:rPr>
        <w:t xml:space="preserve"> for the baseline and follow-up surveys, </w:t>
      </w:r>
      <w:r w:rsidR="006F31E7" w:rsidRPr="007D6D77">
        <w:rPr>
          <w:szCs w:val="22"/>
        </w:rPr>
        <w:t>41.7</w:t>
      </w:r>
      <w:r w:rsidR="008A383F" w:rsidRPr="007D6D77">
        <w:rPr>
          <w:szCs w:val="22"/>
        </w:rPr>
        <w:t xml:space="preserve"> hours for teachers</w:t>
      </w:r>
      <w:r w:rsidR="003D43E8" w:rsidRPr="007D6D77">
        <w:rPr>
          <w:szCs w:val="22"/>
        </w:rPr>
        <w:t xml:space="preserve"> to participate in </w:t>
      </w:r>
      <w:r w:rsidR="003D43E8" w:rsidRPr="007D6D77">
        <w:rPr>
          <w:szCs w:val="22"/>
        </w:rPr>
        <w:lastRenderedPageBreak/>
        <w:t xml:space="preserve">focus group discussions, and </w:t>
      </w:r>
      <w:r w:rsidR="006F31E7" w:rsidRPr="006F31E7">
        <w:rPr>
          <w:color w:val="000000"/>
          <w:szCs w:val="22"/>
        </w:rPr>
        <w:t>312.4</w:t>
      </w:r>
      <w:r w:rsidR="006F31E7" w:rsidRPr="007D6D77">
        <w:rPr>
          <w:color w:val="000000"/>
          <w:szCs w:val="22"/>
        </w:rPr>
        <w:t xml:space="preserve"> </w:t>
      </w:r>
      <w:r w:rsidR="001A5D43" w:rsidRPr="007D6D77">
        <w:rPr>
          <w:szCs w:val="22"/>
        </w:rPr>
        <w:t>hours for parents</w:t>
      </w:r>
      <w:r w:rsidR="002A7679" w:rsidRPr="007D6D77">
        <w:rPr>
          <w:szCs w:val="22"/>
        </w:rPr>
        <w:t xml:space="preserve"> </w:t>
      </w:r>
      <w:r w:rsidR="003D43E8" w:rsidRPr="007D6D77">
        <w:rPr>
          <w:szCs w:val="22"/>
        </w:rPr>
        <w:t xml:space="preserve">for the survey. </w:t>
      </w:r>
      <w:r w:rsidR="001A5D43" w:rsidRPr="007D6D77">
        <w:rPr>
          <w:szCs w:val="22"/>
        </w:rPr>
        <w:t xml:space="preserve"> The </w:t>
      </w:r>
      <w:r w:rsidR="00941C7B" w:rsidRPr="007D6D77">
        <w:rPr>
          <w:szCs w:val="22"/>
        </w:rPr>
        <w:t xml:space="preserve">total </w:t>
      </w:r>
      <w:r w:rsidR="001A5D43" w:rsidRPr="007D6D77">
        <w:rPr>
          <w:szCs w:val="22"/>
        </w:rPr>
        <w:t>burden associated with this</w:t>
      </w:r>
      <w:r w:rsidR="00941C7B" w:rsidRPr="007D6D77">
        <w:rPr>
          <w:szCs w:val="22"/>
        </w:rPr>
        <w:t xml:space="preserve"> evaluation</w:t>
      </w:r>
      <w:r w:rsidR="001A5D43" w:rsidRPr="007D6D77">
        <w:rPr>
          <w:szCs w:val="22"/>
        </w:rPr>
        <w:t xml:space="preserve"> is </w:t>
      </w:r>
      <w:r w:rsidR="006F31E7" w:rsidRPr="006F31E7">
        <w:rPr>
          <w:bCs/>
          <w:color w:val="000000"/>
          <w:szCs w:val="22"/>
        </w:rPr>
        <w:t>822.7</w:t>
      </w:r>
      <w:r w:rsidR="006F31E7" w:rsidRPr="007D6D77">
        <w:rPr>
          <w:bCs/>
          <w:color w:val="000000"/>
          <w:szCs w:val="22"/>
        </w:rPr>
        <w:t xml:space="preserve"> </w:t>
      </w:r>
      <w:r w:rsidR="001A5D43" w:rsidRPr="007D6D77">
        <w:rPr>
          <w:szCs w:val="22"/>
        </w:rPr>
        <w:t>hours</w:t>
      </w:r>
      <w:r w:rsidR="00570B26" w:rsidRPr="007D6D77">
        <w:rPr>
          <w:szCs w:val="22"/>
        </w:rPr>
        <w:t>.</w:t>
      </w:r>
      <w:r w:rsidR="00A4483A" w:rsidRPr="007D6D77">
        <w:rPr>
          <w:rStyle w:val="FootnoteReference"/>
          <w:szCs w:val="22"/>
        </w:rPr>
        <w:footnoteReference w:id="6"/>
      </w:r>
      <w:r w:rsidR="005B2EA0" w:rsidRPr="007D6D77">
        <w:rPr>
          <w:szCs w:val="22"/>
        </w:rPr>
        <w:t xml:space="preserve"> </w:t>
      </w:r>
    </w:p>
    <w:p w:rsidR="005B2EA0" w:rsidRPr="007D6D77" w:rsidRDefault="005B2EA0" w:rsidP="004053EC">
      <w:pPr>
        <w:pStyle w:val="BodyText"/>
        <w:rPr>
          <w:szCs w:val="22"/>
        </w:rPr>
      </w:pPr>
    </w:p>
    <w:p w:rsidR="005B2EA0" w:rsidRPr="007D6D77" w:rsidRDefault="005B2EA0" w:rsidP="004053EC">
      <w:pPr>
        <w:pStyle w:val="BodyText"/>
        <w:rPr>
          <w:szCs w:val="22"/>
        </w:rPr>
      </w:pPr>
      <w:r w:rsidRPr="007D6D77">
        <w:rPr>
          <w:szCs w:val="22"/>
        </w:rPr>
        <w:t xml:space="preserve">The estimate of the number of respondents is based on actual SoI enrollment numbers of the camps run by awardees </w:t>
      </w:r>
      <w:r w:rsidR="008E466A" w:rsidRPr="007D6D77">
        <w:rPr>
          <w:szCs w:val="22"/>
        </w:rPr>
        <w:t xml:space="preserve">in FY2012 </w:t>
      </w:r>
      <w:r w:rsidRPr="007D6D77">
        <w:rPr>
          <w:szCs w:val="22"/>
        </w:rPr>
        <w:t xml:space="preserve">that met the study </w:t>
      </w:r>
      <w:r w:rsidR="006F31E7" w:rsidRPr="007D6D77">
        <w:rPr>
          <w:szCs w:val="22"/>
        </w:rPr>
        <w:t xml:space="preserve">and sampling </w:t>
      </w:r>
      <w:r w:rsidRPr="007D6D77">
        <w:rPr>
          <w:szCs w:val="22"/>
        </w:rPr>
        <w:t>criteria (</w:t>
      </w:r>
      <w:r w:rsidR="006F31E7" w:rsidRPr="007D6D77">
        <w:rPr>
          <w:szCs w:val="22"/>
        </w:rPr>
        <w:t>e.g.,</w:t>
      </w:r>
      <w:r w:rsidRPr="007D6D77">
        <w:rPr>
          <w:szCs w:val="22"/>
        </w:rPr>
        <w:t xml:space="preserve"> stand-alone model, minimum 30 hours of SoI content, targeted to rising 6</w:t>
      </w:r>
      <w:r w:rsidRPr="007D6D77">
        <w:rPr>
          <w:szCs w:val="22"/>
          <w:vertAlign w:val="superscript"/>
        </w:rPr>
        <w:t>th</w:t>
      </w:r>
      <w:r w:rsidRPr="007D6D77">
        <w:rPr>
          <w:szCs w:val="22"/>
        </w:rPr>
        <w:t xml:space="preserve"> through 8</w:t>
      </w:r>
      <w:r w:rsidRPr="007D6D77">
        <w:rPr>
          <w:szCs w:val="22"/>
          <w:vertAlign w:val="superscript"/>
        </w:rPr>
        <w:t>th</w:t>
      </w:r>
      <w:r w:rsidRPr="007D6D77">
        <w:rPr>
          <w:szCs w:val="22"/>
        </w:rPr>
        <w:t xml:space="preserve"> grade students). </w:t>
      </w:r>
    </w:p>
    <w:p w:rsidR="005B2EA0" w:rsidRPr="007D6D77" w:rsidRDefault="005B2EA0" w:rsidP="004053EC">
      <w:pPr>
        <w:pStyle w:val="BodyText"/>
        <w:rPr>
          <w:szCs w:val="22"/>
        </w:rPr>
      </w:pPr>
    </w:p>
    <w:p w:rsidR="00C0728F" w:rsidRPr="007D6D77" w:rsidRDefault="008E466A" w:rsidP="004053EC">
      <w:pPr>
        <w:pStyle w:val="BodyText"/>
        <w:rPr>
          <w:szCs w:val="22"/>
        </w:rPr>
      </w:pPr>
      <w:r w:rsidRPr="007D6D77">
        <w:rPr>
          <w:szCs w:val="22"/>
        </w:rPr>
        <w:t>For the parent survey, t</w:t>
      </w:r>
      <w:r w:rsidR="00C0728F" w:rsidRPr="007D6D77">
        <w:rPr>
          <w:szCs w:val="22"/>
        </w:rPr>
        <w:t xml:space="preserve">his estimate assumes that it will take about </w:t>
      </w:r>
      <w:r w:rsidR="005045C8" w:rsidRPr="007D6D77">
        <w:rPr>
          <w:szCs w:val="22"/>
        </w:rPr>
        <w:t>8</w:t>
      </w:r>
      <w:r w:rsidR="00C0728F" w:rsidRPr="007D6D77">
        <w:rPr>
          <w:szCs w:val="22"/>
        </w:rPr>
        <w:t xml:space="preserve"> minutes for parents to </w:t>
      </w:r>
      <w:r w:rsidR="002D05D4" w:rsidRPr="007D6D77">
        <w:rPr>
          <w:szCs w:val="22"/>
        </w:rPr>
        <w:t>respond to the survey questions</w:t>
      </w:r>
      <w:r w:rsidR="00C0728F" w:rsidRPr="007D6D77">
        <w:rPr>
          <w:szCs w:val="22"/>
        </w:rPr>
        <w:t>. As the form will be included in registration materials</w:t>
      </w:r>
      <w:r w:rsidR="006F31E7" w:rsidRPr="007D6D77">
        <w:rPr>
          <w:szCs w:val="22"/>
        </w:rPr>
        <w:t xml:space="preserve"> and will be administered by the awardees as a mandatory form for completion</w:t>
      </w:r>
      <w:r w:rsidR="00C0728F" w:rsidRPr="007D6D77">
        <w:rPr>
          <w:szCs w:val="22"/>
        </w:rPr>
        <w:t xml:space="preserve">, we assume that all parents registering </w:t>
      </w:r>
      <w:r w:rsidR="008552CE" w:rsidRPr="007D6D77">
        <w:rPr>
          <w:szCs w:val="22"/>
        </w:rPr>
        <w:t>youth</w:t>
      </w:r>
      <w:r w:rsidR="00C0728F" w:rsidRPr="007D6D77">
        <w:rPr>
          <w:szCs w:val="22"/>
        </w:rPr>
        <w:t xml:space="preserve">s will </w:t>
      </w:r>
      <w:r w:rsidR="006F31E7" w:rsidRPr="007D6D77">
        <w:rPr>
          <w:szCs w:val="22"/>
        </w:rPr>
        <w:t>return the survey</w:t>
      </w:r>
      <w:r w:rsidR="00C0728F" w:rsidRPr="007D6D77">
        <w:rPr>
          <w:szCs w:val="22"/>
        </w:rPr>
        <w:t xml:space="preserve">. Estimates for the burden are based on </w:t>
      </w:r>
      <w:r w:rsidR="002D05D4" w:rsidRPr="007D6D77">
        <w:rPr>
          <w:szCs w:val="22"/>
        </w:rPr>
        <w:t xml:space="preserve">estimates derived from </w:t>
      </w:r>
      <w:r w:rsidR="00C0728F" w:rsidRPr="007D6D77">
        <w:rPr>
          <w:szCs w:val="22"/>
        </w:rPr>
        <w:t>similar surveys conducted on comparable evaluations</w:t>
      </w:r>
      <w:r w:rsidR="00EA0203" w:rsidRPr="007D6D77">
        <w:rPr>
          <w:szCs w:val="22"/>
        </w:rPr>
        <w:t xml:space="preserve"> and on timed administration of this survey to instrument to six </w:t>
      </w:r>
      <w:r w:rsidR="006F31E7" w:rsidRPr="007D6D77">
        <w:rPr>
          <w:szCs w:val="22"/>
        </w:rPr>
        <w:t>adults</w:t>
      </w:r>
      <w:r w:rsidR="00EA0203" w:rsidRPr="007D6D77">
        <w:rPr>
          <w:szCs w:val="22"/>
        </w:rPr>
        <w:t xml:space="preserve">. </w:t>
      </w:r>
    </w:p>
    <w:p w:rsidR="00C0728F" w:rsidRPr="007D6D77" w:rsidRDefault="00C0728F" w:rsidP="004053EC">
      <w:pPr>
        <w:pStyle w:val="BodyText"/>
        <w:rPr>
          <w:szCs w:val="22"/>
        </w:rPr>
      </w:pPr>
    </w:p>
    <w:p w:rsidR="00457DC6" w:rsidRPr="007D6D77" w:rsidRDefault="008E466A" w:rsidP="00457DC6">
      <w:pPr>
        <w:pStyle w:val="BodyText"/>
        <w:rPr>
          <w:szCs w:val="22"/>
        </w:rPr>
      </w:pPr>
      <w:r w:rsidRPr="007D6D77">
        <w:rPr>
          <w:szCs w:val="22"/>
        </w:rPr>
        <w:t>For the youth surveys, t</w:t>
      </w:r>
      <w:r w:rsidR="00B35992" w:rsidRPr="007D6D77">
        <w:rPr>
          <w:szCs w:val="22"/>
        </w:rPr>
        <w:t xml:space="preserve">his estimate assumes that it will take </w:t>
      </w:r>
      <w:r w:rsidR="008552CE" w:rsidRPr="007D6D77">
        <w:rPr>
          <w:szCs w:val="22"/>
        </w:rPr>
        <w:t>youth</w:t>
      </w:r>
      <w:r w:rsidR="008A383F" w:rsidRPr="007D6D77">
        <w:rPr>
          <w:szCs w:val="22"/>
        </w:rPr>
        <w:t xml:space="preserve">s </w:t>
      </w:r>
      <w:r w:rsidR="00B35992" w:rsidRPr="007D6D77">
        <w:rPr>
          <w:szCs w:val="22"/>
        </w:rPr>
        <w:t xml:space="preserve">about </w:t>
      </w:r>
      <w:r w:rsidR="005045C8" w:rsidRPr="007D6D77">
        <w:rPr>
          <w:szCs w:val="22"/>
        </w:rPr>
        <w:t>6</w:t>
      </w:r>
      <w:r w:rsidR="00B35992" w:rsidRPr="007D6D77">
        <w:rPr>
          <w:szCs w:val="22"/>
        </w:rPr>
        <w:t xml:space="preserve"> minutes to read </w:t>
      </w:r>
      <w:r w:rsidR="00901D14" w:rsidRPr="007D6D77">
        <w:rPr>
          <w:szCs w:val="22"/>
        </w:rPr>
        <w:t>each</w:t>
      </w:r>
      <w:r w:rsidR="00B35992" w:rsidRPr="007D6D77">
        <w:rPr>
          <w:szCs w:val="22"/>
        </w:rPr>
        <w:t xml:space="preserve"> </w:t>
      </w:r>
      <w:r w:rsidR="008A383F" w:rsidRPr="007D6D77">
        <w:rPr>
          <w:szCs w:val="22"/>
        </w:rPr>
        <w:t>survey’s introduction</w:t>
      </w:r>
      <w:r w:rsidR="00B35992" w:rsidRPr="007D6D77">
        <w:rPr>
          <w:szCs w:val="22"/>
        </w:rPr>
        <w:t xml:space="preserve"> and answer the questions. Estimates for the </w:t>
      </w:r>
      <w:r w:rsidR="008552CE" w:rsidRPr="007D6D77">
        <w:rPr>
          <w:szCs w:val="22"/>
        </w:rPr>
        <w:t>youth</w:t>
      </w:r>
      <w:r w:rsidR="00F52F50" w:rsidRPr="007D6D77">
        <w:rPr>
          <w:szCs w:val="22"/>
        </w:rPr>
        <w:t xml:space="preserve"> </w:t>
      </w:r>
      <w:r w:rsidR="00B35992" w:rsidRPr="007D6D77">
        <w:rPr>
          <w:szCs w:val="22"/>
        </w:rPr>
        <w:t xml:space="preserve">burden are based on </w:t>
      </w:r>
      <w:r w:rsidR="00A517C0" w:rsidRPr="007D6D77">
        <w:rPr>
          <w:szCs w:val="22"/>
        </w:rPr>
        <w:t>timed</w:t>
      </w:r>
      <w:r w:rsidR="002D05D4" w:rsidRPr="007D6D77">
        <w:rPr>
          <w:szCs w:val="22"/>
        </w:rPr>
        <w:t xml:space="preserve"> </w:t>
      </w:r>
      <w:r w:rsidR="00457DC6" w:rsidRPr="007D6D77">
        <w:rPr>
          <w:szCs w:val="22"/>
        </w:rPr>
        <w:t>administration of th</w:t>
      </w:r>
      <w:r w:rsidR="00901D14" w:rsidRPr="007D6D77">
        <w:rPr>
          <w:szCs w:val="22"/>
        </w:rPr>
        <w:t>e survey</w:t>
      </w:r>
      <w:r w:rsidR="00457DC6" w:rsidRPr="007D6D77">
        <w:rPr>
          <w:szCs w:val="22"/>
        </w:rPr>
        <w:t xml:space="preserve"> instrument</w:t>
      </w:r>
      <w:r w:rsidR="00901D14" w:rsidRPr="007D6D77">
        <w:rPr>
          <w:szCs w:val="22"/>
        </w:rPr>
        <w:t>s</w:t>
      </w:r>
      <w:r w:rsidR="00457DC6" w:rsidRPr="007D6D77">
        <w:rPr>
          <w:szCs w:val="22"/>
        </w:rPr>
        <w:t xml:space="preserve"> to </w:t>
      </w:r>
      <w:r w:rsidR="005045C8" w:rsidRPr="007D6D77">
        <w:rPr>
          <w:szCs w:val="22"/>
        </w:rPr>
        <w:t>six</w:t>
      </w:r>
      <w:r w:rsidR="00457DC6" w:rsidRPr="007D6D77">
        <w:rPr>
          <w:szCs w:val="22"/>
        </w:rPr>
        <w:t xml:space="preserve"> youth within the targeted grade range. </w:t>
      </w:r>
    </w:p>
    <w:p w:rsidR="00A517C0" w:rsidRPr="007D6D77" w:rsidRDefault="00A517C0" w:rsidP="004053EC">
      <w:pPr>
        <w:pStyle w:val="BodyText"/>
        <w:rPr>
          <w:color w:val="0000FF"/>
          <w:szCs w:val="22"/>
        </w:rPr>
      </w:pPr>
    </w:p>
    <w:p w:rsidR="00A61F5C" w:rsidRPr="007D6D77" w:rsidRDefault="00CD4D09" w:rsidP="004053EC">
      <w:pPr>
        <w:pStyle w:val="BodyText"/>
        <w:rPr>
          <w:szCs w:val="22"/>
        </w:rPr>
      </w:pPr>
      <w:r w:rsidRPr="007D6D77">
        <w:rPr>
          <w:szCs w:val="22"/>
        </w:rPr>
        <w:t xml:space="preserve">Qualitative implementation data will also be collected through </w:t>
      </w:r>
      <w:r w:rsidR="00A517C0" w:rsidRPr="007D6D77">
        <w:rPr>
          <w:szCs w:val="22"/>
        </w:rPr>
        <w:t>focus group discussions with teachers</w:t>
      </w:r>
      <w:r w:rsidRPr="007D6D77">
        <w:rPr>
          <w:szCs w:val="22"/>
        </w:rPr>
        <w:t xml:space="preserve">. </w:t>
      </w:r>
      <w:r w:rsidR="00A517C0" w:rsidRPr="007D6D77">
        <w:rPr>
          <w:szCs w:val="22"/>
        </w:rPr>
        <w:t xml:space="preserve">Teachers will be recruited </w:t>
      </w:r>
      <w:r w:rsidR="00515A0C" w:rsidRPr="007D6D77">
        <w:rPr>
          <w:szCs w:val="22"/>
        </w:rPr>
        <w:t xml:space="preserve">to participate in </w:t>
      </w:r>
      <w:r w:rsidR="00A517C0" w:rsidRPr="007D6D77">
        <w:rPr>
          <w:szCs w:val="22"/>
        </w:rPr>
        <w:t>50-minute</w:t>
      </w:r>
      <w:r w:rsidR="0000134F" w:rsidRPr="007D6D77">
        <w:rPr>
          <w:szCs w:val="22"/>
        </w:rPr>
        <w:t xml:space="preserve"> </w:t>
      </w:r>
      <w:r w:rsidR="00A517C0" w:rsidRPr="007D6D77">
        <w:rPr>
          <w:szCs w:val="22"/>
        </w:rPr>
        <w:t>discussions</w:t>
      </w:r>
      <w:r w:rsidR="00515A0C" w:rsidRPr="007D6D77">
        <w:rPr>
          <w:szCs w:val="22"/>
        </w:rPr>
        <w:t xml:space="preserve"> scheduled </w:t>
      </w:r>
      <w:r w:rsidR="00C3100B" w:rsidRPr="007D6D77">
        <w:rPr>
          <w:szCs w:val="22"/>
        </w:rPr>
        <w:t>during site visits held during the summer 2013</w:t>
      </w:r>
      <w:r w:rsidR="0000134F" w:rsidRPr="007D6D77">
        <w:rPr>
          <w:szCs w:val="22"/>
        </w:rPr>
        <w:t xml:space="preserve"> implementation</w:t>
      </w:r>
      <w:r w:rsidR="00706C8F" w:rsidRPr="007D6D77">
        <w:rPr>
          <w:szCs w:val="22"/>
        </w:rPr>
        <w:t xml:space="preserve">. Assuming that all attend, total burden of </w:t>
      </w:r>
      <w:r w:rsidR="00941C7B" w:rsidRPr="007D6D77">
        <w:rPr>
          <w:szCs w:val="22"/>
        </w:rPr>
        <w:t xml:space="preserve">these </w:t>
      </w:r>
      <w:r w:rsidR="00C3100B" w:rsidRPr="007D6D77">
        <w:rPr>
          <w:szCs w:val="22"/>
        </w:rPr>
        <w:t>discussion</w:t>
      </w:r>
      <w:r w:rsidR="0000134F" w:rsidRPr="007D6D77">
        <w:rPr>
          <w:szCs w:val="22"/>
        </w:rPr>
        <w:t>s</w:t>
      </w:r>
      <w:r w:rsidR="00706C8F" w:rsidRPr="007D6D77">
        <w:rPr>
          <w:szCs w:val="22"/>
        </w:rPr>
        <w:t xml:space="preserve"> is </w:t>
      </w:r>
      <w:r w:rsidR="00201587" w:rsidRPr="007D6D77">
        <w:rPr>
          <w:szCs w:val="22"/>
        </w:rPr>
        <w:t>41.7</w:t>
      </w:r>
      <w:r w:rsidR="0000134F" w:rsidRPr="007D6D77">
        <w:rPr>
          <w:szCs w:val="22"/>
        </w:rPr>
        <w:t xml:space="preserve"> hours</w:t>
      </w:r>
      <w:r w:rsidR="00706C8F" w:rsidRPr="007D6D77">
        <w:rPr>
          <w:szCs w:val="22"/>
        </w:rPr>
        <w:t>.</w:t>
      </w:r>
    </w:p>
    <w:p w:rsidR="008E466A" w:rsidRPr="007D6D77" w:rsidRDefault="008E466A" w:rsidP="004053EC">
      <w:pPr>
        <w:pStyle w:val="BodyText"/>
        <w:rPr>
          <w:szCs w:val="22"/>
        </w:rPr>
      </w:pPr>
    </w:p>
    <w:p w:rsidR="008E466A" w:rsidRPr="007D6D77" w:rsidRDefault="008E466A" w:rsidP="004053EC">
      <w:pPr>
        <w:pStyle w:val="BodyText"/>
        <w:rPr>
          <w:b/>
        </w:rPr>
      </w:pPr>
      <w:r w:rsidRPr="007D6D77">
        <w:rPr>
          <w:b/>
        </w:rPr>
        <w:t>Provide estimates of annualized cost to respondents for the hour burdens for collections of information, identifying and using appropriate wage rate categories.</w:t>
      </w:r>
    </w:p>
    <w:p w:rsidR="008E466A" w:rsidRPr="007D6D77" w:rsidRDefault="008E466A" w:rsidP="004053EC">
      <w:pPr>
        <w:pStyle w:val="BodyText"/>
        <w:rPr>
          <w:b/>
        </w:rPr>
      </w:pPr>
    </w:p>
    <w:p w:rsidR="008E466A" w:rsidRPr="007D6D77" w:rsidRDefault="00530970" w:rsidP="008E466A">
      <w:pPr>
        <w:rPr>
          <w:szCs w:val="22"/>
        </w:rPr>
      </w:pPr>
      <w:r w:rsidRPr="007D6D77">
        <w:rPr>
          <w:szCs w:val="22"/>
        </w:rPr>
        <w:t>Estimates of r</w:t>
      </w:r>
      <w:r w:rsidR="008E466A" w:rsidRPr="007D6D77">
        <w:rPr>
          <w:szCs w:val="22"/>
        </w:rPr>
        <w:t xml:space="preserve">espondents’ time to complete the surveys and forms, as well as the time to participate in interviews and focus groups, are </w:t>
      </w:r>
      <w:r w:rsidRPr="007D6D77">
        <w:rPr>
          <w:szCs w:val="22"/>
        </w:rPr>
        <w:t>provid</w:t>
      </w:r>
      <w:r w:rsidR="008E466A" w:rsidRPr="007D6D77">
        <w:rPr>
          <w:szCs w:val="22"/>
        </w:rPr>
        <w:t>ed in Exhibit 2</w:t>
      </w:r>
      <w:r w:rsidRPr="007D6D77">
        <w:rPr>
          <w:szCs w:val="22"/>
        </w:rPr>
        <w:t xml:space="preserve">. </w:t>
      </w:r>
      <w:r w:rsidR="008E466A" w:rsidRPr="007D6D77">
        <w:rPr>
          <w:szCs w:val="22"/>
        </w:rPr>
        <w:t xml:space="preserve">We estimate that the annualized cost burden for their time is </w:t>
      </w:r>
      <w:r w:rsidR="00201587" w:rsidRPr="006F31E7">
        <w:rPr>
          <w:color w:val="000000"/>
          <w:szCs w:val="22"/>
        </w:rPr>
        <w:t xml:space="preserve">$3,397.35 </w:t>
      </w:r>
      <w:r w:rsidR="008E466A" w:rsidRPr="007D6D77">
        <w:rPr>
          <w:szCs w:val="22"/>
        </w:rPr>
        <w:t xml:space="preserve">for youth (the baseline and follow-up surveys), </w:t>
      </w:r>
      <w:r w:rsidR="00201587" w:rsidRPr="006F31E7">
        <w:rPr>
          <w:color w:val="000000"/>
          <w:szCs w:val="22"/>
        </w:rPr>
        <w:t xml:space="preserve">$1,040.92 </w:t>
      </w:r>
      <w:r w:rsidR="008E466A" w:rsidRPr="007D6D77">
        <w:rPr>
          <w:szCs w:val="22"/>
        </w:rPr>
        <w:t xml:space="preserve">for teachers (focus group discussions), and </w:t>
      </w:r>
      <w:r w:rsidR="00201587" w:rsidRPr="006F31E7">
        <w:rPr>
          <w:color w:val="000000"/>
          <w:szCs w:val="22"/>
        </w:rPr>
        <w:t xml:space="preserve">$7,516.34 </w:t>
      </w:r>
      <w:r w:rsidR="008E466A" w:rsidRPr="007D6D77">
        <w:rPr>
          <w:szCs w:val="22"/>
        </w:rPr>
        <w:t xml:space="preserve">for parents (survey). </w:t>
      </w:r>
      <w:r w:rsidR="00201587" w:rsidRPr="007D6D77">
        <w:rPr>
          <w:szCs w:val="22"/>
        </w:rPr>
        <w:t xml:space="preserve">The total annualized cost to respondents is estimated at </w:t>
      </w:r>
      <w:r w:rsidR="00201587" w:rsidRPr="006F31E7">
        <w:rPr>
          <w:bCs/>
          <w:color w:val="000000"/>
          <w:szCs w:val="22"/>
        </w:rPr>
        <w:t>$11,954.61</w:t>
      </w:r>
      <w:r w:rsidR="00201587" w:rsidRPr="007D6D77">
        <w:rPr>
          <w:bCs/>
          <w:color w:val="000000"/>
          <w:szCs w:val="22"/>
        </w:rPr>
        <w:t>.</w:t>
      </w:r>
    </w:p>
    <w:p w:rsidR="008E466A" w:rsidRPr="007D6D77" w:rsidRDefault="008E466A" w:rsidP="008E466A">
      <w:pPr>
        <w:pStyle w:val="BodyText"/>
        <w:rPr>
          <w:szCs w:val="22"/>
        </w:rPr>
      </w:pPr>
    </w:p>
    <w:p w:rsidR="008E466A" w:rsidRPr="007D6D77" w:rsidRDefault="008E466A" w:rsidP="008E466A">
      <w:pPr>
        <w:pStyle w:val="BodyText"/>
        <w:rPr>
          <w:szCs w:val="22"/>
        </w:rPr>
      </w:pPr>
      <w:r w:rsidRPr="007D6D77">
        <w:rPr>
          <w:szCs w:val="22"/>
        </w:rPr>
        <w:t xml:space="preserve">The cost burden associated with the surveys is estimated as follows: for youths, we used the federal minimum wage, for teachers we used the median income of middle school teachers (as reported by the BLS, April 6, 2012), and for parents, we used 2011 national median household income. </w:t>
      </w:r>
    </w:p>
    <w:p w:rsidR="007D6D77" w:rsidRDefault="00BC1A9C">
      <w:pPr>
        <w:tabs>
          <w:tab w:val="clear" w:pos="720"/>
          <w:tab w:val="clear" w:pos="1080"/>
          <w:tab w:val="clear" w:pos="1440"/>
          <w:tab w:val="clear" w:pos="1800"/>
        </w:tabs>
        <w:spacing w:line="240" w:lineRule="auto"/>
        <w:rPr>
          <w:szCs w:val="22"/>
        </w:rPr>
      </w:pPr>
      <w:r w:rsidRPr="007D6D77">
        <w:rPr>
          <w:szCs w:val="22"/>
        </w:rPr>
        <w:br/>
      </w:r>
      <w:r w:rsidR="007D6D77">
        <w:rPr>
          <w:szCs w:val="22"/>
        </w:rPr>
        <w:br w:type="page"/>
      </w:r>
    </w:p>
    <w:p w:rsidR="008E466A" w:rsidRPr="007D6D77" w:rsidRDefault="008E466A" w:rsidP="004053EC">
      <w:pPr>
        <w:pStyle w:val="BodyText"/>
        <w:rPr>
          <w:szCs w:val="22"/>
        </w:rPr>
      </w:pPr>
    </w:p>
    <w:tbl>
      <w:tblPr>
        <w:tblW w:w="7720" w:type="dxa"/>
        <w:tblInd w:w="98" w:type="dxa"/>
        <w:tblLook w:val="04A0" w:firstRow="1" w:lastRow="0" w:firstColumn="1" w:lastColumn="0" w:noHBand="0" w:noVBand="1"/>
      </w:tblPr>
      <w:tblGrid>
        <w:gridCol w:w="1037"/>
        <w:gridCol w:w="1197"/>
        <w:gridCol w:w="1036"/>
        <w:gridCol w:w="937"/>
        <w:gridCol w:w="937"/>
        <w:gridCol w:w="937"/>
        <w:gridCol w:w="996"/>
        <w:gridCol w:w="1026"/>
      </w:tblGrid>
      <w:tr w:rsidR="006F31E7" w:rsidRPr="00AA5FD3" w:rsidTr="006F31E7">
        <w:trPr>
          <w:trHeight w:val="315"/>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rPr>
                <w:b/>
                <w:bCs/>
                <w:color w:val="000000"/>
                <w:sz w:val="20"/>
              </w:rPr>
            </w:pPr>
            <w:bookmarkStart w:id="66" w:name="_Toc8118890"/>
            <w:bookmarkStart w:id="67" w:name="_Toc81803520"/>
            <w:bookmarkStart w:id="68" w:name="_Toc88301190"/>
            <w:bookmarkStart w:id="69" w:name="_Toc213748184"/>
            <w:bookmarkStart w:id="70" w:name="_Toc341972165"/>
            <w:r w:rsidRPr="00C8515C">
              <w:rPr>
                <w:b/>
                <w:bCs/>
                <w:color w:val="000000"/>
                <w:sz w:val="20"/>
              </w:rPr>
              <w:t xml:space="preserve">Exhibit 2. Estimates of Annualized Burden Hours and Cost for Data Collection </w:t>
            </w:r>
          </w:p>
        </w:tc>
      </w:tr>
      <w:tr w:rsidR="006F31E7" w:rsidRPr="00AA5FD3" w:rsidTr="006F31E7">
        <w:trPr>
          <w:trHeight w:val="1365"/>
        </w:trPr>
        <w:tc>
          <w:tcPr>
            <w:tcW w:w="963" w:type="dxa"/>
            <w:tcBorders>
              <w:top w:val="nil"/>
              <w:left w:val="single" w:sz="8" w:space="0" w:color="auto"/>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Data Collection Sources</w:t>
            </w:r>
          </w:p>
        </w:tc>
        <w:tc>
          <w:tcPr>
            <w:tcW w:w="1151"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Number of Respondents</w:t>
            </w:r>
          </w:p>
        </w:tc>
        <w:tc>
          <w:tcPr>
            <w:tcW w:w="963"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Frequency of Response</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Total Minutes per Response</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Total Response Burden in Hours</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Average Response Burden in Hours per Awardee</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Estimated Cost Per Hour</w:t>
            </w:r>
          </w:p>
        </w:tc>
        <w:tc>
          <w:tcPr>
            <w:tcW w:w="955"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Total Cost Burden</w:t>
            </w:r>
          </w:p>
        </w:tc>
      </w:tr>
      <w:tr w:rsidR="006F31E7" w:rsidRPr="00AA5FD3" w:rsidTr="006F31E7">
        <w:trPr>
          <w:trHeight w:val="555"/>
        </w:trPr>
        <w:tc>
          <w:tcPr>
            <w:tcW w:w="963" w:type="dxa"/>
            <w:tcBorders>
              <w:top w:val="nil"/>
              <w:left w:val="single" w:sz="8" w:space="0" w:color="auto"/>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rPr>
                <w:color w:val="000000"/>
                <w:sz w:val="18"/>
                <w:szCs w:val="18"/>
              </w:rPr>
            </w:pPr>
            <w:r w:rsidRPr="00C8515C">
              <w:rPr>
                <w:color w:val="000000"/>
                <w:sz w:val="18"/>
                <w:szCs w:val="18"/>
              </w:rPr>
              <w:t>Parent Surveys</w:t>
            </w:r>
          </w:p>
        </w:tc>
        <w:tc>
          <w:tcPr>
            <w:tcW w:w="1151"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2343.0</w:t>
            </w:r>
          </w:p>
        </w:tc>
        <w:tc>
          <w:tcPr>
            <w:tcW w:w="963"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1.0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8.0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312.4</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78.1</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$24.06 </w:t>
            </w:r>
          </w:p>
        </w:tc>
        <w:tc>
          <w:tcPr>
            <w:tcW w:w="955"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$7,516.34 </w:t>
            </w:r>
          </w:p>
        </w:tc>
      </w:tr>
      <w:tr w:rsidR="006F31E7" w:rsidRPr="00AA5FD3" w:rsidTr="006F31E7">
        <w:trPr>
          <w:trHeight w:val="555"/>
        </w:trPr>
        <w:tc>
          <w:tcPr>
            <w:tcW w:w="963" w:type="dxa"/>
            <w:tcBorders>
              <w:top w:val="nil"/>
              <w:left w:val="single" w:sz="8" w:space="0" w:color="auto"/>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rPr>
                <w:color w:val="000000"/>
                <w:sz w:val="18"/>
                <w:szCs w:val="18"/>
              </w:rPr>
            </w:pPr>
            <w:r w:rsidRPr="00C8515C">
              <w:rPr>
                <w:color w:val="000000"/>
                <w:sz w:val="18"/>
                <w:szCs w:val="18"/>
              </w:rPr>
              <w:t>Youth Surveys</w:t>
            </w:r>
          </w:p>
        </w:tc>
        <w:tc>
          <w:tcPr>
            <w:tcW w:w="1151"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2343.0</w:t>
            </w:r>
          </w:p>
        </w:tc>
        <w:tc>
          <w:tcPr>
            <w:tcW w:w="963"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2.0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6.0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468.6</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117.2</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$7.25 </w:t>
            </w:r>
          </w:p>
        </w:tc>
        <w:tc>
          <w:tcPr>
            <w:tcW w:w="955"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$3,397.35 </w:t>
            </w:r>
          </w:p>
        </w:tc>
      </w:tr>
      <w:tr w:rsidR="006F31E7" w:rsidRPr="00AA5FD3" w:rsidTr="006F31E7">
        <w:trPr>
          <w:trHeight w:val="825"/>
        </w:trPr>
        <w:tc>
          <w:tcPr>
            <w:tcW w:w="963" w:type="dxa"/>
            <w:tcBorders>
              <w:top w:val="nil"/>
              <w:left w:val="single" w:sz="8" w:space="0" w:color="auto"/>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rPr>
                <w:color w:val="000000"/>
                <w:sz w:val="18"/>
                <w:szCs w:val="18"/>
              </w:rPr>
            </w:pPr>
            <w:r w:rsidRPr="00C8515C">
              <w:rPr>
                <w:color w:val="000000"/>
                <w:sz w:val="18"/>
                <w:szCs w:val="18"/>
              </w:rPr>
              <w:t>Teacher Focus Groups</w:t>
            </w:r>
          </w:p>
        </w:tc>
        <w:tc>
          <w:tcPr>
            <w:tcW w:w="1151"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50.0</w:t>
            </w:r>
          </w:p>
        </w:tc>
        <w:tc>
          <w:tcPr>
            <w:tcW w:w="963"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1.0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50.0</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41.7</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10.4</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$24.98 </w:t>
            </w:r>
          </w:p>
        </w:tc>
        <w:tc>
          <w:tcPr>
            <w:tcW w:w="955"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color w:val="000000"/>
                <w:sz w:val="18"/>
                <w:szCs w:val="18"/>
              </w:rPr>
            </w:pPr>
            <w:r w:rsidRPr="00C8515C">
              <w:rPr>
                <w:color w:val="000000"/>
                <w:sz w:val="18"/>
                <w:szCs w:val="18"/>
              </w:rPr>
              <w:t xml:space="preserve">$1,040.92 </w:t>
            </w:r>
          </w:p>
        </w:tc>
      </w:tr>
      <w:tr w:rsidR="006F31E7" w:rsidRPr="00AA5FD3" w:rsidTr="006F31E7">
        <w:trPr>
          <w:trHeight w:val="825"/>
        </w:trPr>
        <w:tc>
          <w:tcPr>
            <w:tcW w:w="963" w:type="dxa"/>
            <w:tcBorders>
              <w:top w:val="nil"/>
              <w:left w:val="single" w:sz="8" w:space="0" w:color="auto"/>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rPr>
                <w:b/>
                <w:bCs/>
                <w:i/>
                <w:iCs/>
                <w:color w:val="000000"/>
                <w:sz w:val="18"/>
                <w:szCs w:val="18"/>
              </w:rPr>
            </w:pPr>
            <w:r w:rsidRPr="00C8515C">
              <w:rPr>
                <w:b/>
                <w:bCs/>
                <w:i/>
                <w:iCs/>
                <w:color w:val="000000"/>
                <w:sz w:val="18"/>
                <w:szCs w:val="18"/>
              </w:rPr>
              <w:t>Total Burden for Evaluation</w:t>
            </w:r>
          </w:p>
        </w:tc>
        <w:tc>
          <w:tcPr>
            <w:tcW w:w="1151"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4736.0</w:t>
            </w:r>
          </w:p>
        </w:tc>
        <w:tc>
          <w:tcPr>
            <w:tcW w:w="963"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 </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 </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822.7</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205.7</w:t>
            </w:r>
          </w:p>
        </w:tc>
        <w:tc>
          <w:tcPr>
            <w:tcW w:w="922"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 </w:t>
            </w:r>
          </w:p>
        </w:tc>
        <w:tc>
          <w:tcPr>
            <w:tcW w:w="955" w:type="dxa"/>
            <w:tcBorders>
              <w:top w:val="nil"/>
              <w:left w:val="nil"/>
              <w:bottom w:val="single" w:sz="8" w:space="0" w:color="auto"/>
              <w:right w:val="single" w:sz="8" w:space="0" w:color="auto"/>
            </w:tcBorders>
            <w:shd w:val="clear" w:color="auto" w:fill="auto"/>
            <w:vAlign w:val="bottom"/>
            <w:hideMark/>
          </w:tcPr>
          <w:p w:rsidR="006F31E7" w:rsidRPr="00AA5FD3" w:rsidRDefault="00C8515C" w:rsidP="006F31E7">
            <w:pPr>
              <w:tabs>
                <w:tab w:val="clear" w:pos="720"/>
                <w:tab w:val="clear" w:pos="1080"/>
                <w:tab w:val="clear" w:pos="1440"/>
                <w:tab w:val="clear" w:pos="1800"/>
              </w:tabs>
              <w:spacing w:line="240" w:lineRule="auto"/>
              <w:jc w:val="center"/>
              <w:rPr>
                <w:b/>
                <w:bCs/>
                <w:color w:val="000000"/>
                <w:sz w:val="18"/>
                <w:szCs w:val="18"/>
              </w:rPr>
            </w:pPr>
            <w:r w:rsidRPr="00C8515C">
              <w:rPr>
                <w:b/>
                <w:bCs/>
                <w:color w:val="000000"/>
                <w:sz w:val="18"/>
                <w:szCs w:val="18"/>
              </w:rPr>
              <w:t xml:space="preserve">$11,954.61 </w:t>
            </w:r>
          </w:p>
        </w:tc>
      </w:tr>
      <w:tr w:rsidR="006F31E7" w:rsidRPr="00AA5FD3" w:rsidTr="006F31E7">
        <w:trPr>
          <w:trHeight w:val="315"/>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6F31E7" w:rsidRPr="00AA5FD3" w:rsidRDefault="006F31E7" w:rsidP="006F31E7">
            <w:pPr>
              <w:tabs>
                <w:tab w:val="clear" w:pos="720"/>
                <w:tab w:val="clear" w:pos="1080"/>
                <w:tab w:val="clear" w:pos="1440"/>
                <w:tab w:val="clear" w:pos="1800"/>
              </w:tabs>
              <w:spacing w:line="240" w:lineRule="auto"/>
              <w:rPr>
                <w:color w:val="000000"/>
                <w:sz w:val="18"/>
                <w:szCs w:val="18"/>
              </w:rPr>
            </w:pPr>
            <w:r w:rsidRPr="00AA5FD3">
              <w:rPr>
                <w:color w:val="000000"/>
                <w:sz w:val="18"/>
                <w:szCs w:val="18"/>
              </w:rPr>
              <w:t>Notes:</w:t>
            </w:r>
          </w:p>
        </w:tc>
      </w:tr>
      <w:tr w:rsidR="006F31E7" w:rsidRPr="00AA5FD3" w:rsidTr="006F31E7">
        <w:trPr>
          <w:trHeight w:val="675"/>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6F31E7" w:rsidRPr="00AA5FD3" w:rsidRDefault="006F31E7" w:rsidP="006F31E7">
            <w:pPr>
              <w:tabs>
                <w:tab w:val="clear" w:pos="720"/>
                <w:tab w:val="clear" w:pos="1080"/>
                <w:tab w:val="clear" w:pos="1440"/>
                <w:tab w:val="clear" w:pos="1800"/>
              </w:tabs>
              <w:spacing w:line="240" w:lineRule="auto"/>
              <w:rPr>
                <w:color w:val="000000"/>
                <w:sz w:val="16"/>
                <w:szCs w:val="16"/>
              </w:rPr>
            </w:pPr>
            <w:r w:rsidRPr="00AA5FD3">
              <w:rPr>
                <w:color w:val="000000"/>
                <w:sz w:val="16"/>
                <w:szCs w:val="16"/>
                <w:vertAlign w:val="superscript"/>
              </w:rPr>
              <w:t>a</w:t>
            </w:r>
            <w:r w:rsidRPr="00AA5FD3">
              <w:rPr>
                <w:color w:val="000000"/>
                <w:sz w:val="16"/>
                <w:szCs w:val="16"/>
              </w:rPr>
              <w:t xml:space="preserve"> Estimated cost per hour for parents is calculated based on the national median household income of $50,054 (~24.06 per hour, assuming a 40 hour work week) for 2011 according to the Current Population Survey (http://www.census.gov/prod/2012pubs/p60-243.pdf, retrieved on October 22, 2012. </w:t>
            </w:r>
          </w:p>
        </w:tc>
      </w:tr>
      <w:tr w:rsidR="006F31E7" w:rsidRPr="00AA5FD3" w:rsidTr="006F31E7">
        <w:trPr>
          <w:trHeight w:val="315"/>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6F31E7" w:rsidRPr="00AA5FD3" w:rsidRDefault="006F31E7" w:rsidP="006F31E7">
            <w:pPr>
              <w:tabs>
                <w:tab w:val="clear" w:pos="720"/>
                <w:tab w:val="clear" w:pos="1080"/>
                <w:tab w:val="clear" w:pos="1440"/>
                <w:tab w:val="clear" w:pos="1800"/>
              </w:tabs>
              <w:spacing w:line="240" w:lineRule="auto"/>
              <w:rPr>
                <w:color w:val="000000"/>
                <w:sz w:val="16"/>
                <w:szCs w:val="16"/>
              </w:rPr>
            </w:pPr>
            <w:r w:rsidRPr="00AA5FD3">
              <w:rPr>
                <w:color w:val="000000"/>
                <w:sz w:val="16"/>
                <w:szCs w:val="16"/>
                <w:vertAlign w:val="superscript"/>
              </w:rPr>
              <w:t>b</w:t>
            </w:r>
            <w:r w:rsidRPr="00AA5FD3">
              <w:rPr>
                <w:color w:val="000000"/>
                <w:sz w:val="16"/>
                <w:szCs w:val="16"/>
              </w:rPr>
              <w:t xml:space="preserve"> Number of respondents based on estimated total universe.</w:t>
            </w:r>
          </w:p>
        </w:tc>
      </w:tr>
      <w:tr w:rsidR="006F31E7" w:rsidRPr="00AA5FD3" w:rsidTr="006F31E7">
        <w:trPr>
          <w:trHeight w:val="450"/>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6F31E7" w:rsidRPr="00AA5FD3" w:rsidRDefault="006F31E7" w:rsidP="006F31E7">
            <w:pPr>
              <w:tabs>
                <w:tab w:val="clear" w:pos="720"/>
                <w:tab w:val="clear" w:pos="1080"/>
                <w:tab w:val="clear" w:pos="1440"/>
                <w:tab w:val="clear" w:pos="1800"/>
              </w:tabs>
              <w:spacing w:line="240" w:lineRule="auto"/>
              <w:rPr>
                <w:color w:val="000000"/>
                <w:sz w:val="16"/>
                <w:szCs w:val="16"/>
              </w:rPr>
            </w:pPr>
            <w:r w:rsidRPr="00AA5FD3">
              <w:rPr>
                <w:color w:val="000000"/>
                <w:sz w:val="16"/>
                <w:szCs w:val="16"/>
                <w:vertAlign w:val="superscript"/>
              </w:rPr>
              <w:t>c</w:t>
            </w:r>
            <w:r w:rsidRPr="00AA5FD3">
              <w:rPr>
                <w:color w:val="000000"/>
                <w:sz w:val="16"/>
                <w:szCs w:val="16"/>
              </w:rPr>
              <w:t xml:space="preserve"> Estimated cost per hour for youths is calculated based on federal minimum wage of $7.25 per hour effective July 24, 2009. </w:t>
            </w:r>
          </w:p>
        </w:tc>
      </w:tr>
      <w:tr w:rsidR="006F31E7" w:rsidRPr="00AA5FD3" w:rsidTr="006F31E7">
        <w:trPr>
          <w:trHeight w:val="675"/>
        </w:trPr>
        <w:tc>
          <w:tcPr>
            <w:tcW w:w="772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6F31E7" w:rsidRPr="00AA5FD3" w:rsidRDefault="006F31E7" w:rsidP="006F31E7">
            <w:pPr>
              <w:tabs>
                <w:tab w:val="clear" w:pos="720"/>
                <w:tab w:val="clear" w:pos="1080"/>
                <w:tab w:val="clear" w:pos="1440"/>
                <w:tab w:val="clear" w:pos="1800"/>
              </w:tabs>
              <w:spacing w:line="240" w:lineRule="auto"/>
              <w:rPr>
                <w:color w:val="000000"/>
                <w:sz w:val="16"/>
                <w:szCs w:val="16"/>
              </w:rPr>
            </w:pPr>
            <w:r w:rsidRPr="00AA5FD3">
              <w:rPr>
                <w:color w:val="000000"/>
                <w:sz w:val="16"/>
                <w:szCs w:val="16"/>
                <w:vertAlign w:val="superscript"/>
              </w:rPr>
              <w:t>d</w:t>
            </w:r>
            <w:r w:rsidRPr="00AA5FD3">
              <w:rPr>
                <w:color w:val="000000"/>
                <w:sz w:val="16"/>
                <w:szCs w:val="16"/>
              </w:rPr>
              <w:t xml:space="preserve"> Estimated cost per hour for teachers is calculated by the 2010 median income of middle school teachers of $51,960 (as of April 6, 2012), or $24.98 per hour (http://www.bls.gov/ooh/education-training-and-library/middle-school-teachers.htm).</w:t>
            </w:r>
          </w:p>
        </w:tc>
      </w:tr>
    </w:tbl>
    <w:p w:rsidR="006F31E7" w:rsidRPr="007D6D77" w:rsidRDefault="006F31E7" w:rsidP="00145291">
      <w:pPr>
        <w:pStyle w:val="Heading3"/>
      </w:pPr>
    </w:p>
    <w:p w:rsidR="00530970" w:rsidRPr="007D6D77" w:rsidRDefault="00B35992" w:rsidP="00145291">
      <w:pPr>
        <w:pStyle w:val="Heading3"/>
        <w:rPr>
          <w:sz w:val="22"/>
          <w:szCs w:val="22"/>
        </w:rPr>
      </w:pPr>
      <w:r w:rsidRPr="007D6D77">
        <w:t>A.13</w:t>
      </w:r>
      <w:r w:rsidRPr="007D6D77">
        <w:tab/>
      </w:r>
      <w:bookmarkEnd w:id="66"/>
      <w:bookmarkEnd w:id="67"/>
      <w:bookmarkEnd w:id="68"/>
      <w:bookmarkEnd w:id="69"/>
      <w:r w:rsidR="00530970" w:rsidRPr="007D6D77">
        <w:t>PROVIDE AN ESTIMATE OF THE TOTAL ANNUAL COST BURDEN TO RESPONDENTS OR RECORDKEEPERS RESULTING FROM THE COLLECTION OF INFORMATION.</w:t>
      </w:r>
      <w:bookmarkEnd w:id="70"/>
      <w:r w:rsidR="00530970" w:rsidRPr="007D6D77">
        <w:rPr>
          <w:sz w:val="22"/>
          <w:szCs w:val="22"/>
        </w:rPr>
        <w:t xml:space="preserve">  (DO NOT INCLUDE THE COST OF ANY HOUR BURDEN SHOWN IN ITEMS 12 AND 14).  </w:t>
      </w:r>
    </w:p>
    <w:p w:rsidR="00530970" w:rsidRPr="007D6D77" w:rsidRDefault="00530970" w:rsidP="00530970">
      <w:pPr>
        <w:rPr>
          <w:rFonts w:ascii="Arial Narrow" w:hAnsi="Arial Narrow"/>
          <w:b/>
          <w:szCs w:val="22"/>
        </w:rPr>
      </w:pPr>
    </w:p>
    <w:p w:rsidR="00530970" w:rsidRPr="007D6D77" w:rsidRDefault="00530970" w:rsidP="00530970">
      <w:pPr>
        <w:tabs>
          <w:tab w:val="left" w:pos="-1440"/>
        </w:tabs>
        <w:ind w:left="2160" w:hanging="720"/>
        <w:rPr>
          <w:rFonts w:ascii="Arial Narrow" w:hAnsi="Arial Narrow"/>
          <w:b/>
          <w:szCs w:val="22"/>
        </w:rPr>
      </w:pPr>
      <w:r w:rsidRPr="007D6D77">
        <w:rPr>
          <w:rFonts w:ascii="Arial Narrow" w:hAnsi="Arial Narrow"/>
          <w:b/>
          <w:szCs w:val="22"/>
        </w:rPr>
        <w:t>-</w:t>
      </w:r>
      <w:r w:rsidRPr="007D6D77">
        <w:rPr>
          <w:rFonts w:ascii="Arial Narrow" w:hAnsi="Arial Narrow"/>
          <w:b/>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30970" w:rsidRPr="007D6D77" w:rsidRDefault="00530970" w:rsidP="00530970">
      <w:pPr>
        <w:rPr>
          <w:rFonts w:ascii="Arial Narrow" w:hAnsi="Arial Narrow"/>
          <w:b/>
          <w:szCs w:val="22"/>
        </w:rPr>
      </w:pPr>
    </w:p>
    <w:p w:rsidR="00530970" w:rsidRPr="007D6D77" w:rsidRDefault="00530970" w:rsidP="00530970">
      <w:pPr>
        <w:tabs>
          <w:tab w:val="left" w:pos="-1440"/>
        </w:tabs>
        <w:ind w:left="2160" w:hanging="720"/>
        <w:rPr>
          <w:rFonts w:ascii="Arial Narrow" w:hAnsi="Arial Narrow"/>
          <w:b/>
          <w:szCs w:val="22"/>
        </w:rPr>
      </w:pPr>
      <w:r w:rsidRPr="007D6D77">
        <w:rPr>
          <w:rFonts w:ascii="Arial Narrow" w:hAnsi="Arial Narrow"/>
          <w:b/>
          <w:szCs w:val="22"/>
        </w:rPr>
        <w:lastRenderedPageBreak/>
        <w:t>-</w:t>
      </w:r>
      <w:r w:rsidRPr="007D6D77">
        <w:rPr>
          <w:rFonts w:ascii="Arial Narrow" w:hAnsi="Arial Narrow"/>
          <w:b/>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30970" w:rsidRPr="007D6D77" w:rsidRDefault="00530970" w:rsidP="00530970">
      <w:pPr>
        <w:ind w:left="720" w:firstLine="720"/>
        <w:rPr>
          <w:rFonts w:ascii="Arial Narrow" w:hAnsi="Arial Narrow"/>
          <w:b/>
          <w:szCs w:val="22"/>
        </w:rPr>
      </w:pPr>
    </w:p>
    <w:p w:rsidR="00530970" w:rsidRPr="007D6D77" w:rsidRDefault="00530970" w:rsidP="00530970">
      <w:pPr>
        <w:ind w:left="2160" w:hanging="720"/>
        <w:rPr>
          <w:rFonts w:ascii="Arial Narrow" w:hAnsi="Arial Narrow"/>
          <w:b/>
          <w:szCs w:val="22"/>
        </w:rPr>
      </w:pPr>
      <w:r w:rsidRPr="007D6D77">
        <w:rPr>
          <w:rFonts w:ascii="Arial Narrow" w:hAnsi="Arial Narrow"/>
          <w:b/>
          <w:szCs w:val="22"/>
        </w:rPr>
        <w:t>-</w:t>
      </w:r>
      <w:r w:rsidRPr="007D6D77">
        <w:rPr>
          <w:rFonts w:ascii="Arial Narrow" w:hAnsi="Arial Narrow"/>
          <w:b/>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530970" w:rsidRPr="007D6D77" w:rsidRDefault="00530970" w:rsidP="004053EC">
      <w:pPr>
        <w:rPr>
          <w:szCs w:val="22"/>
        </w:rPr>
      </w:pPr>
    </w:p>
    <w:p w:rsidR="004D2F59" w:rsidRPr="007D6D77" w:rsidRDefault="00457DC6" w:rsidP="004053EC">
      <w:pPr>
        <w:rPr>
          <w:szCs w:val="22"/>
        </w:rPr>
      </w:pPr>
      <w:r w:rsidRPr="007D6D77">
        <w:rPr>
          <w:szCs w:val="22"/>
        </w:rPr>
        <w:t xml:space="preserve">Other than their time to complete the surveys and forms, as well as the time to participate in interviews and focus groups, which are estimated in Exhibit 2, there are no direct monetary costs to respondents.  </w:t>
      </w:r>
      <w:r w:rsidR="00791847" w:rsidRPr="007D6D77">
        <w:rPr>
          <w:szCs w:val="22"/>
        </w:rPr>
        <w:t xml:space="preserve">That is, there are no capital and start-up costs nor are there total operation and maintenance and purchase of services costs. </w:t>
      </w:r>
    </w:p>
    <w:p w:rsidR="00791847" w:rsidRPr="007D6D77" w:rsidRDefault="00791847" w:rsidP="004053EC">
      <w:pPr>
        <w:rPr>
          <w:szCs w:val="22"/>
        </w:rPr>
      </w:pPr>
    </w:p>
    <w:p w:rsidR="00791847" w:rsidRPr="007D6D77" w:rsidRDefault="00DA670A" w:rsidP="00145291">
      <w:pPr>
        <w:pStyle w:val="Heading3"/>
      </w:pPr>
      <w:bookmarkStart w:id="71" w:name="_Toc8118891"/>
      <w:bookmarkStart w:id="72" w:name="_Toc81803521"/>
      <w:bookmarkStart w:id="73" w:name="_Toc88301191"/>
      <w:bookmarkStart w:id="74" w:name="_Toc213748185"/>
      <w:bookmarkStart w:id="75" w:name="_Toc341972166"/>
      <w:r w:rsidRPr="007D6D77">
        <w:t>A.14</w:t>
      </w:r>
      <w:r w:rsidRPr="007D6D77">
        <w:tab/>
      </w:r>
      <w:bookmarkEnd w:id="71"/>
      <w:bookmarkEnd w:id="72"/>
      <w:bookmarkEnd w:id="73"/>
      <w:bookmarkEnd w:id="74"/>
      <w:r w:rsidR="00791847" w:rsidRPr="007D6D77">
        <w:t>PROVIDE ESTIMATES OF ANNUALIZED COST TO THE FEDERAL GOVERNMENT.</w:t>
      </w:r>
      <w:bookmarkEnd w:id="75"/>
      <w:r w:rsidR="00791847" w:rsidRPr="007D6D77">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791847" w:rsidRPr="007D6D77" w:rsidRDefault="00791847" w:rsidP="00DA670A">
      <w:pPr>
        <w:pStyle w:val="BodyText"/>
        <w:rPr>
          <w:szCs w:val="22"/>
        </w:rPr>
      </w:pPr>
    </w:p>
    <w:p w:rsidR="00DA670A" w:rsidRPr="007D6D77" w:rsidRDefault="00DA670A" w:rsidP="00DA670A">
      <w:pPr>
        <w:pStyle w:val="BodyText"/>
        <w:rPr>
          <w:szCs w:val="22"/>
        </w:rPr>
      </w:pPr>
      <w:r w:rsidRPr="007D6D77">
        <w:rPr>
          <w:szCs w:val="22"/>
        </w:rPr>
        <w:t>Th</w:t>
      </w:r>
      <w:r w:rsidR="00F63A01" w:rsidRPr="007D6D77">
        <w:rPr>
          <w:szCs w:val="22"/>
        </w:rPr>
        <w:t xml:space="preserve">e </w:t>
      </w:r>
      <w:r w:rsidR="00791847" w:rsidRPr="007D6D77">
        <w:rPr>
          <w:szCs w:val="22"/>
        </w:rPr>
        <w:t xml:space="preserve">total </w:t>
      </w:r>
      <w:r w:rsidR="004767BA" w:rsidRPr="007D6D77">
        <w:rPr>
          <w:szCs w:val="22"/>
        </w:rPr>
        <w:t>annualiz</w:t>
      </w:r>
      <w:r w:rsidR="00791847" w:rsidRPr="007D6D77">
        <w:rPr>
          <w:szCs w:val="22"/>
        </w:rPr>
        <w:t xml:space="preserve">ed cost of the SoI evaluation study is </w:t>
      </w:r>
      <w:r w:rsidR="004767BA" w:rsidRPr="007D6D77">
        <w:rPr>
          <w:szCs w:val="22"/>
        </w:rPr>
        <w:t>$</w:t>
      </w:r>
      <w:r w:rsidR="0031073C" w:rsidRPr="007D6D77">
        <w:rPr>
          <w:szCs w:val="22"/>
        </w:rPr>
        <w:t>380,127</w:t>
      </w:r>
      <w:r w:rsidR="004767BA" w:rsidRPr="007D6D77">
        <w:rPr>
          <w:szCs w:val="22"/>
        </w:rPr>
        <w:t xml:space="preserve"> based on a Government cost estimate developed by NASA staff. This estimate was developed using actual costs of past contracts for this type of evaluation work performed by the same contractor. </w:t>
      </w:r>
      <w:r w:rsidR="00791847" w:rsidRPr="007D6D77">
        <w:rPr>
          <w:szCs w:val="22"/>
        </w:rPr>
        <w:t xml:space="preserve">Of this total cost, the </w:t>
      </w:r>
      <w:r w:rsidR="00F63A01" w:rsidRPr="007D6D77">
        <w:rPr>
          <w:szCs w:val="22"/>
        </w:rPr>
        <w:t xml:space="preserve">estimated costs to the Federal Government for the data collection activities </w:t>
      </w:r>
      <w:r w:rsidR="00791847" w:rsidRPr="007D6D77">
        <w:rPr>
          <w:szCs w:val="22"/>
        </w:rPr>
        <w:t xml:space="preserve">detailed in this PRA clearance package </w:t>
      </w:r>
      <w:r w:rsidR="000254F3" w:rsidRPr="007D6D77">
        <w:rPr>
          <w:szCs w:val="22"/>
        </w:rPr>
        <w:t>are</w:t>
      </w:r>
      <w:r w:rsidR="00F63A01" w:rsidRPr="007D6D77">
        <w:rPr>
          <w:szCs w:val="22"/>
        </w:rPr>
        <w:t xml:space="preserve"> </w:t>
      </w:r>
      <w:r w:rsidRPr="007D6D77">
        <w:rPr>
          <w:szCs w:val="22"/>
        </w:rPr>
        <w:t>$</w:t>
      </w:r>
      <w:r w:rsidR="0031073C" w:rsidRPr="007D6D77">
        <w:rPr>
          <w:szCs w:val="22"/>
        </w:rPr>
        <w:t>185,760</w:t>
      </w:r>
      <w:r w:rsidR="000254F3" w:rsidRPr="007D6D77">
        <w:rPr>
          <w:szCs w:val="22"/>
        </w:rPr>
        <w:t>.</w:t>
      </w:r>
      <w:r w:rsidRPr="007D6D77">
        <w:rPr>
          <w:szCs w:val="22"/>
        </w:rPr>
        <w:t xml:space="preserve"> </w:t>
      </w:r>
      <w:r w:rsidR="00791847" w:rsidRPr="007D6D77">
        <w:rPr>
          <w:szCs w:val="22"/>
        </w:rPr>
        <w:t xml:space="preserve"> </w:t>
      </w:r>
      <w:r w:rsidR="000254F3" w:rsidRPr="007D6D77">
        <w:rPr>
          <w:szCs w:val="22"/>
        </w:rPr>
        <w:t>This estimate is based on the cost of administering, analyzing, and reporting on the parent and baseline/follow-up youth surveys</w:t>
      </w:r>
      <w:r w:rsidR="009B63AA" w:rsidRPr="007D6D77">
        <w:rPr>
          <w:szCs w:val="22"/>
        </w:rPr>
        <w:t xml:space="preserve">; and </w:t>
      </w:r>
      <w:r w:rsidR="000254F3" w:rsidRPr="007D6D77">
        <w:rPr>
          <w:szCs w:val="22"/>
        </w:rPr>
        <w:t xml:space="preserve">scheduling, facilitating, transcribing, analyzing, and reporting the </w:t>
      </w:r>
      <w:r w:rsidR="009B63AA" w:rsidRPr="007D6D77">
        <w:rPr>
          <w:szCs w:val="22"/>
        </w:rPr>
        <w:t xml:space="preserve">teacher focus group discussions. </w:t>
      </w:r>
      <w:r w:rsidR="00B61BC0" w:rsidRPr="007D6D77">
        <w:rPr>
          <w:szCs w:val="22"/>
        </w:rPr>
        <w:t xml:space="preserve"> </w:t>
      </w:r>
    </w:p>
    <w:p w:rsidR="00B61BC0" w:rsidRPr="007D6D77" w:rsidRDefault="00B61BC0" w:rsidP="00DA670A">
      <w:pPr>
        <w:pStyle w:val="BodyText"/>
        <w:rPr>
          <w:rFonts w:ascii="Arial Narrow" w:hAnsi="Arial Narrow"/>
          <w:b/>
          <w:sz w:val="24"/>
          <w:szCs w:val="24"/>
        </w:rPr>
      </w:pPr>
    </w:p>
    <w:p w:rsidR="008C09E0" w:rsidRPr="007D6D77" w:rsidRDefault="00DA670A" w:rsidP="00145291">
      <w:pPr>
        <w:pStyle w:val="Heading3"/>
      </w:pPr>
      <w:bookmarkStart w:id="76" w:name="_Toc8118892"/>
      <w:bookmarkStart w:id="77" w:name="_Toc81803522"/>
      <w:bookmarkStart w:id="78" w:name="_Toc88301192"/>
      <w:bookmarkStart w:id="79" w:name="_Toc213748186"/>
      <w:bookmarkStart w:id="80" w:name="_Toc341972167"/>
      <w:r w:rsidRPr="007D6D77">
        <w:t>A.15</w:t>
      </w:r>
      <w:r w:rsidRPr="007D6D77">
        <w:tab/>
      </w:r>
      <w:bookmarkEnd w:id="76"/>
      <w:bookmarkEnd w:id="77"/>
      <w:bookmarkEnd w:id="78"/>
      <w:bookmarkEnd w:id="79"/>
      <w:r w:rsidR="008C09E0" w:rsidRPr="007D6D77">
        <w:t>EXPLAIN THE REASON FOR ANY PROGRAM CHANGES OR ADJUSTMENTS REPORTED IN ITEMS 13 OR 14 OF THE OMB FORM 83-1.</w:t>
      </w:r>
      <w:bookmarkEnd w:id="80"/>
      <w:r w:rsidR="008C09E0" w:rsidRPr="007D6D77">
        <w:t xml:space="preserve">  </w:t>
      </w:r>
    </w:p>
    <w:p w:rsidR="008C09E0" w:rsidRPr="007D6D77" w:rsidRDefault="008C09E0" w:rsidP="00DA670A">
      <w:pPr>
        <w:pStyle w:val="BodyText"/>
        <w:rPr>
          <w:b/>
          <w:sz w:val="28"/>
        </w:rPr>
      </w:pPr>
    </w:p>
    <w:p w:rsidR="00DA670A" w:rsidRPr="007D6D77" w:rsidRDefault="00F756A0" w:rsidP="00DA670A">
      <w:pPr>
        <w:pStyle w:val="BodyText"/>
        <w:rPr>
          <w:szCs w:val="22"/>
        </w:rPr>
      </w:pPr>
      <w:r w:rsidRPr="007D6D77">
        <w:rPr>
          <w:szCs w:val="22"/>
        </w:rPr>
        <w:t>This data collection</w:t>
      </w:r>
      <w:r w:rsidR="00075A98" w:rsidRPr="007D6D77">
        <w:rPr>
          <w:szCs w:val="22"/>
        </w:rPr>
        <w:t xml:space="preserve"> significantly reduces the respondent burden by narrowing the focus of the evaluation to 6</w:t>
      </w:r>
      <w:r w:rsidR="00075A98" w:rsidRPr="007D6D77">
        <w:rPr>
          <w:szCs w:val="22"/>
          <w:vertAlign w:val="superscript"/>
        </w:rPr>
        <w:t>th</w:t>
      </w:r>
      <w:r w:rsidR="00075A98" w:rsidRPr="007D6D77">
        <w:rPr>
          <w:szCs w:val="22"/>
        </w:rPr>
        <w:t xml:space="preserve"> through 8</w:t>
      </w:r>
      <w:r w:rsidR="00075A98" w:rsidRPr="007D6D77">
        <w:rPr>
          <w:szCs w:val="22"/>
          <w:vertAlign w:val="superscript"/>
        </w:rPr>
        <w:t>th</w:t>
      </w:r>
      <w:r w:rsidR="00075A98" w:rsidRPr="007D6D77">
        <w:rPr>
          <w:szCs w:val="22"/>
        </w:rPr>
        <w:t xml:space="preserve"> grade youth participating in stand-alone SoI camps with a minimum of 30 hours SoI content in a one-week camp. This data collection represents </w:t>
      </w:r>
      <w:r w:rsidR="00053809" w:rsidRPr="007D6D77">
        <w:rPr>
          <w:szCs w:val="22"/>
        </w:rPr>
        <w:t>the third</w:t>
      </w:r>
      <w:r w:rsidR="00802931" w:rsidRPr="007D6D77">
        <w:rPr>
          <w:szCs w:val="22"/>
        </w:rPr>
        <w:t xml:space="preserve"> year of data collection related to the activities of the </w:t>
      </w:r>
      <w:r w:rsidR="00FC614D" w:rsidRPr="007D6D77">
        <w:rPr>
          <w:szCs w:val="22"/>
        </w:rPr>
        <w:t xml:space="preserve">Summer of Innovation. </w:t>
      </w:r>
    </w:p>
    <w:p w:rsidR="008750AE" w:rsidRPr="007D6D77" w:rsidRDefault="008750AE" w:rsidP="00DA670A">
      <w:pPr>
        <w:pStyle w:val="BodyText"/>
        <w:rPr>
          <w:szCs w:val="22"/>
        </w:rPr>
      </w:pPr>
    </w:p>
    <w:p w:rsidR="008750AE" w:rsidRPr="007D6D77" w:rsidRDefault="008750AE" w:rsidP="006111ED">
      <w:pPr>
        <w:pStyle w:val="BodyText"/>
        <w:keepNext/>
        <w:keepLines/>
        <w:widowControl w:val="0"/>
        <w:rPr>
          <w:szCs w:val="22"/>
        </w:rPr>
      </w:pPr>
      <w:r w:rsidRPr="007D6D77">
        <w:rPr>
          <w:szCs w:val="22"/>
        </w:rPr>
        <w:t>Exhibit 3. Program Change</w:t>
      </w:r>
    </w:p>
    <w:tbl>
      <w:tblPr>
        <w:tblW w:w="648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440"/>
        <w:gridCol w:w="1530"/>
        <w:gridCol w:w="1440"/>
      </w:tblGrid>
      <w:tr w:rsidR="00FF6CC7" w:rsidRPr="007D6D77" w:rsidTr="00FF6CC7">
        <w:trPr>
          <w:trHeight w:val="1095"/>
        </w:trPr>
        <w:tc>
          <w:tcPr>
            <w:tcW w:w="2070" w:type="dxa"/>
            <w:shd w:val="clear" w:color="auto" w:fill="auto"/>
            <w:vAlign w:val="bottom"/>
            <w:hideMark/>
          </w:tcPr>
          <w:p w:rsidR="00FF6CC7" w:rsidRPr="007D6D77" w:rsidRDefault="00FF6CC7" w:rsidP="006111ED">
            <w:pPr>
              <w:keepNext/>
              <w:keepLines/>
              <w:widowControl w:val="0"/>
              <w:tabs>
                <w:tab w:val="clear" w:pos="720"/>
                <w:tab w:val="clear" w:pos="1080"/>
                <w:tab w:val="clear" w:pos="1440"/>
                <w:tab w:val="clear" w:pos="1800"/>
              </w:tabs>
              <w:spacing w:line="240" w:lineRule="auto"/>
              <w:jc w:val="center"/>
              <w:rPr>
                <w:bCs/>
                <w:color w:val="000000"/>
                <w:sz w:val="20"/>
              </w:rPr>
            </w:pPr>
            <w:r w:rsidRPr="007D6D77">
              <w:rPr>
                <w:sz w:val="20"/>
              </w:rPr>
              <w:t>Reason</w:t>
            </w:r>
          </w:p>
        </w:tc>
        <w:tc>
          <w:tcPr>
            <w:tcW w:w="1440" w:type="dxa"/>
            <w:shd w:val="clear" w:color="auto" w:fill="auto"/>
            <w:vAlign w:val="bottom"/>
            <w:hideMark/>
          </w:tcPr>
          <w:p w:rsidR="00FF6CC7" w:rsidRPr="007D6D77" w:rsidRDefault="00FF6CC7" w:rsidP="006111ED">
            <w:pPr>
              <w:keepNext/>
              <w:keepLines/>
              <w:widowControl w:val="0"/>
              <w:tabs>
                <w:tab w:val="clear" w:pos="720"/>
                <w:tab w:val="clear" w:pos="1080"/>
                <w:tab w:val="clear" w:pos="1440"/>
                <w:tab w:val="clear" w:pos="1800"/>
              </w:tabs>
              <w:spacing w:line="240" w:lineRule="auto"/>
              <w:jc w:val="center"/>
              <w:rPr>
                <w:bCs/>
                <w:color w:val="000000"/>
                <w:sz w:val="20"/>
              </w:rPr>
            </w:pPr>
            <w:r w:rsidRPr="007D6D77">
              <w:rPr>
                <w:bCs/>
                <w:color w:val="000000"/>
                <w:sz w:val="20"/>
              </w:rPr>
              <w:t>Previous Burden</w:t>
            </w:r>
          </w:p>
        </w:tc>
        <w:tc>
          <w:tcPr>
            <w:tcW w:w="1530" w:type="dxa"/>
            <w:shd w:val="clear" w:color="auto" w:fill="auto"/>
            <w:vAlign w:val="bottom"/>
            <w:hideMark/>
          </w:tcPr>
          <w:p w:rsidR="00FF6CC7" w:rsidRPr="007D6D77" w:rsidRDefault="00FF6CC7" w:rsidP="006111ED">
            <w:pPr>
              <w:keepNext/>
              <w:keepLines/>
              <w:widowControl w:val="0"/>
              <w:tabs>
                <w:tab w:val="clear" w:pos="720"/>
                <w:tab w:val="clear" w:pos="1080"/>
                <w:tab w:val="clear" w:pos="1440"/>
                <w:tab w:val="clear" w:pos="1800"/>
              </w:tabs>
              <w:spacing w:line="240" w:lineRule="auto"/>
              <w:jc w:val="center"/>
              <w:rPr>
                <w:bCs/>
                <w:color w:val="000000"/>
                <w:sz w:val="20"/>
              </w:rPr>
            </w:pPr>
            <w:r w:rsidRPr="007D6D77">
              <w:rPr>
                <w:bCs/>
                <w:color w:val="000000"/>
                <w:sz w:val="20"/>
              </w:rPr>
              <w:t>New Burden</w:t>
            </w:r>
          </w:p>
        </w:tc>
        <w:tc>
          <w:tcPr>
            <w:tcW w:w="1440" w:type="dxa"/>
            <w:shd w:val="clear" w:color="auto" w:fill="auto"/>
            <w:vAlign w:val="bottom"/>
            <w:hideMark/>
          </w:tcPr>
          <w:p w:rsidR="00FF6CC7" w:rsidRPr="007D6D77" w:rsidRDefault="00FF6CC7" w:rsidP="006111ED">
            <w:pPr>
              <w:keepNext/>
              <w:keepLines/>
              <w:widowControl w:val="0"/>
              <w:tabs>
                <w:tab w:val="clear" w:pos="720"/>
                <w:tab w:val="clear" w:pos="1080"/>
                <w:tab w:val="clear" w:pos="1440"/>
                <w:tab w:val="clear" w:pos="1800"/>
              </w:tabs>
              <w:spacing w:line="240" w:lineRule="auto"/>
              <w:jc w:val="center"/>
              <w:rPr>
                <w:bCs/>
                <w:color w:val="000000"/>
                <w:sz w:val="20"/>
              </w:rPr>
            </w:pPr>
            <w:r w:rsidRPr="007D6D77">
              <w:rPr>
                <w:bCs/>
                <w:color w:val="000000"/>
                <w:sz w:val="20"/>
              </w:rPr>
              <w:t>Difference</w:t>
            </w:r>
          </w:p>
        </w:tc>
      </w:tr>
      <w:tr w:rsidR="00FF6CC7" w:rsidRPr="007D6D77" w:rsidTr="00FF6CC7">
        <w:trPr>
          <w:trHeight w:val="555"/>
        </w:trPr>
        <w:tc>
          <w:tcPr>
            <w:tcW w:w="2070" w:type="dxa"/>
            <w:shd w:val="clear" w:color="auto" w:fill="auto"/>
            <w:vAlign w:val="bottom"/>
            <w:hideMark/>
          </w:tcPr>
          <w:p w:rsidR="00D15A8F" w:rsidRDefault="00FF6CC7">
            <w:pPr>
              <w:tabs>
                <w:tab w:val="clear" w:pos="720"/>
                <w:tab w:val="clear" w:pos="1080"/>
                <w:tab w:val="clear" w:pos="1440"/>
                <w:tab w:val="clear" w:pos="1800"/>
              </w:tabs>
              <w:spacing w:line="240" w:lineRule="auto"/>
              <w:rPr>
                <w:color w:val="000000"/>
                <w:sz w:val="20"/>
              </w:rPr>
            </w:pPr>
            <w:r w:rsidRPr="007D6D77">
              <w:rPr>
                <w:color w:val="000000"/>
                <w:sz w:val="20"/>
              </w:rPr>
              <w:t xml:space="preserve">Program change: Change in frequency and method of collection; Change in evaluation study </w:t>
            </w:r>
            <w:r w:rsidR="00F724CA" w:rsidRPr="007D6D77">
              <w:rPr>
                <w:color w:val="000000"/>
                <w:sz w:val="20"/>
              </w:rPr>
              <w:t xml:space="preserve">focus and </w:t>
            </w:r>
            <w:r w:rsidRPr="007D6D77">
              <w:rPr>
                <w:color w:val="000000"/>
                <w:sz w:val="20"/>
              </w:rPr>
              <w:t>sampling strategy</w:t>
            </w:r>
          </w:p>
        </w:tc>
        <w:tc>
          <w:tcPr>
            <w:tcW w:w="1440" w:type="dxa"/>
            <w:shd w:val="clear" w:color="auto" w:fill="auto"/>
            <w:vAlign w:val="bottom"/>
            <w:hideMark/>
          </w:tcPr>
          <w:p w:rsidR="00FF6CC7" w:rsidRPr="007D6D77" w:rsidRDefault="00FF6CC7" w:rsidP="006111ED">
            <w:pPr>
              <w:tabs>
                <w:tab w:val="clear" w:pos="720"/>
                <w:tab w:val="clear" w:pos="1080"/>
                <w:tab w:val="clear" w:pos="1440"/>
                <w:tab w:val="clear" w:pos="1800"/>
              </w:tabs>
              <w:spacing w:line="240" w:lineRule="auto"/>
              <w:jc w:val="center"/>
              <w:rPr>
                <w:color w:val="000000"/>
                <w:sz w:val="20"/>
              </w:rPr>
            </w:pPr>
            <w:r w:rsidRPr="007D6D77">
              <w:rPr>
                <w:color w:val="000000"/>
                <w:sz w:val="20"/>
              </w:rPr>
              <w:t>7,034 burden hours</w:t>
            </w:r>
          </w:p>
        </w:tc>
        <w:tc>
          <w:tcPr>
            <w:tcW w:w="1530" w:type="dxa"/>
            <w:shd w:val="clear" w:color="auto" w:fill="auto"/>
            <w:vAlign w:val="bottom"/>
            <w:hideMark/>
          </w:tcPr>
          <w:p w:rsidR="00FF6CC7" w:rsidRPr="007D6D77" w:rsidRDefault="0031073C" w:rsidP="006111ED">
            <w:pPr>
              <w:tabs>
                <w:tab w:val="clear" w:pos="720"/>
                <w:tab w:val="clear" w:pos="1080"/>
                <w:tab w:val="clear" w:pos="1440"/>
                <w:tab w:val="clear" w:pos="1800"/>
              </w:tabs>
              <w:spacing w:line="240" w:lineRule="auto"/>
              <w:jc w:val="center"/>
              <w:rPr>
                <w:color w:val="000000"/>
                <w:sz w:val="20"/>
              </w:rPr>
            </w:pPr>
            <w:r w:rsidRPr="006F31E7">
              <w:rPr>
                <w:bCs/>
                <w:color w:val="000000"/>
                <w:sz w:val="20"/>
              </w:rPr>
              <w:t>822.7</w:t>
            </w:r>
            <w:r w:rsidRPr="007D6D77">
              <w:rPr>
                <w:rFonts w:ascii="Arial Narrow" w:hAnsi="Arial Narrow" w:cs="Calibri"/>
                <w:b/>
                <w:bCs/>
                <w:color w:val="000000"/>
                <w:sz w:val="20"/>
              </w:rPr>
              <w:t xml:space="preserve"> </w:t>
            </w:r>
            <w:r w:rsidR="00FF6CC7" w:rsidRPr="007D6D77">
              <w:rPr>
                <w:bCs/>
                <w:color w:val="000000"/>
                <w:sz w:val="20"/>
              </w:rPr>
              <w:t>burden hours</w:t>
            </w:r>
          </w:p>
        </w:tc>
        <w:tc>
          <w:tcPr>
            <w:tcW w:w="1440" w:type="dxa"/>
            <w:shd w:val="clear" w:color="auto" w:fill="auto"/>
            <w:vAlign w:val="bottom"/>
            <w:hideMark/>
          </w:tcPr>
          <w:p w:rsidR="00FF6CC7" w:rsidRPr="007D6D77" w:rsidRDefault="0031073C" w:rsidP="006111ED">
            <w:pPr>
              <w:tabs>
                <w:tab w:val="clear" w:pos="720"/>
                <w:tab w:val="clear" w:pos="1080"/>
                <w:tab w:val="clear" w:pos="1440"/>
                <w:tab w:val="clear" w:pos="1800"/>
              </w:tabs>
              <w:spacing w:line="240" w:lineRule="auto"/>
              <w:jc w:val="center"/>
              <w:rPr>
                <w:color w:val="000000"/>
                <w:sz w:val="20"/>
              </w:rPr>
            </w:pPr>
            <w:r w:rsidRPr="007D6D77">
              <w:rPr>
                <w:color w:val="000000"/>
                <w:sz w:val="20"/>
              </w:rPr>
              <w:t>6,211.3</w:t>
            </w:r>
            <w:r w:rsidR="00DF13A6" w:rsidRPr="007D6D77">
              <w:rPr>
                <w:color w:val="000000"/>
                <w:sz w:val="20"/>
              </w:rPr>
              <w:t xml:space="preserve"> burden hours</w:t>
            </w:r>
          </w:p>
        </w:tc>
      </w:tr>
    </w:tbl>
    <w:p w:rsidR="008C09E0" w:rsidRPr="007D6D77" w:rsidRDefault="008C09E0" w:rsidP="00DA670A">
      <w:pPr>
        <w:pStyle w:val="BodyText"/>
        <w:rPr>
          <w:szCs w:val="22"/>
        </w:rPr>
      </w:pPr>
    </w:p>
    <w:p w:rsidR="00457DC6" w:rsidRPr="007D6D77" w:rsidRDefault="00457DC6" w:rsidP="00DA670A">
      <w:pPr>
        <w:pStyle w:val="BodyText"/>
        <w:rPr>
          <w:szCs w:val="22"/>
        </w:rPr>
      </w:pPr>
    </w:p>
    <w:p w:rsidR="00FF6CC7" w:rsidRPr="007D6D77" w:rsidRDefault="00B35992" w:rsidP="00145291">
      <w:pPr>
        <w:pStyle w:val="Heading3"/>
      </w:pPr>
      <w:bookmarkStart w:id="81" w:name="_Toc8118893"/>
      <w:bookmarkStart w:id="82" w:name="_Toc81803523"/>
      <w:bookmarkStart w:id="83" w:name="_Toc88301193"/>
      <w:bookmarkStart w:id="84" w:name="_Toc213748187"/>
      <w:bookmarkStart w:id="85" w:name="_Toc341972168"/>
      <w:r w:rsidRPr="007D6D77">
        <w:t>A.16</w:t>
      </w:r>
      <w:r w:rsidRPr="007D6D77">
        <w:tab/>
      </w:r>
      <w:bookmarkEnd w:id="81"/>
      <w:bookmarkEnd w:id="82"/>
      <w:bookmarkEnd w:id="83"/>
      <w:bookmarkEnd w:id="84"/>
      <w:r w:rsidR="00FF6CC7" w:rsidRPr="007D6D77">
        <w:t>FOR COLLECTIONS OF INFORMATION WHOSE RESULTS WILL BE PUBLISHED, OUTLINE PLANS FOR TABULATION, AND PUBLICATION.</w:t>
      </w:r>
      <w:bookmarkEnd w:id="85"/>
      <w:r w:rsidR="00FF6CC7" w:rsidRPr="007D6D77">
        <w:t xml:space="preserve">  ADDRESS ANY COMPLEX ANALYTICAL TECHNIQUES THAT WILL BE USED.  PROVIDE THE TIME SCHEDULE FOR THE ENTIRE PROJECT, INCLUDING BEGINNING AND ENDING DATES OF THE COLLECTION OF INFORMATION, COMPLETION OF REPORT, PUBLICATION DATES, AND OTHER ACTIONS.  </w:t>
      </w:r>
    </w:p>
    <w:p w:rsidR="00FF6CC7" w:rsidRPr="007D6D77" w:rsidRDefault="00FF6CC7" w:rsidP="00B35992">
      <w:pPr>
        <w:pStyle w:val="BodyText"/>
      </w:pPr>
    </w:p>
    <w:p w:rsidR="00B35992" w:rsidRPr="007D6D77" w:rsidRDefault="00B35992" w:rsidP="00B35992">
      <w:pPr>
        <w:pStyle w:val="BodyText"/>
      </w:pPr>
      <w:r w:rsidRPr="007D6D77">
        <w:t xml:space="preserve">The schedule shown in Exhibit 3 displays the sequence of activities required to conduct the information collection activities and includes key dates for activities related to data collection, analysis, and reporting. </w:t>
      </w:r>
      <w:r w:rsidR="000313FD" w:rsidRPr="007D6D77">
        <w:t>T</w:t>
      </w:r>
      <w:r w:rsidRPr="007D6D77">
        <w:t>wo evaluation reports based on findings from the surveys and implementation data will be prepared</w:t>
      </w:r>
      <w:r w:rsidR="00B127F5" w:rsidRPr="007D6D77">
        <w:t xml:space="preserve">: the implementation study report will be completed </w:t>
      </w:r>
      <w:r w:rsidRPr="007D6D77">
        <w:t>following the completion of summer activities (</w:t>
      </w:r>
      <w:r w:rsidR="00B127F5" w:rsidRPr="007D6D77">
        <w:t>by November 2013</w:t>
      </w:r>
      <w:r w:rsidRPr="007D6D77">
        <w:t xml:space="preserve">) and </w:t>
      </w:r>
      <w:r w:rsidR="00B127F5" w:rsidRPr="007D6D77">
        <w:t>the outcome evaluation study report</w:t>
      </w:r>
      <w:r w:rsidRPr="007D6D77">
        <w:t xml:space="preserve"> </w:t>
      </w:r>
      <w:r w:rsidR="00B127F5" w:rsidRPr="007D6D77">
        <w:t xml:space="preserve">following analysis of the follow-up youth survey </w:t>
      </w:r>
      <w:r w:rsidRPr="007D6D77">
        <w:t>(</w:t>
      </w:r>
      <w:r w:rsidR="00B127F5" w:rsidRPr="007D6D77">
        <w:t>by March 2014</w:t>
      </w:r>
      <w:r w:rsidRPr="007D6D77">
        <w:t>).</w:t>
      </w:r>
    </w:p>
    <w:p w:rsidR="00B35992" w:rsidRPr="007D6D77" w:rsidRDefault="00B35992" w:rsidP="00B35992">
      <w:pPr>
        <w:pStyle w:val="BodyText"/>
      </w:pPr>
    </w:p>
    <w:tbl>
      <w:tblPr>
        <w:tblW w:w="891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40"/>
        <w:gridCol w:w="2250"/>
        <w:gridCol w:w="1710"/>
        <w:gridCol w:w="1710"/>
      </w:tblGrid>
      <w:tr w:rsidR="006111ED" w:rsidRPr="007D6D77" w:rsidTr="006111ED">
        <w:tc>
          <w:tcPr>
            <w:tcW w:w="7200" w:type="dxa"/>
            <w:gridSpan w:val="3"/>
            <w:tcBorders>
              <w:top w:val="single" w:sz="18" w:space="0" w:color="auto"/>
              <w:left w:val="nil"/>
              <w:bottom w:val="single" w:sz="18" w:space="0" w:color="auto"/>
              <w:right w:val="nil"/>
            </w:tcBorders>
            <w:vAlign w:val="bottom"/>
          </w:tcPr>
          <w:p w:rsidR="006111ED" w:rsidRPr="007D6D77" w:rsidRDefault="006111ED" w:rsidP="006111ED">
            <w:pPr>
              <w:pStyle w:val="Table"/>
              <w:spacing w:before="60" w:after="60"/>
              <w:rPr>
                <w:rFonts w:ascii="Times New Roman" w:hAnsi="Times New Roman"/>
                <w:b/>
                <w:bCs/>
              </w:rPr>
            </w:pPr>
            <w:r w:rsidRPr="007D6D77">
              <w:rPr>
                <w:rFonts w:ascii="Times New Roman" w:hAnsi="Times New Roman"/>
                <w:b/>
                <w:bCs/>
              </w:rPr>
              <w:t>Exhibit 4. SoI Schedule</w:t>
            </w:r>
          </w:p>
        </w:tc>
        <w:tc>
          <w:tcPr>
            <w:tcW w:w="1710" w:type="dxa"/>
            <w:tcBorders>
              <w:top w:val="single" w:sz="18" w:space="0" w:color="auto"/>
              <w:left w:val="nil"/>
              <w:bottom w:val="single" w:sz="18" w:space="0" w:color="auto"/>
              <w:right w:val="nil"/>
            </w:tcBorders>
          </w:tcPr>
          <w:p w:rsidR="006111ED" w:rsidRPr="007D6D77" w:rsidRDefault="006111ED" w:rsidP="00F978C5">
            <w:pPr>
              <w:pStyle w:val="Table"/>
              <w:spacing w:before="60" w:after="60"/>
              <w:rPr>
                <w:rFonts w:ascii="Times New Roman" w:hAnsi="Times New Roman"/>
                <w:b/>
                <w:bCs/>
              </w:rPr>
            </w:pPr>
          </w:p>
        </w:tc>
      </w:tr>
      <w:tr w:rsidR="006111ED" w:rsidRPr="007D6D77" w:rsidTr="006111ED">
        <w:tc>
          <w:tcPr>
            <w:tcW w:w="3240" w:type="dxa"/>
            <w:tcBorders>
              <w:top w:val="single" w:sz="18" w:space="0" w:color="auto"/>
              <w:left w:val="nil"/>
              <w:bottom w:val="single" w:sz="4" w:space="0" w:color="auto"/>
              <w:right w:val="nil"/>
            </w:tcBorders>
            <w:vAlign w:val="bottom"/>
          </w:tcPr>
          <w:p w:rsidR="006111ED" w:rsidRPr="007D6D77" w:rsidRDefault="006111ED" w:rsidP="006111ED">
            <w:pPr>
              <w:pStyle w:val="Table"/>
              <w:spacing w:before="60" w:after="60"/>
              <w:rPr>
                <w:rFonts w:ascii="Times New Roman" w:hAnsi="Times New Roman"/>
                <w:b/>
                <w:bCs/>
              </w:rPr>
            </w:pPr>
            <w:r w:rsidRPr="007D6D77">
              <w:rPr>
                <w:rFonts w:ascii="Times New Roman" w:hAnsi="Times New Roman"/>
                <w:b/>
                <w:bCs/>
              </w:rPr>
              <w:t>Activities and Deliverables</w:t>
            </w:r>
          </w:p>
        </w:tc>
        <w:tc>
          <w:tcPr>
            <w:tcW w:w="2250" w:type="dxa"/>
            <w:tcBorders>
              <w:top w:val="single" w:sz="18" w:space="0" w:color="auto"/>
              <w:left w:val="nil"/>
              <w:bottom w:val="single" w:sz="4" w:space="0" w:color="auto"/>
              <w:right w:val="nil"/>
            </w:tcBorders>
            <w:vAlign w:val="bottom"/>
          </w:tcPr>
          <w:p w:rsidR="006111ED" w:rsidRPr="007D6D77" w:rsidRDefault="006111ED" w:rsidP="006111ED">
            <w:pPr>
              <w:pStyle w:val="Table"/>
              <w:spacing w:before="60" w:after="60"/>
              <w:rPr>
                <w:rFonts w:ascii="Times New Roman" w:hAnsi="Times New Roman"/>
                <w:b/>
                <w:bCs/>
              </w:rPr>
            </w:pPr>
            <w:r w:rsidRPr="007D6D77">
              <w:rPr>
                <w:rFonts w:ascii="Times New Roman" w:hAnsi="Times New Roman"/>
                <w:b/>
                <w:bCs/>
              </w:rPr>
              <w:t>Responsible Party</w:t>
            </w:r>
          </w:p>
        </w:tc>
        <w:tc>
          <w:tcPr>
            <w:tcW w:w="1710" w:type="dxa"/>
            <w:tcBorders>
              <w:top w:val="single" w:sz="18" w:space="0" w:color="auto"/>
              <w:left w:val="nil"/>
              <w:bottom w:val="single" w:sz="4" w:space="0" w:color="auto"/>
              <w:right w:val="nil"/>
            </w:tcBorders>
            <w:vAlign w:val="bottom"/>
          </w:tcPr>
          <w:p w:rsidR="006111ED" w:rsidRPr="007D6D77" w:rsidRDefault="006111ED" w:rsidP="006111ED">
            <w:pPr>
              <w:pStyle w:val="Table"/>
              <w:spacing w:before="60" w:after="60"/>
              <w:rPr>
                <w:rFonts w:ascii="Times New Roman" w:hAnsi="Times New Roman"/>
                <w:b/>
                <w:bCs/>
              </w:rPr>
            </w:pPr>
            <w:r w:rsidRPr="007D6D77">
              <w:rPr>
                <w:rFonts w:ascii="Times New Roman" w:hAnsi="Times New Roman"/>
                <w:b/>
                <w:bCs/>
              </w:rPr>
              <w:t>Date</w:t>
            </w:r>
          </w:p>
        </w:tc>
        <w:tc>
          <w:tcPr>
            <w:tcW w:w="1710" w:type="dxa"/>
            <w:tcBorders>
              <w:top w:val="single" w:sz="18" w:space="0" w:color="auto"/>
              <w:left w:val="nil"/>
              <w:bottom w:val="single" w:sz="4" w:space="0" w:color="auto"/>
              <w:right w:val="nil"/>
            </w:tcBorders>
            <w:vAlign w:val="bottom"/>
          </w:tcPr>
          <w:p w:rsidR="006111ED" w:rsidRPr="007D6D77" w:rsidRDefault="006111ED" w:rsidP="006111ED">
            <w:pPr>
              <w:pStyle w:val="Table"/>
              <w:spacing w:before="60" w:after="60"/>
              <w:rPr>
                <w:rFonts w:ascii="Times New Roman" w:hAnsi="Times New Roman"/>
                <w:b/>
                <w:bCs/>
              </w:rPr>
            </w:pPr>
            <w:r w:rsidRPr="007D6D77">
              <w:rPr>
                <w:rFonts w:ascii="Times New Roman" w:hAnsi="Times New Roman"/>
                <w:b/>
                <w:bCs/>
              </w:rPr>
              <w:t xml:space="preserve">Status </w:t>
            </w:r>
            <w:r w:rsidRPr="007D6D77">
              <w:rPr>
                <w:rFonts w:ascii="Times New Roman" w:hAnsi="Times New Roman"/>
                <w:b/>
                <w:bCs/>
                <w:sz w:val="16"/>
                <w:szCs w:val="16"/>
              </w:rPr>
              <w:t>(as of December 19, 2012)</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Kick-off meeting and consultation with SoI awardees about FY2013 data collection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NASA</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November 2012</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Completed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Modification of awardees’ statements of collaborations</w:t>
            </w:r>
            <w:r w:rsidR="00FC614D" w:rsidRPr="007D6D77">
              <w:rPr>
                <w:rFonts w:ascii="Times New Roman" w:hAnsi="Times New Roman"/>
              </w:rPr>
              <w:t>/agreements</w:t>
            </w:r>
            <w:r w:rsidRPr="007D6D77">
              <w:rPr>
                <w:rFonts w:ascii="Times New Roman" w:hAnsi="Times New Roman"/>
              </w:rPr>
              <w:t xml:space="preserve"> to ensure accountability for data collection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NASA</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November – December 2012</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In progress</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Assistance to awardees in securing local IRB approval for data collection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036B45">
            <w:pPr>
              <w:pStyle w:val="Table"/>
              <w:spacing w:before="60" w:after="60"/>
              <w:rPr>
                <w:rFonts w:ascii="Times New Roman" w:hAnsi="Times New Roman"/>
              </w:rPr>
            </w:pPr>
            <w:r w:rsidRPr="007D6D77">
              <w:rPr>
                <w:rFonts w:ascii="Times New Roman" w:hAnsi="Times New Roman"/>
              </w:rPr>
              <w:t>November 2012 – January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036B45">
            <w:pPr>
              <w:pStyle w:val="Table"/>
              <w:spacing w:before="60" w:after="60"/>
              <w:rPr>
                <w:rFonts w:ascii="Times New Roman" w:hAnsi="Times New Roman"/>
              </w:rPr>
            </w:pPr>
            <w:r w:rsidRPr="007D6D77">
              <w:rPr>
                <w:rFonts w:ascii="Times New Roman" w:hAnsi="Times New Roman"/>
              </w:rPr>
              <w:t>In progress</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Finalization of evaluation plan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December 2012 – January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In progress</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Review of detailed evaluation plan by evaluation experts</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NASA</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January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t>Parent survey collection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 xml:space="preserve">External evaluator &amp; site </w:t>
            </w:r>
            <w:r w:rsidRPr="007D6D77">
              <w:rPr>
                <w:rFonts w:ascii="Times New Roman" w:hAnsi="Times New Roman"/>
              </w:rPr>
              <w:lastRenderedPageBreak/>
              <w:t>administrators</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lastRenderedPageBreak/>
              <w:t xml:space="preserve">February – June </w:t>
            </w:r>
            <w:r w:rsidRPr="007D6D77">
              <w:rPr>
                <w:rFonts w:ascii="Times New Roman" w:hAnsi="Times New Roman"/>
              </w:rPr>
              <w:lastRenderedPageBreak/>
              <w:t>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lastRenderedPageBreak/>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lastRenderedPageBreak/>
              <w:t>Baseline youth survey collection</w:t>
            </w:r>
            <w:r w:rsidRPr="007D6D77">
              <w:rPr>
                <w:rFonts w:ascii="Times New Roman" w:hAnsi="Times New Roman"/>
                <w:vertAlign w:val="superscript"/>
              </w:rPr>
              <w:t xml:space="preserve"> </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 &amp; site administrators</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t>May – August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t>Follow-up youth survey collection</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2A6039" w:rsidP="005D5A09">
            <w:pPr>
              <w:pStyle w:val="Table"/>
              <w:spacing w:before="60" w:after="60"/>
              <w:rPr>
                <w:rFonts w:ascii="Times New Roman" w:hAnsi="Times New Roman"/>
              </w:rPr>
            </w:pPr>
            <w:r>
              <w:rPr>
                <w:rFonts w:ascii="Times New Roman" w:hAnsi="Times New Roman"/>
              </w:rPr>
              <w:t>October</w:t>
            </w:r>
            <w:r w:rsidR="006111ED" w:rsidRPr="007D6D77">
              <w:rPr>
                <w:rFonts w:ascii="Times New Roman" w:hAnsi="Times New Roman"/>
              </w:rPr>
              <w:t xml:space="preserve">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5D5A09">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Data analysis of baseline/follow-up youth and parent survey collections</w:t>
            </w:r>
            <w:r w:rsidR="007F46DB">
              <w:rPr>
                <w:rFonts w:ascii="Times New Roman" w:hAnsi="Times New Roman"/>
              </w:rPr>
              <w:t>, including non-response bias analysis</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514637">
            <w:pPr>
              <w:pStyle w:val="Table"/>
              <w:spacing w:before="60" w:after="60"/>
              <w:rPr>
                <w:rFonts w:ascii="Times New Roman" w:hAnsi="Times New Roman"/>
              </w:rPr>
            </w:pPr>
            <w:r w:rsidRPr="007D6D77">
              <w:rPr>
                <w:rFonts w:ascii="Times New Roman" w:hAnsi="Times New Roman"/>
              </w:rPr>
              <w:t xml:space="preserve">December 2013 – </w:t>
            </w:r>
            <w:r w:rsidR="00514637">
              <w:rPr>
                <w:rFonts w:ascii="Times New Roman" w:hAnsi="Times New Roman"/>
              </w:rPr>
              <w:t>May</w:t>
            </w:r>
            <w:r w:rsidR="0027219B">
              <w:rPr>
                <w:rFonts w:ascii="Times New Roman" w:hAnsi="Times New Roman"/>
              </w:rPr>
              <w:t xml:space="preserve"> </w:t>
            </w:r>
            <w:r w:rsidRPr="007D6D77">
              <w:rPr>
                <w:rFonts w:ascii="Times New Roman" w:hAnsi="Times New Roman"/>
              </w:rPr>
              <w:t>2014</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 xml:space="preserve">Implementation study report </w:t>
            </w:r>
            <w:r w:rsidRPr="007D6D77">
              <w:rPr>
                <w:rFonts w:ascii="Times New Roman" w:hAnsi="Times New Roman"/>
                <w:i/>
              </w:rPr>
              <w:t>(deliverable)</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October – November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Review of implementation study report by evaluation experts</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22681">
            <w:pPr>
              <w:pStyle w:val="Table"/>
              <w:spacing w:before="60" w:after="60"/>
              <w:rPr>
                <w:rFonts w:ascii="Times New Roman" w:hAnsi="Times New Roman"/>
              </w:rPr>
            </w:pPr>
            <w:r w:rsidRPr="007D6D77">
              <w:rPr>
                <w:rFonts w:ascii="Times New Roman" w:hAnsi="Times New Roman"/>
              </w:rPr>
              <w:t xml:space="preserve">NASA </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November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Revision of SoI program model based on implementation study findings</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NASA</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December 2013</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 xml:space="preserve">Outcome evaluation report </w:t>
            </w:r>
            <w:r w:rsidRPr="007D6D77">
              <w:rPr>
                <w:rFonts w:ascii="Times New Roman" w:hAnsi="Times New Roman"/>
                <w:i/>
              </w:rPr>
              <w:t>(deliverable)</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External evaluator</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27219B" w:rsidP="00F978C5">
            <w:pPr>
              <w:pStyle w:val="Table"/>
              <w:spacing w:before="60" w:after="60"/>
              <w:rPr>
                <w:rFonts w:ascii="Times New Roman" w:hAnsi="Times New Roman"/>
              </w:rPr>
            </w:pPr>
            <w:r>
              <w:rPr>
                <w:rFonts w:ascii="Times New Roman" w:hAnsi="Times New Roman"/>
              </w:rPr>
              <w:t>July</w:t>
            </w:r>
            <w:r w:rsidR="006111ED" w:rsidRPr="007D6D77">
              <w:rPr>
                <w:rFonts w:ascii="Times New Roman" w:hAnsi="Times New Roman"/>
              </w:rPr>
              <w:t xml:space="preserve"> 2014</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BB47B8">
            <w:pPr>
              <w:pStyle w:val="Table"/>
              <w:spacing w:before="60" w:after="60"/>
              <w:rPr>
                <w:rFonts w:ascii="Times New Roman" w:hAnsi="Times New Roman"/>
              </w:rPr>
            </w:pPr>
            <w:r w:rsidRPr="007D6D77">
              <w:rPr>
                <w:rFonts w:ascii="Times New Roman" w:hAnsi="Times New Roman"/>
              </w:rPr>
              <w:t>Review of outcome evaluation report by evaluation experts</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A20117">
            <w:pPr>
              <w:pStyle w:val="Table"/>
              <w:spacing w:before="60" w:after="60"/>
              <w:rPr>
                <w:rFonts w:ascii="Times New Roman" w:hAnsi="Times New Roman"/>
              </w:rPr>
            </w:pPr>
            <w:r w:rsidRPr="007D6D77">
              <w:rPr>
                <w:rFonts w:ascii="Times New Roman" w:hAnsi="Times New Roman"/>
              </w:rPr>
              <w:t xml:space="preserve">NASA </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27219B" w:rsidP="0027219B">
            <w:pPr>
              <w:pStyle w:val="Table"/>
              <w:spacing w:before="60" w:after="60"/>
              <w:rPr>
                <w:rFonts w:ascii="Times New Roman" w:hAnsi="Times New Roman"/>
              </w:rPr>
            </w:pPr>
            <w:r>
              <w:rPr>
                <w:rFonts w:ascii="Times New Roman" w:hAnsi="Times New Roman"/>
              </w:rPr>
              <w:t>July</w:t>
            </w:r>
            <w:r w:rsidR="006111ED" w:rsidRPr="007D6D77">
              <w:rPr>
                <w:rFonts w:ascii="Times New Roman" w:hAnsi="Times New Roman"/>
              </w:rPr>
              <w:t xml:space="preserve"> 2014</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r w:rsidR="006111ED" w:rsidRPr="007D6D77" w:rsidTr="006111ED">
        <w:tc>
          <w:tcPr>
            <w:tcW w:w="324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Program recommendations for NASA portfolio based on outcome evaluation findings by evaluation experts in collaboration with NASA staff</w:t>
            </w:r>
          </w:p>
        </w:tc>
        <w:tc>
          <w:tcPr>
            <w:tcW w:w="225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NASA</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27219B" w:rsidP="00F978C5">
            <w:pPr>
              <w:pStyle w:val="Table"/>
              <w:spacing w:before="60" w:after="60"/>
              <w:rPr>
                <w:rFonts w:ascii="Times New Roman" w:hAnsi="Times New Roman"/>
              </w:rPr>
            </w:pPr>
            <w:r>
              <w:rPr>
                <w:rFonts w:ascii="Times New Roman" w:hAnsi="Times New Roman"/>
              </w:rPr>
              <w:t>August</w:t>
            </w:r>
            <w:r w:rsidR="006111ED" w:rsidRPr="007D6D77">
              <w:rPr>
                <w:rFonts w:ascii="Times New Roman" w:hAnsi="Times New Roman"/>
              </w:rPr>
              <w:t xml:space="preserve"> 2014</w:t>
            </w:r>
          </w:p>
        </w:tc>
        <w:tc>
          <w:tcPr>
            <w:tcW w:w="1710" w:type="dxa"/>
            <w:tcBorders>
              <w:top w:val="single" w:sz="4" w:space="0" w:color="auto"/>
              <w:left w:val="single" w:sz="4" w:space="0" w:color="auto"/>
              <w:bottom w:val="single" w:sz="4" w:space="0" w:color="auto"/>
              <w:right w:val="single" w:sz="4" w:space="0" w:color="auto"/>
            </w:tcBorders>
          </w:tcPr>
          <w:p w:rsidR="006111ED" w:rsidRPr="007D6D77" w:rsidRDefault="006111ED" w:rsidP="00F978C5">
            <w:pPr>
              <w:pStyle w:val="Table"/>
              <w:spacing w:before="60" w:after="60"/>
              <w:rPr>
                <w:rFonts w:ascii="Times New Roman" w:hAnsi="Times New Roman"/>
              </w:rPr>
            </w:pPr>
            <w:r w:rsidRPr="007D6D77">
              <w:rPr>
                <w:rFonts w:ascii="Times New Roman" w:hAnsi="Times New Roman"/>
              </w:rPr>
              <w:t>Not yet started</w:t>
            </w:r>
          </w:p>
        </w:tc>
      </w:tr>
    </w:tbl>
    <w:p w:rsidR="007E1EAB" w:rsidRPr="007D6D77" w:rsidRDefault="007E1EAB" w:rsidP="00B35992"/>
    <w:p w:rsidR="00042EC0" w:rsidRPr="007D6D77" w:rsidRDefault="00196EF1" w:rsidP="00B35992">
      <w:pPr>
        <w:rPr>
          <w:b/>
          <w:i/>
        </w:rPr>
      </w:pPr>
      <w:r w:rsidRPr="007D6D77">
        <w:rPr>
          <w:b/>
          <w:i/>
        </w:rPr>
        <w:t>Analysis of Survey Data</w:t>
      </w:r>
    </w:p>
    <w:p w:rsidR="00042EC0" w:rsidRPr="007D6D77" w:rsidRDefault="00042EC0" w:rsidP="00FD5D29">
      <w:pPr>
        <w:pStyle w:val="BodyText"/>
      </w:pPr>
      <w:r w:rsidRPr="007D6D77">
        <w:t xml:space="preserve">Below, the analysis plan for the survey data is summarized. It is discussed in fuller detail in Supporting Statement B. </w:t>
      </w:r>
    </w:p>
    <w:p w:rsidR="004053EC" w:rsidRPr="007D6D77" w:rsidRDefault="004053EC" w:rsidP="001646A5">
      <w:pPr>
        <w:rPr>
          <w:i/>
          <w:iCs/>
        </w:rPr>
      </w:pPr>
    </w:p>
    <w:p w:rsidR="001646A5" w:rsidRPr="007D6D77" w:rsidRDefault="001646A5" w:rsidP="001646A5">
      <w:pPr>
        <w:rPr>
          <w:i/>
          <w:iCs/>
        </w:rPr>
      </w:pPr>
      <w:r w:rsidRPr="007D6D77">
        <w:rPr>
          <w:i/>
          <w:iCs/>
        </w:rPr>
        <w:t>Descriptive Cross-Sectional Analyses</w:t>
      </w:r>
    </w:p>
    <w:p w:rsidR="001646A5" w:rsidRPr="007D6D77" w:rsidRDefault="001646A5" w:rsidP="001646A5">
      <w:pPr>
        <w:pStyle w:val="BodyText"/>
      </w:pPr>
      <w:r w:rsidRPr="007D6D77">
        <w:t xml:space="preserve">Because the universe of </w:t>
      </w:r>
      <w:r w:rsidR="00620242" w:rsidRPr="007D6D77">
        <w:t>youth</w:t>
      </w:r>
      <w:r w:rsidRPr="007D6D77">
        <w:t xml:space="preserve"> </w:t>
      </w:r>
      <w:r w:rsidR="00620242" w:rsidRPr="007D6D77">
        <w:t xml:space="preserve">and parents </w:t>
      </w:r>
      <w:r w:rsidRPr="007D6D77">
        <w:t xml:space="preserve">will be sampled, the descriptive statistics for a single point in time do not need to be adjusted for sampling design. Means and standard deviations will be used to describe central tendency and variation for survey items using continuous scales. Frequency distributions and percentages will be used to summarize answers given on ordinal scales. Descriptive analyses about all awardees will be conducted on the </w:t>
      </w:r>
      <w:r w:rsidR="00620242" w:rsidRPr="007D6D77">
        <w:t>youth</w:t>
      </w:r>
      <w:r w:rsidRPr="007D6D77">
        <w:t xml:space="preserve"> </w:t>
      </w:r>
      <w:r w:rsidR="00620242" w:rsidRPr="007D6D77">
        <w:t xml:space="preserve">and parent </w:t>
      </w:r>
      <w:r w:rsidRPr="007D6D77">
        <w:t xml:space="preserve">respondents, while descriptive analyses about </w:t>
      </w:r>
      <w:r w:rsidR="00620242" w:rsidRPr="007D6D77">
        <w:t>youth</w:t>
      </w:r>
      <w:r w:rsidRPr="007D6D77">
        <w:t xml:space="preserve"> </w:t>
      </w:r>
      <w:r w:rsidR="00620242" w:rsidRPr="007D6D77">
        <w:t xml:space="preserve">and parent </w:t>
      </w:r>
      <w:r w:rsidRPr="007D6D77">
        <w:t>within particular awardees will be restricted only to respondents from that awardee.</w:t>
      </w:r>
    </w:p>
    <w:p w:rsidR="001646A5" w:rsidRPr="007D6D77" w:rsidRDefault="001646A5" w:rsidP="001646A5">
      <w:pPr>
        <w:pStyle w:val="BodyText"/>
        <w:rPr>
          <w:b/>
          <w:bCs/>
        </w:rPr>
      </w:pPr>
    </w:p>
    <w:p w:rsidR="001646A5" w:rsidRPr="007D6D77" w:rsidRDefault="001646A5" w:rsidP="001646A5">
      <w:pPr>
        <w:rPr>
          <w:i/>
          <w:iCs/>
        </w:rPr>
      </w:pPr>
      <w:r w:rsidRPr="007D6D77">
        <w:rPr>
          <w:i/>
          <w:iCs/>
        </w:rPr>
        <w:t xml:space="preserve">Descriptive Change Over Time Analyses </w:t>
      </w:r>
    </w:p>
    <w:p w:rsidR="001646A5" w:rsidRPr="007D6D77" w:rsidRDefault="001646A5" w:rsidP="001646A5">
      <w:pPr>
        <w:rPr>
          <w:color w:val="1F497D"/>
        </w:rPr>
      </w:pPr>
      <w:r w:rsidRPr="007D6D77">
        <w:t xml:space="preserve">The evaluation team will examine the </w:t>
      </w:r>
      <w:r w:rsidR="008552CE" w:rsidRPr="007D6D77">
        <w:t>youth</w:t>
      </w:r>
      <w:r w:rsidRPr="007D6D77">
        <w:t xml:space="preserve"> survey data to provide simple descriptions of change in a variable over time. For the </w:t>
      </w:r>
      <w:r w:rsidR="006A3F24" w:rsidRPr="007D6D77">
        <w:t>youth</w:t>
      </w:r>
      <w:r w:rsidRPr="007D6D77">
        <w:t xml:space="preserve"> surveys, we will test whether the difference in proportions and means between two time points is zero using a McNemar test or paired t-test, depending on the distribution of the outcome variables. </w:t>
      </w:r>
    </w:p>
    <w:p w:rsidR="009C77DD" w:rsidRPr="007D6D77" w:rsidRDefault="009C77DD" w:rsidP="00B35992"/>
    <w:p w:rsidR="00196EF1" w:rsidRPr="007D6D77" w:rsidRDefault="00196EF1" w:rsidP="00B35992">
      <w:pPr>
        <w:rPr>
          <w:b/>
          <w:i/>
        </w:rPr>
      </w:pPr>
      <w:r w:rsidRPr="007D6D77">
        <w:rPr>
          <w:b/>
          <w:i/>
        </w:rPr>
        <w:t xml:space="preserve">Analysis of </w:t>
      </w:r>
      <w:r w:rsidR="006A3F24" w:rsidRPr="007D6D77">
        <w:rPr>
          <w:b/>
          <w:i/>
        </w:rPr>
        <w:t>Focus Group</w:t>
      </w:r>
      <w:r w:rsidRPr="007D6D77">
        <w:rPr>
          <w:b/>
          <w:i/>
        </w:rPr>
        <w:t xml:space="preserve"> Data</w:t>
      </w:r>
    </w:p>
    <w:p w:rsidR="000313FD" w:rsidRPr="007D6D77" w:rsidRDefault="009C77DD" w:rsidP="00B35992">
      <w:r w:rsidRPr="007D6D77">
        <w:t xml:space="preserve">Analysis of the </w:t>
      </w:r>
      <w:r w:rsidR="006A3F24" w:rsidRPr="007D6D77">
        <w:t>focus group data will be qualitative in nature</w:t>
      </w:r>
      <w:r w:rsidRPr="007D6D77">
        <w:t xml:space="preserve">. </w:t>
      </w:r>
      <w:r w:rsidR="006A3F24" w:rsidRPr="007D6D77">
        <w:t xml:space="preserve">Transcripts </w:t>
      </w:r>
      <w:r w:rsidR="00AD07E4" w:rsidRPr="007D6D77">
        <w:t xml:space="preserve">from the </w:t>
      </w:r>
      <w:r w:rsidR="006A3F24" w:rsidRPr="007D6D77">
        <w:t>focus group discussion</w:t>
      </w:r>
      <w:r w:rsidR="0042309A" w:rsidRPr="007D6D77">
        <w:t>s</w:t>
      </w:r>
      <w:r w:rsidRPr="007D6D77">
        <w:t xml:space="preserve"> will </w:t>
      </w:r>
      <w:r w:rsidR="00AD07E4" w:rsidRPr="007D6D77">
        <w:t xml:space="preserve">be coded using NVivo, a qualitative analysis software program that facilitates tagging </w:t>
      </w:r>
      <w:r w:rsidR="00AD07E4" w:rsidRPr="007D6D77">
        <w:lastRenderedPageBreak/>
        <w:t>and retrieval of data associated with selected themes, and content analyzed</w:t>
      </w:r>
      <w:r w:rsidR="00373F2E" w:rsidRPr="007D6D77">
        <w:t xml:space="preserve">. </w:t>
      </w:r>
      <w:r w:rsidRPr="007D6D77">
        <w:t xml:space="preserve">The </w:t>
      </w:r>
      <w:r w:rsidR="006A3F24" w:rsidRPr="007D6D77">
        <w:t>focus group</w:t>
      </w:r>
      <w:r w:rsidRPr="007D6D77">
        <w:t xml:space="preserve"> data will allow us to </w:t>
      </w:r>
      <w:r w:rsidR="006A3F24" w:rsidRPr="007D6D77">
        <w:t xml:space="preserve">address the implementation evaluation questions. </w:t>
      </w:r>
    </w:p>
    <w:p w:rsidR="006A3F24" w:rsidRPr="007D6D77" w:rsidRDefault="006A3F24" w:rsidP="00B35992"/>
    <w:p w:rsidR="00B35992" w:rsidRPr="007D6D77" w:rsidRDefault="00B35992" w:rsidP="00145291">
      <w:pPr>
        <w:pStyle w:val="Heading3"/>
      </w:pPr>
      <w:bookmarkStart w:id="86" w:name="_Toc8118894"/>
      <w:bookmarkStart w:id="87" w:name="_Toc81803524"/>
      <w:bookmarkStart w:id="88" w:name="_Toc88301194"/>
      <w:bookmarkStart w:id="89" w:name="_Toc213748188"/>
      <w:bookmarkStart w:id="90" w:name="_Toc341972169"/>
      <w:r w:rsidRPr="007D6D77">
        <w:t>A.17</w:t>
      </w:r>
      <w:r w:rsidRPr="007D6D77">
        <w:tab/>
      </w:r>
      <w:bookmarkEnd w:id="86"/>
      <w:bookmarkEnd w:id="87"/>
      <w:bookmarkEnd w:id="88"/>
      <w:bookmarkEnd w:id="89"/>
      <w:r w:rsidR="00BD72C6" w:rsidRPr="007D6D77">
        <w:t>IF SEEKING APPROVAL TO NOT DISPLAY THE EXPIRATION DATE FOR OMB APPROVAL OF THE INFORMATION COLLECTION, EXPLAIN THE REASONS THAT DISPLAY WOULD BE INAPPROPRIATE.</w:t>
      </w:r>
      <w:bookmarkEnd w:id="90"/>
      <w:r w:rsidR="00BD72C6" w:rsidRPr="007D6D77">
        <w:t xml:space="preserve">  </w:t>
      </w:r>
    </w:p>
    <w:p w:rsidR="00A76DAD" w:rsidRDefault="00A76DAD" w:rsidP="00BD72C6"/>
    <w:p w:rsidR="00CA0B2A" w:rsidRPr="007D6D77" w:rsidRDefault="00BD72C6" w:rsidP="00BD72C6">
      <w:r w:rsidRPr="007D6D77">
        <w:t>The agency plans to display the expiration date for OMB approval of the information collection on all instruments.</w:t>
      </w:r>
    </w:p>
    <w:p w:rsidR="00B35992" w:rsidRPr="007D6D77" w:rsidRDefault="00B35992" w:rsidP="00145291">
      <w:pPr>
        <w:pStyle w:val="Heading3"/>
      </w:pPr>
      <w:bookmarkStart w:id="91" w:name="_Toc8118895"/>
      <w:bookmarkStart w:id="92" w:name="_Toc81803525"/>
      <w:bookmarkStart w:id="93" w:name="_Toc88301195"/>
      <w:bookmarkStart w:id="94" w:name="_Toc213748189"/>
      <w:bookmarkStart w:id="95" w:name="_Toc341972170"/>
      <w:r w:rsidRPr="007D6D77">
        <w:t>A.18</w:t>
      </w:r>
      <w:r w:rsidRPr="007D6D77">
        <w:tab/>
      </w:r>
      <w:bookmarkEnd w:id="91"/>
      <w:bookmarkEnd w:id="92"/>
      <w:bookmarkEnd w:id="93"/>
      <w:bookmarkEnd w:id="94"/>
      <w:r w:rsidR="00BD72C6" w:rsidRPr="007D6D77">
        <w:t>EXPLAIN EACH EXCEPTION TO THE CERTIFICATION STATEMENT IDENTIFIED IN ITEM 19, "CERTIFICATION FOR PAPERWORK REDUCTION ACT SUBMISSIONS," OF OMB FORM 83-1.</w:t>
      </w:r>
      <w:bookmarkEnd w:id="95"/>
    </w:p>
    <w:p w:rsidR="00BD72C6" w:rsidRPr="007D6D77" w:rsidRDefault="00BD72C6" w:rsidP="00B35992"/>
    <w:p w:rsidR="00BD72C6" w:rsidRPr="007D6D77" w:rsidRDefault="00BD72C6" w:rsidP="00BD72C6">
      <w:r w:rsidRPr="007D6D77">
        <w:t>The agency is able to certify compliance with all provisions under Item 19 of OMB Form 83-I.</w:t>
      </w:r>
    </w:p>
    <w:p w:rsidR="00C00837" w:rsidRPr="007D6D77" w:rsidRDefault="00C66D3A" w:rsidP="00145291">
      <w:pPr>
        <w:pStyle w:val="Heading3"/>
      </w:pPr>
      <w:r w:rsidRPr="007D6D77">
        <w:br w:type="page"/>
      </w:r>
      <w:bookmarkStart w:id="96" w:name="_Toc341972171"/>
      <w:r w:rsidRPr="007D6D77">
        <w:lastRenderedPageBreak/>
        <w:t>References</w:t>
      </w:r>
      <w:bookmarkEnd w:id="96"/>
    </w:p>
    <w:p w:rsidR="00145291" w:rsidRPr="007D6D77" w:rsidRDefault="00145291" w:rsidP="00145291"/>
    <w:p w:rsidR="001F4FDB" w:rsidRPr="007D6D77" w:rsidRDefault="001F4FDB" w:rsidP="00C86B53">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Assessing Women and Men in Engineering. </w:t>
      </w:r>
      <w:r w:rsidR="008746B9" w:rsidRPr="007D6D77">
        <w:rPr>
          <w:szCs w:val="22"/>
        </w:rPr>
        <w:t>(</w:t>
      </w:r>
      <w:r w:rsidRPr="007D6D77">
        <w:rPr>
          <w:szCs w:val="22"/>
        </w:rPr>
        <w:t>Undated</w:t>
      </w:r>
      <w:r w:rsidR="008746B9" w:rsidRPr="007D6D77">
        <w:rPr>
          <w:szCs w:val="22"/>
        </w:rPr>
        <w:t>)</w:t>
      </w:r>
      <w:r w:rsidRPr="007D6D77">
        <w:rPr>
          <w:szCs w:val="22"/>
        </w:rPr>
        <w:t xml:space="preserve">. </w:t>
      </w:r>
      <w:r w:rsidRPr="007D6D77">
        <w:rPr>
          <w:i/>
          <w:szCs w:val="22"/>
        </w:rPr>
        <w:t xml:space="preserve">STEM assessment tools. </w:t>
      </w:r>
      <w:r w:rsidRPr="007D6D77">
        <w:rPr>
          <w:szCs w:val="22"/>
        </w:rPr>
        <w:t>Retrieved October 20, 2012, from: http://www.engr.psu.edu/awe/.</w:t>
      </w:r>
    </w:p>
    <w:p w:rsidR="001F4FDB" w:rsidRPr="007D6D77" w:rsidRDefault="001F4FDB" w:rsidP="00C86B53">
      <w:pPr>
        <w:tabs>
          <w:tab w:val="clear" w:pos="720"/>
          <w:tab w:val="clear" w:pos="1080"/>
          <w:tab w:val="clear" w:pos="1440"/>
          <w:tab w:val="clear" w:pos="1800"/>
        </w:tabs>
        <w:autoSpaceDE w:val="0"/>
        <w:autoSpaceDN w:val="0"/>
        <w:adjustRightInd w:val="0"/>
        <w:spacing w:line="240" w:lineRule="auto"/>
        <w:rPr>
          <w:szCs w:val="22"/>
        </w:rPr>
      </w:pPr>
    </w:p>
    <w:p w:rsidR="005B0F37" w:rsidRPr="007D6D77" w:rsidRDefault="005B0F37" w:rsidP="00C86B53">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Berry, </w:t>
      </w:r>
      <w:r w:rsidR="00C86B53" w:rsidRPr="007D6D77">
        <w:rPr>
          <w:szCs w:val="22"/>
        </w:rPr>
        <w:t xml:space="preserve">S., Pevar, J., &amp; Zander-Cotugno, M. </w:t>
      </w:r>
      <w:r w:rsidRPr="007D6D77">
        <w:rPr>
          <w:szCs w:val="22"/>
        </w:rPr>
        <w:t xml:space="preserve">(2008). </w:t>
      </w:r>
      <w:r w:rsidR="00C86B53" w:rsidRPr="007D6D77">
        <w:rPr>
          <w:i/>
          <w:szCs w:val="22"/>
        </w:rPr>
        <w:t>Use of i</w:t>
      </w:r>
      <w:r w:rsidRPr="007D6D77">
        <w:rPr>
          <w:i/>
          <w:szCs w:val="22"/>
        </w:rPr>
        <w:t>ncentives in</w:t>
      </w:r>
      <w:r w:rsidR="00C86B53" w:rsidRPr="007D6D77">
        <w:rPr>
          <w:i/>
          <w:szCs w:val="22"/>
        </w:rPr>
        <w:t xml:space="preserve"> s</w:t>
      </w:r>
      <w:r w:rsidRPr="007D6D77">
        <w:rPr>
          <w:i/>
          <w:szCs w:val="22"/>
        </w:rPr>
        <w:t xml:space="preserve">urveys </w:t>
      </w:r>
      <w:r w:rsidR="00C86B53" w:rsidRPr="007D6D77">
        <w:rPr>
          <w:i/>
          <w:szCs w:val="22"/>
        </w:rPr>
        <w:t>s</w:t>
      </w:r>
      <w:r w:rsidRPr="007D6D77">
        <w:rPr>
          <w:i/>
          <w:szCs w:val="22"/>
        </w:rPr>
        <w:t>upported by</w:t>
      </w:r>
      <w:r w:rsidR="00C86B53" w:rsidRPr="007D6D77">
        <w:rPr>
          <w:i/>
          <w:szCs w:val="22"/>
        </w:rPr>
        <w:t xml:space="preserve"> </w:t>
      </w:r>
      <w:r w:rsidRPr="007D6D77">
        <w:rPr>
          <w:i/>
          <w:szCs w:val="22"/>
        </w:rPr>
        <w:t xml:space="preserve">Federal </w:t>
      </w:r>
      <w:r w:rsidR="00C86B53" w:rsidRPr="007D6D77">
        <w:rPr>
          <w:i/>
          <w:szCs w:val="22"/>
        </w:rPr>
        <w:t>g</w:t>
      </w:r>
      <w:r w:rsidRPr="007D6D77">
        <w:rPr>
          <w:i/>
          <w:szCs w:val="22"/>
        </w:rPr>
        <w:t>rants</w:t>
      </w:r>
      <w:r w:rsidR="00C86B53" w:rsidRPr="007D6D77">
        <w:rPr>
          <w:i/>
          <w:szCs w:val="22"/>
        </w:rPr>
        <w:t xml:space="preserve">: </w:t>
      </w:r>
      <w:r w:rsidRPr="007D6D77">
        <w:rPr>
          <w:i/>
          <w:szCs w:val="22"/>
        </w:rPr>
        <w:t xml:space="preserve">Paper </w:t>
      </w:r>
      <w:r w:rsidR="00C86B53" w:rsidRPr="007D6D77">
        <w:rPr>
          <w:i/>
          <w:szCs w:val="22"/>
        </w:rPr>
        <w:t>p</w:t>
      </w:r>
      <w:r w:rsidRPr="007D6D77">
        <w:rPr>
          <w:i/>
          <w:szCs w:val="22"/>
        </w:rPr>
        <w:t>resented at Council of</w:t>
      </w:r>
      <w:r w:rsidR="00C86B53" w:rsidRPr="007D6D77">
        <w:rPr>
          <w:i/>
          <w:szCs w:val="22"/>
        </w:rPr>
        <w:t xml:space="preserve"> </w:t>
      </w:r>
      <w:r w:rsidRPr="007D6D77">
        <w:rPr>
          <w:i/>
          <w:szCs w:val="22"/>
        </w:rPr>
        <w:t>Professional Associations on</w:t>
      </w:r>
      <w:r w:rsidR="00C86B53" w:rsidRPr="007D6D77">
        <w:rPr>
          <w:i/>
          <w:szCs w:val="22"/>
        </w:rPr>
        <w:t xml:space="preserve"> </w:t>
      </w:r>
      <w:r w:rsidRPr="007D6D77">
        <w:rPr>
          <w:i/>
          <w:szCs w:val="22"/>
        </w:rPr>
        <w:t xml:space="preserve">Federal Statistics </w:t>
      </w:r>
      <w:r w:rsidR="00C86B53" w:rsidRPr="007D6D77">
        <w:rPr>
          <w:i/>
          <w:szCs w:val="22"/>
        </w:rPr>
        <w:t>s</w:t>
      </w:r>
      <w:r w:rsidRPr="007D6D77">
        <w:rPr>
          <w:i/>
          <w:szCs w:val="22"/>
        </w:rPr>
        <w:t xml:space="preserve">eminar </w:t>
      </w:r>
      <w:r w:rsidR="00C86B53" w:rsidRPr="007D6D77">
        <w:rPr>
          <w:i/>
          <w:szCs w:val="22"/>
        </w:rPr>
        <w:t>t</w:t>
      </w:r>
      <w:r w:rsidRPr="007D6D77">
        <w:rPr>
          <w:i/>
          <w:szCs w:val="22"/>
        </w:rPr>
        <w:t>itled</w:t>
      </w:r>
      <w:r w:rsidR="00C86B53" w:rsidRPr="007D6D77">
        <w:rPr>
          <w:i/>
          <w:szCs w:val="22"/>
        </w:rPr>
        <w:t xml:space="preserve"> </w:t>
      </w:r>
      <w:r w:rsidRPr="007D6D77">
        <w:rPr>
          <w:i/>
          <w:szCs w:val="22"/>
        </w:rPr>
        <w:t>“Survey Respondent Incentives:</w:t>
      </w:r>
      <w:r w:rsidR="00C86B53" w:rsidRPr="007D6D77">
        <w:rPr>
          <w:i/>
          <w:szCs w:val="22"/>
        </w:rPr>
        <w:t xml:space="preserve"> </w:t>
      </w:r>
      <w:r w:rsidRPr="007D6D77">
        <w:rPr>
          <w:i/>
          <w:szCs w:val="22"/>
        </w:rPr>
        <w:t>Research and Practice</w:t>
      </w:r>
      <w:r w:rsidR="00C86B53" w:rsidRPr="007D6D77">
        <w:rPr>
          <w:i/>
          <w:szCs w:val="22"/>
        </w:rPr>
        <w:t>.</w:t>
      </w:r>
      <w:r w:rsidRPr="007D6D77">
        <w:rPr>
          <w:i/>
          <w:szCs w:val="22"/>
        </w:rPr>
        <w:t>”</w:t>
      </w:r>
      <w:r w:rsidR="00C86B53" w:rsidRPr="007D6D77">
        <w:rPr>
          <w:szCs w:val="22"/>
        </w:rPr>
        <w:t xml:space="preserve"> </w:t>
      </w:r>
      <w:r w:rsidRPr="007D6D77">
        <w:rPr>
          <w:szCs w:val="22"/>
        </w:rPr>
        <w:t>March 10, 2008</w:t>
      </w:r>
      <w:r w:rsidR="00C86B53" w:rsidRPr="007D6D77">
        <w:rPr>
          <w:szCs w:val="22"/>
        </w:rPr>
        <w:t xml:space="preserve">. Retrieved October 22, 2012, from: </w:t>
      </w:r>
      <w:hyperlink r:id="rId12" w:history="1">
        <w:r w:rsidR="00C86B53" w:rsidRPr="007D6D77">
          <w:rPr>
            <w:rStyle w:val="Hyperlink"/>
            <w:szCs w:val="22"/>
          </w:rPr>
          <w:t>http://www.rand.org/content/dam/rand/pubs/working_papers/2008/RAND_WR590.pdf</w:t>
        </w:r>
      </w:hyperlink>
      <w:r w:rsidR="00C86B53" w:rsidRPr="007D6D77">
        <w:rPr>
          <w:szCs w:val="22"/>
        </w:rPr>
        <w:t xml:space="preserve">. </w:t>
      </w:r>
    </w:p>
    <w:p w:rsidR="00331129" w:rsidRPr="007D6D77" w:rsidRDefault="00C86B53" w:rsidP="00951022">
      <w:pPr>
        <w:pStyle w:val="NormalWeb"/>
        <w:rPr>
          <w:sz w:val="22"/>
          <w:szCs w:val="22"/>
        </w:rPr>
      </w:pPr>
      <w:r w:rsidRPr="007D6D77">
        <w:rPr>
          <w:sz w:val="22"/>
          <w:szCs w:val="22"/>
        </w:rPr>
        <w:t xml:space="preserve">Church, A. </w:t>
      </w:r>
      <w:r w:rsidR="008746B9" w:rsidRPr="007D6D77">
        <w:rPr>
          <w:sz w:val="22"/>
          <w:szCs w:val="22"/>
        </w:rPr>
        <w:t>(</w:t>
      </w:r>
      <w:r w:rsidRPr="007D6D77">
        <w:rPr>
          <w:sz w:val="22"/>
          <w:szCs w:val="22"/>
        </w:rPr>
        <w:t>1993</w:t>
      </w:r>
      <w:r w:rsidR="008746B9" w:rsidRPr="007D6D77">
        <w:rPr>
          <w:sz w:val="22"/>
          <w:szCs w:val="22"/>
        </w:rPr>
        <w:t>)</w:t>
      </w:r>
      <w:r w:rsidRPr="007D6D77">
        <w:rPr>
          <w:sz w:val="22"/>
          <w:szCs w:val="22"/>
        </w:rPr>
        <w:t xml:space="preserve">. </w:t>
      </w:r>
      <w:r w:rsidR="00331129" w:rsidRPr="007D6D77">
        <w:rPr>
          <w:sz w:val="22"/>
          <w:szCs w:val="22"/>
        </w:rPr>
        <w:t>Incentives in</w:t>
      </w:r>
      <w:r w:rsidRPr="007D6D77">
        <w:rPr>
          <w:sz w:val="22"/>
          <w:szCs w:val="22"/>
        </w:rPr>
        <w:t xml:space="preserve"> Mail Surveys: A Meta-Analysis.</w:t>
      </w:r>
      <w:r w:rsidR="00331129" w:rsidRPr="007D6D77">
        <w:rPr>
          <w:sz w:val="22"/>
          <w:szCs w:val="22"/>
        </w:rPr>
        <w:t xml:space="preserve"> </w:t>
      </w:r>
      <w:r w:rsidR="00331129" w:rsidRPr="007D6D77">
        <w:rPr>
          <w:i/>
          <w:sz w:val="22"/>
          <w:szCs w:val="22"/>
        </w:rPr>
        <w:t>Public Opinion Quarterly 57</w:t>
      </w:r>
      <w:r w:rsidR="00331129" w:rsidRPr="007D6D77">
        <w:rPr>
          <w:sz w:val="22"/>
          <w:szCs w:val="22"/>
        </w:rPr>
        <w:t>(1):62-79.</w:t>
      </w:r>
    </w:p>
    <w:p w:rsidR="00BE71C8" w:rsidRPr="007D6D77" w:rsidRDefault="00BE71C8" w:rsidP="00BE71C8">
      <w:pPr>
        <w:tabs>
          <w:tab w:val="left" w:pos="5685"/>
        </w:tabs>
        <w:rPr>
          <w:szCs w:val="22"/>
        </w:rPr>
      </w:pPr>
      <w:r w:rsidRPr="007D6D77">
        <w:rPr>
          <w:szCs w:val="22"/>
        </w:rPr>
        <w:t xml:space="preserve">Conrad, F.G., Couper, M.P., Tourangeau, R., and Peytchev, A. </w:t>
      </w:r>
      <w:r w:rsidR="008746B9" w:rsidRPr="007D6D77">
        <w:rPr>
          <w:szCs w:val="22"/>
        </w:rPr>
        <w:t>(</w:t>
      </w:r>
      <w:r w:rsidRPr="007D6D77">
        <w:rPr>
          <w:szCs w:val="22"/>
        </w:rPr>
        <w:t>2006</w:t>
      </w:r>
      <w:r w:rsidR="008746B9" w:rsidRPr="007D6D77">
        <w:rPr>
          <w:szCs w:val="22"/>
        </w:rPr>
        <w:t>)</w:t>
      </w:r>
      <w:r w:rsidRPr="007D6D77">
        <w:rPr>
          <w:szCs w:val="22"/>
        </w:rPr>
        <w:t xml:space="preserve">. Use and non-use of clarification features in web surveys. </w:t>
      </w:r>
      <w:r w:rsidRPr="007D6D77">
        <w:rPr>
          <w:i/>
          <w:szCs w:val="22"/>
        </w:rPr>
        <w:t>Journal of Official Statistics</w:t>
      </w:r>
      <w:r w:rsidRPr="007D6D77">
        <w:rPr>
          <w:szCs w:val="22"/>
        </w:rPr>
        <w:t xml:space="preserve"> </w:t>
      </w:r>
      <w:r w:rsidRPr="007D6D77">
        <w:rPr>
          <w:i/>
          <w:szCs w:val="22"/>
        </w:rPr>
        <w:t>22</w:t>
      </w:r>
      <w:r w:rsidRPr="007D6D77">
        <w:rPr>
          <w:szCs w:val="22"/>
        </w:rPr>
        <w:t>, 245-269.</w:t>
      </w:r>
    </w:p>
    <w:p w:rsidR="00BE71C8" w:rsidRPr="007D6D77" w:rsidRDefault="00BE71C8" w:rsidP="00BE71C8">
      <w:pPr>
        <w:tabs>
          <w:tab w:val="left" w:pos="5685"/>
        </w:tabs>
        <w:rPr>
          <w:szCs w:val="22"/>
        </w:rPr>
      </w:pPr>
    </w:p>
    <w:p w:rsidR="00BE71C8" w:rsidRPr="007D6D77" w:rsidRDefault="00BE71C8" w:rsidP="00BE71C8">
      <w:pPr>
        <w:tabs>
          <w:tab w:val="left" w:pos="5685"/>
        </w:tabs>
        <w:rPr>
          <w:szCs w:val="22"/>
        </w:rPr>
      </w:pPr>
      <w:r w:rsidRPr="007D6D77">
        <w:rPr>
          <w:szCs w:val="22"/>
        </w:rPr>
        <w:t xml:space="preserve">Couper, M. P. </w:t>
      </w:r>
      <w:r w:rsidR="008746B9" w:rsidRPr="007D6D77">
        <w:rPr>
          <w:szCs w:val="22"/>
        </w:rPr>
        <w:t>(</w:t>
      </w:r>
      <w:r w:rsidRPr="007D6D77">
        <w:rPr>
          <w:szCs w:val="22"/>
        </w:rPr>
        <w:t>2008</w:t>
      </w:r>
      <w:r w:rsidR="008746B9" w:rsidRPr="007D6D77">
        <w:rPr>
          <w:szCs w:val="22"/>
        </w:rPr>
        <w:t>)</w:t>
      </w:r>
      <w:r w:rsidRPr="007D6D77">
        <w:rPr>
          <w:szCs w:val="22"/>
        </w:rPr>
        <w:t xml:space="preserve">. </w:t>
      </w:r>
      <w:r w:rsidRPr="007D6D77">
        <w:rPr>
          <w:i/>
          <w:szCs w:val="22"/>
        </w:rPr>
        <w:t>Designing Effective Web Surveys</w:t>
      </w:r>
      <w:r w:rsidRPr="007D6D77">
        <w:rPr>
          <w:szCs w:val="22"/>
        </w:rPr>
        <w:t>. Cambridge, England: Cambridge University Press.</w:t>
      </w:r>
      <w:r w:rsidRPr="007D6D77">
        <w:rPr>
          <w:szCs w:val="22"/>
        </w:rPr>
        <w:tab/>
      </w:r>
    </w:p>
    <w:p w:rsidR="00BE71C8" w:rsidRPr="007D6D77" w:rsidRDefault="00BE71C8" w:rsidP="00C66D3A">
      <w:pPr>
        <w:rPr>
          <w:bCs/>
          <w:szCs w:val="22"/>
        </w:rPr>
      </w:pPr>
    </w:p>
    <w:p w:rsidR="00BE6B81" w:rsidRPr="007D6D77" w:rsidRDefault="00BE6B81" w:rsidP="00BE6B81">
      <w:pPr>
        <w:tabs>
          <w:tab w:val="clear" w:pos="720"/>
          <w:tab w:val="clear" w:pos="1080"/>
          <w:tab w:val="clear" w:pos="1440"/>
          <w:tab w:val="clear" w:pos="1800"/>
        </w:tabs>
        <w:autoSpaceDE w:val="0"/>
        <w:autoSpaceDN w:val="0"/>
        <w:adjustRightInd w:val="0"/>
        <w:spacing w:line="240" w:lineRule="auto"/>
        <w:rPr>
          <w:i/>
          <w:iCs/>
          <w:szCs w:val="22"/>
        </w:rPr>
      </w:pPr>
      <w:r w:rsidRPr="007D6D77">
        <w:rPr>
          <w:bCs/>
          <w:szCs w:val="22"/>
        </w:rPr>
        <w:t xml:space="preserve">Dillman, D. A., </w:t>
      </w:r>
      <w:r w:rsidRPr="007D6D77">
        <w:rPr>
          <w:szCs w:val="22"/>
        </w:rPr>
        <w:t xml:space="preserve">Smyth, J.D.; and Christian, L.M. (2009). </w:t>
      </w:r>
      <w:r w:rsidRPr="007D6D77">
        <w:rPr>
          <w:i/>
          <w:iCs/>
          <w:szCs w:val="22"/>
        </w:rPr>
        <w:t>Internet, mail, and mixed-mode surveys: The</w:t>
      </w:r>
    </w:p>
    <w:p w:rsidR="00BE6B81" w:rsidRPr="007D6D77" w:rsidRDefault="00BE6B81" w:rsidP="00BE6B81">
      <w:pPr>
        <w:rPr>
          <w:szCs w:val="22"/>
        </w:rPr>
      </w:pPr>
      <w:r w:rsidRPr="007D6D77">
        <w:rPr>
          <w:i/>
          <w:iCs/>
          <w:szCs w:val="22"/>
        </w:rPr>
        <w:t>tailored design method</w:t>
      </w:r>
      <w:r w:rsidRPr="007D6D77">
        <w:rPr>
          <w:szCs w:val="22"/>
        </w:rPr>
        <w:t>, 3rd Edition, Hoboken, NJ: John Wiley &amp; Sons.</w:t>
      </w:r>
    </w:p>
    <w:p w:rsidR="00BE6B81" w:rsidRPr="007D6D77" w:rsidRDefault="00BE6B81" w:rsidP="00BE6B81">
      <w:pPr>
        <w:rPr>
          <w:bCs/>
          <w:szCs w:val="22"/>
        </w:rPr>
      </w:pPr>
    </w:p>
    <w:p w:rsidR="00D902FD" w:rsidRPr="007D6D77" w:rsidRDefault="00D902FD" w:rsidP="00C66D3A">
      <w:pPr>
        <w:rPr>
          <w:bCs/>
          <w:szCs w:val="22"/>
        </w:rPr>
      </w:pPr>
      <w:r w:rsidRPr="007D6D77">
        <w:rPr>
          <w:bCs/>
          <w:szCs w:val="22"/>
        </w:rPr>
        <w:t xml:space="preserve">Dillman, D. A. (undated), </w:t>
      </w:r>
      <w:r w:rsidRPr="007D6D77">
        <w:rPr>
          <w:bCs/>
          <w:i/>
          <w:szCs w:val="22"/>
        </w:rPr>
        <w:t>Token financial incentives and the reduction on nonresponse error in mail surveys</w:t>
      </w:r>
      <w:r w:rsidRPr="007D6D77">
        <w:rPr>
          <w:bCs/>
          <w:szCs w:val="22"/>
        </w:rPr>
        <w:t xml:space="preserve">. Retrieved October 22, 2012, from: </w:t>
      </w:r>
      <w:hyperlink r:id="rId13" w:history="1">
        <w:r w:rsidRPr="007D6D77">
          <w:rPr>
            <w:rStyle w:val="Hyperlink"/>
            <w:bCs/>
            <w:szCs w:val="22"/>
          </w:rPr>
          <w:t>http://sesrc.wsu.edu/pap_tok.htm</w:t>
        </w:r>
      </w:hyperlink>
      <w:r w:rsidRPr="007D6D77">
        <w:rPr>
          <w:bCs/>
          <w:szCs w:val="22"/>
        </w:rPr>
        <w:t>.</w:t>
      </w:r>
    </w:p>
    <w:p w:rsidR="00D902FD" w:rsidRPr="007D6D77" w:rsidRDefault="00D902FD" w:rsidP="00C66D3A">
      <w:pPr>
        <w:rPr>
          <w:bCs/>
          <w:szCs w:val="22"/>
        </w:rPr>
      </w:pPr>
    </w:p>
    <w:p w:rsidR="00BE71C8" w:rsidRPr="007D6D77" w:rsidRDefault="00BE71C8" w:rsidP="00BE71C8">
      <w:pPr>
        <w:rPr>
          <w:szCs w:val="22"/>
        </w:rPr>
      </w:pPr>
      <w:r w:rsidRPr="007D6D77">
        <w:rPr>
          <w:szCs w:val="22"/>
        </w:rPr>
        <w:t xml:space="preserve">Galesic, M., Tourangeau, R., Couper, M.P., and Conrad, F. </w:t>
      </w:r>
      <w:r w:rsidR="00796A46" w:rsidRPr="007D6D77">
        <w:rPr>
          <w:szCs w:val="22"/>
        </w:rPr>
        <w:t>(</w:t>
      </w:r>
      <w:r w:rsidRPr="007D6D77">
        <w:rPr>
          <w:szCs w:val="22"/>
        </w:rPr>
        <w:t>2008</w:t>
      </w:r>
      <w:r w:rsidR="00796A46" w:rsidRPr="007D6D77">
        <w:rPr>
          <w:szCs w:val="22"/>
        </w:rPr>
        <w:t>)</w:t>
      </w:r>
      <w:r w:rsidRPr="007D6D77">
        <w:rPr>
          <w:szCs w:val="22"/>
        </w:rPr>
        <w:t xml:space="preserve">. Eye-tracking data: New insights on response order effects and other cognitive shortcuts in survey responding. </w:t>
      </w:r>
      <w:r w:rsidRPr="007D6D77">
        <w:rPr>
          <w:i/>
          <w:szCs w:val="22"/>
        </w:rPr>
        <w:t>Public Opinion Quarterly</w:t>
      </w:r>
      <w:r w:rsidRPr="007D6D77">
        <w:rPr>
          <w:szCs w:val="22"/>
        </w:rPr>
        <w:t xml:space="preserve"> 72, 892-913.</w:t>
      </w:r>
    </w:p>
    <w:p w:rsidR="00BE71C8" w:rsidRPr="007D6D77" w:rsidRDefault="00BE71C8" w:rsidP="00BE71C8">
      <w:pPr>
        <w:rPr>
          <w:szCs w:val="22"/>
        </w:rPr>
      </w:pPr>
    </w:p>
    <w:p w:rsidR="00BE71C8" w:rsidRPr="007D6D77" w:rsidRDefault="00BE71C8" w:rsidP="00BE71C8">
      <w:pPr>
        <w:rPr>
          <w:rFonts w:eastAsia="Arial Unicode MS"/>
          <w:szCs w:val="22"/>
        </w:rPr>
      </w:pPr>
      <w:r w:rsidRPr="007D6D77">
        <w:rPr>
          <w:szCs w:val="22"/>
        </w:rPr>
        <w:t xml:space="preserve">Heerwegh, D. and Loosveldt, G. </w:t>
      </w:r>
      <w:r w:rsidR="00796A46" w:rsidRPr="007D6D77">
        <w:rPr>
          <w:szCs w:val="22"/>
        </w:rPr>
        <w:t>(</w:t>
      </w:r>
      <w:r w:rsidRPr="007D6D77">
        <w:rPr>
          <w:szCs w:val="22"/>
        </w:rPr>
        <w:t>2003</w:t>
      </w:r>
      <w:r w:rsidR="00796A46" w:rsidRPr="007D6D77">
        <w:rPr>
          <w:szCs w:val="22"/>
        </w:rPr>
        <w:t>)</w:t>
      </w:r>
      <w:r w:rsidRPr="007D6D77">
        <w:rPr>
          <w:szCs w:val="22"/>
        </w:rPr>
        <w:t xml:space="preserve">. An evaluation of the semiautomatic login procedure to control web survey access.  </w:t>
      </w:r>
      <w:r w:rsidRPr="007D6D77">
        <w:rPr>
          <w:i/>
          <w:szCs w:val="22"/>
        </w:rPr>
        <w:t>Social Science Computer Review</w:t>
      </w:r>
      <w:r w:rsidRPr="007D6D77">
        <w:rPr>
          <w:szCs w:val="22"/>
        </w:rPr>
        <w:t xml:space="preserve"> 21, 223-234.</w:t>
      </w:r>
    </w:p>
    <w:p w:rsidR="00BE71C8" w:rsidRPr="007D6D77" w:rsidRDefault="00BE71C8" w:rsidP="00BE71C8">
      <w:pPr>
        <w:rPr>
          <w:szCs w:val="22"/>
        </w:rPr>
      </w:pPr>
    </w:p>
    <w:p w:rsidR="00796A46" w:rsidRPr="007D6D77" w:rsidRDefault="00796A46" w:rsidP="003371C9">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Hunt-White, T. (2007). The influence of selected factors on student survey participation and mode of completion. Retrieved December 19, 2012, from: </w:t>
      </w:r>
      <w:hyperlink r:id="rId14" w:history="1">
        <w:r w:rsidRPr="007D6D77">
          <w:rPr>
            <w:rStyle w:val="Hyperlink"/>
            <w:szCs w:val="22"/>
          </w:rPr>
          <w:t>http://www.fcsm.gov/07papers/Hunt-White.III-C.pdf</w:t>
        </w:r>
      </w:hyperlink>
      <w:r w:rsidRPr="007D6D77">
        <w:rPr>
          <w:szCs w:val="22"/>
        </w:rPr>
        <w:t>.</w:t>
      </w:r>
    </w:p>
    <w:p w:rsidR="00796A46" w:rsidRPr="007D6D77" w:rsidRDefault="00796A46" w:rsidP="003371C9">
      <w:pPr>
        <w:tabs>
          <w:tab w:val="clear" w:pos="720"/>
          <w:tab w:val="clear" w:pos="1080"/>
          <w:tab w:val="clear" w:pos="1440"/>
          <w:tab w:val="clear" w:pos="1800"/>
        </w:tabs>
        <w:autoSpaceDE w:val="0"/>
        <w:autoSpaceDN w:val="0"/>
        <w:adjustRightInd w:val="0"/>
        <w:spacing w:line="240" w:lineRule="auto"/>
        <w:rPr>
          <w:szCs w:val="22"/>
        </w:rPr>
      </w:pPr>
    </w:p>
    <w:p w:rsidR="003371C9" w:rsidRPr="007D6D77" w:rsidRDefault="003371C9" w:rsidP="003371C9">
      <w:pPr>
        <w:tabs>
          <w:tab w:val="clear" w:pos="720"/>
          <w:tab w:val="clear" w:pos="1080"/>
          <w:tab w:val="clear" w:pos="1440"/>
          <w:tab w:val="clear" w:pos="1800"/>
        </w:tabs>
        <w:autoSpaceDE w:val="0"/>
        <w:autoSpaceDN w:val="0"/>
        <w:adjustRightInd w:val="0"/>
        <w:spacing w:line="240" w:lineRule="auto"/>
        <w:rPr>
          <w:szCs w:val="22"/>
        </w:rPr>
      </w:pPr>
      <w:r w:rsidRPr="007D6D77">
        <w:rPr>
          <w:szCs w:val="22"/>
        </w:rPr>
        <w:t>James, J.M., and Bolstein, R. (1992). Large monetary incentives and their effect on mail survey response</w:t>
      </w:r>
    </w:p>
    <w:p w:rsidR="003371C9" w:rsidRPr="007D6D77" w:rsidRDefault="003371C9" w:rsidP="003371C9">
      <w:pPr>
        <w:rPr>
          <w:szCs w:val="22"/>
        </w:rPr>
      </w:pPr>
      <w:r w:rsidRPr="007D6D77">
        <w:rPr>
          <w:szCs w:val="22"/>
        </w:rPr>
        <w:t xml:space="preserve">rates. </w:t>
      </w:r>
      <w:r w:rsidRPr="007D6D77">
        <w:rPr>
          <w:i/>
          <w:iCs/>
          <w:szCs w:val="22"/>
        </w:rPr>
        <w:t xml:space="preserve">Public Opinion Quarterly, </w:t>
      </w:r>
      <w:r w:rsidRPr="007D6D77">
        <w:rPr>
          <w:szCs w:val="22"/>
        </w:rPr>
        <w:t>56, 442-453.</w:t>
      </w:r>
    </w:p>
    <w:p w:rsidR="003371C9" w:rsidRPr="007D6D77" w:rsidRDefault="003371C9" w:rsidP="003371C9">
      <w:pPr>
        <w:rPr>
          <w:szCs w:val="22"/>
        </w:rPr>
      </w:pPr>
    </w:p>
    <w:p w:rsidR="00875952" w:rsidRPr="007D6D77" w:rsidRDefault="00875952" w:rsidP="00875952">
      <w:pPr>
        <w:tabs>
          <w:tab w:val="clear" w:pos="720"/>
          <w:tab w:val="clear" w:pos="1080"/>
          <w:tab w:val="clear" w:pos="1440"/>
          <w:tab w:val="clear" w:pos="1800"/>
        </w:tabs>
        <w:autoSpaceDE w:val="0"/>
        <w:autoSpaceDN w:val="0"/>
        <w:adjustRightInd w:val="0"/>
        <w:spacing w:line="240" w:lineRule="auto"/>
        <w:rPr>
          <w:iCs/>
          <w:szCs w:val="22"/>
        </w:rPr>
      </w:pPr>
      <w:r w:rsidRPr="007D6D77">
        <w:rPr>
          <w:szCs w:val="22"/>
        </w:rPr>
        <w:t xml:space="preserve">Kerachsky, S. J., &amp; Mallar, C.D. (1981). The effects of monetary payments on survey responses: Experimental evidence from a longitudinal study of economically disadvantaged youth. </w:t>
      </w:r>
      <w:r w:rsidRPr="007D6D77">
        <w:rPr>
          <w:i/>
          <w:iCs/>
          <w:szCs w:val="22"/>
        </w:rPr>
        <w:t xml:space="preserve">Proceedings of the Section on Survey Research Methods, </w:t>
      </w:r>
      <w:r w:rsidRPr="007D6D77">
        <w:rPr>
          <w:iCs/>
          <w:szCs w:val="22"/>
        </w:rPr>
        <w:t>pp. 258-263. Alexandria, VA: American Statistical Association.</w:t>
      </w:r>
    </w:p>
    <w:p w:rsidR="00875952" w:rsidRPr="007D6D77" w:rsidRDefault="00875952" w:rsidP="00875952">
      <w:pPr>
        <w:tabs>
          <w:tab w:val="clear" w:pos="720"/>
          <w:tab w:val="clear" w:pos="1080"/>
          <w:tab w:val="clear" w:pos="1440"/>
          <w:tab w:val="clear" w:pos="1800"/>
        </w:tabs>
        <w:autoSpaceDE w:val="0"/>
        <w:autoSpaceDN w:val="0"/>
        <w:adjustRightInd w:val="0"/>
        <w:spacing w:line="240" w:lineRule="auto"/>
        <w:rPr>
          <w:sz w:val="24"/>
          <w:szCs w:val="24"/>
        </w:rPr>
      </w:pPr>
    </w:p>
    <w:p w:rsidR="007B1617" w:rsidRPr="007D6D77" w:rsidRDefault="007B1617" w:rsidP="00875952">
      <w:pPr>
        <w:rPr>
          <w:bCs/>
          <w:szCs w:val="22"/>
        </w:rPr>
      </w:pPr>
      <w:r w:rsidRPr="007D6D77">
        <w:rPr>
          <w:szCs w:val="22"/>
        </w:rPr>
        <w:t xml:space="preserve">McGrath, J. (2006). </w:t>
      </w:r>
      <w:r w:rsidRPr="007D6D77">
        <w:rPr>
          <w:bCs/>
          <w:i/>
          <w:szCs w:val="22"/>
        </w:rPr>
        <w:t>An Incentives Experiment in the U.S. Consumer Expenditure Quarterly Survey</w:t>
      </w:r>
      <w:r w:rsidRPr="007D6D77">
        <w:rPr>
          <w:bCs/>
          <w:szCs w:val="22"/>
        </w:rPr>
        <w:t xml:space="preserve">. Retrieved December 19, 2012, from: </w:t>
      </w:r>
      <w:hyperlink r:id="rId15" w:history="1">
        <w:r w:rsidRPr="007D6D77">
          <w:rPr>
            <w:rStyle w:val="Hyperlink"/>
            <w:bCs/>
            <w:szCs w:val="22"/>
          </w:rPr>
          <w:t>http://www.bls.gov/ore/pdf/st060030.pdf</w:t>
        </w:r>
      </w:hyperlink>
      <w:r w:rsidRPr="007D6D77">
        <w:rPr>
          <w:bCs/>
          <w:szCs w:val="22"/>
        </w:rPr>
        <w:t xml:space="preserve">. </w:t>
      </w:r>
    </w:p>
    <w:p w:rsidR="007B1617" w:rsidRPr="007D6D77" w:rsidRDefault="007B1617" w:rsidP="00BE71C8">
      <w:pPr>
        <w:rPr>
          <w:szCs w:val="22"/>
        </w:rPr>
      </w:pPr>
    </w:p>
    <w:p w:rsidR="00C9512E" w:rsidRPr="007D6D77" w:rsidRDefault="00C9512E" w:rsidP="00BE71C8">
      <w:pPr>
        <w:rPr>
          <w:szCs w:val="22"/>
        </w:rPr>
      </w:pPr>
      <w:r w:rsidRPr="007D6D77">
        <w:rPr>
          <w:szCs w:val="22"/>
        </w:rPr>
        <w:t xml:space="preserve">National Center for Education Statistics. </w:t>
      </w:r>
      <w:r w:rsidR="008746B9" w:rsidRPr="007D6D77">
        <w:rPr>
          <w:szCs w:val="22"/>
        </w:rPr>
        <w:t>(</w:t>
      </w:r>
      <w:r w:rsidRPr="007D6D77">
        <w:rPr>
          <w:szCs w:val="22"/>
        </w:rPr>
        <w:t>Undated</w:t>
      </w:r>
      <w:r w:rsidR="008746B9" w:rsidRPr="007D6D77">
        <w:rPr>
          <w:szCs w:val="22"/>
        </w:rPr>
        <w:t>)</w:t>
      </w:r>
      <w:r w:rsidRPr="007D6D77">
        <w:rPr>
          <w:szCs w:val="22"/>
        </w:rPr>
        <w:t xml:space="preserve">. </w:t>
      </w:r>
      <w:r w:rsidRPr="007D6D77">
        <w:rPr>
          <w:i/>
          <w:szCs w:val="22"/>
        </w:rPr>
        <w:t xml:space="preserve">National Assessment of Educational Progress: More about NAEP science. </w:t>
      </w:r>
      <w:r w:rsidRPr="007D6D77">
        <w:rPr>
          <w:szCs w:val="22"/>
        </w:rPr>
        <w:t xml:space="preserve">Retrieved October 25, 2012, from:  </w:t>
      </w:r>
      <w:hyperlink r:id="rId16" w:history="1">
        <w:r w:rsidRPr="007D6D77">
          <w:rPr>
            <w:rStyle w:val="Hyperlink"/>
            <w:szCs w:val="22"/>
          </w:rPr>
          <w:t>http://nces.ed.gov/nationsreportcard/science/moreabout.asp</w:t>
        </w:r>
      </w:hyperlink>
      <w:r w:rsidRPr="007D6D77">
        <w:rPr>
          <w:szCs w:val="22"/>
        </w:rPr>
        <w:t>.</w:t>
      </w:r>
    </w:p>
    <w:p w:rsidR="00C9512E" w:rsidRPr="007D6D77" w:rsidRDefault="00C9512E" w:rsidP="00BE71C8">
      <w:pPr>
        <w:rPr>
          <w:szCs w:val="22"/>
        </w:rPr>
      </w:pPr>
    </w:p>
    <w:p w:rsidR="00E406FA" w:rsidRPr="007D6D77" w:rsidRDefault="00E406FA" w:rsidP="00BE71C8">
      <w:pPr>
        <w:rPr>
          <w:szCs w:val="22"/>
        </w:rPr>
      </w:pPr>
      <w:r w:rsidRPr="007D6D77">
        <w:rPr>
          <w:szCs w:val="22"/>
        </w:rPr>
        <w:lastRenderedPageBreak/>
        <w:t xml:space="preserve">National Center for Education Statistics. </w:t>
      </w:r>
      <w:r w:rsidR="008746B9" w:rsidRPr="007D6D77">
        <w:rPr>
          <w:szCs w:val="22"/>
        </w:rPr>
        <w:t>(</w:t>
      </w:r>
      <w:r w:rsidRPr="007D6D77">
        <w:rPr>
          <w:szCs w:val="22"/>
        </w:rPr>
        <w:t>Undated</w:t>
      </w:r>
      <w:r w:rsidR="008746B9" w:rsidRPr="007D6D77">
        <w:rPr>
          <w:szCs w:val="22"/>
        </w:rPr>
        <w:t>)</w:t>
      </w:r>
      <w:r w:rsidRPr="007D6D77">
        <w:rPr>
          <w:szCs w:val="22"/>
        </w:rPr>
        <w:t xml:space="preserve">. High </w:t>
      </w:r>
      <w:r w:rsidRPr="007D6D77">
        <w:rPr>
          <w:i/>
          <w:szCs w:val="22"/>
        </w:rPr>
        <w:t>School Longitudinal Study of 2009 (HSLS: 2009): Questionnaires</w:t>
      </w:r>
      <w:r w:rsidRPr="007D6D77">
        <w:rPr>
          <w:szCs w:val="22"/>
        </w:rPr>
        <w:t xml:space="preserve">. Retrieved October 20, 2012, from: </w:t>
      </w:r>
      <w:hyperlink r:id="rId17" w:history="1">
        <w:r w:rsidRPr="007D6D77">
          <w:rPr>
            <w:rStyle w:val="Hyperlink"/>
            <w:szCs w:val="22"/>
          </w:rPr>
          <w:t>http://nces.ed.gov/surveys/hsls09/questionnaires.asp</w:t>
        </w:r>
      </w:hyperlink>
      <w:r w:rsidRPr="007D6D77">
        <w:rPr>
          <w:szCs w:val="22"/>
        </w:rPr>
        <w:t>.</w:t>
      </w:r>
    </w:p>
    <w:p w:rsidR="00E406FA" w:rsidRPr="007D6D77" w:rsidRDefault="00E406FA" w:rsidP="00BE71C8">
      <w:pPr>
        <w:rPr>
          <w:szCs w:val="22"/>
        </w:rPr>
      </w:pPr>
    </w:p>
    <w:p w:rsidR="00BE71C8" w:rsidRPr="007D6D77" w:rsidRDefault="00BE71C8" w:rsidP="00BE71C8">
      <w:pPr>
        <w:rPr>
          <w:szCs w:val="22"/>
        </w:rPr>
      </w:pPr>
      <w:r w:rsidRPr="007D6D77">
        <w:rPr>
          <w:szCs w:val="22"/>
        </w:rPr>
        <w:t xml:space="preserve">Peytchev, A., Couper, M.P., McCabe, S., </w:t>
      </w:r>
      <w:r w:rsidR="008746B9" w:rsidRPr="007D6D77">
        <w:rPr>
          <w:szCs w:val="22"/>
        </w:rPr>
        <w:t>&amp;</w:t>
      </w:r>
      <w:r w:rsidRPr="007D6D77">
        <w:rPr>
          <w:szCs w:val="22"/>
        </w:rPr>
        <w:t xml:space="preserve"> Crawford, S. </w:t>
      </w:r>
      <w:r w:rsidR="008746B9" w:rsidRPr="007D6D77">
        <w:rPr>
          <w:szCs w:val="22"/>
        </w:rPr>
        <w:t>(</w:t>
      </w:r>
      <w:r w:rsidRPr="007D6D77">
        <w:rPr>
          <w:szCs w:val="22"/>
        </w:rPr>
        <w:t>2006</w:t>
      </w:r>
      <w:r w:rsidR="008746B9" w:rsidRPr="007D6D77">
        <w:rPr>
          <w:szCs w:val="22"/>
        </w:rPr>
        <w:t>)</w:t>
      </w:r>
      <w:r w:rsidRPr="007D6D77">
        <w:rPr>
          <w:szCs w:val="22"/>
        </w:rPr>
        <w:t xml:space="preserve">. Web survey design: Paging versus scrolling. </w:t>
      </w:r>
      <w:r w:rsidRPr="007D6D77">
        <w:rPr>
          <w:i/>
          <w:szCs w:val="22"/>
        </w:rPr>
        <w:t>Public Opinion Quarterly</w:t>
      </w:r>
      <w:r w:rsidRPr="007D6D77">
        <w:rPr>
          <w:szCs w:val="22"/>
        </w:rPr>
        <w:t xml:space="preserve"> 70, 596-607.</w:t>
      </w:r>
    </w:p>
    <w:p w:rsidR="00BE71C8" w:rsidRPr="007D6D77" w:rsidRDefault="00BE71C8" w:rsidP="00BE71C8">
      <w:pPr>
        <w:rPr>
          <w:szCs w:val="22"/>
        </w:rPr>
      </w:pPr>
    </w:p>
    <w:p w:rsidR="001850AE" w:rsidRPr="007D6D77" w:rsidRDefault="001850AE" w:rsidP="00BE71C8">
      <w:pPr>
        <w:rPr>
          <w:szCs w:val="22"/>
        </w:rPr>
      </w:pPr>
      <w:r w:rsidRPr="007D6D77">
        <w:rPr>
          <w:szCs w:val="22"/>
        </w:rPr>
        <w:t xml:space="preserve">Policy </w:t>
      </w:r>
      <w:r w:rsidR="00E406FA" w:rsidRPr="007D6D77">
        <w:rPr>
          <w:szCs w:val="22"/>
        </w:rPr>
        <w:t xml:space="preserve">Studies Associates, Inc. </w:t>
      </w:r>
      <w:r w:rsidR="008746B9" w:rsidRPr="007D6D77">
        <w:rPr>
          <w:szCs w:val="22"/>
        </w:rPr>
        <w:t>(</w:t>
      </w:r>
      <w:r w:rsidR="00E406FA" w:rsidRPr="007D6D77">
        <w:rPr>
          <w:szCs w:val="22"/>
        </w:rPr>
        <w:t>2012</w:t>
      </w:r>
      <w:r w:rsidR="008746B9" w:rsidRPr="007D6D77">
        <w:rPr>
          <w:szCs w:val="22"/>
        </w:rPr>
        <w:t>)</w:t>
      </w:r>
      <w:r w:rsidR="00E406FA" w:rsidRPr="007D6D77">
        <w:rPr>
          <w:szCs w:val="22"/>
        </w:rPr>
        <w:t>.</w:t>
      </w:r>
      <w:r w:rsidRPr="007D6D77">
        <w:rPr>
          <w:szCs w:val="22"/>
        </w:rPr>
        <w:t xml:space="preserve"> </w:t>
      </w:r>
      <w:r w:rsidRPr="007D6D77">
        <w:rPr>
          <w:i/>
          <w:szCs w:val="22"/>
        </w:rPr>
        <w:t>4-H Science Initiative: Youth engagement, attitudes, and knowledge study</w:t>
      </w:r>
      <w:r w:rsidRPr="007D6D77">
        <w:rPr>
          <w:szCs w:val="22"/>
        </w:rPr>
        <w:t xml:space="preserve">. Prepared for the National 4-H Council. Retrieved October 13, 2012, from: </w:t>
      </w:r>
      <w:hyperlink r:id="rId18" w:history="1">
        <w:r w:rsidR="00E406FA" w:rsidRPr="007D6D77">
          <w:rPr>
            <w:rStyle w:val="Hyperlink"/>
            <w:szCs w:val="22"/>
          </w:rPr>
          <w:t>http://www.pearweb.org/atis/tools/62</w:t>
        </w:r>
      </w:hyperlink>
      <w:r w:rsidR="00E406FA" w:rsidRPr="007D6D77">
        <w:rPr>
          <w:szCs w:val="22"/>
        </w:rPr>
        <w:t>.</w:t>
      </w:r>
    </w:p>
    <w:p w:rsidR="00E406FA" w:rsidRPr="007D6D77" w:rsidRDefault="00E406FA" w:rsidP="00BE71C8">
      <w:pPr>
        <w:rPr>
          <w:szCs w:val="22"/>
        </w:rPr>
      </w:pPr>
    </w:p>
    <w:p w:rsidR="00BE71C8" w:rsidRPr="007D6D77" w:rsidRDefault="00BE71C8" w:rsidP="00BE71C8">
      <w:pPr>
        <w:rPr>
          <w:szCs w:val="22"/>
        </w:rPr>
      </w:pPr>
      <w:r w:rsidRPr="007D6D77">
        <w:rPr>
          <w:szCs w:val="22"/>
        </w:rPr>
        <w:t>Redline, C</w:t>
      </w:r>
      <w:r w:rsidR="008746B9" w:rsidRPr="007D6D77">
        <w:rPr>
          <w:szCs w:val="22"/>
        </w:rPr>
        <w:t>.</w:t>
      </w:r>
      <w:r w:rsidRPr="007D6D77">
        <w:rPr>
          <w:szCs w:val="22"/>
        </w:rPr>
        <w:t xml:space="preserve"> </w:t>
      </w:r>
      <w:r w:rsidR="008746B9" w:rsidRPr="007D6D77">
        <w:rPr>
          <w:szCs w:val="22"/>
        </w:rPr>
        <w:t>&amp;</w:t>
      </w:r>
      <w:r w:rsidRPr="007D6D77">
        <w:rPr>
          <w:szCs w:val="22"/>
        </w:rPr>
        <w:t xml:space="preserve"> Dillman, D. </w:t>
      </w:r>
      <w:r w:rsidR="008746B9" w:rsidRPr="007D6D77">
        <w:rPr>
          <w:szCs w:val="22"/>
        </w:rPr>
        <w:t>(</w:t>
      </w:r>
      <w:r w:rsidRPr="007D6D77">
        <w:rPr>
          <w:szCs w:val="22"/>
        </w:rPr>
        <w:t>2002</w:t>
      </w:r>
      <w:r w:rsidR="008746B9" w:rsidRPr="007D6D77">
        <w:rPr>
          <w:szCs w:val="22"/>
        </w:rPr>
        <w:t>)</w:t>
      </w:r>
      <w:r w:rsidRPr="007D6D77">
        <w:rPr>
          <w:szCs w:val="22"/>
        </w:rPr>
        <w:t xml:space="preserve">. The Influence of alternative visual designs on respondents’ performance with branching questions in self-administered questionnaires. In R.M. Groves, D.A. Dillman, J.A. Eltinge, and R.J.A. Little (Eds.), </w:t>
      </w:r>
      <w:r w:rsidRPr="007D6D77">
        <w:rPr>
          <w:i/>
          <w:szCs w:val="22"/>
        </w:rPr>
        <w:t>Survey Nonresponse</w:t>
      </w:r>
      <w:r w:rsidRPr="007D6D77">
        <w:rPr>
          <w:szCs w:val="22"/>
        </w:rPr>
        <w:t>. New York: Wiley, 179-193.</w:t>
      </w:r>
    </w:p>
    <w:p w:rsidR="00C66D3A" w:rsidRPr="007D6D77" w:rsidRDefault="00C66D3A" w:rsidP="00C66D3A">
      <w:pPr>
        <w:rPr>
          <w:i/>
          <w:szCs w:val="22"/>
        </w:rPr>
      </w:pPr>
    </w:p>
    <w:p w:rsidR="00A4628A" w:rsidRPr="007D6D77" w:rsidRDefault="00A4628A" w:rsidP="00ED2C41">
      <w:pPr>
        <w:tabs>
          <w:tab w:val="clear" w:pos="720"/>
          <w:tab w:val="clear" w:pos="1080"/>
          <w:tab w:val="clear" w:pos="1440"/>
          <w:tab w:val="clear" w:pos="1800"/>
        </w:tabs>
        <w:autoSpaceDE w:val="0"/>
        <w:autoSpaceDN w:val="0"/>
        <w:adjustRightInd w:val="0"/>
        <w:spacing w:line="240" w:lineRule="auto"/>
        <w:rPr>
          <w:szCs w:val="22"/>
        </w:rPr>
      </w:pPr>
      <w:r w:rsidRPr="007D6D77">
        <w:rPr>
          <w:szCs w:val="22"/>
        </w:rPr>
        <w:t>Rosoff, P., Werner, C., Clipp, E.C., Buill, A.B., Bonner, M., &amp; Demark-Wahnefried, W. (2005). Response rates to a mailed survey of c</w:t>
      </w:r>
      <w:r w:rsidR="00A93340" w:rsidRPr="007D6D77">
        <w:rPr>
          <w:szCs w:val="22"/>
        </w:rPr>
        <w:t>hildhood c</w:t>
      </w:r>
      <w:r w:rsidRPr="007D6D77">
        <w:rPr>
          <w:szCs w:val="22"/>
        </w:rPr>
        <w:t>ancer</w:t>
      </w:r>
      <w:r w:rsidR="00A93340" w:rsidRPr="007D6D77">
        <w:rPr>
          <w:szCs w:val="22"/>
        </w:rPr>
        <w:t xml:space="preserve"> survivors: A comparison of conditional versus unconditional incentives. </w:t>
      </w:r>
      <w:r w:rsidR="00A93340" w:rsidRPr="007D6D77">
        <w:rPr>
          <w:i/>
          <w:szCs w:val="22"/>
        </w:rPr>
        <w:t xml:space="preserve">Cancer Epidemiology, Biomarkers &amp; Prevention, </w:t>
      </w:r>
      <w:r w:rsidR="00A93340" w:rsidRPr="007D6D77">
        <w:rPr>
          <w:szCs w:val="22"/>
        </w:rPr>
        <w:t xml:space="preserve">May 2005, </w:t>
      </w:r>
      <w:r w:rsidR="00A93340" w:rsidRPr="007D6D77">
        <w:rPr>
          <w:i/>
          <w:szCs w:val="22"/>
        </w:rPr>
        <w:t>14.</w:t>
      </w:r>
    </w:p>
    <w:p w:rsidR="00A4628A" w:rsidRPr="007D6D77" w:rsidRDefault="00A4628A" w:rsidP="00ED2C41">
      <w:pPr>
        <w:tabs>
          <w:tab w:val="clear" w:pos="720"/>
          <w:tab w:val="clear" w:pos="1080"/>
          <w:tab w:val="clear" w:pos="1440"/>
          <w:tab w:val="clear" w:pos="1800"/>
        </w:tabs>
        <w:autoSpaceDE w:val="0"/>
        <w:autoSpaceDN w:val="0"/>
        <w:adjustRightInd w:val="0"/>
        <w:spacing w:line="240" w:lineRule="auto"/>
        <w:rPr>
          <w:szCs w:val="22"/>
        </w:rPr>
      </w:pPr>
    </w:p>
    <w:p w:rsidR="00ED2C41" w:rsidRPr="007D6D77" w:rsidRDefault="00ED2C41" w:rsidP="00ED2C41">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Singer, E. (2002). </w:t>
      </w:r>
      <w:r w:rsidR="00C54C2C" w:rsidRPr="007D6D77">
        <w:rPr>
          <w:szCs w:val="22"/>
        </w:rPr>
        <w:t>“The use of incentives to reduce n</w:t>
      </w:r>
      <w:r w:rsidRPr="007D6D77">
        <w:rPr>
          <w:szCs w:val="22"/>
        </w:rPr>
        <w:t>onresponse in</w:t>
      </w:r>
      <w:r w:rsidR="00C54C2C" w:rsidRPr="007D6D77">
        <w:rPr>
          <w:szCs w:val="22"/>
        </w:rPr>
        <w:t xml:space="preserve"> household s</w:t>
      </w:r>
      <w:r w:rsidRPr="007D6D77">
        <w:rPr>
          <w:szCs w:val="22"/>
        </w:rPr>
        <w:t xml:space="preserve">urveys” Chapter 11 in </w:t>
      </w:r>
      <w:r w:rsidRPr="007D6D77">
        <w:rPr>
          <w:i/>
          <w:iCs/>
          <w:szCs w:val="22"/>
        </w:rPr>
        <w:t xml:space="preserve">Survey Nonresponse, </w:t>
      </w:r>
      <w:r w:rsidRPr="007D6D77">
        <w:rPr>
          <w:szCs w:val="22"/>
        </w:rPr>
        <w:t>John Wiley and Sons, Inc. New York (2002).</w:t>
      </w:r>
    </w:p>
    <w:p w:rsidR="00C54C2C" w:rsidRPr="007D6D77" w:rsidRDefault="00C54C2C" w:rsidP="00ED2C41">
      <w:pPr>
        <w:tabs>
          <w:tab w:val="clear" w:pos="720"/>
          <w:tab w:val="clear" w:pos="1080"/>
          <w:tab w:val="clear" w:pos="1440"/>
          <w:tab w:val="clear" w:pos="1800"/>
        </w:tabs>
        <w:autoSpaceDE w:val="0"/>
        <w:autoSpaceDN w:val="0"/>
        <w:adjustRightInd w:val="0"/>
        <w:spacing w:line="240" w:lineRule="auto"/>
        <w:rPr>
          <w:szCs w:val="22"/>
        </w:rPr>
      </w:pPr>
    </w:p>
    <w:p w:rsidR="00C54C2C" w:rsidRPr="007D6D77" w:rsidRDefault="00C54C2C" w:rsidP="00ED2C41">
      <w:pPr>
        <w:tabs>
          <w:tab w:val="clear" w:pos="720"/>
          <w:tab w:val="clear" w:pos="1080"/>
          <w:tab w:val="clear" w:pos="1440"/>
          <w:tab w:val="clear" w:pos="1800"/>
        </w:tabs>
        <w:autoSpaceDE w:val="0"/>
        <w:autoSpaceDN w:val="0"/>
        <w:adjustRightInd w:val="0"/>
        <w:spacing w:line="240" w:lineRule="auto"/>
        <w:rPr>
          <w:szCs w:val="22"/>
        </w:rPr>
      </w:pPr>
      <w:r w:rsidRPr="007D6D77">
        <w:rPr>
          <w:szCs w:val="22"/>
        </w:rPr>
        <w:t xml:space="preserve">Singer, E., &amp; Kulka, R.A. (2004). </w:t>
      </w:r>
      <w:r w:rsidRPr="007D6D77">
        <w:rPr>
          <w:i/>
          <w:szCs w:val="22"/>
        </w:rPr>
        <w:t>Paying respondents for survey participation.</w:t>
      </w:r>
      <w:r w:rsidRPr="007D6D77">
        <w:rPr>
          <w:szCs w:val="22"/>
        </w:rPr>
        <w:t xml:space="preserve"> Retrieved December 19, 2012, from: http://aspe.hhs.gov/hsp/welf-res-data-issues02/pdf/04.pdf.</w:t>
      </w:r>
    </w:p>
    <w:p w:rsidR="00ED2C41" w:rsidRPr="007D6D77" w:rsidRDefault="00ED2C41" w:rsidP="00ED2C41">
      <w:pPr>
        <w:tabs>
          <w:tab w:val="clear" w:pos="720"/>
          <w:tab w:val="clear" w:pos="1080"/>
          <w:tab w:val="clear" w:pos="1440"/>
          <w:tab w:val="clear" w:pos="1800"/>
        </w:tabs>
        <w:autoSpaceDE w:val="0"/>
        <w:autoSpaceDN w:val="0"/>
        <w:adjustRightInd w:val="0"/>
        <w:spacing w:line="240" w:lineRule="auto"/>
        <w:rPr>
          <w:szCs w:val="22"/>
        </w:rPr>
      </w:pPr>
    </w:p>
    <w:p w:rsidR="00BE71C8" w:rsidRPr="00BE6B81" w:rsidRDefault="00BE71C8" w:rsidP="00BE71C8">
      <w:pPr>
        <w:rPr>
          <w:szCs w:val="22"/>
        </w:rPr>
      </w:pPr>
      <w:r w:rsidRPr="007D6D77">
        <w:rPr>
          <w:szCs w:val="22"/>
        </w:rPr>
        <w:t xml:space="preserve">U.S. Department of Health and Human Services (HHS). </w:t>
      </w:r>
      <w:r w:rsidR="00B86CA0" w:rsidRPr="007D6D77">
        <w:rPr>
          <w:szCs w:val="22"/>
        </w:rPr>
        <w:t>(</w:t>
      </w:r>
      <w:r w:rsidRPr="007D6D77">
        <w:rPr>
          <w:szCs w:val="22"/>
        </w:rPr>
        <w:t>2006</w:t>
      </w:r>
      <w:r w:rsidR="00B86CA0" w:rsidRPr="007D6D77">
        <w:rPr>
          <w:szCs w:val="22"/>
        </w:rPr>
        <w:t>)</w:t>
      </w:r>
      <w:r w:rsidRPr="007D6D77">
        <w:rPr>
          <w:szCs w:val="22"/>
        </w:rPr>
        <w:t xml:space="preserve">. </w:t>
      </w:r>
      <w:r w:rsidRPr="007D6D77">
        <w:rPr>
          <w:i/>
          <w:szCs w:val="22"/>
        </w:rPr>
        <w:t>Research-Based Web Design &amp; Usability Guidelines</w:t>
      </w:r>
      <w:r w:rsidRPr="007D6D77">
        <w:rPr>
          <w:szCs w:val="22"/>
        </w:rPr>
        <w:t>. Washington D.C.: Government Printing Office.</w:t>
      </w:r>
    </w:p>
    <w:p w:rsidR="00C66D3A" w:rsidRPr="00BE6B81" w:rsidRDefault="00C66D3A" w:rsidP="00C66D3A">
      <w:pPr>
        <w:rPr>
          <w:rFonts w:cs="Calibri"/>
          <w:szCs w:val="22"/>
        </w:rPr>
      </w:pPr>
    </w:p>
    <w:sectPr w:rsidR="00C66D3A" w:rsidRPr="00BE6B81" w:rsidSect="00C00837">
      <w:footerReference w:type="first" r:id="rId19"/>
      <w:pgSz w:w="12240" w:h="15840" w:code="1"/>
      <w:pgMar w:top="1440" w:right="1440" w:bottom="1008" w:left="144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6A" w:rsidRDefault="0056796A">
      <w:r>
        <w:separator/>
      </w:r>
    </w:p>
  </w:endnote>
  <w:endnote w:type="continuationSeparator" w:id="0">
    <w:p w:rsidR="0056796A" w:rsidRDefault="0056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4">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4" w:rsidRDefault="00D15A8F" w:rsidP="00C00837">
    <w:pPr>
      <w:pStyle w:val="Footer"/>
      <w:framePr w:wrap="around" w:vAnchor="text" w:hAnchor="margin" w:xAlign="right" w:y="1"/>
      <w:rPr>
        <w:rStyle w:val="PageNumber"/>
      </w:rPr>
    </w:pPr>
    <w:r>
      <w:rPr>
        <w:rStyle w:val="PageNumber"/>
      </w:rPr>
      <w:fldChar w:fldCharType="begin"/>
    </w:r>
    <w:r w:rsidR="00A72304">
      <w:rPr>
        <w:rStyle w:val="PageNumber"/>
      </w:rPr>
      <w:instrText xml:space="preserve">PAGE  </w:instrText>
    </w:r>
    <w:r>
      <w:rPr>
        <w:rStyle w:val="PageNumber"/>
      </w:rPr>
      <w:fldChar w:fldCharType="end"/>
    </w:r>
  </w:p>
  <w:p w:rsidR="00A72304" w:rsidRDefault="00A72304" w:rsidP="00C00837">
    <w:pPr>
      <w:pStyle w:val="Footer"/>
      <w:pBdr>
        <w:top w:val="single" w:sz="8" w:space="1" w:color="auto"/>
      </w:pBdr>
      <w:ind w:right="360"/>
    </w:pPr>
    <w:r>
      <w:tab/>
      <w:t>Contents</w:t>
    </w:r>
    <w:r>
      <w:tab/>
      <w:t>Abt Associates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4" w:rsidRDefault="00A72304">
    <w:pPr>
      <w:pStyle w:val="Footer"/>
      <w:jc w:val="right"/>
    </w:pPr>
    <w:r>
      <w:t>PART A-</w:t>
    </w:r>
    <w:sdt>
      <w:sdtPr>
        <w:id w:val="89937213"/>
        <w:docPartObj>
          <w:docPartGallery w:val="Page Numbers (Bottom of Page)"/>
          <w:docPartUnique/>
        </w:docPartObj>
      </w:sdtPr>
      <w:sdtEndPr/>
      <w:sdtContent>
        <w:r w:rsidR="00D15A8F">
          <w:fldChar w:fldCharType="begin"/>
        </w:r>
        <w:r w:rsidR="00514637">
          <w:instrText xml:space="preserve"> PAGE   \* MERGEFORMAT </w:instrText>
        </w:r>
        <w:r w:rsidR="00D15A8F">
          <w:fldChar w:fldCharType="separate"/>
        </w:r>
        <w:r w:rsidR="005371F3">
          <w:rPr>
            <w:noProof/>
          </w:rPr>
          <w:t>i</w:t>
        </w:r>
        <w:r w:rsidR="00D15A8F">
          <w:rPr>
            <w:noProof/>
          </w:rPr>
          <w:fldChar w:fldCharType="end"/>
        </w:r>
      </w:sdtContent>
    </w:sdt>
  </w:p>
  <w:p w:rsidR="00A72304" w:rsidRDefault="00A72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4" w:rsidRPr="00DC2C9F" w:rsidRDefault="00A72304" w:rsidP="009D3668">
    <w:pPr>
      <w:pStyle w:val="Footer"/>
      <w:pBdr>
        <w:top w:val="single" w:sz="8" w:space="1" w:color="auto"/>
      </w:pBdr>
      <w:tabs>
        <w:tab w:val="clear" w:pos="9000"/>
        <w:tab w:val="right" w:pos="8640"/>
        <w:tab w:val="right" w:pos="9360"/>
      </w:tabs>
      <w:rPr>
        <w:sz w:val="16"/>
        <w:szCs w:val="16"/>
      </w:rPr>
    </w:pPr>
    <w:r>
      <w:rPr>
        <w:sz w:val="16"/>
        <w:szCs w:val="16"/>
      </w:rPr>
      <w:t>National Aeronautics and Space Administration</w:t>
    </w:r>
    <w:r>
      <w:rPr>
        <w:sz w:val="16"/>
        <w:szCs w:val="16"/>
      </w:rPr>
      <w:tab/>
      <w:t>Part A:</w:t>
    </w:r>
    <w:r w:rsidRPr="00DC2C9F">
      <w:rPr>
        <w:sz w:val="16"/>
        <w:szCs w:val="16"/>
      </w:rPr>
      <w:t xml:space="preserve"> </w:t>
    </w:r>
    <w:r>
      <w:rPr>
        <w:sz w:val="16"/>
        <w:szCs w:val="16"/>
      </w:rPr>
      <w:t>Justification</w:t>
    </w:r>
    <w:r w:rsidRPr="00DC2C9F">
      <w:rPr>
        <w:sz w:val="16"/>
        <w:szCs w:val="16"/>
      </w:rPr>
      <w:tab/>
    </w:r>
    <w:r w:rsidR="00D15A8F">
      <w:rPr>
        <w:rStyle w:val="PageNumber"/>
      </w:rPr>
      <w:fldChar w:fldCharType="begin"/>
    </w:r>
    <w:r>
      <w:rPr>
        <w:rStyle w:val="PageNumber"/>
      </w:rPr>
      <w:instrText xml:space="preserve"> PAGE </w:instrText>
    </w:r>
    <w:r w:rsidR="00D15A8F">
      <w:rPr>
        <w:rStyle w:val="PageNumber"/>
      </w:rPr>
      <w:fldChar w:fldCharType="separate"/>
    </w:r>
    <w:r>
      <w:rPr>
        <w:rStyle w:val="PageNumber"/>
        <w:noProof/>
      </w:rPr>
      <w:t>2</w:t>
    </w:r>
    <w:r w:rsidR="00D15A8F">
      <w:rPr>
        <w:rStyle w:val="PageNumber"/>
      </w:rPr>
      <w:fldChar w:fldCharType="end"/>
    </w:r>
  </w:p>
  <w:p w:rsidR="00A72304" w:rsidRDefault="00A723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04" w:rsidRDefault="00A72304" w:rsidP="00F772B3">
    <w:pPr>
      <w:pStyle w:val="Footer"/>
      <w:pBdr>
        <w:top w:val="single" w:sz="8" w:space="1" w:color="auto"/>
      </w:pBdr>
      <w:tabs>
        <w:tab w:val="clear" w:pos="9000"/>
        <w:tab w:val="right" w:pos="8640"/>
        <w:tab w:val="right" w:pos="9360"/>
      </w:tabs>
    </w:pPr>
    <w:r>
      <w:rPr>
        <w:sz w:val="16"/>
        <w:szCs w:val="16"/>
      </w:rPr>
      <w:t>National Aeronautics and Space Administration</w:t>
    </w:r>
    <w:r>
      <w:rPr>
        <w:sz w:val="16"/>
        <w:szCs w:val="16"/>
      </w:rPr>
      <w:tab/>
    </w:r>
    <w:r w:rsidRPr="00DC2C9F">
      <w:rPr>
        <w:sz w:val="16"/>
        <w:szCs w:val="16"/>
      </w:rPr>
      <w:tab/>
    </w:r>
    <w:r>
      <w:rPr>
        <w:sz w:val="16"/>
        <w:szCs w:val="16"/>
      </w:rPr>
      <w:t>PART A-</w:t>
    </w:r>
    <w:r w:rsidR="00D15A8F">
      <w:rPr>
        <w:rStyle w:val="PageNumber"/>
      </w:rPr>
      <w:fldChar w:fldCharType="begin"/>
    </w:r>
    <w:r>
      <w:rPr>
        <w:rStyle w:val="PageNumber"/>
      </w:rPr>
      <w:instrText xml:space="preserve"> PAGE </w:instrText>
    </w:r>
    <w:r w:rsidR="00D15A8F">
      <w:rPr>
        <w:rStyle w:val="PageNumber"/>
      </w:rPr>
      <w:fldChar w:fldCharType="separate"/>
    </w:r>
    <w:r w:rsidR="005371F3">
      <w:rPr>
        <w:rStyle w:val="PageNumber"/>
        <w:noProof/>
      </w:rPr>
      <w:t>2</w:t>
    </w:r>
    <w:r w:rsidR="00D15A8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6A" w:rsidRDefault="0056796A">
      <w:r>
        <w:separator/>
      </w:r>
    </w:p>
  </w:footnote>
  <w:footnote w:type="continuationSeparator" w:id="0">
    <w:p w:rsidR="0056796A" w:rsidRDefault="0056796A">
      <w:r>
        <w:continuationSeparator/>
      </w:r>
    </w:p>
  </w:footnote>
  <w:footnote w:id="1">
    <w:p w:rsidR="00A72304" w:rsidRPr="00FA41A3" w:rsidRDefault="00A72304">
      <w:pPr>
        <w:pStyle w:val="FootnoteText"/>
        <w:rPr>
          <w:sz w:val="18"/>
          <w:szCs w:val="18"/>
        </w:rPr>
      </w:pPr>
      <w:r>
        <w:rPr>
          <w:rStyle w:val="FootnoteReference"/>
        </w:rPr>
        <w:footnoteRef/>
      </w:r>
      <w:r>
        <w:t xml:space="preserve"> </w:t>
      </w:r>
      <w:r w:rsidRPr="007D6D77">
        <w:rPr>
          <w:sz w:val="18"/>
          <w:szCs w:val="18"/>
        </w:rPr>
        <w:t>A minimum dosage of 40 hours had been tentatively recommended by experts participating in the SoI Program Design Forum, convened by the NASA Office of Education on June 18-20, 2012. However, Forum participant and RAND researcher Dr. Jennifer McCombs pointed out that w</w:t>
      </w:r>
      <w:r w:rsidRPr="007D6D77">
        <w:rPr>
          <w:color w:val="000000"/>
          <w:sz w:val="18"/>
          <w:szCs w:val="18"/>
        </w:rPr>
        <w:t xml:space="preserve">hile research shows a link between dosage and achievement outcomes, it does not clearly specify the appropriate duration for summer programs. In NASA’s final recommendations on SoI program design submitted to OMB on August 31, a dosage of 30 hours over a one-week period was proposed, since 40 hours of content—or an average of 8 hours of instruction per day—is too much for the average middle school student, who is accustomed to an instructional day during the academic year on average of 6.8 hours for a total of 34 hours per week. NASA also recognizes that summer programs typically include other program content, including physical exercise. Source: The Center for Public Education (2006), </w:t>
      </w:r>
      <w:r w:rsidRPr="007D6D77">
        <w:rPr>
          <w:i/>
          <w:color w:val="000000"/>
          <w:sz w:val="18"/>
          <w:szCs w:val="18"/>
        </w:rPr>
        <w:t xml:space="preserve">Making time: Q&amp;A. </w:t>
      </w:r>
      <w:r w:rsidRPr="007D6D77">
        <w:rPr>
          <w:color w:val="000000"/>
          <w:sz w:val="18"/>
          <w:szCs w:val="18"/>
        </w:rPr>
        <w:t>Retrieved October 28, 2012, from: http://www.centerforpubliceducation.org/Main-Menu/Organizing-a-school/Copy-of-Making-time-At-a-glance/Making-time-QA-.html.</w:t>
      </w:r>
    </w:p>
  </w:footnote>
  <w:footnote w:id="2">
    <w:p w:rsidR="00D15A8F" w:rsidRDefault="00F01122">
      <w:pPr>
        <w:pStyle w:val="NormalWeb"/>
      </w:pPr>
      <w:r>
        <w:rPr>
          <w:rStyle w:val="FootnoteReference"/>
        </w:rPr>
        <w:footnoteRef/>
      </w:r>
      <w:r>
        <w:t xml:space="preserve"> </w:t>
      </w:r>
      <w:r w:rsidRPr="001516BF">
        <w:rPr>
          <w:sz w:val="20"/>
          <w:szCs w:val="20"/>
        </w:rPr>
        <w:t xml:space="preserve">See, for instance, see Subpart A, Section 46.116 </w:t>
      </w:r>
      <w:r w:rsidR="001516BF">
        <w:rPr>
          <w:sz w:val="20"/>
          <w:szCs w:val="20"/>
        </w:rPr>
        <w:t xml:space="preserve">(General Requirements for Informed Consent) </w:t>
      </w:r>
      <w:r w:rsidRPr="001516BF">
        <w:rPr>
          <w:sz w:val="20"/>
          <w:szCs w:val="20"/>
        </w:rPr>
        <w:t xml:space="preserve">of the </w:t>
      </w:r>
      <w:r w:rsidR="00C8515C" w:rsidRPr="00C8515C">
        <w:rPr>
          <w:bCs/>
          <w:i/>
          <w:sz w:val="20"/>
          <w:szCs w:val="20"/>
        </w:rPr>
        <w:t>Code of Federal Regulations, TITLE 45, Public Welfare, Department of Health and Human Services, Part 46, Protection of Human Subjects</w:t>
      </w:r>
      <w:r w:rsidR="00C8515C" w:rsidRPr="00C8515C">
        <w:rPr>
          <w:bCs/>
          <w:sz w:val="20"/>
          <w:szCs w:val="20"/>
        </w:rPr>
        <w:t xml:space="preserve">. Retrieved January 22, 2013, from: </w:t>
      </w:r>
      <w:hyperlink r:id="rId1" w:anchor="46.116" w:history="1">
        <w:r w:rsidR="00C8515C" w:rsidRPr="00C8515C">
          <w:rPr>
            <w:rStyle w:val="Hyperlink"/>
            <w:bCs/>
            <w:sz w:val="20"/>
            <w:szCs w:val="20"/>
          </w:rPr>
          <w:t>http://www.hhs.gov/ohrp/humansubjects/guidance/45cfr46.html#46.116</w:t>
        </w:r>
      </w:hyperlink>
      <w:r w:rsidR="00C8515C" w:rsidRPr="00C8515C">
        <w:rPr>
          <w:bCs/>
          <w:sz w:val="20"/>
          <w:szCs w:val="20"/>
        </w:rPr>
        <w:t>.</w:t>
      </w:r>
      <w:r>
        <w:rPr>
          <w:b/>
          <w:bCs/>
        </w:rPr>
        <w:t xml:space="preserve"> </w:t>
      </w:r>
    </w:p>
  </w:footnote>
  <w:footnote w:id="3">
    <w:p w:rsidR="00A72304" w:rsidRDefault="00A72304">
      <w:pPr>
        <w:pStyle w:val="FootnoteText"/>
      </w:pPr>
      <w:r>
        <w:rPr>
          <w:rStyle w:val="FootnoteReference"/>
        </w:rPr>
        <w:footnoteRef/>
      </w:r>
      <w:r>
        <w:t xml:space="preserve"> </w:t>
      </w:r>
      <w:r>
        <w:rPr>
          <w:szCs w:val="22"/>
        </w:rPr>
        <w:t xml:space="preserve">As described in greater depth in Part B, the parent survey collects information that will be used to create an enriched sampling frame for the non-response bias analysis including, but not limited to, demographic data. </w:t>
      </w:r>
    </w:p>
  </w:footnote>
  <w:footnote w:id="4">
    <w:p w:rsidR="00A72304" w:rsidRDefault="00A72304" w:rsidP="007D6D77">
      <w:pPr>
        <w:pStyle w:val="FootnoteText"/>
        <w:spacing w:line="240" w:lineRule="auto"/>
      </w:pPr>
      <w:r>
        <w:rPr>
          <w:rStyle w:val="FootnoteReference"/>
        </w:rPr>
        <w:footnoteRef/>
      </w:r>
      <w:r>
        <w:t xml:space="preserve"> Different approaches are used by awardees to register students for camps, so the evaluation design must be sensitive to local context. Some awardees, such as Puerto Rico Institute of Robotics, utilize a centralized registration system, while camps administered by other awardees, particularly centers such as NASA Langley Research Centers, coordinate their own registration apart from the awardee. </w:t>
      </w:r>
    </w:p>
  </w:footnote>
  <w:footnote w:id="5">
    <w:p w:rsidR="00A72304" w:rsidRPr="0029737E" w:rsidRDefault="00A72304" w:rsidP="0029737E">
      <w:pPr>
        <w:keepNext/>
        <w:keepLines/>
        <w:autoSpaceDE w:val="0"/>
        <w:autoSpaceDN w:val="0"/>
        <w:adjustRightInd w:val="0"/>
        <w:spacing w:line="240" w:lineRule="auto"/>
        <w:rPr>
          <w:sz w:val="18"/>
          <w:szCs w:val="18"/>
        </w:rPr>
      </w:pPr>
      <w:r w:rsidRPr="007D6D77">
        <w:rPr>
          <w:rStyle w:val="FootnoteReference"/>
          <w:sz w:val="18"/>
          <w:szCs w:val="18"/>
        </w:rPr>
        <w:footnoteRef/>
      </w:r>
      <w:r w:rsidRPr="007D6D77">
        <w:rPr>
          <w:sz w:val="18"/>
          <w:szCs w:val="18"/>
        </w:rPr>
        <w:t xml:space="preserve"> The count of unique parents/caregivers attending SoI events is a proxy indicator for engagement of parents/caregivers in SoI activities. The engagement of parents/caregivers will be introduced as a new project requirement for awardees in FY2013. This new requirement is based on research evidence that parent/caregiver involvement helps to support a student’s pursuit of a STEM career and formation of a STEM identity, therefore likely increasing the long-term impact of the intervention on the student with respect to STEM career aspirations. This assumption is based on research that has shown that parental encouragement and involvement in a student’s academic life is one of the most reliable predictors of whether or not a child will attend college and on sustaining motivation and academic achievements.  NASA’s observations of SoI awardees confirm that the higher-performing awardees have engaged parents/caregivers through planned events.</w:t>
      </w:r>
      <w:r>
        <w:rPr>
          <w:sz w:val="18"/>
          <w:szCs w:val="18"/>
        </w:rPr>
        <w:t xml:space="preserve"> </w:t>
      </w:r>
      <w:r w:rsidRPr="007D6D77">
        <w:rPr>
          <w:sz w:val="18"/>
          <w:szCs w:val="18"/>
        </w:rPr>
        <w:t xml:space="preserve">Sources: Gibbs, K. D., &amp; Dou, R. (2012), </w:t>
      </w:r>
      <w:r w:rsidRPr="007D6D77">
        <w:rPr>
          <w:i/>
          <w:sz w:val="18"/>
          <w:szCs w:val="18"/>
        </w:rPr>
        <w:t>Evidence-based framework for the design &amp; evaluation of Federal STEM engagement interventions</w:t>
      </w:r>
      <w:r w:rsidRPr="007D6D77">
        <w:rPr>
          <w:sz w:val="18"/>
          <w:szCs w:val="18"/>
        </w:rPr>
        <w:t xml:space="preserve">. Arlington, VA: Commissioned Paper, </w:t>
      </w:r>
      <w:r w:rsidRPr="007D6D77">
        <w:rPr>
          <w:rStyle w:val="nlmpublisher-name"/>
          <w:sz w:val="18"/>
          <w:szCs w:val="18"/>
        </w:rPr>
        <w:t xml:space="preserve">National Science Foundation; </w:t>
      </w:r>
      <w:r w:rsidRPr="007D6D77">
        <w:rPr>
          <w:sz w:val="18"/>
          <w:szCs w:val="18"/>
        </w:rPr>
        <w:t xml:space="preserve">Cabrera, A. F. N., &amp; Steven M. (2000). Understanding the college-choice process. </w:t>
      </w:r>
      <w:r w:rsidRPr="007D6D77">
        <w:rPr>
          <w:i/>
          <w:sz w:val="18"/>
          <w:szCs w:val="18"/>
        </w:rPr>
        <w:t>New Directions for Institutional Research</w:t>
      </w:r>
      <w:r w:rsidRPr="007D6D77">
        <w:rPr>
          <w:sz w:val="18"/>
          <w:szCs w:val="18"/>
        </w:rPr>
        <w:t xml:space="preserve">: 5-22; Choy, S. P. (2002). </w:t>
      </w:r>
      <w:r w:rsidRPr="007D6D77">
        <w:rPr>
          <w:i/>
          <w:sz w:val="18"/>
          <w:szCs w:val="18"/>
        </w:rPr>
        <w:t>Access &amp; persistence: Findings from 10 Years of Longitudinal Research on Students</w:t>
      </w:r>
      <w:r w:rsidRPr="007D6D77">
        <w:rPr>
          <w:sz w:val="18"/>
          <w:szCs w:val="18"/>
        </w:rPr>
        <w:t xml:space="preserve">. Washington DC, American Council on Education Center for Policy Analysis; Hossler, D., Schmidt, J. &amp; Vesper, N. (1999). </w:t>
      </w:r>
      <w:r w:rsidRPr="007D6D77">
        <w:rPr>
          <w:i/>
          <w:sz w:val="18"/>
          <w:szCs w:val="18"/>
        </w:rPr>
        <w:t>Going to college: How social, economic, and educational factors influence the decisions students make</w:t>
      </w:r>
      <w:r w:rsidRPr="007D6D77">
        <w:rPr>
          <w:sz w:val="18"/>
          <w:szCs w:val="18"/>
        </w:rPr>
        <w:t xml:space="preserve">. Baltimore: The Johns Hopkins University Press; Swail, W. S. &amp; Hosford, S. (2007). </w:t>
      </w:r>
      <w:r w:rsidRPr="007D6D77">
        <w:rPr>
          <w:i/>
          <w:sz w:val="18"/>
          <w:szCs w:val="18"/>
        </w:rPr>
        <w:t xml:space="preserve">Missouri students and the pathway to college. </w:t>
      </w:r>
      <w:r w:rsidRPr="007D6D77">
        <w:rPr>
          <w:sz w:val="18"/>
          <w:szCs w:val="18"/>
        </w:rPr>
        <w:t xml:space="preserve">Virginia Beach, VA: Educational Policy Institute; McDonough, P. M. (1997). </w:t>
      </w:r>
      <w:r w:rsidRPr="007D6D77">
        <w:rPr>
          <w:i/>
          <w:sz w:val="18"/>
          <w:szCs w:val="18"/>
        </w:rPr>
        <w:t xml:space="preserve">Choosing colleges: How social class and schools structure opportunity. </w:t>
      </w:r>
      <w:r w:rsidRPr="007D6D77">
        <w:rPr>
          <w:sz w:val="18"/>
          <w:szCs w:val="18"/>
        </w:rPr>
        <w:t>Albany: State University of New York Press.</w:t>
      </w:r>
    </w:p>
    <w:p w:rsidR="00A72304" w:rsidRPr="00576F2A" w:rsidRDefault="00A72304">
      <w:pPr>
        <w:pStyle w:val="FootnoteText"/>
        <w:rPr>
          <w:sz w:val="18"/>
          <w:szCs w:val="18"/>
        </w:rPr>
      </w:pPr>
    </w:p>
  </w:footnote>
  <w:footnote w:id="6">
    <w:p w:rsidR="00A72304" w:rsidRDefault="00A72304">
      <w:pPr>
        <w:pStyle w:val="FootnoteText"/>
      </w:pPr>
      <w:r>
        <w:rPr>
          <w:rStyle w:val="FootnoteReference"/>
        </w:rPr>
        <w:footnoteRef/>
      </w:r>
      <w:r>
        <w:t xml:space="preserve"> Note: small differences in sums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5861026"/>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2">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3">
    <w:nsid w:val="081252AD"/>
    <w:multiLevelType w:val="hybridMultilevel"/>
    <w:tmpl w:val="A4CC8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9343C8"/>
    <w:multiLevelType w:val="hybridMultilevel"/>
    <w:tmpl w:val="41AC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7225A"/>
    <w:multiLevelType w:val="hybridMultilevel"/>
    <w:tmpl w:val="11649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203D3"/>
    <w:multiLevelType w:val="hybridMultilevel"/>
    <w:tmpl w:val="DC309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04411C"/>
    <w:multiLevelType w:val="multilevel"/>
    <w:tmpl w:val="2B1C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880C37"/>
    <w:multiLevelType w:val="hybridMultilevel"/>
    <w:tmpl w:val="64325E66"/>
    <w:lvl w:ilvl="0" w:tplc="19E6D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F84B92"/>
    <w:multiLevelType w:val="hybridMultilevel"/>
    <w:tmpl w:val="B0D4276E"/>
    <w:lvl w:ilvl="0" w:tplc="169E339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9C7A2D"/>
    <w:multiLevelType w:val="hybridMultilevel"/>
    <w:tmpl w:val="9B28CB0E"/>
    <w:lvl w:ilvl="0" w:tplc="648E27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2">
    <w:nsid w:val="2B702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C3B07D8"/>
    <w:multiLevelType w:val="hybridMultilevel"/>
    <w:tmpl w:val="1F00B8F0"/>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CC2B05"/>
    <w:multiLevelType w:val="hybridMultilevel"/>
    <w:tmpl w:val="4CA8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D598A"/>
    <w:multiLevelType w:val="hybridMultilevel"/>
    <w:tmpl w:val="981C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C6454C"/>
    <w:multiLevelType w:val="hybridMultilevel"/>
    <w:tmpl w:val="77B0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AD962A9"/>
    <w:multiLevelType w:val="hybridMultilevel"/>
    <w:tmpl w:val="730C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C3E9A"/>
    <w:multiLevelType w:val="hybridMultilevel"/>
    <w:tmpl w:val="912A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2455FF"/>
    <w:multiLevelType w:val="hybridMultilevel"/>
    <w:tmpl w:val="3C9A6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1731A"/>
    <w:multiLevelType w:val="hybridMultilevel"/>
    <w:tmpl w:val="EFBC98EE"/>
    <w:lvl w:ilvl="0" w:tplc="169E3390">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2">
    <w:nsid w:val="5AF07D35"/>
    <w:multiLevelType w:val="hybridMultilevel"/>
    <w:tmpl w:val="396C47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E25198"/>
    <w:multiLevelType w:val="multilevel"/>
    <w:tmpl w:val="B0D4276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76E2F1B"/>
    <w:multiLevelType w:val="hybridMultilevel"/>
    <w:tmpl w:val="BA8C0D5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747C57"/>
    <w:multiLevelType w:val="multilevel"/>
    <w:tmpl w:val="EFBC98EE"/>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5D71167"/>
    <w:multiLevelType w:val="hybridMultilevel"/>
    <w:tmpl w:val="84B6A932"/>
    <w:lvl w:ilvl="0" w:tplc="1A78C978">
      <w:start w:val="1"/>
      <w:numFmt w:val="bullet"/>
      <w:lvlText w:val=""/>
      <w:lvlJc w:val="left"/>
      <w:pPr>
        <w:tabs>
          <w:tab w:val="num" w:pos="576"/>
        </w:tabs>
        <w:ind w:left="576" w:hanging="360"/>
      </w:pPr>
      <w:rPr>
        <w:rFonts w:ascii="Symbol" w:hAnsi="Symbol" w:hint="default"/>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7">
    <w:nsid w:val="76A734BA"/>
    <w:multiLevelType w:val="hybridMultilevel"/>
    <w:tmpl w:val="ECA8A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77AD7041"/>
    <w:multiLevelType w:val="singleLevel"/>
    <w:tmpl w:val="BDDE821C"/>
    <w:lvl w:ilvl="0">
      <w:start w:val="1"/>
      <w:numFmt w:val="decimal"/>
      <w:lvlText w:val="%1."/>
      <w:lvlJc w:val="left"/>
      <w:pPr>
        <w:tabs>
          <w:tab w:val="num" w:pos="720"/>
        </w:tabs>
        <w:ind w:left="720" w:hanging="720"/>
      </w:pPr>
    </w:lvl>
  </w:abstractNum>
  <w:abstractNum w:abstractNumId="29">
    <w:nsid w:val="79977177"/>
    <w:multiLevelType w:val="hybridMultilevel"/>
    <w:tmpl w:val="C910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EA2DE1"/>
    <w:multiLevelType w:val="hybridMultilevel"/>
    <w:tmpl w:val="77768A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E7C3D43"/>
    <w:multiLevelType w:val="hybridMultilevel"/>
    <w:tmpl w:val="D3DAC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3"/>
  </w:num>
  <w:num w:numId="4">
    <w:abstractNumId w:val="6"/>
  </w:num>
  <w:num w:numId="5">
    <w:abstractNumId w:val="22"/>
  </w:num>
  <w:num w:numId="6">
    <w:abstractNumId w:val="0"/>
  </w:num>
  <w:num w:numId="7">
    <w:abstractNumId w:val="31"/>
  </w:num>
  <w:num w:numId="8">
    <w:abstractNumId w:val="9"/>
  </w:num>
  <w:num w:numId="9">
    <w:abstractNumId w:val="23"/>
  </w:num>
  <w:num w:numId="10">
    <w:abstractNumId w:val="30"/>
  </w:num>
  <w:num w:numId="11">
    <w:abstractNumId w:val="24"/>
  </w:num>
  <w:num w:numId="12">
    <w:abstractNumId w:val="26"/>
  </w:num>
  <w:num w:numId="13">
    <w:abstractNumId w:val="28"/>
  </w:num>
  <w:num w:numId="14">
    <w:abstractNumId w:val="20"/>
  </w:num>
  <w:num w:numId="15">
    <w:abstractNumId w:val="25"/>
  </w:num>
  <w:num w:numId="16">
    <w:abstractNumId w:val="27"/>
  </w:num>
  <w:num w:numId="17">
    <w:abstractNumId w:val="14"/>
  </w:num>
  <w:num w:numId="18">
    <w:abstractNumId w:val="29"/>
  </w:num>
  <w:num w:numId="19">
    <w:abstractNumId w:val="10"/>
  </w:num>
  <w:num w:numId="20">
    <w:abstractNumId w:val="16"/>
  </w:num>
  <w:num w:numId="21">
    <w:abstractNumId w:val="18"/>
  </w:num>
  <w:num w:numId="22">
    <w:abstractNumId w:val="3"/>
  </w:num>
  <w:num w:numId="23">
    <w:abstractNumId w:val="15"/>
  </w:num>
  <w:num w:numId="24">
    <w:abstractNumId w:val="19"/>
  </w:num>
  <w:num w:numId="25">
    <w:abstractNumId w:val="4"/>
  </w:num>
  <w:num w:numId="26">
    <w:abstractNumId w:val="2"/>
  </w:num>
  <w:num w:numId="27">
    <w:abstractNumId w:val="11"/>
  </w:num>
  <w:num w:numId="28">
    <w:abstractNumId w:val="21"/>
  </w:num>
  <w:num w:numId="29">
    <w:abstractNumId w:val="5"/>
  </w:num>
  <w:num w:numId="30">
    <w:abstractNumId w:val="1"/>
  </w:num>
  <w:num w:numId="31">
    <w:abstractNumId w:val="1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37"/>
    <w:rsid w:val="0000134F"/>
    <w:rsid w:val="000015E5"/>
    <w:rsid w:val="000053B8"/>
    <w:rsid w:val="00007E28"/>
    <w:rsid w:val="000120E9"/>
    <w:rsid w:val="00013039"/>
    <w:rsid w:val="00013D26"/>
    <w:rsid w:val="0001512A"/>
    <w:rsid w:val="00021B1D"/>
    <w:rsid w:val="000254F3"/>
    <w:rsid w:val="000258F4"/>
    <w:rsid w:val="00025DB9"/>
    <w:rsid w:val="000263A0"/>
    <w:rsid w:val="00027808"/>
    <w:rsid w:val="000313FD"/>
    <w:rsid w:val="000328CE"/>
    <w:rsid w:val="00035B0E"/>
    <w:rsid w:val="0003683E"/>
    <w:rsid w:val="00036B45"/>
    <w:rsid w:val="00037AE9"/>
    <w:rsid w:val="00041B2B"/>
    <w:rsid w:val="00042733"/>
    <w:rsid w:val="000427C9"/>
    <w:rsid w:val="00042D71"/>
    <w:rsid w:val="00042EC0"/>
    <w:rsid w:val="00043D9F"/>
    <w:rsid w:val="000451E1"/>
    <w:rsid w:val="00045497"/>
    <w:rsid w:val="00045CCB"/>
    <w:rsid w:val="00047E64"/>
    <w:rsid w:val="00050678"/>
    <w:rsid w:val="0005299D"/>
    <w:rsid w:val="00053809"/>
    <w:rsid w:val="000539AB"/>
    <w:rsid w:val="000608B2"/>
    <w:rsid w:val="00061D2C"/>
    <w:rsid w:val="00061E60"/>
    <w:rsid w:val="000624B5"/>
    <w:rsid w:val="000627DC"/>
    <w:rsid w:val="00062E26"/>
    <w:rsid w:val="00062FD7"/>
    <w:rsid w:val="00063937"/>
    <w:rsid w:val="00065D71"/>
    <w:rsid w:val="00065E87"/>
    <w:rsid w:val="00070ADB"/>
    <w:rsid w:val="00070E01"/>
    <w:rsid w:val="00072227"/>
    <w:rsid w:val="000735F7"/>
    <w:rsid w:val="00075112"/>
    <w:rsid w:val="00075A98"/>
    <w:rsid w:val="00077672"/>
    <w:rsid w:val="00077F7E"/>
    <w:rsid w:val="00077F89"/>
    <w:rsid w:val="00081DA2"/>
    <w:rsid w:val="0008314A"/>
    <w:rsid w:val="00084206"/>
    <w:rsid w:val="00086900"/>
    <w:rsid w:val="00086E03"/>
    <w:rsid w:val="00087EEE"/>
    <w:rsid w:val="00090C61"/>
    <w:rsid w:val="00092397"/>
    <w:rsid w:val="00093564"/>
    <w:rsid w:val="0009540C"/>
    <w:rsid w:val="00095919"/>
    <w:rsid w:val="00095FA9"/>
    <w:rsid w:val="000A0F1F"/>
    <w:rsid w:val="000A1971"/>
    <w:rsid w:val="000A4E8C"/>
    <w:rsid w:val="000A6EAF"/>
    <w:rsid w:val="000A7373"/>
    <w:rsid w:val="000B0750"/>
    <w:rsid w:val="000B168D"/>
    <w:rsid w:val="000B2016"/>
    <w:rsid w:val="000B3B3A"/>
    <w:rsid w:val="000B5116"/>
    <w:rsid w:val="000C030D"/>
    <w:rsid w:val="000C245E"/>
    <w:rsid w:val="000C38CB"/>
    <w:rsid w:val="000C4F62"/>
    <w:rsid w:val="000D1636"/>
    <w:rsid w:val="000D65B0"/>
    <w:rsid w:val="000D6EE6"/>
    <w:rsid w:val="000E0BDA"/>
    <w:rsid w:val="000E3829"/>
    <w:rsid w:val="000F0D4A"/>
    <w:rsid w:val="000F1B95"/>
    <w:rsid w:val="000F1E88"/>
    <w:rsid w:val="000F1F33"/>
    <w:rsid w:val="000F275E"/>
    <w:rsid w:val="000F45BF"/>
    <w:rsid w:val="000F5F46"/>
    <w:rsid w:val="000F7B68"/>
    <w:rsid w:val="00103AF1"/>
    <w:rsid w:val="001056EE"/>
    <w:rsid w:val="00106A59"/>
    <w:rsid w:val="00107C39"/>
    <w:rsid w:val="00107FE6"/>
    <w:rsid w:val="001134AE"/>
    <w:rsid w:val="001138D2"/>
    <w:rsid w:val="001171C9"/>
    <w:rsid w:val="00117A82"/>
    <w:rsid w:val="0012011D"/>
    <w:rsid w:val="001211F2"/>
    <w:rsid w:val="00121336"/>
    <w:rsid w:val="00124620"/>
    <w:rsid w:val="001301C0"/>
    <w:rsid w:val="0013141D"/>
    <w:rsid w:val="00131481"/>
    <w:rsid w:val="00131E36"/>
    <w:rsid w:val="00133EDD"/>
    <w:rsid w:val="001358B8"/>
    <w:rsid w:val="00137603"/>
    <w:rsid w:val="0014029B"/>
    <w:rsid w:val="00140503"/>
    <w:rsid w:val="001408CE"/>
    <w:rsid w:val="00142902"/>
    <w:rsid w:val="00145291"/>
    <w:rsid w:val="001516BF"/>
    <w:rsid w:val="0015339D"/>
    <w:rsid w:val="00157268"/>
    <w:rsid w:val="001612EF"/>
    <w:rsid w:val="00162004"/>
    <w:rsid w:val="00163DB6"/>
    <w:rsid w:val="00163F65"/>
    <w:rsid w:val="001642AE"/>
    <w:rsid w:val="001646A5"/>
    <w:rsid w:val="00166BEC"/>
    <w:rsid w:val="0017393C"/>
    <w:rsid w:val="00176804"/>
    <w:rsid w:val="00176856"/>
    <w:rsid w:val="001823CF"/>
    <w:rsid w:val="00184496"/>
    <w:rsid w:val="00184E76"/>
    <w:rsid w:val="00184F30"/>
    <w:rsid w:val="001850AE"/>
    <w:rsid w:val="001873DB"/>
    <w:rsid w:val="0019256F"/>
    <w:rsid w:val="00192849"/>
    <w:rsid w:val="00192A11"/>
    <w:rsid w:val="00196EF1"/>
    <w:rsid w:val="0019752D"/>
    <w:rsid w:val="001A1F76"/>
    <w:rsid w:val="001A55AA"/>
    <w:rsid w:val="001A5D43"/>
    <w:rsid w:val="001A71F5"/>
    <w:rsid w:val="001A72DE"/>
    <w:rsid w:val="001A7C7F"/>
    <w:rsid w:val="001A7EAA"/>
    <w:rsid w:val="001B1F02"/>
    <w:rsid w:val="001B313D"/>
    <w:rsid w:val="001B4BB2"/>
    <w:rsid w:val="001B59A0"/>
    <w:rsid w:val="001B66DE"/>
    <w:rsid w:val="001B6DC8"/>
    <w:rsid w:val="001B7468"/>
    <w:rsid w:val="001C00C7"/>
    <w:rsid w:val="001C049F"/>
    <w:rsid w:val="001C06B6"/>
    <w:rsid w:val="001C4BC7"/>
    <w:rsid w:val="001C763E"/>
    <w:rsid w:val="001D1DF8"/>
    <w:rsid w:val="001D315F"/>
    <w:rsid w:val="001D33D9"/>
    <w:rsid w:val="001D4356"/>
    <w:rsid w:val="001D4CA4"/>
    <w:rsid w:val="001D720E"/>
    <w:rsid w:val="001D7ED0"/>
    <w:rsid w:val="001E085D"/>
    <w:rsid w:val="001E1D69"/>
    <w:rsid w:val="001E3600"/>
    <w:rsid w:val="001E52FB"/>
    <w:rsid w:val="001E5DF7"/>
    <w:rsid w:val="001F0E07"/>
    <w:rsid w:val="001F39FF"/>
    <w:rsid w:val="001F44AC"/>
    <w:rsid w:val="001F4FDB"/>
    <w:rsid w:val="001F5445"/>
    <w:rsid w:val="001F716C"/>
    <w:rsid w:val="001F7A83"/>
    <w:rsid w:val="00200931"/>
    <w:rsid w:val="00200DB6"/>
    <w:rsid w:val="00201587"/>
    <w:rsid w:val="002019B9"/>
    <w:rsid w:val="00205AE4"/>
    <w:rsid w:val="00205FE3"/>
    <w:rsid w:val="0020678C"/>
    <w:rsid w:val="00206D72"/>
    <w:rsid w:val="002105D6"/>
    <w:rsid w:val="00211096"/>
    <w:rsid w:val="0021131B"/>
    <w:rsid w:val="00212E0C"/>
    <w:rsid w:val="00213487"/>
    <w:rsid w:val="00214C15"/>
    <w:rsid w:val="00215020"/>
    <w:rsid w:val="00216E0A"/>
    <w:rsid w:val="0021798E"/>
    <w:rsid w:val="00226CA1"/>
    <w:rsid w:val="002318E1"/>
    <w:rsid w:val="00232D2D"/>
    <w:rsid w:val="002341C1"/>
    <w:rsid w:val="00240C00"/>
    <w:rsid w:val="00242643"/>
    <w:rsid w:val="00242D9E"/>
    <w:rsid w:val="0024334F"/>
    <w:rsid w:val="0024495F"/>
    <w:rsid w:val="002450FE"/>
    <w:rsid w:val="00246E72"/>
    <w:rsid w:val="00247BF4"/>
    <w:rsid w:val="002502AB"/>
    <w:rsid w:val="00251A14"/>
    <w:rsid w:val="0026261A"/>
    <w:rsid w:val="00264344"/>
    <w:rsid w:val="002676F1"/>
    <w:rsid w:val="0027192A"/>
    <w:rsid w:val="0027219B"/>
    <w:rsid w:val="00272B20"/>
    <w:rsid w:val="002765F4"/>
    <w:rsid w:val="00277309"/>
    <w:rsid w:val="002829D0"/>
    <w:rsid w:val="00283352"/>
    <w:rsid w:val="00283651"/>
    <w:rsid w:val="002873E2"/>
    <w:rsid w:val="002907A9"/>
    <w:rsid w:val="002914E6"/>
    <w:rsid w:val="00292468"/>
    <w:rsid w:val="00292820"/>
    <w:rsid w:val="002962AE"/>
    <w:rsid w:val="00297167"/>
    <w:rsid w:val="0029737E"/>
    <w:rsid w:val="002A2E29"/>
    <w:rsid w:val="002A3CE4"/>
    <w:rsid w:val="002A6039"/>
    <w:rsid w:val="002A64D7"/>
    <w:rsid w:val="002A7679"/>
    <w:rsid w:val="002B0301"/>
    <w:rsid w:val="002C0CE0"/>
    <w:rsid w:val="002C55F8"/>
    <w:rsid w:val="002C7157"/>
    <w:rsid w:val="002D05D4"/>
    <w:rsid w:val="002D0A54"/>
    <w:rsid w:val="002D0E3E"/>
    <w:rsid w:val="002D1610"/>
    <w:rsid w:val="002D4EB0"/>
    <w:rsid w:val="002D5D92"/>
    <w:rsid w:val="002D5EC6"/>
    <w:rsid w:val="002E0C6E"/>
    <w:rsid w:val="002E609E"/>
    <w:rsid w:val="002E63E8"/>
    <w:rsid w:val="002F4F2C"/>
    <w:rsid w:val="002F555F"/>
    <w:rsid w:val="00304C83"/>
    <w:rsid w:val="00305D5E"/>
    <w:rsid w:val="0031073C"/>
    <w:rsid w:val="003112B2"/>
    <w:rsid w:val="00312462"/>
    <w:rsid w:val="00313289"/>
    <w:rsid w:val="00315773"/>
    <w:rsid w:val="003176E7"/>
    <w:rsid w:val="00317DF8"/>
    <w:rsid w:val="003204D2"/>
    <w:rsid w:val="00323187"/>
    <w:rsid w:val="00331129"/>
    <w:rsid w:val="00331178"/>
    <w:rsid w:val="00331BEF"/>
    <w:rsid w:val="00336E3C"/>
    <w:rsid w:val="003371C9"/>
    <w:rsid w:val="00337E30"/>
    <w:rsid w:val="00342305"/>
    <w:rsid w:val="003424FC"/>
    <w:rsid w:val="00342F17"/>
    <w:rsid w:val="00343F65"/>
    <w:rsid w:val="00350227"/>
    <w:rsid w:val="00352278"/>
    <w:rsid w:val="00352DD8"/>
    <w:rsid w:val="0036051C"/>
    <w:rsid w:val="00360FA7"/>
    <w:rsid w:val="003613B4"/>
    <w:rsid w:val="00362146"/>
    <w:rsid w:val="00362172"/>
    <w:rsid w:val="003716C3"/>
    <w:rsid w:val="0037275D"/>
    <w:rsid w:val="00373F2E"/>
    <w:rsid w:val="00375E05"/>
    <w:rsid w:val="00377AAD"/>
    <w:rsid w:val="00377B3D"/>
    <w:rsid w:val="00380BF2"/>
    <w:rsid w:val="00381B33"/>
    <w:rsid w:val="00383888"/>
    <w:rsid w:val="003845D3"/>
    <w:rsid w:val="00386B27"/>
    <w:rsid w:val="00386CA2"/>
    <w:rsid w:val="0039137C"/>
    <w:rsid w:val="003925C6"/>
    <w:rsid w:val="00393A1F"/>
    <w:rsid w:val="0039475B"/>
    <w:rsid w:val="003947BA"/>
    <w:rsid w:val="00395A60"/>
    <w:rsid w:val="00395AF5"/>
    <w:rsid w:val="003A0F4D"/>
    <w:rsid w:val="003A4CFE"/>
    <w:rsid w:val="003A5439"/>
    <w:rsid w:val="003B3723"/>
    <w:rsid w:val="003C1ABF"/>
    <w:rsid w:val="003C1B3E"/>
    <w:rsid w:val="003C3C41"/>
    <w:rsid w:val="003D28D8"/>
    <w:rsid w:val="003D30F8"/>
    <w:rsid w:val="003D4389"/>
    <w:rsid w:val="003D43E8"/>
    <w:rsid w:val="003D44C9"/>
    <w:rsid w:val="003D7CDA"/>
    <w:rsid w:val="003E20C9"/>
    <w:rsid w:val="003E2437"/>
    <w:rsid w:val="003E3DDE"/>
    <w:rsid w:val="003E5438"/>
    <w:rsid w:val="003E5E86"/>
    <w:rsid w:val="003F3645"/>
    <w:rsid w:val="003F5301"/>
    <w:rsid w:val="003F56F6"/>
    <w:rsid w:val="003F6BCF"/>
    <w:rsid w:val="00401950"/>
    <w:rsid w:val="004035F8"/>
    <w:rsid w:val="00405150"/>
    <w:rsid w:val="004053EC"/>
    <w:rsid w:val="00405E96"/>
    <w:rsid w:val="00407790"/>
    <w:rsid w:val="0041013E"/>
    <w:rsid w:val="00411D66"/>
    <w:rsid w:val="0041567C"/>
    <w:rsid w:val="00415763"/>
    <w:rsid w:val="004177C4"/>
    <w:rsid w:val="0042309A"/>
    <w:rsid w:val="00423FE7"/>
    <w:rsid w:val="004243DB"/>
    <w:rsid w:val="004261A1"/>
    <w:rsid w:val="00426A91"/>
    <w:rsid w:val="0043055C"/>
    <w:rsid w:val="004305CB"/>
    <w:rsid w:val="0043165C"/>
    <w:rsid w:val="004335DC"/>
    <w:rsid w:val="00433CF2"/>
    <w:rsid w:val="00434477"/>
    <w:rsid w:val="004352F7"/>
    <w:rsid w:val="0045103E"/>
    <w:rsid w:val="00451799"/>
    <w:rsid w:val="004518D9"/>
    <w:rsid w:val="00452E30"/>
    <w:rsid w:val="00452EB8"/>
    <w:rsid w:val="004533DE"/>
    <w:rsid w:val="004544C7"/>
    <w:rsid w:val="0045482F"/>
    <w:rsid w:val="00457099"/>
    <w:rsid w:val="00457DC6"/>
    <w:rsid w:val="00465261"/>
    <w:rsid w:val="004669B3"/>
    <w:rsid w:val="00470A3F"/>
    <w:rsid w:val="00473825"/>
    <w:rsid w:val="004753DE"/>
    <w:rsid w:val="004767BA"/>
    <w:rsid w:val="00477D93"/>
    <w:rsid w:val="00480034"/>
    <w:rsid w:val="0048433C"/>
    <w:rsid w:val="00484AD3"/>
    <w:rsid w:val="00485EEE"/>
    <w:rsid w:val="0048621D"/>
    <w:rsid w:val="00486808"/>
    <w:rsid w:val="004942CE"/>
    <w:rsid w:val="004951C6"/>
    <w:rsid w:val="004A2E96"/>
    <w:rsid w:val="004A415D"/>
    <w:rsid w:val="004A77BF"/>
    <w:rsid w:val="004B0E4F"/>
    <w:rsid w:val="004B4BE7"/>
    <w:rsid w:val="004C3E85"/>
    <w:rsid w:val="004C49B7"/>
    <w:rsid w:val="004C568D"/>
    <w:rsid w:val="004D0FEC"/>
    <w:rsid w:val="004D2347"/>
    <w:rsid w:val="004D268E"/>
    <w:rsid w:val="004D27B0"/>
    <w:rsid w:val="004D2B62"/>
    <w:rsid w:val="004D2F59"/>
    <w:rsid w:val="004D47DD"/>
    <w:rsid w:val="004D5259"/>
    <w:rsid w:val="004D6235"/>
    <w:rsid w:val="004D7C1A"/>
    <w:rsid w:val="004E1645"/>
    <w:rsid w:val="004E2A63"/>
    <w:rsid w:val="004E3D44"/>
    <w:rsid w:val="004F16D2"/>
    <w:rsid w:val="004F48BC"/>
    <w:rsid w:val="004F5FFF"/>
    <w:rsid w:val="004F60DE"/>
    <w:rsid w:val="0050217A"/>
    <w:rsid w:val="005045C8"/>
    <w:rsid w:val="0050702A"/>
    <w:rsid w:val="00512832"/>
    <w:rsid w:val="00512B1B"/>
    <w:rsid w:val="00513254"/>
    <w:rsid w:val="00514637"/>
    <w:rsid w:val="00515307"/>
    <w:rsid w:val="00515A0C"/>
    <w:rsid w:val="005176EB"/>
    <w:rsid w:val="00521C9E"/>
    <w:rsid w:val="00522F3D"/>
    <w:rsid w:val="00527070"/>
    <w:rsid w:val="00530970"/>
    <w:rsid w:val="005371F3"/>
    <w:rsid w:val="00537EFE"/>
    <w:rsid w:val="00541164"/>
    <w:rsid w:val="0054131E"/>
    <w:rsid w:val="0054188F"/>
    <w:rsid w:val="00542105"/>
    <w:rsid w:val="00542EB4"/>
    <w:rsid w:val="00543468"/>
    <w:rsid w:val="005445EE"/>
    <w:rsid w:val="005449A2"/>
    <w:rsid w:val="005463F5"/>
    <w:rsid w:val="0055324B"/>
    <w:rsid w:val="00553BCE"/>
    <w:rsid w:val="00554C61"/>
    <w:rsid w:val="00556111"/>
    <w:rsid w:val="00556718"/>
    <w:rsid w:val="00561D13"/>
    <w:rsid w:val="00563D7A"/>
    <w:rsid w:val="00564039"/>
    <w:rsid w:val="00564BBA"/>
    <w:rsid w:val="005657BF"/>
    <w:rsid w:val="0056796A"/>
    <w:rsid w:val="00570B26"/>
    <w:rsid w:val="005720E7"/>
    <w:rsid w:val="00575903"/>
    <w:rsid w:val="00576F2A"/>
    <w:rsid w:val="005830C3"/>
    <w:rsid w:val="005901AB"/>
    <w:rsid w:val="0059102C"/>
    <w:rsid w:val="00592F2D"/>
    <w:rsid w:val="00595E47"/>
    <w:rsid w:val="00595F5D"/>
    <w:rsid w:val="005A431B"/>
    <w:rsid w:val="005B0EB4"/>
    <w:rsid w:val="005B0F37"/>
    <w:rsid w:val="005B2EA0"/>
    <w:rsid w:val="005B4CCE"/>
    <w:rsid w:val="005B524F"/>
    <w:rsid w:val="005C0866"/>
    <w:rsid w:val="005D5155"/>
    <w:rsid w:val="005D583F"/>
    <w:rsid w:val="005D5A09"/>
    <w:rsid w:val="005E032F"/>
    <w:rsid w:val="005E12B4"/>
    <w:rsid w:val="005E41F1"/>
    <w:rsid w:val="005E7193"/>
    <w:rsid w:val="005F18C5"/>
    <w:rsid w:val="006044A6"/>
    <w:rsid w:val="0060475A"/>
    <w:rsid w:val="00605A94"/>
    <w:rsid w:val="00610C55"/>
    <w:rsid w:val="006111ED"/>
    <w:rsid w:val="006145EE"/>
    <w:rsid w:val="00620242"/>
    <w:rsid w:val="00621551"/>
    <w:rsid w:val="00621878"/>
    <w:rsid w:val="006219BC"/>
    <w:rsid w:val="00623767"/>
    <w:rsid w:val="00623B60"/>
    <w:rsid w:val="00623FCE"/>
    <w:rsid w:val="00625DBE"/>
    <w:rsid w:val="00626A12"/>
    <w:rsid w:val="00630C0B"/>
    <w:rsid w:val="00630FFC"/>
    <w:rsid w:val="006368CC"/>
    <w:rsid w:val="0063748A"/>
    <w:rsid w:val="00645176"/>
    <w:rsid w:val="00646BBE"/>
    <w:rsid w:val="0064702F"/>
    <w:rsid w:val="0064704D"/>
    <w:rsid w:val="00650AB4"/>
    <w:rsid w:val="00651934"/>
    <w:rsid w:val="0065378E"/>
    <w:rsid w:val="00654336"/>
    <w:rsid w:val="00654BB0"/>
    <w:rsid w:val="00657B07"/>
    <w:rsid w:val="00661EC7"/>
    <w:rsid w:val="00662668"/>
    <w:rsid w:val="00664258"/>
    <w:rsid w:val="006651CF"/>
    <w:rsid w:val="0066553A"/>
    <w:rsid w:val="0067053A"/>
    <w:rsid w:val="006711DE"/>
    <w:rsid w:val="00671392"/>
    <w:rsid w:val="00673130"/>
    <w:rsid w:val="006747CB"/>
    <w:rsid w:val="00676B85"/>
    <w:rsid w:val="00682D23"/>
    <w:rsid w:val="0068743C"/>
    <w:rsid w:val="0068755B"/>
    <w:rsid w:val="006917A8"/>
    <w:rsid w:val="00692454"/>
    <w:rsid w:val="00692F3B"/>
    <w:rsid w:val="00693875"/>
    <w:rsid w:val="006938CF"/>
    <w:rsid w:val="00695710"/>
    <w:rsid w:val="00697C3E"/>
    <w:rsid w:val="00697ED4"/>
    <w:rsid w:val="006A099C"/>
    <w:rsid w:val="006A1B53"/>
    <w:rsid w:val="006A3F24"/>
    <w:rsid w:val="006A4C18"/>
    <w:rsid w:val="006A5960"/>
    <w:rsid w:val="006A7B1F"/>
    <w:rsid w:val="006B274C"/>
    <w:rsid w:val="006B3C85"/>
    <w:rsid w:val="006B619A"/>
    <w:rsid w:val="006B770B"/>
    <w:rsid w:val="006C18F8"/>
    <w:rsid w:val="006C1EEF"/>
    <w:rsid w:val="006C20A5"/>
    <w:rsid w:val="006C2B23"/>
    <w:rsid w:val="006C2CF0"/>
    <w:rsid w:val="006C43DD"/>
    <w:rsid w:val="006C45D8"/>
    <w:rsid w:val="006C57C6"/>
    <w:rsid w:val="006C787B"/>
    <w:rsid w:val="006C7EAA"/>
    <w:rsid w:val="006C7FE5"/>
    <w:rsid w:val="006D1418"/>
    <w:rsid w:val="006D14A4"/>
    <w:rsid w:val="006D18E7"/>
    <w:rsid w:val="006D27F2"/>
    <w:rsid w:val="006D2DF0"/>
    <w:rsid w:val="006D36EB"/>
    <w:rsid w:val="006D554C"/>
    <w:rsid w:val="006D785F"/>
    <w:rsid w:val="006E6377"/>
    <w:rsid w:val="006E7F92"/>
    <w:rsid w:val="006F0C59"/>
    <w:rsid w:val="006F2242"/>
    <w:rsid w:val="006F2D8A"/>
    <w:rsid w:val="006F31E7"/>
    <w:rsid w:val="006F3AE2"/>
    <w:rsid w:val="006F3F71"/>
    <w:rsid w:val="006F44BE"/>
    <w:rsid w:val="006F44D1"/>
    <w:rsid w:val="00700839"/>
    <w:rsid w:val="00702555"/>
    <w:rsid w:val="00702986"/>
    <w:rsid w:val="00702C5B"/>
    <w:rsid w:val="00703B41"/>
    <w:rsid w:val="00706C8F"/>
    <w:rsid w:val="00710AB0"/>
    <w:rsid w:val="00713DAB"/>
    <w:rsid w:val="00715BA4"/>
    <w:rsid w:val="00716ED7"/>
    <w:rsid w:val="007179E0"/>
    <w:rsid w:val="00722179"/>
    <w:rsid w:val="00722358"/>
    <w:rsid w:val="0072386E"/>
    <w:rsid w:val="007238F0"/>
    <w:rsid w:val="00725F53"/>
    <w:rsid w:val="0073194C"/>
    <w:rsid w:val="0073431C"/>
    <w:rsid w:val="00734BEE"/>
    <w:rsid w:val="0073542F"/>
    <w:rsid w:val="0073599E"/>
    <w:rsid w:val="007370BD"/>
    <w:rsid w:val="00737A33"/>
    <w:rsid w:val="0074318C"/>
    <w:rsid w:val="00746CD2"/>
    <w:rsid w:val="00747CCA"/>
    <w:rsid w:val="00750303"/>
    <w:rsid w:val="00752EFF"/>
    <w:rsid w:val="00761C84"/>
    <w:rsid w:val="007642CF"/>
    <w:rsid w:val="00764F02"/>
    <w:rsid w:val="00770310"/>
    <w:rsid w:val="00773FC6"/>
    <w:rsid w:val="00777223"/>
    <w:rsid w:val="00781BE7"/>
    <w:rsid w:val="00782B92"/>
    <w:rsid w:val="00784731"/>
    <w:rsid w:val="00785593"/>
    <w:rsid w:val="00787501"/>
    <w:rsid w:val="007912F8"/>
    <w:rsid w:val="00791847"/>
    <w:rsid w:val="00796A46"/>
    <w:rsid w:val="007A404E"/>
    <w:rsid w:val="007A4891"/>
    <w:rsid w:val="007A5131"/>
    <w:rsid w:val="007A7396"/>
    <w:rsid w:val="007B0F35"/>
    <w:rsid w:val="007B1617"/>
    <w:rsid w:val="007B3C2E"/>
    <w:rsid w:val="007B672F"/>
    <w:rsid w:val="007C154C"/>
    <w:rsid w:val="007C561E"/>
    <w:rsid w:val="007C5836"/>
    <w:rsid w:val="007C5982"/>
    <w:rsid w:val="007C6419"/>
    <w:rsid w:val="007C65D9"/>
    <w:rsid w:val="007C7EC7"/>
    <w:rsid w:val="007D1A24"/>
    <w:rsid w:val="007D6D77"/>
    <w:rsid w:val="007D6DCA"/>
    <w:rsid w:val="007E0B32"/>
    <w:rsid w:val="007E0CB3"/>
    <w:rsid w:val="007E10F5"/>
    <w:rsid w:val="007E1EAB"/>
    <w:rsid w:val="007E239F"/>
    <w:rsid w:val="007E669B"/>
    <w:rsid w:val="007F13C2"/>
    <w:rsid w:val="007F15C7"/>
    <w:rsid w:val="007F3EF3"/>
    <w:rsid w:val="007F46DB"/>
    <w:rsid w:val="007F4784"/>
    <w:rsid w:val="007F7CE7"/>
    <w:rsid w:val="0080071D"/>
    <w:rsid w:val="00802415"/>
    <w:rsid w:val="00802931"/>
    <w:rsid w:val="00803EB3"/>
    <w:rsid w:val="00804A12"/>
    <w:rsid w:val="008078CA"/>
    <w:rsid w:val="00812B39"/>
    <w:rsid w:val="008148CD"/>
    <w:rsid w:val="00815BB9"/>
    <w:rsid w:val="008164B1"/>
    <w:rsid w:val="00817457"/>
    <w:rsid w:val="00817ADE"/>
    <w:rsid w:val="00831962"/>
    <w:rsid w:val="00832AAB"/>
    <w:rsid w:val="00834F33"/>
    <w:rsid w:val="00835160"/>
    <w:rsid w:val="00835EC0"/>
    <w:rsid w:val="00835FC8"/>
    <w:rsid w:val="0084222F"/>
    <w:rsid w:val="0084390F"/>
    <w:rsid w:val="00844A8B"/>
    <w:rsid w:val="00844BE2"/>
    <w:rsid w:val="00844DC8"/>
    <w:rsid w:val="00846652"/>
    <w:rsid w:val="00847899"/>
    <w:rsid w:val="00850155"/>
    <w:rsid w:val="008543E9"/>
    <w:rsid w:val="008545D0"/>
    <w:rsid w:val="008552CE"/>
    <w:rsid w:val="0086068D"/>
    <w:rsid w:val="008623BB"/>
    <w:rsid w:val="0086394D"/>
    <w:rsid w:val="00866C73"/>
    <w:rsid w:val="00866F8B"/>
    <w:rsid w:val="00866FD4"/>
    <w:rsid w:val="0087133E"/>
    <w:rsid w:val="008737D6"/>
    <w:rsid w:val="008746B9"/>
    <w:rsid w:val="00874F21"/>
    <w:rsid w:val="008750AE"/>
    <w:rsid w:val="008758C6"/>
    <w:rsid w:val="00875952"/>
    <w:rsid w:val="008800FC"/>
    <w:rsid w:val="00880355"/>
    <w:rsid w:val="008823F3"/>
    <w:rsid w:val="00885555"/>
    <w:rsid w:val="00885CD2"/>
    <w:rsid w:val="00892739"/>
    <w:rsid w:val="008928C3"/>
    <w:rsid w:val="00892A04"/>
    <w:rsid w:val="00895D07"/>
    <w:rsid w:val="00897080"/>
    <w:rsid w:val="008A383F"/>
    <w:rsid w:val="008A38D4"/>
    <w:rsid w:val="008A63B4"/>
    <w:rsid w:val="008A6F08"/>
    <w:rsid w:val="008A7132"/>
    <w:rsid w:val="008B089C"/>
    <w:rsid w:val="008B09EE"/>
    <w:rsid w:val="008B4F1E"/>
    <w:rsid w:val="008B5816"/>
    <w:rsid w:val="008B610E"/>
    <w:rsid w:val="008B7D47"/>
    <w:rsid w:val="008C00E8"/>
    <w:rsid w:val="008C053A"/>
    <w:rsid w:val="008C09E0"/>
    <w:rsid w:val="008C1C5D"/>
    <w:rsid w:val="008C2986"/>
    <w:rsid w:val="008C76B3"/>
    <w:rsid w:val="008D279B"/>
    <w:rsid w:val="008D6105"/>
    <w:rsid w:val="008D6ED6"/>
    <w:rsid w:val="008D772A"/>
    <w:rsid w:val="008E2B5C"/>
    <w:rsid w:val="008E466A"/>
    <w:rsid w:val="008E5BA7"/>
    <w:rsid w:val="008E61DF"/>
    <w:rsid w:val="008F1D5B"/>
    <w:rsid w:val="008F291C"/>
    <w:rsid w:val="008F59A6"/>
    <w:rsid w:val="00901D14"/>
    <w:rsid w:val="00905542"/>
    <w:rsid w:val="0090584E"/>
    <w:rsid w:val="00910C5D"/>
    <w:rsid w:val="00911881"/>
    <w:rsid w:val="00917C86"/>
    <w:rsid w:val="00926E13"/>
    <w:rsid w:val="00930789"/>
    <w:rsid w:val="0093111D"/>
    <w:rsid w:val="009318C3"/>
    <w:rsid w:val="00932C44"/>
    <w:rsid w:val="00934248"/>
    <w:rsid w:val="009358C7"/>
    <w:rsid w:val="009359BF"/>
    <w:rsid w:val="00935A41"/>
    <w:rsid w:val="00936144"/>
    <w:rsid w:val="00940B27"/>
    <w:rsid w:val="0094166B"/>
    <w:rsid w:val="00941C7B"/>
    <w:rsid w:val="009447F7"/>
    <w:rsid w:val="00945633"/>
    <w:rsid w:val="0094596D"/>
    <w:rsid w:val="00946BDD"/>
    <w:rsid w:val="00950C7B"/>
    <w:rsid w:val="00951022"/>
    <w:rsid w:val="009512C5"/>
    <w:rsid w:val="00957330"/>
    <w:rsid w:val="00957A19"/>
    <w:rsid w:val="0096282B"/>
    <w:rsid w:val="00963FF7"/>
    <w:rsid w:val="009640FB"/>
    <w:rsid w:val="009642F7"/>
    <w:rsid w:val="00964FFA"/>
    <w:rsid w:val="0096531D"/>
    <w:rsid w:val="00967D11"/>
    <w:rsid w:val="00972F70"/>
    <w:rsid w:val="00973EA8"/>
    <w:rsid w:val="0097450F"/>
    <w:rsid w:val="00974AF4"/>
    <w:rsid w:val="0097746D"/>
    <w:rsid w:val="0098249B"/>
    <w:rsid w:val="00984E5D"/>
    <w:rsid w:val="00985201"/>
    <w:rsid w:val="00993046"/>
    <w:rsid w:val="00993A34"/>
    <w:rsid w:val="00993A84"/>
    <w:rsid w:val="009B025D"/>
    <w:rsid w:val="009B206C"/>
    <w:rsid w:val="009B451B"/>
    <w:rsid w:val="009B4EBA"/>
    <w:rsid w:val="009B63AA"/>
    <w:rsid w:val="009C0A94"/>
    <w:rsid w:val="009C1A1F"/>
    <w:rsid w:val="009C2B9D"/>
    <w:rsid w:val="009C2DD7"/>
    <w:rsid w:val="009C42BD"/>
    <w:rsid w:val="009C77DD"/>
    <w:rsid w:val="009D1DBE"/>
    <w:rsid w:val="009D3668"/>
    <w:rsid w:val="009D4443"/>
    <w:rsid w:val="009D52B2"/>
    <w:rsid w:val="009E0857"/>
    <w:rsid w:val="009E28FE"/>
    <w:rsid w:val="009E652D"/>
    <w:rsid w:val="009E7799"/>
    <w:rsid w:val="009F1791"/>
    <w:rsid w:val="009F2252"/>
    <w:rsid w:val="009F2F8C"/>
    <w:rsid w:val="009F639B"/>
    <w:rsid w:val="009F7D78"/>
    <w:rsid w:val="00A02F72"/>
    <w:rsid w:val="00A034FE"/>
    <w:rsid w:val="00A03D38"/>
    <w:rsid w:val="00A05A57"/>
    <w:rsid w:val="00A07939"/>
    <w:rsid w:val="00A1060E"/>
    <w:rsid w:val="00A10900"/>
    <w:rsid w:val="00A10E6F"/>
    <w:rsid w:val="00A12D4D"/>
    <w:rsid w:val="00A1545A"/>
    <w:rsid w:val="00A16A5C"/>
    <w:rsid w:val="00A17216"/>
    <w:rsid w:val="00A172DA"/>
    <w:rsid w:val="00A17791"/>
    <w:rsid w:val="00A20117"/>
    <w:rsid w:val="00A2253A"/>
    <w:rsid w:val="00A25566"/>
    <w:rsid w:val="00A27329"/>
    <w:rsid w:val="00A27E5B"/>
    <w:rsid w:val="00A30497"/>
    <w:rsid w:val="00A32663"/>
    <w:rsid w:val="00A3332C"/>
    <w:rsid w:val="00A373F0"/>
    <w:rsid w:val="00A4051D"/>
    <w:rsid w:val="00A40F13"/>
    <w:rsid w:val="00A431C0"/>
    <w:rsid w:val="00A44519"/>
    <w:rsid w:val="00A4483A"/>
    <w:rsid w:val="00A45D9A"/>
    <w:rsid w:val="00A4628A"/>
    <w:rsid w:val="00A4697A"/>
    <w:rsid w:val="00A5016D"/>
    <w:rsid w:val="00A5177D"/>
    <w:rsid w:val="00A517C0"/>
    <w:rsid w:val="00A56298"/>
    <w:rsid w:val="00A61142"/>
    <w:rsid w:val="00A61F5C"/>
    <w:rsid w:val="00A64FA3"/>
    <w:rsid w:val="00A653B2"/>
    <w:rsid w:val="00A6546A"/>
    <w:rsid w:val="00A67B59"/>
    <w:rsid w:val="00A70845"/>
    <w:rsid w:val="00A70E82"/>
    <w:rsid w:val="00A72304"/>
    <w:rsid w:val="00A7529B"/>
    <w:rsid w:val="00A75AFF"/>
    <w:rsid w:val="00A763CD"/>
    <w:rsid w:val="00A76DAD"/>
    <w:rsid w:val="00A77AA6"/>
    <w:rsid w:val="00A83273"/>
    <w:rsid w:val="00A862CB"/>
    <w:rsid w:val="00A8693B"/>
    <w:rsid w:val="00A90976"/>
    <w:rsid w:val="00A93073"/>
    <w:rsid w:val="00A93340"/>
    <w:rsid w:val="00A93477"/>
    <w:rsid w:val="00A93679"/>
    <w:rsid w:val="00A94A54"/>
    <w:rsid w:val="00A97214"/>
    <w:rsid w:val="00AA2491"/>
    <w:rsid w:val="00AA55A4"/>
    <w:rsid w:val="00AA5FD3"/>
    <w:rsid w:val="00AA74DF"/>
    <w:rsid w:val="00AB36CA"/>
    <w:rsid w:val="00AB521F"/>
    <w:rsid w:val="00AB6FB7"/>
    <w:rsid w:val="00AB7F9E"/>
    <w:rsid w:val="00AC0657"/>
    <w:rsid w:val="00AC0B8D"/>
    <w:rsid w:val="00AC1C2A"/>
    <w:rsid w:val="00AC4397"/>
    <w:rsid w:val="00AC5F05"/>
    <w:rsid w:val="00AC74C5"/>
    <w:rsid w:val="00AD07E4"/>
    <w:rsid w:val="00AD2426"/>
    <w:rsid w:val="00AD2BEC"/>
    <w:rsid w:val="00AD69F1"/>
    <w:rsid w:val="00AE04DB"/>
    <w:rsid w:val="00AE326B"/>
    <w:rsid w:val="00AE6B97"/>
    <w:rsid w:val="00AF0C0A"/>
    <w:rsid w:val="00AF5D31"/>
    <w:rsid w:val="00AF76E3"/>
    <w:rsid w:val="00B0018F"/>
    <w:rsid w:val="00B011DF"/>
    <w:rsid w:val="00B02B30"/>
    <w:rsid w:val="00B04172"/>
    <w:rsid w:val="00B06F2C"/>
    <w:rsid w:val="00B074F8"/>
    <w:rsid w:val="00B11009"/>
    <w:rsid w:val="00B127F5"/>
    <w:rsid w:val="00B12E25"/>
    <w:rsid w:val="00B135AE"/>
    <w:rsid w:val="00B13ECF"/>
    <w:rsid w:val="00B14984"/>
    <w:rsid w:val="00B237F9"/>
    <w:rsid w:val="00B238B7"/>
    <w:rsid w:val="00B24E65"/>
    <w:rsid w:val="00B254F4"/>
    <w:rsid w:val="00B27C90"/>
    <w:rsid w:val="00B30B8B"/>
    <w:rsid w:val="00B32503"/>
    <w:rsid w:val="00B35992"/>
    <w:rsid w:val="00B3630F"/>
    <w:rsid w:val="00B41D22"/>
    <w:rsid w:val="00B45217"/>
    <w:rsid w:val="00B479D3"/>
    <w:rsid w:val="00B52193"/>
    <w:rsid w:val="00B560CE"/>
    <w:rsid w:val="00B57660"/>
    <w:rsid w:val="00B61BC0"/>
    <w:rsid w:val="00B621E8"/>
    <w:rsid w:val="00B65FD2"/>
    <w:rsid w:val="00B67140"/>
    <w:rsid w:val="00B70304"/>
    <w:rsid w:val="00B7175B"/>
    <w:rsid w:val="00B726DF"/>
    <w:rsid w:val="00B73748"/>
    <w:rsid w:val="00B75782"/>
    <w:rsid w:val="00B77BA9"/>
    <w:rsid w:val="00B82A7C"/>
    <w:rsid w:val="00B84858"/>
    <w:rsid w:val="00B8620A"/>
    <w:rsid w:val="00B86CA0"/>
    <w:rsid w:val="00B87B91"/>
    <w:rsid w:val="00B87FCC"/>
    <w:rsid w:val="00B90035"/>
    <w:rsid w:val="00B96852"/>
    <w:rsid w:val="00B970C3"/>
    <w:rsid w:val="00BA0ECD"/>
    <w:rsid w:val="00BA3634"/>
    <w:rsid w:val="00BA4B6E"/>
    <w:rsid w:val="00BA7608"/>
    <w:rsid w:val="00BB1C16"/>
    <w:rsid w:val="00BB2336"/>
    <w:rsid w:val="00BB2CBB"/>
    <w:rsid w:val="00BB42CB"/>
    <w:rsid w:val="00BB47B8"/>
    <w:rsid w:val="00BB4D09"/>
    <w:rsid w:val="00BC040A"/>
    <w:rsid w:val="00BC0FA3"/>
    <w:rsid w:val="00BC1A9C"/>
    <w:rsid w:val="00BC37A6"/>
    <w:rsid w:val="00BC3F9F"/>
    <w:rsid w:val="00BD3CEF"/>
    <w:rsid w:val="00BD4CEE"/>
    <w:rsid w:val="00BD56E7"/>
    <w:rsid w:val="00BD6E93"/>
    <w:rsid w:val="00BD72C6"/>
    <w:rsid w:val="00BE2859"/>
    <w:rsid w:val="00BE47BC"/>
    <w:rsid w:val="00BE6B81"/>
    <w:rsid w:val="00BE71C8"/>
    <w:rsid w:val="00BE7707"/>
    <w:rsid w:val="00BF11D0"/>
    <w:rsid w:val="00BF2273"/>
    <w:rsid w:val="00BF2DEE"/>
    <w:rsid w:val="00BF2F7E"/>
    <w:rsid w:val="00C00584"/>
    <w:rsid w:val="00C00837"/>
    <w:rsid w:val="00C02CA9"/>
    <w:rsid w:val="00C0728F"/>
    <w:rsid w:val="00C10F28"/>
    <w:rsid w:val="00C1176B"/>
    <w:rsid w:val="00C1651E"/>
    <w:rsid w:val="00C21E72"/>
    <w:rsid w:val="00C2505B"/>
    <w:rsid w:val="00C26D63"/>
    <w:rsid w:val="00C272CE"/>
    <w:rsid w:val="00C304F2"/>
    <w:rsid w:val="00C3100B"/>
    <w:rsid w:val="00C33366"/>
    <w:rsid w:val="00C33F92"/>
    <w:rsid w:val="00C35196"/>
    <w:rsid w:val="00C35D53"/>
    <w:rsid w:val="00C3633C"/>
    <w:rsid w:val="00C40BB6"/>
    <w:rsid w:val="00C42E60"/>
    <w:rsid w:val="00C4434A"/>
    <w:rsid w:val="00C461CF"/>
    <w:rsid w:val="00C50677"/>
    <w:rsid w:val="00C5304A"/>
    <w:rsid w:val="00C54A4D"/>
    <w:rsid w:val="00C54C2C"/>
    <w:rsid w:val="00C57A86"/>
    <w:rsid w:val="00C6045E"/>
    <w:rsid w:val="00C614B3"/>
    <w:rsid w:val="00C65537"/>
    <w:rsid w:val="00C65A85"/>
    <w:rsid w:val="00C66813"/>
    <w:rsid w:val="00C66D3A"/>
    <w:rsid w:val="00C80443"/>
    <w:rsid w:val="00C80F6C"/>
    <w:rsid w:val="00C81221"/>
    <w:rsid w:val="00C81608"/>
    <w:rsid w:val="00C81EC5"/>
    <w:rsid w:val="00C84243"/>
    <w:rsid w:val="00C8515C"/>
    <w:rsid w:val="00C86B53"/>
    <w:rsid w:val="00C9097B"/>
    <w:rsid w:val="00C9440D"/>
    <w:rsid w:val="00C9512E"/>
    <w:rsid w:val="00C95960"/>
    <w:rsid w:val="00C9744D"/>
    <w:rsid w:val="00CA0B2A"/>
    <w:rsid w:val="00CA3D80"/>
    <w:rsid w:val="00CA400E"/>
    <w:rsid w:val="00CC2C7A"/>
    <w:rsid w:val="00CC3CF4"/>
    <w:rsid w:val="00CC7047"/>
    <w:rsid w:val="00CD0F7C"/>
    <w:rsid w:val="00CD4D09"/>
    <w:rsid w:val="00CD55BC"/>
    <w:rsid w:val="00CD5C2D"/>
    <w:rsid w:val="00CD66BC"/>
    <w:rsid w:val="00CE084F"/>
    <w:rsid w:val="00CE2261"/>
    <w:rsid w:val="00CE4B0A"/>
    <w:rsid w:val="00CE5274"/>
    <w:rsid w:val="00CE5F53"/>
    <w:rsid w:val="00CE7DAC"/>
    <w:rsid w:val="00CF17D1"/>
    <w:rsid w:val="00D0107E"/>
    <w:rsid w:val="00D0111A"/>
    <w:rsid w:val="00D0191D"/>
    <w:rsid w:val="00D03D47"/>
    <w:rsid w:val="00D04235"/>
    <w:rsid w:val="00D064FA"/>
    <w:rsid w:val="00D07FAC"/>
    <w:rsid w:val="00D10A52"/>
    <w:rsid w:val="00D124DC"/>
    <w:rsid w:val="00D147F1"/>
    <w:rsid w:val="00D15A8F"/>
    <w:rsid w:val="00D20FDF"/>
    <w:rsid w:val="00D23888"/>
    <w:rsid w:val="00D25C05"/>
    <w:rsid w:val="00D26987"/>
    <w:rsid w:val="00D27346"/>
    <w:rsid w:val="00D27BA8"/>
    <w:rsid w:val="00D300BF"/>
    <w:rsid w:val="00D33490"/>
    <w:rsid w:val="00D343E7"/>
    <w:rsid w:val="00D348F3"/>
    <w:rsid w:val="00D3645C"/>
    <w:rsid w:val="00D36A1C"/>
    <w:rsid w:val="00D413B8"/>
    <w:rsid w:val="00D43756"/>
    <w:rsid w:val="00D43F8C"/>
    <w:rsid w:val="00D457F7"/>
    <w:rsid w:val="00D45F5C"/>
    <w:rsid w:val="00D4647F"/>
    <w:rsid w:val="00D55A14"/>
    <w:rsid w:val="00D56C2D"/>
    <w:rsid w:val="00D575C2"/>
    <w:rsid w:val="00D63192"/>
    <w:rsid w:val="00D66E7F"/>
    <w:rsid w:val="00D720D2"/>
    <w:rsid w:val="00D7318B"/>
    <w:rsid w:val="00D74389"/>
    <w:rsid w:val="00D74A96"/>
    <w:rsid w:val="00D76966"/>
    <w:rsid w:val="00D80D09"/>
    <w:rsid w:val="00D80D41"/>
    <w:rsid w:val="00D81396"/>
    <w:rsid w:val="00D83945"/>
    <w:rsid w:val="00D902FD"/>
    <w:rsid w:val="00D90FDA"/>
    <w:rsid w:val="00D92079"/>
    <w:rsid w:val="00D94693"/>
    <w:rsid w:val="00D9753A"/>
    <w:rsid w:val="00DA0790"/>
    <w:rsid w:val="00DA1F6C"/>
    <w:rsid w:val="00DA2B2A"/>
    <w:rsid w:val="00DA670A"/>
    <w:rsid w:val="00DB2D00"/>
    <w:rsid w:val="00DB2F3F"/>
    <w:rsid w:val="00DB4FC3"/>
    <w:rsid w:val="00DB79F4"/>
    <w:rsid w:val="00DC1A04"/>
    <w:rsid w:val="00DC2855"/>
    <w:rsid w:val="00DD0D0A"/>
    <w:rsid w:val="00DD0F68"/>
    <w:rsid w:val="00DD2A29"/>
    <w:rsid w:val="00DE0878"/>
    <w:rsid w:val="00DE145D"/>
    <w:rsid w:val="00DE2C0C"/>
    <w:rsid w:val="00DE3C26"/>
    <w:rsid w:val="00DE3C63"/>
    <w:rsid w:val="00DE450F"/>
    <w:rsid w:val="00DE49A8"/>
    <w:rsid w:val="00DE7203"/>
    <w:rsid w:val="00DE7D28"/>
    <w:rsid w:val="00DF06F9"/>
    <w:rsid w:val="00DF07E7"/>
    <w:rsid w:val="00DF13A6"/>
    <w:rsid w:val="00DF5254"/>
    <w:rsid w:val="00DF6B69"/>
    <w:rsid w:val="00E008DB"/>
    <w:rsid w:val="00E020A8"/>
    <w:rsid w:val="00E02D57"/>
    <w:rsid w:val="00E12D8C"/>
    <w:rsid w:val="00E13E42"/>
    <w:rsid w:val="00E145BA"/>
    <w:rsid w:val="00E1481D"/>
    <w:rsid w:val="00E164E7"/>
    <w:rsid w:val="00E165AF"/>
    <w:rsid w:val="00E16612"/>
    <w:rsid w:val="00E1689C"/>
    <w:rsid w:val="00E25834"/>
    <w:rsid w:val="00E27AAB"/>
    <w:rsid w:val="00E27B6D"/>
    <w:rsid w:val="00E3201B"/>
    <w:rsid w:val="00E336D1"/>
    <w:rsid w:val="00E34ED8"/>
    <w:rsid w:val="00E406FA"/>
    <w:rsid w:val="00E42852"/>
    <w:rsid w:val="00E44994"/>
    <w:rsid w:val="00E461A3"/>
    <w:rsid w:val="00E47C7D"/>
    <w:rsid w:val="00E50627"/>
    <w:rsid w:val="00E50D37"/>
    <w:rsid w:val="00E52891"/>
    <w:rsid w:val="00E52A5D"/>
    <w:rsid w:val="00E53328"/>
    <w:rsid w:val="00E561FE"/>
    <w:rsid w:val="00E576A2"/>
    <w:rsid w:val="00E57D81"/>
    <w:rsid w:val="00E663A2"/>
    <w:rsid w:val="00E7245A"/>
    <w:rsid w:val="00E73619"/>
    <w:rsid w:val="00E74635"/>
    <w:rsid w:val="00E74739"/>
    <w:rsid w:val="00E7544E"/>
    <w:rsid w:val="00E803CC"/>
    <w:rsid w:val="00E80E82"/>
    <w:rsid w:val="00E8159C"/>
    <w:rsid w:val="00E82DED"/>
    <w:rsid w:val="00E90B20"/>
    <w:rsid w:val="00E95A7C"/>
    <w:rsid w:val="00E97A26"/>
    <w:rsid w:val="00EA0203"/>
    <w:rsid w:val="00EA1C48"/>
    <w:rsid w:val="00EA4285"/>
    <w:rsid w:val="00EA724D"/>
    <w:rsid w:val="00EA7BAA"/>
    <w:rsid w:val="00EB5714"/>
    <w:rsid w:val="00EB63F9"/>
    <w:rsid w:val="00EC2FE7"/>
    <w:rsid w:val="00EC3C34"/>
    <w:rsid w:val="00ED1DF1"/>
    <w:rsid w:val="00ED2C41"/>
    <w:rsid w:val="00ED3B0F"/>
    <w:rsid w:val="00ED55FC"/>
    <w:rsid w:val="00ED65F8"/>
    <w:rsid w:val="00ED7F0F"/>
    <w:rsid w:val="00EE22A2"/>
    <w:rsid w:val="00EE2EA9"/>
    <w:rsid w:val="00EE3248"/>
    <w:rsid w:val="00EE3E5F"/>
    <w:rsid w:val="00EE4A28"/>
    <w:rsid w:val="00EE7584"/>
    <w:rsid w:val="00EF37BF"/>
    <w:rsid w:val="00EF4943"/>
    <w:rsid w:val="00EF5F99"/>
    <w:rsid w:val="00EF6E11"/>
    <w:rsid w:val="00F0032A"/>
    <w:rsid w:val="00F01122"/>
    <w:rsid w:val="00F04910"/>
    <w:rsid w:val="00F04CB8"/>
    <w:rsid w:val="00F05DB6"/>
    <w:rsid w:val="00F11524"/>
    <w:rsid w:val="00F125EC"/>
    <w:rsid w:val="00F12935"/>
    <w:rsid w:val="00F13CFF"/>
    <w:rsid w:val="00F145B5"/>
    <w:rsid w:val="00F2044C"/>
    <w:rsid w:val="00F20F25"/>
    <w:rsid w:val="00F21B85"/>
    <w:rsid w:val="00F22681"/>
    <w:rsid w:val="00F2504D"/>
    <w:rsid w:val="00F256D9"/>
    <w:rsid w:val="00F2731C"/>
    <w:rsid w:val="00F32122"/>
    <w:rsid w:val="00F34D6D"/>
    <w:rsid w:val="00F35712"/>
    <w:rsid w:val="00F411C7"/>
    <w:rsid w:val="00F423DA"/>
    <w:rsid w:val="00F4250A"/>
    <w:rsid w:val="00F4263D"/>
    <w:rsid w:val="00F44B4C"/>
    <w:rsid w:val="00F524B7"/>
    <w:rsid w:val="00F52F50"/>
    <w:rsid w:val="00F54818"/>
    <w:rsid w:val="00F56709"/>
    <w:rsid w:val="00F57055"/>
    <w:rsid w:val="00F57B33"/>
    <w:rsid w:val="00F57BA1"/>
    <w:rsid w:val="00F6062F"/>
    <w:rsid w:val="00F63A01"/>
    <w:rsid w:val="00F64DD9"/>
    <w:rsid w:val="00F71F47"/>
    <w:rsid w:val="00F724CA"/>
    <w:rsid w:val="00F72B04"/>
    <w:rsid w:val="00F74D52"/>
    <w:rsid w:val="00F756A0"/>
    <w:rsid w:val="00F76E4A"/>
    <w:rsid w:val="00F772B3"/>
    <w:rsid w:val="00F776A6"/>
    <w:rsid w:val="00F814E9"/>
    <w:rsid w:val="00F83F0A"/>
    <w:rsid w:val="00F84E4D"/>
    <w:rsid w:val="00F86F3A"/>
    <w:rsid w:val="00F87B55"/>
    <w:rsid w:val="00F9426F"/>
    <w:rsid w:val="00F952C9"/>
    <w:rsid w:val="00F978C5"/>
    <w:rsid w:val="00FA1A77"/>
    <w:rsid w:val="00FA1A97"/>
    <w:rsid w:val="00FA41A3"/>
    <w:rsid w:val="00FA5E8D"/>
    <w:rsid w:val="00FB27AA"/>
    <w:rsid w:val="00FB4229"/>
    <w:rsid w:val="00FB5212"/>
    <w:rsid w:val="00FB6BF6"/>
    <w:rsid w:val="00FB7353"/>
    <w:rsid w:val="00FB7441"/>
    <w:rsid w:val="00FC071F"/>
    <w:rsid w:val="00FC3794"/>
    <w:rsid w:val="00FC55AC"/>
    <w:rsid w:val="00FC579E"/>
    <w:rsid w:val="00FC614D"/>
    <w:rsid w:val="00FD0955"/>
    <w:rsid w:val="00FD15E1"/>
    <w:rsid w:val="00FD3853"/>
    <w:rsid w:val="00FD5D29"/>
    <w:rsid w:val="00FD6B80"/>
    <w:rsid w:val="00FD7D3D"/>
    <w:rsid w:val="00FD7DCC"/>
    <w:rsid w:val="00FD7E60"/>
    <w:rsid w:val="00FE00C4"/>
    <w:rsid w:val="00FE130F"/>
    <w:rsid w:val="00FF07C6"/>
    <w:rsid w:val="00FF1ADD"/>
    <w:rsid w:val="00FF23F1"/>
    <w:rsid w:val="00FF31C4"/>
    <w:rsid w:val="00FF56CC"/>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837"/>
    <w:pPr>
      <w:tabs>
        <w:tab w:val="left" w:pos="720"/>
        <w:tab w:val="left" w:pos="1080"/>
        <w:tab w:val="left" w:pos="1440"/>
        <w:tab w:val="left" w:pos="1800"/>
      </w:tabs>
      <w:spacing w:line="264" w:lineRule="auto"/>
    </w:pPr>
    <w:rPr>
      <w:sz w:val="22"/>
    </w:rPr>
  </w:style>
  <w:style w:type="paragraph" w:styleId="Heading3">
    <w:name w:val="heading 3"/>
    <w:basedOn w:val="Normal"/>
    <w:next w:val="Normal"/>
    <w:link w:val="Heading3Char"/>
    <w:uiPriority w:val="9"/>
    <w:unhideWhenUsed/>
    <w:qFormat/>
    <w:rsid w:val="00DB79F4"/>
    <w:pPr>
      <w:keepNext/>
      <w:keepLines/>
      <w:tabs>
        <w:tab w:val="clear" w:pos="720"/>
        <w:tab w:val="clear" w:pos="1080"/>
        <w:tab w:val="clear" w:pos="1440"/>
        <w:tab w:val="clear" w:pos="1800"/>
      </w:tabs>
      <w:spacing w:before="200" w:line="276" w:lineRule="auto"/>
      <w:outlineLvl w:val="2"/>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837"/>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C00837"/>
  </w:style>
  <w:style w:type="character" w:styleId="PageNumber">
    <w:name w:val="page number"/>
    <w:rsid w:val="00C00837"/>
    <w:rPr>
      <w:rFonts w:ascii="Arial" w:hAnsi="Arial"/>
      <w:dstrike w:val="0"/>
      <w:color w:val="auto"/>
      <w:sz w:val="18"/>
      <w:bdr w:val="none" w:sz="0" w:space="0" w:color="auto"/>
      <w:vertAlign w:val="baseline"/>
    </w:rPr>
  </w:style>
  <w:style w:type="paragraph" w:customStyle="1" w:styleId="AbtHeadA">
    <w:name w:val="AbtHead A"/>
    <w:basedOn w:val="Normal"/>
    <w:next w:val="BodyText"/>
    <w:rsid w:val="00C00837"/>
    <w:pPr>
      <w:keepNext/>
      <w:keepLines/>
      <w:spacing w:after="360"/>
      <w:outlineLvl w:val="0"/>
    </w:pPr>
    <w:rPr>
      <w:rFonts w:ascii="Arial" w:hAnsi="Arial"/>
      <w:b/>
      <w:sz w:val="36"/>
    </w:rPr>
  </w:style>
  <w:style w:type="paragraph" w:styleId="Header">
    <w:name w:val="header"/>
    <w:basedOn w:val="Normal"/>
    <w:link w:val="HeaderChar"/>
    <w:rsid w:val="00C00837"/>
    <w:pPr>
      <w:tabs>
        <w:tab w:val="clear" w:pos="720"/>
        <w:tab w:val="clear" w:pos="1080"/>
        <w:tab w:val="clear" w:pos="1440"/>
        <w:tab w:val="center" w:pos="4320"/>
        <w:tab w:val="right" w:pos="8640"/>
      </w:tabs>
    </w:pPr>
  </w:style>
  <w:style w:type="character" w:styleId="CommentReference">
    <w:name w:val="annotation reference"/>
    <w:semiHidden/>
    <w:rsid w:val="00C00837"/>
    <w:rPr>
      <w:sz w:val="16"/>
    </w:rPr>
  </w:style>
  <w:style w:type="paragraph" w:customStyle="1" w:styleId="Table">
    <w:name w:val="Table"/>
    <w:basedOn w:val="Normal"/>
    <w:rsid w:val="00C00837"/>
    <w:rPr>
      <w:rFonts w:ascii="Arial" w:hAnsi="Arial"/>
      <w:sz w:val="20"/>
    </w:rPr>
  </w:style>
  <w:style w:type="paragraph" w:customStyle="1" w:styleId="AbtHeadB">
    <w:name w:val="AbtHead B"/>
    <w:basedOn w:val="Normal"/>
    <w:next w:val="BodyText"/>
    <w:rsid w:val="00C00837"/>
    <w:pPr>
      <w:keepNext/>
      <w:keepLines/>
      <w:spacing w:after="280"/>
      <w:outlineLvl w:val="1"/>
    </w:pPr>
    <w:rPr>
      <w:rFonts w:ascii="Arial" w:hAnsi="Arial"/>
      <w:b/>
      <w:sz w:val="28"/>
    </w:rPr>
  </w:style>
  <w:style w:type="paragraph" w:customStyle="1" w:styleId="AbtHeadC">
    <w:name w:val="AbtHead C"/>
    <w:basedOn w:val="Normal"/>
    <w:next w:val="BodyText"/>
    <w:link w:val="AbtHeadCChar"/>
    <w:rsid w:val="00C00837"/>
    <w:pPr>
      <w:keepNext/>
      <w:keepLines/>
      <w:spacing w:after="240"/>
      <w:outlineLvl w:val="2"/>
    </w:pPr>
    <w:rPr>
      <w:rFonts w:ascii="Arial" w:hAnsi="Arial"/>
      <w:b/>
      <w:sz w:val="20"/>
    </w:rPr>
  </w:style>
  <w:style w:type="paragraph" w:customStyle="1" w:styleId="Bullets">
    <w:name w:val="Bullets"/>
    <w:basedOn w:val="BodyText"/>
    <w:rsid w:val="00C00837"/>
    <w:pPr>
      <w:numPr>
        <w:numId w:val="3"/>
      </w:numPr>
    </w:pPr>
  </w:style>
  <w:style w:type="character" w:styleId="Hyperlink">
    <w:name w:val="Hyperlink"/>
    <w:uiPriority w:val="99"/>
    <w:rsid w:val="00C00837"/>
    <w:rPr>
      <w:color w:val="0000FF"/>
      <w:u w:val="single"/>
    </w:rPr>
  </w:style>
  <w:style w:type="paragraph" w:styleId="CommentText">
    <w:name w:val="annotation text"/>
    <w:basedOn w:val="Normal"/>
    <w:semiHidden/>
    <w:rsid w:val="00C00837"/>
    <w:rPr>
      <w:sz w:val="20"/>
    </w:rPr>
  </w:style>
  <w:style w:type="paragraph" w:styleId="EndnoteText">
    <w:name w:val="endnote text"/>
    <w:basedOn w:val="Normal"/>
    <w:semiHidden/>
    <w:rsid w:val="00C00837"/>
    <w:pPr>
      <w:tabs>
        <w:tab w:val="clear" w:pos="720"/>
        <w:tab w:val="clear" w:pos="1080"/>
        <w:tab w:val="clear" w:pos="1440"/>
        <w:tab w:val="clear" w:pos="1800"/>
      </w:tabs>
      <w:spacing w:after="120" w:line="240" w:lineRule="auto"/>
      <w:ind w:left="360" w:hanging="360"/>
    </w:pPr>
    <w:rPr>
      <w:sz w:val="20"/>
    </w:rPr>
  </w:style>
  <w:style w:type="paragraph" w:customStyle="1" w:styleId="table1">
    <w:name w:val="table1"/>
    <w:basedOn w:val="Normal"/>
    <w:rsid w:val="00C00837"/>
    <w:pPr>
      <w:tabs>
        <w:tab w:val="left" w:pos="216"/>
      </w:tabs>
      <w:spacing w:line="240" w:lineRule="auto"/>
    </w:pPr>
    <w:rPr>
      <w:rFonts w:ascii="Arial Narrow" w:hAnsi="Arial Narrow"/>
      <w:sz w:val="18"/>
    </w:rPr>
  </w:style>
  <w:style w:type="paragraph" w:styleId="BalloonText">
    <w:name w:val="Balloon Text"/>
    <w:basedOn w:val="Normal"/>
    <w:semiHidden/>
    <w:rsid w:val="00C00837"/>
    <w:rPr>
      <w:rFonts w:ascii="Tahoma" w:hAnsi="Tahoma" w:cs="Tahoma"/>
      <w:sz w:val="16"/>
      <w:szCs w:val="16"/>
    </w:rPr>
  </w:style>
  <w:style w:type="paragraph" w:styleId="CommentSubject">
    <w:name w:val="annotation subject"/>
    <w:basedOn w:val="CommentText"/>
    <w:next w:val="CommentText"/>
    <w:semiHidden/>
    <w:rsid w:val="00C9440D"/>
    <w:rPr>
      <w:b/>
      <w:bCs/>
    </w:rPr>
  </w:style>
  <w:style w:type="paragraph" w:styleId="NormalWeb">
    <w:name w:val="Normal (Web)"/>
    <w:basedOn w:val="Normal"/>
    <w:uiPriority w:val="99"/>
    <w:rsid w:val="00A25566"/>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FootnoteText">
    <w:name w:val="footnote text"/>
    <w:aliases w:val="F1"/>
    <w:basedOn w:val="Normal"/>
    <w:link w:val="FootnoteTextChar"/>
    <w:uiPriority w:val="99"/>
    <w:rsid w:val="009E28FE"/>
    <w:rPr>
      <w:sz w:val="20"/>
    </w:rPr>
  </w:style>
  <w:style w:type="character" w:styleId="FootnoteReference">
    <w:name w:val="footnote reference"/>
    <w:uiPriority w:val="99"/>
    <w:rsid w:val="009E28FE"/>
    <w:rPr>
      <w:vertAlign w:val="superscript"/>
    </w:rPr>
  </w:style>
  <w:style w:type="paragraph" w:customStyle="1" w:styleId="Normal1">
    <w:name w:val="Normal1"/>
    <w:basedOn w:val="Normal"/>
    <w:rsid w:val="00047E64"/>
    <w:pPr>
      <w:tabs>
        <w:tab w:val="clear" w:pos="720"/>
        <w:tab w:val="clear" w:pos="1080"/>
        <w:tab w:val="clear" w:pos="1440"/>
        <w:tab w:val="clear" w:pos="1800"/>
      </w:tabs>
      <w:suppressAutoHyphens/>
      <w:spacing w:line="240" w:lineRule="auto"/>
      <w:jc w:val="both"/>
    </w:pPr>
    <w:rPr>
      <w:rFonts w:ascii="Calibri" w:eastAsia="SimSun" w:hAnsi="Calibri" w:cs="font294"/>
      <w:kern w:val="1"/>
      <w:sz w:val="21"/>
      <w:szCs w:val="22"/>
      <w:lang w:eastAsia="ar-SA"/>
    </w:rPr>
  </w:style>
  <w:style w:type="paragraph" w:styleId="NoSpacing">
    <w:name w:val="No Spacing"/>
    <w:qFormat/>
    <w:rsid w:val="00EF5F99"/>
    <w:rPr>
      <w:rFonts w:ascii="Calibri" w:hAnsi="Calibri"/>
      <w:sz w:val="22"/>
      <w:szCs w:val="22"/>
    </w:rPr>
  </w:style>
  <w:style w:type="paragraph" w:styleId="ListParagraph">
    <w:name w:val="List Paragraph"/>
    <w:basedOn w:val="Normal"/>
    <w:uiPriority w:val="34"/>
    <w:qFormat/>
    <w:rsid w:val="00FF07C6"/>
    <w:pPr>
      <w:tabs>
        <w:tab w:val="clear" w:pos="720"/>
        <w:tab w:val="clear" w:pos="1080"/>
        <w:tab w:val="clear" w:pos="1440"/>
        <w:tab w:val="clear" w:pos="1800"/>
      </w:tabs>
      <w:spacing w:line="240" w:lineRule="auto"/>
      <w:ind w:left="720"/>
    </w:pPr>
    <w:rPr>
      <w:rFonts w:ascii="Calibri" w:eastAsia="SimSun" w:hAnsi="Calibri"/>
      <w:szCs w:val="22"/>
      <w:lang w:eastAsia="zh-CN"/>
    </w:rPr>
  </w:style>
  <w:style w:type="character" w:customStyle="1" w:styleId="FootnoteTextChar">
    <w:name w:val="Footnote Text Char"/>
    <w:aliases w:val="F1 Char"/>
    <w:link w:val="FootnoteText"/>
    <w:uiPriority w:val="99"/>
    <w:locked/>
    <w:rsid w:val="003716C3"/>
    <w:rPr>
      <w:lang w:val="en-US" w:eastAsia="en-US" w:bidi="ar-SA"/>
    </w:rPr>
  </w:style>
  <w:style w:type="character" w:customStyle="1" w:styleId="HeaderChar">
    <w:name w:val="Header Char"/>
    <w:link w:val="Header"/>
    <w:semiHidden/>
    <w:locked/>
    <w:rsid w:val="00196EF1"/>
    <w:rPr>
      <w:sz w:val="22"/>
      <w:lang w:val="en-US" w:eastAsia="en-US" w:bidi="ar-SA"/>
    </w:rPr>
  </w:style>
  <w:style w:type="paragraph" w:customStyle="1" w:styleId="AbtHeadD">
    <w:name w:val="AbtHead D"/>
    <w:basedOn w:val="Normal"/>
    <w:rsid w:val="00196EF1"/>
    <w:pPr>
      <w:keepNext/>
      <w:tabs>
        <w:tab w:val="clear" w:pos="720"/>
        <w:tab w:val="clear" w:pos="1080"/>
        <w:tab w:val="clear" w:pos="1440"/>
        <w:tab w:val="clear" w:pos="1800"/>
      </w:tabs>
    </w:pPr>
    <w:rPr>
      <w:rFonts w:eastAsia="Calibri"/>
      <w:b/>
      <w:bCs/>
      <w:i/>
      <w:iCs/>
      <w:szCs w:val="22"/>
    </w:rPr>
  </w:style>
  <w:style w:type="paragraph" w:styleId="TOC1">
    <w:name w:val="toc 1"/>
    <w:basedOn w:val="BodyText"/>
    <w:next w:val="BodyText"/>
    <w:uiPriority w:val="39"/>
    <w:rsid w:val="00BA3634"/>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BA3634"/>
    <w:pPr>
      <w:tabs>
        <w:tab w:val="clear" w:pos="720"/>
        <w:tab w:val="clear" w:pos="1080"/>
        <w:tab w:val="clear" w:pos="1440"/>
        <w:tab w:val="clear" w:pos="1800"/>
      </w:tabs>
      <w:ind w:left="576"/>
    </w:pPr>
  </w:style>
  <w:style w:type="paragraph" w:styleId="TOC3">
    <w:name w:val="toc 3"/>
    <w:basedOn w:val="BodyText"/>
    <w:next w:val="BodyText"/>
    <w:uiPriority w:val="39"/>
    <w:rsid w:val="00BA3634"/>
    <w:pPr>
      <w:tabs>
        <w:tab w:val="clear" w:pos="720"/>
        <w:tab w:val="clear" w:pos="1080"/>
        <w:tab w:val="clear" w:pos="1440"/>
        <w:tab w:val="clear" w:pos="1800"/>
      </w:tabs>
      <w:ind w:left="1152"/>
    </w:pPr>
  </w:style>
  <w:style w:type="paragraph" w:styleId="TOC4">
    <w:name w:val="toc 4"/>
    <w:basedOn w:val="BodyText"/>
    <w:next w:val="BodyText"/>
    <w:uiPriority w:val="39"/>
    <w:rsid w:val="00BA3634"/>
    <w:pPr>
      <w:tabs>
        <w:tab w:val="clear" w:pos="720"/>
        <w:tab w:val="clear" w:pos="1080"/>
        <w:tab w:val="clear" w:pos="1440"/>
        <w:tab w:val="clear" w:pos="1800"/>
      </w:tabs>
      <w:ind w:left="1728"/>
    </w:pPr>
  </w:style>
  <w:style w:type="character" w:styleId="FollowedHyperlink">
    <w:name w:val="FollowedHyperlink"/>
    <w:rsid w:val="00D147F1"/>
    <w:rPr>
      <w:color w:val="800080"/>
      <w:u w:val="single"/>
    </w:rPr>
  </w:style>
  <w:style w:type="paragraph" w:customStyle="1" w:styleId="subheading">
    <w:name w:val="subheading"/>
    <w:basedOn w:val="AbtHeadC"/>
    <w:link w:val="subheadingChar"/>
    <w:qFormat/>
    <w:rsid w:val="002341C1"/>
  </w:style>
  <w:style w:type="paragraph" w:styleId="PlainText">
    <w:name w:val="Plain Text"/>
    <w:basedOn w:val="Normal"/>
    <w:link w:val="PlainTextChar"/>
    <w:uiPriority w:val="99"/>
    <w:unhideWhenUsed/>
    <w:rsid w:val="001056EE"/>
    <w:pPr>
      <w:tabs>
        <w:tab w:val="clear" w:pos="720"/>
        <w:tab w:val="clear" w:pos="1080"/>
        <w:tab w:val="clear" w:pos="1440"/>
        <w:tab w:val="clear" w:pos="1800"/>
      </w:tabs>
      <w:spacing w:line="240" w:lineRule="auto"/>
    </w:pPr>
    <w:rPr>
      <w:rFonts w:ascii="Calibri" w:eastAsia="Calibri" w:hAnsi="Calibri"/>
      <w:szCs w:val="21"/>
    </w:rPr>
  </w:style>
  <w:style w:type="character" w:customStyle="1" w:styleId="AbtHeadCChar">
    <w:name w:val="AbtHead C Char"/>
    <w:link w:val="AbtHeadC"/>
    <w:rsid w:val="002341C1"/>
    <w:rPr>
      <w:rFonts w:ascii="Arial" w:hAnsi="Arial"/>
      <w:b/>
    </w:rPr>
  </w:style>
  <w:style w:type="character" w:customStyle="1" w:styleId="subheadingChar">
    <w:name w:val="subheading Char"/>
    <w:basedOn w:val="AbtHeadCChar"/>
    <w:link w:val="subheading"/>
    <w:rsid w:val="002341C1"/>
    <w:rPr>
      <w:rFonts w:ascii="Arial" w:hAnsi="Arial"/>
      <w:b/>
    </w:rPr>
  </w:style>
  <w:style w:type="character" w:customStyle="1" w:styleId="PlainTextChar">
    <w:name w:val="Plain Text Char"/>
    <w:link w:val="PlainText"/>
    <w:uiPriority w:val="99"/>
    <w:rsid w:val="001056EE"/>
    <w:rPr>
      <w:rFonts w:ascii="Calibri" w:eastAsia="Calibri" w:hAnsi="Calibri"/>
      <w:sz w:val="22"/>
      <w:szCs w:val="21"/>
    </w:rPr>
  </w:style>
  <w:style w:type="paragraph" w:customStyle="1" w:styleId="NormalSS">
    <w:name w:val="NormalSS"/>
    <w:basedOn w:val="Normal"/>
    <w:qFormat/>
    <w:rsid w:val="00485EEE"/>
    <w:pPr>
      <w:tabs>
        <w:tab w:val="clear" w:pos="720"/>
        <w:tab w:val="clear" w:pos="1080"/>
        <w:tab w:val="clear" w:pos="1440"/>
        <w:tab w:val="clear" w:pos="1800"/>
        <w:tab w:val="left" w:pos="432"/>
      </w:tabs>
      <w:spacing w:after="240" w:line="240" w:lineRule="auto"/>
      <w:ind w:firstLine="432"/>
      <w:jc w:val="both"/>
    </w:pPr>
    <w:rPr>
      <w:sz w:val="24"/>
    </w:rPr>
  </w:style>
  <w:style w:type="paragraph" w:customStyle="1" w:styleId="ParagraphLAST">
    <w:name w:val="Paragraph (LAST)"/>
    <w:basedOn w:val="Normal"/>
    <w:next w:val="Normal"/>
    <w:rsid w:val="00485EEE"/>
    <w:pPr>
      <w:tabs>
        <w:tab w:val="clear" w:pos="720"/>
        <w:tab w:val="clear" w:pos="1080"/>
        <w:tab w:val="clear" w:pos="1440"/>
        <w:tab w:val="clear" w:pos="1800"/>
        <w:tab w:val="left" w:pos="432"/>
      </w:tabs>
      <w:spacing w:after="240" w:line="480" w:lineRule="auto"/>
      <w:ind w:firstLine="432"/>
      <w:jc w:val="both"/>
    </w:pPr>
    <w:rPr>
      <w:sz w:val="24"/>
    </w:rPr>
  </w:style>
  <w:style w:type="character" w:customStyle="1" w:styleId="Heading3Char">
    <w:name w:val="Heading 3 Char"/>
    <w:basedOn w:val="DefaultParagraphFont"/>
    <w:link w:val="Heading3"/>
    <w:uiPriority w:val="9"/>
    <w:rsid w:val="00DB79F4"/>
    <w:rPr>
      <w:rFonts w:ascii="Arial Narrow" w:hAnsi="Arial Narrow"/>
      <w:b/>
      <w:bCs/>
      <w:sz w:val="24"/>
    </w:rPr>
  </w:style>
  <w:style w:type="paragraph" w:customStyle="1" w:styleId="ReportBodyText">
    <w:name w:val="Report Body Text"/>
    <w:basedOn w:val="ListParagraph"/>
    <w:link w:val="ReportBodyTextChar"/>
    <w:qFormat/>
    <w:rsid w:val="00DB79F4"/>
    <w:pPr>
      <w:ind w:left="0"/>
    </w:pPr>
    <w:rPr>
      <w:rFonts w:ascii="Arial Narrow" w:eastAsia="Times New Roman" w:hAnsi="Arial Narrow"/>
      <w:sz w:val="24"/>
      <w:szCs w:val="24"/>
      <w:lang w:eastAsia="en-US"/>
    </w:rPr>
  </w:style>
  <w:style w:type="character" w:customStyle="1" w:styleId="ReportBodyTextChar">
    <w:name w:val="Report Body Text Char"/>
    <w:link w:val="ReportBodyText"/>
    <w:rsid w:val="00DB79F4"/>
    <w:rPr>
      <w:rFonts w:ascii="Arial Narrow" w:hAnsi="Arial Narrow"/>
      <w:sz w:val="24"/>
      <w:szCs w:val="24"/>
    </w:rPr>
  </w:style>
  <w:style w:type="paragraph" w:customStyle="1" w:styleId="Default">
    <w:name w:val="Default"/>
    <w:rsid w:val="008823F3"/>
    <w:pPr>
      <w:autoSpaceDE w:val="0"/>
      <w:autoSpaceDN w:val="0"/>
      <w:adjustRightInd w:val="0"/>
    </w:pPr>
    <w:rPr>
      <w:color w:val="000000"/>
      <w:sz w:val="24"/>
      <w:szCs w:val="24"/>
    </w:rPr>
  </w:style>
  <w:style w:type="character" w:customStyle="1" w:styleId="st1">
    <w:name w:val="st1"/>
    <w:basedOn w:val="DefaultParagraphFont"/>
    <w:rsid w:val="00C81608"/>
  </w:style>
  <w:style w:type="character" w:customStyle="1" w:styleId="FooterChar">
    <w:name w:val="Footer Char"/>
    <w:basedOn w:val="DefaultParagraphFont"/>
    <w:link w:val="Footer"/>
    <w:uiPriority w:val="99"/>
    <w:rsid w:val="00192849"/>
    <w:rPr>
      <w:rFonts w:ascii="Arial" w:hAnsi="Arial"/>
      <w:b/>
      <w:sz w:val="18"/>
    </w:rPr>
  </w:style>
  <w:style w:type="character" w:customStyle="1" w:styleId="nlmpublisher-name">
    <w:name w:val="nlm_publisher-name"/>
    <w:basedOn w:val="DefaultParagraphFont"/>
    <w:rsid w:val="0029737E"/>
  </w:style>
  <w:style w:type="character" w:styleId="Emphasis">
    <w:name w:val="Emphasis"/>
    <w:basedOn w:val="DefaultParagraphFont"/>
    <w:uiPriority w:val="20"/>
    <w:qFormat/>
    <w:rsid w:val="00CA400E"/>
    <w:rPr>
      <w:i/>
      <w:iCs/>
    </w:rPr>
  </w:style>
  <w:style w:type="character" w:customStyle="1" w:styleId="name">
    <w:name w:val="name"/>
    <w:basedOn w:val="DefaultParagraphFont"/>
    <w:rsid w:val="00A4628A"/>
  </w:style>
  <w:style w:type="character" w:customStyle="1" w:styleId="xref-sep2">
    <w:name w:val="xref-sep2"/>
    <w:basedOn w:val="DefaultParagraphFont"/>
    <w:rsid w:val="00A4628A"/>
  </w:style>
  <w:style w:type="character" w:customStyle="1" w:styleId="grame">
    <w:name w:val="grame"/>
    <w:basedOn w:val="DefaultParagraphFont"/>
    <w:rsid w:val="00A72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837"/>
    <w:pPr>
      <w:tabs>
        <w:tab w:val="left" w:pos="720"/>
        <w:tab w:val="left" w:pos="1080"/>
        <w:tab w:val="left" w:pos="1440"/>
        <w:tab w:val="left" w:pos="1800"/>
      </w:tabs>
      <w:spacing w:line="264" w:lineRule="auto"/>
    </w:pPr>
    <w:rPr>
      <w:sz w:val="22"/>
    </w:rPr>
  </w:style>
  <w:style w:type="paragraph" w:styleId="Heading3">
    <w:name w:val="heading 3"/>
    <w:basedOn w:val="Normal"/>
    <w:next w:val="Normal"/>
    <w:link w:val="Heading3Char"/>
    <w:uiPriority w:val="9"/>
    <w:unhideWhenUsed/>
    <w:qFormat/>
    <w:rsid w:val="00DB79F4"/>
    <w:pPr>
      <w:keepNext/>
      <w:keepLines/>
      <w:tabs>
        <w:tab w:val="clear" w:pos="720"/>
        <w:tab w:val="clear" w:pos="1080"/>
        <w:tab w:val="clear" w:pos="1440"/>
        <w:tab w:val="clear" w:pos="1800"/>
      </w:tabs>
      <w:spacing w:before="200" w:line="276" w:lineRule="auto"/>
      <w:outlineLvl w:val="2"/>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837"/>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C00837"/>
  </w:style>
  <w:style w:type="character" w:styleId="PageNumber">
    <w:name w:val="page number"/>
    <w:rsid w:val="00C00837"/>
    <w:rPr>
      <w:rFonts w:ascii="Arial" w:hAnsi="Arial"/>
      <w:dstrike w:val="0"/>
      <w:color w:val="auto"/>
      <w:sz w:val="18"/>
      <w:bdr w:val="none" w:sz="0" w:space="0" w:color="auto"/>
      <w:vertAlign w:val="baseline"/>
    </w:rPr>
  </w:style>
  <w:style w:type="paragraph" w:customStyle="1" w:styleId="AbtHeadA">
    <w:name w:val="AbtHead A"/>
    <w:basedOn w:val="Normal"/>
    <w:next w:val="BodyText"/>
    <w:rsid w:val="00C00837"/>
    <w:pPr>
      <w:keepNext/>
      <w:keepLines/>
      <w:spacing w:after="360"/>
      <w:outlineLvl w:val="0"/>
    </w:pPr>
    <w:rPr>
      <w:rFonts w:ascii="Arial" w:hAnsi="Arial"/>
      <w:b/>
      <w:sz w:val="36"/>
    </w:rPr>
  </w:style>
  <w:style w:type="paragraph" w:styleId="Header">
    <w:name w:val="header"/>
    <w:basedOn w:val="Normal"/>
    <w:link w:val="HeaderChar"/>
    <w:rsid w:val="00C00837"/>
    <w:pPr>
      <w:tabs>
        <w:tab w:val="clear" w:pos="720"/>
        <w:tab w:val="clear" w:pos="1080"/>
        <w:tab w:val="clear" w:pos="1440"/>
        <w:tab w:val="center" w:pos="4320"/>
        <w:tab w:val="right" w:pos="8640"/>
      </w:tabs>
    </w:pPr>
  </w:style>
  <w:style w:type="character" w:styleId="CommentReference">
    <w:name w:val="annotation reference"/>
    <w:semiHidden/>
    <w:rsid w:val="00C00837"/>
    <w:rPr>
      <w:sz w:val="16"/>
    </w:rPr>
  </w:style>
  <w:style w:type="paragraph" w:customStyle="1" w:styleId="Table">
    <w:name w:val="Table"/>
    <w:basedOn w:val="Normal"/>
    <w:rsid w:val="00C00837"/>
    <w:rPr>
      <w:rFonts w:ascii="Arial" w:hAnsi="Arial"/>
      <w:sz w:val="20"/>
    </w:rPr>
  </w:style>
  <w:style w:type="paragraph" w:customStyle="1" w:styleId="AbtHeadB">
    <w:name w:val="AbtHead B"/>
    <w:basedOn w:val="Normal"/>
    <w:next w:val="BodyText"/>
    <w:rsid w:val="00C00837"/>
    <w:pPr>
      <w:keepNext/>
      <w:keepLines/>
      <w:spacing w:after="280"/>
      <w:outlineLvl w:val="1"/>
    </w:pPr>
    <w:rPr>
      <w:rFonts w:ascii="Arial" w:hAnsi="Arial"/>
      <w:b/>
      <w:sz w:val="28"/>
    </w:rPr>
  </w:style>
  <w:style w:type="paragraph" w:customStyle="1" w:styleId="AbtHeadC">
    <w:name w:val="AbtHead C"/>
    <w:basedOn w:val="Normal"/>
    <w:next w:val="BodyText"/>
    <w:link w:val="AbtHeadCChar"/>
    <w:rsid w:val="00C00837"/>
    <w:pPr>
      <w:keepNext/>
      <w:keepLines/>
      <w:spacing w:after="240"/>
      <w:outlineLvl w:val="2"/>
    </w:pPr>
    <w:rPr>
      <w:rFonts w:ascii="Arial" w:hAnsi="Arial"/>
      <w:b/>
      <w:sz w:val="20"/>
    </w:rPr>
  </w:style>
  <w:style w:type="paragraph" w:customStyle="1" w:styleId="Bullets">
    <w:name w:val="Bullets"/>
    <w:basedOn w:val="BodyText"/>
    <w:rsid w:val="00C00837"/>
    <w:pPr>
      <w:numPr>
        <w:numId w:val="3"/>
      </w:numPr>
    </w:pPr>
  </w:style>
  <w:style w:type="character" w:styleId="Hyperlink">
    <w:name w:val="Hyperlink"/>
    <w:uiPriority w:val="99"/>
    <w:rsid w:val="00C00837"/>
    <w:rPr>
      <w:color w:val="0000FF"/>
      <w:u w:val="single"/>
    </w:rPr>
  </w:style>
  <w:style w:type="paragraph" w:styleId="CommentText">
    <w:name w:val="annotation text"/>
    <w:basedOn w:val="Normal"/>
    <w:semiHidden/>
    <w:rsid w:val="00C00837"/>
    <w:rPr>
      <w:sz w:val="20"/>
    </w:rPr>
  </w:style>
  <w:style w:type="paragraph" w:styleId="EndnoteText">
    <w:name w:val="endnote text"/>
    <w:basedOn w:val="Normal"/>
    <w:semiHidden/>
    <w:rsid w:val="00C00837"/>
    <w:pPr>
      <w:tabs>
        <w:tab w:val="clear" w:pos="720"/>
        <w:tab w:val="clear" w:pos="1080"/>
        <w:tab w:val="clear" w:pos="1440"/>
        <w:tab w:val="clear" w:pos="1800"/>
      </w:tabs>
      <w:spacing w:after="120" w:line="240" w:lineRule="auto"/>
      <w:ind w:left="360" w:hanging="360"/>
    </w:pPr>
    <w:rPr>
      <w:sz w:val="20"/>
    </w:rPr>
  </w:style>
  <w:style w:type="paragraph" w:customStyle="1" w:styleId="table1">
    <w:name w:val="table1"/>
    <w:basedOn w:val="Normal"/>
    <w:rsid w:val="00C00837"/>
    <w:pPr>
      <w:tabs>
        <w:tab w:val="left" w:pos="216"/>
      </w:tabs>
      <w:spacing w:line="240" w:lineRule="auto"/>
    </w:pPr>
    <w:rPr>
      <w:rFonts w:ascii="Arial Narrow" w:hAnsi="Arial Narrow"/>
      <w:sz w:val="18"/>
    </w:rPr>
  </w:style>
  <w:style w:type="paragraph" w:styleId="BalloonText">
    <w:name w:val="Balloon Text"/>
    <w:basedOn w:val="Normal"/>
    <w:semiHidden/>
    <w:rsid w:val="00C00837"/>
    <w:rPr>
      <w:rFonts w:ascii="Tahoma" w:hAnsi="Tahoma" w:cs="Tahoma"/>
      <w:sz w:val="16"/>
      <w:szCs w:val="16"/>
    </w:rPr>
  </w:style>
  <w:style w:type="paragraph" w:styleId="CommentSubject">
    <w:name w:val="annotation subject"/>
    <w:basedOn w:val="CommentText"/>
    <w:next w:val="CommentText"/>
    <w:semiHidden/>
    <w:rsid w:val="00C9440D"/>
    <w:rPr>
      <w:b/>
      <w:bCs/>
    </w:rPr>
  </w:style>
  <w:style w:type="paragraph" w:styleId="NormalWeb">
    <w:name w:val="Normal (Web)"/>
    <w:basedOn w:val="Normal"/>
    <w:uiPriority w:val="99"/>
    <w:rsid w:val="00A25566"/>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FootnoteText">
    <w:name w:val="footnote text"/>
    <w:aliases w:val="F1"/>
    <w:basedOn w:val="Normal"/>
    <w:link w:val="FootnoteTextChar"/>
    <w:uiPriority w:val="99"/>
    <w:rsid w:val="009E28FE"/>
    <w:rPr>
      <w:sz w:val="20"/>
    </w:rPr>
  </w:style>
  <w:style w:type="character" w:styleId="FootnoteReference">
    <w:name w:val="footnote reference"/>
    <w:uiPriority w:val="99"/>
    <w:rsid w:val="009E28FE"/>
    <w:rPr>
      <w:vertAlign w:val="superscript"/>
    </w:rPr>
  </w:style>
  <w:style w:type="paragraph" w:customStyle="1" w:styleId="Normal1">
    <w:name w:val="Normal1"/>
    <w:basedOn w:val="Normal"/>
    <w:rsid w:val="00047E64"/>
    <w:pPr>
      <w:tabs>
        <w:tab w:val="clear" w:pos="720"/>
        <w:tab w:val="clear" w:pos="1080"/>
        <w:tab w:val="clear" w:pos="1440"/>
        <w:tab w:val="clear" w:pos="1800"/>
      </w:tabs>
      <w:suppressAutoHyphens/>
      <w:spacing w:line="240" w:lineRule="auto"/>
      <w:jc w:val="both"/>
    </w:pPr>
    <w:rPr>
      <w:rFonts w:ascii="Calibri" w:eastAsia="SimSun" w:hAnsi="Calibri" w:cs="font294"/>
      <w:kern w:val="1"/>
      <w:sz w:val="21"/>
      <w:szCs w:val="22"/>
      <w:lang w:eastAsia="ar-SA"/>
    </w:rPr>
  </w:style>
  <w:style w:type="paragraph" w:styleId="NoSpacing">
    <w:name w:val="No Spacing"/>
    <w:qFormat/>
    <w:rsid w:val="00EF5F99"/>
    <w:rPr>
      <w:rFonts w:ascii="Calibri" w:hAnsi="Calibri"/>
      <w:sz w:val="22"/>
      <w:szCs w:val="22"/>
    </w:rPr>
  </w:style>
  <w:style w:type="paragraph" w:styleId="ListParagraph">
    <w:name w:val="List Paragraph"/>
    <w:basedOn w:val="Normal"/>
    <w:uiPriority w:val="34"/>
    <w:qFormat/>
    <w:rsid w:val="00FF07C6"/>
    <w:pPr>
      <w:tabs>
        <w:tab w:val="clear" w:pos="720"/>
        <w:tab w:val="clear" w:pos="1080"/>
        <w:tab w:val="clear" w:pos="1440"/>
        <w:tab w:val="clear" w:pos="1800"/>
      </w:tabs>
      <w:spacing w:line="240" w:lineRule="auto"/>
      <w:ind w:left="720"/>
    </w:pPr>
    <w:rPr>
      <w:rFonts w:ascii="Calibri" w:eastAsia="SimSun" w:hAnsi="Calibri"/>
      <w:szCs w:val="22"/>
      <w:lang w:eastAsia="zh-CN"/>
    </w:rPr>
  </w:style>
  <w:style w:type="character" w:customStyle="1" w:styleId="FootnoteTextChar">
    <w:name w:val="Footnote Text Char"/>
    <w:aliases w:val="F1 Char"/>
    <w:link w:val="FootnoteText"/>
    <w:uiPriority w:val="99"/>
    <w:locked/>
    <w:rsid w:val="003716C3"/>
    <w:rPr>
      <w:lang w:val="en-US" w:eastAsia="en-US" w:bidi="ar-SA"/>
    </w:rPr>
  </w:style>
  <w:style w:type="character" w:customStyle="1" w:styleId="HeaderChar">
    <w:name w:val="Header Char"/>
    <w:link w:val="Header"/>
    <w:semiHidden/>
    <w:locked/>
    <w:rsid w:val="00196EF1"/>
    <w:rPr>
      <w:sz w:val="22"/>
      <w:lang w:val="en-US" w:eastAsia="en-US" w:bidi="ar-SA"/>
    </w:rPr>
  </w:style>
  <w:style w:type="paragraph" w:customStyle="1" w:styleId="AbtHeadD">
    <w:name w:val="AbtHead D"/>
    <w:basedOn w:val="Normal"/>
    <w:rsid w:val="00196EF1"/>
    <w:pPr>
      <w:keepNext/>
      <w:tabs>
        <w:tab w:val="clear" w:pos="720"/>
        <w:tab w:val="clear" w:pos="1080"/>
        <w:tab w:val="clear" w:pos="1440"/>
        <w:tab w:val="clear" w:pos="1800"/>
      </w:tabs>
    </w:pPr>
    <w:rPr>
      <w:rFonts w:eastAsia="Calibri"/>
      <w:b/>
      <w:bCs/>
      <w:i/>
      <w:iCs/>
      <w:szCs w:val="22"/>
    </w:rPr>
  </w:style>
  <w:style w:type="paragraph" w:styleId="TOC1">
    <w:name w:val="toc 1"/>
    <w:basedOn w:val="BodyText"/>
    <w:next w:val="BodyText"/>
    <w:uiPriority w:val="39"/>
    <w:rsid w:val="00BA3634"/>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BA3634"/>
    <w:pPr>
      <w:tabs>
        <w:tab w:val="clear" w:pos="720"/>
        <w:tab w:val="clear" w:pos="1080"/>
        <w:tab w:val="clear" w:pos="1440"/>
        <w:tab w:val="clear" w:pos="1800"/>
      </w:tabs>
      <w:ind w:left="576"/>
    </w:pPr>
  </w:style>
  <w:style w:type="paragraph" w:styleId="TOC3">
    <w:name w:val="toc 3"/>
    <w:basedOn w:val="BodyText"/>
    <w:next w:val="BodyText"/>
    <w:uiPriority w:val="39"/>
    <w:rsid w:val="00BA3634"/>
    <w:pPr>
      <w:tabs>
        <w:tab w:val="clear" w:pos="720"/>
        <w:tab w:val="clear" w:pos="1080"/>
        <w:tab w:val="clear" w:pos="1440"/>
        <w:tab w:val="clear" w:pos="1800"/>
      </w:tabs>
      <w:ind w:left="1152"/>
    </w:pPr>
  </w:style>
  <w:style w:type="paragraph" w:styleId="TOC4">
    <w:name w:val="toc 4"/>
    <w:basedOn w:val="BodyText"/>
    <w:next w:val="BodyText"/>
    <w:uiPriority w:val="39"/>
    <w:rsid w:val="00BA3634"/>
    <w:pPr>
      <w:tabs>
        <w:tab w:val="clear" w:pos="720"/>
        <w:tab w:val="clear" w:pos="1080"/>
        <w:tab w:val="clear" w:pos="1440"/>
        <w:tab w:val="clear" w:pos="1800"/>
      </w:tabs>
      <w:ind w:left="1728"/>
    </w:pPr>
  </w:style>
  <w:style w:type="character" w:styleId="FollowedHyperlink">
    <w:name w:val="FollowedHyperlink"/>
    <w:rsid w:val="00D147F1"/>
    <w:rPr>
      <w:color w:val="800080"/>
      <w:u w:val="single"/>
    </w:rPr>
  </w:style>
  <w:style w:type="paragraph" w:customStyle="1" w:styleId="subheading">
    <w:name w:val="subheading"/>
    <w:basedOn w:val="AbtHeadC"/>
    <w:link w:val="subheadingChar"/>
    <w:qFormat/>
    <w:rsid w:val="002341C1"/>
  </w:style>
  <w:style w:type="paragraph" w:styleId="PlainText">
    <w:name w:val="Plain Text"/>
    <w:basedOn w:val="Normal"/>
    <w:link w:val="PlainTextChar"/>
    <w:uiPriority w:val="99"/>
    <w:unhideWhenUsed/>
    <w:rsid w:val="001056EE"/>
    <w:pPr>
      <w:tabs>
        <w:tab w:val="clear" w:pos="720"/>
        <w:tab w:val="clear" w:pos="1080"/>
        <w:tab w:val="clear" w:pos="1440"/>
        <w:tab w:val="clear" w:pos="1800"/>
      </w:tabs>
      <w:spacing w:line="240" w:lineRule="auto"/>
    </w:pPr>
    <w:rPr>
      <w:rFonts w:ascii="Calibri" w:eastAsia="Calibri" w:hAnsi="Calibri"/>
      <w:szCs w:val="21"/>
    </w:rPr>
  </w:style>
  <w:style w:type="character" w:customStyle="1" w:styleId="AbtHeadCChar">
    <w:name w:val="AbtHead C Char"/>
    <w:link w:val="AbtHeadC"/>
    <w:rsid w:val="002341C1"/>
    <w:rPr>
      <w:rFonts w:ascii="Arial" w:hAnsi="Arial"/>
      <w:b/>
    </w:rPr>
  </w:style>
  <w:style w:type="character" w:customStyle="1" w:styleId="subheadingChar">
    <w:name w:val="subheading Char"/>
    <w:basedOn w:val="AbtHeadCChar"/>
    <w:link w:val="subheading"/>
    <w:rsid w:val="002341C1"/>
    <w:rPr>
      <w:rFonts w:ascii="Arial" w:hAnsi="Arial"/>
      <w:b/>
    </w:rPr>
  </w:style>
  <w:style w:type="character" w:customStyle="1" w:styleId="PlainTextChar">
    <w:name w:val="Plain Text Char"/>
    <w:link w:val="PlainText"/>
    <w:uiPriority w:val="99"/>
    <w:rsid w:val="001056EE"/>
    <w:rPr>
      <w:rFonts w:ascii="Calibri" w:eastAsia="Calibri" w:hAnsi="Calibri"/>
      <w:sz w:val="22"/>
      <w:szCs w:val="21"/>
    </w:rPr>
  </w:style>
  <w:style w:type="paragraph" w:customStyle="1" w:styleId="NormalSS">
    <w:name w:val="NormalSS"/>
    <w:basedOn w:val="Normal"/>
    <w:qFormat/>
    <w:rsid w:val="00485EEE"/>
    <w:pPr>
      <w:tabs>
        <w:tab w:val="clear" w:pos="720"/>
        <w:tab w:val="clear" w:pos="1080"/>
        <w:tab w:val="clear" w:pos="1440"/>
        <w:tab w:val="clear" w:pos="1800"/>
        <w:tab w:val="left" w:pos="432"/>
      </w:tabs>
      <w:spacing w:after="240" w:line="240" w:lineRule="auto"/>
      <w:ind w:firstLine="432"/>
      <w:jc w:val="both"/>
    </w:pPr>
    <w:rPr>
      <w:sz w:val="24"/>
    </w:rPr>
  </w:style>
  <w:style w:type="paragraph" w:customStyle="1" w:styleId="ParagraphLAST">
    <w:name w:val="Paragraph (LAST)"/>
    <w:basedOn w:val="Normal"/>
    <w:next w:val="Normal"/>
    <w:rsid w:val="00485EEE"/>
    <w:pPr>
      <w:tabs>
        <w:tab w:val="clear" w:pos="720"/>
        <w:tab w:val="clear" w:pos="1080"/>
        <w:tab w:val="clear" w:pos="1440"/>
        <w:tab w:val="clear" w:pos="1800"/>
        <w:tab w:val="left" w:pos="432"/>
      </w:tabs>
      <w:spacing w:after="240" w:line="480" w:lineRule="auto"/>
      <w:ind w:firstLine="432"/>
      <w:jc w:val="both"/>
    </w:pPr>
    <w:rPr>
      <w:sz w:val="24"/>
    </w:rPr>
  </w:style>
  <w:style w:type="character" w:customStyle="1" w:styleId="Heading3Char">
    <w:name w:val="Heading 3 Char"/>
    <w:basedOn w:val="DefaultParagraphFont"/>
    <w:link w:val="Heading3"/>
    <w:uiPriority w:val="9"/>
    <w:rsid w:val="00DB79F4"/>
    <w:rPr>
      <w:rFonts w:ascii="Arial Narrow" w:hAnsi="Arial Narrow"/>
      <w:b/>
      <w:bCs/>
      <w:sz w:val="24"/>
    </w:rPr>
  </w:style>
  <w:style w:type="paragraph" w:customStyle="1" w:styleId="ReportBodyText">
    <w:name w:val="Report Body Text"/>
    <w:basedOn w:val="ListParagraph"/>
    <w:link w:val="ReportBodyTextChar"/>
    <w:qFormat/>
    <w:rsid w:val="00DB79F4"/>
    <w:pPr>
      <w:ind w:left="0"/>
    </w:pPr>
    <w:rPr>
      <w:rFonts w:ascii="Arial Narrow" w:eastAsia="Times New Roman" w:hAnsi="Arial Narrow"/>
      <w:sz w:val="24"/>
      <w:szCs w:val="24"/>
      <w:lang w:eastAsia="en-US"/>
    </w:rPr>
  </w:style>
  <w:style w:type="character" w:customStyle="1" w:styleId="ReportBodyTextChar">
    <w:name w:val="Report Body Text Char"/>
    <w:link w:val="ReportBodyText"/>
    <w:rsid w:val="00DB79F4"/>
    <w:rPr>
      <w:rFonts w:ascii="Arial Narrow" w:hAnsi="Arial Narrow"/>
      <w:sz w:val="24"/>
      <w:szCs w:val="24"/>
    </w:rPr>
  </w:style>
  <w:style w:type="paragraph" w:customStyle="1" w:styleId="Default">
    <w:name w:val="Default"/>
    <w:rsid w:val="008823F3"/>
    <w:pPr>
      <w:autoSpaceDE w:val="0"/>
      <w:autoSpaceDN w:val="0"/>
      <w:adjustRightInd w:val="0"/>
    </w:pPr>
    <w:rPr>
      <w:color w:val="000000"/>
      <w:sz w:val="24"/>
      <w:szCs w:val="24"/>
    </w:rPr>
  </w:style>
  <w:style w:type="character" w:customStyle="1" w:styleId="st1">
    <w:name w:val="st1"/>
    <w:basedOn w:val="DefaultParagraphFont"/>
    <w:rsid w:val="00C81608"/>
  </w:style>
  <w:style w:type="character" w:customStyle="1" w:styleId="FooterChar">
    <w:name w:val="Footer Char"/>
    <w:basedOn w:val="DefaultParagraphFont"/>
    <w:link w:val="Footer"/>
    <w:uiPriority w:val="99"/>
    <w:rsid w:val="00192849"/>
    <w:rPr>
      <w:rFonts w:ascii="Arial" w:hAnsi="Arial"/>
      <w:b/>
      <w:sz w:val="18"/>
    </w:rPr>
  </w:style>
  <w:style w:type="character" w:customStyle="1" w:styleId="nlmpublisher-name">
    <w:name w:val="nlm_publisher-name"/>
    <w:basedOn w:val="DefaultParagraphFont"/>
    <w:rsid w:val="0029737E"/>
  </w:style>
  <w:style w:type="character" w:styleId="Emphasis">
    <w:name w:val="Emphasis"/>
    <w:basedOn w:val="DefaultParagraphFont"/>
    <w:uiPriority w:val="20"/>
    <w:qFormat/>
    <w:rsid w:val="00CA400E"/>
    <w:rPr>
      <w:i/>
      <w:iCs/>
    </w:rPr>
  </w:style>
  <w:style w:type="character" w:customStyle="1" w:styleId="name">
    <w:name w:val="name"/>
    <w:basedOn w:val="DefaultParagraphFont"/>
    <w:rsid w:val="00A4628A"/>
  </w:style>
  <w:style w:type="character" w:customStyle="1" w:styleId="xref-sep2">
    <w:name w:val="xref-sep2"/>
    <w:basedOn w:val="DefaultParagraphFont"/>
    <w:rsid w:val="00A4628A"/>
  </w:style>
  <w:style w:type="character" w:customStyle="1" w:styleId="grame">
    <w:name w:val="grame"/>
    <w:basedOn w:val="DefaultParagraphFont"/>
    <w:rsid w:val="00A7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845">
      <w:bodyDiv w:val="1"/>
      <w:marLeft w:val="0"/>
      <w:marRight w:val="0"/>
      <w:marTop w:val="0"/>
      <w:marBottom w:val="0"/>
      <w:divBdr>
        <w:top w:val="none" w:sz="0" w:space="0" w:color="auto"/>
        <w:left w:val="none" w:sz="0" w:space="0" w:color="auto"/>
        <w:bottom w:val="none" w:sz="0" w:space="0" w:color="auto"/>
        <w:right w:val="none" w:sz="0" w:space="0" w:color="auto"/>
      </w:divBdr>
    </w:div>
    <w:div w:id="85002528">
      <w:bodyDiv w:val="1"/>
      <w:marLeft w:val="0"/>
      <w:marRight w:val="0"/>
      <w:marTop w:val="0"/>
      <w:marBottom w:val="0"/>
      <w:divBdr>
        <w:top w:val="none" w:sz="0" w:space="0" w:color="auto"/>
        <w:left w:val="none" w:sz="0" w:space="0" w:color="auto"/>
        <w:bottom w:val="none" w:sz="0" w:space="0" w:color="auto"/>
        <w:right w:val="none" w:sz="0" w:space="0" w:color="auto"/>
      </w:divBdr>
    </w:div>
    <w:div w:id="104547314">
      <w:bodyDiv w:val="1"/>
      <w:marLeft w:val="0"/>
      <w:marRight w:val="0"/>
      <w:marTop w:val="0"/>
      <w:marBottom w:val="0"/>
      <w:divBdr>
        <w:top w:val="none" w:sz="0" w:space="0" w:color="auto"/>
        <w:left w:val="none" w:sz="0" w:space="0" w:color="auto"/>
        <w:bottom w:val="none" w:sz="0" w:space="0" w:color="auto"/>
        <w:right w:val="none" w:sz="0" w:space="0" w:color="auto"/>
      </w:divBdr>
    </w:div>
    <w:div w:id="155658532">
      <w:bodyDiv w:val="1"/>
      <w:marLeft w:val="0"/>
      <w:marRight w:val="0"/>
      <w:marTop w:val="0"/>
      <w:marBottom w:val="0"/>
      <w:divBdr>
        <w:top w:val="none" w:sz="0" w:space="0" w:color="auto"/>
        <w:left w:val="none" w:sz="0" w:space="0" w:color="auto"/>
        <w:bottom w:val="none" w:sz="0" w:space="0" w:color="auto"/>
        <w:right w:val="none" w:sz="0" w:space="0" w:color="auto"/>
      </w:divBdr>
    </w:div>
    <w:div w:id="276759362">
      <w:bodyDiv w:val="1"/>
      <w:marLeft w:val="0"/>
      <w:marRight w:val="0"/>
      <w:marTop w:val="0"/>
      <w:marBottom w:val="0"/>
      <w:divBdr>
        <w:top w:val="none" w:sz="0" w:space="0" w:color="auto"/>
        <w:left w:val="none" w:sz="0" w:space="0" w:color="auto"/>
        <w:bottom w:val="none" w:sz="0" w:space="0" w:color="auto"/>
        <w:right w:val="none" w:sz="0" w:space="0" w:color="auto"/>
      </w:divBdr>
    </w:div>
    <w:div w:id="319888498">
      <w:bodyDiv w:val="1"/>
      <w:marLeft w:val="0"/>
      <w:marRight w:val="0"/>
      <w:marTop w:val="0"/>
      <w:marBottom w:val="0"/>
      <w:divBdr>
        <w:top w:val="none" w:sz="0" w:space="0" w:color="auto"/>
        <w:left w:val="none" w:sz="0" w:space="0" w:color="auto"/>
        <w:bottom w:val="none" w:sz="0" w:space="0" w:color="auto"/>
        <w:right w:val="none" w:sz="0" w:space="0" w:color="auto"/>
      </w:divBdr>
    </w:div>
    <w:div w:id="394855877">
      <w:bodyDiv w:val="1"/>
      <w:marLeft w:val="0"/>
      <w:marRight w:val="0"/>
      <w:marTop w:val="0"/>
      <w:marBottom w:val="0"/>
      <w:divBdr>
        <w:top w:val="none" w:sz="0" w:space="0" w:color="auto"/>
        <w:left w:val="none" w:sz="0" w:space="0" w:color="auto"/>
        <w:bottom w:val="none" w:sz="0" w:space="0" w:color="auto"/>
        <w:right w:val="none" w:sz="0" w:space="0" w:color="auto"/>
      </w:divBdr>
    </w:div>
    <w:div w:id="441346117">
      <w:bodyDiv w:val="1"/>
      <w:marLeft w:val="0"/>
      <w:marRight w:val="0"/>
      <w:marTop w:val="0"/>
      <w:marBottom w:val="0"/>
      <w:divBdr>
        <w:top w:val="none" w:sz="0" w:space="0" w:color="auto"/>
        <w:left w:val="none" w:sz="0" w:space="0" w:color="auto"/>
        <w:bottom w:val="none" w:sz="0" w:space="0" w:color="auto"/>
        <w:right w:val="none" w:sz="0" w:space="0" w:color="auto"/>
      </w:divBdr>
    </w:div>
    <w:div w:id="466553440">
      <w:bodyDiv w:val="1"/>
      <w:marLeft w:val="0"/>
      <w:marRight w:val="0"/>
      <w:marTop w:val="0"/>
      <w:marBottom w:val="0"/>
      <w:divBdr>
        <w:top w:val="none" w:sz="0" w:space="0" w:color="auto"/>
        <w:left w:val="none" w:sz="0" w:space="0" w:color="auto"/>
        <w:bottom w:val="none" w:sz="0" w:space="0" w:color="auto"/>
        <w:right w:val="none" w:sz="0" w:space="0" w:color="auto"/>
      </w:divBdr>
      <w:divsChild>
        <w:div w:id="169414204">
          <w:marLeft w:val="0"/>
          <w:marRight w:val="0"/>
          <w:marTop w:val="100"/>
          <w:marBottom w:val="0"/>
          <w:divBdr>
            <w:top w:val="none" w:sz="0" w:space="0" w:color="auto"/>
            <w:left w:val="none" w:sz="0" w:space="0" w:color="auto"/>
            <w:bottom w:val="none" w:sz="0" w:space="0" w:color="auto"/>
            <w:right w:val="none" w:sz="0" w:space="0" w:color="auto"/>
          </w:divBdr>
          <w:divsChild>
            <w:div w:id="1686974237">
              <w:marLeft w:val="0"/>
              <w:marRight w:val="0"/>
              <w:marTop w:val="0"/>
              <w:marBottom w:val="0"/>
              <w:divBdr>
                <w:top w:val="none" w:sz="0" w:space="0" w:color="auto"/>
                <w:left w:val="none" w:sz="0" w:space="0" w:color="auto"/>
                <w:bottom w:val="none" w:sz="0" w:space="0" w:color="auto"/>
                <w:right w:val="none" w:sz="0" w:space="0" w:color="auto"/>
              </w:divBdr>
              <w:divsChild>
                <w:div w:id="11367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1461">
      <w:bodyDiv w:val="1"/>
      <w:marLeft w:val="0"/>
      <w:marRight w:val="0"/>
      <w:marTop w:val="0"/>
      <w:marBottom w:val="0"/>
      <w:divBdr>
        <w:top w:val="none" w:sz="0" w:space="0" w:color="auto"/>
        <w:left w:val="none" w:sz="0" w:space="0" w:color="auto"/>
        <w:bottom w:val="none" w:sz="0" w:space="0" w:color="auto"/>
        <w:right w:val="none" w:sz="0" w:space="0" w:color="auto"/>
      </w:divBdr>
      <w:divsChild>
        <w:div w:id="1293050427">
          <w:marLeft w:val="0"/>
          <w:marRight w:val="0"/>
          <w:marTop w:val="100"/>
          <w:marBottom w:val="100"/>
          <w:divBdr>
            <w:top w:val="single" w:sz="4" w:space="0" w:color="9B9A7A"/>
            <w:left w:val="single" w:sz="4" w:space="0" w:color="9B9A7A"/>
            <w:bottom w:val="single" w:sz="4" w:space="0" w:color="9B9A7A"/>
            <w:right w:val="single" w:sz="4" w:space="0" w:color="9B9A7A"/>
          </w:divBdr>
          <w:divsChild>
            <w:div w:id="1607034716">
              <w:marLeft w:val="0"/>
              <w:marRight w:val="0"/>
              <w:marTop w:val="0"/>
              <w:marBottom w:val="0"/>
              <w:divBdr>
                <w:top w:val="none" w:sz="0" w:space="0" w:color="auto"/>
                <w:left w:val="none" w:sz="0" w:space="0" w:color="auto"/>
                <w:bottom w:val="none" w:sz="0" w:space="0" w:color="auto"/>
                <w:right w:val="none" w:sz="0" w:space="0" w:color="auto"/>
              </w:divBdr>
              <w:divsChild>
                <w:div w:id="10251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1234">
      <w:bodyDiv w:val="1"/>
      <w:marLeft w:val="0"/>
      <w:marRight w:val="0"/>
      <w:marTop w:val="0"/>
      <w:marBottom w:val="0"/>
      <w:divBdr>
        <w:top w:val="none" w:sz="0" w:space="0" w:color="auto"/>
        <w:left w:val="none" w:sz="0" w:space="0" w:color="auto"/>
        <w:bottom w:val="none" w:sz="0" w:space="0" w:color="auto"/>
        <w:right w:val="none" w:sz="0" w:space="0" w:color="auto"/>
      </w:divBdr>
    </w:div>
    <w:div w:id="850874490">
      <w:bodyDiv w:val="1"/>
      <w:marLeft w:val="0"/>
      <w:marRight w:val="0"/>
      <w:marTop w:val="0"/>
      <w:marBottom w:val="0"/>
      <w:divBdr>
        <w:top w:val="none" w:sz="0" w:space="0" w:color="auto"/>
        <w:left w:val="none" w:sz="0" w:space="0" w:color="auto"/>
        <w:bottom w:val="none" w:sz="0" w:space="0" w:color="auto"/>
        <w:right w:val="none" w:sz="0" w:space="0" w:color="auto"/>
      </w:divBdr>
    </w:div>
    <w:div w:id="910240498">
      <w:bodyDiv w:val="1"/>
      <w:marLeft w:val="0"/>
      <w:marRight w:val="0"/>
      <w:marTop w:val="0"/>
      <w:marBottom w:val="0"/>
      <w:divBdr>
        <w:top w:val="none" w:sz="0" w:space="0" w:color="auto"/>
        <w:left w:val="none" w:sz="0" w:space="0" w:color="auto"/>
        <w:bottom w:val="none" w:sz="0" w:space="0" w:color="auto"/>
        <w:right w:val="none" w:sz="0" w:space="0" w:color="auto"/>
      </w:divBdr>
    </w:div>
    <w:div w:id="983195550">
      <w:bodyDiv w:val="1"/>
      <w:marLeft w:val="0"/>
      <w:marRight w:val="0"/>
      <w:marTop w:val="0"/>
      <w:marBottom w:val="0"/>
      <w:divBdr>
        <w:top w:val="none" w:sz="0" w:space="0" w:color="auto"/>
        <w:left w:val="none" w:sz="0" w:space="0" w:color="auto"/>
        <w:bottom w:val="none" w:sz="0" w:space="0" w:color="auto"/>
        <w:right w:val="none" w:sz="0" w:space="0" w:color="auto"/>
      </w:divBdr>
    </w:div>
    <w:div w:id="989747755">
      <w:bodyDiv w:val="1"/>
      <w:marLeft w:val="0"/>
      <w:marRight w:val="0"/>
      <w:marTop w:val="0"/>
      <w:marBottom w:val="0"/>
      <w:divBdr>
        <w:top w:val="none" w:sz="0" w:space="0" w:color="auto"/>
        <w:left w:val="none" w:sz="0" w:space="0" w:color="auto"/>
        <w:bottom w:val="none" w:sz="0" w:space="0" w:color="auto"/>
        <w:right w:val="none" w:sz="0" w:space="0" w:color="auto"/>
      </w:divBdr>
    </w:div>
    <w:div w:id="1045831591">
      <w:bodyDiv w:val="1"/>
      <w:marLeft w:val="0"/>
      <w:marRight w:val="0"/>
      <w:marTop w:val="0"/>
      <w:marBottom w:val="0"/>
      <w:divBdr>
        <w:top w:val="none" w:sz="0" w:space="0" w:color="auto"/>
        <w:left w:val="none" w:sz="0" w:space="0" w:color="auto"/>
        <w:bottom w:val="none" w:sz="0" w:space="0" w:color="auto"/>
        <w:right w:val="none" w:sz="0" w:space="0" w:color="auto"/>
      </w:divBdr>
      <w:divsChild>
        <w:div w:id="1678464464">
          <w:marLeft w:val="0"/>
          <w:marRight w:val="0"/>
          <w:marTop w:val="0"/>
          <w:marBottom w:val="0"/>
          <w:divBdr>
            <w:top w:val="none" w:sz="0" w:space="0" w:color="auto"/>
            <w:left w:val="none" w:sz="0" w:space="0" w:color="auto"/>
            <w:bottom w:val="none" w:sz="0" w:space="0" w:color="auto"/>
            <w:right w:val="none" w:sz="0" w:space="0" w:color="auto"/>
          </w:divBdr>
        </w:div>
      </w:divsChild>
    </w:div>
    <w:div w:id="1095442769">
      <w:bodyDiv w:val="1"/>
      <w:marLeft w:val="0"/>
      <w:marRight w:val="0"/>
      <w:marTop w:val="0"/>
      <w:marBottom w:val="0"/>
      <w:divBdr>
        <w:top w:val="none" w:sz="0" w:space="0" w:color="auto"/>
        <w:left w:val="none" w:sz="0" w:space="0" w:color="auto"/>
        <w:bottom w:val="none" w:sz="0" w:space="0" w:color="auto"/>
        <w:right w:val="none" w:sz="0" w:space="0" w:color="auto"/>
      </w:divBdr>
    </w:div>
    <w:div w:id="1281454335">
      <w:bodyDiv w:val="1"/>
      <w:marLeft w:val="0"/>
      <w:marRight w:val="0"/>
      <w:marTop w:val="0"/>
      <w:marBottom w:val="0"/>
      <w:divBdr>
        <w:top w:val="none" w:sz="0" w:space="0" w:color="auto"/>
        <w:left w:val="none" w:sz="0" w:space="0" w:color="auto"/>
        <w:bottom w:val="none" w:sz="0" w:space="0" w:color="auto"/>
        <w:right w:val="none" w:sz="0" w:space="0" w:color="auto"/>
      </w:divBdr>
    </w:div>
    <w:div w:id="1290479830">
      <w:bodyDiv w:val="1"/>
      <w:marLeft w:val="0"/>
      <w:marRight w:val="0"/>
      <w:marTop w:val="0"/>
      <w:marBottom w:val="0"/>
      <w:divBdr>
        <w:top w:val="none" w:sz="0" w:space="0" w:color="auto"/>
        <w:left w:val="none" w:sz="0" w:space="0" w:color="auto"/>
        <w:bottom w:val="none" w:sz="0" w:space="0" w:color="auto"/>
        <w:right w:val="none" w:sz="0" w:space="0" w:color="auto"/>
      </w:divBdr>
    </w:div>
    <w:div w:id="1384449259">
      <w:bodyDiv w:val="1"/>
      <w:marLeft w:val="0"/>
      <w:marRight w:val="0"/>
      <w:marTop w:val="0"/>
      <w:marBottom w:val="0"/>
      <w:divBdr>
        <w:top w:val="none" w:sz="0" w:space="0" w:color="auto"/>
        <w:left w:val="none" w:sz="0" w:space="0" w:color="auto"/>
        <w:bottom w:val="none" w:sz="0" w:space="0" w:color="auto"/>
        <w:right w:val="none" w:sz="0" w:space="0" w:color="auto"/>
      </w:divBdr>
    </w:div>
    <w:div w:id="1544633033">
      <w:bodyDiv w:val="1"/>
      <w:marLeft w:val="0"/>
      <w:marRight w:val="0"/>
      <w:marTop w:val="0"/>
      <w:marBottom w:val="0"/>
      <w:divBdr>
        <w:top w:val="none" w:sz="0" w:space="0" w:color="auto"/>
        <w:left w:val="none" w:sz="0" w:space="0" w:color="auto"/>
        <w:bottom w:val="none" w:sz="0" w:space="0" w:color="auto"/>
        <w:right w:val="none" w:sz="0" w:space="0" w:color="auto"/>
      </w:divBdr>
    </w:div>
    <w:div w:id="1736780635">
      <w:bodyDiv w:val="1"/>
      <w:marLeft w:val="0"/>
      <w:marRight w:val="0"/>
      <w:marTop w:val="0"/>
      <w:marBottom w:val="0"/>
      <w:divBdr>
        <w:top w:val="none" w:sz="0" w:space="0" w:color="auto"/>
        <w:left w:val="none" w:sz="0" w:space="0" w:color="auto"/>
        <w:bottom w:val="none" w:sz="0" w:space="0" w:color="auto"/>
        <w:right w:val="none" w:sz="0" w:space="0" w:color="auto"/>
      </w:divBdr>
    </w:div>
    <w:div w:id="1947689830">
      <w:bodyDiv w:val="1"/>
      <w:marLeft w:val="0"/>
      <w:marRight w:val="0"/>
      <w:marTop w:val="0"/>
      <w:marBottom w:val="0"/>
      <w:divBdr>
        <w:top w:val="none" w:sz="0" w:space="0" w:color="auto"/>
        <w:left w:val="none" w:sz="0" w:space="0" w:color="auto"/>
        <w:bottom w:val="none" w:sz="0" w:space="0" w:color="auto"/>
        <w:right w:val="none" w:sz="0" w:space="0" w:color="auto"/>
      </w:divBdr>
    </w:div>
    <w:div w:id="1953053610">
      <w:bodyDiv w:val="1"/>
      <w:marLeft w:val="0"/>
      <w:marRight w:val="0"/>
      <w:marTop w:val="0"/>
      <w:marBottom w:val="0"/>
      <w:divBdr>
        <w:top w:val="none" w:sz="0" w:space="0" w:color="auto"/>
        <w:left w:val="none" w:sz="0" w:space="0" w:color="auto"/>
        <w:bottom w:val="none" w:sz="0" w:space="0" w:color="auto"/>
        <w:right w:val="none" w:sz="0" w:space="0" w:color="auto"/>
      </w:divBdr>
    </w:div>
    <w:div w:id="1990943482">
      <w:bodyDiv w:val="1"/>
      <w:marLeft w:val="0"/>
      <w:marRight w:val="0"/>
      <w:marTop w:val="0"/>
      <w:marBottom w:val="0"/>
      <w:divBdr>
        <w:top w:val="none" w:sz="0" w:space="0" w:color="auto"/>
        <w:left w:val="none" w:sz="0" w:space="0" w:color="auto"/>
        <w:bottom w:val="none" w:sz="0" w:space="0" w:color="auto"/>
        <w:right w:val="none" w:sz="0" w:space="0" w:color="auto"/>
      </w:divBdr>
    </w:div>
    <w:div w:id="2025787564">
      <w:bodyDiv w:val="1"/>
      <w:marLeft w:val="0"/>
      <w:marRight w:val="0"/>
      <w:marTop w:val="0"/>
      <w:marBottom w:val="0"/>
      <w:divBdr>
        <w:top w:val="none" w:sz="0" w:space="0" w:color="auto"/>
        <w:left w:val="none" w:sz="0" w:space="0" w:color="auto"/>
        <w:bottom w:val="none" w:sz="0" w:space="0" w:color="auto"/>
        <w:right w:val="none" w:sz="0" w:space="0" w:color="auto"/>
      </w:divBdr>
    </w:div>
    <w:div w:id="2098357651">
      <w:bodyDiv w:val="1"/>
      <w:marLeft w:val="0"/>
      <w:marRight w:val="0"/>
      <w:marTop w:val="0"/>
      <w:marBottom w:val="0"/>
      <w:divBdr>
        <w:top w:val="none" w:sz="0" w:space="0" w:color="auto"/>
        <w:left w:val="none" w:sz="0" w:space="0" w:color="auto"/>
        <w:bottom w:val="none" w:sz="0" w:space="0" w:color="auto"/>
        <w:right w:val="none" w:sz="0" w:space="0" w:color="auto"/>
      </w:divBdr>
      <w:divsChild>
        <w:div w:id="1554656719">
          <w:marLeft w:val="0"/>
          <w:marRight w:val="0"/>
          <w:marTop w:val="100"/>
          <w:marBottom w:val="0"/>
          <w:divBdr>
            <w:top w:val="none" w:sz="0" w:space="0" w:color="auto"/>
            <w:left w:val="none" w:sz="0" w:space="0" w:color="auto"/>
            <w:bottom w:val="none" w:sz="0" w:space="0" w:color="auto"/>
            <w:right w:val="none" w:sz="0" w:space="0" w:color="auto"/>
          </w:divBdr>
          <w:divsChild>
            <w:div w:id="17782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rc.wsu.edu/pap_tok.htm" TargetMode="External"/><Relationship Id="rId18" Type="http://schemas.openxmlformats.org/officeDocument/2006/relationships/hyperlink" Target="http://www.pearweb.org/atis/tools/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and.org/content/dam/rand/pubs/working_papers/2008/RAND_WR590.pdf" TargetMode="External"/><Relationship Id="rId17" Type="http://schemas.openxmlformats.org/officeDocument/2006/relationships/hyperlink" Target="http://nces.ed.gov/surveys/hsls09/questionnaires.asp" TargetMode="External"/><Relationship Id="rId2" Type="http://schemas.openxmlformats.org/officeDocument/2006/relationships/numbering" Target="numbering.xml"/><Relationship Id="rId16" Type="http://schemas.openxmlformats.org/officeDocument/2006/relationships/hyperlink" Target="http://nces.ed.gov/nationsreportcard/science/moreabout.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ore/pdf/st060030.pdf" TargetMode="Externa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csm.gov/07papers/Hunt-White.III-C.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5939-AE4E-4261-BE4C-CFBC56E5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8410</Words>
  <Characters>47940</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Abt Associates Inc.</Company>
  <LinksUpToDate>false</LinksUpToDate>
  <CharactersWithSpaces>56238</CharactersWithSpaces>
  <SharedDoc>false</SharedDoc>
  <HLinks>
    <vt:vector size="150" baseType="variant">
      <vt:variant>
        <vt:i4>1835061</vt:i4>
      </vt:variant>
      <vt:variant>
        <vt:i4>146</vt:i4>
      </vt:variant>
      <vt:variant>
        <vt:i4>0</vt:i4>
      </vt:variant>
      <vt:variant>
        <vt:i4>5</vt:i4>
      </vt:variant>
      <vt:variant>
        <vt:lpwstr/>
      </vt:variant>
      <vt:variant>
        <vt:lpwstr>_Toc311804762</vt:lpwstr>
      </vt:variant>
      <vt:variant>
        <vt:i4>1835061</vt:i4>
      </vt:variant>
      <vt:variant>
        <vt:i4>140</vt:i4>
      </vt:variant>
      <vt:variant>
        <vt:i4>0</vt:i4>
      </vt:variant>
      <vt:variant>
        <vt:i4>5</vt:i4>
      </vt:variant>
      <vt:variant>
        <vt:lpwstr/>
      </vt:variant>
      <vt:variant>
        <vt:lpwstr>_Toc311804761</vt:lpwstr>
      </vt:variant>
      <vt:variant>
        <vt:i4>1835061</vt:i4>
      </vt:variant>
      <vt:variant>
        <vt:i4>134</vt:i4>
      </vt:variant>
      <vt:variant>
        <vt:i4>0</vt:i4>
      </vt:variant>
      <vt:variant>
        <vt:i4>5</vt:i4>
      </vt:variant>
      <vt:variant>
        <vt:lpwstr/>
      </vt:variant>
      <vt:variant>
        <vt:lpwstr>_Toc311804760</vt:lpwstr>
      </vt:variant>
      <vt:variant>
        <vt:i4>2031669</vt:i4>
      </vt:variant>
      <vt:variant>
        <vt:i4>128</vt:i4>
      </vt:variant>
      <vt:variant>
        <vt:i4>0</vt:i4>
      </vt:variant>
      <vt:variant>
        <vt:i4>5</vt:i4>
      </vt:variant>
      <vt:variant>
        <vt:lpwstr/>
      </vt:variant>
      <vt:variant>
        <vt:lpwstr>_Toc311804759</vt:lpwstr>
      </vt:variant>
      <vt:variant>
        <vt:i4>2031669</vt:i4>
      </vt:variant>
      <vt:variant>
        <vt:i4>122</vt:i4>
      </vt:variant>
      <vt:variant>
        <vt:i4>0</vt:i4>
      </vt:variant>
      <vt:variant>
        <vt:i4>5</vt:i4>
      </vt:variant>
      <vt:variant>
        <vt:lpwstr/>
      </vt:variant>
      <vt:variant>
        <vt:lpwstr>_Toc311804758</vt:lpwstr>
      </vt:variant>
      <vt:variant>
        <vt:i4>2031669</vt:i4>
      </vt:variant>
      <vt:variant>
        <vt:i4>116</vt:i4>
      </vt:variant>
      <vt:variant>
        <vt:i4>0</vt:i4>
      </vt:variant>
      <vt:variant>
        <vt:i4>5</vt:i4>
      </vt:variant>
      <vt:variant>
        <vt:lpwstr/>
      </vt:variant>
      <vt:variant>
        <vt:lpwstr>_Toc311804757</vt:lpwstr>
      </vt:variant>
      <vt:variant>
        <vt:i4>2031669</vt:i4>
      </vt:variant>
      <vt:variant>
        <vt:i4>110</vt:i4>
      </vt:variant>
      <vt:variant>
        <vt:i4>0</vt:i4>
      </vt:variant>
      <vt:variant>
        <vt:i4>5</vt:i4>
      </vt:variant>
      <vt:variant>
        <vt:lpwstr/>
      </vt:variant>
      <vt:variant>
        <vt:lpwstr>_Toc311804756</vt:lpwstr>
      </vt:variant>
      <vt:variant>
        <vt:i4>2031669</vt:i4>
      </vt:variant>
      <vt:variant>
        <vt:i4>104</vt:i4>
      </vt:variant>
      <vt:variant>
        <vt:i4>0</vt:i4>
      </vt:variant>
      <vt:variant>
        <vt:i4>5</vt:i4>
      </vt:variant>
      <vt:variant>
        <vt:lpwstr/>
      </vt:variant>
      <vt:variant>
        <vt:lpwstr>_Toc311804755</vt:lpwstr>
      </vt:variant>
      <vt:variant>
        <vt:i4>2031669</vt:i4>
      </vt:variant>
      <vt:variant>
        <vt:i4>98</vt:i4>
      </vt:variant>
      <vt:variant>
        <vt:i4>0</vt:i4>
      </vt:variant>
      <vt:variant>
        <vt:i4>5</vt:i4>
      </vt:variant>
      <vt:variant>
        <vt:lpwstr/>
      </vt:variant>
      <vt:variant>
        <vt:lpwstr>_Toc311804754</vt:lpwstr>
      </vt:variant>
      <vt:variant>
        <vt:i4>2031669</vt:i4>
      </vt:variant>
      <vt:variant>
        <vt:i4>92</vt:i4>
      </vt:variant>
      <vt:variant>
        <vt:i4>0</vt:i4>
      </vt:variant>
      <vt:variant>
        <vt:i4>5</vt:i4>
      </vt:variant>
      <vt:variant>
        <vt:lpwstr/>
      </vt:variant>
      <vt:variant>
        <vt:lpwstr>_Toc311804753</vt:lpwstr>
      </vt:variant>
      <vt:variant>
        <vt:i4>2031669</vt:i4>
      </vt:variant>
      <vt:variant>
        <vt:i4>86</vt:i4>
      </vt:variant>
      <vt:variant>
        <vt:i4>0</vt:i4>
      </vt:variant>
      <vt:variant>
        <vt:i4>5</vt:i4>
      </vt:variant>
      <vt:variant>
        <vt:lpwstr/>
      </vt:variant>
      <vt:variant>
        <vt:lpwstr>_Toc311804752</vt:lpwstr>
      </vt:variant>
      <vt:variant>
        <vt:i4>2031669</vt:i4>
      </vt:variant>
      <vt:variant>
        <vt:i4>80</vt:i4>
      </vt:variant>
      <vt:variant>
        <vt:i4>0</vt:i4>
      </vt:variant>
      <vt:variant>
        <vt:i4>5</vt:i4>
      </vt:variant>
      <vt:variant>
        <vt:lpwstr/>
      </vt:variant>
      <vt:variant>
        <vt:lpwstr>_Toc311804751</vt:lpwstr>
      </vt:variant>
      <vt:variant>
        <vt:i4>2031669</vt:i4>
      </vt:variant>
      <vt:variant>
        <vt:i4>74</vt:i4>
      </vt:variant>
      <vt:variant>
        <vt:i4>0</vt:i4>
      </vt:variant>
      <vt:variant>
        <vt:i4>5</vt:i4>
      </vt:variant>
      <vt:variant>
        <vt:lpwstr/>
      </vt:variant>
      <vt:variant>
        <vt:lpwstr>_Toc311804750</vt:lpwstr>
      </vt:variant>
      <vt:variant>
        <vt:i4>1966133</vt:i4>
      </vt:variant>
      <vt:variant>
        <vt:i4>68</vt:i4>
      </vt:variant>
      <vt:variant>
        <vt:i4>0</vt:i4>
      </vt:variant>
      <vt:variant>
        <vt:i4>5</vt:i4>
      </vt:variant>
      <vt:variant>
        <vt:lpwstr/>
      </vt:variant>
      <vt:variant>
        <vt:lpwstr>_Toc311804749</vt:lpwstr>
      </vt:variant>
      <vt:variant>
        <vt:i4>1966133</vt:i4>
      </vt:variant>
      <vt:variant>
        <vt:i4>62</vt:i4>
      </vt:variant>
      <vt:variant>
        <vt:i4>0</vt:i4>
      </vt:variant>
      <vt:variant>
        <vt:i4>5</vt:i4>
      </vt:variant>
      <vt:variant>
        <vt:lpwstr/>
      </vt:variant>
      <vt:variant>
        <vt:lpwstr>_Toc311804748</vt:lpwstr>
      </vt:variant>
      <vt:variant>
        <vt:i4>1966133</vt:i4>
      </vt:variant>
      <vt:variant>
        <vt:i4>56</vt:i4>
      </vt:variant>
      <vt:variant>
        <vt:i4>0</vt:i4>
      </vt:variant>
      <vt:variant>
        <vt:i4>5</vt:i4>
      </vt:variant>
      <vt:variant>
        <vt:lpwstr/>
      </vt:variant>
      <vt:variant>
        <vt:lpwstr>_Toc311804747</vt:lpwstr>
      </vt:variant>
      <vt:variant>
        <vt:i4>1966133</vt:i4>
      </vt:variant>
      <vt:variant>
        <vt:i4>50</vt:i4>
      </vt:variant>
      <vt:variant>
        <vt:i4>0</vt:i4>
      </vt:variant>
      <vt:variant>
        <vt:i4>5</vt:i4>
      </vt:variant>
      <vt:variant>
        <vt:lpwstr/>
      </vt:variant>
      <vt:variant>
        <vt:lpwstr>_Toc311804746</vt:lpwstr>
      </vt:variant>
      <vt:variant>
        <vt:i4>1966133</vt:i4>
      </vt:variant>
      <vt:variant>
        <vt:i4>44</vt:i4>
      </vt:variant>
      <vt:variant>
        <vt:i4>0</vt:i4>
      </vt:variant>
      <vt:variant>
        <vt:i4>5</vt:i4>
      </vt:variant>
      <vt:variant>
        <vt:lpwstr/>
      </vt:variant>
      <vt:variant>
        <vt:lpwstr>_Toc311804745</vt:lpwstr>
      </vt:variant>
      <vt:variant>
        <vt:i4>1966133</vt:i4>
      </vt:variant>
      <vt:variant>
        <vt:i4>38</vt:i4>
      </vt:variant>
      <vt:variant>
        <vt:i4>0</vt:i4>
      </vt:variant>
      <vt:variant>
        <vt:i4>5</vt:i4>
      </vt:variant>
      <vt:variant>
        <vt:lpwstr/>
      </vt:variant>
      <vt:variant>
        <vt:lpwstr>_Toc311804744</vt:lpwstr>
      </vt:variant>
      <vt:variant>
        <vt:i4>1966133</vt:i4>
      </vt:variant>
      <vt:variant>
        <vt:i4>32</vt:i4>
      </vt:variant>
      <vt:variant>
        <vt:i4>0</vt:i4>
      </vt:variant>
      <vt:variant>
        <vt:i4>5</vt:i4>
      </vt:variant>
      <vt:variant>
        <vt:lpwstr/>
      </vt:variant>
      <vt:variant>
        <vt:lpwstr>_Toc311804743</vt:lpwstr>
      </vt:variant>
      <vt:variant>
        <vt:i4>1966133</vt:i4>
      </vt:variant>
      <vt:variant>
        <vt:i4>26</vt:i4>
      </vt:variant>
      <vt:variant>
        <vt:i4>0</vt:i4>
      </vt:variant>
      <vt:variant>
        <vt:i4>5</vt:i4>
      </vt:variant>
      <vt:variant>
        <vt:lpwstr/>
      </vt:variant>
      <vt:variant>
        <vt:lpwstr>_Toc311804742</vt:lpwstr>
      </vt:variant>
      <vt:variant>
        <vt:i4>1966133</vt:i4>
      </vt:variant>
      <vt:variant>
        <vt:i4>20</vt:i4>
      </vt:variant>
      <vt:variant>
        <vt:i4>0</vt:i4>
      </vt:variant>
      <vt:variant>
        <vt:i4>5</vt:i4>
      </vt:variant>
      <vt:variant>
        <vt:lpwstr/>
      </vt:variant>
      <vt:variant>
        <vt:lpwstr>_Toc311804741</vt:lpwstr>
      </vt:variant>
      <vt:variant>
        <vt:i4>1966133</vt:i4>
      </vt:variant>
      <vt:variant>
        <vt:i4>14</vt:i4>
      </vt:variant>
      <vt:variant>
        <vt:i4>0</vt:i4>
      </vt:variant>
      <vt:variant>
        <vt:i4>5</vt:i4>
      </vt:variant>
      <vt:variant>
        <vt:lpwstr/>
      </vt:variant>
      <vt:variant>
        <vt:lpwstr>_Toc311804740</vt:lpwstr>
      </vt:variant>
      <vt:variant>
        <vt:i4>1638453</vt:i4>
      </vt:variant>
      <vt:variant>
        <vt:i4>8</vt:i4>
      </vt:variant>
      <vt:variant>
        <vt:i4>0</vt:i4>
      </vt:variant>
      <vt:variant>
        <vt:i4>5</vt:i4>
      </vt:variant>
      <vt:variant>
        <vt:lpwstr/>
      </vt:variant>
      <vt:variant>
        <vt:lpwstr>_Toc311804739</vt:lpwstr>
      </vt:variant>
      <vt:variant>
        <vt:i4>1638453</vt:i4>
      </vt:variant>
      <vt:variant>
        <vt:i4>2</vt:i4>
      </vt:variant>
      <vt:variant>
        <vt:i4>0</vt:i4>
      </vt:variant>
      <vt:variant>
        <vt:i4>5</vt:i4>
      </vt:variant>
      <vt:variant>
        <vt:lpwstr/>
      </vt:variant>
      <vt:variant>
        <vt:lpwstr>_Toc311804738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Moore Shaffer</dc:creator>
  <cp:lastModifiedBy>fmoorete</cp:lastModifiedBy>
  <cp:revision>2</cp:revision>
  <cp:lastPrinted>2012-10-23T18:23:00Z</cp:lastPrinted>
  <dcterms:created xsi:type="dcterms:W3CDTF">2013-01-30T23:59:00Z</dcterms:created>
  <dcterms:modified xsi:type="dcterms:W3CDTF">2013-01-30T23:59:00Z</dcterms:modified>
</cp:coreProperties>
</file>