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8E2" w:rsidRPr="00816B34" w:rsidRDefault="00F938E2" w:rsidP="00F93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816B34">
        <w:rPr>
          <w:b/>
          <w:color w:val="000000"/>
          <w:sz w:val="24"/>
          <w:szCs w:val="24"/>
        </w:rPr>
        <w:t>Supporting Statement for Paperwork Reduction Act Submissions</w:t>
      </w:r>
    </w:p>
    <w:p w:rsidR="00F938E2" w:rsidRPr="00816B34" w:rsidRDefault="00F938E2" w:rsidP="00F938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00F938E2" w:rsidRPr="00816B34" w:rsidRDefault="00F938E2" w:rsidP="00F938E2">
      <w:pPr>
        <w:pStyle w:val="Heading1"/>
        <w:rPr>
          <w:rFonts w:ascii="Times New Roman" w:hAnsi="Times New Roman"/>
          <w:color w:val="000000"/>
          <w:szCs w:val="24"/>
        </w:rPr>
      </w:pPr>
      <w:r w:rsidRPr="00816B34">
        <w:rPr>
          <w:rFonts w:ascii="Times New Roman" w:hAnsi="Times New Roman"/>
          <w:color w:val="000000"/>
          <w:szCs w:val="24"/>
        </w:rPr>
        <w:t>Multifamily Contractor’s/Mortgagor’s Cost Breakdowns and Certifications</w:t>
      </w:r>
    </w:p>
    <w:p w:rsidR="00F938E2" w:rsidRPr="00816B34" w:rsidRDefault="00F938E2" w:rsidP="00F938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816B34">
        <w:rPr>
          <w:b/>
          <w:color w:val="000000"/>
          <w:sz w:val="24"/>
          <w:szCs w:val="24"/>
        </w:rPr>
        <w:t>OMB Control Number 2502-0044</w:t>
      </w:r>
    </w:p>
    <w:p w:rsidR="00F938E2" w:rsidRPr="00816B34" w:rsidRDefault="00F938E2" w:rsidP="00F938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szCs w:val="24"/>
        </w:rPr>
      </w:pPr>
      <w:r w:rsidRPr="00816B34">
        <w:rPr>
          <w:b/>
          <w:color w:val="000000"/>
          <w:sz w:val="24"/>
          <w:szCs w:val="24"/>
        </w:rPr>
        <w:t>(HUD-2205-A, HUD-2328, and HUD-92330-A)</w:t>
      </w:r>
    </w:p>
    <w:p w:rsidR="00F938E2" w:rsidRPr="00816B34" w:rsidRDefault="00F938E2" w:rsidP="00F938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color w:val="000000"/>
          <w:sz w:val="24"/>
          <w:szCs w:val="24"/>
        </w:rPr>
      </w:pPr>
    </w:p>
    <w:p w:rsidR="00F938E2" w:rsidRPr="00816B34" w:rsidRDefault="00F938E2" w:rsidP="00F938E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816B34">
        <w:rPr>
          <w:b/>
          <w:color w:val="000000"/>
          <w:sz w:val="24"/>
          <w:szCs w:val="24"/>
        </w:rPr>
        <w:t xml:space="preserve">A. </w:t>
      </w:r>
      <w:r w:rsidRPr="00816B34">
        <w:rPr>
          <w:b/>
          <w:color w:val="000000"/>
          <w:sz w:val="24"/>
          <w:szCs w:val="24"/>
        </w:rPr>
        <w:tab/>
        <w:t>Justification</w:t>
      </w:r>
    </w:p>
    <w:p w:rsidR="00F938E2" w:rsidRPr="00816B34" w:rsidRDefault="00F938E2" w:rsidP="00F938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F938E2" w:rsidRPr="00816B34" w:rsidRDefault="00F938E2" w:rsidP="00F938E2">
      <w:pPr>
        <w:numPr>
          <w:ilvl w:val="0"/>
          <w:numId w:val="1"/>
        </w:numPr>
        <w:tabs>
          <w:tab w:val="left" w:pos="1080"/>
        </w:tabs>
        <w:rPr>
          <w:color w:val="000000"/>
          <w:sz w:val="24"/>
          <w:szCs w:val="24"/>
        </w:rPr>
      </w:pPr>
      <w:r w:rsidRPr="00816B34">
        <w:rPr>
          <w:color w:val="000000"/>
          <w:sz w:val="24"/>
          <w:szCs w:val="24"/>
        </w:rPr>
        <w:t xml:space="preserve">Regulations published in 24 CFR 200.50 require the mortgagor and mortgagee to execute a building loan agreement approved by the Commissioner, that sets forth the terms and conditions under which progress payments may be advanced during construction, and prior to initial endorsement of the mortgage for insurance.  </w:t>
      </w:r>
    </w:p>
    <w:p w:rsidR="00F938E2" w:rsidRPr="00816B34" w:rsidRDefault="00F938E2" w:rsidP="00F938E2">
      <w:pPr>
        <w:tabs>
          <w:tab w:val="left" w:pos="1080"/>
        </w:tabs>
        <w:ind w:left="720"/>
        <w:rPr>
          <w:color w:val="000000"/>
          <w:sz w:val="24"/>
          <w:szCs w:val="24"/>
        </w:rPr>
      </w:pPr>
    </w:p>
    <w:p w:rsidR="00F938E2" w:rsidRPr="00816B34" w:rsidRDefault="00F938E2" w:rsidP="00F938E2">
      <w:pPr>
        <w:pStyle w:val="BodyTextIndent2"/>
        <w:rPr>
          <w:szCs w:val="24"/>
        </w:rPr>
      </w:pPr>
      <w:r w:rsidRPr="00816B34">
        <w:rPr>
          <w:szCs w:val="24"/>
        </w:rPr>
        <w:t xml:space="preserve">Section 227 of the National Housing Act (Section 126 of the Housing Act of 1954, Public Law 560, 12 U.S.C. 1715r), applicable portions of which are attached for reference, prohibits the insurance of multifamily mortgages on new or rehabilitated multifamily housing unless the mortgagor agrees to certify “actual costs” upon completion of the physical improvements on the mortgaged project prior to final endorsement of the mortgage.  Cost certification requirements apply to the general contractor when an identity of interest exists between the general contractor and the mortgagor, or when the mortgagor is a nonprofit entity and a cost plus contract has been used.  </w:t>
      </w:r>
    </w:p>
    <w:p w:rsidR="00F938E2" w:rsidRPr="00816B34" w:rsidRDefault="00F938E2" w:rsidP="00F938E2">
      <w:pPr>
        <w:tabs>
          <w:tab w:val="left" w:pos="1080"/>
        </w:tabs>
        <w:rPr>
          <w:color w:val="000000"/>
          <w:sz w:val="24"/>
          <w:szCs w:val="24"/>
        </w:rPr>
      </w:pPr>
    </w:p>
    <w:p w:rsidR="00F938E2" w:rsidRPr="00816B34" w:rsidRDefault="00F938E2" w:rsidP="00F938E2">
      <w:pPr>
        <w:pStyle w:val="BodyTextIndent2"/>
        <w:rPr>
          <w:szCs w:val="24"/>
        </w:rPr>
      </w:pPr>
      <w:r w:rsidRPr="00816B34">
        <w:rPr>
          <w:szCs w:val="24"/>
        </w:rPr>
        <w:t>Regulations published in 24 CFR 200.95 and 200.96 require that the mortgagor’s certificate of actual cost, in a form prescribed by the Commissioner, shall be submitted upon completion of the physical improvements to the satisfaction of the Commissioner and before final endorsement, except that in the case of an existing project that does not require substantial rehabilitation and where the commitment provides for completion of specified repairs after endorsement, a supplemental certificate of actual cost will be submitted covering the completed cost of repairs.  The certificate shall show the actual cost to the mortgagor, after deduction of any kickbacks, rebates, trade discounts, or other similar payments to the mortgagor, or to any of its officers, directors, stockholders, partners, or other entity member ownership, of construction and other costs, as prescribed by the Commissioner.  An independent Certified Public Accountant or independent public accountant shall verify the Certificate of Actual Cost in a manner acceptable to the Commissioner.  Upon the Commissioner’s approval of the mortgagor’s certification of actual cost such certification shall be final and incontestable except for fraud or material misrepresentation on the part of the mortgagor.</w:t>
      </w:r>
    </w:p>
    <w:p w:rsidR="00F938E2" w:rsidRPr="00816B34" w:rsidRDefault="00F938E2" w:rsidP="00F938E2">
      <w:pPr>
        <w:tabs>
          <w:tab w:val="left" w:pos="1080"/>
        </w:tabs>
        <w:ind w:left="720"/>
        <w:rPr>
          <w:color w:val="000000"/>
          <w:sz w:val="24"/>
          <w:szCs w:val="24"/>
        </w:rPr>
      </w:pPr>
    </w:p>
    <w:p w:rsidR="00F938E2" w:rsidRPr="00816B34" w:rsidRDefault="00F938E2" w:rsidP="00F938E2">
      <w:pPr>
        <w:numPr>
          <w:ilvl w:val="0"/>
          <w:numId w:val="1"/>
        </w:numPr>
        <w:tabs>
          <w:tab w:val="left" w:pos="1080"/>
        </w:tabs>
        <w:rPr>
          <w:color w:val="000000"/>
          <w:sz w:val="24"/>
          <w:szCs w:val="24"/>
        </w:rPr>
      </w:pPr>
      <w:r w:rsidRPr="00816B34">
        <w:rPr>
          <w:color w:val="000000"/>
          <w:sz w:val="24"/>
          <w:szCs w:val="24"/>
        </w:rPr>
        <w:t>Form HUD-2328 is used to represent the contractors and/or mortgagors firm costs and services as a basis for disbursing dollar amounts when insured advances are requested.  The contactor and/or mortgagor prepare the HUD-2328 as a requirement for issuance of a firm commitment. The firm replacement cost of the project also serves as a basis for disbursement of dollar amounts when insured advances are requested.  The contractor uses form HUD-2328 to establish a schedule of values of construction items on which the monthly advances or mortgage proceeds are based.  The information regarding completed work items are used by the Field Office to ensure that payments from the mortgage proceeds are made for work actually completed in a satisfactory manner.  The work must be inspected and approved by a Field Office Inspector.  If the collection of information was not conducted, disbursement of mortgage proceeds could not be monitored.</w:t>
      </w:r>
    </w:p>
    <w:p w:rsidR="00F938E2" w:rsidRPr="00816B34" w:rsidRDefault="00F938E2" w:rsidP="00F938E2">
      <w:pPr>
        <w:numPr>
          <w:ilvl w:val="12"/>
          <w:numId w:val="0"/>
        </w:numPr>
        <w:rPr>
          <w:color w:val="000000"/>
          <w:sz w:val="24"/>
          <w:szCs w:val="24"/>
        </w:rPr>
      </w:pPr>
    </w:p>
    <w:p w:rsidR="00F938E2" w:rsidRPr="00816B34" w:rsidRDefault="00F938E2" w:rsidP="00F938E2">
      <w:pPr>
        <w:pStyle w:val="BodyTextIndent2"/>
        <w:rPr>
          <w:szCs w:val="24"/>
        </w:rPr>
      </w:pPr>
      <w:r w:rsidRPr="00816B34">
        <w:rPr>
          <w:szCs w:val="24"/>
        </w:rPr>
        <w:t xml:space="preserve">The contractor uses form HUD-92330-A to convey actual costs incurred in the completion of construction in a standardized format for cost certification.  Form HUD-92330-A uses the Uniform System of Cost Accounting to classify construction trade items, and accounting classifications that are identical to those in the Contractor’s and/or Mortgagor’s Cost Breakdown, Form HUD-2328.  In addition to assuring that the mortgage proceeds have not been used for purposes other than construction costs, Form HUD-92330A further protects the interest of the Department by directly monitoring the accuracy of the itemized trades in Form HUD-2338, and also serves as project data to keep Field Office cost data banks and cost estimates </w:t>
      </w:r>
      <w:r w:rsidRPr="00816B34">
        <w:rPr>
          <w:szCs w:val="24"/>
        </w:rPr>
        <w:lastRenderedPageBreak/>
        <w:t>current and accurate.  If the collection of information were not conducted, there would not be an accurate method to assure that mortgage proceeds have not been used for purposes other than the payment of legitimate construction costs and expenses.</w:t>
      </w:r>
    </w:p>
    <w:p w:rsidR="00F938E2" w:rsidRPr="00816B34" w:rsidRDefault="00F938E2" w:rsidP="00F938E2">
      <w:pPr>
        <w:numPr>
          <w:ilvl w:val="12"/>
          <w:numId w:val="0"/>
        </w:numPr>
        <w:rPr>
          <w:color w:val="000000"/>
          <w:sz w:val="24"/>
          <w:szCs w:val="24"/>
        </w:rPr>
      </w:pPr>
    </w:p>
    <w:p w:rsidR="00D26151" w:rsidRDefault="00F938E2" w:rsidP="00F938E2">
      <w:pPr>
        <w:pStyle w:val="BodyTextIndent2"/>
      </w:pPr>
      <w:r w:rsidRPr="00816B34">
        <w:rPr>
          <w:szCs w:val="24"/>
        </w:rPr>
        <w:t>Form HUD-2205-A pertains to the Section 223(f) Program, which involves the purchase or refinance of an existing project.  Form HUD-2205-A is used for Section 223(f) Program only.  This information is required for a general contractor when an identity of interest exists between the general contractor and the mortgagor or when the mortgagor is a non-profit entity and a cost plus contract has been used.  The information is used to determine the actual cost of improvements equaled or exceeded the proceeds of the loan and the amount by which the proceeds of loan exceeded actual costs.  Costs are project specific and general and modified information is not acceptable.</w:t>
      </w:r>
      <w:r w:rsidR="00D26151" w:rsidRPr="00D26151">
        <w:t xml:space="preserve"> </w:t>
      </w:r>
    </w:p>
    <w:p w:rsidR="00D26151" w:rsidRDefault="00D26151" w:rsidP="00F938E2">
      <w:pPr>
        <w:pStyle w:val="BodyTextIndent2"/>
      </w:pPr>
    </w:p>
    <w:p w:rsidR="00F938E2" w:rsidRPr="00816B34" w:rsidRDefault="00F938E2" w:rsidP="00F938E2">
      <w:pPr>
        <w:rPr>
          <w:color w:val="000000"/>
          <w:sz w:val="24"/>
          <w:szCs w:val="24"/>
        </w:rPr>
      </w:pPr>
    </w:p>
    <w:p w:rsidR="00F938E2" w:rsidRPr="00816B34" w:rsidRDefault="00F938E2" w:rsidP="00F938E2">
      <w:pPr>
        <w:pStyle w:val="ListParagraph"/>
        <w:numPr>
          <w:ilvl w:val="0"/>
          <w:numId w:val="16"/>
        </w:numPr>
        <w:rPr>
          <w:color w:val="000000"/>
          <w:sz w:val="24"/>
          <w:szCs w:val="24"/>
        </w:rPr>
      </w:pPr>
      <w:r w:rsidRPr="00816B34">
        <w:rPr>
          <w:sz w:val="24"/>
          <w:szCs w:val="24"/>
        </w:rPr>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F938E2" w:rsidRPr="00816B34" w:rsidRDefault="00F938E2" w:rsidP="00F938E2">
      <w:pPr>
        <w:ind w:left="360"/>
        <w:rPr>
          <w:color w:val="000000"/>
          <w:sz w:val="24"/>
          <w:szCs w:val="24"/>
        </w:rPr>
      </w:pPr>
    </w:p>
    <w:p w:rsidR="00F938E2" w:rsidRPr="00816B34" w:rsidRDefault="00F938E2" w:rsidP="00F938E2">
      <w:pPr>
        <w:ind w:left="360"/>
        <w:rPr>
          <w:color w:val="000000"/>
          <w:sz w:val="24"/>
          <w:szCs w:val="24"/>
        </w:rPr>
      </w:pPr>
    </w:p>
    <w:p w:rsidR="00F938E2" w:rsidRPr="00816B34" w:rsidRDefault="00F938E2" w:rsidP="00F938E2">
      <w:pPr>
        <w:rPr>
          <w:color w:val="000000"/>
          <w:sz w:val="24"/>
          <w:szCs w:val="24"/>
        </w:rPr>
      </w:pPr>
      <w:r w:rsidRPr="00816B34">
        <w:rPr>
          <w:color w:val="000000"/>
          <w:sz w:val="24"/>
          <w:szCs w:val="24"/>
        </w:rPr>
        <w:t>4.  Development and construction cost varies with each project.  General or modified information is not   acceptable.  No other forms exist which can be acceptable.  No other existing forms can be substituted to obtain the required information for mortgage proceeds distribution and cost certification.</w:t>
      </w:r>
    </w:p>
    <w:p w:rsidR="00F938E2" w:rsidRPr="00816B34" w:rsidRDefault="00F938E2" w:rsidP="00F938E2">
      <w:pPr>
        <w:rPr>
          <w:color w:val="000000"/>
          <w:sz w:val="24"/>
          <w:szCs w:val="24"/>
        </w:rPr>
      </w:pPr>
    </w:p>
    <w:p w:rsidR="00F938E2" w:rsidRPr="00816B34" w:rsidRDefault="00F938E2" w:rsidP="00F938E2">
      <w:pPr>
        <w:numPr>
          <w:ilvl w:val="0"/>
          <w:numId w:val="2"/>
        </w:numPr>
        <w:rPr>
          <w:color w:val="000000"/>
          <w:sz w:val="24"/>
          <w:szCs w:val="24"/>
        </w:rPr>
      </w:pPr>
      <w:r w:rsidRPr="00816B34">
        <w:rPr>
          <w:color w:val="000000"/>
          <w:sz w:val="24"/>
          <w:szCs w:val="24"/>
        </w:rPr>
        <w:t>The Department minimizes the burden on small businesses by requiring the collection of information only once.  Form HUD-2328 is used at the start of construction.  Form HUD-92330-A is used prior to the close of construction.</w:t>
      </w:r>
    </w:p>
    <w:p w:rsidR="00F938E2" w:rsidRPr="00816B34" w:rsidRDefault="00F938E2" w:rsidP="00F938E2">
      <w:pPr>
        <w:rPr>
          <w:color w:val="000000"/>
          <w:sz w:val="24"/>
          <w:szCs w:val="24"/>
        </w:rPr>
      </w:pPr>
    </w:p>
    <w:p w:rsidR="00F938E2" w:rsidRPr="00816B34" w:rsidRDefault="00F938E2" w:rsidP="00F938E2">
      <w:pPr>
        <w:numPr>
          <w:ilvl w:val="0"/>
          <w:numId w:val="3"/>
        </w:numPr>
        <w:rPr>
          <w:color w:val="000000"/>
          <w:sz w:val="24"/>
          <w:szCs w:val="24"/>
        </w:rPr>
      </w:pPr>
      <w:r w:rsidRPr="00816B34">
        <w:rPr>
          <w:color w:val="000000"/>
          <w:sz w:val="24"/>
          <w:szCs w:val="24"/>
        </w:rPr>
        <w:t>The collection of information occurs only once for each multifamily housing project.  The Department could not comply with the provisions of the law and Federal regulations if the collection were eliminated.</w:t>
      </w:r>
    </w:p>
    <w:p w:rsidR="00F938E2" w:rsidRPr="00816B34" w:rsidRDefault="00F938E2" w:rsidP="00F938E2">
      <w:pPr>
        <w:rPr>
          <w:color w:val="000000"/>
          <w:sz w:val="24"/>
          <w:szCs w:val="24"/>
        </w:rPr>
      </w:pPr>
    </w:p>
    <w:p w:rsidR="00F938E2" w:rsidRPr="00816B34" w:rsidRDefault="00F938E2" w:rsidP="00F938E2">
      <w:pPr>
        <w:numPr>
          <w:ilvl w:val="0"/>
          <w:numId w:val="4"/>
        </w:numPr>
        <w:rPr>
          <w:color w:val="000000"/>
          <w:sz w:val="24"/>
          <w:szCs w:val="24"/>
        </w:rPr>
      </w:pPr>
      <w:r w:rsidRPr="00816B34">
        <w:rPr>
          <w:color w:val="000000"/>
          <w:sz w:val="24"/>
          <w:szCs w:val="24"/>
        </w:rPr>
        <w:t>There are no special circumstances that apply to this information collection.</w:t>
      </w:r>
    </w:p>
    <w:p w:rsidR="00F938E2" w:rsidRPr="00816B34" w:rsidRDefault="00F938E2" w:rsidP="00F938E2">
      <w:pPr>
        <w:rPr>
          <w:color w:val="000000"/>
          <w:sz w:val="24"/>
          <w:szCs w:val="24"/>
        </w:rPr>
      </w:pPr>
    </w:p>
    <w:p w:rsidR="00F938E2" w:rsidRPr="00816B34" w:rsidRDefault="00F938E2" w:rsidP="00F938E2">
      <w:pPr>
        <w:ind w:left="360"/>
        <w:rPr>
          <w:color w:val="000000"/>
          <w:sz w:val="24"/>
          <w:szCs w:val="24"/>
        </w:rPr>
      </w:pPr>
      <w:r w:rsidRPr="00816B34">
        <w:rPr>
          <w:color w:val="000000"/>
          <w:sz w:val="24"/>
          <w:szCs w:val="24"/>
        </w:rPr>
        <w:t>In accordance with 5CFR 1320.8(d), this information collection soliciting public comments was announced in the Federal Register on May 31, 2012, Volume 77, No. 105, pages 32129 and 32130.</w:t>
      </w:r>
    </w:p>
    <w:p w:rsidR="00F938E2" w:rsidRPr="00816B34" w:rsidRDefault="00F938E2" w:rsidP="00F938E2">
      <w:pPr>
        <w:ind w:left="360"/>
        <w:rPr>
          <w:color w:val="000000"/>
          <w:sz w:val="24"/>
          <w:szCs w:val="24"/>
        </w:rPr>
      </w:pPr>
    </w:p>
    <w:p w:rsidR="00F938E2" w:rsidRPr="00816B34" w:rsidRDefault="00F938E2" w:rsidP="00F938E2">
      <w:pPr>
        <w:numPr>
          <w:ilvl w:val="0"/>
          <w:numId w:val="4"/>
        </w:numPr>
        <w:rPr>
          <w:color w:val="000000"/>
          <w:sz w:val="24"/>
          <w:szCs w:val="24"/>
        </w:rPr>
      </w:pPr>
      <w:r w:rsidRPr="00816B34">
        <w:rPr>
          <w:color w:val="000000"/>
          <w:sz w:val="24"/>
          <w:szCs w:val="24"/>
        </w:rPr>
        <w:t>Consultation was provided by mortgage credit and construction analyst staff in local Multifamily Hubs/Program Centers to assess if the proposed information collection is necessary, accuracy of the agency’s estimation of public burden, improvements or enhancements to the current collection, and offer suggestions to minimize public burden, i.e., electronic submission.  The following HUBs were contacted:</w:t>
      </w:r>
    </w:p>
    <w:p w:rsidR="00F938E2" w:rsidRPr="00816B34" w:rsidRDefault="00F938E2" w:rsidP="00F938E2">
      <w:pPr>
        <w:ind w:left="360"/>
        <w:rPr>
          <w:color w:val="000000"/>
          <w:sz w:val="24"/>
          <w:szCs w:val="24"/>
        </w:rPr>
      </w:pPr>
      <w:r w:rsidRPr="00816B34">
        <w:rPr>
          <w:color w:val="000000"/>
          <w:sz w:val="24"/>
          <w:szCs w:val="24"/>
        </w:rPr>
        <w:t xml:space="preserve">                  </w:t>
      </w:r>
    </w:p>
    <w:p w:rsidR="00F938E2" w:rsidRPr="00816B34" w:rsidRDefault="00F938E2" w:rsidP="00F938E2">
      <w:pPr>
        <w:ind w:left="1440"/>
        <w:rPr>
          <w:color w:val="000000"/>
          <w:sz w:val="24"/>
          <w:szCs w:val="24"/>
        </w:rPr>
      </w:pPr>
      <w:r w:rsidRPr="00816B34">
        <w:rPr>
          <w:color w:val="000000"/>
          <w:sz w:val="24"/>
          <w:szCs w:val="24"/>
        </w:rPr>
        <w:t>Larry Ferguson Sr., Construction Analyst</w:t>
      </w:r>
    </w:p>
    <w:p w:rsidR="00F938E2" w:rsidRPr="00816B34" w:rsidRDefault="00F938E2" w:rsidP="00F938E2">
      <w:pPr>
        <w:ind w:left="1440"/>
        <w:rPr>
          <w:color w:val="000000"/>
          <w:sz w:val="24"/>
          <w:szCs w:val="24"/>
        </w:rPr>
      </w:pPr>
      <w:r w:rsidRPr="00816B34">
        <w:rPr>
          <w:color w:val="000000"/>
          <w:sz w:val="24"/>
          <w:szCs w:val="24"/>
        </w:rPr>
        <w:t>401 Marietta Street 12</w:t>
      </w:r>
      <w:r w:rsidRPr="00816B34">
        <w:rPr>
          <w:color w:val="000000"/>
          <w:sz w:val="24"/>
          <w:szCs w:val="24"/>
          <w:vertAlign w:val="superscript"/>
        </w:rPr>
        <w:t>th</w:t>
      </w:r>
      <w:r w:rsidRPr="00816B34">
        <w:rPr>
          <w:color w:val="000000"/>
          <w:sz w:val="24"/>
          <w:szCs w:val="24"/>
        </w:rPr>
        <w:t xml:space="preserve"> floor </w:t>
      </w:r>
    </w:p>
    <w:p w:rsidR="00F938E2" w:rsidRPr="00816B34" w:rsidRDefault="00F938E2" w:rsidP="00F938E2">
      <w:pPr>
        <w:ind w:left="1440"/>
        <w:rPr>
          <w:color w:val="000000"/>
          <w:sz w:val="24"/>
          <w:szCs w:val="24"/>
        </w:rPr>
      </w:pPr>
      <w:r w:rsidRPr="00816B34">
        <w:rPr>
          <w:color w:val="000000"/>
          <w:sz w:val="24"/>
          <w:szCs w:val="24"/>
        </w:rPr>
        <w:t>Atlanta, Georgia 30303</w:t>
      </w:r>
    </w:p>
    <w:p w:rsidR="00F938E2" w:rsidRPr="00816B34" w:rsidRDefault="00F938E2" w:rsidP="00F938E2">
      <w:pPr>
        <w:ind w:left="1440"/>
        <w:rPr>
          <w:color w:val="000000"/>
          <w:sz w:val="24"/>
          <w:szCs w:val="24"/>
        </w:rPr>
      </w:pPr>
    </w:p>
    <w:p w:rsidR="00F938E2" w:rsidRPr="00816B34" w:rsidRDefault="00F938E2" w:rsidP="00F938E2">
      <w:pPr>
        <w:ind w:left="1440"/>
        <w:rPr>
          <w:color w:val="000000"/>
          <w:sz w:val="24"/>
          <w:szCs w:val="24"/>
        </w:rPr>
      </w:pPr>
      <w:r w:rsidRPr="00816B34">
        <w:rPr>
          <w:color w:val="000000"/>
          <w:sz w:val="24"/>
          <w:szCs w:val="24"/>
        </w:rPr>
        <w:t>Kenneth Cooper, Construction Analyst</w:t>
      </w:r>
    </w:p>
    <w:p w:rsidR="00F938E2" w:rsidRPr="00816B34" w:rsidRDefault="00F938E2" w:rsidP="00F938E2">
      <w:pPr>
        <w:ind w:left="1440"/>
        <w:rPr>
          <w:color w:val="000000"/>
          <w:sz w:val="24"/>
          <w:szCs w:val="24"/>
        </w:rPr>
      </w:pPr>
      <w:r w:rsidRPr="00816B34">
        <w:rPr>
          <w:color w:val="000000"/>
          <w:sz w:val="24"/>
          <w:szCs w:val="24"/>
        </w:rPr>
        <w:t>400 State Avenue</w:t>
      </w:r>
    </w:p>
    <w:p w:rsidR="00F938E2" w:rsidRPr="00816B34" w:rsidRDefault="00F938E2" w:rsidP="00F938E2">
      <w:pPr>
        <w:ind w:left="1440"/>
        <w:rPr>
          <w:color w:val="000000"/>
          <w:sz w:val="24"/>
          <w:szCs w:val="24"/>
        </w:rPr>
      </w:pPr>
      <w:r w:rsidRPr="00816B34">
        <w:rPr>
          <w:color w:val="000000"/>
          <w:sz w:val="24"/>
          <w:szCs w:val="24"/>
        </w:rPr>
        <w:t>Kansas City, Kansas 66101</w:t>
      </w:r>
    </w:p>
    <w:p w:rsidR="00F938E2" w:rsidRPr="00816B34" w:rsidRDefault="00F938E2" w:rsidP="00F938E2">
      <w:pPr>
        <w:ind w:left="1440"/>
        <w:rPr>
          <w:color w:val="000000"/>
          <w:sz w:val="24"/>
          <w:szCs w:val="24"/>
        </w:rPr>
      </w:pPr>
    </w:p>
    <w:p w:rsidR="00F938E2" w:rsidRPr="00816B34" w:rsidRDefault="00F938E2" w:rsidP="00F938E2">
      <w:pPr>
        <w:ind w:left="1440"/>
        <w:rPr>
          <w:color w:val="000000"/>
          <w:sz w:val="24"/>
          <w:szCs w:val="24"/>
        </w:rPr>
      </w:pPr>
    </w:p>
    <w:p w:rsidR="00F938E2" w:rsidRPr="00816B34" w:rsidRDefault="00F938E2" w:rsidP="00F938E2">
      <w:pPr>
        <w:ind w:left="1440"/>
        <w:rPr>
          <w:color w:val="000000"/>
          <w:sz w:val="24"/>
          <w:szCs w:val="24"/>
        </w:rPr>
      </w:pPr>
    </w:p>
    <w:p w:rsidR="00F938E2" w:rsidRPr="00816B34" w:rsidRDefault="00F938E2" w:rsidP="00F938E2">
      <w:pPr>
        <w:ind w:left="1440"/>
        <w:rPr>
          <w:color w:val="000000"/>
          <w:sz w:val="24"/>
          <w:szCs w:val="24"/>
        </w:rPr>
      </w:pPr>
      <w:r w:rsidRPr="00816B34">
        <w:rPr>
          <w:color w:val="000000"/>
          <w:sz w:val="24"/>
          <w:szCs w:val="24"/>
        </w:rPr>
        <w:lastRenderedPageBreak/>
        <w:t>Doug Burgess</w:t>
      </w:r>
    </w:p>
    <w:p w:rsidR="00F938E2" w:rsidRPr="00816B34" w:rsidRDefault="00F938E2" w:rsidP="00F938E2">
      <w:pPr>
        <w:ind w:left="1440"/>
        <w:rPr>
          <w:color w:val="000000"/>
          <w:sz w:val="24"/>
          <w:szCs w:val="24"/>
        </w:rPr>
      </w:pPr>
      <w:r w:rsidRPr="00816B34">
        <w:rPr>
          <w:color w:val="000000"/>
          <w:sz w:val="24"/>
          <w:szCs w:val="24"/>
        </w:rPr>
        <w:t>100 West Capitol Street, Suite 910</w:t>
      </w:r>
    </w:p>
    <w:p w:rsidR="00F938E2" w:rsidRPr="00816B34" w:rsidRDefault="00F938E2" w:rsidP="00F938E2">
      <w:pPr>
        <w:ind w:left="1440"/>
        <w:rPr>
          <w:color w:val="000000"/>
          <w:sz w:val="24"/>
          <w:szCs w:val="24"/>
        </w:rPr>
      </w:pPr>
      <w:r w:rsidRPr="00816B34">
        <w:rPr>
          <w:color w:val="000000"/>
          <w:sz w:val="24"/>
          <w:szCs w:val="24"/>
        </w:rPr>
        <w:t>Jackson, Mississippi 39269</w:t>
      </w:r>
    </w:p>
    <w:p w:rsidR="00F938E2" w:rsidRPr="00816B34" w:rsidRDefault="00F938E2" w:rsidP="00F938E2">
      <w:pPr>
        <w:ind w:left="1440"/>
        <w:rPr>
          <w:color w:val="000000"/>
          <w:sz w:val="24"/>
          <w:szCs w:val="24"/>
        </w:rPr>
      </w:pPr>
    </w:p>
    <w:p w:rsidR="00F938E2" w:rsidRPr="00816B34" w:rsidRDefault="00F938E2" w:rsidP="00F938E2">
      <w:pPr>
        <w:ind w:left="1440"/>
        <w:rPr>
          <w:color w:val="000000"/>
          <w:sz w:val="24"/>
          <w:szCs w:val="24"/>
        </w:rPr>
      </w:pPr>
    </w:p>
    <w:p w:rsidR="00F938E2" w:rsidRPr="00816B34" w:rsidRDefault="00F938E2" w:rsidP="00F938E2">
      <w:pPr>
        <w:numPr>
          <w:ilvl w:val="0"/>
          <w:numId w:val="5"/>
        </w:numPr>
        <w:rPr>
          <w:color w:val="000000"/>
          <w:sz w:val="24"/>
          <w:szCs w:val="24"/>
        </w:rPr>
      </w:pPr>
      <w:r w:rsidRPr="00816B34">
        <w:rPr>
          <w:color w:val="000000"/>
          <w:sz w:val="24"/>
          <w:szCs w:val="24"/>
        </w:rPr>
        <w:t>The collection of this does not provide any payments or gifts to respondents, other than remuneration to contractors, are provided to respondents.</w:t>
      </w:r>
    </w:p>
    <w:p w:rsidR="00F938E2" w:rsidRPr="00816B34" w:rsidRDefault="00F938E2" w:rsidP="00F938E2">
      <w:pPr>
        <w:rPr>
          <w:color w:val="000000"/>
          <w:sz w:val="24"/>
          <w:szCs w:val="24"/>
        </w:rPr>
      </w:pPr>
    </w:p>
    <w:p w:rsidR="00F938E2" w:rsidRPr="00816B34" w:rsidRDefault="00F938E2" w:rsidP="00F938E2">
      <w:pPr>
        <w:numPr>
          <w:ilvl w:val="0"/>
          <w:numId w:val="15"/>
        </w:numPr>
        <w:rPr>
          <w:color w:val="000000"/>
          <w:sz w:val="24"/>
          <w:szCs w:val="24"/>
        </w:rPr>
      </w:pPr>
      <w:r w:rsidRPr="00816B34">
        <w:rPr>
          <w:color w:val="000000"/>
          <w:sz w:val="24"/>
          <w:szCs w:val="24"/>
        </w:rPr>
        <w:t>The Privacy Act of 1974 provides an assurance of confidentiality to the respondents. Form HUD-2328 is the contractor’s estimate of construction cost.  On bid proposals, the bid amount, which may be on this form, is subject to public bid opening.  Forms HUD-92330-A and HUD-2205-A are for the Department’s use only and respondents are assured that the material is held in confidentiality unless a release order is issued under the Freedom of Information Act.</w:t>
      </w:r>
    </w:p>
    <w:p w:rsidR="00F938E2" w:rsidRPr="00816B34" w:rsidRDefault="00F938E2" w:rsidP="00F938E2">
      <w:pPr>
        <w:rPr>
          <w:color w:val="000000"/>
          <w:sz w:val="24"/>
          <w:szCs w:val="24"/>
        </w:rPr>
      </w:pPr>
    </w:p>
    <w:p w:rsidR="00F938E2" w:rsidRPr="00816B34" w:rsidRDefault="00F938E2" w:rsidP="00F938E2">
      <w:pPr>
        <w:numPr>
          <w:ilvl w:val="0"/>
          <w:numId w:val="6"/>
        </w:numPr>
        <w:rPr>
          <w:sz w:val="24"/>
          <w:szCs w:val="24"/>
        </w:rPr>
      </w:pPr>
      <w:r w:rsidRPr="00816B34">
        <w:rPr>
          <w:color w:val="000000"/>
          <w:sz w:val="24"/>
          <w:szCs w:val="24"/>
        </w:rPr>
        <w:t>No questio</w:t>
      </w:r>
      <w:r w:rsidRPr="00816B34">
        <w:rPr>
          <w:sz w:val="24"/>
          <w:szCs w:val="24"/>
        </w:rPr>
        <w:t>ns of a sensitive nature apply.</w:t>
      </w: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numPr>
          <w:ilvl w:val="0"/>
          <w:numId w:val="7"/>
        </w:numPr>
        <w:rPr>
          <w:sz w:val="24"/>
          <w:szCs w:val="24"/>
        </w:rPr>
      </w:pPr>
      <w:r w:rsidRPr="00816B34">
        <w:rPr>
          <w:sz w:val="24"/>
          <w:szCs w:val="24"/>
        </w:rPr>
        <w:t>Estimates of the respondents burden and costs:</w:t>
      </w:r>
    </w:p>
    <w:p w:rsidR="00F938E2" w:rsidRPr="00816B34" w:rsidRDefault="00F938E2" w:rsidP="00F938E2">
      <w:pPr>
        <w:rPr>
          <w:b/>
          <w:bCs/>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443"/>
        <w:gridCol w:w="1268"/>
        <w:gridCol w:w="1230"/>
        <w:gridCol w:w="1393"/>
        <w:gridCol w:w="1298"/>
        <w:gridCol w:w="975"/>
        <w:gridCol w:w="1578"/>
      </w:tblGrid>
      <w:tr w:rsidR="00F938E2" w:rsidRPr="00816B34" w:rsidTr="00B56C3B">
        <w:tc>
          <w:tcPr>
            <w:tcW w:w="1350" w:type="dxa"/>
          </w:tcPr>
          <w:p w:rsidR="00F938E2" w:rsidRPr="00816B34" w:rsidRDefault="00F938E2" w:rsidP="00B56C3B">
            <w:pPr>
              <w:jc w:val="center"/>
              <w:rPr>
                <w:color w:val="000000"/>
                <w:sz w:val="24"/>
                <w:szCs w:val="24"/>
              </w:rPr>
            </w:pPr>
            <w:r w:rsidRPr="00816B34">
              <w:rPr>
                <w:color w:val="000000"/>
                <w:sz w:val="24"/>
                <w:szCs w:val="24"/>
              </w:rPr>
              <w:t>Information Collection</w:t>
            </w:r>
          </w:p>
        </w:tc>
        <w:tc>
          <w:tcPr>
            <w:tcW w:w="1277" w:type="dxa"/>
            <w:tcBorders>
              <w:bottom w:val="single" w:sz="4" w:space="0" w:color="auto"/>
            </w:tcBorders>
          </w:tcPr>
          <w:p w:rsidR="00F938E2" w:rsidRPr="00816B34" w:rsidRDefault="00F938E2" w:rsidP="00B56C3B">
            <w:pPr>
              <w:jc w:val="center"/>
              <w:rPr>
                <w:color w:val="000000"/>
                <w:sz w:val="24"/>
                <w:szCs w:val="24"/>
              </w:rPr>
            </w:pPr>
            <w:r w:rsidRPr="00816B34">
              <w:rPr>
                <w:color w:val="000000"/>
                <w:sz w:val="24"/>
                <w:szCs w:val="24"/>
              </w:rPr>
              <w:t>Number of Respondents</w:t>
            </w:r>
          </w:p>
        </w:tc>
        <w:tc>
          <w:tcPr>
            <w:tcW w:w="1275" w:type="dxa"/>
          </w:tcPr>
          <w:p w:rsidR="00F938E2" w:rsidRPr="00816B34" w:rsidRDefault="00F938E2" w:rsidP="00B56C3B">
            <w:pPr>
              <w:jc w:val="center"/>
              <w:rPr>
                <w:color w:val="000000"/>
                <w:sz w:val="24"/>
                <w:szCs w:val="24"/>
              </w:rPr>
            </w:pPr>
            <w:r w:rsidRPr="00816B34">
              <w:rPr>
                <w:color w:val="000000"/>
                <w:sz w:val="24"/>
                <w:szCs w:val="24"/>
              </w:rPr>
              <w:t>Frequency of Response</w:t>
            </w:r>
          </w:p>
        </w:tc>
        <w:tc>
          <w:tcPr>
            <w:tcW w:w="1228" w:type="dxa"/>
          </w:tcPr>
          <w:p w:rsidR="00F938E2" w:rsidRPr="00816B34" w:rsidRDefault="00F938E2" w:rsidP="00B56C3B">
            <w:pPr>
              <w:jc w:val="center"/>
              <w:rPr>
                <w:color w:val="000000"/>
                <w:sz w:val="24"/>
                <w:szCs w:val="24"/>
              </w:rPr>
            </w:pPr>
            <w:r w:rsidRPr="00816B34">
              <w:rPr>
                <w:color w:val="000000"/>
                <w:sz w:val="24"/>
                <w:szCs w:val="24"/>
              </w:rPr>
              <w:t>Responses Per Annum</w:t>
            </w:r>
          </w:p>
        </w:tc>
        <w:tc>
          <w:tcPr>
            <w:tcW w:w="1440" w:type="dxa"/>
          </w:tcPr>
          <w:p w:rsidR="00F938E2" w:rsidRPr="00816B34" w:rsidRDefault="00F938E2" w:rsidP="00B56C3B">
            <w:pPr>
              <w:jc w:val="center"/>
              <w:rPr>
                <w:color w:val="000000"/>
                <w:sz w:val="24"/>
                <w:szCs w:val="24"/>
              </w:rPr>
            </w:pPr>
            <w:r w:rsidRPr="00816B34">
              <w:rPr>
                <w:color w:val="000000"/>
                <w:sz w:val="24"/>
                <w:szCs w:val="24"/>
              </w:rPr>
              <w:t>Burden Hour Per Response</w:t>
            </w:r>
          </w:p>
        </w:tc>
        <w:tc>
          <w:tcPr>
            <w:tcW w:w="1350" w:type="dxa"/>
          </w:tcPr>
          <w:p w:rsidR="00F938E2" w:rsidRPr="00816B34" w:rsidRDefault="00F938E2" w:rsidP="00B56C3B">
            <w:pPr>
              <w:jc w:val="center"/>
              <w:rPr>
                <w:color w:val="000000"/>
                <w:sz w:val="24"/>
                <w:szCs w:val="24"/>
              </w:rPr>
            </w:pPr>
            <w:r w:rsidRPr="00816B34">
              <w:rPr>
                <w:color w:val="000000"/>
                <w:sz w:val="24"/>
                <w:szCs w:val="24"/>
              </w:rPr>
              <w:t>Annual Burden Hours</w:t>
            </w:r>
          </w:p>
        </w:tc>
        <w:tc>
          <w:tcPr>
            <w:tcW w:w="990" w:type="dxa"/>
          </w:tcPr>
          <w:p w:rsidR="00F938E2" w:rsidRPr="00816B34" w:rsidRDefault="00F938E2" w:rsidP="00B56C3B">
            <w:pPr>
              <w:jc w:val="center"/>
              <w:rPr>
                <w:color w:val="000000"/>
                <w:sz w:val="24"/>
                <w:szCs w:val="24"/>
              </w:rPr>
            </w:pPr>
            <w:r w:rsidRPr="00816B34">
              <w:rPr>
                <w:color w:val="000000"/>
                <w:sz w:val="24"/>
                <w:szCs w:val="24"/>
              </w:rPr>
              <w:t>Hourly Cost</w:t>
            </w:r>
          </w:p>
        </w:tc>
        <w:tc>
          <w:tcPr>
            <w:tcW w:w="1260" w:type="dxa"/>
          </w:tcPr>
          <w:p w:rsidR="00F938E2" w:rsidRPr="00816B34" w:rsidRDefault="00F938E2" w:rsidP="00B56C3B">
            <w:pPr>
              <w:jc w:val="center"/>
              <w:rPr>
                <w:color w:val="000000"/>
                <w:sz w:val="24"/>
                <w:szCs w:val="24"/>
              </w:rPr>
            </w:pPr>
            <w:r w:rsidRPr="00816B34">
              <w:rPr>
                <w:color w:val="000000"/>
                <w:sz w:val="24"/>
                <w:szCs w:val="24"/>
              </w:rPr>
              <w:t>Total Annual Cost</w:t>
            </w:r>
          </w:p>
        </w:tc>
      </w:tr>
      <w:tr w:rsidR="00F938E2" w:rsidRPr="00816B34" w:rsidTr="00B56C3B">
        <w:trPr>
          <w:cantSplit/>
        </w:trPr>
        <w:tc>
          <w:tcPr>
            <w:tcW w:w="1350" w:type="dxa"/>
          </w:tcPr>
          <w:p w:rsidR="00F938E2" w:rsidRPr="00816B34" w:rsidRDefault="00F938E2" w:rsidP="00B56C3B">
            <w:pPr>
              <w:spacing w:before="60"/>
              <w:rPr>
                <w:color w:val="000000"/>
                <w:sz w:val="24"/>
                <w:szCs w:val="24"/>
              </w:rPr>
            </w:pPr>
            <w:r w:rsidRPr="00816B34">
              <w:rPr>
                <w:color w:val="000000"/>
                <w:sz w:val="24"/>
                <w:szCs w:val="24"/>
              </w:rPr>
              <w:t>HUD-2328</w:t>
            </w:r>
          </w:p>
        </w:tc>
        <w:tc>
          <w:tcPr>
            <w:tcW w:w="1277" w:type="dxa"/>
            <w:vAlign w:val="center"/>
          </w:tcPr>
          <w:p w:rsidR="00F938E2" w:rsidRPr="00816B34" w:rsidRDefault="00F938E2" w:rsidP="00B56C3B">
            <w:pPr>
              <w:spacing w:before="60"/>
              <w:ind w:right="190"/>
              <w:jc w:val="right"/>
              <w:rPr>
                <w:color w:val="000000"/>
                <w:sz w:val="24"/>
                <w:szCs w:val="24"/>
              </w:rPr>
            </w:pPr>
            <w:r w:rsidRPr="00816B34">
              <w:rPr>
                <w:color w:val="000000"/>
                <w:sz w:val="24"/>
                <w:szCs w:val="24"/>
              </w:rPr>
              <w:t>350</w:t>
            </w:r>
          </w:p>
        </w:tc>
        <w:tc>
          <w:tcPr>
            <w:tcW w:w="1275"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28" w:type="dxa"/>
          </w:tcPr>
          <w:p w:rsidR="00F938E2" w:rsidRPr="00816B34" w:rsidRDefault="00F938E2" w:rsidP="00B56C3B">
            <w:pPr>
              <w:spacing w:before="60"/>
              <w:ind w:right="138"/>
              <w:jc w:val="right"/>
              <w:rPr>
                <w:color w:val="000000"/>
                <w:sz w:val="24"/>
                <w:szCs w:val="24"/>
              </w:rPr>
            </w:pPr>
            <w:r w:rsidRPr="00816B34">
              <w:rPr>
                <w:color w:val="000000"/>
                <w:sz w:val="24"/>
                <w:szCs w:val="24"/>
              </w:rPr>
              <w:t>350</w:t>
            </w:r>
          </w:p>
        </w:tc>
        <w:tc>
          <w:tcPr>
            <w:tcW w:w="1440" w:type="dxa"/>
          </w:tcPr>
          <w:p w:rsidR="00F938E2" w:rsidRPr="00816B34" w:rsidRDefault="00F938E2" w:rsidP="00B56C3B">
            <w:pPr>
              <w:spacing w:before="60"/>
              <w:jc w:val="center"/>
              <w:rPr>
                <w:color w:val="000000"/>
                <w:sz w:val="24"/>
                <w:szCs w:val="24"/>
              </w:rPr>
            </w:pPr>
            <w:r w:rsidRPr="00816B34">
              <w:rPr>
                <w:color w:val="000000"/>
                <w:sz w:val="24"/>
                <w:szCs w:val="24"/>
              </w:rPr>
              <w:t>11</w:t>
            </w:r>
          </w:p>
        </w:tc>
        <w:tc>
          <w:tcPr>
            <w:tcW w:w="1350" w:type="dxa"/>
          </w:tcPr>
          <w:p w:rsidR="00F938E2" w:rsidRPr="00816B34" w:rsidRDefault="00F938E2" w:rsidP="00B56C3B">
            <w:pPr>
              <w:spacing w:before="60"/>
              <w:ind w:right="314"/>
              <w:jc w:val="right"/>
              <w:rPr>
                <w:color w:val="000000"/>
                <w:sz w:val="24"/>
                <w:szCs w:val="24"/>
              </w:rPr>
            </w:pPr>
            <w:r w:rsidRPr="00816B34">
              <w:rPr>
                <w:color w:val="000000"/>
                <w:sz w:val="24"/>
                <w:szCs w:val="24"/>
              </w:rPr>
              <w:t>3850</w:t>
            </w:r>
          </w:p>
        </w:tc>
        <w:tc>
          <w:tcPr>
            <w:tcW w:w="990" w:type="dxa"/>
          </w:tcPr>
          <w:p w:rsidR="00F938E2" w:rsidRPr="00816B34" w:rsidRDefault="00F938E2" w:rsidP="00B56C3B">
            <w:pPr>
              <w:spacing w:before="60"/>
              <w:jc w:val="center"/>
              <w:rPr>
                <w:color w:val="000000"/>
                <w:sz w:val="24"/>
                <w:szCs w:val="24"/>
              </w:rPr>
            </w:pPr>
            <w:r w:rsidRPr="00816B34">
              <w:rPr>
                <w:color w:val="000000"/>
                <w:sz w:val="24"/>
                <w:szCs w:val="24"/>
              </w:rPr>
              <w:t>$35.00</w:t>
            </w:r>
          </w:p>
        </w:tc>
        <w:tc>
          <w:tcPr>
            <w:tcW w:w="1260" w:type="dxa"/>
          </w:tcPr>
          <w:p w:rsidR="00F938E2" w:rsidRPr="00816B34" w:rsidRDefault="00F938E2" w:rsidP="00B56C3B">
            <w:pPr>
              <w:spacing w:before="60"/>
              <w:ind w:right="162"/>
              <w:jc w:val="right"/>
              <w:rPr>
                <w:color w:val="000000"/>
                <w:sz w:val="24"/>
                <w:szCs w:val="24"/>
              </w:rPr>
            </w:pPr>
            <w:r w:rsidRPr="00816B34">
              <w:rPr>
                <w:color w:val="000000"/>
                <w:sz w:val="24"/>
                <w:szCs w:val="24"/>
              </w:rPr>
              <w:t>$134,750</w:t>
            </w:r>
          </w:p>
        </w:tc>
      </w:tr>
      <w:tr w:rsidR="00F938E2" w:rsidRPr="00816B34" w:rsidTr="00B56C3B">
        <w:trPr>
          <w:cantSplit/>
          <w:trHeight w:val="320"/>
        </w:trPr>
        <w:tc>
          <w:tcPr>
            <w:tcW w:w="1350" w:type="dxa"/>
          </w:tcPr>
          <w:p w:rsidR="00F938E2" w:rsidRPr="00816B34" w:rsidRDefault="00F938E2" w:rsidP="00B56C3B">
            <w:pPr>
              <w:spacing w:before="60"/>
              <w:rPr>
                <w:color w:val="000000"/>
                <w:sz w:val="24"/>
                <w:szCs w:val="24"/>
              </w:rPr>
            </w:pPr>
            <w:r w:rsidRPr="00816B34">
              <w:rPr>
                <w:color w:val="000000"/>
                <w:sz w:val="24"/>
                <w:szCs w:val="24"/>
              </w:rPr>
              <w:t>HUD-92330-A</w:t>
            </w:r>
          </w:p>
        </w:tc>
        <w:tc>
          <w:tcPr>
            <w:tcW w:w="1277" w:type="dxa"/>
          </w:tcPr>
          <w:p w:rsidR="00F938E2" w:rsidRPr="00816B34" w:rsidRDefault="00F938E2" w:rsidP="00B56C3B">
            <w:pPr>
              <w:spacing w:before="60"/>
              <w:ind w:right="190"/>
              <w:jc w:val="right"/>
              <w:rPr>
                <w:color w:val="000000"/>
                <w:sz w:val="24"/>
                <w:szCs w:val="24"/>
              </w:rPr>
            </w:pPr>
            <w:r w:rsidRPr="00816B34">
              <w:rPr>
                <w:color w:val="000000"/>
                <w:sz w:val="24"/>
                <w:szCs w:val="24"/>
              </w:rPr>
              <w:t>350</w:t>
            </w:r>
          </w:p>
        </w:tc>
        <w:tc>
          <w:tcPr>
            <w:tcW w:w="1275"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28" w:type="dxa"/>
          </w:tcPr>
          <w:p w:rsidR="00F938E2" w:rsidRPr="00816B34" w:rsidRDefault="00F938E2" w:rsidP="00B56C3B">
            <w:pPr>
              <w:spacing w:before="60"/>
              <w:ind w:right="138"/>
              <w:jc w:val="right"/>
              <w:rPr>
                <w:color w:val="000000"/>
                <w:sz w:val="24"/>
                <w:szCs w:val="24"/>
              </w:rPr>
            </w:pPr>
            <w:r w:rsidRPr="00816B34">
              <w:rPr>
                <w:color w:val="000000"/>
                <w:sz w:val="24"/>
                <w:szCs w:val="24"/>
              </w:rPr>
              <w:t>350</w:t>
            </w:r>
          </w:p>
        </w:tc>
        <w:tc>
          <w:tcPr>
            <w:tcW w:w="1440" w:type="dxa"/>
          </w:tcPr>
          <w:p w:rsidR="00F938E2" w:rsidRPr="00816B34" w:rsidRDefault="00F938E2" w:rsidP="00B56C3B">
            <w:pPr>
              <w:spacing w:before="60"/>
              <w:jc w:val="center"/>
              <w:rPr>
                <w:color w:val="000000"/>
                <w:sz w:val="24"/>
                <w:szCs w:val="24"/>
              </w:rPr>
            </w:pPr>
            <w:r w:rsidRPr="00816B34">
              <w:rPr>
                <w:color w:val="000000"/>
                <w:sz w:val="24"/>
                <w:szCs w:val="24"/>
              </w:rPr>
              <w:t>5</w:t>
            </w:r>
          </w:p>
        </w:tc>
        <w:tc>
          <w:tcPr>
            <w:tcW w:w="1350" w:type="dxa"/>
          </w:tcPr>
          <w:p w:rsidR="00F938E2" w:rsidRPr="00816B34" w:rsidRDefault="00F938E2" w:rsidP="00B56C3B">
            <w:pPr>
              <w:spacing w:before="60"/>
              <w:ind w:right="314"/>
              <w:jc w:val="right"/>
              <w:rPr>
                <w:color w:val="000000"/>
                <w:sz w:val="24"/>
                <w:szCs w:val="24"/>
              </w:rPr>
            </w:pPr>
            <w:r w:rsidRPr="00816B34">
              <w:rPr>
                <w:color w:val="000000"/>
                <w:sz w:val="24"/>
                <w:szCs w:val="24"/>
              </w:rPr>
              <w:t>1750</w:t>
            </w:r>
          </w:p>
        </w:tc>
        <w:tc>
          <w:tcPr>
            <w:tcW w:w="990" w:type="dxa"/>
          </w:tcPr>
          <w:p w:rsidR="00F938E2" w:rsidRPr="00816B34" w:rsidRDefault="00F938E2" w:rsidP="00B56C3B">
            <w:pPr>
              <w:spacing w:before="60"/>
              <w:jc w:val="center"/>
              <w:rPr>
                <w:color w:val="000000"/>
                <w:sz w:val="24"/>
                <w:szCs w:val="24"/>
              </w:rPr>
            </w:pPr>
            <w:r w:rsidRPr="00816B34">
              <w:rPr>
                <w:color w:val="000000"/>
                <w:sz w:val="24"/>
                <w:szCs w:val="24"/>
              </w:rPr>
              <w:t>$41.00</w:t>
            </w:r>
          </w:p>
        </w:tc>
        <w:tc>
          <w:tcPr>
            <w:tcW w:w="1260" w:type="dxa"/>
          </w:tcPr>
          <w:p w:rsidR="00F938E2" w:rsidRPr="00816B34" w:rsidRDefault="00F938E2" w:rsidP="00B56C3B">
            <w:pPr>
              <w:spacing w:before="60"/>
              <w:ind w:right="162"/>
              <w:jc w:val="right"/>
              <w:rPr>
                <w:color w:val="000000"/>
                <w:sz w:val="24"/>
                <w:szCs w:val="24"/>
              </w:rPr>
            </w:pPr>
            <w:r w:rsidRPr="00816B34">
              <w:rPr>
                <w:color w:val="000000"/>
                <w:sz w:val="24"/>
                <w:szCs w:val="24"/>
              </w:rPr>
              <w:t>$71,750</w:t>
            </w:r>
          </w:p>
        </w:tc>
      </w:tr>
      <w:tr w:rsidR="00F938E2" w:rsidRPr="00816B34" w:rsidTr="00B56C3B">
        <w:trPr>
          <w:cantSplit/>
          <w:trHeight w:val="302"/>
        </w:trPr>
        <w:tc>
          <w:tcPr>
            <w:tcW w:w="1350" w:type="dxa"/>
          </w:tcPr>
          <w:p w:rsidR="00F938E2" w:rsidRPr="00816B34" w:rsidRDefault="00F938E2" w:rsidP="00B56C3B">
            <w:pPr>
              <w:spacing w:before="60"/>
              <w:rPr>
                <w:color w:val="000000"/>
                <w:sz w:val="24"/>
                <w:szCs w:val="24"/>
              </w:rPr>
            </w:pPr>
            <w:r w:rsidRPr="00816B34">
              <w:rPr>
                <w:color w:val="000000"/>
                <w:sz w:val="24"/>
                <w:szCs w:val="24"/>
              </w:rPr>
              <w:t>HUD-2205-A</w:t>
            </w:r>
          </w:p>
        </w:tc>
        <w:tc>
          <w:tcPr>
            <w:tcW w:w="1277" w:type="dxa"/>
          </w:tcPr>
          <w:p w:rsidR="00F938E2" w:rsidRPr="00816B34" w:rsidRDefault="00F938E2" w:rsidP="00B56C3B">
            <w:pPr>
              <w:spacing w:before="60"/>
              <w:ind w:right="190"/>
              <w:jc w:val="right"/>
              <w:rPr>
                <w:color w:val="000000"/>
                <w:sz w:val="24"/>
                <w:szCs w:val="24"/>
              </w:rPr>
            </w:pPr>
            <w:r w:rsidRPr="00816B34">
              <w:rPr>
                <w:color w:val="000000"/>
                <w:sz w:val="24"/>
                <w:szCs w:val="24"/>
              </w:rPr>
              <w:t>80</w:t>
            </w:r>
          </w:p>
        </w:tc>
        <w:tc>
          <w:tcPr>
            <w:tcW w:w="1275"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28" w:type="dxa"/>
          </w:tcPr>
          <w:p w:rsidR="00F938E2" w:rsidRPr="00816B34" w:rsidRDefault="00F938E2" w:rsidP="00B56C3B">
            <w:pPr>
              <w:spacing w:before="60"/>
              <w:ind w:right="138"/>
              <w:jc w:val="right"/>
              <w:rPr>
                <w:color w:val="000000"/>
                <w:sz w:val="24"/>
                <w:szCs w:val="24"/>
              </w:rPr>
            </w:pPr>
            <w:r w:rsidRPr="00816B34">
              <w:rPr>
                <w:color w:val="000000"/>
                <w:sz w:val="24"/>
                <w:szCs w:val="24"/>
              </w:rPr>
              <w:t>80</w:t>
            </w:r>
          </w:p>
        </w:tc>
        <w:tc>
          <w:tcPr>
            <w:tcW w:w="1440" w:type="dxa"/>
          </w:tcPr>
          <w:p w:rsidR="00F938E2" w:rsidRPr="00816B34" w:rsidRDefault="00F938E2" w:rsidP="00B56C3B">
            <w:pPr>
              <w:spacing w:before="60"/>
              <w:jc w:val="center"/>
              <w:rPr>
                <w:color w:val="000000"/>
                <w:sz w:val="24"/>
                <w:szCs w:val="24"/>
              </w:rPr>
            </w:pPr>
            <w:r w:rsidRPr="00816B34">
              <w:rPr>
                <w:color w:val="000000"/>
                <w:sz w:val="24"/>
                <w:szCs w:val="24"/>
              </w:rPr>
              <w:t>3</w:t>
            </w:r>
          </w:p>
        </w:tc>
        <w:tc>
          <w:tcPr>
            <w:tcW w:w="1350" w:type="dxa"/>
          </w:tcPr>
          <w:p w:rsidR="00F938E2" w:rsidRPr="00816B34" w:rsidRDefault="00F938E2" w:rsidP="00B56C3B">
            <w:pPr>
              <w:spacing w:before="60"/>
              <w:ind w:right="314"/>
              <w:jc w:val="right"/>
              <w:rPr>
                <w:color w:val="000000"/>
                <w:sz w:val="24"/>
                <w:szCs w:val="24"/>
              </w:rPr>
            </w:pPr>
            <w:r w:rsidRPr="00816B34">
              <w:rPr>
                <w:color w:val="000000"/>
                <w:sz w:val="24"/>
                <w:szCs w:val="24"/>
              </w:rPr>
              <w:t>240</w:t>
            </w:r>
          </w:p>
        </w:tc>
        <w:tc>
          <w:tcPr>
            <w:tcW w:w="990" w:type="dxa"/>
          </w:tcPr>
          <w:p w:rsidR="00F938E2" w:rsidRPr="00816B34" w:rsidRDefault="00F938E2" w:rsidP="00B56C3B">
            <w:pPr>
              <w:spacing w:before="60"/>
              <w:jc w:val="center"/>
              <w:rPr>
                <w:color w:val="000000"/>
                <w:sz w:val="24"/>
                <w:szCs w:val="24"/>
              </w:rPr>
            </w:pPr>
            <w:r w:rsidRPr="00816B34">
              <w:rPr>
                <w:color w:val="000000"/>
                <w:sz w:val="24"/>
                <w:szCs w:val="24"/>
              </w:rPr>
              <w:t>$37.32</w:t>
            </w:r>
          </w:p>
        </w:tc>
        <w:tc>
          <w:tcPr>
            <w:tcW w:w="1260" w:type="dxa"/>
          </w:tcPr>
          <w:p w:rsidR="00F938E2" w:rsidRPr="00816B34" w:rsidRDefault="00F938E2" w:rsidP="00B56C3B">
            <w:pPr>
              <w:spacing w:before="60"/>
              <w:ind w:right="162"/>
              <w:jc w:val="right"/>
              <w:rPr>
                <w:color w:val="000000"/>
                <w:sz w:val="24"/>
                <w:szCs w:val="24"/>
              </w:rPr>
            </w:pPr>
            <w:r w:rsidRPr="00816B34">
              <w:rPr>
                <w:color w:val="000000"/>
                <w:sz w:val="24"/>
                <w:szCs w:val="24"/>
              </w:rPr>
              <w:t>$8,956.80</w:t>
            </w:r>
          </w:p>
        </w:tc>
      </w:tr>
      <w:tr w:rsidR="00F938E2" w:rsidRPr="00816B34" w:rsidTr="00B56C3B">
        <w:tc>
          <w:tcPr>
            <w:tcW w:w="1350" w:type="dxa"/>
          </w:tcPr>
          <w:p w:rsidR="00F938E2" w:rsidRPr="00816B34" w:rsidRDefault="00F938E2" w:rsidP="00B56C3B">
            <w:pPr>
              <w:spacing w:before="60"/>
              <w:rPr>
                <w:b/>
                <w:bCs/>
                <w:color w:val="000000"/>
                <w:sz w:val="24"/>
                <w:szCs w:val="24"/>
              </w:rPr>
            </w:pPr>
            <w:r w:rsidRPr="00816B34">
              <w:rPr>
                <w:b/>
                <w:bCs/>
                <w:color w:val="000000"/>
                <w:sz w:val="24"/>
                <w:szCs w:val="24"/>
              </w:rPr>
              <w:t xml:space="preserve">   Totals</w:t>
            </w:r>
          </w:p>
        </w:tc>
        <w:tc>
          <w:tcPr>
            <w:tcW w:w="1277" w:type="dxa"/>
          </w:tcPr>
          <w:p w:rsidR="00F938E2" w:rsidRPr="00816B34" w:rsidRDefault="00F938E2" w:rsidP="00B56C3B">
            <w:pPr>
              <w:spacing w:before="60"/>
              <w:ind w:right="190"/>
              <w:jc w:val="right"/>
              <w:rPr>
                <w:b/>
                <w:bCs/>
                <w:color w:val="000000"/>
                <w:sz w:val="24"/>
                <w:szCs w:val="24"/>
              </w:rPr>
            </w:pPr>
          </w:p>
        </w:tc>
        <w:tc>
          <w:tcPr>
            <w:tcW w:w="1275" w:type="dxa"/>
          </w:tcPr>
          <w:p w:rsidR="00F938E2" w:rsidRPr="00816B34" w:rsidRDefault="00F938E2" w:rsidP="00B56C3B">
            <w:pPr>
              <w:spacing w:before="60"/>
              <w:jc w:val="center"/>
              <w:rPr>
                <w:b/>
                <w:bCs/>
                <w:color w:val="000000"/>
                <w:sz w:val="24"/>
                <w:szCs w:val="24"/>
              </w:rPr>
            </w:pPr>
          </w:p>
        </w:tc>
        <w:tc>
          <w:tcPr>
            <w:tcW w:w="1228" w:type="dxa"/>
          </w:tcPr>
          <w:p w:rsidR="00F938E2" w:rsidRPr="00816B34" w:rsidRDefault="00F938E2" w:rsidP="00B56C3B">
            <w:pPr>
              <w:spacing w:before="60"/>
              <w:ind w:right="138"/>
              <w:jc w:val="right"/>
              <w:rPr>
                <w:b/>
                <w:bCs/>
                <w:color w:val="000000"/>
                <w:sz w:val="24"/>
                <w:szCs w:val="24"/>
              </w:rPr>
            </w:pPr>
            <w:r w:rsidRPr="00816B34">
              <w:rPr>
                <w:b/>
                <w:bCs/>
                <w:color w:val="000000"/>
                <w:sz w:val="24"/>
                <w:szCs w:val="24"/>
              </w:rPr>
              <w:t>780</w:t>
            </w:r>
          </w:p>
        </w:tc>
        <w:tc>
          <w:tcPr>
            <w:tcW w:w="1440" w:type="dxa"/>
          </w:tcPr>
          <w:p w:rsidR="00F938E2" w:rsidRPr="00816B34" w:rsidRDefault="00F938E2" w:rsidP="00B56C3B">
            <w:pPr>
              <w:spacing w:before="60"/>
              <w:jc w:val="center"/>
              <w:rPr>
                <w:b/>
                <w:bCs/>
                <w:color w:val="000000"/>
                <w:sz w:val="24"/>
                <w:szCs w:val="24"/>
              </w:rPr>
            </w:pPr>
          </w:p>
        </w:tc>
        <w:tc>
          <w:tcPr>
            <w:tcW w:w="1350" w:type="dxa"/>
          </w:tcPr>
          <w:p w:rsidR="00F938E2" w:rsidRPr="00816B34" w:rsidRDefault="00F938E2" w:rsidP="00B56C3B">
            <w:pPr>
              <w:spacing w:before="60"/>
              <w:ind w:right="314"/>
              <w:jc w:val="right"/>
              <w:rPr>
                <w:b/>
                <w:bCs/>
                <w:color w:val="000000"/>
                <w:sz w:val="24"/>
                <w:szCs w:val="24"/>
              </w:rPr>
            </w:pPr>
            <w:r w:rsidRPr="00816B34">
              <w:rPr>
                <w:b/>
                <w:bCs/>
                <w:color w:val="000000"/>
                <w:sz w:val="24"/>
                <w:szCs w:val="24"/>
              </w:rPr>
              <w:t>5840</w:t>
            </w:r>
          </w:p>
        </w:tc>
        <w:tc>
          <w:tcPr>
            <w:tcW w:w="990" w:type="dxa"/>
          </w:tcPr>
          <w:p w:rsidR="00F938E2" w:rsidRPr="00816B34" w:rsidRDefault="00F938E2" w:rsidP="00B56C3B">
            <w:pPr>
              <w:spacing w:before="60"/>
              <w:jc w:val="right"/>
              <w:rPr>
                <w:b/>
                <w:bCs/>
                <w:color w:val="000000"/>
                <w:sz w:val="24"/>
                <w:szCs w:val="24"/>
              </w:rPr>
            </w:pPr>
          </w:p>
        </w:tc>
        <w:tc>
          <w:tcPr>
            <w:tcW w:w="1260" w:type="dxa"/>
          </w:tcPr>
          <w:p w:rsidR="00F938E2" w:rsidRPr="00816B34" w:rsidRDefault="00F938E2" w:rsidP="00B56C3B">
            <w:pPr>
              <w:spacing w:before="60"/>
              <w:ind w:right="162"/>
              <w:jc w:val="right"/>
              <w:rPr>
                <w:b/>
                <w:bCs/>
                <w:color w:val="000000"/>
                <w:sz w:val="24"/>
                <w:szCs w:val="24"/>
              </w:rPr>
            </w:pPr>
            <w:r w:rsidRPr="00816B34">
              <w:rPr>
                <w:b/>
                <w:bCs/>
                <w:color w:val="000000"/>
                <w:sz w:val="24"/>
                <w:szCs w:val="24"/>
              </w:rPr>
              <w:t xml:space="preserve"> $215,456.80</w:t>
            </w:r>
          </w:p>
        </w:tc>
      </w:tr>
    </w:tbl>
    <w:p w:rsidR="00F938E2" w:rsidRPr="00816B34" w:rsidRDefault="00F938E2" w:rsidP="00F938E2">
      <w:pPr>
        <w:rPr>
          <w:sz w:val="24"/>
          <w:szCs w:val="24"/>
        </w:rPr>
      </w:pPr>
    </w:p>
    <w:p w:rsidR="00F938E2" w:rsidRPr="00816B34" w:rsidRDefault="00F938E2" w:rsidP="00F938E2">
      <w:pPr>
        <w:ind w:left="360"/>
        <w:rPr>
          <w:b/>
          <w:sz w:val="24"/>
          <w:szCs w:val="24"/>
          <w:u w:val="single"/>
        </w:rPr>
      </w:pPr>
      <w:r w:rsidRPr="00816B34">
        <w:rPr>
          <w:b/>
          <w:sz w:val="24"/>
          <w:szCs w:val="24"/>
          <w:u w:val="single"/>
        </w:rPr>
        <w:t>Form HUD-2328:</w:t>
      </w:r>
    </w:p>
    <w:p w:rsidR="00F938E2" w:rsidRPr="00816B34" w:rsidRDefault="00F938E2" w:rsidP="00F938E2">
      <w:pPr>
        <w:ind w:left="360"/>
        <w:rPr>
          <w:b/>
          <w:sz w:val="24"/>
          <w:szCs w:val="24"/>
          <w:u w:val="single"/>
        </w:rPr>
      </w:pPr>
    </w:p>
    <w:p w:rsidR="00F938E2" w:rsidRPr="00816B34" w:rsidRDefault="00F938E2" w:rsidP="00F938E2">
      <w:pPr>
        <w:ind w:left="360"/>
        <w:rPr>
          <w:sz w:val="24"/>
          <w:szCs w:val="24"/>
        </w:rPr>
      </w:pPr>
      <w:r w:rsidRPr="00816B34">
        <w:rPr>
          <w:sz w:val="24"/>
          <w:szCs w:val="24"/>
        </w:rPr>
        <w:t xml:space="preserve">It is estimated that there will be approximately 350 respondents who will submit form HUD-2338 once at the firm commitment stage of development processing. </w:t>
      </w:r>
    </w:p>
    <w:p w:rsidR="00F938E2" w:rsidRPr="00816B34" w:rsidRDefault="00F938E2" w:rsidP="00F938E2">
      <w:pPr>
        <w:rPr>
          <w:sz w:val="24"/>
          <w:szCs w:val="24"/>
        </w:rPr>
      </w:pPr>
    </w:p>
    <w:p w:rsidR="00F938E2" w:rsidRPr="00816B34" w:rsidRDefault="00F938E2" w:rsidP="00F938E2">
      <w:pPr>
        <w:ind w:left="360"/>
        <w:rPr>
          <w:b/>
          <w:sz w:val="24"/>
          <w:szCs w:val="24"/>
          <w:u w:val="single"/>
        </w:rPr>
      </w:pPr>
      <w:r w:rsidRPr="00816B34">
        <w:rPr>
          <w:b/>
          <w:sz w:val="24"/>
          <w:szCs w:val="24"/>
          <w:u w:val="single"/>
        </w:rPr>
        <w:t>Form HUD-92230-A:</w:t>
      </w:r>
    </w:p>
    <w:p w:rsidR="00F938E2" w:rsidRPr="00816B34" w:rsidRDefault="00F938E2" w:rsidP="00F938E2">
      <w:pPr>
        <w:ind w:left="360"/>
        <w:rPr>
          <w:b/>
          <w:sz w:val="24"/>
          <w:szCs w:val="24"/>
          <w:u w:val="single"/>
        </w:rPr>
      </w:pPr>
    </w:p>
    <w:p w:rsidR="00F938E2" w:rsidRPr="00816B34" w:rsidRDefault="00F938E2" w:rsidP="00F938E2">
      <w:pPr>
        <w:ind w:left="360"/>
        <w:rPr>
          <w:sz w:val="24"/>
          <w:szCs w:val="24"/>
        </w:rPr>
      </w:pPr>
      <w:r w:rsidRPr="00816B34">
        <w:rPr>
          <w:sz w:val="24"/>
          <w:szCs w:val="24"/>
        </w:rPr>
        <w:t xml:space="preserve">The estimated number of respondents is 350.  This is based on the number of respondents to HUD-2328.  </w:t>
      </w:r>
    </w:p>
    <w:p w:rsidR="00F938E2" w:rsidRPr="00816B34" w:rsidRDefault="00F938E2" w:rsidP="00F938E2">
      <w:pPr>
        <w:ind w:left="360"/>
        <w:rPr>
          <w:sz w:val="24"/>
          <w:szCs w:val="24"/>
        </w:rPr>
      </w:pPr>
    </w:p>
    <w:p w:rsidR="00F938E2" w:rsidRPr="00816B34" w:rsidRDefault="00F938E2" w:rsidP="00F938E2">
      <w:pPr>
        <w:pStyle w:val="Heading2"/>
        <w:rPr>
          <w:szCs w:val="24"/>
        </w:rPr>
      </w:pPr>
      <w:r w:rsidRPr="00816B34">
        <w:rPr>
          <w:szCs w:val="24"/>
        </w:rPr>
        <w:t>Form HUD-2205-A</w:t>
      </w:r>
    </w:p>
    <w:p w:rsidR="00F938E2" w:rsidRPr="00816B34" w:rsidRDefault="00F938E2" w:rsidP="00F938E2">
      <w:pPr>
        <w:ind w:left="360"/>
        <w:rPr>
          <w:b/>
          <w:sz w:val="24"/>
          <w:szCs w:val="24"/>
          <w:u w:val="single"/>
        </w:rPr>
      </w:pPr>
    </w:p>
    <w:p w:rsidR="00F938E2" w:rsidRPr="00816B34" w:rsidRDefault="00F938E2" w:rsidP="00F938E2">
      <w:pPr>
        <w:pStyle w:val="BodyText"/>
        <w:ind w:left="360"/>
        <w:rPr>
          <w:szCs w:val="24"/>
        </w:rPr>
      </w:pPr>
      <w:r w:rsidRPr="00816B34">
        <w:rPr>
          <w:szCs w:val="24"/>
        </w:rPr>
        <w:t>The estimated number of respondents is 80 based on 2008 Fiscal Year.</w:t>
      </w:r>
    </w:p>
    <w:p w:rsidR="00F938E2" w:rsidRPr="00816B34" w:rsidRDefault="00F938E2" w:rsidP="00F938E2">
      <w:pPr>
        <w:rPr>
          <w:sz w:val="24"/>
          <w:szCs w:val="24"/>
        </w:rPr>
      </w:pPr>
    </w:p>
    <w:p w:rsidR="00F938E2" w:rsidRPr="00816B34" w:rsidRDefault="00F938E2" w:rsidP="00F938E2">
      <w:pPr>
        <w:numPr>
          <w:ilvl w:val="0"/>
          <w:numId w:val="8"/>
        </w:numPr>
        <w:rPr>
          <w:sz w:val="24"/>
          <w:szCs w:val="24"/>
        </w:rPr>
      </w:pPr>
      <w:r w:rsidRPr="00816B34">
        <w:rPr>
          <w:sz w:val="24"/>
          <w:szCs w:val="24"/>
        </w:rPr>
        <w:t>There are no additional costs associated with this collection of information.</w:t>
      </w: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rPr>
          <w:sz w:val="24"/>
          <w:szCs w:val="24"/>
        </w:rPr>
      </w:pPr>
    </w:p>
    <w:p w:rsidR="00F938E2" w:rsidRPr="00816B34" w:rsidRDefault="00F938E2" w:rsidP="00F938E2">
      <w:pPr>
        <w:numPr>
          <w:ilvl w:val="0"/>
          <w:numId w:val="9"/>
        </w:numPr>
        <w:rPr>
          <w:sz w:val="24"/>
          <w:szCs w:val="24"/>
        </w:rPr>
      </w:pPr>
      <w:r w:rsidRPr="00816B34">
        <w:rPr>
          <w:b/>
          <w:sz w:val="24"/>
          <w:szCs w:val="24"/>
          <w:u w:val="single"/>
        </w:rPr>
        <w:lastRenderedPageBreak/>
        <w:t>Cost to the Federal Government</w:t>
      </w:r>
      <w:r w:rsidRPr="00816B34">
        <w:rPr>
          <w:sz w:val="24"/>
          <w:szCs w:val="24"/>
        </w:rPr>
        <w:t xml:space="preserve"> is based on an hourly rate of $32.73 (Grade 12/Step 5 annual salary of $68,310.00).  There are no operational expenses.</w:t>
      </w:r>
    </w:p>
    <w:p w:rsidR="00F938E2" w:rsidRPr="00816B34" w:rsidRDefault="00F938E2" w:rsidP="00F938E2">
      <w:pPr>
        <w:rPr>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288"/>
        <w:gridCol w:w="1229"/>
        <w:gridCol w:w="1230"/>
        <w:gridCol w:w="1140"/>
        <w:gridCol w:w="981"/>
        <w:gridCol w:w="1140"/>
        <w:gridCol w:w="1116"/>
      </w:tblGrid>
      <w:tr w:rsidR="00F938E2" w:rsidRPr="00816B34" w:rsidTr="00B56C3B">
        <w:tc>
          <w:tcPr>
            <w:tcW w:w="1440" w:type="dxa"/>
          </w:tcPr>
          <w:p w:rsidR="00F938E2" w:rsidRPr="00816B34" w:rsidRDefault="00F938E2" w:rsidP="00B56C3B">
            <w:pPr>
              <w:jc w:val="center"/>
              <w:rPr>
                <w:color w:val="000000"/>
                <w:sz w:val="24"/>
                <w:szCs w:val="24"/>
              </w:rPr>
            </w:pPr>
            <w:r w:rsidRPr="00816B34">
              <w:rPr>
                <w:color w:val="000000"/>
                <w:sz w:val="24"/>
                <w:szCs w:val="24"/>
              </w:rPr>
              <w:t>Information Collection</w:t>
            </w:r>
          </w:p>
        </w:tc>
        <w:tc>
          <w:tcPr>
            <w:tcW w:w="1288" w:type="dxa"/>
          </w:tcPr>
          <w:p w:rsidR="00F938E2" w:rsidRPr="00816B34" w:rsidRDefault="00F938E2" w:rsidP="00B56C3B">
            <w:pPr>
              <w:jc w:val="center"/>
              <w:rPr>
                <w:color w:val="000000"/>
                <w:sz w:val="24"/>
                <w:szCs w:val="24"/>
              </w:rPr>
            </w:pPr>
            <w:r w:rsidRPr="00816B34">
              <w:rPr>
                <w:color w:val="000000"/>
                <w:sz w:val="24"/>
                <w:szCs w:val="24"/>
              </w:rPr>
              <w:t>Number of Responses</w:t>
            </w:r>
          </w:p>
        </w:tc>
        <w:tc>
          <w:tcPr>
            <w:tcW w:w="1174" w:type="dxa"/>
          </w:tcPr>
          <w:p w:rsidR="00F938E2" w:rsidRPr="00816B34" w:rsidRDefault="00F938E2" w:rsidP="00B56C3B">
            <w:pPr>
              <w:jc w:val="center"/>
              <w:rPr>
                <w:color w:val="000000"/>
                <w:sz w:val="24"/>
                <w:szCs w:val="24"/>
              </w:rPr>
            </w:pPr>
            <w:r w:rsidRPr="00816B34">
              <w:rPr>
                <w:color w:val="000000"/>
                <w:sz w:val="24"/>
                <w:szCs w:val="24"/>
              </w:rPr>
              <w:t>Frequency of Response</w:t>
            </w:r>
          </w:p>
        </w:tc>
        <w:tc>
          <w:tcPr>
            <w:tcW w:w="1204" w:type="dxa"/>
          </w:tcPr>
          <w:p w:rsidR="00F938E2" w:rsidRPr="00816B34" w:rsidRDefault="00F938E2" w:rsidP="00B56C3B">
            <w:pPr>
              <w:jc w:val="center"/>
              <w:rPr>
                <w:color w:val="000000"/>
                <w:sz w:val="24"/>
                <w:szCs w:val="24"/>
              </w:rPr>
            </w:pPr>
            <w:r w:rsidRPr="00816B34">
              <w:rPr>
                <w:color w:val="000000"/>
                <w:sz w:val="24"/>
                <w:szCs w:val="24"/>
              </w:rPr>
              <w:t>Responses</w:t>
            </w:r>
          </w:p>
          <w:p w:rsidR="00F938E2" w:rsidRPr="00816B34" w:rsidRDefault="00F938E2" w:rsidP="00B56C3B">
            <w:pPr>
              <w:jc w:val="center"/>
              <w:rPr>
                <w:color w:val="000000"/>
                <w:sz w:val="24"/>
                <w:szCs w:val="24"/>
              </w:rPr>
            </w:pPr>
            <w:r w:rsidRPr="00816B34">
              <w:rPr>
                <w:color w:val="000000"/>
                <w:sz w:val="24"/>
                <w:szCs w:val="24"/>
              </w:rPr>
              <w:t>Per Annum</w:t>
            </w:r>
          </w:p>
        </w:tc>
        <w:tc>
          <w:tcPr>
            <w:tcW w:w="1140" w:type="dxa"/>
          </w:tcPr>
          <w:p w:rsidR="00F938E2" w:rsidRPr="00816B34" w:rsidRDefault="00F938E2" w:rsidP="00B56C3B">
            <w:pPr>
              <w:jc w:val="center"/>
              <w:rPr>
                <w:color w:val="000000"/>
                <w:sz w:val="24"/>
                <w:szCs w:val="24"/>
              </w:rPr>
            </w:pPr>
            <w:r w:rsidRPr="00816B34">
              <w:rPr>
                <w:color w:val="000000"/>
                <w:sz w:val="24"/>
                <w:szCs w:val="24"/>
              </w:rPr>
              <w:t>Burden Hour Per Response</w:t>
            </w:r>
          </w:p>
        </w:tc>
        <w:tc>
          <w:tcPr>
            <w:tcW w:w="981" w:type="dxa"/>
          </w:tcPr>
          <w:p w:rsidR="00F938E2" w:rsidRPr="00816B34" w:rsidRDefault="00F938E2" w:rsidP="00B56C3B">
            <w:pPr>
              <w:jc w:val="center"/>
              <w:rPr>
                <w:color w:val="000000"/>
                <w:sz w:val="24"/>
                <w:szCs w:val="24"/>
              </w:rPr>
            </w:pPr>
            <w:r w:rsidRPr="00816B34">
              <w:rPr>
                <w:color w:val="000000"/>
                <w:sz w:val="24"/>
                <w:szCs w:val="24"/>
              </w:rPr>
              <w:t>Annual Burden Hours</w:t>
            </w:r>
          </w:p>
        </w:tc>
        <w:tc>
          <w:tcPr>
            <w:tcW w:w="1140" w:type="dxa"/>
          </w:tcPr>
          <w:p w:rsidR="00F938E2" w:rsidRPr="00816B34" w:rsidRDefault="00F938E2" w:rsidP="00B56C3B">
            <w:pPr>
              <w:jc w:val="center"/>
              <w:rPr>
                <w:color w:val="000000"/>
                <w:sz w:val="24"/>
                <w:szCs w:val="24"/>
              </w:rPr>
            </w:pPr>
            <w:r w:rsidRPr="00816B34">
              <w:rPr>
                <w:color w:val="000000"/>
                <w:sz w:val="24"/>
                <w:szCs w:val="24"/>
              </w:rPr>
              <w:t>Hourly Cost Per Response</w:t>
            </w:r>
          </w:p>
        </w:tc>
        <w:tc>
          <w:tcPr>
            <w:tcW w:w="1017" w:type="dxa"/>
          </w:tcPr>
          <w:p w:rsidR="00F938E2" w:rsidRPr="00816B34" w:rsidRDefault="00F938E2" w:rsidP="00B56C3B">
            <w:pPr>
              <w:jc w:val="center"/>
              <w:rPr>
                <w:color w:val="000000"/>
                <w:sz w:val="24"/>
                <w:szCs w:val="24"/>
              </w:rPr>
            </w:pPr>
            <w:r w:rsidRPr="00816B34">
              <w:rPr>
                <w:color w:val="000000"/>
                <w:sz w:val="24"/>
                <w:szCs w:val="24"/>
              </w:rPr>
              <w:t>Annual Cost</w:t>
            </w:r>
          </w:p>
          <w:p w:rsidR="00F938E2" w:rsidRPr="00816B34" w:rsidRDefault="00F938E2" w:rsidP="00B56C3B">
            <w:pPr>
              <w:jc w:val="center"/>
              <w:rPr>
                <w:color w:val="000000"/>
                <w:sz w:val="24"/>
                <w:szCs w:val="24"/>
              </w:rPr>
            </w:pPr>
          </w:p>
        </w:tc>
      </w:tr>
      <w:tr w:rsidR="00F938E2" w:rsidRPr="00816B34" w:rsidTr="00B56C3B">
        <w:tc>
          <w:tcPr>
            <w:tcW w:w="1440" w:type="dxa"/>
          </w:tcPr>
          <w:p w:rsidR="00F938E2" w:rsidRPr="00816B34" w:rsidRDefault="00F938E2" w:rsidP="00B56C3B">
            <w:pPr>
              <w:spacing w:before="60"/>
              <w:rPr>
                <w:color w:val="000000"/>
                <w:sz w:val="24"/>
                <w:szCs w:val="24"/>
              </w:rPr>
            </w:pPr>
            <w:r w:rsidRPr="00816B34">
              <w:rPr>
                <w:color w:val="000000"/>
                <w:sz w:val="24"/>
                <w:szCs w:val="24"/>
              </w:rPr>
              <w:t>HUD-2328</w:t>
            </w:r>
          </w:p>
        </w:tc>
        <w:tc>
          <w:tcPr>
            <w:tcW w:w="1288" w:type="dxa"/>
          </w:tcPr>
          <w:p w:rsidR="00F938E2" w:rsidRPr="00816B34" w:rsidRDefault="00F938E2" w:rsidP="00B56C3B">
            <w:pPr>
              <w:spacing w:before="60"/>
              <w:ind w:right="190"/>
              <w:jc w:val="right"/>
              <w:rPr>
                <w:color w:val="000000"/>
                <w:sz w:val="24"/>
                <w:szCs w:val="24"/>
              </w:rPr>
            </w:pPr>
            <w:r w:rsidRPr="00816B34">
              <w:rPr>
                <w:color w:val="000000"/>
                <w:sz w:val="24"/>
                <w:szCs w:val="24"/>
              </w:rPr>
              <w:t>350</w:t>
            </w:r>
          </w:p>
        </w:tc>
        <w:tc>
          <w:tcPr>
            <w:tcW w:w="1174"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04" w:type="dxa"/>
          </w:tcPr>
          <w:p w:rsidR="00F938E2" w:rsidRPr="00816B34" w:rsidRDefault="00F938E2" w:rsidP="00B56C3B">
            <w:pPr>
              <w:spacing w:before="60"/>
              <w:ind w:right="138"/>
              <w:jc w:val="right"/>
              <w:rPr>
                <w:color w:val="000000"/>
                <w:sz w:val="24"/>
                <w:szCs w:val="24"/>
              </w:rPr>
            </w:pPr>
            <w:r w:rsidRPr="00816B34">
              <w:rPr>
                <w:color w:val="000000"/>
                <w:sz w:val="24"/>
                <w:szCs w:val="24"/>
              </w:rPr>
              <w:t>350</w:t>
            </w:r>
          </w:p>
        </w:tc>
        <w:tc>
          <w:tcPr>
            <w:tcW w:w="1140" w:type="dxa"/>
          </w:tcPr>
          <w:p w:rsidR="00F938E2" w:rsidRPr="00816B34" w:rsidRDefault="00F938E2" w:rsidP="00B56C3B">
            <w:pPr>
              <w:spacing w:before="60"/>
              <w:jc w:val="center"/>
              <w:rPr>
                <w:color w:val="000000"/>
                <w:sz w:val="24"/>
                <w:szCs w:val="24"/>
              </w:rPr>
            </w:pPr>
            <w:r w:rsidRPr="00816B34">
              <w:rPr>
                <w:color w:val="000000"/>
                <w:sz w:val="24"/>
                <w:szCs w:val="24"/>
              </w:rPr>
              <w:t>4</w:t>
            </w:r>
          </w:p>
        </w:tc>
        <w:tc>
          <w:tcPr>
            <w:tcW w:w="981" w:type="dxa"/>
          </w:tcPr>
          <w:p w:rsidR="00F938E2" w:rsidRPr="00816B34" w:rsidRDefault="00F938E2" w:rsidP="00B56C3B">
            <w:pPr>
              <w:spacing w:before="60"/>
              <w:jc w:val="right"/>
              <w:rPr>
                <w:color w:val="000000"/>
                <w:sz w:val="24"/>
                <w:szCs w:val="24"/>
              </w:rPr>
            </w:pPr>
            <w:r w:rsidRPr="00816B34">
              <w:rPr>
                <w:color w:val="000000"/>
                <w:sz w:val="24"/>
                <w:szCs w:val="24"/>
              </w:rPr>
              <w:t>1400</w:t>
            </w:r>
          </w:p>
        </w:tc>
        <w:tc>
          <w:tcPr>
            <w:tcW w:w="1140" w:type="dxa"/>
          </w:tcPr>
          <w:p w:rsidR="00F938E2" w:rsidRPr="00816B34" w:rsidRDefault="00F938E2" w:rsidP="00B56C3B">
            <w:pPr>
              <w:spacing w:before="60"/>
              <w:jc w:val="right"/>
              <w:rPr>
                <w:color w:val="000000"/>
                <w:sz w:val="24"/>
                <w:szCs w:val="24"/>
              </w:rPr>
            </w:pPr>
            <w:r w:rsidRPr="00816B34">
              <w:rPr>
                <w:color w:val="000000"/>
                <w:sz w:val="24"/>
                <w:szCs w:val="24"/>
              </w:rPr>
              <w:t>$32.73</w:t>
            </w:r>
          </w:p>
        </w:tc>
        <w:tc>
          <w:tcPr>
            <w:tcW w:w="1017" w:type="dxa"/>
          </w:tcPr>
          <w:p w:rsidR="00F938E2" w:rsidRPr="00816B34" w:rsidRDefault="00F938E2" w:rsidP="00B56C3B">
            <w:pPr>
              <w:spacing w:before="60"/>
              <w:jc w:val="right"/>
              <w:rPr>
                <w:color w:val="000000"/>
                <w:sz w:val="24"/>
                <w:szCs w:val="24"/>
              </w:rPr>
            </w:pPr>
            <w:r w:rsidRPr="00816B34">
              <w:rPr>
                <w:color w:val="000000"/>
                <w:sz w:val="24"/>
                <w:szCs w:val="24"/>
              </w:rPr>
              <w:t>$45,822</w:t>
            </w:r>
          </w:p>
        </w:tc>
      </w:tr>
      <w:tr w:rsidR="00F938E2" w:rsidRPr="00816B34" w:rsidTr="00B56C3B">
        <w:tc>
          <w:tcPr>
            <w:tcW w:w="1440" w:type="dxa"/>
          </w:tcPr>
          <w:p w:rsidR="00F938E2" w:rsidRPr="00816B34" w:rsidRDefault="00F938E2" w:rsidP="00B56C3B">
            <w:pPr>
              <w:spacing w:before="60"/>
              <w:rPr>
                <w:color w:val="000000"/>
                <w:sz w:val="24"/>
                <w:szCs w:val="24"/>
              </w:rPr>
            </w:pPr>
            <w:r w:rsidRPr="00816B34">
              <w:rPr>
                <w:color w:val="000000"/>
                <w:sz w:val="24"/>
                <w:szCs w:val="24"/>
              </w:rPr>
              <w:t>HUD-92330-A</w:t>
            </w:r>
          </w:p>
        </w:tc>
        <w:tc>
          <w:tcPr>
            <w:tcW w:w="1288" w:type="dxa"/>
          </w:tcPr>
          <w:p w:rsidR="00F938E2" w:rsidRPr="00816B34" w:rsidRDefault="00F938E2" w:rsidP="00B56C3B">
            <w:pPr>
              <w:spacing w:before="60"/>
              <w:ind w:right="190"/>
              <w:jc w:val="right"/>
              <w:rPr>
                <w:color w:val="000000"/>
                <w:sz w:val="24"/>
                <w:szCs w:val="24"/>
              </w:rPr>
            </w:pPr>
            <w:r w:rsidRPr="00816B34">
              <w:rPr>
                <w:color w:val="000000"/>
                <w:sz w:val="24"/>
                <w:szCs w:val="24"/>
              </w:rPr>
              <w:t>350</w:t>
            </w:r>
          </w:p>
        </w:tc>
        <w:tc>
          <w:tcPr>
            <w:tcW w:w="1174"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04" w:type="dxa"/>
          </w:tcPr>
          <w:p w:rsidR="00F938E2" w:rsidRPr="00816B34" w:rsidRDefault="00F938E2" w:rsidP="00B56C3B">
            <w:pPr>
              <w:spacing w:before="60"/>
              <w:ind w:right="138"/>
              <w:jc w:val="right"/>
              <w:rPr>
                <w:color w:val="000000"/>
                <w:sz w:val="24"/>
                <w:szCs w:val="24"/>
              </w:rPr>
            </w:pPr>
            <w:r w:rsidRPr="00816B34">
              <w:rPr>
                <w:color w:val="000000"/>
                <w:sz w:val="24"/>
                <w:szCs w:val="24"/>
              </w:rPr>
              <w:t>350</w:t>
            </w:r>
          </w:p>
        </w:tc>
        <w:tc>
          <w:tcPr>
            <w:tcW w:w="1140" w:type="dxa"/>
          </w:tcPr>
          <w:p w:rsidR="00F938E2" w:rsidRPr="00816B34" w:rsidRDefault="00F938E2" w:rsidP="00B56C3B">
            <w:pPr>
              <w:spacing w:before="60"/>
              <w:jc w:val="center"/>
              <w:rPr>
                <w:color w:val="000000"/>
                <w:sz w:val="24"/>
                <w:szCs w:val="24"/>
              </w:rPr>
            </w:pPr>
            <w:r w:rsidRPr="00816B34">
              <w:rPr>
                <w:color w:val="000000"/>
                <w:sz w:val="24"/>
                <w:szCs w:val="24"/>
              </w:rPr>
              <w:t>8</w:t>
            </w:r>
          </w:p>
        </w:tc>
        <w:tc>
          <w:tcPr>
            <w:tcW w:w="981" w:type="dxa"/>
          </w:tcPr>
          <w:p w:rsidR="00F938E2" w:rsidRPr="00816B34" w:rsidRDefault="00F938E2" w:rsidP="00B56C3B">
            <w:pPr>
              <w:spacing w:before="60"/>
              <w:jc w:val="right"/>
              <w:rPr>
                <w:color w:val="000000"/>
                <w:sz w:val="24"/>
                <w:szCs w:val="24"/>
              </w:rPr>
            </w:pPr>
            <w:r w:rsidRPr="00816B34">
              <w:rPr>
                <w:color w:val="000000"/>
                <w:sz w:val="24"/>
                <w:szCs w:val="24"/>
              </w:rPr>
              <w:t>2800</w:t>
            </w:r>
          </w:p>
        </w:tc>
        <w:tc>
          <w:tcPr>
            <w:tcW w:w="1140" w:type="dxa"/>
          </w:tcPr>
          <w:p w:rsidR="00F938E2" w:rsidRPr="00816B34" w:rsidRDefault="00F938E2" w:rsidP="00B56C3B">
            <w:pPr>
              <w:spacing w:before="60"/>
              <w:jc w:val="right"/>
              <w:rPr>
                <w:color w:val="000000"/>
                <w:sz w:val="24"/>
                <w:szCs w:val="24"/>
              </w:rPr>
            </w:pPr>
            <w:r w:rsidRPr="00816B34">
              <w:rPr>
                <w:color w:val="000000"/>
                <w:sz w:val="24"/>
                <w:szCs w:val="24"/>
              </w:rPr>
              <w:t>$32.73</w:t>
            </w:r>
          </w:p>
        </w:tc>
        <w:tc>
          <w:tcPr>
            <w:tcW w:w="1017" w:type="dxa"/>
          </w:tcPr>
          <w:p w:rsidR="00F938E2" w:rsidRPr="00816B34" w:rsidRDefault="00F938E2" w:rsidP="00B56C3B">
            <w:pPr>
              <w:spacing w:before="60"/>
              <w:jc w:val="right"/>
              <w:rPr>
                <w:color w:val="000000"/>
                <w:sz w:val="24"/>
                <w:szCs w:val="24"/>
              </w:rPr>
            </w:pPr>
            <w:r w:rsidRPr="00816B34">
              <w:rPr>
                <w:color w:val="000000"/>
                <w:sz w:val="24"/>
                <w:szCs w:val="24"/>
              </w:rPr>
              <w:t>$91,644</w:t>
            </w:r>
          </w:p>
        </w:tc>
      </w:tr>
      <w:tr w:rsidR="00F938E2" w:rsidRPr="00816B34" w:rsidTr="00B56C3B">
        <w:tc>
          <w:tcPr>
            <w:tcW w:w="1440" w:type="dxa"/>
          </w:tcPr>
          <w:p w:rsidR="00F938E2" w:rsidRPr="00816B34" w:rsidRDefault="00F938E2" w:rsidP="00B56C3B">
            <w:pPr>
              <w:spacing w:before="60"/>
              <w:rPr>
                <w:color w:val="000000"/>
                <w:sz w:val="24"/>
                <w:szCs w:val="24"/>
              </w:rPr>
            </w:pPr>
            <w:r w:rsidRPr="00816B34">
              <w:rPr>
                <w:color w:val="000000"/>
                <w:sz w:val="24"/>
                <w:szCs w:val="24"/>
              </w:rPr>
              <w:t>HUD-2205-A</w:t>
            </w:r>
          </w:p>
        </w:tc>
        <w:tc>
          <w:tcPr>
            <w:tcW w:w="1288" w:type="dxa"/>
          </w:tcPr>
          <w:p w:rsidR="00F938E2" w:rsidRPr="00816B34" w:rsidRDefault="00F938E2" w:rsidP="00B56C3B">
            <w:pPr>
              <w:spacing w:before="60"/>
              <w:ind w:right="190"/>
              <w:jc w:val="right"/>
              <w:rPr>
                <w:color w:val="000000"/>
                <w:sz w:val="24"/>
                <w:szCs w:val="24"/>
              </w:rPr>
            </w:pPr>
            <w:r w:rsidRPr="00816B34">
              <w:rPr>
                <w:color w:val="000000"/>
                <w:sz w:val="24"/>
                <w:szCs w:val="24"/>
              </w:rPr>
              <w:t>80</w:t>
            </w:r>
          </w:p>
        </w:tc>
        <w:tc>
          <w:tcPr>
            <w:tcW w:w="1174" w:type="dxa"/>
          </w:tcPr>
          <w:p w:rsidR="00F938E2" w:rsidRPr="00816B34" w:rsidRDefault="00F938E2" w:rsidP="00B56C3B">
            <w:pPr>
              <w:spacing w:before="60"/>
              <w:jc w:val="center"/>
              <w:rPr>
                <w:color w:val="000000"/>
                <w:sz w:val="24"/>
                <w:szCs w:val="24"/>
              </w:rPr>
            </w:pPr>
            <w:r w:rsidRPr="00816B34">
              <w:rPr>
                <w:color w:val="000000"/>
                <w:sz w:val="24"/>
                <w:szCs w:val="24"/>
              </w:rPr>
              <w:t>1</w:t>
            </w:r>
          </w:p>
        </w:tc>
        <w:tc>
          <w:tcPr>
            <w:tcW w:w="1204" w:type="dxa"/>
          </w:tcPr>
          <w:p w:rsidR="00F938E2" w:rsidRPr="00816B34" w:rsidRDefault="00F938E2" w:rsidP="00B56C3B">
            <w:pPr>
              <w:spacing w:before="60"/>
              <w:ind w:right="138"/>
              <w:jc w:val="right"/>
              <w:rPr>
                <w:color w:val="000000"/>
                <w:sz w:val="24"/>
                <w:szCs w:val="24"/>
              </w:rPr>
            </w:pPr>
            <w:r w:rsidRPr="00816B34">
              <w:rPr>
                <w:color w:val="000000"/>
                <w:sz w:val="24"/>
                <w:szCs w:val="24"/>
              </w:rPr>
              <w:t>80</w:t>
            </w:r>
          </w:p>
        </w:tc>
        <w:tc>
          <w:tcPr>
            <w:tcW w:w="1140" w:type="dxa"/>
          </w:tcPr>
          <w:p w:rsidR="00F938E2" w:rsidRPr="00816B34" w:rsidRDefault="00F938E2" w:rsidP="00B56C3B">
            <w:pPr>
              <w:spacing w:before="60"/>
              <w:jc w:val="center"/>
              <w:rPr>
                <w:color w:val="000000"/>
                <w:sz w:val="24"/>
                <w:szCs w:val="24"/>
              </w:rPr>
            </w:pPr>
            <w:r w:rsidRPr="00816B34">
              <w:rPr>
                <w:color w:val="000000"/>
                <w:sz w:val="24"/>
                <w:szCs w:val="24"/>
              </w:rPr>
              <w:t>4</w:t>
            </w:r>
          </w:p>
        </w:tc>
        <w:tc>
          <w:tcPr>
            <w:tcW w:w="981" w:type="dxa"/>
          </w:tcPr>
          <w:p w:rsidR="00F938E2" w:rsidRPr="00816B34" w:rsidRDefault="00F938E2" w:rsidP="00B56C3B">
            <w:pPr>
              <w:spacing w:before="60"/>
              <w:jc w:val="right"/>
              <w:rPr>
                <w:color w:val="000000"/>
                <w:sz w:val="24"/>
                <w:szCs w:val="24"/>
              </w:rPr>
            </w:pPr>
            <w:r w:rsidRPr="00816B34">
              <w:rPr>
                <w:color w:val="000000"/>
                <w:sz w:val="24"/>
                <w:szCs w:val="24"/>
              </w:rPr>
              <w:t>320</w:t>
            </w:r>
          </w:p>
        </w:tc>
        <w:tc>
          <w:tcPr>
            <w:tcW w:w="1140" w:type="dxa"/>
          </w:tcPr>
          <w:p w:rsidR="00F938E2" w:rsidRPr="00816B34" w:rsidRDefault="00F938E2" w:rsidP="00B56C3B">
            <w:pPr>
              <w:spacing w:before="60"/>
              <w:jc w:val="right"/>
              <w:rPr>
                <w:color w:val="000000"/>
                <w:sz w:val="24"/>
                <w:szCs w:val="24"/>
              </w:rPr>
            </w:pPr>
            <w:r w:rsidRPr="00816B34">
              <w:rPr>
                <w:color w:val="000000"/>
                <w:sz w:val="24"/>
                <w:szCs w:val="24"/>
              </w:rPr>
              <w:t>$32.73</w:t>
            </w:r>
          </w:p>
        </w:tc>
        <w:tc>
          <w:tcPr>
            <w:tcW w:w="1017" w:type="dxa"/>
          </w:tcPr>
          <w:p w:rsidR="00F938E2" w:rsidRPr="00816B34" w:rsidRDefault="00F938E2" w:rsidP="00B56C3B">
            <w:pPr>
              <w:spacing w:before="60"/>
              <w:rPr>
                <w:color w:val="000000"/>
                <w:sz w:val="24"/>
                <w:szCs w:val="24"/>
              </w:rPr>
            </w:pPr>
            <w:r w:rsidRPr="00816B34">
              <w:rPr>
                <w:color w:val="000000"/>
                <w:sz w:val="24"/>
                <w:szCs w:val="24"/>
              </w:rPr>
              <w:t xml:space="preserve">   $10,473</w:t>
            </w:r>
          </w:p>
        </w:tc>
      </w:tr>
      <w:tr w:rsidR="00F938E2" w:rsidRPr="00816B34" w:rsidTr="00B56C3B">
        <w:trPr>
          <w:trHeight w:val="302"/>
        </w:trPr>
        <w:tc>
          <w:tcPr>
            <w:tcW w:w="1440" w:type="dxa"/>
          </w:tcPr>
          <w:p w:rsidR="00F938E2" w:rsidRPr="00816B34" w:rsidRDefault="00F938E2" w:rsidP="00B56C3B">
            <w:pPr>
              <w:spacing w:before="60"/>
              <w:rPr>
                <w:b/>
                <w:bCs/>
                <w:color w:val="000000"/>
                <w:sz w:val="24"/>
                <w:szCs w:val="24"/>
              </w:rPr>
            </w:pPr>
            <w:r w:rsidRPr="00816B34">
              <w:rPr>
                <w:b/>
                <w:bCs/>
                <w:color w:val="000000"/>
                <w:sz w:val="24"/>
                <w:szCs w:val="24"/>
              </w:rPr>
              <w:t xml:space="preserve">   Totals</w:t>
            </w:r>
          </w:p>
        </w:tc>
        <w:tc>
          <w:tcPr>
            <w:tcW w:w="1288" w:type="dxa"/>
          </w:tcPr>
          <w:p w:rsidR="00F938E2" w:rsidRPr="00816B34" w:rsidRDefault="00F938E2" w:rsidP="00B56C3B">
            <w:pPr>
              <w:spacing w:before="60"/>
              <w:ind w:right="190"/>
              <w:jc w:val="right"/>
              <w:rPr>
                <w:b/>
                <w:bCs/>
                <w:color w:val="000000"/>
                <w:sz w:val="24"/>
                <w:szCs w:val="24"/>
              </w:rPr>
            </w:pPr>
            <w:r w:rsidRPr="00816B34">
              <w:rPr>
                <w:b/>
                <w:bCs/>
                <w:color w:val="000000"/>
                <w:sz w:val="24"/>
                <w:szCs w:val="24"/>
              </w:rPr>
              <w:t>780</w:t>
            </w:r>
          </w:p>
        </w:tc>
        <w:tc>
          <w:tcPr>
            <w:tcW w:w="1174" w:type="dxa"/>
          </w:tcPr>
          <w:p w:rsidR="00F938E2" w:rsidRPr="00816B34" w:rsidRDefault="00F938E2" w:rsidP="00B56C3B">
            <w:pPr>
              <w:spacing w:before="60"/>
              <w:jc w:val="center"/>
              <w:rPr>
                <w:b/>
                <w:bCs/>
                <w:color w:val="000000"/>
                <w:sz w:val="24"/>
                <w:szCs w:val="24"/>
              </w:rPr>
            </w:pPr>
          </w:p>
        </w:tc>
        <w:tc>
          <w:tcPr>
            <w:tcW w:w="1204" w:type="dxa"/>
          </w:tcPr>
          <w:p w:rsidR="00F938E2" w:rsidRPr="00816B34" w:rsidRDefault="00F938E2" w:rsidP="00B56C3B">
            <w:pPr>
              <w:spacing w:before="60"/>
              <w:ind w:right="138"/>
              <w:jc w:val="right"/>
              <w:rPr>
                <w:b/>
                <w:bCs/>
                <w:color w:val="000000"/>
                <w:sz w:val="24"/>
                <w:szCs w:val="24"/>
              </w:rPr>
            </w:pPr>
            <w:r w:rsidRPr="00816B34">
              <w:rPr>
                <w:b/>
                <w:bCs/>
                <w:color w:val="000000"/>
                <w:sz w:val="24"/>
                <w:szCs w:val="24"/>
              </w:rPr>
              <w:t>780</w:t>
            </w:r>
          </w:p>
        </w:tc>
        <w:tc>
          <w:tcPr>
            <w:tcW w:w="1140" w:type="dxa"/>
          </w:tcPr>
          <w:p w:rsidR="00F938E2" w:rsidRPr="00816B34" w:rsidRDefault="00F938E2" w:rsidP="00B56C3B">
            <w:pPr>
              <w:spacing w:before="60"/>
              <w:jc w:val="center"/>
              <w:rPr>
                <w:b/>
                <w:bCs/>
                <w:color w:val="000000"/>
                <w:sz w:val="24"/>
                <w:szCs w:val="24"/>
              </w:rPr>
            </w:pPr>
            <w:r w:rsidRPr="00816B34">
              <w:rPr>
                <w:b/>
                <w:bCs/>
                <w:color w:val="000000"/>
                <w:sz w:val="24"/>
                <w:szCs w:val="24"/>
              </w:rPr>
              <w:t>16</w:t>
            </w:r>
          </w:p>
        </w:tc>
        <w:tc>
          <w:tcPr>
            <w:tcW w:w="981" w:type="dxa"/>
          </w:tcPr>
          <w:p w:rsidR="00F938E2" w:rsidRPr="00816B34" w:rsidRDefault="00F938E2" w:rsidP="00B56C3B">
            <w:pPr>
              <w:spacing w:before="60"/>
              <w:jc w:val="right"/>
              <w:rPr>
                <w:b/>
                <w:bCs/>
                <w:color w:val="000000"/>
                <w:sz w:val="24"/>
                <w:szCs w:val="24"/>
              </w:rPr>
            </w:pPr>
            <w:r w:rsidRPr="00816B34">
              <w:rPr>
                <w:b/>
                <w:bCs/>
                <w:color w:val="000000"/>
                <w:sz w:val="24"/>
                <w:szCs w:val="24"/>
              </w:rPr>
              <w:t>4520</w:t>
            </w:r>
          </w:p>
        </w:tc>
        <w:tc>
          <w:tcPr>
            <w:tcW w:w="1140" w:type="dxa"/>
          </w:tcPr>
          <w:p w:rsidR="00F938E2" w:rsidRPr="00816B34" w:rsidRDefault="00F938E2" w:rsidP="00B56C3B">
            <w:pPr>
              <w:spacing w:before="60"/>
              <w:jc w:val="right"/>
              <w:rPr>
                <w:b/>
                <w:bCs/>
                <w:color w:val="000000"/>
                <w:sz w:val="24"/>
                <w:szCs w:val="24"/>
              </w:rPr>
            </w:pPr>
            <w:r w:rsidRPr="00816B34">
              <w:rPr>
                <w:b/>
                <w:bCs/>
                <w:color w:val="000000"/>
                <w:sz w:val="24"/>
                <w:szCs w:val="24"/>
              </w:rPr>
              <w:t>$119.49</w:t>
            </w:r>
          </w:p>
        </w:tc>
        <w:tc>
          <w:tcPr>
            <w:tcW w:w="1017" w:type="dxa"/>
          </w:tcPr>
          <w:p w:rsidR="00F938E2" w:rsidRPr="00816B34" w:rsidRDefault="00F938E2" w:rsidP="00B56C3B">
            <w:pPr>
              <w:spacing w:before="60"/>
              <w:rPr>
                <w:b/>
                <w:bCs/>
                <w:color w:val="000000"/>
                <w:sz w:val="24"/>
                <w:szCs w:val="24"/>
              </w:rPr>
            </w:pPr>
            <w:r w:rsidRPr="00816B34">
              <w:rPr>
                <w:b/>
                <w:bCs/>
                <w:color w:val="000000"/>
                <w:sz w:val="24"/>
                <w:szCs w:val="24"/>
              </w:rPr>
              <w:t>$102,117</w:t>
            </w:r>
          </w:p>
        </w:tc>
      </w:tr>
    </w:tbl>
    <w:p w:rsidR="00F938E2" w:rsidRPr="00816B34" w:rsidRDefault="00F938E2" w:rsidP="00F938E2">
      <w:pPr>
        <w:rPr>
          <w:b/>
          <w:sz w:val="24"/>
          <w:szCs w:val="24"/>
        </w:rPr>
      </w:pPr>
    </w:p>
    <w:p w:rsidR="00F938E2" w:rsidRPr="001673EF" w:rsidRDefault="00F938E2" w:rsidP="00F938E2">
      <w:pPr>
        <w:numPr>
          <w:ilvl w:val="0"/>
          <w:numId w:val="10"/>
        </w:numPr>
        <w:rPr>
          <w:sz w:val="24"/>
          <w:szCs w:val="24"/>
        </w:rPr>
      </w:pPr>
      <w:r w:rsidRPr="001673EF">
        <w:rPr>
          <w:sz w:val="24"/>
          <w:szCs w:val="24"/>
        </w:rPr>
        <w:t>This is an extension of a currently approved collection. Form HUD-2205-A has been updated to correct clerical errors made on the original form and the updated form is now consistent with MAP Guide changes in Chapter 3.9.  No increase or decreases of burden hours or costs are associated with these minor form revisions.</w:t>
      </w:r>
    </w:p>
    <w:p w:rsidR="00F938E2" w:rsidRPr="00816B34" w:rsidRDefault="00F938E2" w:rsidP="00F938E2">
      <w:pPr>
        <w:ind w:left="360"/>
        <w:rPr>
          <w:sz w:val="24"/>
          <w:szCs w:val="24"/>
        </w:rPr>
      </w:pPr>
      <w:r w:rsidRPr="00816B34">
        <w:rPr>
          <w:sz w:val="24"/>
          <w:szCs w:val="24"/>
        </w:rPr>
        <w:t xml:space="preserve">  </w:t>
      </w:r>
    </w:p>
    <w:p w:rsidR="00F938E2" w:rsidRPr="00816B34" w:rsidRDefault="00F938E2" w:rsidP="00F938E2">
      <w:pPr>
        <w:numPr>
          <w:ilvl w:val="0"/>
          <w:numId w:val="11"/>
        </w:numPr>
        <w:rPr>
          <w:sz w:val="24"/>
          <w:szCs w:val="24"/>
        </w:rPr>
      </w:pPr>
      <w:r w:rsidRPr="00816B34">
        <w:rPr>
          <w:sz w:val="24"/>
          <w:szCs w:val="24"/>
        </w:rPr>
        <w:t>The results of this collection will not be published.</w:t>
      </w:r>
    </w:p>
    <w:p w:rsidR="00F938E2" w:rsidRPr="00816B34" w:rsidRDefault="00F938E2" w:rsidP="00F938E2">
      <w:pPr>
        <w:ind w:left="360"/>
        <w:rPr>
          <w:sz w:val="24"/>
          <w:szCs w:val="24"/>
        </w:rPr>
      </w:pPr>
    </w:p>
    <w:p w:rsidR="00F938E2" w:rsidRPr="00816B34" w:rsidRDefault="00F938E2" w:rsidP="00F938E2">
      <w:pPr>
        <w:numPr>
          <w:ilvl w:val="0"/>
          <w:numId w:val="12"/>
        </w:numPr>
        <w:rPr>
          <w:sz w:val="24"/>
          <w:szCs w:val="24"/>
        </w:rPr>
      </w:pPr>
      <w:r w:rsidRPr="00816B34">
        <w:rPr>
          <w:sz w:val="24"/>
          <w:szCs w:val="24"/>
        </w:rPr>
        <w:t>The OMB expiration dates will be displayed on the appropriate forms.</w:t>
      </w:r>
    </w:p>
    <w:p w:rsidR="00F938E2" w:rsidRPr="00816B34" w:rsidRDefault="00F938E2" w:rsidP="00F938E2">
      <w:pPr>
        <w:rPr>
          <w:sz w:val="24"/>
          <w:szCs w:val="24"/>
        </w:rPr>
      </w:pPr>
    </w:p>
    <w:p w:rsidR="00F938E2" w:rsidRPr="00816B34" w:rsidRDefault="00F938E2" w:rsidP="00F938E2">
      <w:pPr>
        <w:numPr>
          <w:ilvl w:val="0"/>
          <w:numId w:val="13"/>
        </w:numPr>
        <w:rPr>
          <w:sz w:val="24"/>
          <w:szCs w:val="24"/>
        </w:rPr>
      </w:pPr>
      <w:r w:rsidRPr="00816B34">
        <w:rPr>
          <w:sz w:val="24"/>
          <w:szCs w:val="24"/>
        </w:rPr>
        <w:t>There are no exceptions to the Certification Statement identified in item 19 of the OMB 83-I.</w:t>
      </w:r>
    </w:p>
    <w:p w:rsidR="00F938E2" w:rsidRPr="00816B34" w:rsidRDefault="00F938E2" w:rsidP="00F938E2">
      <w:pPr>
        <w:rPr>
          <w:sz w:val="24"/>
          <w:szCs w:val="24"/>
        </w:rPr>
      </w:pPr>
    </w:p>
    <w:p w:rsidR="00F938E2" w:rsidRPr="00816B34" w:rsidRDefault="00F938E2" w:rsidP="00F938E2">
      <w:pPr>
        <w:numPr>
          <w:ilvl w:val="0"/>
          <w:numId w:val="14"/>
        </w:numPr>
        <w:rPr>
          <w:b/>
          <w:sz w:val="24"/>
          <w:szCs w:val="24"/>
          <w:u w:val="single"/>
        </w:rPr>
      </w:pPr>
      <w:r w:rsidRPr="00816B34">
        <w:rPr>
          <w:b/>
          <w:sz w:val="24"/>
          <w:szCs w:val="24"/>
          <w:u w:val="single"/>
        </w:rPr>
        <w:t>Collection of Information Employing Statistical Methods.</w:t>
      </w:r>
    </w:p>
    <w:p w:rsidR="00F938E2" w:rsidRPr="00816B34" w:rsidRDefault="00F938E2" w:rsidP="00F938E2">
      <w:pPr>
        <w:rPr>
          <w:b/>
          <w:sz w:val="24"/>
          <w:szCs w:val="24"/>
          <w:u w:val="single"/>
        </w:rPr>
      </w:pPr>
    </w:p>
    <w:p w:rsidR="00F938E2" w:rsidRPr="00816B34" w:rsidRDefault="00F938E2" w:rsidP="00F938E2">
      <w:pPr>
        <w:ind w:firstLine="360"/>
        <w:rPr>
          <w:b/>
          <w:sz w:val="24"/>
          <w:szCs w:val="24"/>
        </w:rPr>
      </w:pPr>
      <w:r w:rsidRPr="00816B34">
        <w:rPr>
          <w:sz w:val="24"/>
          <w:szCs w:val="24"/>
        </w:rPr>
        <w:t>This collection of information does not employ statistical methods.</w:t>
      </w:r>
    </w:p>
    <w:p w:rsidR="00F938E2" w:rsidRPr="00816B34" w:rsidRDefault="00F938E2" w:rsidP="00F938E2">
      <w:pPr>
        <w:rPr>
          <w:sz w:val="24"/>
          <w:szCs w:val="24"/>
        </w:rPr>
      </w:pPr>
    </w:p>
    <w:p w:rsidR="006211E4" w:rsidRPr="00816B34" w:rsidRDefault="006211E4">
      <w:pPr>
        <w:rPr>
          <w:sz w:val="24"/>
          <w:szCs w:val="24"/>
        </w:rPr>
      </w:pPr>
    </w:p>
    <w:sectPr w:rsidR="006211E4" w:rsidRPr="00816B34" w:rsidSect="00474401">
      <w:headerReference w:type="even" r:id="rId8"/>
      <w:headerReference w:type="default" r:id="rId9"/>
      <w:footerReference w:type="even" r:id="rId10"/>
      <w:footerReference w:type="default" r:id="rId11"/>
      <w:headerReference w:type="first" r:id="rId12"/>
      <w:footerReference w:type="first" r:id="rId13"/>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A8" w:rsidRDefault="00AD1C66">
      <w:r>
        <w:separator/>
      </w:r>
    </w:p>
  </w:endnote>
  <w:endnote w:type="continuationSeparator" w:id="0">
    <w:p w:rsidR="00E923A8" w:rsidRDefault="00AD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EF" w:rsidRDefault="00167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8B" w:rsidRDefault="00F938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73EF">
      <w:rPr>
        <w:rStyle w:val="PageNumber"/>
        <w:noProof/>
      </w:rPr>
      <w:t>4</w:t>
    </w:r>
    <w:r>
      <w:rPr>
        <w:rStyle w:val="PageNumber"/>
      </w:rPr>
      <w:fldChar w:fldCharType="end"/>
    </w:r>
  </w:p>
  <w:p w:rsidR="008E528B" w:rsidRDefault="001673EF" w:rsidP="001673EF">
    <w:pPr>
      <w:pStyle w:val="Footer"/>
      <w:pBdr>
        <w:top w:val="single" w:sz="6" w:space="1" w:color="auto"/>
      </w:pBdr>
      <w:tabs>
        <w:tab w:val="clear" w:pos="4320"/>
        <w:tab w:val="clear" w:pos="8640"/>
        <w:tab w:val="right" w:pos="10920"/>
      </w:tabs>
      <w:ind w:left="-120" w:right="-120"/>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8B" w:rsidRPr="001673EF" w:rsidRDefault="001673EF" w:rsidP="00167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A8" w:rsidRDefault="00AD1C66">
      <w:r>
        <w:separator/>
      </w:r>
    </w:p>
  </w:footnote>
  <w:footnote w:type="continuationSeparator" w:id="0">
    <w:p w:rsidR="00E923A8" w:rsidRDefault="00AD1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EF" w:rsidRDefault="00167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28B" w:rsidRDefault="00167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EF" w:rsidRDefault="00167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27DE"/>
    <w:multiLevelType w:val="hybridMultilevel"/>
    <w:tmpl w:val="67D85788"/>
    <w:lvl w:ilvl="0" w:tplc="82B4A8F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DC30924"/>
    <w:multiLevelType w:val="singleLevel"/>
    <w:tmpl w:val="BFD4C45C"/>
    <w:lvl w:ilvl="0">
      <w:start w:val="13"/>
      <w:numFmt w:val="decimal"/>
      <w:lvlText w:val="%1. "/>
      <w:legacy w:legacy="1" w:legacySpace="0" w:legacyIndent="360"/>
      <w:lvlJc w:val="left"/>
      <w:pPr>
        <w:ind w:left="360" w:hanging="360"/>
      </w:pPr>
      <w:rPr>
        <w:b w:val="0"/>
        <w:i w:val="0"/>
        <w:sz w:val="24"/>
      </w:rPr>
    </w:lvl>
  </w:abstractNum>
  <w:abstractNum w:abstractNumId="2">
    <w:nsid w:val="22E55A4E"/>
    <w:multiLevelType w:val="singleLevel"/>
    <w:tmpl w:val="6C1C0BF0"/>
    <w:lvl w:ilvl="0">
      <w:start w:val="16"/>
      <w:numFmt w:val="decimal"/>
      <w:lvlText w:val="%1. "/>
      <w:legacy w:legacy="1" w:legacySpace="0" w:legacyIndent="360"/>
      <w:lvlJc w:val="left"/>
      <w:pPr>
        <w:ind w:left="360" w:hanging="360"/>
      </w:pPr>
      <w:rPr>
        <w:b w:val="0"/>
        <w:i w:val="0"/>
        <w:sz w:val="24"/>
      </w:rPr>
    </w:lvl>
  </w:abstractNum>
  <w:abstractNum w:abstractNumId="3">
    <w:nsid w:val="273733B4"/>
    <w:multiLevelType w:val="singleLevel"/>
    <w:tmpl w:val="78002294"/>
    <w:lvl w:ilvl="0">
      <w:start w:val="6"/>
      <w:numFmt w:val="decimal"/>
      <w:lvlText w:val="%1. "/>
      <w:legacy w:legacy="1" w:legacySpace="0" w:legacyIndent="360"/>
      <w:lvlJc w:val="left"/>
      <w:pPr>
        <w:ind w:left="360" w:hanging="360"/>
      </w:pPr>
      <w:rPr>
        <w:b w:val="0"/>
        <w:i w:val="0"/>
        <w:sz w:val="24"/>
      </w:rPr>
    </w:lvl>
  </w:abstractNum>
  <w:abstractNum w:abstractNumId="4">
    <w:nsid w:val="2E6A491E"/>
    <w:multiLevelType w:val="singleLevel"/>
    <w:tmpl w:val="DB806D94"/>
    <w:lvl w:ilvl="0">
      <w:start w:val="1"/>
      <w:numFmt w:val="decimal"/>
      <w:lvlText w:val="%1."/>
      <w:lvlJc w:val="left"/>
      <w:pPr>
        <w:tabs>
          <w:tab w:val="num" w:pos="360"/>
        </w:tabs>
        <w:ind w:left="360" w:hanging="360"/>
      </w:pPr>
      <w:rPr>
        <w:rFonts w:hint="default"/>
      </w:rPr>
    </w:lvl>
  </w:abstractNum>
  <w:abstractNum w:abstractNumId="5">
    <w:nsid w:val="32024277"/>
    <w:multiLevelType w:val="singleLevel"/>
    <w:tmpl w:val="15F48188"/>
    <w:lvl w:ilvl="0">
      <w:start w:val="11"/>
      <w:numFmt w:val="decimal"/>
      <w:lvlText w:val="%1. "/>
      <w:legacy w:legacy="1" w:legacySpace="0" w:legacyIndent="360"/>
      <w:lvlJc w:val="left"/>
      <w:pPr>
        <w:ind w:left="360" w:hanging="360"/>
      </w:pPr>
      <w:rPr>
        <w:b w:val="0"/>
        <w:i w:val="0"/>
        <w:sz w:val="24"/>
      </w:rPr>
    </w:lvl>
  </w:abstractNum>
  <w:abstractNum w:abstractNumId="6">
    <w:nsid w:val="37FC7C35"/>
    <w:multiLevelType w:val="singleLevel"/>
    <w:tmpl w:val="9C62FACA"/>
    <w:lvl w:ilvl="0">
      <w:start w:val="14"/>
      <w:numFmt w:val="decimal"/>
      <w:lvlText w:val="%1. "/>
      <w:legacy w:legacy="1" w:legacySpace="0" w:legacyIndent="360"/>
      <w:lvlJc w:val="left"/>
      <w:pPr>
        <w:ind w:left="360" w:hanging="360"/>
      </w:pPr>
      <w:rPr>
        <w:b w:val="0"/>
        <w:i w:val="0"/>
        <w:sz w:val="24"/>
      </w:rPr>
    </w:lvl>
  </w:abstractNum>
  <w:abstractNum w:abstractNumId="7">
    <w:nsid w:val="385A0674"/>
    <w:multiLevelType w:val="singleLevel"/>
    <w:tmpl w:val="7700CAB8"/>
    <w:lvl w:ilvl="0">
      <w:start w:val="17"/>
      <w:numFmt w:val="decimal"/>
      <w:lvlText w:val="%1. "/>
      <w:legacy w:legacy="1" w:legacySpace="0" w:legacyIndent="360"/>
      <w:lvlJc w:val="left"/>
      <w:pPr>
        <w:ind w:left="360" w:hanging="360"/>
      </w:pPr>
      <w:rPr>
        <w:b w:val="0"/>
        <w:i w:val="0"/>
        <w:sz w:val="24"/>
      </w:rPr>
    </w:lvl>
  </w:abstractNum>
  <w:abstractNum w:abstractNumId="8">
    <w:nsid w:val="56147741"/>
    <w:multiLevelType w:val="singleLevel"/>
    <w:tmpl w:val="A60A7726"/>
    <w:lvl w:ilvl="0">
      <w:start w:val="10"/>
      <w:numFmt w:val="decimal"/>
      <w:lvlText w:val="%1. "/>
      <w:legacy w:legacy="1" w:legacySpace="0" w:legacyIndent="360"/>
      <w:lvlJc w:val="left"/>
      <w:pPr>
        <w:ind w:left="360" w:hanging="360"/>
      </w:pPr>
      <w:rPr>
        <w:b w:val="0"/>
        <w:i w:val="0"/>
        <w:sz w:val="24"/>
      </w:rPr>
    </w:lvl>
  </w:abstractNum>
  <w:abstractNum w:abstractNumId="9">
    <w:nsid w:val="565957B9"/>
    <w:multiLevelType w:val="singleLevel"/>
    <w:tmpl w:val="45845754"/>
    <w:lvl w:ilvl="0">
      <w:start w:val="18"/>
      <w:numFmt w:val="decimal"/>
      <w:lvlText w:val="%1. "/>
      <w:legacy w:legacy="1" w:legacySpace="0" w:legacyIndent="360"/>
      <w:lvlJc w:val="left"/>
      <w:pPr>
        <w:ind w:left="360" w:hanging="360"/>
      </w:pPr>
      <w:rPr>
        <w:b w:val="0"/>
        <w:i w:val="0"/>
        <w:sz w:val="24"/>
      </w:rPr>
    </w:lvl>
  </w:abstractNum>
  <w:abstractNum w:abstractNumId="10">
    <w:nsid w:val="576B6792"/>
    <w:multiLevelType w:val="singleLevel"/>
    <w:tmpl w:val="56E06B8C"/>
    <w:lvl w:ilvl="0">
      <w:start w:val="15"/>
      <w:numFmt w:val="decimal"/>
      <w:lvlText w:val="%1. "/>
      <w:legacy w:legacy="1" w:legacySpace="0" w:legacyIndent="360"/>
      <w:lvlJc w:val="left"/>
      <w:pPr>
        <w:ind w:left="360" w:hanging="360"/>
      </w:pPr>
      <w:rPr>
        <w:b w:val="0"/>
        <w:i w:val="0"/>
        <w:sz w:val="24"/>
      </w:rPr>
    </w:lvl>
  </w:abstractNum>
  <w:abstractNum w:abstractNumId="11">
    <w:nsid w:val="59A60D86"/>
    <w:multiLevelType w:val="singleLevel"/>
    <w:tmpl w:val="DC22C1A0"/>
    <w:lvl w:ilvl="0">
      <w:start w:val="9"/>
      <w:numFmt w:val="decimal"/>
      <w:lvlText w:val="%1. "/>
      <w:legacy w:legacy="1" w:legacySpace="0" w:legacyIndent="360"/>
      <w:lvlJc w:val="left"/>
      <w:pPr>
        <w:ind w:left="360" w:hanging="360"/>
      </w:pPr>
      <w:rPr>
        <w:b w:val="0"/>
        <w:i w:val="0"/>
        <w:sz w:val="24"/>
      </w:rPr>
    </w:lvl>
  </w:abstractNum>
  <w:abstractNum w:abstractNumId="12">
    <w:nsid w:val="5D9B5035"/>
    <w:multiLevelType w:val="singleLevel"/>
    <w:tmpl w:val="B2FCEB46"/>
    <w:lvl w:ilvl="0">
      <w:start w:val="2"/>
      <w:numFmt w:val="upperLetter"/>
      <w:lvlText w:val="%1. "/>
      <w:legacy w:legacy="1" w:legacySpace="0" w:legacyIndent="360"/>
      <w:lvlJc w:val="left"/>
      <w:pPr>
        <w:ind w:left="360" w:hanging="360"/>
      </w:pPr>
      <w:rPr>
        <w:b/>
        <w:i w:val="0"/>
        <w:sz w:val="24"/>
      </w:rPr>
    </w:lvl>
  </w:abstractNum>
  <w:abstractNum w:abstractNumId="13">
    <w:nsid w:val="611D58AF"/>
    <w:multiLevelType w:val="singleLevel"/>
    <w:tmpl w:val="D4FA1E6A"/>
    <w:lvl w:ilvl="0">
      <w:start w:val="5"/>
      <w:numFmt w:val="decimal"/>
      <w:lvlText w:val="%1. "/>
      <w:legacy w:legacy="1" w:legacySpace="0" w:legacyIndent="360"/>
      <w:lvlJc w:val="left"/>
      <w:pPr>
        <w:ind w:left="360" w:hanging="360"/>
      </w:pPr>
      <w:rPr>
        <w:b w:val="0"/>
        <w:i w:val="0"/>
        <w:sz w:val="24"/>
      </w:rPr>
    </w:lvl>
  </w:abstractNum>
  <w:abstractNum w:abstractNumId="14">
    <w:nsid w:val="638F2620"/>
    <w:multiLevelType w:val="singleLevel"/>
    <w:tmpl w:val="973A2B02"/>
    <w:lvl w:ilvl="0">
      <w:start w:val="12"/>
      <w:numFmt w:val="decimal"/>
      <w:lvlText w:val="%1. "/>
      <w:legacy w:legacy="1" w:legacySpace="0" w:legacyIndent="360"/>
      <w:lvlJc w:val="left"/>
      <w:pPr>
        <w:ind w:left="360" w:hanging="360"/>
      </w:pPr>
      <w:rPr>
        <w:b w:val="0"/>
        <w:i w:val="0"/>
        <w:sz w:val="24"/>
      </w:rPr>
    </w:lvl>
  </w:abstractNum>
  <w:abstractNum w:abstractNumId="15">
    <w:nsid w:val="655237E8"/>
    <w:multiLevelType w:val="singleLevel"/>
    <w:tmpl w:val="D766E136"/>
    <w:lvl w:ilvl="0">
      <w:start w:val="7"/>
      <w:numFmt w:val="decimal"/>
      <w:lvlText w:val="%1. "/>
      <w:legacy w:legacy="1" w:legacySpace="0" w:legacyIndent="360"/>
      <w:lvlJc w:val="left"/>
      <w:pPr>
        <w:ind w:left="360" w:hanging="360"/>
      </w:pPr>
      <w:rPr>
        <w:b w:val="0"/>
        <w:i w:val="0"/>
        <w:sz w:val="24"/>
      </w:rPr>
    </w:lvl>
  </w:abstractNum>
  <w:num w:numId="1">
    <w:abstractNumId w:val="4"/>
  </w:num>
  <w:num w:numId="2">
    <w:abstractNumId w:val="13"/>
  </w:num>
  <w:num w:numId="3">
    <w:abstractNumId w:val="3"/>
  </w:num>
  <w:num w:numId="4">
    <w:abstractNumId w:val="15"/>
  </w:num>
  <w:num w:numId="5">
    <w:abstractNumId w:val="11"/>
  </w:num>
  <w:num w:numId="6">
    <w:abstractNumId w:val="5"/>
  </w:num>
  <w:num w:numId="7">
    <w:abstractNumId w:val="14"/>
  </w:num>
  <w:num w:numId="8">
    <w:abstractNumId w:val="1"/>
  </w:num>
  <w:num w:numId="9">
    <w:abstractNumId w:val="6"/>
  </w:num>
  <w:num w:numId="10">
    <w:abstractNumId w:val="10"/>
  </w:num>
  <w:num w:numId="11">
    <w:abstractNumId w:val="2"/>
  </w:num>
  <w:num w:numId="12">
    <w:abstractNumId w:val="7"/>
  </w:num>
  <w:num w:numId="13">
    <w:abstractNumId w:val="9"/>
  </w:num>
  <w:num w:numId="14">
    <w:abstractNumId w:val="12"/>
  </w:num>
  <w:num w:numId="15">
    <w:abstractNumId w:val="8"/>
    <w:lvlOverride w:ilvl="0">
      <w:startOverride w:val="10"/>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E2"/>
    <w:rsid w:val="001673EF"/>
    <w:rsid w:val="001D4601"/>
    <w:rsid w:val="006211E4"/>
    <w:rsid w:val="00816B34"/>
    <w:rsid w:val="00AD1C66"/>
    <w:rsid w:val="00D26151"/>
    <w:rsid w:val="00E923A8"/>
    <w:rsid w:val="00F938E2"/>
    <w:rsid w:val="00FA6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38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F938E2"/>
    <w:pPr>
      <w:keepNext/>
      <w:ind w:left="360"/>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8E2"/>
    <w:rPr>
      <w:rFonts w:ascii="Helvetica" w:eastAsia="Times New Roman" w:hAnsi="Helvetica" w:cs="Times New Roman"/>
      <w:b/>
      <w:sz w:val="24"/>
      <w:szCs w:val="20"/>
    </w:rPr>
  </w:style>
  <w:style w:type="character" w:customStyle="1" w:styleId="Heading2Char">
    <w:name w:val="Heading 2 Char"/>
    <w:basedOn w:val="DefaultParagraphFont"/>
    <w:link w:val="Heading2"/>
    <w:rsid w:val="00F938E2"/>
    <w:rPr>
      <w:rFonts w:ascii="Times New Roman" w:eastAsia="Times New Roman" w:hAnsi="Times New Roman" w:cs="Times New Roman"/>
      <w:b/>
      <w:sz w:val="24"/>
      <w:szCs w:val="20"/>
      <w:u w:val="single"/>
    </w:rPr>
  </w:style>
  <w:style w:type="paragraph" w:styleId="Header">
    <w:name w:val="header"/>
    <w:basedOn w:val="Normal"/>
    <w:link w:val="HeaderChar"/>
    <w:semiHidden/>
    <w:rsid w:val="00F938E2"/>
    <w:pPr>
      <w:tabs>
        <w:tab w:val="center" w:pos="4320"/>
        <w:tab w:val="right" w:pos="8640"/>
      </w:tabs>
    </w:pPr>
  </w:style>
  <w:style w:type="character" w:customStyle="1" w:styleId="HeaderChar">
    <w:name w:val="Header Char"/>
    <w:basedOn w:val="DefaultParagraphFont"/>
    <w:link w:val="Header"/>
    <w:semiHidden/>
    <w:rsid w:val="00F938E2"/>
    <w:rPr>
      <w:rFonts w:ascii="Times New Roman" w:eastAsia="Times New Roman" w:hAnsi="Times New Roman" w:cs="Times New Roman"/>
      <w:sz w:val="20"/>
      <w:szCs w:val="20"/>
    </w:rPr>
  </w:style>
  <w:style w:type="paragraph" w:styleId="Footer">
    <w:name w:val="footer"/>
    <w:basedOn w:val="Normal"/>
    <w:link w:val="FooterChar"/>
    <w:semiHidden/>
    <w:rsid w:val="00F938E2"/>
    <w:pPr>
      <w:tabs>
        <w:tab w:val="center" w:pos="4320"/>
        <w:tab w:val="right" w:pos="8640"/>
      </w:tabs>
    </w:pPr>
  </w:style>
  <w:style w:type="character" w:customStyle="1" w:styleId="FooterChar">
    <w:name w:val="Footer Char"/>
    <w:basedOn w:val="DefaultParagraphFont"/>
    <w:link w:val="Footer"/>
    <w:semiHidden/>
    <w:rsid w:val="00F938E2"/>
    <w:rPr>
      <w:rFonts w:ascii="Times New Roman" w:eastAsia="Times New Roman" w:hAnsi="Times New Roman" w:cs="Times New Roman"/>
      <w:sz w:val="20"/>
      <w:szCs w:val="20"/>
    </w:rPr>
  </w:style>
  <w:style w:type="character" w:styleId="PageNumber">
    <w:name w:val="page number"/>
    <w:basedOn w:val="DefaultParagraphFont"/>
    <w:semiHidden/>
    <w:rsid w:val="00F938E2"/>
  </w:style>
  <w:style w:type="paragraph" w:styleId="BodyText">
    <w:name w:val="Body Text"/>
    <w:basedOn w:val="Normal"/>
    <w:link w:val="BodyTextChar"/>
    <w:semiHidden/>
    <w:rsid w:val="00F938E2"/>
    <w:rPr>
      <w:sz w:val="24"/>
    </w:rPr>
  </w:style>
  <w:style w:type="character" w:customStyle="1" w:styleId="BodyTextChar">
    <w:name w:val="Body Text Char"/>
    <w:basedOn w:val="DefaultParagraphFont"/>
    <w:link w:val="BodyText"/>
    <w:semiHidden/>
    <w:rsid w:val="00F938E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F938E2"/>
    <w:pPr>
      <w:tabs>
        <w:tab w:val="left" w:pos="1080"/>
      </w:tabs>
      <w:ind w:left="360"/>
    </w:pPr>
    <w:rPr>
      <w:color w:val="000000"/>
      <w:sz w:val="24"/>
    </w:rPr>
  </w:style>
  <w:style w:type="character" w:customStyle="1" w:styleId="BodyTextIndent2Char">
    <w:name w:val="Body Text Indent 2 Char"/>
    <w:basedOn w:val="DefaultParagraphFont"/>
    <w:link w:val="BodyTextIndent2"/>
    <w:semiHidden/>
    <w:rsid w:val="00F938E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93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8E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938E2"/>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link w:val="Heading2Char"/>
    <w:qFormat/>
    <w:rsid w:val="00F938E2"/>
    <w:pPr>
      <w:keepNext/>
      <w:ind w:left="360"/>
      <w:outlineLvl w:val="1"/>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38E2"/>
    <w:rPr>
      <w:rFonts w:ascii="Helvetica" w:eastAsia="Times New Roman" w:hAnsi="Helvetica" w:cs="Times New Roman"/>
      <w:b/>
      <w:sz w:val="24"/>
      <w:szCs w:val="20"/>
    </w:rPr>
  </w:style>
  <w:style w:type="character" w:customStyle="1" w:styleId="Heading2Char">
    <w:name w:val="Heading 2 Char"/>
    <w:basedOn w:val="DefaultParagraphFont"/>
    <w:link w:val="Heading2"/>
    <w:rsid w:val="00F938E2"/>
    <w:rPr>
      <w:rFonts w:ascii="Times New Roman" w:eastAsia="Times New Roman" w:hAnsi="Times New Roman" w:cs="Times New Roman"/>
      <w:b/>
      <w:sz w:val="24"/>
      <w:szCs w:val="20"/>
      <w:u w:val="single"/>
    </w:rPr>
  </w:style>
  <w:style w:type="paragraph" w:styleId="Header">
    <w:name w:val="header"/>
    <w:basedOn w:val="Normal"/>
    <w:link w:val="HeaderChar"/>
    <w:semiHidden/>
    <w:rsid w:val="00F938E2"/>
    <w:pPr>
      <w:tabs>
        <w:tab w:val="center" w:pos="4320"/>
        <w:tab w:val="right" w:pos="8640"/>
      </w:tabs>
    </w:pPr>
  </w:style>
  <w:style w:type="character" w:customStyle="1" w:styleId="HeaderChar">
    <w:name w:val="Header Char"/>
    <w:basedOn w:val="DefaultParagraphFont"/>
    <w:link w:val="Header"/>
    <w:semiHidden/>
    <w:rsid w:val="00F938E2"/>
    <w:rPr>
      <w:rFonts w:ascii="Times New Roman" w:eastAsia="Times New Roman" w:hAnsi="Times New Roman" w:cs="Times New Roman"/>
      <w:sz w:val="20"/>
      <w:szCs w:val="20"/>
    </w:rPr>
  </w:style>
  <w:style w:type="paragraph" w:styleId="Footer">
    <w:name w:val="footer"/>
    <w:basedOn w:val="Normal"/>
    <w:link w:val="FooterChar"/>
    <w:semiHidden/>
    <w:rsid w:val="00F938E2"/>
    <w:pPr>
      <w:tabs>
        <w:tab w:val="center" w:pos="4320"/>
        <w:tab w:val="right" w:pos="8640"/>
      </w:tabs>
    </w:pPr>
  </w:style>
  <w:style w:type="character" w:customStyle="1" w:styleId="FooterChar">
    <w:name w:val="Footer Char"/>
    <w:basedOn w:val="DefaultParagraphFont"/>
    <w:link w:val="Footer"/>
    <w:semiHidden/>
    <w:rsid w:val="00F938E2"/>
    <w:rPr>
      <w:rFonts w:ascii="Times New Roman" w:eastAsia="Times New Roman" w:hAnsi="Times New Roman" w:cs="Times New Roman"/>
      <w:sz w:val="20"/>
      <w:szCs w:val="20"/>
    </w:rPr>
  </w:style>
  <w:style w:type="character" w:styleId="PageNumber">
    <w:name w:val="page number"/>
    <w:basedOn w:val="DefaultParagraphFont"/>
    <w:semiHidden/>
    <w:rsid w:val="00F938E2"/>
  </w:style>
  <w:style w:type="paragraph" w:styleId="BodyText">
    <w:name w:val="Body Text"/>
    <w:basedOn w:val="Normal"/>
    <w:link w:val="BodyTextChar"/>
    <w:semiHidden/>
    <w:rsid w:val="00F938E2"/>
    <w:rPr>
      <w:sz w:val="24"/>
    </w:rPr>
  </w:style>
  <w:style w:type="character" w:customStyle="1" w:styleId="BodyTextChar">
    <w:name w:val="Body Text Char"/>
    <w:basedOn w:val="DefaultParagraphFont"/>
    <w:link w:val="BodyText"/>
    <w:semiHidden/>
    <w:rsid w:val="00F938E2"/>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F938E2"/>
    <w:pPr>
      <w:tabs>
        <w:tab w:val="left" w:pos="1080"/>
      </w:tabs>
      <w:ind w:left="360"/>
    </w:pPr>
    <w:rPr>
      <w:color w:val="000000"/>
      <w:sz w:val="24"/>
    </w:rPr>
  </w:style>
  <w:style w:type="character" w:customStyle="1" w:styleId="BodyTextIndent2Char">
    <w:name w:val="Body Text Indent 2 Char"/>
    <w:basedOn w:val="DefaultParagraphFont"/>
    <w:link w:val="BodyTextIndent2"/>
    <w:semiHidden/>
    <w:rsid w:val="00F938E2"/>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F93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2</cp:revision>
  <dcterms:created xsi:type="dcterms:W3CDTF">2013-01-09T21:46:00Z</dcterms:created>
  <dcterms:modified xsi:type="dcterms:W3CDTF">2013-01-09T21:46:00Z</dcterms:modified>
</cp:coreProperties>
</file>