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7D5" w:rsidRDefault="009907D5" w:rsidP="00562093">
      <w:pPr>
        <w:widowControl/>
        <w:rPr>
          <w:sz w:val="24"/>
          <w:szCs w:val="24"/>
        </w:rPr>
      </w:pPr>
    </w:p>
    <w:p w:rsidR="009907D5" w:rsidRDefault="009907D5" w:rsidP="00562093">
      <w:pPr>
        <w:widowControl/>
        <w:rPr>
          <w:sz w:val="24"/>
          <w:szCs w:val="24"/>
        </w:rPr>
      </w:pPr>
    </w:p>
    <w:p w:rsidR="009907D5" w:rsidRDefault="009907D5" w:rsidP="00562093">
      <w:pPr>
        <w:widowControl/>
        <w:jc w:val="center"/>
        <w:rPr>
          <w:b/>
          <w:bCs/>
          <w:sz w:val="24"/>
          <w:szCs w:val="24"/>
        </w:rPr>
      </w:pPr>
      <w:r>
        <w:rPr>
          <w:b/>
          <w:bCs/>
          <w:sz w:val="24"/>
          <w:szCs w:val="24"/>
        </w:rPr>
        <w:t>INFORMATION COLLECTION REQUEST RENEWAL</w:t>
      </w:r>
    </w:p>
    <w:p w:rsidR="009907D5" w:rsidRDefault="009907D5" w:rsidP="00562093">
      <w:pPr>
        <w:widowControl/>
        <w:rPr>
          <w:b/>
          <w:bCs/>
          <w:sz w:val="24"/>
          <w:szCs w:val="24"/>
        </w:rPr>
      </w:pPr>
    </w:p>
    <w:p w:rsidR="009907D5" w:rsidRDefault="009907D5" w:rsidP="00562093">
      <w:pPr>
        <w:widowControl/>
        <w:jc w:val="center"/>
        <w:rPr>
          <w:sz w:val="24"/>
          <w:szCs w:val="24"/>
        </w:rPr>
      </w:pPr>
      <w:r>
        <w:rPr>
          <w:b/>
          <w:bCs/>
          <w:sz w:val="24"/>
          <w:szCs w:val="24"/>
        </w:rPr>
        <w:t>FOR THE ACID RAIN PROGRAM</w:t>
      </w:r>
    </w:p>
    <w:p w:rsidR="009907D5" w:rsidRDefault="009907D5" w:rsidP="00562093">
      <w:pPr>
        <w:widowControl/>
        <w:rPr>
          <w:sz w:val="24"/>
          <w:szCs w:val="24"/>
        </w:rPr>
      </w:pPr>
    </w:p>
    <w:p w:rsidR="009907D5" w:rsidRDefault="009907D5" w:rsidP="00562093">
      <w:pPr>
        <w:widowControl/>
        <w:jc w:val="center"/>
        <w:rPr>
          <w:sz w:val="24"/>
          <w:szCs w:val="24"/>
        </w:rPr>
      </w:pPr>
      <w:r>
        <w:rPr>
          <w:b/>
          <w:bCs/>
          <w:sz w:val="24"/>
          <w:szCs w:val="24"/>
        </w:rPr>
        <w:t xml:space="preserve">UNDER </w:t>
      </w:r>
      <w:r w:rsidR="00DA534F">
        <w:rPr>
          <w:b/>
          <w:bCs/>
          <w:sz w:val="24"/>
          <w:szCs w:val="24"/>
        </w:rPr>
        <w:t xml:space="preserve">TITLE IV OF </w:t>
      </w:r>
      <w:r>
        <w:rPr>
          <w:b/>
          <w:bCs/>
          <w:sz w:val="24"/>
          <w:szCs w:val="24"/>
        </w:rPr>
        <w:t>THE CLEAN AIR ACT AMENDMENTS</w:t>
      </w:r>
      <w:r w:rsidR="00DA534F">
        <w:rPr>
          <w:b/>
          <w:bCs/>
          <w:sz w:val="24"/>
          <w:szCs w:val="24"/>
        </w:rPr>
        <w:t xml:space="preserve"> (RENEWAL)</w:t>
      </w:r>
    </w:p>
    <w:p w:rsidR="009907D5" w:rsidRDefault="009907D5" w:rsidP="00562093">
      <w:pPr>
        <w:widowControl/>
        <w:rPr>
          <w:sz w:val="24"/>
          <w:szCs w:val="24"/>
        </w:rPr>
      </w:pPr>
    </w:p>
    <w:p w:rsidR="009907D5" w:rsidRDefault="009907D5" w:rsidP="00562093">
      <w:pPr>
        <w:widowControl/>
        <w:rPr>
          <w:sz w:val="24"/>
          <w:szCs w:val="24"/>
        </w:rPr>
      </w:pPr>
    </w:p>
    <w:p w:rsidR="009907D5" w:rsidRDefault="009907D5" w:rsidP="00562093">
      <w:pPr>
        <w:widowControl/>
        <w:rPr>
          <w:sz w:val="24"/>
          <w:szCs w:val="24"/>
        </w:rPr>
      </w:pPr>
    </w:p>
    <w:p w:rsidR="009907D5" w:rsidRDefault="009907D5" w:rsidP="00562093">
      <w:pPr>
        <w:widowControl/>
        <w:rPr>
          <w:sz w:val="24"/>
          <w:szCs w:val="24"/>
        </w:rPr>
      </w:pPr>
    </w:p>
    <w:p w:rsidR="009907D5" w:rsidRDefault="009907D5" w:rsidP="00562093">
      <w:pPr>
        <w:widowControl/>
        <w:rPr>
          <w:sz w:val="24"/>
          <w:szCs w:val="24"/>
        </w:rPr>
      </w:pPr>
    </w:p>
    <w:p w:rsidR="009907D5" w:rsidRDefault="009907D5" w:rsidP="00562093">
      <w:pPr>
        <w:widowControl/>
        <w:rPr>
          <w:sz w:val="24"/>
          <w:szCs w:val="24"/>
        </w:rPr>
      </w:pPr>
    </w:p>
    <w:p w:rsidR="009907D5" w:rsidRDefault="009907D5" w:rsidP="00562093">
      <w:pPr>
        <w:widowControl/>
        <w:rPr>
          <w:b/>
          <w:bCs/>
          <w:sz w:val="24"/>
          <w:szCs w:val="24"/>
        </w:rPr>
      </w:pPr>
    </w:p>
    <w:p w:rsidR="009907D5" w:rsidRDefault="009907D5" w:rsidP="00562093">
      <w:pPr>
        <w:widowControl/>
        <w:rPr>
          <w:b/>
          <w:bCs/>
          <w:sz w:val="24"/>
          <w:szCs w:val="24"/>
        </w:rPr>
      </w:pPr>
    </w:p>
    <w:p w:rsidR="009907D5" w:rsidRDefault="00A8470F" w:rsidP="00562093">
      <w:pPr>
        <w:widowControl/>
        <w:jc w:val="center"/>
        <w:rPr>
          <w:b/>
          <w:bCs/>
          <w:sz w:val="24"/>
          <w:szCs w:val="24"/>
        </w:rPr>
      </w:pPr>
      <w:r>
        <w:rPr>
          <w:b/>
          <w:bCs/>
          <w:sz w:val="24"/>
          <w:szCs w:val="24"/>
        </w:rPr>
        <w:t>October 4</w:t>
      </w:r>
      <w:r w:rsidR="00697F81">
        <w:rPr>
          <w:b/>
          <w:bCs/>
          <w:sz w:val="24"/>
          <w:szCs w:val="24"/>
        </w:rPr>
        <w:t>, 2012</w:t>
      </w:r>
    </w:p>
    <w:p w:rsidR="009907D5" w:rsidRDefault="009907D5" w:rsidP="009D592C">
      <w:pPr>
        <w:widowControl/>
        <w:rPr>
          <w:sz w:val="24"/>
          <w:szCs w:val="24"/>
        </w:rPr>
      </w:pPr>
    </w:p>
    <w:p w:rsidR="009907D5" w:rsidRDefault="009907D5" w:rsidP="00562093">
      <w:pPr>
        <w:widowControl/>
        <w:rPr>
          <w:sz w:val="24"/>
          <w:szCs w:val="24"/>
        </w:rPr>
      </w:pPr>
    </w:p>
    <w:p w:rsidR="009907D5" w:rsidRDefault="009907D5" w:rsidP="00562093">
      <w:pPr>
        <w:widowControl/>
        <w:rPr>
          <w:sz w:val="24"/>
          <w:szCs w:val="24"/>
        </w:rPr>
      </w:pPr>
    </w:p>
    <w:p w:rsidR="009907D5" w:rsidRDefault="009907D5" w:rsidP="00562093">
      <w:pPr>
        <w:widowControl/>
        <w:rPr>
          <w:sz w:val="24"/>
          <w:szCs w:val="24"/>
        </w:rPr>
      </w:pPr>
    </w:p>
    <w:p w:rsidR="009907D5" w:rsidRDefault="009907D5" w:rsidP="00562093">
      <w:pPr>
        <w:widowControl/>
        <w:rPr>
          <w:sz w:val="24"/>
          <w:szCs w:val="24"/>
        </w:rPr>
      </w:pPr>
    </w:p>
    <w:p w:rsidR="009907D5" w:rsidRDefault="009907D5" w:rsidP="00562093">
      <w:pPr>
        <w:widowControl/>
        <w:rPr>
          <w:sz w:val="24"/>
          <w:szCs w:val="24"/>
        </w:rPr>
      </w:pPr>
    </w:p>
    <w:p w:rsidR="009907D5" w:rsidRDefault="009907D5" w:rsidP="00562093">
      <w:pPr>
        <w:widowControl/>
        <w:rPr>
          <w:sz w:val="24"/>
          <w:szCs w:val="24"/>
        </w:rPr>
      </w:pPr>
    </w:p>
    <w:p w:rsidR="00DA355B" w:rsidRDefault="00DA355B" w:rsidP="00562093">
      <w:pPr>
        <w:widowControl/>
        <w:jc w:val="center"/>
        <w:rPr>
          <w:b/>
          <w:bCs/>
          <w:sz w:val="24"/>
          <w:szCs w:val="24"/>
        </w:rPr>
        <w:sectPr w:rsidR="00DA355B" w:rsidSect="008D72A5">
          <w:headerReference w:type="default" r:id="rId8"/>
          <w:footerReference w:type="default" r:id="rId9"/>
          <w:footerReference w:type="first" r:id="rId10"/>
          <w:pgSz w:w="12240" w:h="15840"/>
          <w:pgMar w:top="2045" w:right="720" w:bottom="2045" w:left="720" w:header="1440" w:footer="1440" w:gutter="0"/>
          <w:cols w:space="720"/>
          <w:noEndnote/>
          <w:titlePg/>
          <w:docGrid w:linePitch="272"/>
        </w:sectPr>
      </w:pPr>
    </w:p>
    <w:p w:rsidR="004D28EB" w:rsidRDefault="004D28EB" w:rsidP="00562093">
      <w:pPr>
        <w:widowControl/>
        <w:jc w:val="center"/>
        <w:rPr>
          <w:b/>
          <w:bCs/>
          <w:sz w:val="24"/>
          <w:szCs w:val="24"/>
        </w:rPr>
      </w:pPr>
    </w:p>
    <w:p w:rsidR="009907D5" w:rsidRDefault="009907D5" w:rsidP="00562093">
      <w:pPr>
        <w:widowControl/>
        <w:jc w:val="center"/>
        <w:rPr>
          <w:b/>
          <w:bCs/>
          <w:sz w:val="24"/>
          <w:szCs w:val="24"/>
        </w:rPr>
      </w:pPr>
      <w:r>
        <w:rPr>
          <w:b/>
          <w:bCs/>
          <w:sz w:val="24"/>
          <w:szCs w:val="24"/>
        </w:rPr>
        <w:t>INFORMATION COLLECTION REQUEST RENEWAL</w:t>
      </w:r>
    </w:p>
    <w:p w:rsidR="009907D5" w:rsidRDefault="009907D5" w:rsidP="00562093">
      <w:pPr>
        <w:widowControl/>
        <w:jc w:val="center"/>
        <w:rPr>
          <w:b/>
          <w:bCs/>
          <w:sz w:val="24"/>
          <w:szCs w:val="24"/>
        </w:rPr>
      </w:pPr>
      <w:r>
        <w:rPr>
          <w:b/>
          <w:bCs/>
          <w:sz w:val="24"/>
          <w:szCs w:val="24"/>
        </w:rPr>
        <w:t>FOR THE ACID RAIN PROGRAM</w:t>
      </w:r>
    </w:p>
    <w:p w:rsidR="009907D5" w:rsidRDefault="009907D5" w:rsidP="00562093">
      <w:pPr>
        <w:widowControl/>
        <w:jc w:val="center"/>
        <w:rPr>
          <w:sz w:val="24"/>
          <w:szCs w:val="24"/>
        </w:rPr>
      </w:pPr>
      <w:r>
        <w:rPr>
          <w:b/>
          <w:bCs/>
          <w:sz w:val="24"/>
          <w:szCs w:val="24"/>
        </w:rPr>
        <w:t>UNDER THE CLEAN AIR ACT AMENDMENTS TITLE IV</w:t>
      </w:r>
    </w:p>
    <w:p w:rsidR="009907D5" w:rsidRDefault="009907D5" w:rsidP="00562093">
      <w:pPr>
        <w:widowControl/>
        <w:jc w:val="center"/>
        <w:rPr>
          <w:sz w:val="24"/>
          <w:szCs w:val="24"/>
        </w:rPr>
      </w:pPr>
      <w:r>
        <w:rPr>
          <w:b/>
          <w:bCs/>
          <w:sz w:val="24"/>
          <w:szCs w:val="24"/>
        </w:rPr>
        <w:t>(20</w:t>
      </w:r>
      <w:r w:rsidR="00697F81">
        <w:rPr>
          <w:b/>
          <w:bCs/>
          <w:sz w:val="24"/>
          <w:szCs w:val="24"/>
        </w:rPr>
        <w:t>1</w:t>
      </w:r>
      <w:r w:rsidR="00037255">
        <w:rPr>
          <w:b/>
          <w:bCs/>
          <w:sz w:val="24"/>
          <w:szCs w:val="24"/>
        </w:rPr>
        <w:t>3</w:t>
      </w:r>
      <w:r>
        <w:rPr>
          <w:b/>
          <w:bCs/>
          <w:sz w:val="24"/>
          <w:szCs w:val="24"/>
        </w:rPr>
        <w:t xml:space="preserve"> THROUGH 20</w:t>
      </w:r>
      <w:r w:rsidR="00697F81">
        <w:rPr>
          <w:b/>
          <w:bCs/>
          <w:sz w:val="24"/>
          <w:szCs w:val="24"/>
        </w:rPr>
        <w:t>15</w:t>
      </w:r>
      <w:r>
        <w:rPr>
          <w:b/>
          <w:bCs/>
          <w:sz w:val="24"/>
          <w:szCs w:val="24"/>
        </w:rPr>
        <w:t>)</w:t>
      </w:r>
    </w:p>
    <w:p w:rsidR="009907D5" w:rsidRDefault="009907D5" w:rsidP="00562093">
      <w:pPr>
        <w:widowControl/>
        <w:rPr>
          <w:sz w:val="24"/>
          <w:szCs w:val="24"/>
        </w:rPr>
      </w:pPr>
    </w:p>
    <w:p w:rsidR="009907D5" w:rsidRDefault="009907D5" w:rsidP="00562093">
      <w:pPr>
        <w:widowControl/>
        <w:jc w:val="center"/>
        <w:rPr>
          <w:sz w:val="24"/>
          <w:szCs w:val="24"/>
        </w:rPr>
      </w:pPr>
      <w:r>
        <w:rPr>
          <w:b/>
          <w:bCs/>
          <w:sz w:val="24"/>
          <w:szCs w:val="24"/>
        </w:rPr>
        <w:t>SUPPORTING STATEMENT</w:t>
      </w:r>
    </w:p>
    <w:p w:rsidR="009907D5" w:rsidRDefault="009907D5" w:rsidP="00562093">
      <w:pPr>
        <w:widowControl/>
        <w:rPr>
          <w:sz w:val="24"/>
          <w:szCs w:val="24"/>
        </w:rPr>
      </w:pPr>
    </w:p>
    <w:p w:rsidR="009907D5" w:rsidRDefault="009907D5" w:rsidP="00562093">
      <w:pPr>
        <w:widowControl/>
        <w:rPr>
          <w:sz w:val="24"/>
          <w:szCs w:val="24"/>
        </w:rPr>
      </w:pPr>
    </w:p>
    <w:p w:rsidR="009907D5" w:rsidRDefault="004D28EB" w:rsidP="00562093">
      <w:pPr>
        <w:widowControl/>
        <w:rPr>
          <w:sz w:val="24"/>
          <w:szCs w:val="24"/>
        </w:rPr>
      </w:pPr>
      <w:r>
        <w:rPr>
          <w:b/>
          <w:bCs/>
          <w:sz w:val="24"/>
          <w:szCs w:val="24"/>
        </w:rPr>
        <w:t xml:space="preserve">1.  </w:t>
      </w:r>
      <w:r w:rsidR="009907D5">
        <w:rPr>
          <w:b/>
          <w:bCs/>
          <w:sz w:val="24"/>
          <w:szCs w:val="24"/>
        </w:rPr>
        <w:t>IDENTIFICATION OF THE INFORMATION COLLECTION</w:t>
      </w:r>
    </w:p>
    <w:p w:rsidR="009907D5" w:rsidRDefault="009907D5" w:rsidP="00562093">
      <w:pPr>
        <w:widowControl/>
        <w:rPr>
          <w:sz w:val="24"/>
          <w:szCs w:val="24"/>
        </w:rPr>
      </w:pPr>
    </w:p>
    <w:p w:rsidR="009907D5" w:rsidRDefault="004D28EB" w:rsidP="004D28EB">
      <w:pPr>
        <w:widowControl/>
        <w:ind w:left="360"/>
        <w:rPr>
          <w:sz w:val="24"/>
          <w:szCs w:val="24"/>
        </w:rPr>
      </w:pPr>
      <w:proofErr w:type="gramStart"/>
      <w:r>
        <w:rPr>
          <w:b/>
          <w:bCs/>
          <w:sz w:val="24"/>
          <w:szCs w:val="24"/>
        </w:rPr>
        <w:t xml:space="preserve">1.1  </w:t>
      </w:r>
      <w:r w:rsidR="009907D5">
        <w:rPr>
          <w:b/>
          <w:bCs/>
          <w:sz w:val="24"/>
          <w:szCs w:val="24"/>
        </w:rPr>
        <w:t>Background</w:t>
      </w:r>
      <w:proofErr w:type="gramEnd"/>
    </w:p>
    <w:p w:rsidR="009907D5" w:rsidRDefault="009907D5" w:rsidP="00562093">
      <w:pPr>
        <w:widowControl/>
        <w:rPr>
          <w:sz w:val="24"/>
          <w:szCs w:val="24"/>
        </w:rPr>
      </w:pPr>
    </w:p>
    <w:p w:rsidR="009907D5" w:rsidRDefault="009907D5" w:rsidP="00562093">
      <w:pPr>
        <w:widowControl/>
        <w:rPr>
          <w:sz w:val="24"/>
          <w:szCs w:val="24"/>
        </w:rPr>
      </w:pPr>
      <w:r>
        <w:rPr>
          <w:sz w:val="24"/>
          <w:szCs w:val="24"/>
        </w:rPr>
        <w:tab/>
        <w:t>Title IV of the Clean Air Act Amendments of 1990 (the acid rain title) established goals to reduce annual emissions of sulfur dioxide (SO</w:t>
      </w:r>
      <w:r>
        <w:rPr>
          <w:sz w:val="24"/>
          <w:szCs w:val="24"/>
          <w:vertAlign w:val="subscript"/>
        </w:rPr>
        <w:t>2</w:t>
      </w:r>
      <w:r>
        <w:rPr>
          <w:sz w:val="24"/>
          <w:szCs w:val="24"/>
        </w:rPr>
        <w:t>) and nitrogen oxides (</w:t>
      </w:r>
      <w:proofErr w:type="spellStart"/>
      <w:r>
        <w:rPr>
          <w:sz w:val="24"/>
          <w:szCs w:val="24"/>
        </w:rPr>
        <w:t>NO</w:t>
      </w:r>
      <w:r w:rsidR="00562093">
        <w:rPr>
          <w:sz w:val="24"/>
          <w:szCs w:val="24"/>
          <w:vertAlign w:val="subscript"/>
        </w:rPr>
        <w:t>x</w:t>
      </w:r>
      <w:proofErr w:type="spellEnd"/>
      <w:r>
        <w:rPr>
          <w:sz w:val="24"/>
          <w:szCs w:val="24"/>
        </w:rPr>
        <w:t>) and placed a national cap on sulfur dioxide emissions beginning in the year 2000</w:t>
      </w:r>
      <w:r w:rsidR="00562093">
        <w:rPr>
          <w:sz w:val="24"/>
          <w:szCs w:val="24"/>
        </w:rPr>
        <w:t xml:space="preserve">. </w:t>
      </w:r>
      <w:r>
        <w:rPr>
          <w:sz w:val="24"/>
          <w:szCs w:val="24"/>
        </w:rPr>
        <w:t>Emissions reductions were mandated in two phases:</w:t>
      </w:r>
    </w:p>
    <w:p w:rsidR="009907D5" w:rsidRDefault="009907D5" w:rsidP="00562093">
      <w:pPr>
        <w:widowControl/>
        <w:rPr>
          <w:sz w:val="24"/>
          <w:szCs w:val="24"/>
        </w:rPr>
      </w:pPr>
    </w:p>
    <w:p w:rsidR="009907D5" w:rsidRDefault="004D28EB" w:rsidP="004D28EB">
      <w:pPr>
        <w:pStyle w:val="Level1"/>
        <w:widowControl/>
        <w:ind w:hanging="360"/>
        <w:jc w:val="left"/>
      </w:pPr>
      <w:r>
        <w:t>●</w:t>
      </w:r>
      <w:r>
        <w:tab/>
      </w:r>
      <w:r w:rsidR="009907D5">
        <w:t>During Phase I, which covered 1995 through 1999, emissions were reduced about 50 percent for SO</w:t>
      </w:r>
      <w:r w:rsidR="009907D5">
        <w:rPr>
          <w:vertAlign w:val="subscript"/>
        </w:rPr>
        <w:t>2</w:t>
      </w:r>
      <w:r w:rsidR="009907D5">
        <w:t xml:space="preserve"> and 32 percent for </w:t>
      </w:r>
      <w:proofErr w:type="spellStart"/>
      <w:r w:rsidR="009907D5">
        <w:t>NO</w:t>
      </w:r>
      <w:r w:rsidR="00562093">
        <w:rPr>
          <w:vertAlign w:val="subscript"/>
        </w:rPr>
        <w:t>x</w:t>
      </w:r>
      <w:proofErr w:type="spellEnd"/>
      <w:r w:rsidR="009907D5">
        <w:t xml:space="preserve"> from 1990 levels from the 263 highest-emitting sources;</w:t>
      </w:r>
    </w:p>
    <w:p w:rsidR="009907D5" w:rsidRDefault="009907D5" w:rsidP="004D28EB">
      <w:pPr>
        <w:widowControl/>
        <w:numPr>
          <w:ilvl w:val="12"/>
          <w:numId w:val="0"/>
        </w:numPr>
        <w:rPr>
          <w:sz w:val="24"/>
          <w:szCs w:val="24"/>
        </w:rPr>
      </w:pPr>
    </w:p>
    <w:p w:rsidR="009907D5" w:rsidRDefault="004D28EB" w:rsidP="004D28EB">
      <w:pPr>
        <w:pStyle w:val="Level1"/>
        <w:widowControl/>
        <w:ind w:hanging="360"/>
        <w:jc w:val="left"/>
      </w:pPr>
      <w:r>
        <w:t>●</w:t>
      </w:r>
      <w:r>
        <w:tab/>
      </w:r>
      <w:r w:rsidR="009907D5">
        <w:t>Phase II, which began in 2000 for both SO</w:t>
      </w:r>
      <w:r w:rsidR="009907D5">
        <w:rPr>
          <w:vertAlign w:val="subscript"/>
        </w:rPr>
        <w:t>2</w:t>
      </w:r>
      <w:r w:rsidR="009907D5">
        <w:t xml:space="preserve"> and </w:t>
      </w:r>
      <w:proofErr w:type="spellStart"/>
      <w:r w:rsidR="009907D5">
        <w:t>NO</w:t>
      </w:r>
      <w:r w:rsidR="00562093">
        <w:rPr>
          <w:vertAlign w:val="subscript"/>
        </w:rPr>
        <w:t>x</w:t>
      </w:r>
      <w:proofErr w:type="spellEnd"/>
      <w:r w:rsidR="009907D5">
        <w:t>, affects more than 3,500 sources at virtually all fossil fuel power plants.</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To help meet emissions reduction goals, Title IV provides for a program that allocates emissions allowances to affected utility units based on a national target for SO</w:t>
      </w:r>
      <w:r>
        <w:rPr>
          <w:sz w:val="24"/>
          <w:szCs w:val="24"/>
          <w:vertAlign w:val="subscript"/>
        </w:rPr>
        <w:t>2</w:t>
      </w:r>
      <w:r>
        <w:rPr>
          <w:sz w:val="24"/>
          <w:szCs w:val="24"/>
        </w:rPr>
        <w:t xml:space="preserve"> reductions, and allows market forces to achieve the targeted reductions in the most cost-effective manner</w:t>
      </w:r>
      <w:r w:rsidR="005A67EC">
        <w:rPr>
          <w:sz w:val="24"/>
          <w:szCs w:val="24"/>
        </w:rPr>
        <w:t xml:space="preserve">. </w:t>
      </w:r>
      <w:r>
        <w:rPr>
          <w:sz w:val="24"/>
          <w:szCs w:val="24"/>
        </w:rPr>
        <w:t>Under this program, each affected unit receives its allocation of allowances for every year</w:t>
      </w:r>
      <w:r w:rsidR="005A67EC">
        <w:rPr>
          <w:sz w:val="24"/>
          <w:szCs w:val="24"/>
        </w:rPr>
        <w:t xml:space="preserve">. </w:t>
      </w:r>
      <w:r>
        <w:rPr>
          <w:sz w:val="24"/>
          <w:szCs w:val="24"/>
        </w:rPr>
        <w:t>An affected unit must hold one allowance for each ton of SO</w:t>
      </w:r>
      <w:r>
        <w:rPr>
          <w:sz w:val="24"/>
          <w:szCs w:val="24"/>
          <w:vertAlign w:val="subscript"/>
        </w:rPr>
        <w:t>2</w:t>
      </w:r>
      <w:r>
        <w:rPr>
          <w:sz w:val="24"/>
          <w:szCs w:val="24"/>
        </w:rPr>
        <w:t xml:space="preserve"> it emits</w:t>
      </w:r>
      <w:r w:rsidR="005A67EC">
        <w:rPr>
          <w:sz w:val="24"/>
          <w:szCs w:val="24"/>
        </w:rPr>
        <w:t xml:space="preserve">. </w:t>
      </w:r>
      <w:r>
        <w:rPr>
          <w:sz w:val="24"/>
          <w:szCs w:val="24"/>
        </w:rPr>
        <w:t>Affected utilities and individuals may buy and sell allowances, or save them for future use or sale.</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The ability to buy and sell (or transfer) allowances provides substantial economic benefits, by encouraging the greatest emissions reductions where costs of reductions are lowest</w:t>
      </w:r>
      <w:r w:rsidR="005A67EC">
        <w:rPr>
          <w:sz w:val="24"/>
          <w:szCs w:val="24"/>
        </w:rPr>
        <w:t xml:space="preserve">. </w:t>
      </w:r>
      <w:r>
        <w:rPr>
          <w:sz w:val="24"/>
          <w:szCs w:val="24"/>
        </w:rPr>
        <w:t>This concept of allowance transfers cannot be implemented, however, unless regulations governing emissions monitoring and permitting of acid rain sources are in place as well</w:t>
      </w:r>
      <w:r w:rsidR="005A67EC">
        <w:rPr>
          <w:sz w:val="24"/>
          <w:szCs w:val="24"/>
        </w:rPr>
        <w:t xml:space="preserve">. </w:t>
      </w:r>
      <w:r>
        <w:rPr>
          <w:sz w:val="24"/>
          <w:szCs w:val="24"/>
        </w:rPr>
        <w:t>To ensure compliance with the emissions reduction requirements and to provide the national consistency needed to foster the allowance market, sections 408 and 412 of Title IV require the designated representative of the owners and operators of each affected acid rain source to obtain an operating permit for the affected source and to certify that an approved emissions monitoring system has been installed and is properly operated at each affected unit</w:t>
      </w:r>
      <w:r w:rsidR="00A90381">
        <w:rPr>
          <w:sz w:val="24"/>
          <w:szCs w:val="24"/>
        </w:rPr>
        <w:t>'</w:t>
      </w:r>
      <w:r>
        <w:rPr>
          <w:sz w:val="24"/>
          <w:szCs w:val="24"/>
        </w:rPr>
        <w:t>s source of emissions</w:t>
      </w:r>
      <w:r w:rsidR="00562093">
        <w:rPr>
          <w:sz w:val="24"/>
          <w:szCs w:val="24"/>
        </w:rPr>
        <w:t xml:space="preserve">.  </w:t>
      </w:r>
    </w:p>
    <w:p w:rsidR="009907D5" w:rsidRDefault="009907D5" w:rsidP="00562093">
      <w:pPr>
        <w:widowControl/>
        <w:numPr>
          <w:ilvl w:val="12"/>
          <w:numId w:val="0"/>
        </w:numPr>
        <w:rPr>
          <w:sz w:val="24"/>
          <w:szCs w:val="24"/>
        </w:rPr>
      </w:pPr>
    </w:p>
    <w:p w:rsidR="002F290A" w:rsidRDefault="009907D5" w:rsidP="00562093">
      <w:pPr>
        <w:widowControl/>
        <w:numPr>
          <w:ilvl w:val="12"/>
          <w:numId w:val="0"/>
        </w:numPr>
        <w:rPr>
          <w:sz w:val="24"/>
          <w:szCs w:val="24"/>
        </w:rPr>
      </w:pPr>
      <w:r>
        <w:rPr>
          <w:sz w:val="24"/>
          <w:szCs w:val="24"/>
        </w:rPr>
        <w:tab/>
        <w:t>Emissions monitoring and reporting is the foundation upon which the allowance trading system is based</w:t>
      </w:r>
      <w:r w:rsidR="005A67EC">
        <w:rPr>
          <w:sz w:val="24"/>
          <w:szCs w:val="24"/>
        </w:rPr>
        <w:t xml:space="preserve">. </w:t>
      </w:r>
      <w:r>
        <w:rPr>
          <w:sz w:val="24"/>
          <w:szCs w:val="24"/>
        </w:rPr>
        <w:t>Without accurate monitoring and reporting of emissions, the integrity of the allowance system would be undermined, and there would be no assurance that emissions had been reduced</w:t>
      </w:r>
      <w:r w:rsidR="00562093">
        <w:rPr>
          <w:sz w:val="24"/>
          <w:szCs w:val="24"/>
        </w:rPr>
        <w:t xml:space="preserve">. </w:t>
      </w:r>
    </w:p>
    <w:p w:rsidR="009907D5" w:rsidRDefault="00562093" w:rsidP="00562093">
      <w:pPr>
        <w:widowControl/>
        <w:numPr>
          <w:ilvl w:val="12"/>
          <w:numId w:val="0"/>
        </w:numPr>
        <w:rPr>
          <w:sz w:val="24"/>
          <w:szCs w:val="24"/>
        </w:rPr>
      </w:pPr>
      <w:r>
        <w:rPr>
          <w:sz w:val="24"/>
          <w:szCs w:val="24"/>
        </w:rPr>
        <w:t xml:space="preserve"> </w:t>
      </w:r>
    </w:p>
    <w:p w:rsidR="009907D5" w:rsidRDefault="009907D5" w:rsidP="00562093">
      <w:pPr>
        <w:widowControl/>
        <w:numPr>
          <w:ilvl w:val="12"/>
          <w:numId w:val="0"/>
        </w:numPr>
        <w:rPr>
          <w:sz w:val="24"/>
          <w:szCs w:val="24"/>
        </w:rPr>
      </w:pPr>
      <w:r>
        <w:rPr>
          <w:sz w:val="24"/>
          <w:szCs w:val="24"/>
        </w:rPr>
        <w:lastRenderedPageBreak/>
        <w:tab/>
        <w:t>Acid rain permits allow sources the flexibility to comply with the emissions reduction requirements of Title IV for both SO</w:t>
      </w:r>
      <w:r>
        <w:rPr>
          <w:sz w:val="24"/>
          <w:szCs w:val="24"/>
          <w:vertAlign w:val="subscript"/>
        </w:rPr>
        <w:t>2</w:t>
      </w:r>
      <w:r>
        <w:rPr>
          <w:sz w:val="24"/>
          <w:szCs w:val="24"/>
        </w:rPr>
        <w:t xml:space="preserve"> and </w:t>
      </w:r>
      <w:proofErr w:type="spellStart"/>
      <w:r>
        <w:rPr>
          <w:sz w:val="24"/>
          <w:szCs w:val="24"/>
        </w:rPr>
        <w:t>NO</w:t>
      </w:r>
      <w:r w:rsidR="00562093">
        <w:rPr>
          <w:sz w:val="24"/>
          <w:szCs w:val="24"/>
          <w:vertAlign w:val="subscript"/>
        </w:rPr>
        <w:t>x</w:t>
      </w:r>
      <w:proofErr w:type="spellEnd"/>
      <w:r w:rsidR="005A67EC">
        <w:rPr>
          <w:sz w:val="24"/>
          <w:szCs w:val="24"/>
        </w:rPr>
        <w:t xml:space="preserve">. </w:t>
      </w:r>
      <w:r>
        <w:rPr>
          <w:sz w:val="24"/>
          <w:szCs w:val="24"/>
        </w:rPr>
        <w:t>The procedures specified in the acid rain permits regulations, including the use of standardized forms, ensure that the intended flexibility and accountability is preserved as the Acid Rain Program is implemented nationwide by different permitting authorities.</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Participation in the annual auction is voluntary</w:t>
      </w:r>
      <w:r w:rsidR="005A67EC">
        <w:rPr>
          <w:sz w:val="24"/>
          <w:szCs w:val="24"/>
        </w:rPr>
        <w:t xml:space="preserve">. </w:t>
      </w:r>
      <w:r>
        <w:rPr>
          <w:sz w:val="24"/>
          <w:szCs w:val="24"/>
        </w:rPr>
        <w:t>Information is collected by EPA</w:t>
      </w:r>
      <w:r w:rsidR="00A90381">
        <w:rPr>
          <w:sz w:val="24"/>
          <w:szCs w:val="24"/>
        </w:rPr>
        <w:t>'</w:t>
      </w:r>
      <w:r>
        <w:rPr>
          <w:sz w:val="24"/>
          <w:szCs w:val="24"/>
        </w:rPr>
        <w:t>s Clean Air Markets Division and used to conduct and facilitate the administration of the auction</w:t>
      </w:r>
      <w:r w:rsidR="005A67EC">
        <w:rPr>
          <w:sz w:val="24"/>
          <w:szCs w:val="24"/>
        </w:rPr>
        <w:t xml:space="preserve">. </w:t>
      </w:r>
      <w:r>
        <w:rPr>
          <w:sz w:val="24"/>
          <w:szCs w:val="24"/>
        </w:rPr>
        <w:t>Auction participants must submit a bid form and payment method.</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Section 410 of Title IV provides that sources of SO</w:t>
      </w:r>
      <w:r>
        <w:rPr>
          <w:sz w:val="24"/>
          <w:szCs w:val="24"/>
          <w:vertAlign w:val="subscript"/>
        </w:rPr>
        <w:t>2</w:t>
      </w:r>
      <w:r>
        <w:rPr>
          <w:sz w:val="24"/>
          <w:szCs w:val="24"/>
        </w:rPr>
        <w:t xml:space="preserve"> emissions that are not regulated, i.e., small utility units and industrial boilers, may elect to </w:t>
      </w:r>
      <w:r w:rsidR="00A90381">
        <w:rPr>
          <w:sz w:val="24"/>
          <w:szCs w:val="24"/>
        </w:rPr>
        <w:t>"</w:t>
      </w:r>
      <w:r>
        <w:rPr>
          <w:sz w:val="24"/>
          <w:szCs w:val="24"/>
        </w:rPr>
        <w:t>opt in</w:t>
      </w:r>
      <w:r w:rsidR="00A90381">
        <w:rPr>
          <w:sz w:val="24"/>
          <w:szCs w:val="24"/>
        </w:rPr>
        <w:t>"</w:t>
      </w:r>
      <w:r>
        <w:rPr>
          <w:sz w:val="24"/>
          <w:szCs w:val="24"/>
        </w:rPr>
        <w:t xml:space="preserve"> to the allowance allocation and trading program</w:t>
      </w:r>
      <w:r w:rsidR="005A67EC">
        <w:rPr>
          <w:sz w:val="24"/>
          <w:szCs w:val="24"/>
        </w:rPr>
        <w:t xml:space="preserve">. </w:t>
      </w:r>
      <w:r>
        <w:rPr>
          <w:sz w:val="24"/>
          <w:szCs w:val="24"/>
        </w:rPr>
        <w:t>To opt in, the source owner or operator must submit an opt-in permit application to EPA</w:t>
      </w:r>
      <w:r w:rsidR="005A67EC">
        <w:rPr>
          <w:sz w:val="24"/>
          <w:szCs w:val="24"/>
        </w:rPr>
        <w:t xml:space="preserve">. </w:t>
      </w:r>
      <w:r>
        <w:rPr>
          <w:sz w:val="24"/>
          <w:szCs w:val="24"/>
        </w:rPr>
        <w:t>Sources that opt in (1) become affected sources, (2) receive an annual allocation of allowances, and (3) may sell any allowances they do not use for their own emissions</w:t>
      </w:r>
      <w:r w:rsidR="005A67EC">
        <w:rPr>
          <w:sz w:val="24"/>
          <w:szCs w:val="24"/>
        </w:rPr>
        <w:t xml:space="preserve">. </w:t>
      </w:r>
      <w:r>
        <w:rPr>
          <w:sz w:val="24"/>
          <w:szCs w:val="24"/>
        </w:rPr>
        <w:t>Because opting in is voluntary, only those unaffected sources that would profit by opting in are expected to do so.</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r>
    </w:p>
    <w:p w:rsidR="009907D5" w:rsidRDefault="009907D5" w:rsidP="00562093">
      <w:pPr>
        <w:widowControl/>
        <w:numPr>
          <w:ilvl w:val="12"/>
          <w:numId w:val="0"/>
        </w:numPr>
        <w:rPr>
          <w:sz w:val="24"/>
          <w:szCs w:val="24"/>
        </w:rPr>
      </w:pPr>
      <w:r>
        <w:rPr>
          <w:sz w:val="24"/>
          <w:szCs w:val="24"/>
        </w:rPr>
        <w:tab/>
        <w:t xml:space="preserve">The </w:t>
      </w:r>
      <w:proofErr w:type="spellStart"/>
      <w:r>
        <w:rPr>
          <w:sz w:val="24"/>
          <w:szCs w:val="24"/>
        </w:rPr>
        <w:t>NO</w:t>
      </w:r>
      <w:r w:rsidR="00562093">
        <w:rPr>
          <w:sz w:val="24"/>
          <w:szCs w:val="24"/>
          <w:vertAlign w:val="subscript"/>
        </w:rPr>
        <w:t>x</w:t>
      </w:r>
      <w:proofErr w:type="spellEnd"/>
      <w:r>
        <w:rPr>
          <w:sz w:val="24"/>
          <w:szCs w:val="24"/>
        </w:rPr>
        <w:t xml:space="preserve"> emission reductions are achieved through maximum allowable emission rates for coal-fired utility boilers</w:t>
      </w:r>
      <w:r w:rsidR="005A67EC">
        <w:rPr>
          <w:sz w:val="24"/>
          <w:szCs w:val="24"/>
        </w:rPr>
        <w:t xml:space="preserve">. </w:t>
      </w:r>
      <w:r>
        <w:rPr>
          <w:sz w:val="24"/>
          <w:szCs w:val="24"/>
        </w:rPr>
        <w:t>The allowable rate for a given boiler depends on the type of boiler</w:t>
      </w:r>
      <w:r w:rsidR="005A67EC">
        <w:rPr>
          <w:sz w:val="24"/>
          <w:szCs w:val="24"/>
        </w:rPr>
        <w:t xml:space="preserve">. </w:t>
      </w:r>
      <w:r>
        <w:rPr>
          <w:sz w:val="24"/>
          <w:szCs w:val="24"/>
        </w:rPr>
        <w:t xml:space="preserve">The </w:t>
      </w:r>
      <w:proofErr w:type="spellStart"/>
      <w:r>
        <w:rPr>
          <w:sz w:val="24"/>
          <w:szCs w:val="24"/>
        </w:rPr>
        <w:t>NO</w:t>
      </w:r>
      <w:r w:rsidR="00562093">
        <w:rPr>
          <w:sz w:val="24"/>
          <w:szCs w:val="24"/>
          <w:vertAlign w:val="subscript"/>
        </w:rPr>
        <w:t>x</w:t>
      </w:r>
      <w:proofErr w:type="spellEnd"/>
      <w:r>
        <w:rPr>
          <w:sz w:val="24"/>
          <w:szCs w:val="24"/>
        </w:rPr>
        <w:t xml:space="preserve"> regulations for coal-fired boilers are applied to two groups of boilers, as specified by the Clean Air Act Amendments of 1990 (CAAA)</w:t>
      </w:r>
      <w:r w:rsidR="005A67EC">
        <w:rPr>
          <w:sz w:val="24"/>
          <w:szCs w:val="24"/>
        </w:rPr>
        <w:t xml:space="preserve">. </w:t>
      </w:r>
      <w:r>
        <w:rPr>
          <w:sz w:val="24"/>
          <w:szCs w:val="24"/>
        </w:rPr>
        <w:t>Boilers in each group become affected at different times, as described below</w:t>
      </w:r>
      <w:r w:rsidR="005A67EC">
        <w:rPr>
          <w:sz w:val="24"/>
          <w:szCs w:val="24"/>
        </w:rPr>
        <w:t xml:space="preserve">. </w:t>
      </w:r>
      <w:r>
        <w:rPr>
          <w:sz w:val="24"/>
          <w:szCs w:val="24"/>
        </w:rPr>
        <w:t>Group 1 boilers are (1) dry bottom wall-fired boilers that do not apply cell burner technology or (2) tangentially fired boilers</w:t>
      </w:r>
      <w:r w:rsidR="005A67EC">
        <w:rPr>
          <w:sz w:val="24"/>
          <w:szCs w:val="24"/>
        </w:rPr>
        <w:t xml:space="preserve">. </w:t>
      </w:r>
      <w:r>
        <w:rPr>
          <w:sz w:val="24"/>
          <w:szCs w:val="24"/>
        </w:rPr>
        <w:t>Group 2 boilers are all other types of utility boilers, including (1) wet bottom wall-fired boilers, (2) cyclones, and (3) boilers applying cell burner technology</w:t>
      </w:r>
      <w:r w:rsidR="005A67EC">
        <w:rPr>
          <w:sz w:val="24"/>
          <w:szCs w:val="24"/>
        </w:rPr>
        <w:t xml:space="preserve">. </w:t>
      </w:r>
      <w:r>
        <w:rPr>
          <w:sz w:val="24"/>
          <w:szCs w:val="24"/>
        </w:rPr>
        <w:t xml:space="preserve">In Phase II, which began January 1, 2000, </w:t>
      </w:r>
      <w:proofErr w:type="spellStart"/>
      <w:r>
        <w:rPr>
          <w:sz w:val="24"/>
          <w:szCs w:val="24"/>
        </w:rPr>
        <w:t>NO</w:t>
      </w:r>
      <w:r w:rsidR="00562093">
        <w:rPr>
          <w:sz w:val="24"/>
          <w:szCs w:val="24"/>
          <w:vertAlign w:val="subscript"/>
        </w:rPr>
        <w:t>x</w:t>
      </w:r>
      <w:proofErr w:type="spellEnd"/>
      <w:r>
        <w:rPr>
          <w:sz w:val="24"/>
          <w:szCs w:val="24"/>
        </w:rPr>
        <w:t xml:space="preserve"> emission limitations became effective for both groups of boilers.</w:t>
      </w:r>
    </w:p>
    <w:p w:rsidR="009907D5" w:rsidRDefault="009907D5" w:rsidP="00562093">
      <w:pPr>
        <w:widowControl/>
        <w:numPr>
          <w:ilvl w:val="12"/>
          <w:numId w:val="0"/>
        </w:numPr>
        <w:rPr>
          <w:sz w:val="24"/>
          <w:szCs w:val="24"/>
        </w:rPr>
      </w:pPr>
    </w:p>
    <w:p w:rsidR="009907D5" w:rsidRDefault="004D1D72" w:rsidP="004D1D72">
      <w:pPr>
        <w:widowControl/>
        <w:numPr>
          <w:ilvl w:val="12"/>
          <w:numId w:val="0"/>
        </w:numPr>
        <w:ind w:left="360"/>
        <w:rPr>
          <w:sz w:val="24"/>
          <w:szCs w:val="24"/>
        </w:rPr>
      </w:pPr>
      <w:proofErr w:type="gramStart"/>
      <w:r>
        <w:rPr>
          <w:b/>
          <w:bCs/>
          <w:sz w:val="24"/>
          <w:szCs w:val="24"/>
        </w:rPr>
        <w:t xml:space="preserve">1.2  </w:t>
      </w:r>
      <w:r w:rsidR="009907D5">
        <w:rPr>
          <w:b/>
          <w:bCs/>
          <w:sz w:val="24"/>
          <w:szCs w:val="24"/>
        </w:rPr>
        <w:t>Information</w:t>
      </w:r>
      <w:proofErr w:type="gramEnd"/>
      <w:r w:rsidR="009907D5">
        <w:rPr>
          <w:b/>
          <w:bCs/>
          <w:sz w:val="24"/>
          <w:szCs w:val="24"/>
        </w:rPr>
        <w:t xml:space="preserve"> to Be Collected</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EPA has developed regulations to implement the emissions reduction provisions of Title IV of the Clean Air Act Amendments that cover</w:t>
      </w:r>
    </w:p>
    <w:p w:rsidR="009907D5" w:rsidRDefault="009907D5" w:rsidP="00562093">
      <w:pPr>
        <w:widowControl/>
        <w:numPr>
          <w:ilvl w:val="12"/>
          <w:numId w:val="0"/>
        </w:numPr>
        <w:rPr>
          <w:sz w:val="24"/>
          <w:szCs w:val="24"/>
        </w:rPr>
      </w:pPr>
    </w:p>
    <w:p w:rsidR="009907D5" w:rsidRDefault="004D1D72" w:rsidP="004D1D72">
      <w:pPr>
        <w:pStyle w:val="Level1"/>
        <w:widowControl/>
        <w:tabs>
          <w:tab w:val="left" w:pos="720"/>
          <w:tab w:val="left" w:pos="1440"/>
        </w:tabs>
        <w:ind w:hanging="360"/>
        <w:jc w:val="left"/>
      </w:pPr>
      <w:r>
        <w:t>●</w:t>
      </w:r>
      <w:r>
        <w:tab/>
      </w:r>
      <w:r w:rsidR="009907D5">
        <w:t>Allowance tracking and transfers (section 403);</w:t>
      </w:r>
    </w:p>
    <w:p w:rsidR="009907D5" w:rsidRDefault="004D1D72" w:rsidP="004D1D72">
      <w:pPr>
        <w:pStyle w:val="Level1"/>
        <w:widowControl/>
        <w:tabs>
          <w:tab w:val="left" w:pos="720"/>
          <w:tab w:val="left" w:pos="1440"/>
        </w:tabs>
        <w:ind w:hanging="360"/>
        <w:jc w:val="left"/>
      </w:pPr>
      <w:r>
        <w:t>●</w:t>
      </w:r>
      <w:r>
        <w:tab/>
      </w:r>
      <w:r w:rsidR="009907D5">
        <w:t xml:space="preserve">Permits (section 408); </w:t>
      </w:r>
    </w:p>
    <w:p w:rsidR="009907D5" w:rsidRDefault="004D1D72" w:rsidP="004D1D72">
      <w:pPr>
        <w:pStyle w:val="Level1"/>
        <w:widowControl/>
        <w:tabs>
          <w:tab w:val="left" w:pos="720"/>
          <w:tab w:val="left" w:pos="1440"/>
        </w:tabs>
        <w:ind w:hanging="360"/>
        <w:jc w:val="left"/>
      </w:pPr>
      <w:r>
        <w:t>●</w:t>
      </w:r>
      <w:r>
        <w:tab/>
      </w:r>
      <w:r w:rsidR="009907D5">
        <w:t>Emissions monitoring (section 412);</w:t>
      </w:r>
    </w:p>
    <w:p w:rsidR="009907D5" w:rsidRDefault="004D1D72" w:rsidP="004D1D72">
      <w:pPr>
        <w:pStyle w:val="Level1"/>
        <w:widowControl/>
        <w:tabs>
          <w:tab w:val="left" w:pos="720"/>
          <w:tab w:val="left" w:pos="1440"/>
        </w:tabs>
        <w:ind w:hanging="360"/>
        <w:jc w:val="left"/>
      </w:pPr>
      <w:r>
        <w:t>●</w:t>
      </w:r>
      <w:r>
        <w:tab/>
      </w:r>
      <w:r w:rsidR="009907D5">
        <w:t>Auctions (section 416);</w:t>
      </w:r>
    </w:p>
    <w:p w:rsidR="009907D5" w:rsidRDefault="004D1D72" w:rsidP="004D1D72">
      <w:pPr>
        <w:pStyle w:val="Level1"/>
        <w:widowControl/>
        <w:tabs>
          <w:tab w:val="left" w:pos="720"/>
          <w:tab w:val="left" w:pos="1440"/>
        </w:tabs>
        <w:ind w:hanging="360"/>
        <w:jc w:val="left"/>
      </w:pPr>
      <w:r>
        <w:t>●</w:t>
      </w:r>
      <w:r>
        <w:tab/>
      </w:r>
      <w:r w:rsidR="009907D5">
        <w:t>Opt-in (section 410 a-g); and</w:t>
      </w:r>
    </w:p>
    <w:p w:rsidR="009907D5" w:rsidRDefault="004D1D72" w:rsidP="004D1D72">
      <w:pPr>
        <w:pStyle w:val="Level1"/>
        <w:widowControl/>
        <w:tabs>
          <w:tab w:val="left" w:pos="720"/>
          <w:tab w:val="left" w:pos="1440"/>
        </w:tabs>
        <w:ind w:hanging="360"/>
        <w:jc w:val="left"/>
      </w:pPr>
      <w:proofErr w:type="gramStart"/>
      <w:r>
        <w:t>●</w:t>
      </w:r>
      <w:r>
        <w:tab/>
      </w:r>
      <w:proofErr w:type="spellStart"/>
      <w:r w:rsidR="009907D5">
        <w:t>NO</w:t>
      </w:r>
      <w:r w:rsidR="00562093">
        <w:rPr>
          <w:vertAlign w:val="subscript"/>
        </w:rPr>
        <w:t>x</w:t>
      </w:r>
      <w:proofErr w:type="spellEnd"/>
      <w:r w:rsidR="009907D5">
        <w:t xml:space="preserve"> permitting (section 407).</w:t>
      </w:r>
      <w:proofErr w:type="gramEnd"/>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This Information Collection Request (ICR) addresses the burden related to (1) transferring and tracking allowances; (2) obtaining and issuing permits (e.g., submitting permit applications); (</w:t>
      </w:r>
      <w:r w:rsidR="00EB3CAB">
        <w:rPr>
          <w:sz w:val="24"/>
          <w:szCs w:val="24"/>
        </w:rPr>
        <w:t>3</w:t>
      </w:r>
      <w:r>
        <w:rPr>
          <w:sz w:val="24"/>
          <w:szCs w:val="24"/>
        </w:rPr>
        <w:t>)</w:t>
      </w:r>
      <w:r w:rsidR="00CB54A2">
        <w:rPr>
          <w:sz w:val="24"/>
          <w:szCs w:val="24"/>
        </w:rPr>
        <w:t xml:space="preserve"> quality assuring,</w:t>
      </w:r>
      <w:r>
        <w:rPr>
          <w:sz w:val="24"/>
          <w:szCs w:val="24"/>
        </w:rPr>
        <w:t xml:space="preserve"> submitting and certifying emissions monitoring data</w:t>
      </w:r>
      <w:r w:rsidR="00B60583">
        <w:rPr>
          <w:sz w:val="24"/>
          <w:szCs w:val="24"/>
        </w:rPr>
        <w:t xml:space="preserve"> </w:t>
      </w:r>
      <w:r>
        <w:rPr>
          <w:sz w:val="24"/>
          <w:szCs w:val="24"/>
        </w:rPr>
        <w:t>; (</w:t>
      </w:r>
      <w:r w:rsidR="00EB3CAB">
        <w:rPr>
          <w:sz w:val="24"/>
          <w:szCs w:val="24"/>
        </w:rPr>
        <w:t>4</w:t>
      </w:r>
      <w:r>
        <w:rPr>
          <w:sz w:val="24"/>
          <w:szCs w:val="24"/>
        </w:rPr>
        <w:t>) the opt-in program; (</w:t>
      </w:r>
      <w:r w:rsidR="00EB3CAB">
        <w:rPr>
          <w:sz w:val="24"/>
          <w:szCs w:val="24"/>
        </w:rPr>
        <w:t>5</w:t>
      </w:r>
      <w:r>
        <w:rPr>
          <w:sz w:val="24"/>
          <w:szCs w:val="24"/>
        </w:rPr>
        <w:t xml:space="preserve">) </w:t>
      </w:r>
      <w:proofErr w:type="spellStart"/>
      <w:r>
        <w:rPr>
          <w:sz w:val="24"/>
          <w:szCs w:val="24"/>
        </w:rPr>
        <w:t>NO</w:t>
      </w:r>
      <w:r w:rsidR="00562093">
        <w:rPr>
          <w:sz w:val="24"/>
          <w:szCs w:val="24"/>
          <w:vertAlign w:val="subscript"/>
        </w:rPr>
        <w:t>x</w:t>
      </w:r>
      <w:proofErr w:type="spellEnd"/>
      <w:r>
        <w:rPr>
          <w:sz w:val="24"/>
          <w:szCs w:val="24"/>
        </w:rPr>
        <w:t xml:space="preserve"> permitting</w:t>
      </w:r>
      <w:r w:rsidR="00590400">
        <w:rPr>
          <w:sz w:val="24"/>
          <w:szCs w:val="24"/>
        </w:rPr>
        <w:t>.</w:t>
      </w:r>
      <w:r w:rsidR="005A67EC">
        <w:rPr>
          <w:sz w:val="24"/>
          <w:szCs w:val="24"/>
        </w:rPr>
        <w:t xml:space="preserve"> </w:t>
      </w:r>
      <w:r>
        <w:rPr>
          <w:sz w:val="24"/>
          <w:szCs w:val="24"/>
        </w:rPr>
        <w:t xml:space="preserve">Burden estimates provided in this ICR are for the period from </w:t>
      </w:r>
      <w:r w:rsidR="00037255">
        <w:rPr>
          <w:sz w:val="24"/>
          <w:szCs w:val="24"/>
        </w:rPr>
        <w:t>2013</w:t>
      </w:r>
      <w:r>
        <w:rPr>
          <w:sz w:val="24"/>
          <w:szCs w:val="24"/>
        </w:rPr>
        <w:t xml:space="preserve"> to 201</w:t>
      </w:r>
      <w:r w:rsidR="00037255">
        <w:rPr>
          <w:sz w:val="24"/>
          <w:szCs w:val="24"/>
        </w:rPr>
        <w:t>5.</w:t>
      </w:r>
    </w:p>
    <w:p w:rsidR="009907D5" w:rsidRDefault="009907D5" w:rsidP="00562093">
      <w:pPr>
        <w:widowControl/>
        <w:numPr>
          <w:ilvl w:val="12"/>
          <w:numId w:val="0"/>
        </w:numPr>
        <w:rPr>
          <w:sz w:val="24"/>
          <w:szCs w:val="24"/>
        </w:rPr>
      </w:pPr>
      <w:r>
        <w:rPr>
          <w:sz w:val="24"/>
          <w:szCs w:val="24"/>
        </w:rPr>
        <w:lastRenderedPageBreak/>
        <w:tab/>
      </w:r>
    </w:p>
    <w:p w:rsidR="00562093" w:rsidRDefault="00317729" w:rsidP="00317729">
      <w:pPr>
        <w:widowControl/>
        <w:numPr>
          <w:ilvl w:val="12"/>
          <w:numId w:val="0"/>
        </w:numPr>
        <w:ind w:left="720"/>
        <w:rPr>
          <w:sz w:val="24"/>
          <w:szCs w:val="24"/>
        </w:rPr>
      </w:pPr>
      <w:proofErr w:type="gramStart"/>
      <w:r>
        <w:rPr>
          <w:b/>
          <w:bCs/>
          <w:sz w:val="24"/>
          <w:szCs w:val="24"/>
        </w:rPr>
        <w:t xml:space="preserve">1.2.1  </w:t>
      </w:r>
      <w:r w:rsidR="009907D5">
        <w:rPr>
          <w:b/>
          <w:bCs/>
          <w:sz w:val="24"/>
          <w:szCs w:val="24"/>
        </w:rPr>
        <w:t>Allowance</w:t>
      </w:r>
      <w:proofErr w:type="gramEnd"/>
      <w:r w:rsidR="009907D5">
        <w:rPr>
          <w:b/>
          <w:bCs/>
          <w:sz w:val="24"/>
          <w:szCs w:val="24"/>
        </w:rPr>
        <w:t xml:space="preserve"> Transfers</w:t>
      </w:r>
    </w:p>
    <w:p w:rsidR="00562093" w:rsidRDefault="00562093"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Participants in the allowance transfer system now have two options for submitting transfers</w:t>
      </w:r>
      <w:r w:rsidR="00562093">
        <w:rPr>
          <w:sz w:val="24"/>
          <w:szCs w:val="24"/>
        </w:rPr>
        <w:t xml:space="preserve">:  </w:t>
      </w:r>
      <w:r>
        <w:rPr>
          <w:sz w:val="24"/>
          <w:szCs w:val="24"/>
        </w:rPr>
        <w:t>to submit electronically using the internet to record their own allowance transfers, either by entering the data on screen or by submitting an Extensible Markup Language (XML) file; or complete a paper form and send it the Agency</w:t>
      </w:r>
      <w:r w:rsidR="005A67EC">
        <w:rPr>
          <w:sz w:val="24"/>
          <w:szCs w:val="24"/>
        </w:rPr>
        <w:t xml:space="preserve">. </w:t>
      </w:r>
      <w:r>
        <w:rPr>
          <w:sz w:val="24"/>
          <w:szCs w:val="24"/>
        </w:rPr>
        <w:t>Participants in the transfer system that are not affected sources under Title IV are also required to file a one time account information application using a paper form to establish an account in the EPA allowance tracking system</w:t>
      </w:r>
      <w:r w:rsidR="005A67EC">
        <w:rPr>
          <w:sz w:val="24"/>
          <w:szCs w:val="24"/>
        </w:rPr>
        <w:t xml:space="preserve">. </w:t>
      </w:r>
      <w:r>
        <w:rPr>
          <w:sz w:val="24"/>
          <w:szCs w:val="24"/>
        </w:rPr>
        <w:t>As part of the annual compliance determination process, designated representatives have the option of submitting an allowance deduction form to identify specific serial numbered allowances to be deducted for annual compliance</w:t>
      </w:r>
      <w:r w:rsidR="001A76DC">
        <w:rPr>
          <w:sz w:val="24"/>
          <w:szCs w:val="24"/>
        </w:rPr>
        <w:t>.</w:t>
      </w:r>
    </w:p>
    <w:p w:rsidR="00562093" w:rsidRDefault="00562093" w:rsidP="00562093">
      <w:pPr>
        <w:widowControl/>
        <w:numPr>
          <w:ilvl w:val="12"/>
          <w:numId w:val="0"/>
        </w:numPr>
        <w:rPr>
          <w:sz w:val="24"/>
          <w:szCs w:val="24"/>
        </w:rPr>
      </w:pPr>
    </w:p>
    <w:p w:rsidR="009907D5" w:rsidRDefault="00317729" w:rsidP="00590400">
      <w:pPr>
        <w:widowControl/>
        <w:numPr>
          <w:ilvl w:val="12"/>
          <w:numId w:val="0"/>
        </w:numPr>
        <w:ind w:left="720"/>
        <w:rPr>
          <w:b/>
          <w:bCs/>
          <w:sz w:val="24"/>
          <w:szCs w:val="24"/>
        </w:rPr>
      </w:pPr>
      <w:proofErr w:type="gramStart"/>
      <w:r>
        <w:rPr>
          <w:b/>
          <w:bCs/>
          <w:sz w:val="24"/>
          <w:szCs w:val="24"/>
        </w:rPr>
        <w:t>1.2.</w:t>
      </w:r>
      <w:r w:rsidR="00D16438">
        <w:rPr>
          <w:b/>
          <w:bCs/>
          <w:sz w:val="24"/>
          <w:szCs w:val="24"/>
        </w:rPr>
        <w:t>2</w:t>
      </w:r>
      <w:r>
        <w:rPr>
          <w:b/>
          <w:bCs/>
          <w:sz w:val="24"/>
          <w:szCs w:val="24"/>
        </w:rPr>
        <w:t xml:space="preserve">  </w:t>
      </w:r>
      <w:r w:rsidR="009907D5">
        <w:rPr>
          <w:b/>
          <w:bCs/>
          <w:sz w:val="24"/>
          <w:szCs w:val="24"/>
        </w:rPr>
        <w:t>Permits</w:t>
      </w:r>
      <w:proofErr w:type="gramEnd"/>
    </w:p>
    <w:p w:rsidR="00562093" w:rsidRDefault="00562093"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Permit applicants are required to submit an acid rain permit application for each affected source</w:t>
      </w:r>
      <w:r w:rsidR="005A67EC">
        <w:rPr>
          <w:sz w:val="24"/>
          <w:szCs w:val="24"/>
        </w:rPr>
        <w:t xml:space="preserve">. </w:t>
      </w:r>
      <w:r>
        <w:rPr>
          <w:sz w:val="24"/>
          <w:szCs w:val="24"/>
        </w:rPr>
        <w:t>The permit application must include, for each unit at the source, (1) general information on the unit, (2) a complete compliance plan for each unit, and (3) the Acid Rain Program standard requirements</w:t>
      </w:r>
      <w:r w:rsidR="00562093">
        <w:rPr>
          <w:sz w:val="24"/>
          <w:szCs w:val="24"/>
        </w:rPr>
        <w:t xml:space="preserve">.  </w:t>
      </w:r>
    </w:p>
    <w:p w:rsidR="009907D5" w:rsidRDefault="009907D5" w:rsidP="00562093">
      <w:pPr>
        <w:widowControl/>
        <w:numPr>
          <w:ilvl w:val="12"/>
          <w:numId w:val="0"/>
        </w:numPr>
        <w:rPr>
          <w:sz w:val="24"/>
          <w:szCs w:val="24"/>
        </w:rPr>
      </w:pPr>
    </w:p>
    <w:p w:rsidR="009907D5" w:rsidRDefault="00317729" w:rsidP="00317729">
      <w:pPr>
        <w:widowControl/>
        <w:numPr>
          <w:ilvl w:val="12"/>
          <w:numId w:val="0"/>
        </w:numPr>
        <w:ind w:left="720"/>
        <w:rPr>
          <w:b/>
          <w:bCs/>
          <w:sz w:val="24"/>
          <w:szCs w:val="24"/>
        </w:rPr>
      </w:pPr>
      <w:r>
        <w:rPr>
          <w:b/>
          <w:bCs/>
          <w:sz w:val="24"/>
          <w:szCs w:val="24"/>
        </w:rPr>
        <w:t>1.2.</w:t>
      </w:r>
      <w:r w:rsidR="00D16438">
        <w:rPr>
          <w:b/>
          <w:bCs/>
          <w:sz w:val="24"/>
          <w:szCs w:val="24"/>
        </w:rPr>
        <w:t xml:space="preserve">3 </w:t>
      </w:r>
      <w:r w:rsidR="009907D5">
        <w:rPr>
          <w:b/>
          <w:bCs/>
          <w:sz w:val="24"/>
          <w:szCs w:val="24"/>
        </w:rPr>
        <w:t>Emissions Monitoring</w:t>
      </w:r>
    </w:p>
    <w:p w:rsidR="00562093" w:rsidRDefault="00562093" w:rsidP="00562093">
      <w:pPr>
        <w:widowControl/>
        <w:numPr>
          <w:ilvl w:val="12"/>
          <w:numId w:val="0"/>
        </w:numPr>
        <w:rPr>
          <w:sz w:val="24"/>
          <w:szCs w:val="24"/>
        </w:rPr>
      </w:pPr>
    </w:p>
    <w:p w:rsidR="00D16438" w:rsidRDefault="000E1060" w:rsidP="000E1060">
      <w:pPr>
        <w:widowControl/>
        <w:rPr>
          <w:sz w:val="24"/>
          <w:szCs w:val="24"/>
        </w:rPr>
      </w:pPr>
      <w:r>
        <w:rPr>
          <w:sz w:val="24"/>
          <w:szCs w:val="24"/>
        </w:rPr>
        <w:tab/>
      </w:r>
      <w:r w:rsidR="009907D5">
        <w:rPr>
          <w:sz w:val="24"/>
          <w:szCs w:val="24"/>
        </w:rPr>
        <w:t xml:space="preserve">To meet the emissions monitoring record-keeping and reporting requirements, affected units are required to (1) submit a monitoring plan and certification of </w:t>
      </w:r>
      <w:r w:rsidR="005A67EC">
        <w:rPr>
          <w:sz w:val="24"/>
          <w:szCs w:val="24"/>
        </w:rPr>
        <w:t>monitors;</w:t>
      </w:r>
      <w:r w:rsidR="009907D5">
        <w:rPr>
          <w:sz w:val="24"/>
          <w:szCs w:val="24"/>
        </w:rPr>
        <w:t xml:space="preserve"> (2) record hourly pollutant and flow monitor data, and (3) submit electronic quarterly reports of their emissions data to EPA</w:t>
      </w:r>
      <w:r w:rsidR="005A67EC">
        <w:rPr>
          <w:sz w:val="24"/>
          <w:szCs w:val="24"/>
        </w:rPr>
        <w:t xml:space="preserve">. </w:t>
      </w:r>
      <w:r w:rsidR="009907D5">
        <w:rPr>
          <w:sz w:val="24"/>
          <w:szCs w:val="24"/>
        </w:rPr>
        <w:t xml:space="preserve">Operators of new electric generating units of 25 megawatts (MW) capacity or less may receive a </w:t>
      </w:r>
      <w:r>
        <w:rPr>
          <w:sz w:val="24"/>
          <w:szCs w:val="24"/>
        </w:rPr>
        <w:t>continuous emission monitoring systems (</w:t>
      </w:r>
      <w:r w:rsidR="009907D5">
        <w:rPr>
          <w:sz w:val="24"/>
          <w:szCs w:val="24"/>
        </w:rPr>
        <w:t>CEMS</w:t>
      </w:r>
      <w:r>
        <w:rPr>
          <w:sz w:val="24"/>
          <w:szCs w:val="24"/>
        </w:rPr>
        <w:t>)</w:t>
      </w:r>
      <w:r w:rsidR="009907D5">
        <w:rPr>
          <w:sz w:val="24"/>
          <w:szCs w:val="24"/>
        </w:rPr>
        <w:t xml:space="preserve"> exception if they certify their use of very-low-sulfur fuel.</w:t>
      </w:r>
    </w:p>
    <w:p w:rsidR="00D16438" w:rsidRDefault="00D16438" w:rsidP="000E1060">
      <w:pPr>
        <w:widowControl/>
        <w:rPr>
          <w:sz w:val="24"/>
          <w:szCs w:val="24"/>
        </w:rPr>
      </w:pPr>
    </w:p>
    <w:p w:rsidR="009907D5" w:rsidRDefault="00317729" w:rsidP="00317729">
      <w:pPr>
        <w:widowControl/>
        <w:numPr>
          <w:ilvl w:val="12"/>
          <w:numId w:val="0"/>
        </w:numPr>
        <w:ind w:left="720"/>
        <w:rPr>
          <w:sz w:val="24"/>
          <w:szCs w:val="24"/>
        </w:rPr>
      </w:pPr>
      <w:proofErr w:type="gramStart"/>
      <w:r>
        <w:rPr>
          <w:b/>
          <w:bCs/>
          <w:sz w:val="24"/>
          <w:szCs w:val="24"/>
        </w:rPr>
        <w:t>1.2.</w:t>
      </w:r>
      <w:r w:rsidR="00D16438">
        <w:rPr>
          <w:b/>
          <w:bCs/>
          <w:sz w:val="24"/>
          <w:szCs w:val="24"/>
        </w:rPr>
        <w:t xml:space="preserve">4  </w:t>
      </w:r>
      <w:r w:rsidR="009907D5">
        <w:rPr>
          <w:b/>
          <w:bCs/>
          <w:sz w:val="24"/>
          <w:szCs w:val="24"/>
        </w:rPr>
        <w:t>Submissions</w:t>
      </w:r>
      <w:proofErr w:type="gramEnd"/>
      <w:r w:rsidR="009907D5">
        <w:rPr>
          <w:b/>
          <w:bCs/>
          <w:sz w:val="24"/>
          <w:szCs w:val="24"/>
        </w:rPr>
        <w:t xml:space="preserve"> Purposes and Procedures</w:t>
      </w:r>
    </w:p>
    <w:p w:rsidR="00562093" w:rsidRDefault="00562093"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Allowance transfer notifications may be submitted to EPA electronically or on paper</w:t>
      </w:r>
      <w:r w:rsidR="005A67EC">
        <w:rPr>
          <w:sz w:val="24"/>
          <w:szCs w:val="24"/>
        </w:rPr>
        <w:t xml:space="preserve">. </w:t>
      </w:r>
      <w:r>
        <w:rPr>
          <w:sz w:val="24"/>
          <w:szCs w:val="24"/>
        </w:rPr>
        <w:t>Emissions reports must be submitted electronically</w:t>
      </w:r>
      <w:r w:rsidR="005A67EC">
        <w:rPr>
          <w:sz w:val="24"/>
          <w:szCs w:val="24"/>
        </w:rPr>
        <w:t xml:space="preserve">. </w:t>
      </w:r>
      <w:r>
        <w:rPr>
          <w:sz w:val="24"/>
          <w:szCs w:val="24"/>
        </w:rPr>
        <w:t>All Phase II permit applications must be submitted on paper.</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Acid rain permit applications are used to issue operating permits to affected sources under the Acid Rain Program</w:t>
      </w:r>
      <w:r w:rsidR="005A67EC">
        <w:rPr>
          <w:sz w:val="24"/>
          <w:szCs w:val="24"/>
        </w:rPr>
        <w:t xml:space="preserve">. </w:t>
      </w:r>
      <w:r>
        <w:rPr>
          <w:sz w:val="24"/>
          <w:szCs w:val="24"/>
        </w:rPr>
        <w:t>Because the permit applications and permits are public documents, they provide an opportunity for the affected public to examine activities undertaken by affected sources</w:t>
      </w:r>
      <w:r w:rsidR="005A67EC">
        <w:rPr>
          <w:sz w:val="24"/>
          <w:szCs w:val="24"/>
        </w:rPr>
        <w:t xml:space="preserve">. </w:t>
      </w:r>
      <w:r>
        <w:rPr>
          <w:sz w:val="24"/>
          <w:szCs w:val="24"/>
        </w:rPr>
        <w:t>The designated representative certification, which designates a responsible official through whom the owners and operators of each affected source and each affected unit can trade allowances and obtain and maintain permits, serves to remove EPA from involvement in disputes between owners and operators of affected units</w:t>
      </w:r>
      <w:r w:rsidR="00562093">
        <w:rPr>
          <w:sz w:val="24"/>
          <w:szCs w:val="24"/>
        </w:rPr>
        <w:t xml:space="preserve">.  </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Monitoring plan submissions are used by EPA to verify that the emissions monitoring system at a unit meets the requirements set forth in Title IV of the Act and in the implementing regulations</w:t>
      </w:r>
      <w:r w:rsidR="005A67EC">
        <w:rPr>
          <w:sz w:val="24"/>
          <w:szCs w:val="24"/>
        </w:rPr>
        <w:t xml:space="preserve">. </w:t>
      </w:r>
      <w:r>
        <w:rPr>
          <w:sz w:val="24"/>
          <w:szCs w:val="24"/>
        </w:rPr>
        <w:t xml:space="preserve">Results of </w:t>
      </w:r>
      <w:r>
        <w:rPr>
          <w:sz w:val="24"/>
          <w:szCs w:val="24"/>
        </w:rPr>
        <w:lastRenderedPageBreak/>
        <w:t>continuous emission monitoring system performance tests allow EPA to certify that monitors perform well enough to produce accurate emissions data</w:t>
      </w:r>
      <w:r w:rsidR="005A67EC">
        <w:rPr>
          <w:sz w:val="24"/>
          <w:szCs w:val="24"/>
        </w:rPr>
        <w:t xml:space="preserve">. </w:t>
      </w:r>
      <w:r>
        <w:rPr>
          <w:sz w:val="24"/>
          <w:szCs w:val="24"/>
        </w:rPr>
        <w:t xml:space="preserve">Emissions data </w:t>
      </w:r>
      <w:r w:rsidR="001A76DC">
        <w:rPr>
          <w:sz w:val="24"/>
          <w:szCs w:val="24"/>
        </w:rPr>
        <w:t xml:space="preserve">are </w:t>
      </w:r>
      <w:r>
        <w:rPr>
          <w:sz w:val="24"/>
          <w:szCs w:val="24"/>
        </w:rPr>
        <w:t>used to monitor compliance with emissions requirements under Title IV and to provide a basis for analyzing progress in meeting air quality objectives</w:t>
      </w:r>
      <w:r w:rsidR="005A67EC">
        <w:rPr>
          <w:sz w:val="24"/>
          <w:szCs w:val="24"/>
        </w:rPr>
        <w:t xml:space="preserve">. </w:t>
      </w:r>
      <w:r>
        <w:rPr>
          <w:sz w:val="24"/>
          <w:szCs w:val="24"/>
        </w:rPr>
        <w:t>Allowance tracking information, emissions data, and the contents of permit applications all provide information for the allowance market and the general public</w:t>
      </w:r>
      <w:r w:rsidR="00562093">
        <w:rPr>
          <w:sz w:val="24"/>
          <w:szCs w:val="24"/>
        </w:rPr>
        <w:t xml:space="preserve">.  </w:t>
      </w:r>
    </w:p>
    <w:p w:rsidR="009907D5" w:rsidRDefault="009907D5" w:rsidP="00562093">
      <w:pPr>
        <w:widowControl/>
        <w:numPr>
          <w:ilvl w:val="12"/>
          <w:numId w:val="0"/>
        </w:numPr>
        <w:rPr>
          <w:sz w:val="24"/>
          <w:szCs w:val="24"/>
        </w:rPr>
      </w:pPr>
    </w:p>
    <w:p w:rsidR="009907D5" w:rsidRDefault="00317729" w:rsidP="00317729">
      <w:pPr>
        <w:widowControl/>
        <w:numPr>
          <w:ilvl w:val="12"/>
          <w:numId w:val="0"/>
        </w:numPr>
        <w:ind w:left="720"/>
        <w:rPr>
          <w:sz w:val="24"/>
          <w:szCs w:val="24"/>
        </w:rPr>
      </w:pPr>
      <w:proofErr w:type="gramStart"/>
      <w:r>
        <w:rPr>
          <w:b/>
          <w:bCs/>
          <w:sz w:val="24"/>
          <w:szCs w:val="24"/>
        </w:rPr>
        <w:t>1.2.</w:t>
      </w:r>
      <w:r w:rsidR="00D16438">
        <w:rPr>
          <w:b/>
          <w:bCs/>
          <w:sz w:val="24"/>
          <w:szCs w:val="24"/>
        </w:rPr>
        <w:t xml:space="preserve">5  </w:t>
      </w:r>
      <w:r w:rsidR="009907D5">
        <w:rPr>
          <w:b/>
          <w:bCs/>
          <w:sz w:val="24"/>
          <w:szCs w:val="24"/>
        </w:rPr>
        <w:t>Opt</w:t>
      </w:r>
      <w:proofErr w:type="gramEnd"/>
      <w:r w:rsidR="009907D5">
        <w:rPr>
          <w:b/>
          <w:bCs/>
          <w:sz w:val="24"/>
          <w:szCs w:val="24"/>
        </w:rPr>
        <w:t>-in Program</w:t>
      </w:r>
    </w:p>
    <w:p w:rsidR="00562093" w:rsidRDefault="00562093"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This ICR also addresses the paperwork burden for small utility units and industrial boilers that opt-in</w:t>
      </w:r>
      <w:r w:rsidR="005A67EC">
        <w:rPr>
          <w:sz w:val="24"/>
          <w:szCs w:val="24"/>
        </w:rPr>
        <w:t xml:space="preserve">. </w:t>
      </w:r>
      <w:r>
        <w:rPr>
          <w:sz w:val="24"/>
          <w:szCs w:val="24"/>
        </w:rPr>
        <w:t xml:space="preserve">The Agency has identified </w:t>
      </w:r>
      <w:r w:rsidR="00AF74C8">
        <w:rPr>
          <w:sz w:val="24"/>
          <w:szCs w:val="24"/>
        </w:rPr>
        <w:t xml:space="preserve">four </w:t>
      </w:r>
      <w:r>
        <w:rPr>
          <w:sz w:val="24"/>
          <w:szCs w:val="24"/>
        </w:rPr>
        <w:t>burden areas associated with a source</w:t>
      </w:r>
      <w:r w:rsidR="00A90381">
        <w:rPr>
          <w:sz w:val="24"/>
          <w:szCs w:val="24"/>
        </w:rPr>
        <w:t>'</w:t>
      </w:r>
      <w:r>
        <w:rPr>
          <w:sz w:val="24"/>
          <w:szCs w:val="24"/>
        </w:rPr>
        <w:t>s opting in to the allowance allocation and trading program</w:t>
      </w:r>
      <w:r w:rsidR="005A67EC">
        <w:rPr>
          <w:sz w:val="24"/>
          <w:szCs w:val="24"/>
        </w:rPr>
        <w:t xml:space="preserve">. </w:t>
      </w:r>
      <w:r>
        <w:rPr>
          <w:sz w:val="24"/>
          <w:szCs w:val="24"/>
        </w:rPr>
        <w:t>These areas are (1) completing the permit application, (2) recording and reporting emissions data, (3) compliance reporting, and (4) withdrawing from the program</w:t>
      </w:r>
      <w:r w:rsidR="005A67EC">
        <w:rPr>
          <w:sz w:val="24"/>
          <w:szCs w:val="24"/>
        </w:rPr>
        <w:t xml:space="preserve">. </w:t>
      </w:r>
      <w:r>
        <w:rPr>
          <w:sz w:val="24"/>
          <w:szCs w:val="24"/>
        </w:rPr>
        <w:t>Estimates for the opt-in program detail the burden for both operating and shut-down opt-ins.</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The Opt-in program requires respondents to submit an acid rain permit application</w:t>
      </w:r>
      <w:r w:rsidR="005A67EC">
        <w:rPr>
          <w:sz w:val="24"/>
          <w:szCs w:val="24"/>
        </w:rPr>
        <w:t xml:space="preserve">. </w:t>
      </w:r>
      <w:r>
        <w:rPr>
          <w:sz w:val="24"/>
          <w:szCs w:val="24"/>
        </w:rPr>
        <w:t>For all respondents, the application must provide (1) general information about the source, (2) specific data about the source</w:t>
      </w:r>
      <w:r w:rsidR="00A90381">
        <w:rPr>
          <w:sz w:val="24"/>
          <w:szCs w:val="24"/>
        </w:rPr>
        <w:t>'</w:t>
      </w:r>
      <w:r>
        <w:rPr>
          <w:sz w:val="24"/>
          <w:szCs w:val="24"/>
        </w:rPr>
        <w:t>s fuel consumption and operating data for 1985, 1986, 1987, and (3) data on the source</w:t>
      </w:r>
      <w:r w:rsidR="00A90381">
        <w:rPr>
          <w:sz w:val="24"/>
          <w:szCs w:val="24"/>
        </w:rPr>
        <w:t>'</w:t>
      </w:r>
      <w:r>
        <w:rPr>
          <w:sz w:val="24"/>
          <w:szCs w:val="24"/>
        </w:rPr>
        <w:t>s actual and allowable emission rates for 1985, as well as the current allowable emission rate</w:t>
      </w:r>
      <w:r w:rsidR="005A67EC">
        <w:rPr>
          <w:sz w:val="24"/>
          <w:szCs w:val="24"/>
        </w:rPr>
        <w:t xml:space="preserve">. </w:t>
      </w:r>
      <w:r>
        <w:rPr>
          <w:sz w:val="24"/>
          <w:szCs w:val="24"/>
        </w:rPr>
        <w:t>The permit application and proposed thermal energy compliance plan for sources that opt in and shut down must include information describing the source</w:t>
      </w:r>
      <w:r w:rsidR="00A90381">
        <w:rPr>
          <w:sz w:val="24"/>
          <w:szCs w:val="24"/>
        </w:rPr>
        <w:t>'</w:t>
      </w:r>
      <w:r>
        <w:rPr>
          <w:sz w:val="24"/>
          <w:szCs w:val="24"/>
        </w:rPr>
        <w:t>s plans for the replacement of thermal energy.</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To meet emissions monitoring, record-keeping and reporting requirements, sources that opt-in and continue operating will be required to (1) submit a monitoring plan and certification of monitors, (2) record hourly pollutant and flow monitor data, and (3) submit quarterly reports of their emissions data to EPA</w:t>
      </w:r>
      <w:r w:rsidR="005A67EC">
        <w:rPr>
          <w:sz w:val="24"/>
          <w:szCs w:val="24"/>
        </w:rPr>
        <w:t xml:space="preserve">. </w:t>
      </w:r>
      <w:r>
        <w:rPr>
          <w:sz w:val="24"/>
          <w:szCs w:val="24"/>
        </w:rPr>
        <w:t>Sources that opt in and shut down will not have to perform tasks associated with emissions monitoring, reporting, and recording.</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Meanwhile, to meet requirements for reporting compliance, respondents must submit an annual compliance report in which they (1) report their utilization information, (2) report any replacement of thermal energy, and (3) report on allowances transferred as a result of the replacement of thermal energy</w:t>
      </w:r>
      <w:r w:rsidR="005A67EC">
        <w:rPr>
          <w:sz w:val="24"/>
          <w:szCs w:val="24"/>
        </w:rPr>
        <w:t xml:space="preserve">. </w:t>
      </w:r>
      <w:r>
        <w:rPr>
          <w:sz w:val="24"/>
          <w:szCs w:val="24"/>
        </w:rPr>
        <w:t>Finally, all sources that have opted in and later decide to withdraw are required to complete withdrawal notification.</w:t>
      </w:r>
    </w:p>
    <w:p w:rsidR="009907D5" w:rsidRDefault="009907D5" w:rsidP="00562093">
      <w:pPr>
        <w:widowControl/>
        <w:numPr>
          <w:ilvl w:val="12"/>
          <w:numId w:val="0"/>
        </w:numPr>
        <w:rPr>
          <w:sz w:val="24"/>
          <w:szCs w:val="24"/>
        </w:rPr>
      </w:pPr>
    </w:p>
    <w:p w:rsidR="009907D5" w:rsidRDefault="00317729" w:rsidP="00317729">
      <w:pPr>
        <w:widowControl/>
        <w:numPr>
          <w:ilvl w:val="12"/>
          <w:numId w:val="0"/>
        </w:numPr>
        <w:ind w:left="720"/>
        <w:rPr>
          <w:b/>
          <w:bCs/>
          <w:sz w:val="24"/>
          <w:szCs w:val="24"/>
        </w:rPr>
      </w:pPr>
      <w:proofErr w:type="gramStart"/>
      <w:r>
        <w:rPr>
          <w:b/>
          <w:bCs/>
          <w:sz w:val="24"/>
          <w:szCs w:val="24"/>
        </w:rPr>
        <w:t>1.2.</w:t>
      </w:r>
      <w:r w:rsidR="00EB3CAB">
        <w:rPr>
          <w:b/>
          <w:bCs/>
          <w:sz w:val="24"/>
          <w:szCs w:val="24"/>
        </w:rPr>
        <w:t>6</w:t>
      </w:r>
      <w:r>
        <w:rPr>
          <w:b/>
          <w:bCs/>
          <w:sz w:val="24"/>
          <w:szCs w:val="24"/>
        </w:rPr>
        <w:t xml:space="preserve">  </w:t>
      </w:r>
      <w:proofErr w:type="spellStart"/>
      <w:r w:rsidR="00562093">
        <w:rPr>
          <w:b/>
          <w:bCs/>
          <w:sz w:val="24"/>
          <w:szCs w:val="24"/>
        </w:rPr>
        <w:t>NO</w:t>
      </w:r>
      <w:r w:rsidR="00562093">
        <w:rPr>
          <w:b/>
          <w:bCs/>
          <w:sz w:val="24"/>
          <w:szCs w:val="24"/>
          <w:vertAlign w:val="subscript"/>
        </w:rPr>
        <w:t>x</w:t>
      </w:r>
      <w:proofErr w:type="spellEnd"/>
      <w:proofErr w:type="gramEnd"/>
      <w:r w:rsidR="00562093">
        <w:rPr>
          <w:b/>
          <w:bCs/>
          <w:sz w:val="24"/>
          <w:szCs w:val="24"/>
        </w:rPr>
        <w:t xml:space="preserve"> </w:t>
      </w:r>
      <w:r w:rsidR="009907D5">
        <w:rPr>
          <w:b/>
          <w:bCs/>
          <w:sz w:val="24"/>
          <w:szCs w:val="24"/>
        </w:rPr>
        <w:t>Permitting</w:t>
      </w:r>
    </w:p>
    <w:p w:rsidR="00562093" w:rsidRDefault="00562093"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 xml:space="preserve">An owner or operator of a unit subject to a </w:t>
      </w:r>
      <w:proofErr w:type="spellStart"/>
      <w:r>
        <w:rPr>
          <w:sz w:val="24"/>
          <w:szCs w:val="24"/>
        </w:rPr>
        <w:t>NO</w:t>
      </w:r>
      <w:r w:rsidR="00562093">
        <w:rPr>
          <w:sz w:val="24"/>
          <w:szCs w:val="24"/>
          <w:vertAlign w:val="subscript"/>
        </w:rPr>
        <w:t>x</w:t>
      </w:r>
      <w:proofErr w:type="spellEnd"/>
      <w:r>
        <w:rPr>
          <w:sz w:val="24"/>
          <w:szCs w:val="24"/>
        </w:rPr>
        <w:t xml:space="preserve"> emission limitation may meet the requirements through one of three compliance options:</w:t>
      </w:r>
    </w:p>
    <w:p w:rsidR="009907D5" w:rsidRDefault="009907D5" w:rsidP="00562093">
      <w:pPr>
        <w:widowControl/>
        <w:numPr>
          <w:ilvl w:val="12"/>
          <w:numId w:val="0"/>
        </w:numPr>
        <w:rPr>
          <w:sz w:val="24"/>
          <w:szCs w:val="24"/>
        </w:rPr>
      </w:pPr>
    </w:p>
    <w:p w:rsidR="009907D5" w:rsidRDefault="00317729" w:rsidP="00317729">
      <w:pPr>
        <w:pStyle w:val="Level1"/>
        <w:widowControl/>
        <w:tabs>
          <w:tab w:val="left" w:pos="720"/>
          <w:tab w:val="left" w:pos="1440"/>
        </w:tabs>
        <w:ind w:hanging="360"/>
        <w:jc w:val="left"/>
      </w:pPr>
      <w:r>
        <w:t>●</w:t>
      </w:r>
      <w:r>
        <w:tab/>
        <w:t>M</w:t>
      </w:r>
      <w:r w:rsidR="009907D5">
        <w:t>eeting the standard limit</w:t>
      </w:r>
      <w:r>
        <w:t>;</w:t>
      </w:r>
    </w:p>
    <w:p w:rsidR="009907D5" w:rsidRDefault="00317729" w:rsidP="00317729">
      <w:pPr>
        <w:pStyle w:val="Level1"/>
        <w:widowControl/>
        <w:tabs>
          <w:tab w:val="left" w:pos="720"/>
          <w:tab w:val="left" w:pos="1440"/>
        </w:tabs>
        <w:ind w:hanging="360"/>
        <w:jc w:val="left"/>
      </w:pPr>
      <w:r>
        <w:t>●</w:t>
      </w:r>
      <w:r>
        <w:tab/>
        <w:t>O</w:t>
      </w:r>
      <w:r w:rsidR="009907D5">
        <w:t>btaining approval for an emissions averaging plan</w:t>
      </w:r>
      <w:r>
        <w:t>; or</w:t>
      </w:r>
    </w:p>
    <w:p w:rsidR="009907D5" w:rsidRDefault="00317729" w:rsidP="00317729">
      <w:pPr>
        <w:pStyle w:val="Level1"/>
        <w:widowControl/>
        <w:tabs>
          <w:tab w:val="left" w:pos="720"/>
          <w:tab w:val="left" w:pos="1440"/>
        </w:tabs>
        <w:ind w:hanging="360"/>
        <w:jc w:val="left"/>
      </w:pPr>
      <w:r>
        <w:t>●</w:t>
      </w:r>
      <w:r>
        <w:tab/>
      </w:r>
      <w:proofErr w:type="gramStart"/>
      <w:r>
        <w:t>O</w:t>
      </w:r>
      <w:r w:rsidR="009907D5">
        <w:t>btaining</w:t>
      </w:r>
      <w:proofErr w:type="gramEnd"/>
      <w:r w:rsidR="009907D5">
        <w:t xml:space="preserve"> an alterna</w:t>
      </w:r>
      <w:r>
        <w:t>tive emission limitation (AEL).</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lastRenderedPageBreak/>
        <w:tab/>
        <w:t xml:space="preserve">Two or more units may average their </w:t>
      </w:r>
      <w:proofErr w:type="spellStart"/>
      <w:r>
        <w:rPr>
          <w:sz w:val="24"/>
          <w:szCs w:val="24"/>
        </w:rPr>
        <w:t>NO</w:t>
      </w:r>
      <w:r w:rsidR="00562093">
        <w:rPr>
          <w:sz w:val="24"/>
          <w:szCs w:val="24"/>
          <w:vertAlign w:val="subscript"/>
        </w:rPr>
        <w:t>x</w:t>
      </w:r>
      <w:proofErr w:type="spellEnd"/>
      <w:r>
        <w:rPr>
          <w:sz w:val="24"/>
          <w:szCs w:val="24"/>
        </w:rPr>
        <w:t xml:space="preserve"> emissions, as provided for by Title IV</w:t>
      </w:r>
      <w:r w:rsidR="005A67EC">
        <w:rPr>
          <w:sz w:val="24"/>
          <w:szCs w:val="24"/>
        </w:rPr>
        <w:t xml:space="preserve">. </w:t>
      </w:r>
      <w:r>
        <w:rPr>
          <w:sz w:val="24"/>
          <w:szCs w:val="24"/>
        </w:rPr>
        <w:t xml:space="preserve">In an approved </w:t>
      </w:r>
      <w:proofErr w:type="spellStart"/>
      <w:r>
        <w:rPr>
          <w:sz w:val="24"/>
          <w:szCs w:val="24"/>
        </w:rPr>
        <w:t>NO</w:t>
      </w:r>
      <w:r w:rsidR="00562093">
        <w:rPr>
          <w:sz w:val="24"/>
          <w:szCs w:val="24"/>
          <w:vertAlign w:val="subscript"/>
        </w:rPr>
        <w:t>x</w:t>
      </w:r>
      <w:proofErr w:type="spellEnd"/>
      <w:r>
        <w:rPr>
          <w:sz w:val="24"/>
          <w:szCs w:val="24"/>
        </w:rPr>
        <w:t xml:space="preserve"> emissions averaging group, the </w:t>
      </w:r>
      <w:proofErr w:type="spellStart"/>
      <w:r>
        <w:rPr>
          <w:sz w:val="24"/>
          <w:szCs w:val="24"/>
        </w:rPr>
        <w:t>NO</w:t>
      </w:r>
      <w:r w:rsidR="00562093">
        <w:rPr>
          <w:sz w:val="24"/>
          <w:szCs w:val="24"/>
          <w:vertAlign w:val="subscript"/>
        </w:rPr>
        <w:t>x</w:t>
      </w:r>
      <w:proofErr w:type="spellEnd"/>
      <w:r>
        <w:rPr>
          <w:sz w:val="24"/>
          <w:szCs w:val="24"/>
        </w:rPr>
        <w:t xml:space="preserve"> emission rates of some of the individual units may exceed their respective emission limitations, as long as the Btu-weighted average </w:t>
      </w:r>
      <w:proofErr w:type="spellStart"/>
      <w:r>
        <w:rPr>
          <w:sz w:val="24"/>
          <w:szCs w:val="24"/>
        </w:rPr>
        <w:t>NO</w:t>
      </w:r>
      <w:r w:rsidR="00562093">
        <w:rPr>
          <w:sz w:val="24"/>
          <w:szCs w:val="24"/>
          <w:vertAlign w:val="subscript"/>
        </w:rPr>
        <w:t>x</w:t>
      </w:r>
      <w:proofErr w:type="spellEnd"/>
      <w:r>
        <w:rPr>
          <w:sz w:val="24"/>
          <w:szCs w:val="24"/>
        </w:rPr>
        <w:t xml:space="preserve"> emission rate for the entire group is less than or equal to the weighted average of the emission limitations for the individual units</w:t>
      </w:r>
      <w:r w:rsidR="005A67EC">
        <w:rPr>
          <w:sz w:val="24"/>
          <w:szCs w:val="24"/>
        </w:rPr>
        <w:t xml:space="preserve">. </w:t>
      </w:r>
      <w:r>
        <w:rPr>
          <w:sz w:val="24"/>
          <w:szCs w:val="24"/>
        </w:rPr>
        <w:t xml:space="preserve">The ability to average emissions allows utilities to meet the </w:t>
      </w:r>
      <w:proofErr w:type="spellStart"/>
      <w:r>
        <w:rPr>
          <w:sz w:val="24"/>
          <w:szCs w:val="24"/>
        </w:rPr>
        <w:t>NO</w:t>
      </w:r>
      <w:r w:rsidR="00562093">
        <w:rPr>
          <w:sz w:val="24"/>
          <w:szCs w:val="24"/>
          <w:vertAlign w:val="subscript"/>
        </w:rPr>
        <w:t>x</w:t>
      </w:r>
      <w:proofErr w:type="spellEnd"/>
      <w:r>
        <w:rPr>
          <w:sz w:val="24"/>
          <w:szCs w:val="24"/>
        </w:rPr>
        <w:t xml:space="preserve"> requirements at lower cost.</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 xml:space="preserve">Title IV also provides that an owner or operator of an affected unit may petition EPA for a higher, alternative emission limitation (AEL) if the unit cannot meet the emission limitations even after a retrofit with low </w:t>
      </w:r>
      <w:proofErr w:type="spellStart"/>
      <w:r>
        <w:rPr>
          <w:sz w:val="24"/>
          <w:szCs w:val="24"/>
        </w:rPr>
        <w:t>NO</w:t>
      </w:r>
      <w:r w:rsidR="00562093">
        <w:rPr>
          <w:sz w:val="24"/>
          <w:szCs w:val="24"/>
          <w:vertAlign w:val="subscript"/>
        </w:rPr>
        <w:t>x</w:t>
      </w:r>
      <w:proofErr w:type="spellEnd"/>
      <w:r>
        <w:rPr>
          <w:sz w:val="24"/>
          <w:szCs w:val="24"/>
        </w:rPr>
        <w:t xml:space="preserve"> burner technology</w:t>
      </w:r>
      <w:r w:rsidR="005A67EC">
        <w:rPr>
          <w:sz w:val="24"/>
          <w:szCs w:val="24"/>
        </w:rPr>
        <w:t xml:space="preserve">. </w:t>
      </w:r>
      <w:r>
        <w:rPr>
          <w:sz w:val="24"/>
          <w:szCs w:val="24"/>
        </w:rPr>
        <w:t>The opportunity to obtain AELs will allow for adjustment of emission limitations for specific units where the technologies on which the limitations were based do not provide the expected level of emission reductions in practice.</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Meeting the standard limit is the least burdensome administratively for sources</w:t>
      </w:r>
      <w:r w:rsidR="005A67EC">
        <w:rPr>
          <w:sz w:val="24"/>
          <w:szCs w:val="24"/>
        </w:rPr>
        <w:t xml:space="preserve">. </w:t>
      </w:r>
      <w:r>
        <w:rPr>
          <w:sz w:val="24"/>
          <w:szCs w:val="24"/>
        </w:rPr>
        <w:t xml:space="preserve">All owners and operators of affected units are eligible to comply with the </w:t>
      </w:r>
      <w:proofErr w:type="spellStart"/>
      <w:r>
        <w:rPr>
          <w:sz w:val="24"/>
          <w:szCs w:val="24"/>
        </w:rPr>
        <w:t>NO</w:t>
      </w:r>
      <w:r w:rsidR="00562093">
        <w:rPr>
          <w:sz w:val="24"/>
          <w:szCs w:val="24"/>
          <w:vertAlign w:val="subscript"/>
        </w:rPr>
        <w:t>x</w:t>
      </w:r>
      <w:proofErr w:type="spellEnd"/>
      <w:r>
        <w:rPr>
          <w:sz w:val="24"/>
          <w:szCs w:val="24"/>
        </w:rPr>
        <w:t xml:space="preserve"> regulations using this option</w:t>
      </w:r>
      <w:r w:rsidR="005A67EC">
        <w:rPr>
          <w:sz w:val="24"/>
          <w:szCs w:val="24"/>
        </w:rPr>
        <w:t xml:space="preserve">. </w:t>
      </w:r>
      <w:r>
        <w:rPr>
          <w:sz w:val="24"/>
          <w:szCs w:val="24"/>
        </w:rPr>
        <w:t>The submission of an application for emissions averaging, or an AEL, is optional and voluntary.</w:t>
      </w:r>
    </w:p>
    <w:p w:rsidR="00562093" w:rsidRDefault="00562093"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For units that comply by meeting the standard limits applicants are required only to identify the unit</w:t>
      </w:r>
      <w:r w:rsidR="005A67EC">
        <w:rPr>
          <w:sz w:val="24"/>
          <w:szCs w:val="24"/>
        </w:rPr>
        <w:t xml:space="preserve">. </w:t>
      </w:r>
      <w:r>
        <w:rPr>
          <w:sz w:val="24"/>
          <w:szCs w:val="24"/>
        </w:rPr>
        <w:t>Applicants seeking approval for emissions averaging are required to identify the units in the group, assign alternative contemporaneous emissions limitations to each unit, and demonstrate that the Btu-weighted average of these alternative limits is less than or equal to the Btu-weighted average of the limits that would apply in the absence of averaging.</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All applicants for AELs are required to demonstrate that they are eligible for an AEL, by providing (1) evidence that the appropriate emissions control equipment has been installed, and (2) monitoring data showing that the unit cannot meet the applicable emission rate.</w:t>
      </w:r>
    </w:p>
    <w:p w:rsidR="009907D5" w:rsidRDefault="009907D5" w:rsidP="00562093">
      <w:pPr>
        <w:widowControl/>
        <w:numPr>
          <w:ilvl w:val="12"/>
          <w:numId w:val="0"/>
        </w:numPr>
        <w:rPr>
          <w:sz w:val="24"/>
          <w:szCs w:val="24"/>
        </w:rPr>
      </w:pPr>
      <w:r>
        <w:rPr>
          <w:sz w:val="24"/>
          <w:szCs w:val="24"/>
        </w:rPr>
        <w:t xml:space="preserve"> </w:t>
      </w:r>
    </w:p>
    <w:p w:rsidR="009907D5" w:rsidRDefault="009907D5" w:rsidP="00562093">
      <w:pPr>
        <w:widowControl/>
        <w:numPr>
          <w:ilvl w:val="12"/>
          <w:numId w:val="0"/>
        </w:numPr>
        <w:rPr>
          <w:sz w:val="24"/>
          <w:szCs w:val="24"/>
        </w:rPr>
      </w:pPr>
      <w:r>
        <w:rPr>
          <w:sz w:val="24"/>
          <w:szCs w:val="24"/>
        </w:rPr>
        <w:tab/>
        <w:t xml:space="preserve">The respondent reporting burden for this collection of information is estimated to be </w:t>
      </w:r>
      <w:r w:rsidR="00300B43">
        <w:rPr>
          <w:sz w:val="24"/>
          <w:szCs w:val="24"/>
        </w:rPr>
        <w:t>2,123,</w:t>
      </w:r>
      <w:r w:rsidR="009F2D6D">
        <w:rPr>
          <w:sz w:val="24"/>
          <w:szCs w:val="24"/>
        </w:rPr>
        <w:t>4</w:t>
      </w:r>
      <w:r w:rsidR="00300B43">
        <w:rPr>
          <w:sz w:val="24"/>
          <w:szCs w:val="24"/>
        </w:rPr>
        <w:t>05</w:t>
      </w:r>
      <w:r w:rsidR="009B4831" w:rsidRPr="009B4831">
        <w:rPr>
          <w:sz w:val="24"/>
          <w:szCs w:val="24"/>
        </w:rPr>
        <w:t xml:space="preserve"> </w:t>
      </w:r>
      <w:r>
        <w:rPr>
          <w:sz w:val="24"/>
          <w:szCs w:val="24"/>
        </w:rPr>
        <w:t xml:space="preserve">hours each year for the years </w:t>
      </w:r>
      <w:r w:rsidR="00037255">
        <w:rPr>
          <w:sz w:val="24"/>
          <w:szCs w:val="24"/>
        </w:rPr>
        <w:t xml:space="preserve">2013 </w:t>
      </w:r>
      <w:r>
        <w:rPr>
          <w:sz w:val="24"/>
          <w:szCs w:val="24"/>
        </w:rPr>
        <w:t>through 201</w:t>
      </w:r>
      <w:r w:rsidR="00037255">
        <w:rPr>
          <w:sz w:val="24"/>
          <w:szCs w:val="24"/>
        </w:rPr>
        <w:t>5</w:t>
      </w:r>
      <w:r w:rsidR="005A67EC">
        <w:rPr>
          <w:sz w:val="24"/>
          <w:szCs w:val="24"/>
        </w:rPr>
        <w:t xml:space="preserve">. </w:t>
      </w:r>
      <w:r>
        <w:rPr>
          <w:sz w:val="24"/>
          <w:szCs w:val="24"/>
        </w:rPr>
        <w:t xml:space="preserve">The burden to EPA is estimated </w:t>
      </w:r>
      <w:r w:rsidRPr="009B4831">
        <w:rPr>
          <w:sz w:val="24"/>
          <w:szCs w:val="24"/>
        </w:rPr>
        <w:t xml:space="preserve">to </w:t>
      </w:r>
      <w:r w:rsidRPr="009030B7">
        <w:rPr>
          <w:sz w:val="24"/>
          <w:szCs w:val="24"/>
        </w:rPr>
        <w:t xml:space="preserve">be </w:t>
      </w:r>
      <w:r w:rsidR="00300B43">
        <w:rPr>
          <w:sz w:val="24"/>
          <w:szCs w:val="24"/>
        </w:rPr>
        <w:t>18,</w:t>
      </w:r>
      <w:r w:rsidR="009F2D6D">
        <w:rPr>
          <w:sz w:val="24"/>
          <w:szCs w:val="24"/>
        </w:rPr>
        <w:t>303</w:t>
      </w:r>
      <w:r w:rsidR="001A76DC">
        <w:rPr>
          <w:sz w:val="24"/>
          <w:szCs w:val="24"/>
        </w:rPr>
        <w:t xml:space="preserve"> </w:t>
      </w:r>
      <w:r>
        <w:rPr>
          <w:sz w:val="24"/>
          <w:szCs w:val="24"/>
        </w:rPr>
        <w:t>hours in each year for the years 201</w:t>
      </w:r>
      <w:r w:rsidR="00037255">
        <w:rPr>
          <w:sz w:val="24"/>
          <w:szCs w:val="24"/>
        </w:rPr>
        <w:t>3</w:t>
      </w:r>
      <w:r>
        <w:rPr>
          <w:sz w:val="24"/>
          <w:szCs w:val="24"/>
        </w:rPr>
        <w:t xml:space="preserve"> through 201</w:t>
      </w:r>
      <w:r w:rsidR="00037255">
        <w:rPr>
          <w:sz w:val="24"/>
          <w:szCs w:val="24"/>
        </w:rPr>
        <w:t>5</w:t>
      </w:r>
      <w:r>
        <w:rPr>
          <w:sz w:val="24"/>
          <w:szCs w:val="24"/>
        </w:rPr>
        <w:t>.</w:t>
      </w:r>
    </w:p>
    <w:p w:rsidR="009907D5" w:rsidRDefault="009907D5" w:rsidP="00562093">
      <w:pPr>
        <w:widowControl/>
        <w:numPr>
          <w:ilvl w:val="12"/>
          <w:numId w:val="0"/>
        </w:numPr>
        <w:rPr>
          <w:sz w:val="24"/>
          <w:szCs w:val="24"/>
        </w:rPr>
      </w:pPr>
    </w:p>
    <w:p w:rsidR="009907D5" w:rsidRDefault="00F53D0F" w:rsidP="00562093">
      <w:pPr>
        <w:widowControl/>
        <w:numPr>
          <w:ilvl w:val="12"/>
          <w:numId w:val="0"/>
        </w:numPr>
        <w:rPr>
          <w:sz w:val="24"/>
          <w:szCs w:val="24"/>
        </w:rPr>
      </w:pPr>
      <w:r>
        <w:rPr>
          <w:b/>
          <w:bCs/>
          <w:sz w:val="24"/>
          <w:szCs w:val="24"/>
        </w:rPr>
        <w:t xml:space="preserve">2.  </w:t>
      </w:r>
      <w:r w:rsidR="009907D5">
        <w:rPr>
          <w:b/>
          <w:bCs/>
          <w:sz w:val="24"/>
          <w:szCs w:val="24"/>
        </w:rPr>
        <w:t>NEED FOR AND USE OF THE COLLECTION</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This section describes EPA</w:t>
      </w:r>
      <w:r w:rsidR="00A90381">
        <w:rPr>
          <w:sz w:val="24"/>
          <w:szCs w:val="24"/>
        </w:rPr>
        <w:t>'</w:t>
      </w:r>
      <w:r>
        <w:rPr>
          <w:sz w:val="24"/>
          <w:szCs w:val="24"/>
        </w:rPr>
        <w:t>s need for the information collections described above and the legal authority for conducting collections</w:t>
      </w:r>
      <w:r w:rsidR="005A67EC">
        <w:rPr>
          <w:sz w:val="24"/>
          <w:szCs w:val="24"/>
        </w:rPr>
        <w:t xml:space="preserve">. </w:t>
      </w:r>
      <w:r>
        <w:rPr>
          <w:sz w:val="24"/>
          <w:szCs w:val="24"/>
        </w:rPr>
        <w:t>The users of collected information are also described.</w:t>
      </w:r>
    </w:p>
    <w:p w:rsidR="009907D5" w:rsidRDefault="009907D5" w:rsidP="00562093">
      <w:pPr>
        <w:widowControl/>
        <w:numPr>
          <w:ilvl w:val="12"/>
          <w:numId w:val="0"/>
        </w:numPr>
        <w:rPr>
          <w:sz w:val="24"/>
          <w:szCs w:val="24"/>
        </w:rPr>
      </w:pPr>
    </w:p>
    <w:p w:rsidR="009907D5" w:rsidRDefault="009907D5" w:rsidP="00F53D0F">
      <w:pPr>
        <w:widowControl/>
        <w:numPr>
          <w:ilvl w:val="12"/>
          <w:numId w:val="0"/>
        </w:numPr>
        <w:ind w:left="360"/>
        <w:rPr>
          <w:sz w:val="24"/>
          <w:szCs w:val="24"/>
        </w:rPr>
      </w:pPr>
      <w:proofErr w:type="gramStart"/>
      <w:r>
        <w:rPr>
          <w:b/>
          <w:bCs/>
          <w:sz w:val="24"/>
          <w:szCs w:val="24"/>
        </w:rPr>
        <w:t>2.1</w:t>
      </w:r>
      <w:r w:rsidR="00F53D0F">
        <w:rPr>
          <w:b/>
          <w:bCs/>
          <w:sz w:val="24"/>
          <w:szCs w:val="24"/>
        </w:rPr>
        <w:t xml:space="preserve">  </w:t>
      </w:r>
      <w:r>
        <w:rPr>
          <w:b/>
          <w:bCs/>
          <w:sz w:val="24"/>
          <w:szCs w:val="24"/>
        </w:rPr>
        <w:t>Need</w:t>
      </w:r>
      <w:proofErr w:type="gramEnd"/>
      <w:r>
        <w:rPr>
          <w:b/>
          <w:bCs/>
          <w:sz w:val="24"/>
          <w:szCs w:val="24"/>
        </w:rPr>
        <w:t>/Authority for the Collection</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Section 403(b) of Title IV of the Clean Air Act Amendments of 1990 provides for the transfer of allowances among designated representatives of owners and operators of affected sources and any person who holds allowances</w:t>
      </w:r>
      <w:r w:rsidR="005A67EC">
        <w:rPr>
          <w:sz w:val="24"/>
          <w:szCs w:val="24"/>
        </w:rPr>
        <w:t xml:space="preserve">. </w:t>
      </w:r>
      <w:r>
        <w:rPr>
          <w:sz w:val="24"/>
          <w:szCs w:val="24"/>
        </w:rPr>
        <w:t>Transfers of allowances are not deemed effective until written certification of the transfer, signed by a responsible official of each party to the transfer, is received and recorded by EPA</w:t>
      </w:r>
      <w:r w:rsidR="005A67EC">
        <w:rPr>
          <w:sz w:val="24"/>
          <w:szCs w:val="24"/>
        </w:rPr>
        <w:t xml:space="preserve">. </w:t>
      </w:r>
      <w:r>
        <w:rPr>
          <w:sz w:val="24"/>
          <w:szCs w:val="24"/>
        </w:rPr>
        <w:t xml:space="preserve">Section 403(d) of </w:t>
      </w:r>
      <w:r>
        <w:rPr>
          <w:sz w:val="24"/>
          <w:szCs w:val="24"/>
        </w:rPr>
        <w:lastRenderedPageBreak/>
        <w:t>Title IV requires that EPA develop a system for issuing, recording, and tracking allowances (intended to help ensure an orderly and competitive allowance system).</w:t>
      </w:r>
    </w:p>
    <w:p w:rsidR="009907D5" w:rsidRDefault="009907D5" w:rsidP="00562093">
      <w:pPr>
        <w:widowControl/>
        <w:numPr>
          <w:ilvl w:val="12"/>
          <w:numId w:val="0"/>
        </w:numPr>
        <w:rPr>
          <w:sz w:val="24"/>
          <w:szCs w:val="24"/>
        </w:rPr>
      </w:pPr>
    </w:p>
    <w:p w:rsidR="009907D5" w:rsidRDefault="00F53D0F" w:rsidP="00F53D0F">
      <w:pPr>
        <w:widowControl/>
        <w:numPr>
          <w:ilvl w:val="12"/>
          <w:numId w:val="0"/>
        </w:numPr>
        <w:ind w:left="720"/>
        <w:rPr>
          <w:b/>
          <w:bCs/>
          <w:sz w:val="24"/>
          <w:szCs w:val="24"/>
        </w:rPr>
      </w:pPr>
      <w:proofErr w:type="gramStart"/>
      <w:r>
        <w:rPr>
          <w:b/>
          <w:bCs/>
          <w:sz w:val="24"/>
          <w:szCs w:val="24"/>
        </w:rPr>
        <w:t>2.1.</w:t>
      </w:r>
      <w:r w:rsidR="00D16438">
        <w:rPr>
          <w:b/>
          <w:bCs/>
          <w:sz w:val="24"/>
          <w:szCs w:val="24"/>
        </w:rPr>
        <w:t xml:space="preserve">1  </w:t>
      </w:r>
      <w:r w:rsidR="009907D5">
        <w:rPr>
          <w:b/>
          <w:bCs/>
          <w:sz w:val="24"/>
          <w:szCs w:val="24"/>
        </w:rPr>
        <w:t>Permits</w:t>
      </w:r>
      <w:proofErr w:type="gramEnd"/>
    </w:p>
    <w:p w:rsidR="00562093" w:rsidRDefault="00562093"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Section 408 of Title IV and Title V of the Clean Air Act Amendments of 1990 require that the designated representative of the owners and operators of each affected source under the Acid Rain Program obtain a permit</w:t>
      </w:r>
      <w:r w:rsidR="005A67EC">
        <w:rPr>
          <w:sz w:val="24"/>
          <w:szCs w:val="24"/>
        </w:rPr>
        <w:t xml:space="preserve">. </w:t>
      </w:r>
      <w:r>
        <w:rPr>
          <w:sz w:val="24"/>
          <w:szCs w:val="24"/>
        </w:rPr>
        <w:t>In Phase II, section 408 also specifies that the permitting authority, usually a State or local agency, issue the permits with a term of five years.</w:t>
      </w:r>
    </w:p>
    <w:p w:rsidR="009907D5" w:rsidRDefault="009907D5" w:rsidP="00562093">
      <w:pPr>
        <w:widowControl/>
        <w:numPr>
          <w:ilvl w:val="12"/>
          <w:numId w:val="0"/>
        </w:numPr>
        <w:rPr>
          <w:sz w:val="24"/>
          <w:szCs w:val="24"/>
        </w:rPr>
      </w:pPr>
    </w:p>
    <w:p w:rsidR="009907D5" w:rsidRDefault="00F53D0F" w:rsidP="00F53D0F">
      <w:pPr>
        <w:keepNext/>
        <w:widowControl/>
        <w:numPr>
          <w:ilvl w:val="12"/>
          <w:numId w:val="0"/>
        </w:numPr>
        <w:ind w:left="720"/>
        <w:rPr>
          <w:b/>
          <w:bCs/>
          <w:sz w:val="24"/>
          <w:szCs w:val="24"/>
        </w:rPr>
      </w:pPr>
      <w:proofErr w:type="gramStart"/>
      <w:r>
        <w:rPr>
          <w:b/>
          <w:bCs/>
          <w:sz w:val="24"/>
          <w:szCs w:val="24"/>
        </w:rPr>
        <w:t>2.1.</w:t>
      </w:r>
      <w:r w:rsidR="00D16438">
        <w:rPr>
          <w:b/>
          <w:bCs/>
          <w:sz w:val="24"/>
          <w:szCs w:val="24"/>
        </w:rPr>
        <w:t xml:space="preserve">2  </w:t>
      </w:r>
      <w:r w:rsidR="009907D5">
        <w:rPr>
          <w:b/>
          <w:bCs/>
          <w:sz w:val="24"/>
          <w:szCs w:val="24"/>
        </w:rPr>
        <w:t>Emissions</w:t>
      </w:r>
      <w:proofErr w:type="gramEnd"/>
      <w:r w:rsidR="009907D5">
        <w:rPr>
          <w:b/>
          <w:bCs/>
          <w:sz w:val="24"/>
          <w:szCs w:val="24"/>
        </w:rPr>
        <w:t xml:space="preserve"> Monitoring</w:t>
      </w:r>
    </w:p>
    <w:p w:rsidR="00562093" w:rsidRDefault="00562093"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Section 412(a) of Title IV requires the use of CEM systems (or alternative monitoring systems demonstrated to be equivalent) at each affected unit</w:t>
      </w:r>
      <w:r w:rsidR="00A90381">
        <w:rPr>
          <w:sz w:val="24"/>
          <w:szCs w:val="24"/>
        </w:rPr>
        <w:t>'</w:t>
      </w:r>
      <w:r>
        <w:rPr>
          <w:sz w:val="24"/>
          <w:szCs w:val="24"/>
        </w:rPr>
        <w:t>s source of emissions</w:t>
      </w:r>
      <w:r w:rsidR="00562093">
        <w:rPr>
          <w:sz w:val="24"/>
          <w:szCs w:val="24"/>
        </w:rPr>
        <w:t xml:space="preserve">. </w:t>
      </w:r>
      <w:r w:rsidR="008A7545">
        <w:rPr>
          <w:sz w:val="24"/>
          <w:szCs w:val="24"/>
        </w:rPr>
        <w:t>Section</w:t>
      </w:r>
      <w:r w:rsidR="00590400">
        <w:rPr>
          <w:sz w:val="24"/>
          <w:szCs w:val="24"/>
        </w:rPr>
        <w:t xml:space="preserve"> </w:t>
      </w:r>
      <w:r w:rsidR="008A7545">
        <w:rPr>
          <w:sz w:val="24"/>
          <w:szCs w:val="24"/>
        </w:rPr>
        <w:t>504(c) of Title V requires that each permit (which contains Title IV applicable requirements) set forth inspection, entry, monitoring, compliance certification, and reporting requirements to assure compliance with the permit terms and conditions</w:t>
      </w:r>
      <w:r w:rsidR="005A67EC">
        <w:rPr>
          <w:sz w:val="24"/>
          <w:szCs w:val="24"/>
        </w:rPr>
        <w:t xml:space="preserve">. </w:t>
      </w:r>
      <w:r>
        <w:rPr>
          <w:sz w:val="24"/>
          <w:szCs w:val="24"/>
        </w:rPr>
        <w:t>Section 504(a) of Title V requires that the results of any required monitoring be submitted to the permitting authority no less often than every six months</w:t>
      </w:r>
      <w:r w:rsidR="005A67EC">
        <w:rPr>
          <w:sz w:val="24"/>
          <w:szCs w:val="24"/>
        </w:rPr>
        <w:t xml:space="preserve">. </w:t>
      </w:r>
      <w:r>
        <w:rPr>
          <w:sz w:val="24"/>
          <w:szCs w:val="24"/>
        </w:rPr>
        <w:t>The information collection is consistent with satisfying these minimum statutory requirements</w:t>
      </w:r>
      <w:r w:rsidR="005A67EC">
        <w:rPr>
          <w:sz w:val="24"/>
          <w:szCs w:val="24"/>
        </w:rPr>
        <w:t xml:space="preserve">. </w:t>
      </w:r>
      <w:r>
        <w:rPr>
          <w:sz w:val="24"/>
          <w:szCs w:val="24"/>
        </w:rPr>
        <w:t>Note that reports are submitted quarterly rather than semiannually</w:t>
      </w:r>
      <w:r w:rsidR="005A67EC">
        <w:rPr>
          <w:sz w:val="24"/>
          <w:szCs w:val="24"/>
        </w:rPr>
        <w:t xml:space="preserve">. </w:t>
      </w:r>
      <w:r>
        <w:rPr>
          <w:sz w:val="24"/>
          <w:szCs w:val="24"/>
        </w:rPr>
        <w:t>The Acid Rain Advisory Committee recommended that EPA collect emissions data on a quarterly basis and this schedule has proven to allow for effective implementation of the program.</w:t>
      </w:r>
    </w:p>
    <w:p w:rsidR="0009340D" w:rsidRDefault="0009340D" w:rsidP="00562093">
      <w:pPr>
        <w:widowControl/>
        <w:numPr>
          <w:ilvl w:val="12"/>
          <w:numId w:val="0"/>
        </w:numPr>
        <w:rPr>
          <w:sz w:val="24"/>
          <w:szCs w:val="24"/>
        </w:rPr>
      </w:pPr>
    </w:p>
    <w:p w:rsidR="009907D5" w:rsidRDefault="009907D5" w:rsidP="00562093">
      <w:pPr>
        <w:widowControl/>
        <w:numPr>
          <w:ilvl w:val="12"/>
          <w:numId w:val="0"/>
        </w:numPr>
        <w:rPr>
          <w:sz w:val="24"/>
          <w:szCs w:val="24"/>
        </w:rPr>
      </w:pPr>
    </w:p>
    <w:p w:rsidR="009907D5" w:rsidRDefault="00B62949" w:rsidP="00B62949">
      <w:pPr>
        <w:widowControl/>
        <w:numPr>
          <w:ilvl w:val="12"/>
          <w:numId w:val="0"/>
        </w:numPr>
        <w:ind w:left="720"/>
        <w:rPr>
          <w:b/>
          <w:bCs/>
          <w:sz w:val="24"/>
          <w:szCs w:val="24"/>
        </w:rPr>
      </w:pPr>
      <w:proofErr w:type="gramStart"/>
      <w:r>
        <w:rPr>
          <w:b/>
          <w:bCs/>
          <w:sz w:val="24"/>
          <w:szCs w:val="24"/>
        </w:rPr>
        <w:t>2.1.</w:t>
      </w:r>
      <w:r w:rsidR="00D16438">
        <w:rPr>
          <w:b/>
          <w:bCs/>
          <w:sz w:val="24"/>
          <w:szCs w:val="24"/>
        </w:rPr>
        <w:t xml:space="preserve">3  </w:t>
      </w:r>
      <w:r w:rsidR="009907D5">
        <w:rPr>
          <w:b/>
          <w:bCs/>
          <w:sz w:val="24"/>
          <w:szCs w:val="24"/>
        </w:rPr>
        <w:t>Auctions</w:t>
      </w:r>
      <w:proofErr w:type="gramEnd"/>
    </w:p>
    <w:p w:rsidR="00562093" w:rsidRDefault="00562093"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Although participation in the annual auction is voluntary, the information to be collected is necessary to operate and administer the program and is required specifically under Title IV, Section 416(d)(2).</w:t>
      </w:r>
    </w:p>
    <w:p w:rsidR="009907D5" w:rsidRDefault="009907D5" w:rsidP="00562093">
      <w:pPr>
        <w:widowControl/>
        <w:numPr>
          <w:ilvl w:val="12"/>
          <w:numId w:val="0"/>
        </w:numPr>
        <w:rPr>
          <w:sz w:val="24"/>
          <w:szCs w:val="24"/>
        </w:rPr>
      </w:pPr>
    </w:p>
    <w:p w:rsidR="009907D5" w:rsidRDefault="00B62949" w:rsidP="00674ADB">
      <w:pPr>
        <w:keepNext/>
        <w:widowControl/>
        <w:numPr>
          <w:ilvl w:val="12"/>
          <w:numId w:val="0"/>
        </w:numPr>
        <w:ind w:left="720"/>
        <w:rPr>
          <w:b/>
          <w:bCs/>
          <w:sz w:val="24"/>
          <w:szCs w:val="24"/>
        </w:rPr>
      </w:pPr>
      <w:proofErr w:type="gramStart"/>
      <w:r>
        <w:rPr>
          <w:b/>
          <w:bCs/>
          <w:sz w:val="24"/>
          <w:szCs w:val="24"/>
        </w:rPr>
        <w:t>2.1.</w:t>
      </w:r>
      <w:r w:rsidR="00D16438">
        <w:rPr>
          <w:b/>
          <w:bCs/>
          <w:sz w:val="24"/>
          <w:szCs w:val="24"/>
        </w:rPr>
        <w:t xml:space="preserve">4  </w:t>
      </w:r>
      <w:r w:rsidR="009907D5">
        <w:rPr>
          <w:b/>
          <w:bCs/>
          <w:sz w:val="24"/>
          <w:szCs w:val="24"/>
        </w:rPr>
        <w:t>Opt</w:t>
      </w:r>
      <w:proofErr w:type="gramEnd"/>
      <w:r w:rsidR="009907D5">
        <w:rPr>
          <w:b/>
          <w:bCs/>
          <w:sz w:val="24"/>
          <w:szCs w:val="24"/>
        </w:rPr>
        <w:t>-in</w:t>
      </w:r>
    </w:p>
    <w:p w:rsidR="00562093" w:rsidRDefault="00562093" w:rsidP="00674ADB">
      <w:pPr>
        <w:keepNext/>
        <w:widowControl/>
        <w:numPr>
          <w:ilvl w:val="12"/>
          <w:numId w:val="0"/>
        </w:numPr>
        <w:rPr>
          <w:sz w:val="24"/>
          <w:szCs w:val="24"/>
        </w:rPr>
      </w:pPr>
    </w:p>
    <w:p w:rsidR="009907D5" w:rsidRDefault="009907D5" w:rsidP="00674ADB">
      <w:pPr>
        <w:keepNext/>
        <w:widowControl/>
        <w:numPr>
          <w:ilvl w:val="12"/>
          <w:numId w:val="0"/>
        </w:numPr>
        <w:rPr>
          <w:sz w:val="24"/>
          <w:szCs w:val="24"/>
        </w:rPr>
      </w:pPr>
      <w:r>
        <w:rPr>
          <w:sz w:val="24"/>
          <w:szCs w:val="24"/>
        </w:rPr>
        <w:tab/>
        <w:t>Section 410(a) of Title IV of the Clean Air Act Amendments of 1990 allows the owner or operator of any SO</w:t>
      </w:r>
      <w:r>
        <w:rPr>
          <w:sz w:val="24"/>
          <w:szCs w:val="24"/>
          <w:vertAlign w:val="subscript"/>
        </w:rPr>
        <w:t>2</w:t>
      </w:r>
      <w:r>
        <w:rPr>
          <w:sz w:val="24"/>
          <w:szCs w:val="24"/>
        </w:rPr>
        <w:t xml:space="preserve"> source that is not an affected unit under section 403(e), 404, or 405 to elect to designate that source as an affected source and receive allowances under Title IV</w:t>
      </w:r>
      <w:r w:rsidR="005A67EC">
        <w:rPr>
          <w:sz w:val="24"/>
          <w:szCs w:val="24"/>
        </w:rPr>
        <w:t xml:space="preserve">. </w:t>
      </w:r>
      <w:r>
        <w:rPr>
          <w:sz w:val="24"/>
          <w:szCs w:val="24"/>
        </w:rPr>
        <w:t>Section 410(a) requires sources opting in to submit a permit application and a compliance plan to the Administrator</w:t>
      </w:r>
      <w:r w:rsidR="00562093">
        <w:rPr>
          <w:sz w:val="24"/>
          <w:szCs w:val="24"/>
        </w:rPr>
        <w:t xml:space="preserve">.  </w:t>
      </w:r>
    </w:p>
    <w:p w:rsidR="009907D5" w:rsidRDefault="009907D5" w:rsidP="00674ADB">
      <w:pPr>
        <w:keepNext/>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Section 410(b) requires the Administrator to establish a baseline utilization rate for SO</w:t>
      </w:r>
      <w:r>
        <w:rPr>
          <w:sz w:val="24"/>
          <w:szCs w:val="24"/>
          <w:vertAlign w:val="subscript"/>
        </w:rPr>
        <w:t>2</w:t>
      </w:r>
      <w:r>
        <w:rPr>
          <w:sz w:val="24"/>
          <w:szCs w:val="24"/>
        </w:rPr>
        <w:t xml:space="preserve"> emissions for opt-in sources based on fuel consumption and operating data for calendar years 1985, 1986, 1987</w:t>
      </w:r>
      <w:r w:rsidR="005A67EC">
        <w:rPr>
          <w:sz w:val="24"/>
          <w:szCs w:val="24"/>
        </w:rPr>
        <w:t xml:space="preserve">. </w:t>
      </w:r>
      <w:r>
        <w:rPr>
          <w:sz w:val="24"/>
          <w:szCs w:val="24"/>
        </w:rPr>
        <w:t>Section 410(c) requires the Administrator to establish a limit for SO</w:t>
      </w:r>
      <w:r>
        <w:rPr>
          <w:sz w:val="24"/>
          <w:szCs w:val="24"/>
          <w:vertAlign w:val="subscript"/>
        </w:rPr>
        <w:t>2</w:t>
      </w:r>
      <w:r>
        <w:rPr>
          <w:sz w:val="24"/>
          <w:szCs w:val="24"/>
        </w:rPr>
        <w:t xml:space="preserve"> emissions based on the baseline utilization rate and the </w:t>
      </w:r>
      <w:proofErr w:type="gramStart"/>
      <w:r>
        <w:rPr>
          <w:sz w:val="24"/>
          <w:szCs w:val="24"/>
        </w:rPr>
        <w:t>lesser</w:t>
      </w:r>
      <w:proofErr w:type="gramEnd"/>
      <w:r>
        <w:rPr>
          <w:sz w:val="24"/>
          <w:szCs w:val="24"/>
        </w:rPr>
        <w:t xml:space="preserve"> of the source</w:t>
      </w:r>
      <w:r w:rsidR="00A90381">
        <w:rPr>
          <w:sz w:val="24"/>
          <w:szCs w:val="24"/>
        </w:rPr>
        <w:t>'</w:t>
      </w:r>
      <w:r>
        <w:rPr>
          <w:sz w:val="24"/>
          <w:szCs w:val="24"/>
        </w:rPr>
        <w:t>s actual or allowable 1985 emissions.</w:t>
      </w:r>
    </w:p>
    <w:p w:rsidR="00562093" w:rsidRDefault="00562093"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Section 410(e) requires that the Administrator issue allowances to sources that become affected sources under Section 410</w:t>
      </w:r>
      <w:r w:rsidR="005A67EC">
        <w:rPr>
          <w:sz w:val="24"/>
          <w:szCs w:val="24"/>
        </w:rPr>
        <w:t xml:space="preserve">. </w:t>
      </w:r>
      <w:r>
        <w:rPr>
          <w:sz w:val="24"/>
          <w:szCs w:val="24"/>
        </w:rPr>
        <w:t>The number of allowances is to be based on calculations made under Section 410(c).</w:t>
      </w:r>
    </w:p>
    <w:p w:rsidR="009907D5" w:rsidRDefault="00B62949" w:rsidP="00AE176A">
      <w:pPr>
        <w:widowControl/>
        <w:numPr>
          <w:ilvl w:val="12"/>
          <w:numId w:val="0"/>
        </w:numPr>
        <w:rPr>
          <w:b/>
          <w:bCs/>
          <w:sz w:val="24"/>
          <w:szCs w:val="24"/>
        </w:rPr>
      </w:pPr>
      <w:proofErr w:type="gramStart"/>
      <w:r>
        <w:rPr>
          <w:b/>
          <w:bCs/>
          <w:sz w:val="24"/>
          <w:szCs w:val="24"/>
        </w:rPr>
        <w:lastRenderedPageBreak/>
        <w:t>2.1.</w:t>
      </w:r>
      <w:r w:rsidR="00D16438">
        <w:rPr>
          <w:b/>
          <w:bCs/>
          <w:sz w:val="24"/>
          <w:szCs w:val="24"/>
        </w:rPr>
        <w:t xml:space="preserve">5  </w:t>
      </w:r>
      <w:proofErr w:type="spellStart"/>
      <w:r w:rsidR="009907D5">
        <w:rPr>
          <w:b/>
          <w:bCs/>
          <w:sz w:val="24"/>
          <w:szCs w:val="24"/>
        </w:rPr>
        <w:t>NO</w:t>
      </w:r>
      <w:r w:rsidR="00562093">
        <w:rPr>
          <w:b/>
          <w:bCs/>
          <w:sz w:val="24"/>
          <w:szCs w:val="24"/>
          <w:vertAlign w:val="subscript"/>
        </w:rPr>
        <w:t>x</w:t>
      </w:r>
      <w:proofErr w:type="spellEnd"/>
      <w:proofErr w:type="gramEnd"/>
      <w:r w:rsidR="009907D5">
        <w:rPr>
          <w:b/>
          <w:bCs/>
          <w:sz w:val="24"/>
          <w:szCs w:val="24"/>
        </w:rPr>
        <w:t xml:space="preserve"> Permitting</w:t>
      </w:r>
    </w:p>
    <w:p w:rsidR="00562093" w:rsidRDefault="00562093"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 xml:space="preserve">Section 408 of Title IV of the Clean Air Act Amendments of 1990 specifies that utility owners and operators of units affected under Title IV must submit permit applications and compliance plans (including </w:t>
      </w:r>
      <w:proofErr w:type="spellStart"/>
      <w:r>
        <w:rPr>
          <w:sz w:val="24"/>
          <w:szCs w:val="24"/>
        </w:rPr>
        <w:t>NO</w:t>
      </w:r>
      <w:r w:rsidR="00562093">
        <w:rPr>
          <w:sz w:val="24"/>
          <w:szCs w:val="24"/>
          <w:vertAlign w:val="subscript"/>
        </w:rPr>
        <w:t>x</w:t>
      </w:r>
      <w:proofErr w:type="spellEnd"/>
      <w:r>
        <w:rPr>
          <w:sz w:val="24"/>
          <w:szCs w:val="24"/>
        </w:rPr>
        <w:t xml:space="preserve"> compliance plans), and </w:t>
      </w:r>
      <w:r w:rsidR="008813E0">
        <w:rPr>
          <w:sz w:val="24"/>
          <w:szCs w:val="24"/>
        </w:rPr>
        <w:t>the permitting authority</w:t>
      </w:r>
      <w:r>
        <w:rPr>
          <w:sz w:val="24"/>
          <w:szCs w:val="24"/>
        </w:rPr>
        <w:t xml:space="preserve"> must issue permits</w:t>
      </w:r>
      <w:r w:rsidR="00562093">
        <w:rPr>
          <w:sz w:val="24"/>
          <w:szCs w:val="24"/>
        </w:rPr>
        <w:t xml:space="preserve">.  </w:t>
      </w:r>
    </w:p>
    <w:p w:rsidR="009907D5" w:rsidRDefault="009907D5" w:rsidP="00562093">
      <w:pPr>
        <w:widowControl/>
        <w:rPr>
          <w:sz w:val="24"/>
          <w:szCs w:val="24"/>
        </w:rPr>
      </w:pPr>
    </w:p>
    <w:p w:rsidR="009907D5" w:rsidRDefault="00B62949" w:rsidP="00B62949">
      <w:pPr>
        <w:pStyle w:val="Level1"/>
        <w:widowControl/>
        <w:tabs>
          <w:tab w:val="left" w:pos="720"/>
        </w:tabs>
        <w:ind w:hanging="360"/>
        <w:jc w:val="left"/>
      </w:pPr>
      <w:r>
        <w:t>●</w:t>
      </w:r>
      <w:r>
        <w:tab/>
      </w:r>
      <w:r w:rsidR="009907D5">
        <w:t>Section 408 provides general authority for the information collections under this ICR related to compliance options</w:t>
      </w:r>
      <w:r w:rsidR="005A67EC">
        <w:t xml:space="preserve">. </w:t>
      </w:r>
      <w:r w:rsidR="009907D5">
        <w:t xml:space="preserve">In addition, </w:t>
      </w:r>
    </w:p>
    <w:p w:rsidR="009907D5" w:rsidRDefault="009907D5" w:rsidP="00562093">
      <w:pPr>
        <w:widowControl/>
        <w:numPr>
          <w:ilvl w:val="12"/>
          <w:numId w:val="0"/>
        </w:numPr>
        <w:rPr>
          <w:sz w:val="24"/>
          <w:szCs w:val="24"/>
        </w:rPr>
      </w:pPr>
    </w:p>
    <w:p w:rsidR="009907D5" w:rsidRDefault="00B62949" w:rsidP="00B62949">
      <w:pPr>
        <w:pStyle w:val="Level1"/>
        <w:widowControl/>
        <w:tabs>
          <w:tab w:val="left" w:pos="720"/>
          <w:tab w:val="left" w:pos="1440"/>
        </w:tabs>
        <w:ind w:hanging="360"/>
        <w:jc w:val="left"/>
      </w:pPr>
      <w:r>
        <w:t>●</w:t>
      </w:r>
      <w:r>
        <w:tab/>
      </w:r>
      <w:r w:rsidR="009907D5">
        <w:t xml:space="preserve">Section 407(e) of Title IV allows the owner or operator of two or more affected units to petition the permitting authority for a </w:t>
      </w:r>
      <w:proofErr w:type="spellStart"/>
      <w:r w:rsidR="009907D5">
        <w:t>NO</w:t>
      </w:r>
      <w:r w:rsidR="00562093">
        <w:rPr>
          <w:vertAlign w:val="subscript"/>
        </w:rPr>
        <w:t>x</w:t>
      </w:r>
      <w:proofErr w:type="spellEnd"/>
      <w:r w:rsidR="009907D5">
        <w:t xml:space="preserve"> averaging plan.</w:t>
      </w:r>
    </w:p>
    <w:p w:rsidR="009907D5" w:rsidRDefault="005072AF" w:rsidP="005072AF">
      <w:pPr>
        <w:pStyle w:val="Level1"/>
        <w:widowControl/>
        <w:tabs>
          <w:tab w:val="left" w:pos="720"/>
          <w:tab w:val="left" w:pos="1440"/>
        </w:tabs>
        <w:ind w:hanging="360"/>
        <w:jc w:val="left"/>
      </w:pPr>
      <w:r>
        <w:t>●</w:t>
      </w:r>
      <w:r>
        <w:tab/>
      </w:r>
      <w:r w:rsidR="009907D5">
        <w:t xml:space="preserve">Section 407(d) provides for AELs for utility units that cannot meet the applicable limitation using low </w:t>
      </w:r>
      <w:proofErr w:type="spellStart"/>
      <w:r w:rsidR="009907D5">
        <w:t>NO</w:t>
      </w:r>
      <w:r w:rsidR="00562093">
        <w:rPr>
          <w:vertAlign w:val="subscript"/>
        </w:rPr>
        <w:t>x</w:t>
      </w:r>
      <w:proofErr w:type="spellEnd"/>
      <w:r w:rsidR="009907D5">
        <w:t xml:space="preserve"> burner technology or the technology on which the limitation was based</w:t>
      </w:r>
      <w:r w:rsidR="005A67EC">
        <w:t xml:space="preserve">. </w:t>
      </w:r>
      <w:r w:rsidR="009907D5">
        <w:t>Section 407(d) specifies that an owner or operator requesting an AEL must show the permitting authority that (1) appropriate control equipment has been properly installed, and (2) the equipment has been properly operated for a period of fifteen months (or another period of time as established by regulation) and operating and monitoring data for such period demonstrate that the unit cannot meet the applicable emission rate</w:t>
      </w:r>
      <w:r w:rsidR="005A67EC">
        <w:t xml:space="preserve">. </w:t>
      </w:r>
      <w:r w:rsidR="009907D5">
        <w:t>The owner or operator must also specify an emission rate that the unit can meet on an annual average basis</w:t>
      </w:r>
      <w:r w:rsidR="00562093">
        <w:t xml:space="preserve">.  </w:t>
      </w:r>
    </w:p>
    <w:p w:rsidR="009907D5" w:rsidRDefault="009907D5" w:rsidP="00562093">
      <w:pPr>
        <w:widowControl/>
        <w:numPr>
          <w:ilvl w:val="12"/>
          <w:numId w:val="0"/>
        </w:numPr>
        <w:rPr>
          <w:sz w:val="24"/>
          <w:szCs w:val="24"/>
        </w:rPr>
      </w:pPr>
    </w:p>
    <w:p w:rsidR="009907D5" w:rsidRDefault="009907D5" w:rsidP="005072AF">
      <w:pPr>
        <w:widowControl/>
        <w:numPr>
          <w:ilvl w:val="12"/>
          <w:numId w:val="0"/>
        </w:numPr>
        <w:ind w:left="360"/>
        <w:rPr>
          <w:sz w:val="24"/>
          <w:szCs w:val="24"/>
        </w:rPr>
      </w:pPr>
      <w:proofErr w:type="gramStart"/>
      <w:r>
        <w:rPr>
          <w:b/>
          <w:bCs/>
          <w:sz w:val="24"/>
          <w:szCs w:val="24"/>
        </w:rPr>
        <w:t>2.2</w:t>
      </w:r>
      <w:r w:rsidR="005072AF">
        <w:rPr>
          <w:b/>
          <w:bCs/>
          <w:sz w:val="24"/>
          <w:szCs w:val="24"/>
        </w:rPr>
        <w:t xml:space="preserve">  </w:t>
      </w:r>
      <w:r>
        <w:rPr>
          <w:b/>
          <w:bCs/>
          <w:sz w:val="24"/>
          <w:szCs w:val="24"/>
        </w:rPr>
        <w:t>Practical</w:t>
      </w:r>
      <w:proofErr w:type="gramEnd"/>
      <w:r>
        <w:rPr>
          <w:b/>
          <w:bCs/>
          <w:sz w:val="24"/>
          <w:szCs w:val="24"/>
        </w:rPr>
        <w:t xml:space="preserve"> Utility/Users of the Data</w:t>
      </w:r>
    </w:p>
    <w:p w:rsidR="009907D5" w:rsidRDefault="009907D5" w:rsidP="00562093">
      <w:pPr>
        <w:widowControl/>
        <w:numPr>
          <w:ilvl w:val="12"/>
          <w:numId w:val="0"/>
        </w:numPr>
        <w:rPr>
          <w:sz w:val="24"/>
          <w:szCs w:val="24"/>
        </w:rPr>
      </w:pPr>
    </w:p>
    <w:p w:rsidR="009907D5" w:rsidRDefault="005A67EC" w:rsidP="00DC2B42">
      <w:pPr>
        <w:widowControl/>
        <w:numPr>
          <w:ilvl w:val="12"/>
          <w:numId w:val="0"/>
        </w:numPr>
        <w:ind w:left="720"/>
        <w:rPr>
          <w:b/>
          <w:bCs/>
          <w:sz w:val="24"/>
          <w:szCs w:val="24"/>
        </w:rPr>
      </w:pPr>
      <w:r>
        <w:rPr>
          <w:b/>
          <w:bCs/>
          <w:sz w:val="24"/>
          <w:szCs w:val="24"/>
        </w:rPr>
        <w:t>2.2.1 Allowance</w:t>
      </w:r>
      <w:r w:rsidR="009907D5">
        <w:rPr>
          <w:b/>
          <w:bCs/>
          <w:sz w:val="24"/>
          <w:szCs w:val="24"/>
        </w:rPr>
        <w:t xml:space="preserve"> Transfers</w:t>
      </w:r>
    </w:p>
    <w:p w:rsidR="00562093" w:rsidRDefault="00562093"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Information collected on allowance transfers is used by EPA to track allowances for the purpose of determining compliance with the Acid Rain Program</w:t>
      </w:r>
      <w:r w:rsidR="005A67EC">
        <w:rPr>
          <w:sz w:val="24"/>
          <w:szCs w:val="24"/>
        </w:rPr>
        <w:t xml:space="preserve">. </w:t>
      </w:r>
      <w:r>
        <w:rPr>
          <w:sz w:val="24"/>
          <w:szCs w:val="24"/>
        </w:rPr>
        <w:t xml:space="preserve">Information on allowance transfers is also used by participants in the allowance market and the public to evaluate the activities of </w:t>
      </w:r>
      <w:proofErr w:type="gramStart"/>
      <w:r>
        <w:rPr>
          <w:sz w:val="24"/>
          <w:szCs w:val="24"/>
        </w:rPr>
        <w:t>utilities,</w:t>
      </w:r>
      <w:proofErr w:type="gramEnd"/>
      <w:r>
        <w:rPr>
          <w:sz w:val="24"/>
          <w:szCs w:val="24"/>
        </w:rPr>
        <w:t xml:space="preserve"> and by EPA for program evaluation</w:t>
      </w:r>
      <w:r w:rsidR="00562093">
        <w:rPr>
          <w:sz w:val="24"/>
          <w:szCs w:val="24"/>
        </w:rPr>
        <w:t xml:space="preserve">.  </w:t>
      </w:r>
    </w:p>
    <w:p w:rsidR="009907D5" w:rsidRDefault="009907D5" w:rsidP="00562093">
      <w:pPr>
        <w:widowControl/>
        <w:numPr>
          <w:ilvl w:val="12"/>
          <w:numId w:val="0"/>
        </w:numPr>
        <w:rPr>
          <w:sz w:val="24"/>
          <w:szCs w:val="24"/>
        </w:rPr>
      </w:pPr>
    </w:p>
    <w:p w:rsidR="009907D5" w:rsidRDefault="00DC2B42" w:rsidP="00DC2B42">
      <w:pPr>
        <w:widowControl/>
        <w:numPr>
          <w:ilvl w:val="12"/>
          <w:numId w:val="0"/>
        </w:numPr>
        <w:ind w:left="720"/>
        <w:rPr>
          <w:b/>
          <w:bCs/>
          <w:sz w:val="24"/>
          <w:szCs w:val="24"/>
        </w:rPr>
      </w:pPr>
      <w:proofErr w:type="gramStart"/>
      <w:r>
        <w:rPr>
          <w:b/>
          <w:bCs/>
          <w:sz w:val="24"/>
          <w:szCs w:val="24"/>
        </w:rPr>
        <w:t xml:space="preserve">2.2.2  </w:t>
      </w:r>
      <w:r w:rsidR="009907D5">
        <w:rPr>
          <w:b/>
          <w:bCs/>
          <w:sz w:val="24"/>
          <w:szCs w:val="24"/>
        </w:rPr>
        <w:t>Auctions</w:t>
      </w:r>
      <w:proofErr w:type="gramEnd"/>
    </w:p>
    <w:p w:rsidR="00562093" w:rsidRDefault="00562093"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EPA or its designated agent uses the information collected for the allowance auction to conduct and facilitate administration of auctions</w:t>
      </w:r>
      <w:r w:rsidR="005A67EC">
        <w:rPr>
          <w:sz w:val="24"/>
          <w:szCs w:val="24"/>
        </w:rPr>
        <w:t xml:space="preserve">. </w:t>
      </w:r>
      <w:r>
        <w:rPr>
          <w:sz w:val="24"/>
          <w:szCs w:val="24"/>
        </w:rPr>
        <w:t>The basic information requested requires little evaluation</w:t>
      </w:r>
      <w:r w:rsidR="005A67EC">
        <w:rPr>
          <w:sz w:val="24"/>
          <w:szCs w:val="24"/>
        </w:rPr>
        <w:t xml:space="preserve">. </w:t>
      </w:r>
      <w:r>
        <w:rPr>
          <w:sz w:val="24"/>
          <w:szCs w:val="24"/>
        </w:rPr>
        <w:t>Bids submitted for auctions are ranked to select winning bidders and to conduct transfers of emission allowances</w:t>
      </w:r>
      <w:r w:rsidR="005A67EC">
        <w:rPr>
          <w:sz w:val="24"/>
          <w:szCs w:val="24"/>
        </w:rPr>
        <w:t xml:space="preserve">. </w:t>
      </w:r>
      <w:r>
        <w:rPr>
          <w:sz w:val="24"/>
          <w:szCs w:val="24"/>
        </w:rPr>
        <w:t>The auction information results are also used by participants in the allowance market.</w:t>
      </w:r>
    </w:p>
    <w:p w:rsidR="009907D5" w:rsidRDefault="009907D5" w:rsidP="00562093">
      <w:pPr>
        <w:widowControl/>
        <w:numPr>
          <w:ilvl w:val="12"/>
          <w:numId w:val="0"/>
        </w:numPr>
        <w:rPr>
          <w:sz w:val="24"/>
          <w:szCs w:val="24"/>
        </w:rPr>
      </w:pPr>
    </w:p>
    <w:p w:rsidR="009907D5" w:rsidRDefault="00DC2B42" w:rsidP="00DC2B42">
      <w:pPr>
        <w:widowControl/>
        <w:numPr>
          <w:ilvl w:val="12"/>
          <w:numId w:val="0"/>
        </w:numPr>
        <w:ind w:left="720"/>
        <w:rPr>
          <w:b/>
          <w:bCs/>
          <w:sz w:val="24"/>
          <w:szCs w:val="24"/>
        </w:rPr>
      </w:pPr>
      <w:proofErr w:type="gramStart"/>
      <w:r>
        <w:rPr>
          <w:b/>
          <w:bCs/>
          <w:sz w:val="24"/>
          <w:szCs w:val="24"/>
        </w:rPr>
        <w:t>2.2.</w:t>
      </w:r>
      <w:r w:rsidR="00D16438">
        <w:rPr>
          <w:b/>
          <w:bCs/>
          <w:sz w:val="24"/>
          <w:szCs w:val="24"/>
        </w:rPr>
        <w:t xml:space="preserve">3  </w:t>
      </w:r>
      <w:r w:rsidR="009907D5">
        <w:rPr>
          <w:b/>
          <w:bCs/>
          <w:sz w:val="24"/>
          <w:szCs w:val="24"/>
        </w:rPr>
        <w:t>Permits</w:t>
      </w:r>
      <w:proofErr w:type="gramEnd"/>
    </w:p>
    <w:p w:rsidR="00562093" w:rsidRDefault="00562093"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Acid rain permit applications are used by EPA and permitting authorities to issue operating permits</w:t>
      </w:r>
      <w:r w:rsidR="005A67EC">
        <w:rPr>
          <w:sz w:val="24"/>
          <w:szCs w:val="24"/>
        </w:rPr>
        <w:t xml:space="preserve">. </w:t>
      </w:r>
      <w:r>
        <w:rPr>
          <w:sz w:val="24"/>
          <w:szCs w:val="24"/>
        </w:rPr>
        <w:t>A permit application is legally binding on the owners, operators, and designated representative of a source until the actual permit is issued</w:t>
      </w:r>
      <w:r w:rsidR="005A67EC">
        <w:rPr>
          <w:sz w:val="24"/>
          <w:szCs w:val="24"/>
        </w:rPr>
        <w:t xml:space="preserve">. </w:t>
      </w:r>
      <w:r>
        <w:rPr>
          <w:sz w:val="24"/>
          <w:szCs w:val="24"/>
        </w:rPr>
        <w:t>This aspect of the permit application reduces significantly the uncertainty imposed on a source due to possible delays at EPA or the permitting authority</w:t>
      </w:r>
      <w:r w:rsidR="005A67EC">
        <w:rPr>
          <w:sz w:val="24"/>
          <w:szCs w:val="24"/>
        </w:rPr>
        <w:t xml:space="preserve">. </w:t>
      </w:r>
      <w:r>
        <w:rPr>
          <w:sz w:val="24"/>
          <w:szCs w:val="24"/>
        </w:rPr>
        <w:t xml:space="preserve">Affected sources may rely on the permit </w:t>
      </w:r>
      <w:r>
        <w:rPr>
          <w:sz w:val="24"/>
          <w:szCs w:val="24"/>
        </w:rPr>
        <w:lastRenderedPageBreak/>
        <w:t>for information on the requirements with which they must comply</w:t>
      </w:r>
      <w:r w:rsidR="005A67EC">
        <w:rPr>
          <w:sz w:val="24"/>
          <w:szCs w:val="24"/>
        </w:rPr>
        <w:t xml:space="preserve">. </w:t>
      </w:r>
      <w:r>
        <w:rPr>
          <w:sz w:val="24"/>
          <w:szCs w:val="24"/>
        </w:rPr>
        <w:t>Because permit applications and permits are public documents, they may be used by the public to examine activities undertaken by affected sources</w:t>
      </w:r>
      <w:r w:rsidR="00562093">
        <w:rPr>
          <w:sz w:val="24"/>
          <w:szCs w:val="24"/>
        </w:rPr>
        <w:t xml:space="preserve">.  </w:t>
      </w:r>
    </w:p>
    <w:p w:rsidR="009907D5" w:rsidRDefault="009907D5" w:rsidP="00562093">
      <w:pPr>
        <w:widowControl/>
        <w:numPr>
          <w:ilvl w:val="12"/>
          <w:numId w:val="0"/>
        </w:numPr>
        <w:rPr>
          <w:sz w:val="24"/>
          <w:szCs w:val="24"/>
        </w:rPr>
      </w:pPr>
    </w:p>
    <w:p w:rsidR="009907D5" w:rsidRDefault="00DC2B42" w:rsidP="00DC2B42">
      <w:pPr>
        <w:keepNext/>
        <w:widowControl/>
        <w:numPr>
          <w:ilvl w:val="12"/>
          <w:numId w:val="0"/>
        </w:numPr>
        <w:ind w:left="720"/>
        <w:rPr>
          <w:b/>
          <w:bCs/>
          <w:sz w:val="24"/>
          <w:szCs w:val="24"/>
        </w:rPr>
      </w:pPr>
      <w:proofErr w:type="gramStart"/>
      <w:r>
        <w:rPr>
          <w:b/>
          <w:bCs/>
          <w:sz w:val="24"/>
          <w:szCs w:val="24"/>
        </w:rPr>
        <w:t>2.2.</w:t>
      </w:r>
      <w:r w:rsidR="00D16438">
        <w:rPr>
          <w:b/>
          <w:bCs/>
          <w:sz w:val="24"/>
          <w:szCs w:val="24"/>
        </w:rPr>
        <w:t xml:space="preserve">4  </w:t>
      </w:r>
      <w:r w:rsidR="009907D5">
        <w:rPr>
          <w:b/>
          <w:bCs/>
          <w:sz w:val="24"/>
          <w:szCs w:val="24"/>
        </w:rPr>
        <w:t>Emissions</w:t>
      </w:r>
      <w:proofErr w:type="gramEnd"/>
      <w:r w:rsidR="009907D5">
        <w:rPr>
          <w:b/>
          <w:bCs/>
          <w:sz w:val="24"/>
          <w:szCs w:val="24"/>
        </w:rPr>
        <w:t xml:space="preserve"> Monitoring</w:t>
      </w:r>
    </w:p>
    <w:p w:rsidR="00562093" w:rsidRDefault="00562093" w:rsidP="00DC2B42">
      <w:pPr>
        <w:keepNext/>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Data from emissions monitoring is indispensable to successful implementation of the Acid Rain Program for two reasons</w:t>
      </w:r>
      <w:r w:rsidR="00562093">
        <w:rPr>
          <w:sz w:val="24"/>
          <w:szCs w:val="24"/>
        </w:rPr>
        <w:t xml:space="preserve">:  </w:t>
      </w:r>
    </w:p>
    <w:p w:rsidR="009907D5" w:rsidRDefault="009907D5" w:rsidP="00562093">
      <w:pPr>
        <w:widowControl/>
        <w:numPr>
          <w:ilvl w:val="12"/>
          <w:numId w:val="0"/>
        </w:numPr>
        <w:rPr>
          <w:sz w:val="24"/>
          <w:szCs w:val="24"/>
        </w:rPr>
      </w:pPr>
    </w:p>
    <w:p w:rsidR="009907D5" w:rsidRDefault="00DC2B42" w:rsidP="00DC2B42">
      <w:pPr>
        <w:pStyle w:val="Level1"/>
        <w:widowControl/>
        <w:tabs>
          <w:tab w:val="left" w:pos="720"/>
          <w:tab w:val="left" w:pos="1440"/>
        </w:tabs>
        <w:ind w:hanging="360"/>
        <w:jc w:val="left"/>
      </w:pPr>
      <w:r>
        <w:t>●</w:t>
      </w:r>
      <w:r>
        <w:tab/>
      </w:r>
      <w:r w:rsidR="009907D5">
        <w:t>Title IV of the Act clearly states that its primary purpose is to reduce the adverse effects of acid deposition by reducing annual emissions of sulfur dioxide and nitrogen oxides</w:t>
      </w:r>
      <w:r w:rsidR="005A67EC">
        <w:t xml:space="preserve">. </w:t>
      </w:r>
      <w:r w:rsidR="009907D5">
        <w:t>For sulfur dioxide emissions, the statutory objective is achieved through an emissions trading program</w:t>
      </w:r>
      <w:r w:rsidR="005A67EC">
        <w:t xml:space="preserve">. </w:t>
      </w:r>
      <w:r w:rsidR="009907D5">
        <w:t>For nitrogen oxide emissions, the statutory objective is achieved through annual emission limitations on certain units.</w:t>
      </w:r>
    </w:p>
    <w:p w:rsidR="009907D5" w:rsidRDefault="009907D5" w:rsidP="00562093">
      <w:pPr>
        <w:widowControl/>
        <w:numPr>
          <w:ilvl w:val="12"/>
          <w:numId w:val="0"/>
        </w:numPr>
        <w:rPr>
          <w:sz w:val="24"/>
          <w:szCs w:val="24"/>
        </w:rPr>
      </w:pPr>
    </w:p>
    <w:p w:rsidR="009907D5" w:rsidRDefault="00DC2B42" w:rsidP="00DC2B42">
      <w:pPr>
        <w:pStyle w:val="Level1"/>
        <w:widowControl/>
        <w:tabs>
          <w:tab w:val="left" w:pos="720"/>
          <w:tab w:val="left" w:pos="1440"/>
        </w:tabs>
        <w:ind w:hanging="360"/>
        <w:jc w:val="left"/>
      </w:pPr>
      <w:r>
        <w:t>●</w:t>
      </w:r>
      <w:r>
        <w:tab/>
      </w:r>
      <w:r w:rsidR="009907D5">
        <w:t>EPA can only enforce the sulfur dioxide trading program and the nitrogen oxide emission limitation program by having accurate emissions data for each affected unit</w:t>
      </w:r>
      <w:r w:rsidR="005A67EC">
        <w:t xml:space="preserve">. </w:t>
      </w:r>
      <w:r w:rsidR="007D7084">
        <w:t>The affected sources’ certification o</w:t>
      </w:r>
      <w:r w:rsidR="00305644">
        <w:t>f the emissions data</w:t>
      </w:r>
      <w:r w:rsidR="001B2B9A">
        <w:t xml:space="preserve">, </w:t>
      </w:r>
      <w:r w:rsidR="00EC0AAD">
        <w:t xml:space="preserve">EPA’s </w:t>
      </w:r>
      <w:r w:rsidR="007D7084">
        <w:t xml:space="preserve">electronic data </w:t>
      </w:r>
      <w:r w:rsidR="00EC0AAD">
        <w:t xml:space="preserve">audits </w:t>
      </w:r>
      <w:r w:rsidR="007D7084">
        <w:t xml:space="preserve">and </w:t>
      </w:r>
      <w:r w:rsidR="00EC0AAD">
        <w:t>E</w:t>
      </w:r>
      <w:r w:rsidR="001B2B9A">
        <w:t>PA</w:t>
      </w:r>
      <w:r w:rsidR="00305644">
        <w:t>’s</w:t>
      </w:r>
      <w:r w:rsidR="001B2B9A">
        <w:t xml:space="preserve"> and the permitting authorities’ </w:t>
      </w:r>
      <w:r w:rsidR="007D7084">
        <w:t>CEMS field auditing all contribute to verifying the overall emission</w:t>
      </w:r>
      <w:r w:rsidR="00590400">
        <w:t>s</w:t>
      </w:r>
      <w:r w:rsidR="007D7084">
        <w:t xml:space="preserve"> data integrity. </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Electric utilities, energy consultants, and power marketing companies can use the Acid Rain program emissions data to project future SO</w:t>
      </w:r>
      <w:r>
        <w:rPr>
          <w:sz w:val="24"/>
          <w:szCs w:val="24"/>
          <w:vertAlign w:val="subscript"/>
        </w:rPr>
        <w:t>2</w:t>
      </w:r>
      <w:r>
        <w:rPr>
          <w:sz w:val="24"/>
          <w:szCs w:val="24"/>
        </w:rPr>
        <w:t xml:space="preserve"> allowance costs and availability</w:t>
      </w:r>
      <w:r w:rsidR="005A67EC">
        <w:rPr>
          <w:sz w:val="24"/>
          <w:szCs w:val="24"/>
        </w:rPr>
        <w:t xml:space="preserve">. </w:t>
      </w:r>
      <w:r>
        <w:rPr>
          <w:sz w:val="24"/>
          <w:szCs w:val="24"/>
        </w:rPr>
        <w:t>Academic institutions can perform data modeling to evaluate environmental benefits and estimate health effects of SO</w:t>
      </w:r>
      <w:r>
        <w:rPr>
          <w:sz w:val="24"/>
          <w:szCs w:val="24"/>
          <w:vertAlign w:val="subscript"/>
        </w:rPr>
        <w:t>2</w:t>
      </w:r>
      <w:r>
        <w:rPr>
          <w:sz w:val="24"/>
          <w:szCs w:val="24"/>
        </w:rPr>
        <w:t xml:space="preserve"> reductions</w:t>
      </w:r>
      <w:r w:rsidR="005A67EC">
        <w:rPr>
          <w:sz w:val="24"/>
          <w:szCs w:val="24"/>
        </w:rPr>
        <w:t xml:space="preserve">. </w:t>
      </w:r>
      <w:r>
        <w:rPr>
          <w:sz w:val="24"/>
          <w:szCs w:val="24"/>
        </w:rPr>
        <w:t>EPA and other agencies use it to try to correlate the reduction of SO</w:t>
      </w:r>
      <w:r>
        <w:rPr>
          <w:sz w:val="24"/>
          <w:szCs w:val="24"/>
          <w:vertAlign w:val="subscript"/>
        </w:rPr>
        <w:t>2</w:t>
      </w:r>
      <w:r>
        <w:rPr>
          <w:sz w:val="24"/>
          <w:szCs w:val="24"/>
        </w:rPr>
        <w:t xml:space="preserve"> and </w:t>
      </w:r>
      <w:proofErr w:type="spellStart"/>
      <w:r>
        <w:rPr>
          <w:sz w:val="24"/>
          <w:szCs w:val="24"/>
        </w:rPr>
        <w:t>NO</w:t>
      </w:r>
      <w:r w:rsidR="00562093">
        <w:rPr>
          <w:sz w:val="24"/>
          <w:szCs w:val="24"/>
          <w:vertAlign w:val="subscript"/>
        </w:rPr>
        <w:t>x</w:t>
      </w:r>
      <w:proofErr w:type="spellEnd"/>
      <w:r>
        <w:rPr>
          <w:sz w:val="24"/>
          <w:szCs w:val="24"/>
        </w:rPr>
        <w:t xml:space="preserve"> emissions with a decrease in acid precipitation, and also to measure the impacts of other existing and proposed emissions trading programs.</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Together, the allowance trading system, operating permits, and emissions data provide the accountability to allow the Acid Rain Program to function without more stringent command and control approaches.</w:t>
      </w:r>
    </w:p>
    <w:p w:rsidR="009907D5" w:rsidRDefault="009907D5" w:rsidP="00562093">
      <w:pPr>
        <w:widowControl/>
        <w:numPr>
          <w:ilvl w:val="12"/>
          <w:numId w:val="0"/>
        </w:numPr>
        <w:rPr>
          <w:sz w:val="24"/>
          <w:szCs w:val="24"/>
        </w:rPr>
      </w:pPr>
    </w:p>
    <w:p w:rsidR="009907D5" w:rsidRDefault="00FA66A8" w:rsidP="00FA66A8">
      <w:pPr>
        <w:keepNext/>
        <w:widowControl/>
        <w:numPr>
          <w:ilvl w:val="12"/>
          <w:numId w:val="0"/>
        </w:numPr>
        <w:ind w:left="720"/>
        <w:rPr>
          <w:b/>
          <w:bCs/>
          <w:sz w:val="24"/>
          <w:szCs w:val="24"/>
        </w:rPr>
      </w:pPr>
      <w:proofErr w:type="gramStart"/>
      <w:r>
        <w:rPr>
          <w:b/>
          <w:bCs/>
          <w:sz w:val="24"/>
          <w:szCs w:val="24"/>
        </w:rPr>
        <w:t>2.2.</w:t>
      </w:r>
      <w:r w:rsidR="00D16438">
        <w:rPr>
          <w:b/>
          <w:bCs/>
          <w:sz w:val="24"/>
          <w:szCs w:val="24"/>
        </w:rPr>
        <w:t xml:space="preserve">5  </w:t>
      </w:r>
      <w:r w:rsidR="009907D5">
        <w:rPr>
          <w:b/>
          <w:bCs/>
          <w:sz w:val="24"/>
          <w:szCs w:val="24"/>
        </w:rPr>
        <w:t>Opt</w:t>
      </w:r>
      <w:proofErr w:type="gramEnd"/>
      <w:r w:rsidR="009907D5">
        <w:rPr>
          <w:b/>
          <w:bCs/>
          <w:sz w:val="24"/>
          <w:szCs w:val="24"/>
        </w:rPr>
        <w:t>-in</w:t>
      </w:r>
    </w:p>
    <w:p w:rsidR="00562093" w:rsidRDefault="00562093" w:rsidP="00562093">
      <w:pPr>
        <w:keepNext/>
        <w:widowControl/>
        <w:numPr>
          <w:ilvl w:val="12"/>
          <w:numId w:val="0"/>
        </w:numPr>
        <w:rPr>
          <w:sz w:val="24"/>
          <w:szCs w:val="24"/>
        </w:rPr>
      </w:pPr>
    </w:p>
    <w:p w:rsidR="009907D5" w:rsidRDefault="009907D5" w:rsidP="00562093">
      <w:pPr>
        <w:keepNext/>
        <w:widowControl/>
        <w:numPr>
          <w:ilvl w:val="12"/>
          <w:numId w:val="0"/>
        </w:numPr>
        <w:rPr>
          <w:sz w:val="24"/>
          <w:szCs w:val="24"/>
        </w:rPr>
      </w:pPr>
      <w:r>
        <w:rPr>
          <w:sz w:val="24"/>
          <w:szCs w:val="24"/>
        </w:rPr>
        <w:tab/>
        <w:t>Information collected on opt-in respondents is used by EPA to record which sources are to be designated affected sources, and hence are to be bound by the regulations of the CAAA that are relevant to affected sources.</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Opt-in permit applications are used by EPA to issue operating permits</w:t>
      </w:r>
      <w:r w:rsidR="005A67EC">
        <w:rPr>
          <w:sz w:val="24"/>
          <w:szCs w:val="24"/>
        </w:rPr>
        <w:t xml:space="preserve">. </w:t>
      </w:r>
      <w:r>
        <w:rPr>
          <w:sz w:val="24"/>
          <w:szCs w:val="24"/>
        </w:rPr>
        <w:t>Fuel usage and emissions rate data in the opt-in application is used to allocate allowances to the opt-in source.</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The information on annual utilization and the replacement of thermal energy, if covered by a Thermal Energy Plan, contained in the annual compliance report is used by EPA to determine compliance with the Act.</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lastRenderedPageBreak/>
        <w:tab/>
        <w:t>For respondents who choose to withdraw from the program, the withdrawal notification is essential to notify EPA to discontinue the allocation of allowances to the source and enforcement of the acid rain provisions.</w:t>
      </w:r>
    </w:p>
    <w:p w:rsidR="002F290A" w:rsidRDefault="002F290A" w:rsidP="00562093">
      <w:pPr>
        <w:widowControl/>
        <w:numPr>
          <w:ilvl w:val="12"/>
          <w:numId w:val="0"/>
        </w:numPr>
        <w:rPr>
          <w:sz w:val="24"/>
          <w:szCs w:val="24"/>
        </w:rPr>
      </w:pPr>
    </w:p>
    <w:p w:rsidR="009907D5" w:rsidRDefault="00FA66A8" w:rsidP="00FA66A8">
      <w:pPr>
        <w:keepNext/>
        <w:widowControl/>
        <w:numPr>
          <w:ilvl w:val="12"/>
          <w:numId w:val="0"/>
        </w:numPr>
        <w:ind w:left="360"/>
        <w:rPr>
          <w:b/>
          <w:bCs/>
          <w:sz w:val="24"/>
          <w:szCs w:val="24"/>
        </w:rPr>
      </w:pPr>
      <w:proofErr w:type="gramStart"/>
      <w:r>
        <w:rPr>
          <w:b/>
          <w:bCs/>
          <w:sz w:val="24"/>
          <w:szCs w:val="24"/>
        </w:rPr>
        <w:t>2.2.</w:t>
      </w:r>
      <w:r w:rsidR="00D16438">
        <w:rPr>
          <w:b/>
          <w:bCs/>
          <w:sz w:val="24"/>
          <w:szCs w:val="24"/>
        </w:rPr>
        <w:t xml:space="preserve">6  </w:t>
      </w:r>
      <w:proofErr w:type="spellStart"/>
      <w:r w:rsidR="009907D5">
        <w:rPr>
          <w:b/>
          <w:bCs/>
          <w:sz w:val="24"/>
          <w:szCs w:val="24"/>
        </w:rPr>
        <w:t>NO</w:t>
      </w:r>
      <w:r w:rsidR="00562093">
        <w:rPr>
          <w:b/>
          <w:bCs/>
          <w:sz w:val="24"/>
          <w:szCs w:val="24"/>
          <w:vertAlign w:val="subscript"/>
        </w:rPr>
        <w:t>x</w:t>
      </w:r>
      <w:proofErr w:type="spellEnd"/>
      <w:proofErr w:type="gramEnd"/>
      <w:r w:rsidR="009907D5">
        <w:rPr>
          <w:b/>
          <w:bCs/>
          <w:sz w:val="24"/>
          <w:szCs w:val="24"/>
        </w:rPr>
        <w:t xml:space="preserve"> Permitting</w:t>
      </w:r>
    </w:p>
    <w:p w:rsidR="00562093" w:rsidRDefault="00562093" w:rsidP="00FA66A8">
      <w:pPr>
        <w:keepNext/>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 xml:space="preserve">Information collected on </w:t>
      </w:r>
      <w:proofErr w:type="spellStart"/>
      <w:r>
        <w:rPr>
          <w:sz w:val="24"/>
          <w:szCs w:val="24"/>
        </w:rPr>
        <w:t>NO</w:t>
      </w:r>
      <w:r w:rsidR="00562093">
        <w:rPr>
          <w:sz w:val="24"/>
          <w:szCs w:val="24"/>
          <w:vertAlign w:val="subscript"/>
        </w:rPr>
        <w:t>x</w:t>
      </w:r>
      <w:proofErr w:type="spellEnd"/>
      <w:r>
        <w:rPr>
          <w:sz w:val="24"/>
          <w:szCs w:val="24"/>
        </w:rPr>
        <w:t xml:space="preserve"> compliance plans is used by EPA to evaluate these compliance plans</w:t>
      </w:r>
      <w:r w:rsidR="005A67EC">
        <w:rPr>
          <w:sz w:val="24"/>
          <w:szCs w:val="24"/>
        </w:rPr>
        <w:t xml:space="preserve">. </w:t>
      </w:r>
      <w:r>
        <w:rPr>
          <w:sz w:val="24"/>
          <w:szCs w:val="24"/>
        </w:rPr>
        <w:t>Information collected on applications for emissions averaging groups or AELs is used by EPA to determine whether to approve these applications</w:t>
      </w:r>
      <w:r w:rsidR="005A67EC">
        <w:rPr>
          <w:sz w:val="24"/>
          <w:szCs w:val="24"/>
        </w:rPr>
        <w:t xml:space="preserve">. </w:t>
      </w:r>
      <w:r>
        <w:rPr>
          <w:sz w:val="24"/>
          <w:szCs w:val="24"/>
        </w:rPr>
        <w:t>This information may also be used by the regulated community and the public to evaluate the activities of utilities, and by EPA for program evaluation.</w:t>
      </w:r>
    </w:p>
    <w:p w:rsidR="009907D5" w:rsidRDefault="009907D5" w:rsidP="00562093">
      <w:pPr>
        <w:widowControl/>
        <w:numPr>
          <w:ilvl w:val="12"/>
          <w:numId w:val="0"/>
        </w:numPr>
        <w:rPr>
          <w:sz w:val="24"/>
          <w:szCs w:val="24"/>
        </w:rPr>
      </w:pPr>
    </w:p>
    <w:p w:rsidR="009907D5" w:rsidRDefault="00FA66A8" w:rsidP="00562093">
      <w:pPr>
        <w:widowControl/>
        <w:numPr>
          <w:ilvl w:val="12"/>
          <w:numId w:val="0"/>
        </w:numPr>
        <w:tabs>
          <w:tab w:val="left" w:pos="720"/>
        </w:tabs>
        <w:ind w:left="720" w:hanging="720"/>
        <w:rPr>
          <w:sz w:val="24"/>
          <w:szCs w:val="24"/>
        </w:rPr>
      </w:pPr>
      <w:r>
        <w:rPr>
          <w:b/>
          <w:bCs/>
          <w:sz w:val="24"/>
          <w:szCs w:val="24"/>
        </w:rPr>
        <w:t xml:space="preserve">3.  </w:t>
      </w:r>
      <w:r w:rsidR="009907D5">
        <w:rPr>
          <w:b/>
          <w:bCs/>
          <w:sz w:val="24"/>
          <w:szCs w:val="24"/>
        </w:rPr>
        <w:t>NONDUPLICATION, CONSULTATIONS, AND OTHER COLLECTION CRITERIA</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This section describes (1) efforts by EPA to learn whether the information requested is available from other sources, (2) consultations with respondents and data users to plan collections, monitor their usefulness, and minimize the collection burden, (3) effects of less frequent collections, and (4) justification for deviations from OMB</w:t>
      </w:r>
      <w:r w:rsidR="00A90381">
        <w:rPr>
          <w:sz w:val="24"/>
          <w:szCs w:val="24"/>
        </w:rPr>
        <w:t>'</w:t>
      </w:r>
      <w:r>
        <w:rPr>
          <w:sz w:val="24"/>
          <w:szCs w:val="24"/>
        </w:rPr>
        <w:t>s general guidelines.</w:t>
      </w:r>
    </w:p>
    <w:p w:rsidR="009907D5" w:rsidRDefault="009907D5" w:rsidP="00562093">
      <w:pPr>
        <w:widowControl/>
        <w:numPr>
          <w:ilvl w:val="12"/>
          <w:numId w:val="0"/>
        </w:numPr>
        <w:rPr>
          <w:sz w:val="24"/>
          <w:szCs w:val="24"/>
        </w:rPr>
      </w:pPr>
    </w:p>
    <w:p w:rsidR="009907D5" w:rsidRDefault="00A74769" w:rsidP="00A74769">
      <w:pPr>
        <w:widowControl/>
        <w:numPr>
          <w:ilvl w:val="12"/>
          <w:numId w:val="0"/>
        </w:numPr>
        <w:ind w:left="360"/>
        <w:rPr>
          <w:sz w:val="24"/>
          <w:szCs w:val="24"/>
        </w:rPr>
      </w:pPr>
      <w:proofErr w:type="gramStart"/>
      <w:r>
        <w:rPr>
          <w:b/>
          <w:bCs/>
          <w:sz w:val="24"/>
          <w:szCs w:val="24"/>
        </w:rPr>
        <w:t xml:space="preserve">3.1  </w:t>
      </w:r>
      <w:proofErr w:type="spellStart"/>
      <w:r w:rsidR="009907D5">
        <w:rPr>
          <w:b/>
          <w:bCs/>
          <w:sz w:val="24"/>
          <w:szCs w:val="24"/>
        </w:rPr>
        <w:t>Nonduplication</w:t>
      </w:r>
      <w:proofErr w:type="spellEnd"/>
      <w:proofErr w:type="gramEnd"/>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Almost all information requested from respondents under this ICR is required by statute and, in most cases, is not available from other sources</w:t>
      </w:r>
      <w:r w:rsidR="005A67EC">
        <w:rPr>
          <w:sz w:val="24"/>
          <w:szCs w:val="24"/>
        </w:rPr>
        <w:t xml:space="preserve">. </w:t>
      </w:r>
      <w:r>
        <w:rPr>
          <w:sz w:val="24"/>
          <w:szCs w:val="24"/>
        </w:rPr>
        <w:t>Review of earlier and proposed forms resulted in the elimination of many redundant requirements</w:t>
      </w:r>
      <w:r w:rsidR="005A67EC">
        <w:rPr>
          <w:sz w:val="24"/>
          <w:szCs w:val="24"/>
        </w:rPr>
        <w:t xml:space="preserve">. </w:t>
      </w:r>
      <w:r>
        <w:rPr>
          <w:sz w:val="24"/>
          <w:szCs w:val="24"/>
        </w:rPr>
        <w:t>Where EPA needs information that has already been submitted, EPA is simply requiring a photocopy of the prior submittal.</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b/>
          <w:bCs/>
          <w:sz w:val="24"/>
          <w:szCs w:val="24"/>
        </w:rPr>
      </w:pPr>
      <w:r>
        <w:rPr>
          <w:sz w:val="24"/>
          <w:szCs w:val="24"/>
        </w:rPr>
        <w:tab/>
        <w:t>EPA notes that many of the units that are subject to the Acid Rain Program are also subject to other programs, such as the New Source Performance Standards (NSPS)</w:t>
      </w:r>
      <w:r w:rsidR="005A67EC">
        <w:rPr>
          <w:sz w:val="24"/>
          <w:szCs w:val="24"/>
        </w:rPr>
        <w:t xml:space="preserve">. </w:t>
      </w:r>
      <w:r>
        <w:rPr>
          <w:sz w:val="24"/>
          <w:szCs w:val="24"/>
        </w:rPr>
        <w:t>Under programs such as NSPS, sources are required to submit monitoring data reports that match the particular format and averaging time of the applicable emission limits under those standards</w:t>
      </w:r>
      <w:r w:rsidR="005A67EC">
        <w:rPr>
          <w:sz w:val="24"/>
          <w:szCs w:val="24"/>
        </w:rPr>
        <w:t xml:space="preserve">. </w:t>
      </w:r>
      <w:r>
        <w:rPr>
          <w:sz w:val="24"/>
          <w:szCs w:val="24"/>
        </w:rPr>
        <w:t>Although not the same information as the information provided under the Acid Rain Program, the information is often generated by the same monitoring equipment</w:t>
      </w:r>
      <w:r w:rsidR="00562093">
        <w:rPr>
          <w:sz w:val="24"/>
          <w:szCs w:val="24"/>
        </w:rPr>
        <w:t xml:space="preserve">.  </w:t>
      </w:r>
    </w:p>
    <w:p w:rsidR="009907D5" w:rsidRDefault="009907D5" w:rsidP="00562093">
      <w:pPr>
        <w:widowControl/>
        <w:numPr>
          <w:ilvl w:val="12"/>
          <w:numId w:val="0"/>
        </w:numPr>
        <w:rPr>
          <w:sz w:val="24"/>
          <w:szCs w:val="24"/>
        </w:rPr>
      </w:pPr>
    </w:p>
    <w:p w:rsidR="009907D5" w:rsidRDefault="00A74769" w:rsidP="00A74769">
      <w:pPr>
        <w:widowControl/>
        <w:numPr>
          <w:ilvl w:val="12"/>
          <w:numId w:val="0"/>
        </w:numPr>
        <w:ind w:left="360"/>
        <w:rPr>
          <w:sz w:val="24"/>
          <w:szCs w:val="24"/>
        </w:rPr>
      </w:pPr>
      <w:proofErr w:type="gramStart"/>
      <w:r>
        <w:rPr>
          <w:b/>
          <w:bCs/>
          <w:sz w:val="24"/>
          <w:szCs w:val="24"/>
        </w:rPr>
        <w:t xml:space="preserve">3.2  </w:t>
      </w:r>
      <w:r w:rsidR="009907D5">
        <w:rPr>
          <w:b/>
          <w:bCs/>
          <w:sz w:val="24"/>
          <w:szCs w:val="24"/>
        </w:rPr>
        <w:t>Consultations</w:t>
      </w:r>
      <w:proofErr w:type="gramEnd"/>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The data requirements for the Acid Rain Program were developed with the benefit of extensive consultation with the Acid Rain Advisory Committee (ARAC) during five meetings in 1991 lasting two to three days each</w:t>
      </w:r>
      <w:r w:rsidR="005A67EC">
        <w:rPr>
          <w:sz w:val="24"/>
          <w:szCs w:val="24"/>
        </w:rPr>
        <w:t xml:space="preserve">. </w:t>
      </w:r>
      <w:r>
        <w:rPr>
          <w:sz w:val="24"/>
          <w:szCs w:val="24"/>
        </w:rPr>
        <w:t>The Committee was composed of representatives of those entities most affected by or interested in the information requirements of the Acid Rain Program</w:t>
      </w:r>
      <w:r w:rsidR="005A67EC">
        <w:rPr>
          <w:sz w:val="24"/>
          <w:szCs w:val="24"/>
        </w:rPr>
        <w:t xml:space="preserve">. </w:t>
      </w:r>
      <w:r>
        <w:rPr>
          <w:sz w:val="24"/>
          <w:szCs w:val="24"/>
        </w:rPr>
        <w:t>Representation on the Committee was provided for industry, states, and environmental groups</w:t>
      </w:r>
      <w:r w:rsidR="005A67EC">
        <w:rPr>
          <w:sz w:val="24"/>
          <w:szCs w:val="24"/>
        </w:rPr>
        <w:t xml:space="preserve">. </w:t>
      </w:r>
      <w:r>
        <w:rPr>
          <w:sz w:val="24"/>
          <w:szCs w:val="24"/>
        </w:rPr>
        <w:t>Other parties consulted include the Utility Air Regulatory Group (UARG), the State and Territorial Air Pollution Program Administrators (STAPPA), and the Association of Local Air Pollution Control Officers (ALAPCO).</w:t>
      </w:r>
    </w:p>
    <w:p w:rsidR="009907D5" w:rsidRDefault="009907D5" w:rsidP="00562093">
      <w:pPr>
        <w:widowControl/>
        <w:numPr>
          <w:ilvl w:val="12"/>
          <w:numId w:val="0"/>
        </w:numPr>
        <w:rPr>
          <w:sz w:val="24"/>
          <w:szCs w:val="24"/>
        </w:rPr>
      </w:pPr>
    </w:p>
    <w:p w:rsidR="009907D5" w:rsidRDefault="009907D5" w:rsidP="00562093">
      <w:pPr>
        <w:keepNext/>
        <w:keepLines/>
        <w:widowControl/>
        <w:numPr>
          <w:ilvl w:val="12"/>
          <w:numId w:val="0"/>
        </w:numPr>
        <w:rPr>
          <w:sz w:val="24"/>
          <w:szCs w:val="24"/>
        </w:rPr>
      </w:pPr>
      <w:r>
        <w:rPr>
          <w:sz w:val="24"/>
          <w:szCs w:val="24"/>
        </w:rPr>
        <w:lastRenderedPageBreak/>
        <w:tab/>
        <w:t>Recommendations provided by ARAC strongly supported the use of standardized reporting forms for acid rain permit applications:</w:t>
      </w:r>
    </w:p>
    <w:p w:rsidR="009907D5" w:rsidRDefault="009907D5" w:rsidP="00562093">
      <w:pPr>
        <w:keepNext/>
        <w:keepLines/>
        <w:widowControl/>
        <w:numPr>
          <w:ilvl w:val="12"/>
          <w:numId w:val="0"/>
        </w:numPr>
        <w:rPr>
          <w:sz w:val="24"/>
          <w:szCs w:val="24"/>
        </w:rPr>
      </w:pPr>
    </w:p>
    <w:p w:rsidR="009907D5" w:rsidRDefault="00A74769" w:rsidP="00A74769">
      <w:pPr>
        <w:pStyle w:val="Level1"/>
        <w:keepNext/>
        <w:keepLines/>
        <w:widowControl/>
        <w:tabs>
          <w:tab w:val="left" w:pos="720"/>
          <w:tab w:val="left" w:pos="1440"/>
        </w:tabs>
        <w:ind w:hanging="360"/>
        <w:jc w:val="left"/>
      </w:pPr>
      <w:r>
        <w:t>●</w:t>
      </w:r>
      <w:r>
        <w:tab/>
      </w:r>
      <w:r w:rsidR="009907D5">
        <w:t>Utilities affirmed that standardized forms reduce uncertainty about what constitutes a complete application and thus reduce the need to supply additional information in a second submission;</w:t>
      </w:r>
    </w:p>
    <w:p w:rsidR="009907D5" w:rsidRDefault="009907D5" w:rsidP="00562093">
      <w:pPr>
        <w:keepNext/>
        <w:keepLines/>
        <w:widowControl/>
        <w:numPr>
          <w:ilvl w:val="12"/>
          <w:numId w:val="0"/>
        </w:numPr>
        <w:rPr>
          <w:sz w:val="24"/>
          <w:szCs w:val="24"/>
        </w:rPr>
      </w:pPr>
    </w:p>
    <w:p w:rsidR="009907D5" w:rsidRDefault="00A74769" w:rsidP="00A74769">
      <w:pPr>
        <w:pStyle w:val="Level1"/>
        <w:keepNext/>
        <w:keepLines/>
        <w:widowControl/>
        <w:tabs>
          <w:tab w:val="left" w:pos="720"/>
          <w:tab w:val="left" w:pos="1440"/>
        </w:tabs>
        <w:ind w:hanging="360"/>
        <w:jc w:val="left"/>
      </w:pPr>
      <w:r>
        <w:t>●</w:t>
      </w:r>
      <w:r>
        <w:tab/>
      </w:r>
      <w:r w:rsidR="009907D5">
        <w:t>States asserted that the use of standardized forms developed by EPA would reduce the time and effort states will need to implement an acid rain permit program; and</w:t>
      </w:r>
    </w:p>
    <w:p w:rsidR="009907D5" w:rsidRDefault="009907D5" w:rsidP="00562093">
      <w:pPr>
        <w:keepNext/>
        <w:keepLines/>
        <w:widowControl/>
        <w:numPr>
          <w:ilvl w:val="12"/>
          <w:numId w:val="0"/>
        </w:numPr>
        <w:rPr>
          <w:sz w:val="24"/>
          <w:szCs w:val="24"/>
        </w:rPr>
      </w:pPr>
    </w:p>
    <w:p w:rsidR="009907D5" w:rsidRDefault="00A74769" w:rsidP="00A74769">
      <w:pPr>
        <w:pStyle w:val="Level1"/>
        <w:keepNext/>
        <w:keepLines/>
        <w:widowControl/>
        <w:tabs>
          <w:tab w:val="left" w:pos="720"/>
          <w:tab w:val="left" w:pos="1440"/>
        </w:tabs>
        <w:ind w:hanging="360"/>
        <w:jc w:val="left"/>
      </w:pPr>
      <w:r>
        <w:t>●</w:t>
      </w:r>
      <w:r>
        <w:tab/>
      </w:r>
      <w:r w:rsidR="009907D5">
        <w:t>Environmental groups argued that the use of standardized forms provides greater assurance that permits will be enforceable in a consistent manner nationwide.</w:t>
      </w:r>
    </w:p>
    <w:p w:rsidR="009907D5" w:rsidRDefault="009907D5" w:rsidP="00562093">
      <w:pPr>
        <w:pStyle w:val="Level1"/>
        <w:keepNext/>
        <w:keepLines/>
        <w:widowControl/>
        <w:tabs>
          <w:tab w:val="left" w:pos="720"/>
          <w:tab w:val="left" w:pos="1440"/>
        </w:tabs>
        <w:jc w:val="left"/>
      </w:pPr>
    </w:p>
    <w:p w:rsidR="009907D5" w:rsidRDefault="009907D5" w:rsidP="00562093">
      <w:pPr>
        <w:widowControl/>
        <w:numPr>
          <w:ilvl w:val="12"/>
          <w:numId w:val="0"/>
        </w:numPr>
        <w:rPr>
          <w:sz w:val="24"/>
          <w:szCs w:val="24"/>
        </w:rPr>
      </w:pPr>
      <w:r>
        <w:rPr>
          <w:sz w:val="24"/>
          <w:szCs w:val="24"/>
        </w:rPr>
        <w:tab/>
        <w:t>Many ARAC recommendations were incorporated into the acid rain regulations regarding permits and the related standardized forms</w:t>
      </w:r>
      <w:r w:rsidR="00562093">
        <w:rPr>
          <w:sz w:val="24"/>
          <w:szCs w:val="24"/>
        </w:rPr>
        <w:t xml:space="preserve">.  </w:t>
      </w:r>
    </w:p>
    <w:p w:rsidR="009907D5" w:rsidRDefault="009907D5" w:rsidP="00562093">
      <w:pPr>
        <w:widowControl/>
        <w:numPr>
          <w:ilvl w:val="12"/>
          <w:numId w:val="0"/>
        </w:numPr>
        <w:rPr>
          <w:sz w:val="24"/>
          <w:szCs w:val="24"/>
        </w:rPr>
      </w:pPr>
    </w:p>
    <w:p w:rsidR="009907D5" w:rsidRDefault="00562093" w:rsidP="00562093">
      <w:pPr>
        <w:widowControl/>
        <w:numPr>
          <w:ilvl w:val="12"/>
          <w:numId w:val="0"/>
        </w:numPr>
        <w:rPr>
          <w:sz w:val="24"/>
          <w:szCs w:val="24"/>
        </w:rPr>
      </w:pPr>
      <w:r>
        <w:rPr>
          <w:sz w:val="24"/>
          <w:szCs w:val="24"/>
        </w:rPr>
        <w:tab/>
      </w:r>
      <w:r w:rsidR="009907D5">
        <w:rPr>
          <w:sz w:val="24"/>
          <w:szCs w:val="24"/>
        </w:rPr>
        <w:t>Since the beginning of implementation of the Acid Rain Program, representatives from the utility industry, monitoring equipment vendors, software programmers, consultants working together with utilities, and other interested parties have offered comments on the existing rule requirements, standard forms and electronic data reporting formats used to implement the Part 75 program</w:t>
      </w:r>
      <w:r w:rsidR="005A67EC">
        <w:rPr>
          <w:sz w:val="24"/>
          <w:szCs w:val="24"/>
        </w:rPr>
        <w:t xml:space="preserve">. </w:t>
      </w:r>
      <w:r w:rsidR="009907D5">
        <w:rPr>
          <w:sz w:val="24"/>
          <w:szCs w:val="24"/>
        </w:rPr>
        <w:t>The EPA has used these comments to revise the rules, forms and reporting formats, especially changes in the formats to cover a wider group of units</w:t>
      </w:r>
      <w:r w:rsidR="005A67EC">
        <w:rPr>
          <w:sz w:val="24"/>
          <w:szCs w:val="24"/>
        </w:rPr>
        <w:t xml:space="preserve">. </w:t>
      </w:r>
      <w:r w:rsidR="009907D5">
        <w:rPr>
          <w:sz w:val="24"/>
          <w:szCs w:val="24"/>
        </w:rPr>
        <w:t>In particular, the revised forms and electronic data reporting format have been revised in the past to address reporting requirements for gas-fired units and oil-fired units that are using pre-approved monitoring exceptions to the use of CEMS</w:t>
      </w:r>
      <w:r w:rsidR="005A67EC">
        <w:rPr>
          <w:sz w:val="24"/>
          <w:szCs w:val="24"/>
        </w:rPr>
        <w:t xml:space="preserve">. </w:t>
      </w:r>
      <w:r w:rsidR="009907D5">
        <w:rPr>
          <w:sz w:val="24"/>
          <w:szCs w:val="24"/>
        </w:rPr>
        <w:t>Industry groups have also worked together with EPA to revise the recordkeeping and reporting requirements in revisions to Part 75 in 1995, 1996, and 1999</w:t>
      </w:r>
      <w:r w:rsidR="005A67EC">
        <w:rPr>
          <w:sz w:val="24"/>
          <w:szCs w:val="24"/>
        </w:rPr>
        <w:t xml:space="preserve">. </w:t>
      </w:r>
      <w:r w:rsidR="009907D5">
        <w:rPr>
          <w:sz w:val="24"/>
          <w:szCs w:val="24"/>
        </w:rPr>
        <w:t xml:space="preserve">Comments and suggestions from working groups, comprised of UARG, Class of 85 Regulatory Response Group, and the PJM </w:t>
      </w:r>
      <w:proofErr w:type="spellStart"/>
      <w:r w:rsidR="009907D5">
        <w:rPr>
          <w:sz w:val="24"/>
          <w:szCs w:val="24"/>
        </w:rPr>
        <w:t>Powerpool</w:t>
      </w:r>
      <w:proofErr w:type="spellEnd"/>
      <w:r w:rsidR="009907D5">
        <w:rPr>
          <w:sz w:val="24"/>
          <w:szCs w:val="24"/>
        </w:rPr>
        <w:t xml:space="preserve"> also were incorporated in designing the annual compliance forms</w:t>
      </w:r>
      <w:r>
        <w:rPr>
          <w:sz w:val="24"/>
          <w:szCs w:val="24"/>
        </w:rPr>
        <w:t xml:space="preserve">.  </w:t>
      </w:r>
    </w:p>
    <w:p w:rsidR="009907D5" w:rsidRDefault="009907D5" w:rsidP="00562093">
      <w:pPr>
        <w:widowControl/>
        <w:numPr>
          <w:ilvl w:val="12"/>
          <w:numId w:val="0"/>
        </w:numPr>
        <w:rPr>
          <w:sz w:val="24"/>
          <w:szCs w:val="24"/>
        </w:rPr>
      </w:pPr>
    </w:p>
    <w:p w:rsidR="00D16438" w:rsidRDefault="009907D5" w:rsidP="00562093">
      <w:pPr>
        <w:widowControl/>
        <w:numPr>
          <w:ilvl w:val="12"/>
          <w:numId w:val="0"/>
        </w:numPr>
        <w:rPr>
          <w:sz w:val="24"/>
          <w:szCs w:val="24"/>
        </w:rPr>
      </w:pPr>
      <w:r>
        <w:rPr>
          <w:sz w:val="24"/>
          <w:szCs w:val="24"/>
        </w:rPr>
        <w:tab/>
        <w:t>In June 2009, EPA contacted eight companies subject to Acid Rain Program</w:t>
      </w:r>
      <w:r w:rsidR="00A74769">
        <w:rPr>
          <w:sz w:val="24"/>
          <w:szCs w:val="24"/>
        </w:rPr>
        <w:t xml:space="preserve"> (ARP)</w:t>
      </w:r>
      <w:r>
        <w:rPr>
          <w:sz w:val="24"/>
          <w:szCs w:val="24"/>
        </w:rPr>
        <w:t xml:space="preserve"> monitoring requirements, and asked for voluntary input regarding the number of hours involved in several tasks related to Acid Rain Program monitoring and reporting</w:t>
      </w:r>
      <w:r w:rsidR="005A67EC">
        <w:rPr>
          <w:sz w:val="24"/>
          <w:szCs w:val="24"/>
        </w:rPr>
        <w:t xml:space="preserve">. </w:t>
      </w:r>
      <w:r>
        <w:rPr>
          <w:sz w:val="24"/>
          <w:szCs w:val="24"/>
        </w:rPr>
        <w:t>Six respondents offered their estimates</w:t>
      </w:r>
      <w:r w:rsidR="005A67EC">
        <w:rPr>
          <w:sz w:val="24"/>
          <w:szCs w:val="24"/>
        </w:rPr>
        <w:t xml:space="preserve">. </w:t>
      </w:r>
      <w:r>
        <w:rPr>
          <w:sz w:val="24"/>
          <w:szCs w:val="24"/>
        </w:rPr>
        <w:t xml:space="preserve">EPA reviewed these estimates and found that </w:t>
      </w:r>
      <w:r w:rsidR="001A76DC">
        <w:rPr>
          <w:sz w:val="24"/>
          <w:szCs w:val="24"/>
        </w:rPr>
        <w:t xml:space="preserve">there was a wide range of expected burden, but that most estimates </w:t>
      </w:r>
      <w:r>
        <w:rPr>
          <w:sz w:val="24"/>
          <w:szCs w:val="24"/>
        </w:rPr>
        <w:t xml:space="preserve">were within the range of results that might be expected given </w:t>
      </w:r>
      <w:r w:rsidR="001A76DC">
        <w:rPr>
          <w:sz w:val="24"/>
          <w:szCs w:val="24"/>
        </w:rPr>
        <w:t xml:space="preserve">average </w:t>
      </w:r>
      <w:r>
        <w:rPr>
          <w:sz w:val="24"/>
          <w:szCs w:val="24"/>
        </w:rPr>
        <w:t xml:space="preserve">the </w:t>
      </w:r>
      <w:r w:rsidR="00A74769">
        <w:rPr>
          <w:sz w:val="24"/>
          <w:szCs w:val="24"/>
        </w:rPr>
        <w:t xml:space="preserve">hourly burdens used in the 2007 – </w:t>
      </w:r>
      <w:r>
        <w:rPr>
          <w:sz w:val="24"/>
          <w:szCs w:val="24"/>
        </w:rPr>
        <w:t>2009 renewal</w:t>
      </w:r>
      <w:r w:rsidR="005A67EC">
        <w:rPr>
          <w:sz w:val="24"/>
          <w:szCs w:val="24"/>
        </w:rPr>
        <w:t xml:space="preserve">. </w:t>
      </w:r>
      <w:r>
        <w:rPr>
          <w:sz w:val="24"/>
          <w:szCs w:val="24"/>
        </w:rPr>
        <w:t>Further, with the exception of the new data collection/reporting format, no regulatory changes are likely to change burden levels</w:t>
      </w:r>
      <w:r w:rsidR="005A67EC">
        <w:rPr>
          <w:sz w:val="24"/>
          <w:szCs w:val="24"/>
        </w:rPr>
        <w:t xml:space="preserve">. </w:t>
      </w:r>
      <w:r>
        <w:rPr>
          <w:sz w:val="24"/>
          <w:szCs w:val="24"/>
        </w:rPr>
        <w:t xml:space="preserve">Thus, while hourly </w:t>
      </w:r>
      <w:r w:rsidR="00FE6DDC">
        <w:rPr>
          <w:sz w:val="24"/>
          <w:szCs w:val="24"/>
        </w:rPr>
        <w:t xml:space="preserve">wage </w:t>
      </w:r>
      <w:r>
        <w:rPr>
          <w:sz w:val="24"/>
          <w:szCs w:val="24"/>
        </w:rPr>
        <w:t>rates and other costs elements have been revised to reflect 20</w:t>
      </w:r>
      <w:r w:rsidR="00D16438">
        <w:rPr>
          <w:sz w:val="24"/>
          <w:szCs w:val="24"/>
        </w:rPr>
        <w:t>12</w:t>
      </w:r>
      <w:r>
        <w:rPr>
          <w:sz w:val="24"/>
          <w:szCs w:val="24"/>
        </w:rPr>
        <w:t xml:space="preserve"> dollars and the number of units subject to the ARP has been updated to include  projected new units and opt-in units, the estimated hours for each task remains unchanged consistent with the previous renewal of this ICR</w:t>
      </w:r>
      <w:r w:rsidR="005A67EC">
        <w:rPr>
          <w:sz w:val="24"/>
          <w:szCs w:val="24"/>
        </w:rPr>
        <w:t xml:space="preserve">. </w:t>
      </w:r>
    </w:p>
    <w:p w:rsidR="00D16438" w:rsidRDefault="00D16438" w:rsidP="00674ADB">
      <w:pPr>
        <w:ind w:firstLine="1440"/>
        <w:rPr>
          <w:sz w:val="24"/>
          <w:szCs w:val="24"/>
        </w:rPr>
      </w:pPr>
    </w:p>
    <w:p w:rsidR="00D16438" w:rsidRDefault="00D16438" w:rsidP="00674ADB">
      <w:pPr>
        <w:ind w:firstLine="720"/>
        <w:rPr>
          <w:rFonts w:ascii="TimesNewRoman,Bold" w:hAnsi="TimesNewRoman,Bold" w:cs="TimesNewRoman,Bold"/>
          <w:bCs/>
          <w:sz w:val="24"/>
          <w:szCs w:val="24"/>
        </w:rPr>
      </w:pPr>
      <w:r>
        <w:rPr>
          <w:sz w:val="24"/>
          <w:szCs w:val="24"/>
        </w:rPr>
        <w:t>On October 2011, EPA published r</w:t>
      </w:r>
      <w:r>
        <w:rPr>
          <w:rFonts w:ascii="TimesNewRoman,Bold" w:hAnsi="TimesNewRoman,Bold" w:cs="TimesNewRoman,Bold"/>
          <w:bCs/>
          <w:sz w:val="24"/>
          <w:szCs w:val="24"/>
        </w:rPr>
        <w:t xml:space="preserve">evisions to the Emissions Monitoring Rule under the Acid Rain Program, </w:t>
      </w:r>
      <w:proofErr w:type="spellStart"/>
      <w:r>
        <w:rPr>
          <w:rFonts w:ascii="TimesNewRoman" w:hAnsi="TimesNewRoman" w:cs="TimesNewRoman"/>
          <w:sz w:val="24"/>
          <w:szCs w:val="24"/>
        </w:rPr>
        <w:t>NO</w:t>
      </w:r>
      <w:r>
        <w:rPr>
          <w:rFonts w:ascii="TimesNewRoman" w:hAnsi="TimesNewRoman" w:cs="TimesNewRoman"/>
          <w:sz w:val="24"/>
          <w:szCs w:val="24"/>
          <w:vertAlign w:val="subscript"/>
        </w:rPr>
        <w:t>x</w:t>
      </w:r>
      <w:proofErr w:type="spellEnd"/>
      <w:r>
        <w:rPr>
          <w:rFonts w:ascii="TimesNewRoman,Bold" w:hAnsi="TimesNewRoman,Bold" w:cs="TimesNewRoman,Bold"/>
          <w:bCs/>
          <w:sz w:val="24"/>
          <w:szCs w:val="24"/>
        </w:rPr>
        <w:t xml:space="preserve"> Budget Trading Program, Clean Air Interstate Programs; Amendments to the Protocol Gas Verification Program and the Minimum Competency Requirements for Air Emission Testing, EPA ICR Number 2203.04, OMB Control Number 2060-0626</w:t>
      </w:r>
      <w:r w:rsidR="00CE3ABF">
        <w:rPr>
          <w:rFonts w:ascii="TimesNewRoman,Bold" w:hAnsi="TimesNewRoman,Bold" w:cs="TimesNewRoman,Bold"/>
          <w:bCs/>
          <w:sz w:val="24"/>
          <w:szCs w:val="24"/>
        </w:rPr>
        <w:t xml:space="preserve">. </w:t>
      </w:r>
      <w:r>
        <w:rPr>
          <w:rFonts w:ascii="TimesNewRoman,Bold" w:hAnsi="TimesNewRoman,Bold" w:cs="TimesNewRoman,Bold"/>
          <w:bCs/>
          <w:sz w:val="24"/>
          <w:szCs w:val="24"/>
        </w:rPr>
        <w:t>EPA ICR Number 2203.04 expires on August 2014</w:t>
      </w:r>
      <w:r w:rsidR="00CE3ABF">
        <w:rPr>
          <w:rFonts w:ascii="TimesNewRoman,Bold" w:hAnsi="TimesNewRoman,Bold" w:cs="TimesNewRoman,Bold"/>
          <w:bCs/>
          <w:sz w:val="24"/>
          <w:szCs w:val="24"/>
        </w:rPr>
        <w:t xml:space="preserve">. </w:t>
      </w:r>
      <w:r w:rsidR="00FE6DDC">
        <w:rPr>
          <w:rFonts w:ascii="TimesNewRoman,Bold" w:hAnsi="TimesNewRoman,Bold" w:cs="TimesNewRoman,Bold"/>
          <w:bCs/>
          <w:sz w:val="24"/>
          <w:szCs w:val="24"/>
        </w:rPr>
        <w:t xml:space="preserve">To facilitate allowing that separate ICR expire and instead properly account in this ICR for the future burdens on </w:t>
      </w:r>
      <w:r w:rsidR="00FE6DDC">
        <w:rPr>
          <w:rFonts w:ascii="TimesNewRoman,Bold" w:hAnsi="TimesNewRoman,Bold" w:cs="TimesNewRoman,Bold"/>
          <w:bCs/>
          <w:sz w:val="24"/>
          <w:szCs w:val="24"/>
        </w:rPr>
        <w:lastRenderedPageBreak/>
        <w:t xml:space="preserve">ARP sources that are associated with those rule revisions after August 2014, EPA </w:t>
      </w:r>
      <w:r>
        <w:rPr>
          <w:rFonts w:ascii="TimesNewRoman,Bold" w:hAnsi="TimesNewRoman,Bold" w:cs="TimesNewRoman,Bold"/>
          <w:bCs/>
          <w:sz w:val="24"/>
          <w:szCs w:val="24"/>
        </w:rPr>
        <w:t>incorporate</w:t>
      </w:r>
      <w:r w:rsidR="00FE6DDC">
        <w:rPr>
          <w:rFonts w:ascii="TimesNewRoman,Bold" w:hAnsi="TimesNewRoman,Bold" w:cs="TimesNewRoman,Bold"/>
          <w:bCs/>
          <w:sz w:val="24"/>
          <w:szCs w:val="24"/>
        </w:rPr>
        <w:t>s</w:t>
      </w:r>
      <w:r>
        <w:rPr>
          <w:rFonts w:ascii="TimesNewRoman,Bold" w:hAnsi="TimesNewRoman,Bold" w:cs="TimesNewRoman,Bold"/>
          <w:bCs/>
          <w:sz w:val="24"/>
          <w:szCs w:val="24"/>
        </w:rPr>
        <w:t xml:space="preserve"> the</w:t>
      </w:r>
      <w:r w:rsidR="00FE6DDC">
        <w:rPr>
          <w:rFonts w:ascii="TimesNewRoman,Bold" w:hAnsi="TimesNewRoman,Bold" w:cs="TimesNewRoman,Bold"/>
          <w:bCs/>
          <w:sz w:val="24"/>
          <w:szCs w:val="24"/>
        </w:rPr>
        <w:t xml:space="preserve"> burdens and costs of those rule revisions for a portion of the second year and the third year of this </w:t>
      </w:r>
      <w:proofErr w:type="gramStart"/>
      <w:r>
        <w:rPr>
          <w:rFonts w:ascii="TimesNewRoman,Bold" w:hAnsi="TimesNewRoman,Bold" w:cs="TimesNewRoman,Bold"/>
          <w:bCs/>
          <w:sz w:val="24"/>
          <w:szCs w:val="24"/>
        </w:rPr>
        <w:t>ICR  (</w:t>
      </w:r>
      <w:proofErr w:type="gramEnd"/>
      <w:r w:rsidR="00FE6DDC">
        <w:rPr>
          <w:rFonts w:ascii="TimesNewRoman,Bold" w:hAnsi="TimesNewRoman,Bold" w:cs="TimesNewRoman,Bold"/>
          <w:bCs/>
          <w:sz w:val="24"/>
          <w:szCs w:val="24"/>
        </w:rPr>
        <w:t xml:space="preserve">i.e., for September </w:t>
      </w:r>
      <w:r>
        <w:rPr>
          <w:rFonts w:ascii="TimesNewRoman,Bold" w:hAnsi="TimesNewRoman,Bold" w:cs="TimesNewRoman,Bold"/>
          <w:bCs/>
          <w:sz w:val="24"/>
          <w:szCs w:val="24"/>
        </w:rPr>
        <w:t>201</w:t>
      </w:r>
      <w:r w:rsidR="00FE6DDC">
        <w:rPr>
          <w:rFonts w:ascii="TimesNewRoman,Bold" w:hAnsi="TimesNewRoman,Bold" w:cs="TimesNewRoman,Bold"/>
          <w:bCs/>
          <w:sz w:val="24"/>
          <w:szCs w:val="24"/>
        </w:rPr>
        <w:t>4 through 20</w:t>
      </w:r>
      <w:r>
        <w:rPr>
          <w:rFonts w:ascii="TimesNewRoman,Bold" w:hAnsi="TimesNewRoman,Bold" w:cs="TimesNewRoman,Bold"/>
          <w:bCs/>
          <w:sz w:val="24"/>
          <w:szCs w:val="24"/>
        </w:rPr>
        <w:t>15 only)</w:t>
      </w:r>
      <w:r w:rsidR="00FE6DDC">
        <w:rPr>
          <w:rFonts w:ascii="TimesNewRoman,Bold" w:hAnsi="TimesNewRoman,Bold" w:cs="TimesNewRoman,Bold"/>
          <w:bCs/>
          <w:sz w:val="24"/>
          <w:szCs w:val="24"/>
        </w:rPr>
        <w:t>.</w:t>
      </w:r>
    </w:p>
    <w:p w:rsidR="00D16438" w:rsidRDefault="00D16438" w:rsidP="00562093">
      <w:pPr>
        <w:widowControl/>
        <w:numPr>
          <w:ilvl w:val="12"/>
          <w:numId w:val="0"/>
        </w:numPr>
        <w:rPr>
          <w:sz w:val="24"/>
          <w:szCs w:val="24"/>
        </w:rPr>
      </w:pPr>
    </w:p>
    <w:p w:rsidR="009907D5" w:rsidRDefault="009907D5" w:rsidP="00562093">
      <w:pPr>
        <w:widowControl/>
        <w:numPr>
          <w:ilvl w:val="12"/>
          <w:numId w:val="0"/>
        </w:numPr>
        <w:rPr>
          <w:sz w:val="24"/>
          <w:szCs w:val="24"/>
        </w:rPr>
      </w:pPr>
    </w:p>
    <w:p w:rsidR="009907D5" w:rsidRDefault="009907D5" w:rsidP="00674ADB">
      <w:pPr>
        <w:keepNext/>
        <w:widowControl/>
        <w:numPr>
          <w:ilvl w:val="12"/>
          <w:numId w:val="0"/>
        </w:numPr>
        <w:ind w:left="360"/>
        <w:rPr>
          <w:sz w:val="24"/>
          <w:szCs w:val="24"/>
        </w:rPr>
      </w:pPr>
      <w:proofErr w:type="gramStart"/>
      <w:r>
        <w:rPr>
          <w:b/>
          <w:bCs/>
          <w:sz w:val="24"/>
          <w:szCs w:val="24"/>
        </w:rPr>
        <w:t>3.3</w:t>
      </w:r>
      <w:r w:rsidR="00A74769">
        <w:rPr>
          <w:b/>
          <w:bCs/>
          <w:sz w:val="24"/>
          <w:szCs w:val="24"/>
        </w:rPr>
        <w:t xml:space="preserve">  </w:t>
      </w:r>
      <w:r>
        <w:rPr>
          <w:b/>
          <w:bCs/>
          <w:sz w:val="24"/>
          <w:szCs w:val="24"/>
        </w:rPr>
        <w:t>Effects</w:t>
      </w:r>
      <w:proofErr w:type="gramEnd"/>
      <w:r>
        <w:rPr>
          <w:b/>
          <w:bCs/>
          <w:sz w:val="24"/>
          <w:szCs w:val="24"/>
        </w:rPr>
        <w:t xml:space="preserve"> of Less Frequent Collection</w:t>
      </w:r>
    </w:p>
    <w:p w:rsidR="009907D5" w:rsidRDefault="009907D5" w:rsidP="00674ADB">
      <w:pPr>
        <w:keepNext/>
        <w:widowControl/>
        <w:numPr>
          <w:ilvl w:val="12"/>
          <w:numId w:val="0"/>
        </w:numPr>
        <w:rPr>
          <w:sz w:val="24"/>
          <w:szCs w:val="24"/>
        </w:rPr>
      </w:pPr>
    </w:p>
    <w:p w:rsidR="009907D5" w:rsidRDefault="009907D5" w:rsidP="00674ADB">
      <w:pPr>
        <w:keepNext/>
        <w:widowControl/>
        <w:numPr>
          <w:ilvl w:val="12"/>
          <w:numId w:val="0"/>
        </w:numPr>
        <w:rPr>
          <w:sz w:val="24"/>
          <w:szCs w:val="24"/>
        </w:rPr>
      </w:pPr>
      <w:r>
        <w:rPr>
          <w:sz w:val="24"/>
          <w:szCs w:val="24"/>
        </w:rPr>
        <w:tab/>
        <w:t>Collection of allowance transfer information for each transfer of allowances is necessary to effectively implement a system for issuing, recording, and tracking allowances, which is required by statute</w:t>
      </w:r>
      <w:r w:rsidR="00562093">
        <w:rPr>
          <w:sz w:val="24"/>
          <w:szCs w:val="24"/>
        </w:rPr>
        <w:t xml:space="preserve">.  </w:t>
      </w:r>
    </w:p>
    <w:p w:rsidR="009907D5" w:rsidRDefault="009907D5" w:rsidP="00674ADB">
      <w:pPr>
        <w:keepNext/>
        <w:widowControl/>
        <w:numPr>
          <w:ilvl w:val="12"/>
          <w:numId w:val="0"/>
        </w:numPr>
        <w:rPr>
          <w:sz w:val="24"/>
          <w:szCs w:val="24"/>
        </w:rPr>
      </w:pPr>
    </w:p>
    <w:p w:rsidR="009907D5" w:rsidRDefault="00515EC2" w:rsidP="00674ADB">
      <w:pPr>
        <w:keepNext/>
        <w:widowControl/>
        <w:numPr>
          <w:ilvl w:val="12"/>
          <w:numId w:val="0"/>
        </w:numPr>
        <w:ind w:left="720"/>
        <w:rPr>
          <w:b/>
          <w:bCs/>
          <w:sz w:val="24"/>
          <w:szCs w:val="24"/>
        </w:rPr>
      </w:pPr>
      <w:proofErr w:type="gramStart"/>
      <w:r>
        <w:rPr>
          <w:b/>
          <w:bCs/>
          <w:sz w:val="24"/>
          <w:szCs w:val="24"/>
        </w:rPr>
        <w:t>3.3.</w:t>
      </w:r>
      <w:r w:rsidR="00D16438">
        <w:rPr>
          <w:b/>
          <w:bCs/>
          <w:sz w:val="24"/>
          <w:szCs w:val="24"/>
        </w:rPr>
        <w:t xml:space="preserve">1  </w:t>
      </w:r>
      <w:r w:rsidR="009907D5">
        <w:rPr>
          <w:b/>
          <w:bCs/>
          <w:sz w:val="24"/>
          <w:szCs w:val="24"/>
        </w:rPr>
        <w:t>Permits</w:t>
      </w:r>
      <w:proofErr w:type="gramEnd"/>
    </w:p>
    <w:p w:rsidR="00562093" w:rsidRDefault="00562093" w:rsidP="00674ADB">
      <w:pPr>
        <w:keepNext/>
        <w:widowControl/>
        <w:numPr>
          <w:ilvl w:val="12"/>
          <w:numId w:val="0"/>
        </w:numPr>
        <w:rPr>
          <w:sz w:val="24"/>
          <w:szCs w:val="24"/>
        </w:rPr>
      </w:pPr>
    </w:p>
    <w:p w:rsidR="009907D5" w:rsidRDefault="009907D5" w:rsidP="00674ADB">
      <w:pPr>
        <w:keepNext/>
        <w:widowControl/>
        <w:numPr>
          <w:ilvl w:val="12"/>
          <w:numId w:val="0"/>
        </w:numPr>
        <w:rPr>
          <w:sz w:val="24"/>
          <w:szCs w:val="24"/>
        </w:rPr>
      </w:pPr>
      <w:r>
        <w:rPr>
          <w:sz w:val="24"/>
          <w:szCs w:val="24"/>
        </w:rPr>
        <w:tab/>
        <w:t>The requirement for the designated representatives of owners and operators of affected sources to submit permit applications every five years is a statutory requirement</w:t>
      </w:r>
      <w:r w:rsidR="00562093">
        <w:rPr>
          <w:sz w:val="24"/>
          <w:szCs w:val="24"/>
        </w:rPr>
        <w:t xml:space="preserve">.  </w:t>
      </w:r>
    </w:p>
    <w:p w:rsidR="00562093" w:rsidRDefault="00562093" w:rsidP="00562093">
      <w:pPr>
        <w:widowControl/>
        <w:numPr>
          <w:ilvl w:val="12"/>
          <w:numId w:val="0"/>
        </w:numPr>
        <w:rPr>
          <w:sz w:val="24"/>
          <w:szCs w:val="24"/>
        </w:rPr>
      </w:pPr>
    </w:p>
    <w:p w:rsidR="009907D5" w:rsidRDefault="00515EC2" w:rsidP="00515EC2">
      <w:pPr>
        <w:widowControl/>
        <w:numPr>
          <w:ilvl w:val="12"/>
          <w:numId w:val="0"/>
        </w:numPr>
        <w:ind w:left="720"/>
        <w:rPr>
          <w:b/>
          <w:bCs/>
          <w:sz w:val="24"/>
          <w:szCs w:val="24"/>
        </w:rPr>
      </w:pPr>
      <w:proofErr w:type="gramStart"/>
      <w:r>
        <w:rPr>
          <w:b/>
          <w:bCs/>
          <w:sz w:val="24"/>
          <w:szCs w:val="24"/>
        </w:rPr>
        <w:t>3.3.</w:t>
      </w:r>
      <w:r w:rsidR="00D16438">
        <w:rPr>
          <w:b/>
          <w:bCs/>
          <w:sz w:val="24"/>
          <w:szCs w:val="24"/>
        </w:rPr>
        <w:t xml:space="preserve">2  </w:t>
      </w:r>
      <w:r w:rsidR="009907D5">
        <w:rPr>
          <w:b/>
          <w:bCs/>
          <w:sz w:val="24"/>
          <w:szCs w:val="24"/>
        </w:rPr>
        <w:t>Emissions</w:t>
      </w:r>
      <w:proofErr w:type="gramEnd"/>
      <w:r w:rsidR="009907D5">
        <w:rPr>
          <w:b/>
          <w:bCs/>
          <w:sz w:val="24"/>
          <w:szCs w:val="24"/>
        </w:rPr>
        <w:t xml:space="preserve"> Monitoring</w:t>
      </w:r>
    </w:p>
    <w:p w:rsidR="00562093" w:rsidRDefault="00562093"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Submission of monitoring plans once and submission of the results of any required monitoring to EPA no less often than every six months are required by statute</w:t>
      </w:r>
      <w:r w:rsidR="005A67EC">
        <w:rPr>
          <w:sz w:val="24"/>
          <w:szCs w:val="24"/>
        </w:rPr>
        <w:t xml:space="preserve">. </w:t>
      </w:r>
      <w:r>
        <w:rPr>
          <w:sz w:val="24"/>
          <w:szCs w:val="24"/>
        </w:rPr>
        <w:t>More frequent collections of emissions data (i.e., quarterly), however, allows the opportunity to check data for errors and provide rapid feedback on needed adjustments to data collection systems, and thereby promotes accurate and reliable emissions data</w:t>
      </w:r>
      <w:r w:rsidR="005A67EC">
        <w:rPr>
          <w:sz w:val="24"/>
          <w:szCs w:val="24"/>
        </w:rPr>
        <w:t xml:space="preserve">. </w:t>
      </w:r>
      <w:r>
        <w:rPr>
          <w:sz w:val="24"/>
          <w:szCs w:val="24"/>
        </w:rPr>
        <w:t>For this same reason, existing federal and state emission monitoring programs often require quarterly reporting, or in some cases, monthly</w:t>
      </w:r>
      <w:r w:rsidR="005A67EC">
        <w:rPr>
          <w:sz w:val="24"/>
          <w:szCs w:val="24"/>
        </w:rPr>
        <w:t xml:space="preserve">. </w:t>
      </w:r>
      <w:r>
        <w:rPr>
          <w:sz w:val="24"/>
          <w:szCs w:val="24"/>
        </w:rPr>
        <w:t>Less frequent collection, such as semi-annually or annually, would increase the amount of preparation and review time at the end of the year both for regulated sources and for EPA</w:t>
      </w:r>
      <w:r w:rsidR="005A67EC">
        <w:rPr>
          <w:sz w:val="24"/>
          <w:szCs w:val="24"/>
        </w:rPr>
        <w:t xml:space="preserve">. </w:t>
      </w:r>
      <w:r>
        <w:rPr>
          <w:sz w:val="24"/>
          <w:szCs w:val="24"/>
        </w:rPr>
        <w:t>This would slow down the process of true up and end of year verification of compliance.</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Records of monitoring information are to be kept at the source for three years after the date of creation of the record</w:t>
      </w:r>
      <w:r w:rsidR="005A67EC">
        <w:rPr>
          <w:sz w:val="24"/>
          <w:szCs w:val="24"/>
        </w:rPr>
        <w:t xml:space="preserve">. </w:t>
      </w:r>
      <w:r>
        <w:rPr>
          <w:sz w:val="24"/>
          <w:szCs w:val="24"/>
        </w:rPr>
        <w:t>In certain circumstances, fuel flowmeter calibration and Appendix E testing records may have to be kept for up to five years if the owner or operator takes advantage of rule provisions that allow up to five years between tests</w:t>
      </w:r>
      <w:r w:rsidR="005A67EC">
        <w:rPr>
          <w:sz w:val="24"/>
          <w:szCs w:val="24"/>
        </w:rPr>
        <w:t xml:space="preserve">. </w:t>
      </w:r>
      <w:r>
        <w:rPr>
          <w:sz w:val="24"/>
          <w:szCs w:val="24"/>
        </w:rPr>
        <w:t>These five year recordkeeping requirements only apply if the owner or operator voluntarily elects either of these options as a cost-effective approach for the owner or operator</w:t>
      </w:r>
      <w:r w:rsidR="00A90381">
        <w:rPr>
          <w:sz w:val="24"/>
          <w:szCs w:val="24"/>
        </w:rPr>
        <w:t>'</w:t>
      </w:r>
      <w:r>
        <w:rPr>
          <w:sz w:val="24"/>
          <w:szCs w:val="24"/>
        </w:rPr>
        <w:t>s specific circumstances.</w:t>
      </w:r>
    </w:p>
    <w:p w:rsidR="009907D5" w:rsidRDefault="009907D5" w:rsidP="00562093">
      <w:pPr>
        <w:widowControl/>
        <w:numPr>
          <w:ilvl w:val="12"/>
          <w:numId w:val="0"/>
        </w:numPr>
        <w:rPr>
          <w:sz w:val="24"/>
          <w:szCs w:val="24"/>
        </w:rPr>
      </w:pPr>
    </w:p>
    <w:p w:rsidR="009907D5" w:rsidRDefault="00515EC2" w:rsidP="00515EC2">
      <w:pPr>
        <w:widowControl/>
        <w:numPr>
          <w:ilvl w:val="12"/>
          <w:numId w:val="0"/>
        </w:numPr>
        <w:ind w:left="720"/>
        <w:rPr>
          <w:b/>
          <w:bCs/>
          <w:sz w:val="24"/>
          <w:szCs w:val="24"/>
        </w:rPr>
      </w:pPr>
      <w:proofErr w:type="gramStart"/>
      <w:r>
        <w:rPr>
          <w:b/>
          <w:bCs/>
          <w:sz w:val="24"/>
          <w:szCs w:val="24"/>
        </w:rPr>
        <w:t>3.3.</w:t>
      </w:r>
      <w:r w:rsidR="00D16438">
        <w:rPr>
          <w:b/>
          <w:bCs/>
          <w:sz w:val="24"/>
          <w:szCs w:val="24"/>
        </w:rPr>
        <w:t xml:space="preserve">3  </w:t>
      </w:r>
      <w:r w:rsidR="009907D5">
        <w:rPr>
          <w:b/>
          <w:bCs/>
          <w:sz w:val="24"/>
          <w:szCs w:val="24"/>
        </w:rPr>
        <w:t>Opt</w:t>
      </w:r>
      <w:proofErr w:type="gramEnd"/>
      <w:r w:rsidR="009907D5">
        <w:rPr>
          <w:b/>
          <w:bCs/>
          <w:sz w:val="24"/>
          <w:szCs w:val="24"/>
        </w:rPr>
        <w:t>-in</w:t>
      </w:r>
    </w:p>
    <w:p w:rsidR="00562093" w:rsidRDefault="00562093"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Collection of permit applications for the opt-in program occurs only once every five years, thus minimizing the respondent burden</w:t>
      </w:r>
      <w:r w:rsidR="005A67EC">
        <w:rPr>
          <w:sz w:val="24"/>
          <w:szCs w:val="24"/>
        </w:rPr>
        <w:t xml:space="preserve">. </w:t>
      </w:r>
      <w:r>
        <w:rPr>
          <w:sz w:val="24"/>
          <w:szCs w:val="24"/>
        </w:rPr>
        <w:t xml:space="preserve">This collection is necessary for the operation of the program; without it, EPA would not know which sources wanted to opt in, </w:t>
      </w:r>
      <w:proofErr w:type="gramStart"/>
      <w:r>
        <w:rPr>
          <w:sz w:val="24"/>
          <w:szCs w:val="24"/>
        </w:rPr>
        <w:t>nor their baseline utilization, nor</w:t>
      </w:r>
      <w:proofErr w:type="gramEnd"/>
      <w:r>
        <w:rPr>
          <w:sz w:val="24"/>
          <w:szCs w:val="24"/>
        </w:rPr>
        <w:t xml:space="preserve"> the lower of their 1985 actual or allowable emission rate</w:t>
      </w:r>
      <w:r w:rsidR="005A67EC">
        <w:rPr>
          <w:sz w:val="24"/>
          <w:szCs w:val="24"/>
        </w:rPr>
        <w:t xml:space="preserve">. </w:t>
      </w:r>
      <w:r>
        <w:rPr>
          <w:sz w:val="24"/>
          <w:szCs w:val="24"/>
        </w:rPr>
        <w:t>Collection of withdrawal notifications also occurs once; this is also a necessary collection.</w:t>
      </w:r>
    </w:p>
    <w:p w:rsidR="009907D5" w:rsidRDefault="009907D5" w:rsidP="00562093">
      <w:pPr>
        <w:widowControl/>
        <w:numPr>
          <w:ilvl w:val="12"/>
          <w:numId w:val="0"/>
        </w:numPr>
        <w:rPr>
          <w:sz w:val="24"/>
          <w:szCs w:val="24"/>
        </w:rPr>
      </w:pPr>
    </w:p>
    <w:p w:rsidR="009907D5" w:rsidRDefault="00515EC2" w:rsidP="00AE176A">
      <w:pPr>
        <w:keepNext/>
        <w:widowControl/>
        <w:numPr>
          <w:ilvl w:val="12"/>
          <w:numId w:val="0"/>
        </w:numPr>
        <w:ind w:left="720"/>
        <w:rPr>
          <w:b/>
          <w:bCs/>
          <w:sz w:val="24"/>
          <w:szCs w:val="24"/>
        </w:rPr>
      </w:pPr>
      <w:proofErr w:type="gramStart"/>
      <w:r>
        <w:rPr>
          <w:b/>
          <w:bCs/>
          <w:sz w:val="24"/>
          <w:szCs w:val="24"/>
        </w:rPr>
        <w:lastRenderedPageBreak/>
        <w:t>3.3.</w:t>
      </w:r>
      <w:r w:rsidR="00D16438">
        <w:rPr>
          <w:b/>
          <w:bCs/>
          <w:sz w:val="24"/>
          <w:szCs w:val="24"/>
        </w:rPr>
        <w:t xml:space="preserve">4  </w:t>
      </w:r>
      <w:proofErr w:type="spellStart"/>
      <w:r w:rsidR="009907D5">
        <w:rPr>
          <w:b/>
          <w:bCs/>
          <w:sz w:val="24"/>
          <w:szCs w:val="24"/>
        </w:rPr>
        <w:t>NO</w:t>
      </w:r>
      <w:r w:rsidR="00562093">
        <w:rPr>
          <w:b/>
          <w:bCs/>
          <w:sz w:val="24"/>
          <w:szCs w:val="24"/>
          <w:vertAlign w:val="subscript"/>
        </w:rPr>
        <w:t>x</w:t>
      </w:r>
      <w:proofErr w:type="spellEnd"/>
      <w:proofErr w:type="gramEnd"/>
      <w:r w:rsidR="009907D5">
        <w:rPr>
          <w:b/>
          <w:bCs/>
          <w:sz w:val="24"/>
          <w:szCs w:val="24"/>
        </w:rPr>
        <w:t xml:space="preserve"> Permitting</w:t>
      </w:r>
    </w:p>
    <w:p w:rsidR="00562093" w:rsidRDefault="00562093" w:rsidP="00AE176A">
      <w:pPr>
        <w:keepNext/>
        <w:widowControl/>
        <w:numPr>
          <w:ilvl w:val="12"/>
          <w:numId w:val="0"/>
        </w:numPr>
        <w:rPr>
          <w:sz w:val="24"/>
          <w:szCs w:val="24"/>
        </w:rPr>
      </w:pPr>
    </w:p>
    <w:p w:rsidR="009907D5" w:rsidRDefault="009907D5" w:rsidP="00AE176A">
      <w:pPr>
        <w:keepNext/>
        <w:widowControl/>
        <w:numPr>
          <w:ilvl w:val="12"/>
          <w:numId w:val="0"/>
        </w:numPr>
        <w:rPr>
          <w:sz w:val="24"/>
          <w:szCs w:val="24"/>
        </w:rPr>
      </w:pPr>
      <w:r>
        <w:rPr>
          <w:sz w:val="24"/>
          <w:szCs w:val="24"/>
        </w:rPr>
        <w:tab/>
        <w:t xml:space="preserve">The Agency is required by statute to include </w:t>
      </w:r>
      <w:proofErr w:type="spellStart"/>
      <w:r>
        <w:rPr>
          <w:sz w:val="24"/>
          <w:szCs w:val="24"/>
        </w:rPr>
        <w:t>NO</w:t>
      </w:r>
      <w:r w:rsidR="00562093">
        <w:rPr>
          <w:sz w:val="24"/>
          <w:szCs w:val="24"/>
          <w:vertAlign w:val="subscript"/>
        </w:rPr>
        <w:t>x</w:t>
      </w:r>
      <w:proofErr w:type="spellEnd"/>
      <w:r>
        <w:rPr>
          <w:sz w:val="24"/>
          <w:szCs w:val="24"/>
        </w:rPr>
        <w:t xml:space="preserve"> compliance plans as part of the Acid Rain permits</w:t>
      </w:r>
      <w:r w:rsidR="005A67EC">
        <w:rPr>
          <w:sz w:val="24"/>
          <w:szCs w:val="24"/>
        </w:rPr>
        <w:t xml:space="preserve">. </w:t>
      </w:r>
      <w:r>
        <w:rPr>
          <w:sz w:val="24"/>
          <w:szCs w:val="24"/>
        </w:rPr>
        <w:t xml:space="preserve">As mentioned earlier, Acid Rain permits are renewed every five years, so </w:t>
      </w:r>
      <w:proofErr w:type="spellStart"/>
      <w:r>
        <w:rPr>
          <w:sz w:val="24"/>
          <w:szCs w:val="24"/>
        </w:rPr>
        <w:t>NO</w:t>
      </w:r>
      <w:r w:rsidR="00562093">
        <w:rPr>
          <w:sz w:val="24"/>
          <w:szCs w:val="24"/>
          <w:vertAlign w:val="subscript"/>
        </w:rPr>
        <w:t>x</w:t>
      </w:r>
      <w:proofErr w:type="spellEnd"/>
      <w:r>
        <w:rPr>
          <w:sz w:val="24"/>
          <w:szCs w:val="24"/>
        </w:rPr>
        <w:t xml:space="preserve"> affected sources must submit a </w:t>
      </w:r>
      <w:proofErr w:type="spellStart"/>
      <w:r>
        <w:rPr>
          <w:sz w:val="24"/>
          <w:szCs w:val="24"/>
        </w:rPr>
        <w:t>NO</w:t>
      </w:r>
      <w:r w:rsidR="00562093">
        <w:rPr>
          <w:sz w:val="24"/>
          <w:szCs w:val="24"/>
          <w:vertAlign w:val="subscript"/>
        </w:rPr>
        <w:t>x</w:t>
      </w:r>
      <w:proofErr w:type="spellEnd"/>
      <w:r>
        <w:rPr>
          <w:sz w:val="24"/>
          <w:szCs w:val="24"/>
        </w:rPr>
        <w:t xml:space="preserve"> compliance plan once every five years.</w:t>
      </w:r>
    </w:p>
    <w:p w:rsidR="009907D5" w:rsidRDefault="009907D5" w:rsidP="00562093">
      <w:pPr>
        <w:widowControl/>
        <w:numPr>
          <w:ilvl w:val="12"/>
          <w:numId w:val="0"/>
        </w:numPr>
        <w:rPr>
          <w:sz w:val="24"/>
          <w:szCs w:val="24"/>
        </w:rPr>
      </w:pPr>
    </w:p>
    <w:p w:rsidR="009907D5" w:rsidRDefault="009907D5" w:rsidP="00674ADB">
      <w:pPr>
        <w:keepNext/>
        <w:widowControl/>
        <w:numPr>
          <w:ilvl w:val="12"/>
          <w:numId w:val="0"/>
        </w:numPr>
        <w:ind w:left="360"/>
        <w:rPr>
          <w:sz w:val="24"/>
          <w:szCs w:val="24"/>
        </w:rPr>
      </w:pPr>
      <w:proofErr w:type="gramStart"/>
      <w:r>
        <w:rPr>
          <w:b/>
          <w:bCs/>
          <w:sz w:val="24"/>
          <w:szCs w:val="24"/>
        </w:rPr>
        <w:t>3.4</w:t>
      </w:r>
      <w:r w:rsidR="00515EC2">
        <w:rPr>
          <w:b/>
          <w:bCs/>
          <w:sz w:val="24"/>
          <w:szCs w:val="24"/>
        </w:rPr>
        <w:t xml:space="preserve">  </w:t>
      </w:r>
      <w:r>
        <w:rPr>
          <w:b/>
          <w:bCs/>
          <w:sz w:val="24"/>
          <w:szCs w:val="24"/>
        </w:rPr>
        <w:t>General</w:t>
      </w:r>
      <w:proofErr w:type="gramEnd"/>
      <w:r>
        <w:rPr>
          <w:b/>
          <w:bCs/>
          <w:sz w:val="24"/>
          <w:szCs w:val="24"/>
        </w:rPr>
        <w:t xml:space="preserve"> Guidelines</w:t>
      </w:r>
    </w:p>
    <w:p w:rsidR="009907D5" w:rsidRDefault="009907D5" w:rsidP="00674ADB">
      <w:pPr>
        <w:keepNext/>
        <w:widowControl/>
        <w:numPr>
          <w:ilvl w:val="12"/>
          <w:numId w:val="0"/>
        </w:numPr>
        <w:rPr>
          <w:sz w:val="24"/>
          <w:szCs w:val="24"/>
        </w:rPr>
      </w:pPr>
    </w:p>
    <w:p w:rsidR="009907D5" w:rsidRDefault="009907D5" w:rsidP="00674ADB">
      <w:pPr>
        <w:keepNext/>
        <w:widowControl/>
        <w:numPr>
          <w:ilvl w:val="12"/>
          <w:numId w:val="0"/>
        </w:numPr>
        <w:rPr>
          <w:sz w:val="24"/>
          <w:szCs w:val="24"/>
        </w:rPr>
      </w:pPr>
      <w:r>
        <w:rPr>
          <w:sz w:val="24"/>
          <w:szCs w:val="24"/>
        </w:rPr>
        <w:tab/>
        <w:t>Section 403(d) of Title IV requires that EPA establish a system for issuing, recording, and tracking allowances</w:t>
      </w:r>
      <w:r w:rsidR="005A67EC">
        <w:rPr>
          <w:sz w:val="24"/>
          <w:szCs w:val="24"/>
        </w:rPr>
        <w:t xml:space="preserve">. </w:t>
      </w:r>
      <w:r>
        <w:rPr>
          <w:sz w:val="24"/>
          <w:szCs w:val="24"/>
        </w:rPr>
        <w:t>To track allowances accurately and to help ensure the orderly and competitive functioning of the allowance system, it is essential that participants be able to report information on allowance transfers as they occur.</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The general requirement that permit applicants submit information on standard forms is established by Section 502(b) of Title V</w:t>
      </w:r>
      <w:r w:rsidR="005A67EC">
        <w:rPr>
          <w:sz w:val="24"/>
          <w:szCs w:val="24"/>
        </w:rPr>
        <w:t xml:space="preserve">. </w:t>
      </w:r>
      <w:r w:rsidR="000F0C0B">
        <w:rPr>
          <w:sz w:val="24"/>
          <w:szCs w:val="24"/>
        </w:rPr>
        <w:t xml:space="preserve">The five </w:t>
      </w:r>
      <w:r>
        <w:rPr>
          <w:sz w:val="24"/>
          <w:szCs w:val="24"/>
        </w:rPr>
        <w:t>year life of an acid rain permit is established by Section 408(a) of Title IV</w:t>
      </w:r>
      <w:r w:rsidR="005A67EC">
        <w:rPr>
          <w:sz w:val="24"/>
          <w:szCs w:val="24"/>
        </w:rPr>
        <w:t xml:space="preserve">. </w:t>
      </w:r>
      <w:r>
        <w:rPr>
          <w:sz w:val="24"/>
          <w:szCs w:val="24"/>
        </w:rPr>
        <w:t>This information collection does not violate the guidelines set forth by OMB</w:t>
      </w:r>
      <w:r w:rsidR="005A67EC">
        <w:rPr>
          <w:sz w:val="24"/>
          <w:szCs w:val="24"/>
        </w:rPr>
        <w:t xml:space="preserve">. </w:t>
      </w:r>
      <w:r>
        <w:rPr>
          <w:sz w:val="24"/>
          <w:szCs w:val="24"/>
        </w:rPr>
        <w:t>In some cases, records of Part 75, Appendix E test results or fuel flowmeter calibration test results may need to be retained for up to five years, but only if the owner or operator chooses to take advantage of the ability to extend the period between tests up to five years</w:t>
      </w:r>
      <w:r w:rsidR="005A67EC">
        <w:rPr>
          <w:sz w:val="24"/>
          <w:szCs w:val="24"/>
        </w:rPr>
        <w:t xml:space="preserve">. </w:t>
      </w:r>
      <w:r>
        <w:rPr>
          <w:sz w:val="24"/>
          <w:szCs w:val="24"/>
        </w:rPr>
        <w:t>In all other circumstances, Part 75 monitoring records must be kept for only three years</w:t>
      </w:r>
      <w:r w:rsidR="00562093">
        <w:rPr>
          <w:sz w:val="24"/>
          <w:szCs w:val="24"/>
        </w:rPr>
        <w:t xml:space="preserve">.  </w:t>
      </w:r>
    </w:p>
    <w:p w:rsidR="009907D5" w:rsidRDefault="009907D5" w:rsidP="00562093">
      <w:pPr>
        <w:widowControl/>
        <w:numPr>
          <w:ilvl w:val="12"/>
          <w:numId w:val="0"/>
        </w:numPr>
        <w:rPr>
          <w:sz w:val="24"/>
          <w:szCs w:val="24"/>
        </w:rPr>
      </w:pPr>
    </w:p>
    <w:p w:rsidR="009907D5" w:rsidRDefault="009907D5" w:rsidP="00A82B94">
      <w:pPr>
        <w:widowControl/>
        <w:numPr>
          <w:ilvl w:val="12"/>
          <w:numId w:val="0"/>
        </w:numPr>
        <w:ind w:left="360"/>
        <w:rPr>
          <w:sz w:val="24"/>
          <w:szCs w:val="24"/>
        </w:rPr>
      </w:pPr>
      <w:proofErr w:type="gramStart"/>
      <w:r>
        <w:rPr>
          <w:b/>
          <w:bCs/>
          <w:sz w:val="24"/>
          <w:szCs w:val="24"/>
        </w:rPr>
        <w:t>3.5  Confidentiality</w:t>
      </w:r>
      <w:proofErr w:type="gramEnd"/>
      <w:r>
        <w:rPr>
          <w:b/>
          <w:bCs/>
          <w:sz w:val="24"/>
          <w:szCs w:val="24"/>
        </w:rPr>
        <w:t xml:space="preserve"> and Sensitive Questions</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Information collected through this activity is not confidential or of a sensitive nature.</w:t>
      </w:r>
    </w:p>
    <w:p w:rsidR="00874F86" w:rsidRDefault="00874F86" w:rsidP="00562093">
      <w:pPr>
        <w:widowControl/>
        <w:numPr>
          <w:ilvl w:val="12"/>
          <w:numId w:val="0"/>
        </w:numPr>
        <w:rPr>
          <w:sz w:val="24"/>
          <w:szCs w:val="24"/>
        </w:rPr>
      </w:pPr>
    </w:p>
    <w:p w:rsidR="009907D5" w:rsidRDefault="009907D5" w:rsidP="00A82B94">
      <w:pPr>
        <w:widowControl/>
        <w:numPr>
          <w:ilvl w:val="12"/>
          <w:numId w:val="0"/>
        </w:numPr>
        <w:ind w:left="360"/>
        <w:rPr>
          <w:b/>
          <w:sz w:val="24"/>
          <w:szCs w:val="24"/>
        </w:rPr>
      </w:pPr>
      <w:proofErr w:type="gramStart"/>
      <w:r>
        <w:rPr>
          <w:b/>
          <w:sz w:val="24"/>
          <w:szCs w:val="24"/>
        </w:rPr>
        <w:t>3.6</w:t>
      </w:r>
      <w:r w:rsidR="00A82B94">
        <w:rPr>
          <w:b/>
          <w:sz w:val="24"/>
          <w:szCs w:val="24"/>
        </w:rPr>
        <w:t xml:space="preserve"> </w:t>
      </w:r>
      <w:r>
        <w:rPr>
          <w:b/>
          <w:sz w:val="24"/>
          <w:szCs w:val="24"/>
        </w:rPr>
        <w:t xml:space="preserve"> Public</w:t>
      </w:r>
      <w:proofErr w:type="gramEnd"/>
      <w:r>
        <w:rPr>
          <w:b/>
          <w:sz w:val="24"/>
          <w:szCs w:val="24"/>
        </w:rPr>
        <w:t xml:space="preserve"> Notice</w:t>
      </w:r>
    </w:p>
    <w:p w:rsidR="009907D5" w:rsidRDefault="009907D5" w:rsidP="00562093">
      <w:pPr>
        <w:widowControl/>
        <w:numPr>
          <w:ilvl w:val="12"/>
          <w:numId w:val="0"/>
        </w:numPr>
        <w:rPr>
          <w:b/>
          <w:sz w:val="24"/>
          <w:szCs w:val="24"/>
        </w:rPr>
      </w:pPr>
    </w:p>
    <w:p w:rsidR="009907D5" w:rsidRDefault="009907D5" w:rsidP="00562093">
      <w:pPr>
        <w:widowControl/>
        <w:numPr>
          <w:ilvl w:val="12"/>
          <w:numId w:val="0"/>
        </w:numPr>
        <w:rPr>
          <w:sz w:val="24"/>
          <w:szCs w:val="24"/>
        </w:rPr>
      </w:pPr>
      <w:r>
        <w:rPr>
          <w:sz w:val="24"/>
          <w:szCs w:val="24"/>
        </w:rPr>
        <w:tab/>
        <w:t xml:space="preserve">EPA </w:t>
      </w:r>
      <w:r w:rsidR="00560B58">
        <w:rPr>
          <w:sz w:val="24"/>
          <w:szCs w:val="24"/>
        </w:rPr>
        <w:t xml:space="preserve">did not receive any comments </w:t>
      </w:r>
      <w:r>
        <w:rPr>
          <w:sz w:val="24"/>
          <w:szCs w:val="24"/>
        </w:rPr>
        <w:t>to the public notice that was published in the Federal Register</w:t>
      </w:r>
      <w:r w:rsidR="005A67EC">
        <w:rPr>
          <w:sz w:val="24"/>
          <w:szCs w:val="24"/>
        </w:rPr>
        <w:t xml:space="preserve">. </w:t>
      </w:r>
      <w:proofErr w:type="gramStart"/>
      <w:r>
        <w:rPr>
          <w:sz w:val="24"/>
          <w:szCs w:val="24"/>
        </w:rPr>
        <w:t>Docket ID No</w:t>
      </w:r>
      <w:r w:rsidR="00A82B94">
        <w:rPr>
          <w:sz w:val="24"/>
          <w:szCs w:val="24"/>
        </w:rPr>
        <w:t>.</w:t>
      </w:r>
      <w:proofErr w:type="gramEnd"/>
      <w:r w:rsidR="00A82B94">
        <w:rPr>
          <w:sz w:val="24"/>
          <w:szCs w:val="24"/>
        </w:rPr>
        <w:t xml:space="preserve"> </w:t>
      </w:r>
      <w:r>
        <w:rPr>
          <w:bCs/>
          <w:sz w:val="24"/>
          <w:szCs w:val="24"/>
        </w:rPr>
        <w:t>EPA</w:t>
      </w:r>
      <w:r w:rsidR="00DA534F">
        <w:rPr>
          <w:bCs/>
          <w:sz w:val="24"/>
          <w:szCs w:val="24"/>
        </w:rPr>
        <w:t>-HQ</w:t>
      </w:r>
      <w:r>
        <w:rPr>
          <w:bCs/>
          <w:sz w:val="24"/>
          <w:szCs w:val="24"/>
        </w:rPr>
        <w:t>-OAR-2009-0022</w:t>
      </w:r>
      <w:r>
        <w:rPr>
          <w:sz w:val="24"/>
          <w:szCs w:val="24"/>
        </w:rPr>
        <w:t xml:space="preserve">, which is available for </w:t>
      </w:r>
      <w:r w:rsidR="00F7117F">
        <w:rPr>
          <w:sz w:val="24"/>
          <w:szCs w:val="24"/>
          <w:lang w:val="en-CA"/>
        </w:rPr>
        <w:fldChar w:fldCharType="begin"/>
      </w:r>
      <w:r>
        <w:rPr>
          <w:sz w:val="24"/>
          <w:szCs w:val="24"/>
          <w:lang w:val="en-CA"/>
        </w:rPr>
        <w:instrText xml:space="preserve"> SEQ CHAPTER \h \r 1</w:instrText>
      </w:r>
      <w:r w:rsidR="00F7117F">
        <w:rPr>
          <w:sz w:val="24"/>
          <w:szCs w:val="24"/>
          <w:lang w:val="en-CA"/>
        </w:rPr>
        <w:fldChar w:fldCharType="end"/>
      </w:r>
      <w:r>
        <w:rPr>
          <w:sz w:val="24"/>
          <w:szCs w:val="24"/>
        </w:rPr>
        <w:t xml:space="preserve">online viewing at </w:t>
      </w:r>
      <w:hyperlink r:id="rId11" w:history="1">
        <w:r>
          <w:rPr>
            <w:rStyle w:val="Hyperlink"/>
            <w:sz w:val="24"/>
            <w:szCs w:val="24"/>
          </w:rPr>
          <w:t>www.regulations.gov</w:t>
        </w:r>
      </w:hyperlink>
      <w:r>
        <w:rPr>
          <w:sz w:val="24"/>
          <w:szCs w:val="24"/>
        </w:rPr>
        <w:t xml:space="preserve">, </w:t>
      </w:r>
      <w:r w:rsidR="00F7117F">
        <w:rPr>
          <w:sz w:val="24"/>
          <w:szCs w:val="24"/>
          <w:lang w:val="en-CA"/>
        </w:rPr>
        <w:fldChar w:fldCharType="begin"/>
      </w:r>
      <w:r>
        <w:rPr>
          <w:sz w:val="24"/>
          <w:szCs w:val="24"/>
          <w:lang w:val="en-CA"/>
        </w:rPr>
        <w:instrText xml:space="preserve"> SEQ CHAPTER \h \r 1</w:instrText>
      </w:r>
      <w:r w:rsidR="00F7117F">
        <w:rPr>
          <w:sz w:val="24"/>
          <w:szCs w:val="24"/>
          <w:lang w:val="en-CA"/>
        </w:rPr>
        <w:fldChar w:fldCharType="end"/>
      </w:r>
      <w:r>
        <w:rPr>
          <w:sz w:val="24"/>
          <w:szCs w:val="24"/>
        </w:rPr>
        <w:t xml:space="preserve">or in person viewing at the Air and Radiation Docket in the EPA Docket Center (EPA/DC), EPA West, Room </w:t>
      </w:r>
      <w:r w:rsidR="00DA534F">
        <w:rPr>
          <w:sz w:val="24"/>
          <w:szCs w:val="24"/>
        </w:rPr>
        <w:t>3334</w:t>
      </w:r>
      <w:r>
        <w:rPr>
          <w:sz w:val="24"/>
          <w:szCs w:val="24"/>
        </w:rPr>
        <w:t>, 1301 Constitution Ave., NW, Washington, D</w:t>
      </w:r>
      <w:r w:rsidR="00F5162C">
        <w:rPr>
          <w:sz w:val="24"/>
          <w:szCs w:val="24"/>
        </w:rPr>
        <w:t>.</w:t>
      </w:r>
      <w:r>
        <w:rPr>
          <w:sz w:val="24"/>
          <w:szCs w:val="24"/>
        </w:rPr>
        <w:t>C.</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b/>
          <w:bCs/>
          <w:sz w:val="24"/>
          <w:szCs w:val="24"/>
        </w:rPr>
        <w:t>4</w:t>
      </w:r>
      <w:r w:rsidR="00562093">
        <w:rPr>
          <w:b/>
          <w:bCs/>
          <w:sz w:val="24"/>
          <w:szCs w:val="24"/>
        </w:rPr>
        <w:t xml:space="preserve">.  </w:t>
      </w:r>
      <w:r>
        <w:rPr>
          <w:b/>
          <w:bCs/>
          <w:sz w:val="24"/>
          <w:szCs w:val="24"/>
        </w:rPr>
        <w:t>THE RESPONDENTS AND THE INFORMATION REQUESTED</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This section lists the major categories of businesses that participate in the Acid Rain Program, the data items requested from program participants, and the activities in which the participants must engage to assemble or submit the required data items.</w:t>
      </w:r>
    </w:p>
    <w:p w:rsidR="009907D5" w:rsidRDefault="009907D5" w:rsidP="00562093">
      <w:pPr>
        <w:widowControl/>
        <w:numPr>
          <w:ilvl w:val="12"/>
          <w:numId w:val="0"/>
        </w:numPr>
        <w:rPr>
          <w:sz w:val="24"/>
          <w:szCs w:val="24"/>
        </w:rPr>
      </w:pPr>
    </w:p>
    <w:p w:rsidR="009907D5" w:rsidRDefault="009907D5" w:rsidP="00F5162C">
      <w:pPr>
        <w:widowControl/>
        <w:numPr>
          <w:ilvl w:val="12"/>
          <w:numId w:val="0"/>
        </w:numPr>
        <w:ind w:left="360"/>
        <w:rPr>
          <w:sz w:val="24"/>
          <w:szCs w:val="24"/>
        </w:rPr>
      </w:pPr>
      <w:proofErr w:type="gramStart"/>
      <w:r>
        <w:rPr>
          <w:b/>
          <w:bCs/>
          <w:sz w:val="24"/>
          <w:szCs w:val="24"/>
        </w:rPr>
        <w:t>4.1</w:t>
      </w:r>
      <w:r w:rsidR="00F5162C">
        <w:rPr>
          <w:b/>
          <w:bCs/>
          <w:sz w:val="24"/>
          <w:szCs w:val="24"/>
        </w:rPr>
        <w:t xml:space="preserve">  Respondents</w:t>
      </w:r>
      <w:proofErr w:type="gramEnd"/>
      <w:r w:rsidR="00F5162C">
        <w:rPr>
          <w:b/>
          <w:bCs/>
          <w:sz w:val="24"/>
          <w:szCs w:val="24"/>
        </w:rPr>
        <w:t xml:space="preserve">/NAICS </w:t>
      </w:r>
      <w:r>
        <w:rPr>
          <w:b/>
          <w:bCs/>
          <w:sz w:val="24"/>
          <w:szCs w:val="24"/>
        </w:rPr>
        <w:t>Codes</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 xml:space="preserve">Title IV applies to </w:t>
      </w:r>
      <w:r w:rsidR="00A90381">
        <w:rPr>
          <w:sz w:val="24"/>
          <w:szCs w:val="24"/>
        </w:rPr>
        <w:t>"</w:t>
      </w:r>
      <w:r>
        <w:rPr>
          <w:sz w:val="24"/>
          <w:szCs w:val="24"/>
        </w:rPr>
        <w:t>utility units,</w:t>
      </w:r>
      <w:r w:rsidR="00A90381">
        <w:rPr>
          <w:sz w:val="24"/>
          <w:szCs w:val="24"/>
        </w:rPr>
        <w:t>"</w:t>
      </w:r>
      <w:r>
        <w:rPr>
          <w:sz w:val="24"/>
          <w:szCs w:val="24"/>
        </w:rPr>
        <w:t xml:space="preserve"> which are defined to include units that serve a generator producing electricity for sale or that did so in 1985</w:t>
      </w:r>
      <w:r w:rsidR="005A67EC">
        <w:rPr>
          <w:sz w:val="24"/>
          <w:szCs w:val="24"/>
        </w:rPr>
        <w:t xml:space="preserve">. </w:t>
      </w:r>
      <w:r>
        <w:rPr>
          <w:sz w:val="24"/>
          <w:szCs w:val="24"/>
        </w:rPr>
        <w:t xml:space="preserve">Entities owning </w:t>
      </w:r>
      <w:r w:rsidR="00A90381">
        <w:rPr>
          <w:sz w:val="24"/>
          <w:szCs w:val="24"/>
        </w:rPr>
        <w:t>"</w:t>
      </w:r>
      <w:r>
        <w:rPr>
          <w:sz w:val="24"/>
          <w:szCs w:val="24"/>
        </w:rPr>
        <w:t>utility units</w:t>
      </w:r>
      <w:r w:rsidR="00A90381">
        <w:rPr>
          <w:sz w:val="24"/>
          <w:szCs w:val="24"/>
        </w:rPr>
        <w:t>"</w:t>
      </w:r>
      <w:r>
        <w:rPr>
          <w:sz w:val="24"/>
          <w:szCs w:val="24"/>
        </w:rPr>
        <w:t xml:space="preserve"> that are likely to participate in allowance transactions are Fossil Fuel Electric Power Generators (NAICS code 221111) electric service </w:t>
      </w:r>
      <w:r>
        <w:rPr>
          <w:sz w:val="24"/>
          <w:szCs w:val="24"/>
        </w:rPr>
        <w:lastRenderedPageBreak/>
        <w:t xml:space="preserve">providers (and selected firms in the non-utility generation industry, such as Coal Mining (NAICS code 2121) coal mining service </w:t>
      </w:r>
      <w:proofErr w:type="gramStart"/>
      <w:r>
        <w:rPr>
          <w:sz w:val="24"/>
          <w:szCs w:val="24"/>
        </w:rPr>
        <w:t xml:space="preserve">companies </w:t>
      </w:r>
      <w:r w:rsidR="005A67EC">
        <w:rPr>
          <w:sz w:val="24"/>
          <w:szCs w:val="24"/>
        </w:rPr>
        <w:t>.</w:t>
      </w:r>
      <w:proofErr w:type="gramEnd"/>
      <w:r w:rsidR="005A67EC">
        <w:rPr>
          <w:sz w:val="24"/>
          <w:szCs w:val="24"/>
        </w:rPr>
        <w:t xml:space="preserve"> </w:t>
      </w:r>
      <w:r>
        <w:rPr>
          <w:sz w:val="24"/>
          <w:szCs w:val="24"/>
        </w:rPr>
        <w:t xml:space="preserve">Participants in transactions and the annual auctions include security and commodity contracts intermediation and brokerages (NAICS code 5231) </w:t>
      </w:r>
    </w:p>
    <w:p w:rsidR="00315964" w:rsidRDefault="00315964" w:rsidP="00562093">
      <w:pPr>
        <w:widowControl/>
        <w:numPr>
          <w:ilvl w:val="12"/>
          <w:numId w:val="0"/>
        </w:numPr>
        <w:rPr>
          <w:sz w:val="24"/>
          <w:szCs w:val="24"/>
        </w:rPr>
      </w:pPr>
    </w:p>
    <w:p w:rsidR="009907D5" w:rsidRDefault="00F5162C" w:rsidP="00674ADB">
      <w:pPr>
        <w:keepNext/>
        <w:widowControl/>
        <w:numPr>
          <w:ilvl w:val="12"/>
          <w:numId w:val="0"/>
        </w:numPr>
        <w:ind w:left="720"/>
        <w:rPr>
          <w:b/>
          <w:bCs/>
          <w:sz w:val="24"/>
          <w:szCs w:val="24"/>
        </w:rPr>
      </w:pPr>
      <w:proofErr w:type="gramStart"/>
      <w:r>
        <w:rPr>
          <w:b/>
          <w:bCs/>
          <w:sz w:val="24"/>
          <w:szCs w:val="24"/>
        </w:rPr>
        <w:t xml:space="preserve">4.1.1  </w:t>
      </w:r>
      <w:r w:rsidR="009907D5">
        <w:rPr>
          <w:b/>
          <w:bCs/>
          <w:sz w:val="24"/>
          <w:szCs w:val="24"/>
        </w:rPr>
        <w:t>Emissions</w:t>
      </w:r>
      <w:proofErr w:type="gramEnd"/>
      <w:r w:rsidR="009907D5">
        <w:rPr>
          <w:b/>
          <w:bCs/>
          <w:sz w:val="24"/>
          <w:szCs w:val="24"/>
        </w:rPr>
        <w:t xml:space="preserve"> Monitoring</w:t>
      </w:r>
    </w:p>
    <w:p w:rsidR="00562093" w:rsidRDefault="00562093" w:rsidP="00674ADB">
      <w:pPr>
        <w:keepNext/>
        <w:widowControl/>
        <w:numPr>
          <w:ilvl w:val="12"/>
          <w:numId w:val="0"/>
        </w:numPr>
        <w:rPr>
          <w:sz w:val="24"/>
          <w:szCs w:val="24"/>
        </w:rPr>
      </w:pPr>
    </w:p>
    <w:p w:rsidR="009907D5" w:rsidRDefault="009907D5" w:rsidP="00674ADB">
      <w:pPr>
        <w:keepNext/>
        <w:widowControl/>
        <w:numPr>
          <w:ilvl w:val="12"/>
          <w:numId w:val="0"/>
        </w:numPr>
        <w:rPr>
          <w:sz w:val="24"/>
          <w:szCs w:val="24"/>
        </w:rPr>
      </w:pPr>
      <w:r>
        <w:rPr>
          <w:sz w:val="24"/>
          <w:szCs w:val="24"/>
        </w:rPr>
        <w:tab/>
        <w:t>Utility units are required to submit emissions monitoring data under this ICR.</w:t>
      </w:r>
    </w:p>
    <w:p w:rsidR="009907D5" w:rsidRDefault="009907D5" w:rsidP="00674ADB">
      <w:pPr>
        <w:keepNext/>
        <w:widowControl/>
        <w:numPr>
          <w:ilvl w:val="12"/>
          <w:numId w:val="0"/>
        </w:numPr>
        <w:rPr>
          <w:sz w:val="24"/>
          <w:szCs w:val="24"/>
        </w:rPr>
      </w:pPr>
    </w:p>
    <w:p w:rsidR="009907D5" w:rsidRDefault="00F5162C" w:rsidP="00F5162C">
      <w:pPr>
        <w:widowControl/>
        <w:numPr>
          <w:ilvl w:val="12"/>
          <w:numId w:val="0"/>
        </w:numPr>
        <w:ind w:left="720"/>
        <w:rPr>
          <w:b/>
          <w:bCs/>
          <w:sz w:val="24"/>
          <w:szCs w:val="24"/>
        </w:rPr>
      </w:pPr>
      <w:proofErr w:type="gramStart"/>
      <w:r>
        <w:rPr>
          <w:b/>
          <w:bCs/>
          <w:sz w:val="24"/>
          <w:szCs w:val="24"/>
        </w:rPr>
        <w:t xml:space="preserve">4.1.2  </w:t>
      </w:r>
      <w:r w:rsidR="009907D5">
        <w:rPr>
          <w:b/>
          <w:bCs/>
          <w:sz w:val="24"/>
          <w:szCs w:val="24"/>
        </w:rPr>
        <w:t>Opt</w:t>
      </w:r>
      <w:proofErr w:type="gramEnd"/>
      <w:r w:rsidR="009907D5">
        <w:rPr>
          <w:b/>
          <w:bCs/>
          <w:sz w:val="24"/>
          <w:szCs w:val="24"/>
        </w:rPr>
        <w:t>-in</w:t>
      </w:r>
    </w:p>
    <w:p w:rsidR="00562093" w:rsidRDefault="00562093"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Potential participants in the opt-in program are facilities that emit SO</w:t>
      </w:r>
      <w:r>
        <w:rPr>
          <w:sz w:val="24"/>
          <w:szCs w:val="24"/>
          <w:vertAlign w:val="subscript"/>
        </w:rPr>
        <w:t>2</w:t>
      </w:r>
      <w:r>
        <w:rPr>
          <w:sz w:val="24"/>
          <w:szCs w:val="24"/>
        </w:rPr>
        <w:t xml:space="preserve"> but are not designated affected units under Title IV</w:t>
      </w:r>
      <w:r w:rsidR="005A67EC">
        <w:rPr>
          <w:sz w:val="24"/>
          <w:szCs w:val="24"/>
        </w:rPr>
        <w:t xml:space="preserve">. </w:t>
      </w:r>
      <w:r>
        <w:rPr>
          <w:sz w:val="24"/>
          <w:szCs w:val="24"/>
        </w:rPr>
        <w:t>Such facilities include utility units that serve an electric generator of less than 25 MW that produces electricity for sale or that did so in 1985</w:t>
      </w:r>
      <w:r w:rsidR="005A67EC">
        <w:rPr>
          <w:sz w:val="24"/>
          <w:szCs w:val="24"/>
        </w:rPr>
        <w:t xml:space="preserve">. </w:t>
      </w:r>
      <w:r>
        <w:rPr>
          <w:sz w:val="24"/>
          <w:szCs w:val="24"/>
        </w:rPr>
        <w:t>Entities owning utility units under 25 MW that may participate in the opt-in program are electric service providers (SIC code 4911)</w:t>
      </w:r>
      <w:r w:rsidR="005A67EC">
        <w:rPr>
          <w:sz w:val="24"/>
          <w:szCs w:val="24"/>
        </w:rPr>
        <w:t xml:space="preserve">. </w:t>
      </w:r>
      <w:r>
        <w:rPr>
          <w:sz w:val="24"/>
          <w:szCs w:val="24"/>
        </w:rPr>
        <w:t>Other potential participants are industrial boilers that are represented in a wide range of SIC categories</w:t>
      </w:r>
      <w:r w:rsidR="00562093">
        <w:rPr>
          <w:sz w:val="24"/>
          <w:szCs w:val="24"/>
        </w:rPr>
        <w:t xml:space="preserve">.  </w:t>
      </w:r>
    </w:p>
    <w:p w:rsidR="009907D5" w:rsidRDefault="009907D5" w:rsidP="00562093">
      <w:pPr>
        <w:widowControl/>
        <w:numPr>
          <w:ilvl w:val="12"/>
          <w:numId w:val="0"/>
        </w:numPr>
        <w:rPr>
          <w:sz w:val="24"/>
          <w:szCs w:val="24"/>
        </w:rPr>
      </w:pPr>
    </w:p>
    <w:p w:rsidR="009907D5" w:rsidRDefault="00F9713F" w:rsidP="00F9713F">
      <w:pPr>
        <w:widowControl/>
        <w:numPr>
          <w:ilvl w:val="12"/>
          <w:numId w:val="0"/>
        </w:numPr>
        <w:ind w:left="360"/>
        <w:rPr>
          <w:sz w:val="24"/>
          <w:szCs w:val="24"/>
        </w:rPr>
      </w:pPr>
      <w:proofErr w:type="gramStart"/>
      <w:r>
        <w:rPr>
          <w:b/>
          <w:bCs/>
          <w:sz w:val="24"/>
          <w:szCs w:val="24"/>
        </w:rPr>
        <w:t xml:space="preserve">4.2  </w:t>
      </w:r>
      <w:r w:rsidR="009907D5">
        <w:rPr>
          <w:b/>
          <w:bCs/>
          <w:sz w:val="24"/>
          <w:szCs w:val="24"/>
        </w:rPr>
        <w:t>Information</w:t>
      </w:r>
      <w:proofErr w:type="gramEnd"/>
      <w:r w:rsidR="009907D5">
        <w:rPr>
          <w:b/>
          <w:bCs/>
          <w:sz w:val="24"/>
          <w:szCs w:val="24"/>
        </w:rPr>
        <w:t xml:space="preserve"> Requested</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This section lists the data items requested from affected sources for the collections described in this ICR</w:t>
      </w:r>
      <w:r w:rsidR="005A67EC">
        <w:rPr>
          <w:sz w:val="24"/>
          <w:szCs w:val="24"/>
        </w:rPr>
        <w:t xml:space="preserve">. </w:t>
      </w:r>
      <w:r>
        <w:rPr>
          <w:sz w:val="24"/>
          <w:szCs w:val="24"/>
        </w:rPr>
        <w:t>This section also defines the activities in which respondents must engage to assemble, submit, or store these data items.</w:t>
      </w:r>
    </w:p>
    <w:p w:rsidR="00F9713F" w:rsidRDefault="00F9713F" w:rsidP="00562093">
      <w:pPr>
        <w:widowControl/>
        <w:numPr>
          <w:ilvl w:val="12"/>
          <w:numId w:val="0"/>
        </w:numPr>
        <w:rPr>
          <w:sz w:val="24"/>
          <w:szCs w:val="24"/>
        </w:rPr>
      </w:pPr>
    </w:p>
    <w:p w:rsidR="009907D5" w:rsidRDefault="009907D5" w:rsidP="00F9713F">
      <w:pPr>
        <w:widowControl/>
        <w:numPr>
          <w:ilvl w:val="12"/>
          <w:numId w:val="0"/>
        </w:numPr>
        <w:ind w:left="720"/>
        <w:rPr>
          <w:sz w:val="24"/>
          <w:szCs w:val="24"/>
        </w:rPr>
      </w:pPr>
      <w:proofErr w:type="gramStart"/>
      <w:r>
        <w:rPr>
          <w:b/>
          <w:bCs/>
          <w:sz w:val="24"/>
          <w:szCs w:val="24"/>
        </w:rPr>
        <w:t>4.2.</w:t>
      </w:r>
      <w:r w:rsidR="00562093">
        <w:rPr>
          <w:b/>
          <w:bCs/>
          <w:sz w:val="24"/>
          <w:szCs w:val="24"/>
        </w:rPr>
        <w:t>1</w:t>
      </w:r>
      <w:r w:rsidR="00F9713F">
        <w:rPr>
          <w:b/>
          <w:bCs/>
          <w:sz w:val="24"/>
          <w:szCs w:val="24"/>
        </w:rPr>
        <w:t xml:space="preserve">  Data</w:t>
      </w:r>
      <w:proofErr w:type="gramEnd"/>
      <w:r w:rsidR="00F9713F">
        <w:rPr>
          <w:b/>
          <w:bCs/>
          <w:sz w:val="24"/>
          <w:szCs w:val="24"/>
        </w:rPr>
        <w:t xml:space="preserve"> I</w:t>
      </w:r>
      <w:r>
        <w:rPr>
          <w:b/>
          <w:bCs/>
          <w:sz w:val="24"/>
          <w:szCs w:val="24"/>
        </w:rPr>
        <w:t>tems, Including Recordkeeping Requirements</w:t>
      </w:r>
    </w:p>
    <w:p w:rsidR="009907D5" w:rsidRDefault="009907D5" w:rsidP="00562093">
      <w:pPr>
        <w:widowControl/>
        <w:numPr>
          <w:ilvl w:val="12"/>
          <w:numId w:val="0"/>
        </w:numPr>
        <w:rPr>
          <w:sz w:val="24"/>
          <w:szCs w:val="24"/>
        </w:rPr>
      </w:pPr>
    </w:p>
    <w:p w:rsidR="009907D5" w:rsidRDefault="00497D45" w:rsidP="00497D45">
      <w:pPr>
        <w:widowControl/>
        <w:numPr>
          <w:ilvl w:val="12"/>
          <w:numId w:val="0"/>
        </w:numPr>
        <w:ind w:left="1080"/>
        <w:rPr>
          <w:b/>
          <w:bCs/>
          <w:sz w:val="24"/>
          <w:szCs w:val="24"/>
        </w:rPr>
      </w:pPr>
      <w:r>
        <w:rPr>
          <w:b/>
          <w:bCs/>
          <w:sz w:val="24"/>
          <w:szCs w:val="24"/>
        </w:rPr>
        <w:t xml:space="preserve">A.  </w:t>
      </w:r>
      <w:r w:rsidR="009907D5">
        <w:rPr>
          <w:b/>
          <w:bCs/>
          <w:sz w:val="24"/>
          <w:szCs w:val="24"/>
        </w:rPr>
        <w:t>Allowance Transfers</w:t>
      </w:r>
    </w:p>
    <w:p w:rsidR="00562093" w:rsidRDefault="00562093"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All participants to allowance transfers are required to provide the following information for each allowance transfer:</w:t>
      </w:r>
    </w:p>
    <w:p w:rsidR="009907D5" w:rsidRDefault="009907D5" w:rsidP="00562093">
      <w:pPr>
        <w:widowControl/>
        <w:numPr>
          <w:ilvl w:val="12"/>
          <w:numId w:val="0"/>
        </w:numPr>
        <w:rPr>
          <w:sz w:val="24"/>
          <w:szCs w:val="24"/>
        </w:rPr>
      </w:pPr>
    </w:p>
    <w:p w:rsidR="009907D5" w:rsidRDefault="00497D45" w:rsidP="00497D45">
      <w:pPr>
        <w:pStyle w:val="Level1"/>
        <w:widowControl/>
        <w:tabs>
          <w:tab w:val="left" w:pos="720"/>
          <w:tab w:val="left" w:pos="1440"/>
        </w:tabs>
        <w:ind w:hanging="360"/>
        <w:jc w:val="left"/>
      </w:pPr>
      <w:r>
        <w:t>●</w:t>
      </w:r>
      <w:r>
        <w:tab/>
      </w:r>
      <w:r w:rsidR="009907D5">
        <w:t>Allowance tracking system account number;</w:t>
      </w:r>
    </w:p>
    <w:p w:rsidR="00497D45" w:rsidRDefault="00497D45" w:rsidP="00497D45">
      <w:pPr>
        <w:pStyle w:val="Level1"/>
        <w:widowControl/>
        <w:tabs>
          <w:tab w:val="left" w:pos="720"/>
          <w:tab w:val="left" w:pos="1440"/>
        </w:tabs>
        <w:ind w:hanging="360"/>
        <w:jc w:val="left"/>
      </w:pPr>
    </w:p>
    <w:p w:rsidR="009907D5" w:rsidRDefault="00497D45" w:rsidP="00497D45">
      <w:pPr>
        <w:pStyle w:val="Level1"/>
        <w:widowControl/>
        <w:tabs>
          <w:tab w:val="left" w:pos="720"/>
          <w:tab w:val="left" w:pos="1440"/>
        </w:tabs>
        <w:ind w:hanging="360"/>
        <w:jc w:val="left"/>
      </w:pPr>
      <w:r>
        <w:t>●</w:t>
      </w:r>
      <w:r>
        <w:tab/>
      </w:r>
      <w:r w:rsidR="009907D5">
        <w:t>Name, phone number, and facsimile number of the authorized account representative, along with the representative</w:t>
      </w:r>
      <w:r w:rsidR="00A90381">
        <w:t>'</w:t>
      </w:r>
      <w:r w:rsidR="009907D5">
        <w:t>s signature and date of submission; and</w:t>
      </w:r>
    </w:p>
    <w:p w:rsidR="00497D45" w:rsidRDefault="00497D45" w:rsidP="00497D45">
      <w:pPr>
        <w:pStyle w:val="Level1"/>
        <w:widowControl/>
        <w:tabs>
          <w:tab w:val="left" w:pos="720"/>
          <w:tab w:val="left" w:pos="1440"/>
        </w:tabs>
        <w:ind w:hanging="360"/>
        <w:jc w:val="left"/>
      </w:pPr>
    </w:p>
    <w:p w:rsidR="009907D5" w:rsidRDefault="00497D45" w:rsidP="00497D45">
      <w:pPr>
        <w:pStyle w:val="Level1"/>
        <w:widowControl/>
        <w:tabs>
          <w:tab w:val="left" w:pos="720"/>
          <w:tab w:val="left" w:pos="1440"/>
        </w:tabs>
        <w:ind w:hanging="360"/>
        <w:jc w:val="left"/>
      </w:pPr>
      <w:proofErr w:type="gramStart"/>
      <w:r>
        <w:t>●</w:t>
      </w:r>
      <w:r>
        <w:tab/>
      </w:r>
      <w:r w:rsidR="009907D5">
        <w:t>Serial numbers of allowances to be transferred.</w:t>
      </w:r>
      <w:proofErr w:type="gramEnd"/>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In addition, if the designated representative chooses to identify the specific serialized allowances to be deducted from the unit</w:t>
      </w:r>
      <w:r w:rsidR="00A90381">
        <w:rPr>
          <w:sz w:val="24"/>
          <w:szCs w:val="24"/>
        </w:rPr>
        <w:t>'</w:t>
      </w:r>
      <w:r>
        <w:rPr>
          <w:sz w:val="24"/>
          <w:szCs w:val="24"/>
        </w:rPr>
        <w:t>s allowance tracking system account for annual reconciliation, then the following information is required:</w:t>
      </w:r>
    </w:p>
    <w:p w:rsidR="009907D5" w:rsidRDefault="009907D5" w:rsidP="00562093">
      <w:pPr>
        <w:widowControl/>
        <w:numPr>
          <w:ilvl w:val="12"/>
          <w:numId w:val="0"/>
        </w:numPr>
        <w:rPr>
          <w:sz w:val="24"/>
          <w:szCs w:val="24"/>
        </w:rPr>
      </w:pPr>
    </w:p>
    <w:p w:rsidR="009907D5" w:rsidRDefault="00497D45" w:rsidP="00497D45">
      <w:pPr>
        <w:pStyle w:val="Level1"/>
        <w:widowControl/>
        <w:tabs>
          <w:tab w:val="left" w:pos="720"/>
        </w:tabs>
        <w:ind w:hanging="360"/>
        <w:jc w:val="left"/>
      </w:pPr>
      <w:r>
        <w:t>●</w:t>
      </w:r>
      <w:r>
        <w:tab/>
      </w:r>
      <w:r w:rsidR="009907D5">
        <w:t>Allowance tracking system account number;</w:t>
      </w:r>
    </w:p>
    <w:p w:rsidR="009907D5" w:rsidRDefault="00497D45" w:rsidP="00497D45">
      <w:pPr>
        <w:pStyle w:val="Level1"/>
        <w:widowControl/>
        <w:tabs>
          <w:tab w:val="left" w:pos="720"/>
        </w:tabs>
        <w:ind w:hanging="360"/>
        <w:jc w:val="left"/>
      </w:pPr>
      <w:r>
        <w:t>●</w:t>
      </w:r>
      <w:r>
        <w:tab/>
      </w:r>
      <w:r w:rsidR="009907D5">
        <w:t>Type of deduction;</w:t>
      </w:r>
    </w:p>
    <w:p w:rsidR="009907D5" w:rsidRDefault="00497D45" w:rsidP="00497D45">
      <w:pPr>
        <w:pStyle w:val="Level1"/>
        <w:widowControl/>
        <w:tabs>
          <w:tab w:val="left" w:pos="720"/>
        </w:tabs>
        <w:ind w:hanging="360"/>
        <w:jc w:val="left"/>
      </w:pPr>
      <w:r>
        <w:lastRenderedPageBreak/>
        <w:t>●</w:t>
      </w:r>
      <w:r>
        <w:tab/>
      </w:r>
      <w:r w:rsidR="009907D5">
        <w:t>Serial numbers of the allowance blocks to be deducted; and</w:t>
      </w:r>
    </w:p>
    <w:p w:rsidR="009907D5" w:rsidRDefault="00497D45" w:rsidP="00497D45">
      <w:pPr>
        <w:pStyle w:val="Level1"/>
        <w:widowControl/>
        <w:tabs>
          <w:tab w:val="left" w:pos="720"/>
        </w:tabs>
        <w:ind w:hanging="360"/>
        <w:jc w:val="left"/>
      </w:pPr>
      <w:proofErr w:type="gramStart"/>
      <w:r>
        <w:t>●</w:t>
      </w:r>
      <w:r>
        <w:tab/>
      </w:r>
      <w:r w:rsidR="009907D5">
        <w:t>Dated signature of the designated representative.</w:t>
      </w:r>
      <w:proofErr w:type="gramEnd"/>
    </w:p>
    <w:p w:rsidR="009907D5" w:rsidRDefault="009907D5" w:rsidP="00562093">
      <w:pPr>
        <w:widowControl/>
        <w:numPr>
          <w:ilvl w:val="12"/>
          <w:numId w:val="0"/>
        </w:numPr>
        <w:rPr>
          <w:sz w:val="24"/>
          <w:szCs w:val="24"/>
        </w:rPr>
      </w:pPr>
    </w:p>
    <w:p w:rsidR="009907D5" w:rsidRDefault="00383E69" w:rsidP="00674ADB">
      <w:pPr>
        <w:keepNext/>
        <w:widowControl/>
        <w:numPr>
          <w:ilvl w:val="12"/>
          <w:numId w:val="0"/>
        </w:numPr>
        <w:ind w:left="1080"/>
        <w:rPr>
          <w:b/>
          <w:bCs/>
          <w:sz w:val="24"/>
          <w:szCs w:val="24"/>
        </w:rPr>
      </w:pPr>
      <w:r>
        <w:rPr>
          <w:b/>
          <w:bCs/>
          <w:sz w:val="24"/>
          <w:szCs w:val="24"/>
        </w:rPr>
        <w:t xml:space="preserve">B.  </w:t>
      </w:r>
      <w:r w:rsidR="009907D5">
        <w:rPr>
          <w:b/>
          <w:bCs/>
          <w:sz w:val="24"/>
          <w:szCs w:val="24"/>
        </w:rPr>
        <w:t>Certificate of Representation</w:t>
      </w:r>
    </w:p>
    <w:p w:rsidR="00562093" w:rsidRDefault="00562093" w:rsidP="00674ADB">
      <w:pPr>
        <w:keepNext/>
        <w:widowControl/>
        <w:numPr>
          <w:ilvl w:val="12"/>
          <w:numId w:val="0"/>
        </w:numPr>
        <w:rPr>
          <w:sz w:val="24"/>
          <w:szCs w:val="24"/>
        </w:rPr>
      </w:pPr>
    </w:p>
    <w:p w:rsidR="009907D5" w:rsidRDefault="009907D5" w:rsidP="00674ADB">
      <w:pPr>
        <w:keepNext/>
        <w:widowControl/>
        <w:numPr>
          <w:ilvl w:val="12"/>
          <w:numId w:val="0"/>
        </w:numPr>
        <w:rPr>
          <w:sz w:val="24"/>
          <w:szCs w:val="24"/>
        </w:rPr>
      </w:pPr>
      <w:r>
        <w:rPr>
          <w:sz w:val="24"/>
          <w:szCs w:val="24"/>
        </w:rPr>
        <w:tab/>
        <w:t>Affected sources are assigned an allowance tracking system number and appoint a designated representative by submitting a certificate of representation</w:t>
      </w:r>
      <w:r w:rsidR="005A67EC">
        <w:rPr>
          <w:sz w:val="24"/>
          <w:szCs w:val="24"/>
        </w:rPr>
        <w:t xml:space="preserve">. </w:t>
      </w:r>
      <w:r>
        <w:rPr>
          <w:sz w:val="24"/>
          <w:szCs w:val="24"/>
        </w:rPr>
        <w:t>The data items requested for the certificate of representation are as follows:</w:t>
      </w:r>
    </w:p>
    <w:p w:rsidR="009907D5" w:rsidRDefault="009907D5" w:rsidP="00562093">
      <w:pPr>
        <w:widowControl/>
        <w:numPr>
          <w:ilvl w:val="12"/>
          <w:numId w:val="0"/>
        </w:numPr>
        <w:rPr>
          <w:sz w:val="24"/>
          <w:szCs w:val="24"/>
        </w:rPr>
      </w:pPr>
    </w:p>
    <w:p w:rsidR="009907D5" w:rsidRDefault="00383E69" w:rsidP="00383E69">
      <w:pPr>
        <w:pStyle w:val="Level1"/>
        <w:widowControl/>
        <w:tabs>
          <w:tab w:val="left" w:pos="720"/>
          <w:tab w:val="left" w:pos="1440"/>
        </w:tabs>
        <w:ind w:hanging="360"/>
        <w:jc w:val="left"/>
      </w:pPr>
      <w:r>
        <w:t>●</w:t>
      </w:r>
      <w:r>
        <w:tab/>
      </w:r>
      <w:r w:rsidR="009907D5">
        <w:t>Source identification;</w:t>
      </w:r>
    </w:p>
    <w:p w:rsidR="009907D5" w:rsidRDefault="00383E69" w:rsidP="00383E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rPr>
          <w:rFonts w:ascii="Helv" w:hAnsi="Helv"/>
          <w:sz w:val="20"/>
          <w:szCs w:val="20"/>
        </w:rPr>
      </w:pPr>
      <w:r>
        <w:t>●</w:t>
      </w:r>
      <w:r>
        <w:tab/>
      </w:r>
      <w:r w:rsidR="009907D5">
        <w:t>Unit identification, including</w:t>
      </w:r>
      <w:r w:rsidR="009907D5">
        <w:rPr>
          <w:rFonts w:ascii="Helv" w:hAnsi="Helv"/>
          <w:sz w:val="20"/>
          <w:szCs w:val="20"/>
        </w:rPr>
        <w:t xml:space="preserve">; </w:t>
      </w:r>
    </w:p>
    <w:p w:rsidR="00383E69" w:rsidRDefault="00383E69" w:rsidP="00383E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rPr>
          <w:rFonts w:ascii="Helv" w:hAnsi="Helv"/>
          <w:sz w:val="20"/>
          <w:szCs w:val="20"/>
        </w:rPr>
      </w:pPr>
    </w:p>
    <w:p w:rsidR="009907D5" w:rsidRDefault="00383E69" w:rsidP="00383E69">
      <w:pPr>
        <w:widowControl/>
        <w:numPr>
          <w:ilvl w:val="12"/>
          <w:numId w:val="0"/>
        </w:numPr>
        <w:ind w:left="1080" w:hanging="360"/>
        <w:rPr>
          <w:sz w:val="24"/>
          <w:szCs w:val="24"/>
        </w:rPr>
      </w:pPr>
      <w:r>
        <w:rPr>
          <w:rFonts w:ascii="Helv" w:hAnsi="Helv"/>
        </w:rPr>
        <w:t>--</w:t>
      </w:r>
      <w:r>
        <w:rPr>
          <w:rFonts w:ascii="Helv" w:hAnsi="Helv"/>
        </w:rPr>
        <w:tab/>
      </w:r>
      <w:r>
        <w:rPr>
          <w:sz w:val="24"/>
          <w:szCs w:val="24"/>
        </w:rPr>
        <w:t>U</w:t>
      </w:r>
      <w:r w:rsidR="009907D5">
        <w:rPr>
          <w:sz w:val="24"/>
          <w:szCs w:val="24"/>
        </w:rPr>
        <w:t>nit type and category</w:t>
      </w:r>
      <w:r>
        <w:rPr>
          <w:sz w:val="24"/>
          <w:szCs w:val="24"/>
        </w:rPr>
        <w:t>;</w:t>
      </w:r>
    </w:p>
    <w:p w:rsidR="009907D5" w:rsidRDefault="00383E69" w:rsidP="00383E69">
      <w:pPr>
        <w:widowControl/>
        <w:numPr>
          <w:ilvl w:val="12"/>
          <w:numId w:val="0"/>
        </w:numPr>
        <w:ind w:left="1080" w:hanging="360"/>
        <w:rPr>
          <w:sz w:val="24"/>
          <w:szCs w:val="24"/>
        </w:rPr>
      </w:pPr>
      <w:r>
        <w:rPr>
          <w:sz w:val="24"/>
          <w:szCs w:val="24"/>
        </w:rPr>
        <w:t>--</w:t>
      </w:r>
      <w:r>
        <w:rPr>
          <w:sz w:val="24"/>
          <w:szCs w:val="24"/>
        </w:rPr>
        <w:tab/>
        <w:t>C</w:t>
      </w:r>
      <w:r w:rsidR="009907D5">
        <w:rPr>
          <w:sz w:val="24"/>
          <w:szCs w:val="24"/>
        </w:rPr>
        <w:t>ommence commercial operation date</w:t>
      </w:r>
      <w:r>
        <w:rPr>
          <w:sz w:val="24"/>
          <w:szCs w:val="24"/>
        </w:rPr>
        <w:t>;</w:t>
      </w:r>
    </w:p>
    <w:p w:rsidR="009907D5" w:rsidRDefault="00383E69" w:rsidP="00383E69">
      <w:pPr>
        <w:widowControl/>
        <w:numPr>
          <w:ilvl w:val="12"/>
          <w:numId w:val="0"/>
        </w:numPr>
        <w:ind w:left="1080" w:hanging="360"/>
        <w:rPr>
          <w:sz w:val="24"/>
          <w:szCs w:val="24"/>
        </w:rPr>
      </w:pPr>
      <w:r>
        <w:rPr>
          <w:sz w:val="24"/>
          <w:szCs w:val="24"/>
        </w:rPr>
        <w:t>--</w:t>
      </w:r>
      <w:r>
        <w:rPr>
          <w:sz w:val="24"/>
          <w:szCs w:val="24"/>
        </w:rPr>
        <w:tab/>
        <w:t>G</w:t>
      </w:r>
      <w:r w:rsidR="009907D5">
        <w:rPr>
          <w:sz w:val="24"/>
          <w:szCs w:val="24"/>
        </w:rPr>
        <w:t>enerator IDs of generators served by unit</w:t>
      </w:r>
      <w:r>
        <w:rPr>
          <w:sz w:val="24"/>
          <w:szCs w:val="24"/>
        </w:rPr>
        <w:t>;</w:t>
      </w:r>
    </w:p>
    <w:p w:rsidR="009907D5" w:rsidRDefault="00383E69" w:rsidP="00383E69">
      <w:pPr>
        <w:widowControl/>
        <w:numPr>
          <w:ilvl w:val="12"/>
          <w:numId w:val="0"/>
        </w:numPr>
        <w:ind w:left="1080" w:hanging="360"/>
        <w:rPr>
          <w:sz w:val="24"/>
          <w:szCs w:val="24"/>
        </w:rPr>
      </w:pPr>
      <w:r>
        <w:rPr>
          <w:sz w:val="24"/>
          <w:szCs w:val="24"/>
        </w:rPr>
        <w:t>--</w:t>
      </w:r>
      <w:r w:rsidR="009907D5">
        <w:rPr>
          <w:sz w:val="24"/>
          <w:szCs w:val="24"/>
        </w:rPr>
        <w:tab/>
      </w:r>
      <w:r>
        <w:rPr>
          <w:sz w:val="24"/>
          <w:szCs w:val="24"/>
        </w:rPr>
        <w:t>N</w:t>
      </w:r>
      <w:r w:rsidR="009907D5">
        <w:rPr>
          <w:sz w:val="24"/>
          <w:szCs w:val="24"/>
        </w:rPr>
        <w:t>ameplate capacity(s) of the generators served by the unit</w:t>
      </w:r>
      <w:r>
        <w:rPr>
          <w:sz w:val="24"/>
          <w:szCs w:val="24"/>
        </w:rPr>
        <w:t>;</w:t>
      </w:r>
    </w:p>
    <w:p w:rsidR="009907D5" w:rsidRDefault="00383E69" w:rsidP="00383E69">
      <w:pPr>
        <w:keepLines/>
        <w:widowControl/>
        <w:numPr>
          <w:ilvl w:val="12"/>
          <w:numId w:val="0"/>
        </w:numPr>
        <w:ind w:left="1080" w:hanging="360"/>
        <w:rPr>
          <w:sz w:val="24"/>
          <w:szCs w:val="24"/>
        </w:rPr>
      </w:pPr>
      <w:r>
        <w:rPr>
          <w:sz w:val="24"/>
          <w:szCs w:val="24"/>
        </w:rPr>
        <w:t>--</w:t>
      </w:r>
      <w:r w:rsidR="009907D5">
        <w:rPr>
          <w:sz w:val="24"/>
          <w:szCs w:val="24"/>
        </w:rPr>
        <w:tab/>
      </w:r>
      <w:r>
        <w:rPr>
          <w:sz w:val="24"/>
          <w:szCs w:val="24"/>
        </w:rPr>
        <w:t>L</w:t>
      </w:r>
      <w:r w:rsidR="009907D5">
        <w:rPr>
          <w:sz w:val="24"/>
          <w:szCs w:val="24"/>
        </w:rPr>
        <w:t>ist of applicable programs that the unit is subject to</w:t>
      </w:r>
      <w:r>
        <w:rPr>
          <w:sz w:val="24"/>
          <w:szCs w:val="24"/>
        </w:rPr>
        <w:t>; and</w:t>
      </w:r>
    </w:p>
    <w:p w:rsidR="009907D5" w:rsidRDefault="00383E69" w:rsidP="00383E69">
      <w:pPr>
        <w:widowControl/>
        <w:numPr>
          <w:ilvl w:val="12"/>
          <w:numId w:val="0"/>
        </w:numPr>
        <w:ind w:left="1080" w:hanging="360"/>
        <w:rPr>
          <w:sz w:val="24"/>
          <w:szCs w:val="24"/>
        </w:rPr>
      </w:pPr>
      <w:r>
        <w:rPr>
          <w:sz w:val="24"/>
          <w:szCs w:val="24"/>
        </w:rPr>
        <w:t>--</w:t>
      </w:r>
      <w:r w:rsidR="009907D5">
        <w:rPr>
          <w:sz w:val="24"/>
          <w:szCs w:val="24"/>
        </w:rPr>
        <w:tab/>
        <w:t>NAICS Code</w:t>
      </w:r>
      <w:r>
        <w:rPr>
          <w:sz w:val="24"/>
          <w:szCs w:val="24"/>
        </w:rPr>
        <w:t>.</w:t>
      </w:r>
    </w:p>
    <w:p w:rsidR="00383E69" w:rsidRDefault="00383E69"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383E69" w:rsidP="00383E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t>Name, address, e</w:t>
      </w:r>
      <w:r w:rsidR="009907D5">
        <w:t>mail, telephone and facsimile number of the designated representative;</w:t>
      </w:r>
    </w:p>
    <w:p w:rsidR="009907D5" w:rsidRDefault="00383E69" w:rsidP="00383E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Name, address, email, telephone and facsimile number of the alternate designated representative;</w:t>
      </w:r>
    </w:p>
    <w:p w:rsidR="009907D5" w:rsidRDefault="00383E69" w:rsidP="00383E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 xml:space="preserve">List of </w:t>
      </w:r>
      <w:r w:rsidR="00A90381">
        <w:t>"</w:t>
      </w:r>
      <w:r w:rsidR="009907D5">
        <w:t>owners and operators</w:t>
      </w:r>
      <w:r w:rsidR="00A90381">
        <w:t>"</w:t>
      </w:r>
      <w:r w:rsidR="009907D5">
        <w:t xml:space="preserve"> of the source and each unit at the source; </w:t>
      </w:r>
    </w:p>
    <w:p w:rsidR="009907D5" w:rsidRDefault="00383E69" w:rsidP="00383E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Certification statement;</w:t>
      </w:r>
    </w:p>
    <w:p w:rsidR="009907D5" w:rsidRDefault="00383E69" w:rsidP="00383E69">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Signature of designated representative;</w:t>
      </w:r>
    </w:p>
    <w:p w:rsidR="009907D5" w:rsidRDefault="00383E69" w:rsidP="00383E69">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Signature of alternate designated representative; and</w:t>
      </w:r>
    </w:p>
    <w:p w:rsidR="009907D5" w:rsidRDefault="00383E69" w:rsidP="00383E69">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Date signed.</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EE4B14" w:rsidP="00EE4B14">
      <w:pPr>
        <w:widowControl/>
        <w:numPr>
          <w:ilvl w:val="12"/>
          <w:numId w:val="0"/>
        </w:numPr>
        <w:ind w:left="1080"/>
        <w:rPr>
          <w:b/>
          <w:bCs/>
          <w:sz w:val="24"/>
          <w:szCs w:val="24"/>
        </w:rPr>
      </w:pPr>
      <w:r>
        <w:rPr>
          <w:b/>
          <w:bCs/>
          <w:sz w:val="24"/>
          <w:szCs w:val="24"/>
        </w:rPr>
        <w:t xml:space="preserve">C.  </w:t>
      </w:r>
      <w:r w:rsidR="009907D5">
        <w:rPr>
          <w:b/>
          <w:bCs/>
          <w:sz w:val="24"/>
          <w:szCs w:val="24"/>
        </w:rPr>
        <w:t>Notification for Distribution of Proceeds from EPA Auctions</w:t>
      </w:r>
    </w:p>
    <w:p w:rsidR="00562093" w:rsidRDefault="00562093"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EPA disburses one payment using electronic funds transfer/direct deposit (EFT/DD) for each plant represented for the proceeds from the annual auctions of allowances</w:t>
      </w:r>
      <w:r w:rsidR="005A67EC">
        <w:rPr>
          <w:sz w:val="24"/>
          <w:szCs w:val="24"/>
        </w:rPr>
        <w:t xml:space="preserve">. </w:t>
      </w:r>
      <w:r>
        <w:rPr>
          <w:sz w:val="24"/>
          <w:szCs w:val="24"/>
        </w:rPr>
        <w:t>The following information is required for this notification for distribution of proceeds:</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EE4B14" w:rsidP="00EE4B1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Authorized Account Representative (</w:t>
      </w:r>
      <w:smartTag w:uri="urn:schemas-microsoft-com:office:smarttags" w:element="place">
        <w:r w:rsidR="009907D5">
          <w:t>AAR</w:t>
        </w:r>
      </w:smartTag>
      <w:r w:rsidR="009907D5">
        <w:t>) Identification;</w:t>
      </w:r>
    </w:p>
    <w:p w:rsidR="009907D5" w:rsidRDefault="00EE4B14" w:rsidP="00EE4B1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Name of the company receiving the payment;</w:t>
      </w:r>
    </w:p>
    <w:p w:rsidR="009907D5" w:rsidRDefault="00EE4B14" w:rsidP="00EE4B1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The company</w:t>
      </w:r>
      <w:r w:rsidR="00A90381">
        <w:t>'</w:t>
      </w:r>
      <w:r w:rsidR="009907D5">
        <w:t>s taxpayer identification number;</w:t>
      </w:r>
    </w:p>
    <w:p w:rsidR="009907D5" w:rsidRDefault="00EE4B14" w:rsidP="00EE4B1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Bank account information;</w:t>
      </w:r>
    </w:p>
    <w:p w:rsidR="009907D5" w:rsidRDefault="00EE4B14" w:rsidP="00EE4B1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Plant name and plant code; and</w:t>
      </w:r>
    </w:p>
    <w:p w:rsidR="009907D5" w:rsidRDefault="00EE4B14" w:rsidP="00EE4B1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Signature of AAR.</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EE4B14" w:rsidP="00AE176A">
      <w:pPr>
        <w:keepNext/>
        <w:widowControl/>
        <w:numPr>
          <w:ilvl w:val="12"/>
          <w:numId w:val="0"/>
        </w:numPr>
        <w:ind w:left="1080"/>
        <w:rPr>
          <w:b/>
          <w:bCs/>
          <w:sz w:val="24"/>
          <w:szCs w:val="24"/>
        </w:rPr>
      </w:pPr>
      <w:r>
        <w:rPr>
          <w:b/>
          <w:bCs/>
          <w:sz w:val="24"/>
          <w:szCs w:val="24"/>
        </w:rPr>
        <w:lastRenderedPageBreak/>
        <w:t xml:space="preserve">D.  </w:t>
      </w:r>
      <w:r w:rsidR="009907D5">
        <w:rPr>
          <w:b/>
          <w:bCs/>
          <w:sz w:val="24"/>
          <w:szCs w:val="24"/>
        </w:rPr>
        <w:t>General Account Holders (Allowance Market Participants)</w:t>
      </w:r>
    </w:p>
    <w:p w:rsidR="00562093" w:rsidRDefault="00562093" w:rsidP="00AE176A">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AE176A">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Entities that are not affected sources (such as individuals holding allowances) are required to submit a completed account information application or provide the following information to obtain an allowance tracking system account number, prior to or simultaneous with the first transfer:</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EE4B14" w:rsidP="00EE4B1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 xml:space="preserve">Organization or company name (if applicable); </w:t>
      </w:r>
    </w:p>
    <w:p w:rsidR="00EE4B14" w:rsidRDefault="00EE4B14" w:rsidP="00EE4B1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EE4B14" w:rsidP="00EE4B1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 xml:space="preserve">Name, mailing address, phone </w:t>
      </w:r>
      <w:r>
        <w:t>number, facsimile number, and e</w:t>
      </w:r>
      <w:r w:rsidR="009907D5">
        <w:t>mail address of the authorized account representative;</w:t>
      </w:r>
    </w:p>
    <w:p w:rsidR="00EE4B14" w:rsidRDefault="00EE4B14" w:rsidP="00EE4B1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EE4B14" w:rsidP="00EE4B1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 xml:space="preserve">Name of the alternate authorized account representative (optional); </w:t>
      </w:r>
    </w:p>
    <w:p w:rsidR="00EE4B14" w:rsidRDefault="00EE4B14" w:rsidP="00EE4B1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EE4B14" w:rsidP="00EE4B1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A list of all persons subject to a binding agreement for the authorized account representative to represent their ownership interest with respect to the allowances held in the account; and</w:t>
      </w:r>
    </w:p>
    <w:p w:rsidR="00EE4B14" w:rsidRDefault="00EE4B14" w:rsidP="00EE4B1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EE4B14" w:rsidP="00EE4B1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Certification statement and the signatures and date for the authorized account representative, and alternate authorized account representative, if any.</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D16438" w:rsidP="000E73B7">
      <w:pPr>
        <w:widowControl/>
        <w:numPr>
          <w:ilvl w:val="12"/>
          <w:numId w:val="0"/>
        </w:numPr>
        <w:ind w:left="1080"/>
        <w:rPr>
          <w:b/>
          <w:bCs/>
          <w:sz w:val="24"/>
          <w:szCs w:val="24"/>
        </w:rPr>
      </w:pPr>
      <w:r>
        <w:rPr>
          <w:b/>
          <w:bCs/>
          <w:sz w:val="24"/>
          <w:szCs w:val="24"/>
        </w:rPr>
        <w:t>E</w:t>
      </w:r>
      <w:r w:rsidR="000E73B7">
        <w:rPr>
          <w:b/>
          <w:bCs/>
          <w:sz w:val="24"/>
          <w:szCs w:val="24"/>
        </w:rPr>
        <w:t xml:space="preserve">.  </w:t>
      </w:r>
      <w:r w:rsidR="009907D5">
        <w:rPr>
          <w:b/>
          <w:bCs/>
          <w:sz w:val="24"/>
          <w:szCs w:val="24"/>
        </w:rPr>
        <w:t>Permits</w:t>
      </w:r>
    </w:p>
    <w:p w:rsidR="00562093" w:rsidRDefault="00562093"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Every affected source is required to have an Acid Rain permit</w:t>
      </w:r>
      <w:r w:rsidR="005A67EC">
        <w:rPr>
          <w:sz w:val="24"/>
          <w:szCs w:val="24"/>
        </w:rPr>
        <w:t xml:space="preserve">. </w:t>
      </w:r>
      <w:r w:rsidR="000E73B7">
        <w:rPr>
          <w:sz w:val="24"/>
          <w:szCs w:val="24"/>
        </w:rPr>
        <w:t>Acid Rain permits have five-</w:t>
      </w:r>
      <w:r>
        <w:rPr>
          <w:sz w:val="24"/>
          <w:szCs w:val="24"/>
        </w:rPr>
        <w:t>year permit terms</w:t>
      </w:r>
      <w:r w:rsidR="005A67EC">
        <w:rPr>
          <w:sz w:val="24"/>
          <w:szCs w:val="24"/>
        </w:rPr>
        <w:t xml:space="preserve">. </w:t>
      </w:r>
      <w:r>
        <w:rPr>
          <w:sz w:val="24"/>
          <w:szCs w:val="24"/>
        </w:rPr>
        <w:t>The permitting authority</w:t>
      </w:r>
      <w:r w:rsidR="00A90381">
        <w:rPr>
          <w:sz w:val="24"/>
          <w:szCs w:val="24"/>
        </w:rPr>
        <w:t>'</w:t>
      </w:r>
      <w:r>
        <w:rPr>
          <w:sz w:val="24"/>
          <w:szCs w:val="24"/>
        </w:rPr>
        <w:t>s operating permits rule governs the issuance of permits to new units and for renewal of existing Acid Rain permits</w:t>
      </w:r>
      <w:r w:rsidR="00562093">
        <w:rPr>
          <w:sz w:val="24"/>
          <w:szCs w:val="24"/>
        </w:rPr>
        <w:t xml:space="preserve">.  </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0E73B7">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A complete Acid Rain permit application includes the following information:</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D23FB8" w:rsidP="00D23FB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Identification of the source (plant name, ORIS code, State);</w:t>
      </w:r>
    </w:p>
    <w:p w:rsidR="009907D5" w:rsidRDefault="00D23FB8" w:rsidP="00D23FB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Identification of affected units;</w:t>
      </w:r>
    </w:p>
    <w:p w:rsidR="009907D5" w:rsidRDefault="00D23FB8" w:rsidP="00D23FB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A complete compliance plan;</w:t>
      </w:r>
    </w:p>
    <w:p w:rsidR="009907D5" w:rsidRDefault="00D23FB8" w:rsidP="00D23FB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Standard requirements at 40 CFR 72.9;</w:t>
      </w:r>
    </w:p>
    <w:p w:rsidR="009907D5" w:rsidRDefault="00D23FB8" w:rsidP="00D23FB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For new units, commence operation date and monitor certification deadline;</w:t>
      </w:r>
    </w:p>
    <w:p w:rsidR="009907D5" w:rsidRDefault="00D23FB8" w:rsidP="00D23FB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Standard certification; and</w:t>
      </w:r>
    </w:p>
    <w:p w:rsidR="009907D5" w:rsidRDefault="00D23FB8" w:rsidP="00D23FB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Name and signature of designated representative.</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EB4C93">
      <w:pPr>
        <w:widowControl/>
        <w:numPr>
          <w:ilvl w:val="12"/>
          <w:numId w:val="0"/>
        </w:numPr>
        <w:rPr>
          <w:sz w:val="24"/>
          <w:szCs w:val="24"/>
          <w:u w:val="single"/>
        </w:rPr>
      </w:pPr>
      <w:r>
        <w:rPr>
          <w:sz w:val="24"/>
          <w:szCs w:val="24"/>
          <w:u w:val="single"/>
        </w:rPr>
        <w:t xml:space="preserve">New Unit Exemption §72.7 </w:t>
      </w:r>
    </w:p>
    <w:p w:rsidR="00562093" w:rsidRDefault="00562093"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Operators of new units that serve generators with a nameplate capacity of 25 MW or less and use fuel with a sulfur content by weight of less than 0.05 percent may obtain an exemption from monitoring, permitting, and allowance requirements if they submit a certification with the following information:</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A0A0A" w:rsidP="009A0A0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Unit Identification;</w:t>
      </w:r>
    </w:p>
    <w:p w:rsidR="009A0A0A" w:rsidRDefault="009A0A0A" w:rsidP="009A0A0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9A0A0A" w:rsidP="009A0A0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 xml:space="preserve">Nameplate capacity of </w:t>
      </w:r>
      <w:r w:rsidR="009907D5">
        <w:rPr>
          <w:u w:val="single"/>
        </w:rPr>
        <w:t>each</w:t>
      </w:r>
      <w:r w:rsidR="009907D5">
        <w:t xml:space="preserve"> of the generators served by the unit;</w:t>
      </w:r>
    </w:p>
    <w:p w:rsidR="009A0A0A" w:rsidRDefault="009A0A0A" w:rsidP="009A0A0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9A0A0A" w:rsidP="009A0A0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The first full calendar year that the unit will meet the exemption requirements;</w:t>
      </w:r>
    </w:p>
    <w:p w:rsidR="009A0A0A" w:rsidRDefault="009A0A0A" w:rsidP="009A0A0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9A0A0A" w:rsidP="009A0A0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The fuels currently burned by the unit, and that will be burned in the future, and their sulfur content by weight;</w:t>
      </w:r>
    </w:p>
    <w:p w:rsidR="009A0A0A" w:rsidRDefault="009A0A0A" w:rsidP="009A0A0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9A0A0A" w:rsidP="009A0A0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Certification that the owners and operators will comply with all necessary requirements; and</w:t>
      </w:r>
    </w:p>
    <w:p w:rsidR="009A0A0A" w:rsidRDefault="009A0A0A" w:rsidP="009A0A0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9A0A0A" w:rsidP="009A0A0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Standard certification at §72.21(d)(2).</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EB4C93">
      <w:pPr>
        <w:widowControl/>
        <w:numPr>
          <w:ilvl w:val="12"/>
          <w:numId w:val="0"/>
        </w:numPr>
        <w:rPr>
          <w:sz w:val="24"/>
          <w:szCs w:val="24"/>
          <w:u w:val="single"/>
        </w:rPr>
      </w:pPr>
      <w:r>
        <w:rPr>
          <w:sz w:val="24"/>
          <w:szCs w:val="24"/>
          <w:u w:val="single"/>
        </w:rPr>
        <w:t>Retired Unit Exemption</w:t>
      </w:r>
    </w:p>
    <w:p w:rsidR="00562093" w:rsidRDefault="00562093"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Operators of affected units that are retired may obtain an exemption from the Acid Rain Program if they submit a retired unit exemption form with the following information:</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A0A0A" w:rsidP="009A0A0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Unit identification;</w:t>
      </w:r>
    </w:p>
    <w:p w:rsidR="009907D5" w:rsidRDefault="009A0A0A" w:rsidP="009A0A0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The date that the unit was (or will be) permanently retired;</w:t>
      </w:r>
    </w:p>
    <w:p w:rsidR="009907D5" w:rsidRDefault="009A0A0A" w:rsidP="009A0A0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The first full calendar year that the unit will meet the exemption requirements;</w:t>
      </w:r>
    </w:p>
    <w:p w:rsidR="009907D5" w:rsidRDefault="009A0A0A" w:rsidP="009A0A0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Certification that the unit is permanently retired and will comply with all necessary requirements; and</w:t>
      </w:r>
    </w:p>
    <w:p w:rsidR="009907D5" w:rsidRDefault="009A0A0A" w:rsidP="009A0A0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Standard certification at §72.21(d)(2).</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All data items requested from permit applicants must be submitted on standard forms</w:t>
      </w:r>
      <w:r w:rsidR="005A67EC">
        <w:rPr>
          <w:sz w:val="24"/>
          <w:szCs w:val="24"/>
        </w:rPr>
        <w:t xml:space="preserve">. </w:t>
      </w:r>
      <w:r>
        <w:rPr>
          <w:sz w:val="24"/>
          <w:szCs w:val="24"/>
        </w:rPr>
        <w:t>Most of the information requested in the forms is specifically required by law.</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D16438" w:rsidP="009A0A0A">
      <w:pPr>
        <w:widowControl/>
        <w:numPr>
          <w:ilvl w:val="12"/>
          <w:numId w:val="0"/>
        </w:numPr>
        <w:ind w:left="1080"/>
        <w:rPr>
          <w:b/>
          <w:bCs/>
          <w:sz w:val="24"/>
          <w:szCs w:val="24"/>
        </w:rPr>
      </w:pPr>
      <w:r>
        <w:rPr>
          <w:b/>
          <w:bCs/>
          <w:sz w:val="24"/>
          <w:szCs w:val="24"/>
        </w:rPr>
        <w:t>F</w:t>
      </w:r>
      <w:r w:rsidR="009A0A0A">
        <w:rPr>
          <w:b/>
          <w:bCs/>
          <w:sz w:val="24"/>
          <w:szCs w:val="24"/>
        </w:rPr>
        <w:t xml:space="preserve">.  </w:t>
      </w:r>
      <w:r w:rsidR="009907D5">
        <w:rPr>
          <w:b/>
          <w:bCs/>
          <w:sz w:val="24"/>
          <w:szCs w:val="24"/>
        </w:rPr>
        <w:t>Emissions Monitoring</w:t>
      </w:r>
    </w:p>
    <w:p w:rsidR="00562093" w:rsidRDefault="00562093"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Emissions monitoring requirements specify that affected sources must (1) submit a monitoring plan for each affected unit at a source, (2) submit data for certification of each monitor, and (3) record hourly operational, pollutant monitor, and flow monitor data for each affected unit and submit quarterly reports of their emissions data to EPA</w:t>
      </w:r>
      <w:r w:rsidR="005A67EC">
        <w:rPr>
          <w:sz w:val="24"/>
          <w:szCs w:val="24"/>
        </w:rPr>
        <w:t xml:space="preserve">. </w:t>
      </w:r>
      <w:r>
        <w:rPr>
          <w:sz w:val="24"/>
          <w:szCs w:val="24"/>
        </w:rPr>
        <w:t>Appendi</w:t>
      </w:r>
      <w:r w:rsidR="00116218">
        <w:rPr>
          <w:sz w:val="24"/>
          <w:szCs w:val="24"/>
        </w:rPr>
        <w:t>x</w:t>
      </w:r>
      <w:r>
        <w:rPr>
          <w:sz w:val="24"/>
          <w:szCs w:val="24"/>
        </w:rPr>
        <w:t xml:space="preserve"> A to this ICR contain</w:t>
      </w:r>
      <w:r w:rsidR="00116218">
        <w:rPr>
          <w:sz w:val="24"/>
          <w:szCs w:val="24"/>
        </w:rPr>
        <w:t>s</w:t>
      </w:r>
      <w:r>
        <w:rPr>
          <w:sz w:val="24"/>
          <w:szCs w:val="24"/>
        </w:rPr>
        <w:t xml:space="preserve"> a list of the data items required by the recordkeeping and reporting provisions of Part 75.</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keepLines/>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Respondents are required by 40 CFR 75.64 to submit the quarterly emissions data electronically, by direct electronic submission to EPA, and must also include a certification statement by the designated representative of the unit</w:t>
      </w:r>
      <w:r w:rsidR="005A67EC">
        <w:rPr>
          <w:sz w:val="24"/>
          <w:szCs w:val="24"/>
        </w:rPr>
        <w:t xml:space="preserve">. </w:t>
      </w:r>
      <w:r>
        <w:rPr>
          <w:sz w:val="24"/>
          <w:szCs w:val="24"/>
        </w:rPr>
        <w:t>Under the 2002 rule revisions, EPA requires the certification statement to be submitted electronically unless it approves a hardcopy submission</w:t>
      </w:r>
      <w:r w:rsidR="005A67EC">
        <w:rPr>
          <w:sz w:val="24"/>
          <w:szCs w:val="24"/>
        </w:rPr>
        <w:t xml:space="preserve">. </w:t>
      </w:r>
      <w:r>
        <w:rPr>
          <w:sz w:val="24"/>
          <w:szCs w:val="24"/>
        </w:rPr>
        <w:t>All records are to be kept for three years, with two possible exceptions under voluntary options that are discussed in section 3.3 of this ICR.</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31596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60B58"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lastRenderedPageBreak/>
        <w:tab/>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D16438" w:rsidP="00691641">
      <w:pPr>
        <w:keepNext/>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b/>
          <w:bCs/>
          <w:sz w:val="24"/>
          <w:szCs w:val="24"/>
        </w:rPr>
      </w:pPr>
      <w:r>
        <w:rPr>
          <w:b/>
          <w:bCs/>
          <w:sz w:val="24"/>
          <w:szCs w:val="24"/>
        </w:rPr>
        <w:t>G</w:t>
      </w:r>
      <w:r w:rsidR="00691641">
        <w:rPr>
          <w:b/>
          <w:bCs/>
          <w:sz w:val="24"/>
          <w:szCs w:val="24"/>
        </w:rPr>
        <w:t xml:space="preserve">.  </w:t>
      </w:r>
      <w:r w:rsidR="009907D5">
        <w:rPr>
          <w:b/>
          <w:bCs/>
          <w:sz w:val="24"/>
          <w:szCs w:val="24"/>
        </w:rPr>
        <w:t>Auctions</w:t>
      </w:r>
    </w:p>
    <w:p w:rsidR="00562093" w:rsidRDefault="00562093" w:rsidP="00691641">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691641">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For auctions, participants are required to submit a bid form and payment method at least six days prior to the date of the auction</w:t>
      </w:r>
      <w:r w:rsidR="005A67EC">
        <w:rPr>
          <w:sz w:val="24"/>
          <w:szCs w:val="24"/>
        </w:rPr>
        <w:t xml:space="preserve">. </w:t>
      </w:r>
      <w:r>
        <w:rPr>
          <w:sz w:val="24"/>
          <w:szCs w:val="24"/>
        </w:rPr>
        <w:t>Sealed bids are submitted on a standard bid form developed by EPA</w:t>
      </w:r>
      <w:r w:rsidR="005A67EC">
        <w:rPr>
          <w:sz w:val="24"/>
          <w:szCs w:val="24"/>
        </w:rPr>
        <w:t xml:space="preserve">. </w:t>
      </w:r>
      <w:r>
        <w:rPr>
          <w:sz w:val="24"/>
          <w:szCs w:val="24"/>
        </w:rPr>
        <w:t>Each bid provides the following basic information:</w:t>
      </w:r>
    </w:p>
    <w:p w:rsidR="009907D5" w:rsidRDefault="009907D5" w:rsidP="00691641">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691641" w:rsidP="0069164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Name;</w:t>
      </w:r>
    </w:p>
    <w:p w:rsidR="009907D5" w:rsidRDefault="00691641" w:rsidP="0069164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Account number (or new account information);</w:t>
      </w:r>
    </w:p>
    <w:p w:rsidR="009907D5" w:rsidRDefault="00691641" w:rsidP="0069164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Allowance quantity and price; and</w:t>
      </w:r>
    </w:p>
    <w:p w:rsidR="009907D5" w:rsidRDefault="00691641" w:rsidP="0069164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Type of auction.</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The bid also specifies an acceptable method of payment for the total bid price regardless of the type of auction (spot or advance)</w:t>
      </w:r>
      <w:r w:rsidR="005A67EC">
        <w:rPr>
          <w:sz w:val="24"/>
          <w:szCs w:val="24"/>
        </w:rPr>
        <w:t xml:space="preserve">. </w:t>
      </w:r>
      <w:r>
        <w:rPr>
          <w:sz w:val="24"/>
          <w:szCs w:val="24"/>
        </w:rPr>
        <w:t>Full payment for allowances -- in an acceptable form -- is required with the</w:t>
      </w:r>
      <w:r w:rsidR="00691641">
        <w:rPr>
          <w:sz w:val="24"/>
          <w:szCs w:val="24"/>
        </w:rPr>
        <w:t xml:space="preserve"> bid at the time of submission.</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D16438" w:rsidP="00691641">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b/>
          <w:bCs/>
          <w:sz w:val="24"/>
          <w:szCs w:val="24"/>
        </w:rPr>
      </w:pPr>
      <w:r>
        <w:rPr>
          <w:b/>
          <w:bCs/>
          <w:sz w:val="24"/>
          <w:szCs w:val="24"/>
        </w:rPr>
        <w:t>H</w:t>
      </w:r>
      <w:r w:rsidR="00691641">
        <w:rPr>
          <w:b/>
          <w:bCs/>
          <w:sz w:val="24"/>
          <w:szCs w:val="24"/>
        </w:rPr>
        <w:t xml:space="preserve">.  </w:t>
      </w:r>
      <w:r w:rsidR="009907D5">
        <w:rPr>
          <w:b/>
          <w:bCs/>
          <w:sz w:val="24"/>
          <w:szCs w:val="24"/>
        </w:rPr>
        <w:t>Opt-in</w:t>
      </w:r>
    </w:p>
    <w:p w:rsidR="00562093" w:rsidRDefault="00562093"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To obtain an opt-in permit, applicants are required to submit a certificate of representation and an opt-in permit application for each source</w:t>
      </w:r>
      <w:r w:rsidR="005A67EC">
        <w:rPr>
          <w:sz w:val="24"/>
          <w:szCs w:val="24"/>
        </w:rPr>
        <w:t xml:space="preserve">. </w:t>
      </w:r>
      <w:r>
        <w:rPr>
          <w:sz w:val="24"/>
          <w:szCs w:val="24"/>
        </w:rPr>
        <w:t>For all respondents, the application must provide (1) general information on the source, (2) specific data about the source</w:t>
      </w:r>
      <w:r w:rsidR="00A90381">
        <w:rPr>
          <w:sz w:val="24"/>
          <w:szCs w:val="24"/>
        </w:rPr>
        <w:t>'</w:t>
      </w:r>
      <w:r>
        <w:rPr>
          <w:sz w:val="24"/>
          <w:szCs w:val="24"/>
        </w:rPr>
        <w:t>s fuel consumption and operating data for 1985, 1986, and 1987, and (3) data on the source</w:t>
      </w:r>
      <w:r w:rsidR="00A90381">
        <w:rPr>
          <w:sz w:val="24"/>
          <w:szCs w:val="24"/>
        </w:rPr>
        <w:t>'</w:t>
      </w:r>
      <w:r>
        <w:rPr>
          <w:sz w:val="24"/>
          <w:szCs w:val="24"/>
        </w:rPr>
        <w:t>s actual and allowable emission rates for 1985, as well as the current allowable emission rate</w:t>
      </w:r>
      <w:r w:rsidR="005A67EC">
        <w:rPr>
          <w:sz w:val="24"/>
          <w:szCs w:val="24"/>
        </w:rPr>
        <w:t xml:space="preserve">. </w:t>
      </w:r>
      <w:r>
        <w:rPr>
          <w:sz w:val="24"/>
          <w:szCs w:val="24"/>
        </w:rPr>
        <w:t xml:space="preserve">For permit applicants who plan to opt in </w:t>
      </w:r>
      <w:r>
        <w:rPr>
          <w:i/>
          <w:iCs/>
          <w:sz w:val="24"/>
          <w:szCs w:val="24"/>
        </w:rPr>
        <w:t>and shut down</w:t>
      </w:r>
      <w:r>
        <w:rPr>
          <w:sz w:val="24"/>
          <w:szCs w:val="24"/>
        </w:rPr>
        <w:t>, the compliance plan is based on a statement describing the source</w:t>
      </w:r>
      <w:r w:rsidR="00A90381">
        <w:rPr>
          <w:sz w:val="24"/>
          <w:szCs w:val="24"/>
        </w:rPr>
        <w:t>'</w:t>
      </w:r>
      <w:r>
        <w:rPr>
          <w:sz w:val="24"/>
          <w:szCs w:val="24"/>
        </w:rPr>
        <w:t>s plans for shutting down and replacing thermal energy.</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The general information required of all opt-in sources include the following items, as listed in Section 74.16 or another section as listed below:</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FB4BB1" w:rsidP="00FB4BB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Source name and location;</w:t>
      </w:r>
    </w:p>
    <w:p w:rsidR="00FB4BB1" w:rsidRDefault="00FB4BB1" w:rsidP="00FB4BB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FB4BB1" w:rsidP="00FB4BB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Name, address, telephone and facsimile number of the designated representative;</w:t>
      </w:r>
    </w:p>
    <w:p w:rsidR="00FB4BB1" w:rsidRDefault="00FB4BB1" w:rsidP="00FB4BB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FB4BB1" w:rsidP="00FB4BB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Name, address, telephone and facsimile number of the alternate designated representative;</w:t>
      </w:r>
    </w:p>
    <w:p w:rsidR="00FB4BB1" w:rsidRDefault="00FB4BB1" w:rsidP="00FB4BB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FB4BB1" w:rsidP="00FB4BB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Statement of certification;</w:t>
      </w:r>
    </w:p>
    <w:p w:rsidR="00FB4BB1" w:rsidRDefault="00FB4BB1" w:rsidP="00FB4BB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FB4BB1" w:rsidP="00FB4BB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Complete record of fuel consumption and operating data for calendar years 1985, 1986, 1987, or other acceptable baseline;</w:t>
      </w:r>
    </w:p>
    <w:p w:rsidR="00FB4BB1" w:rsidRDefault="00FB4BB1" w:rsidP="00FB4BB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FB4BB1" w:rsidP="00FB4BB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Actual and allowable emission rates for 1985, or if source was not operating in 1985, for a calendar year to be determined by the Administrator, as well as the current allowable emission rate;</w:t>
      </w:r>
    </w:p>
    <w:p w:rsidR="00FB4BB1" w:rsidRDefault="00FB4BB1" w:rsidP="00FB4BB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FB4BB1" w:rsidP="00FB4BB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Statement provisions as indicated at 72.9; and</w:t>
      </w:r>
    </w:p>
    <w:p w:rsidR="00FB4BB1" w:rsidRDefault="00FB4BB1" w:rsidP="00FB4BB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FB4BB1" w:rsidP="00FB4BB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Signature of designated representative and date of signature.</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szCs w:val="24"/>
        </w:rPr>
      </w:pPr>
    </w:p>
    <w:p w:rsidR="009907D5" w:rsidRDefault="00562093" w:rsidP="00562093">
      <w:pPr>
        <w:widowControl/>
        <w:numPr>
          <w:ilvl w:val="12"/>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9907D5">
        <w:rPr>
          <w:sz w:val="24"/>
          <w:szCs w:val="24"/>
        </w:rPr>
        <w:t>In addition, sources that opt</w:t>
      </w:r>
      <w:r w:rsidR="008064AF">
        <w:rPr>
          <w:sz w:val="24"/>
          <w:szCs w:val="24"/>
        </w:rPr>
        <w:t>-</w:t>
      </w:r>
      <w:r w:rsidR="009907D5">
        <w:rPr>
          <w:sz w:val="24"/>
          <w:szCs w:val="24"/>
        </w:rPr>
        <w:t>in and continue to operate must meet the emission monitoring requirements that were listed above.</w:t>
      </w:r>
    </w:p>
    <w:p w:rsidR="009907D5" w:rsidRDefault="009907D5" w:rsidP="00562093">
      <w:pPr>
        <w:widowControl/>
        <w:numPr>
          <w:ilvl w:val="12"/>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562093" w:rsidP="00562093">
      <w:pPr>
        <w:widowControl/>
        <w:numPr>
          <w:ilvl w:val="12"/>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9907D5">
        <w:rPr>
          <w:sz w:val="24"/>
          <w:szCs w:val="24"/>
        </w:rPr>
        <w:t>As part of the annual compliance certification report required in Section 74.43 for opt-in units, respondents must report utilization information, and replacement of thermal energy and resulting transfer of allowances</w:t>
      </w:r>
      <w:r w:rsidR="005A67EC">
        <w:rPr>
          <w:sz w:val="24"/>
          <w:szCs w:val="24"/>
        </w:rPr>
        <w:t xml:space="preserve">. </w:t>
      </w:r>
      <w:r w:rsidR="009907D5">
        <w:rPr>
          <w:sz w:val="24"/>
          <w:szCs w:val="24"/>
        </w:rPr>
        <w:t>The following information must be reported, as required in Sections 74.44 and 74.47:</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szCs w:val="24"/>
        </w:rPr>
      </w:pPr>
    </w:p>
    <w:p w:rsidR="009907D5"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Source name and location;</w:t>
      </w:r>
    </w:p>
    <w:p w:rsidR="0079498E"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Name, mailing address, telephone and facsimile number of source representative;</w:t>
      </w:r>
    </w:p>
    <w:p w:rsidR="0079498E"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Benchmark utilization, annual utilization, average utilization, end-of-year determination of reduced utilization, and the calculation of allowances deducted for reduced utilization (if any);</w:t>
      </w:r>
    </w:p>
    <w:p w:rsidR="0079498E"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Amount of thermal energy replaced (if the source has shut down or if the utilization rate has fallen due to replacement of thermal energy by another source), and the name and location of the source or sources providing replacement thermal energy;</w:t>
      </w:r>
    </w:p>
    <w:p w:rsidR="0079498E"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A calculation of the number of allowances transferred to each source providing replacement thermal energy;</w:t>
      </w:r>
    </w:p>
    <w:p w:rsidR="0079498E"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Allowance tracking system account number of the replacement units; and</w:t>
      </w:r>
    </w:p>
    <w:p w:rsidR="0079498E"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Dated signatures for all designated representatives.</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All respondents who choose to withdraw from the program are required to notify the Agency of their decision and provide the following information, as required in Section 74.18:</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Source account number;</w:t>
      </w:r>
    </w:p>
    <w:p w:rsidR="0079498E"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Name, address, telephone and facsimile number of the designated representative; and</w:t>
      </w:r>
    </w:p>
    <w:p w:rsidR="0079498E"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A certification that emissions requirements will be met through Dec</w:t>
      </w:r>
      <w:r>
        <w:t>ember</w:t>
      </w:r>
      <w:r w:rsidR="00562093">
        <w:t xml:space="preserve"> </w:t>
      </w:r>
      <w:r w:rsidR="009907D5">
        <w:t>31 of the current year, and that all remaining allowances will be surrendered at that time.</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D16438" w:rsidP="00C07B02">
      <w:pPr>
        <w:keepNext/>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b/>
          <w:bCs/>
          <w:sz w:val="24"/>
          <w:szCs w:val="24"/>
        </w:rPr>
      </w:pPr>
      <w:r>
        <w:rPr>
          <w:b/>
          <w:bCs/>
          <w:sz w:val="24"/>
          <w:szCs w:val="24"/>
        </w:rPr>
        <w:lastRenderedPageBreak/>
        <w:t>I</w:t>
      </w:r>
      <w:r w:rsidR="00C07B02">
        <w:rPr>
          <w:b/>
          <w:bCs/>
          <w:sz w:val="24"/>
          <w:szCs w:val="24"/>
        </w:rPr>
        <w:t xml:space="preserve">.  </w:t>
      </w:r>
      <w:proofErr w:type="spellStart"/>
      <w:r w:rsidR="009907D5">
        <w:rPr>
          <w:b/>
          <w:bCs/>
          <w:sz w:val="24"/>
          <w:szCs w:val="24"/>
        </w:rPr>
        <w:t>NO</w:t>
      </w:r>
      <w:r w:rsidR="009907D5">
        <w:rPr>
          <w:b/>
          <w:bCs/>
          <w:sz w:val="24"/>
          <w:szCs w:val="24"/>
          <w:vertAlign w:val="subscript"/>
        </w:rPr>
        <w:t>x</w:t>
      </w:r>
      <w:proofErr w:type="spellEnd"/>
      <w:r w:rsidR="009907D5">
        <w:rPr>
          <w:b/>
          <w:bCs/>
          <w:sz w:val="24"/>
          <w:szCs w:val="24"/>
        </w:rPr>
        <w:t xml:space="preserve"> Permitting</w:t>
      </w:r>
    </w:p>
    <w:p w:rsidR="00562093" w:rsidRDefault="00562093" w:rsidP="0079498E">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Regardless of the compliance option selected, the following elements must be included in the compliance plan for each source:</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Identification of the source;</w:t>
      </w:r>
    </w:p>
    <w:p w:rsidR="009907D5"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Identification of each affected unit at the source that is subject to these regulations;</w:t>
      </w:r>
    </w:p>
    <w:p w:rsidR="009907D5"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Identification of the boiler type of each unit; and</w:t>
      </w:r>
    </w:p>
    <w:p w:rsidR="009907D5"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Identification of the compliance option proposed for each unit.</w:t>
      </w:r>
    </w:p>
    <w:p w:rsidR="00C07B02" w:rsidRDefault="00C07B02"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For units that are choosing either standard or early election limits, the designated representative must simply check the appropriate box(</w:t>
      </w:r>
      <w:proofErr w:type="spellStart"/>
      <w:r>
        <w:rPr>
          <w:sz w:val="24"/>
          <w:szCs w:val="24"/>
        </w:rPr>
        <w:t>es</w:t>
      </w:r>
      <w:proofErr w:type="spellEnd"/>
      <w:r>
        <w:rPr>
          <w:sz w:val="24"/>
          <w:szCs w:val="24"/>
        </w:rPr>
        <w:t xml:space="preserve">) to indicate the </w:t>
      </w:r>
      <w:proofErr w:type="spellStart"/>
      <w:r>
        <w:rPr>
          <w:sz w:val="24"/>
          <w:szCs w:val="24"/>
        </w:rPr>
        <w:t>NO</w:t>
      </w:r>
      <w:r w:rsidRPr="00C07B02">
        <w:rPr>
          <w:sz w:val="24"/>
          <w:szCs w:val="24"/>
          <w:vertAlign w:val="subscript"/>
        </w:rPr>
        <w:t>x</w:t>
      </w:r>
      <w:proofErr w:type="spellEnd"/>
      <w:r>
        <w:rPr>
          <w:sz w:val="24"/>
          <w:szCs w:val="24"/>
        </w:rPr>
        <w:t xml:space="preserve"> compliance plan that is chosen.</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For units that are in an averaging plan, the following additional information must be submitted:</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C07B02" w:rsidP="00C07B0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Identification of each unit in the plan;</w:t>
      </w:r>
    </w:p>
    <w:p w:rsidR="009907D5" w:rsidRDefault="00C07B02" w:rsidP="00C07B0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Each unit</w:t>
      </w:r>
      <w:r w:rsidR="00A90381">
        <w:t>'</w:t>
      </w:r>
      <w:r w:rsidR="009907D5">
        <w:t>s standard emission limitation;</w:t>
      </w:r>
    </w:p>
    <w:p w:rsidR="009907D5" w:rsidRDefault="00C07B02" w:rsidP="00C07B0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The alternative contemporaneous applicable emission limitation for each unit (in lb/</w:t>
      </w:r>
      <w:proofErr w:type="spellStart"/>
      <w:r w:rsidR="009907D5">
        <w:t>mmBtu</w:t>
      </w:r>
      <w:proofErr w:type="spellEnd"/>
      <w:r w:rsidR="009907D5">
        <w:t>);</w:t>
      </w:r>
    </w:p>
    <w:p w:rsidR="009907D5" w:rsidRDefault="00C07B02" w:rsidP="00C07B0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 xml:space="preserve">The annual heat input limit for each unit (in </w:t>
      </w:r>
      <w:proofErr w:type="spellStart"/>
      <w:r w:rsidR="009907D5">
        <w:t>mmBtu</w:t>
      </w:r>
      <w:proofErr w:type="spellEnd"/>
      <w:r w:rsidR="009907D5">
        <w:t>);</w:t>
      </w:r>
    </w:p>
    <w:p w:rsidR="009907D5" w:rsidRDefault="00C07B02" w:rsidP="00C07B0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The calculation for the equation outlined in Step 2 of the EPA form for emissions averaging; and</w:t>
      </w:r>
    </w:p>
    <w:p w:rsidR="009907D5" w:rsidRDefault="00C07B02" w:rsidP="00C07B0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The calendar years for wh</w:t>
      </w:r>
      <w:r>
        <w:t>ich the averaging plan applies.</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For an AEL, the designated representative must submit the following information:</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674ADB">
      <w:pPr>
        <w:keepNext/>
        <w:widowControl/>
        <w:numPr>
          <w:ilvl w:val="12"/>
          <w:numId w:val="0"/>
        </w:numPr>
        <w:rPr>
          <w:sz w:val="24"/>
          <w:szCs w:val="24"/>
        </w:rPr>
      </w:pPr>
      <w:r>
        <w:rPr>
          <w:sz w:val="24"/>
          <w:szCs w:val="24"/>
          <w:u w:val="single"/>
        </w:rPr>
        <w:t>AEL Demonstration Period</w:t>
      </w:r>
    </w:p>
    <w:p w:rsidR="009907D5" w:rsidRDefault="009907D5" w:rsidP="00674ADB">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674ADB">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For an AEL, the designated representative must first submit an application for an AEL demonstration period</w:t>
      </w:r>
      <w:r w:rsidR="005A67EC">
        <w:rPr>
          <w:sz w:val="24"/>
          <w:szCs w:val="24"/>
        </w:rPr>
        <w:t xml:space="preserve">. </w:t>
      </w:r>
      <w:r>
        <w:rPr>
          <w:sz w:val="24"/>
          <w:szCs w:val="24"/>
        </w:rPr>
        <w:t>The application must contain the following information in accordance with 40 CFR §76.10(d):</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Identification of the unit;</w:t>
      </w:r>
    </w:p>
    <w:p w:rsidR="00581569"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The type of control technology installed</w:t>
      </w:r>
      <w:r w:rsidR="005A67EC">
        <w:t xml:space="preserve">. </w:t>
      </w:r>
      <w:r w:rsidR="009907D5">
        <w:t xml:space="preserve">If low </w:t>
      </w:r>
      <w:proofErr w:type="spellStart"/>
      <w:r w:rsidR="009907D5">
        <w:t>NO</w:t>
      </w:r>
      <w:r w:rsidR="009907D5">
        <w:rPr>
          <w:vertAlign w:val="subscript"/>
        </w:rPr>
        <w:t>x</w:t>
      </w:r>
      <w:proofErr w:type="spellEnd"/>
      <w:r w:rsidR="009907D5">
        <w:t xml:space="preserve"> burner technology incorporating advanced and/or separated overfire air is technically infeasible, a justification including a technical analysis and evaluative report from the vendor of the system or from an independent architectural and engineering firm explaining why;</w:t>
      </w:r>
    </w:p>
    <w:p w:rsidR="00581569"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 xml:space="preserve">Documentation that the installed </w:t>
      </w:r>
      <w:proofErr w:type="spellStart"/>
      <w:r w:rsidR="009907D5">
        <w:t>NO</w:t>
      </w:r>
      <w:r w:rsidR="009907D5">
        <w:rPr>
          <w:vertAlign w:val="subscript"/>
        </w:rPr>
        <w:t>x</w:t>
      </w:r>
      <w:proofErr w:type="spellEnd"/>
      <w:r w:rsidR="009907D5">
        <w:t xml:space="preserve"> emission control system has been designed to meet the applicable emission limitation and that the system has been properly installed;</w:t>
      </w:r>
    </w:p>
    <w:p w:rsidR="00581569"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 xml:space="preserve">The date the specific unit commenced operation following the installation of the </w:t>
      </w:r>
      <w:proofErr w:type="spellStart"/>
      <w:r w:rsidR="009907D5">
        <w:t>NO</w:t>
      </w:r>
      <w:r w:rsidR="009907D5">
        <w:rPr>
          <w:vertAlign w:val="subscript"/>
        </w:rPr>
        <w:t>x</w:t>
      </w:r>
      <w:proofErr w:type="spellEnd"/>
      <w:r w:rsidR="009907D5">
        <w:t xml:space="preserve"> control equipment, or the date the specific unit became subject to the emission limitations (whichever is later);</w:t>
      </w: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The dates of th</w:t>
      </w:r>
      <w:r>
        <w:t>e operating period (minimum of three</w:t>
      </w:r>
      <w:r w:rsidR="009907D5">
        <w:t xml:space="preserve"> continuous months);</w:t>
      </w:r>
    </w:p>
    <w:p w:rsidR="00581569"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 xml:space="preserve">Certification by the designated representative that the unit and the </w:t>
      </w:r>
      <w:proofErr w:type="spellStart"/>
      <w:r w:rsidR="009907D5">
        <w:t>NO</w:t>
      </w:r>
      <w:r w:rsidR="009907D5">
        <w:rPr>
          <w:vertAlign w:val="subscript"/>
        </w:rPr>
        <w:t>x</w:t>
      </w:r>
      <w:proofErr w:type="spellEnd"/>
      <w:r w:rsidR="009907D5">
        <w:t xml:space="preserve"> control equipment were operated during the operating period in accordance with specifications and procedures designed to achieve the applicable emission limitation, with the operating conditions upon which the design of the </w:t>
      </w:r>
      <w:proofErr w:type="spellStart"/>
      <w:r w:rsidR="009907D5">
        <w:t>NO</w:t>
      </w:r>
      <w:r w:rsidR="009907D5">
        <w:rPr>
          <w:vertAlign w:val="subscript"/>
        </w:rPr>
        <w:t>x</w:t>
      </w:r>
      <w:proofErr w:type="spellEnd"/>
      <w:r w:rsidR="009907D5">
        <w:t xml:space="preserve"> control equipment was based, and with vendor specifications and procedures;</w:t>
      </w:r>
    </w:p>
    <w:p w:rsidR="00581569"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A brief statement describing the reason or reasons an AEL demonstration period is required for the specific unit;</w:t>
      </w:r>
    </w:p>
    <w:p w:rsidR="00581569"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For the control technology, load range, O</w:t>
      </w:r>
      <w:r w:rsidR="009907D5">
        <w:rPr>
          <w:vertAlign w:val="subscript"/>
        </w:rPr>
        <w:t>2</w:t>
      </w:r>
      <w:r w:rsidR="009907D5">
        <w:t xml:space="preserve"> range, coal volatile matter range, and percentage of combustion air introduced through overfire air ports;</w:t>
      </w:r>
    </w:p>
    <w:p w:rsidR="00581569"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Description of planned modifications;</w:t>
      </w:r>
    </w:p>
    <w:p w:rsidR="00581569"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List of parametric tests to be conducted in accordance with 40 CFR §76.15;</w:t>
      </w:r>
    </w:p>
    <w:p w:rsidR="00581569"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Identification of the continuous emission monitoring data submitted pursuant to 40 CFR Part 75 that is to be used in assessing this application;</w:t>
      </w:r>
    </w:p>
    <w:p w:rsidR="00581569"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An interim AEL, in lb/</w:t>
      </w:r>
      <w:proofErr w:type="spellStart"/>
      <w:r w:rsidR="009907D5">
        <w:t>mmBtu</w:t>
      </w:r>
      <w:proofErr w:type="spellEnd"/>
      <w:r w:rsidR="009907D5">
        <w:t>; and</w:t>
      </w:r>
    </w:p>
    <w:p w:rsidR="00581569"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The proposed dates of the demonstration period.</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674ADB">
      <w:pPr>
        <w:keepNext/>
        <w:widowControl/>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u w:val="single"/>
        </w:rPr>
        <w:t>Final AEL</w:t>
      </w:r>
    </w:p>
    <w:p w:rsidR="009907D5" w:rsidRDefault="009907D5" w:rsidP="00674ADB">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674ADB">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After the demonstration period, the owner or operator may petition the permitting authority for a final AEL</w:t>
      </w:r>
      <w:r w:rsidR="005A67EC">
        <w:rPr>
          <w:sz w:val="24"/>
          <w:szCs w:val="24"/>
        </w:rPr>
        <w:t xml:space="preserve">. </w:t>
      </w:r>
      <w:r>
        <w:rPr>
          <w:sz w:val="24"/>
          <w:szCs w:val="24"/>
        </w:rPr>
        <w:t>The petition must include the following information in accordance with 40 CFR §76.10(e):</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Identification of the unit;</w:t>
      </w:r>
    </w:p>
    <w:p w:rsidR="00794A6A" w:rsidRDefault="00794A6A"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 xml:space="preserve">Certification that the affected unit and the </w:t>
      </w:r>
      <w:proofErr w:type="spellStart"/>
      <w:r w:rsidR="009907D5">
        <w:t>NO</w:t>
      </w:r>
      <w:r w:rsidR="009907D5">
        <w:rPr>
          <w:vertAlign w:val="subscript"/>
        </w:rPr>
        <w:t>x</w:t>
      </w:r>
      <w:proofErr w:type="spellEnd"/>
      <w:r w:rsidR="009907D5">
        <w:t xml:space="preserve"> control equipment have been properly operated during the demonstration period;</w:t>
      </w:r>
    </w:p>
    <w:p w:rsidR="00794A6A" w:rsidRDefault="00794A6A"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Certification that the affected unit has installed all emission control equipment, made any operational modifications, and completed any upgrades and/or maintenance to equipment specified in the demonstration period plan;</w:t>
      </w:r>
    </w:p>
    <w:p w:rsidR="00794A6A" w:rsidRDefault="00794A6A"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A clear description of each step or modification taken during the demonstration period;</w:t>
      </w:r>
    </w:p>
    <w:p w:rsidR="00794A6A" w:rsidRDefault="00794A6A"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Engineering design calculations and drawings that show the technical specifications for installation of any additional operational or emission control modifications installed during the demonstration period;</w:t>
      </w:r>
    </w:p>
    <w:p w:rsidR="00794A6A" w:rsidRDefault="00794A6A"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lastRenderedPageBreak/>
        <w:t>●</w:t>
      </w:r>
      <w:r>
        <w:tab/>
      </w:r>
      <w:r w:rsidR="009907D5">
        <w:t>Identification of the continuous monitoring data submitted pursuant to 40 CFR Part 75 that is to be used in assessing this application;</w:t>
      </w:r>
    </w:p>
    <w:p w:rsidR="00794A6A" w:rsidRDefault="00794A6A"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 xml:space="preserve">A report, based on the parametric testing, that describes the reasons for the failure of the installed </w:t>
      </w:r>
      <w:proofErr w:type="spellStart"/>
      <w:r w:rsidR="009907D5">
        <w:t>NO</w:t>
      </w:r>
      <w:r w:rsidR="009907D5">
        <w:rPr>
          <w:vertAlign w:val="subscript"/>
        </w:rPr>
        <w:t>x</w:t>
      </w:r>
      <w:proofErr w:type="spellEnd"/>
      <w:r w:rsidR="009907D5">
        <w:t xml:space="preserve"> control equipment to meet the applicable emission limitation;</w:t>
      </w:r>
    </w:p>
    <w:p w:rsidR="00794A6A" w:rsidRDefault="00794A6A"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 xml:space="preserve">The minimum </w:t>
      </w:r>
      <w:proofErr w:type="spellStart"/>
      <w:r w:rsidR="009907D5">
        <w:t>NO</w:t>
      </w:r>
      <w:r w:rsidR="009907D5">
        <w:rPr>
          <w:vertAlign w:val="subscript"/>
        </w:rPr>
        <w:t>x</w:t>
      </w:r>
      <w:proofErr w:type="spellEnd"/>
      <w:r w:rsidR="009907D5">
        <w:t xml:space="preserve"> emission rate, in lb/</w:t>
      </w:r>
      <w:proofErr w:type="spellStart"/>
      <w:r w:rsidR="009907D5">
        <w:t>mmBtu</w:t>
      </w:r>
      <w:proofErr w:type="spellEnd"/>
      <w:r w:rsidR="009907D5">
        <w:t>, that the affected unit is able to achieve on an annual average basis;</w:t>
      </w:r>
    </w:p>
    <w:p w:rsidR="00794A6A" w:rsidRDefault="00794A6A"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All supporting data and calculations documenting the determination of the proposed AEL; and</w:t>
      </w:r>
    </w:p>
    <w:p w:rsidR="00794A6A" w:rsidRDefault="00794A6A"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 xml:space="preserve">For affected units that have installed an alternative technology, demonstration that the annual average reduction of </w:t>
      </w:r>
      <w:proofErr w:type="spellStart"/>
      <w:r w:rsidR="009907D5">
        <w:t>NO</w:t>
      </w:r>
      <w:r w:rsidR="009907D5">
        <w:rPr>
          <w:vertAlign w:val="subscript"/>
        </w:rPr>
        <w:t>x</w:t>
      </w:r>
      <w:proofErr w:type="spellEnd"/>
      <w:r w:rsidR="009907D5">
        <w:t xml:space="preserve"> emissions is greater than 65 percent.</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p>
    <w:p w:rsidR="009907D5" w:rsidRDefault="00D16438" w:rsidP="00794A6A">
      <w:pPr>
        <w:widowControl/>
        <w:numPr>
          <w:ilvl w:val="12"/>
          <w:numId w:val="0"/>
        </w:numPr>
        <w:ind w:left="1080"/>
        <w:rPr>
          <w:b/>
          <w:bCs/>
          <w:sz w:val="24"/>
          <w:szCs w:val="24"/>
        </w:rPr>
      </w:pPr>
      <w:r>
        <w:rPr>
          <w:b/>
          <w:bCs/>
          <w:sz w:val="24"/>
          <w:szCs w:val="24"/>
        </w:rPr>
        <w:t>J</w:t>
      </w:r>
      <w:r w:rsidR="00794A6A">
        <w:rPr>
          <w:b/>
          <w:bCs/>
          <w:sz w:val="24"/>
          <w:szCs w:val="24"/>
        </w:rPr>
        <w:t xml:space="preserve">.  </w:t>
      </w:r>
      <w:r w:rsidR="009907D5">
        <w:rPr>
          <w:b/>
          <w:bCs/>
          <w:sz w:val="24"/>
          <w:szCs w:val="24"/>
        </w:rPr>
        <w:t>Recordkeeping</w:t>
      </w:r>
    </w:p>
    <w:p w:rsidR="00562093" w:rsidRDefault="00562093"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All records are to be kept for three years, except for permitting records which are to be kept for the duration of the permit, or up to five years and certain new monitoring provisions.</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A2334" w:rsidP="00674ADB">
      <w:pPr>
        <w:keepNext/>
        <w:widowControl/>
        <w:numPr>
          <w:ilvl w:val="12"/>
          <w:numId w:val="0"/>
        </w:numPr>
        <w:ind w:left="720"/>
        <w:rPr>
          <w:sz w:val="24"/>
          <w:szCs w:val="24"/>
        </w:rPr>
      </w:pPr>
      <w:r>
        <w:rPr>
          <w:b/>
          <w:bCs/>
          <w:sz w:val="24"/>
          <w:szCs w:val="24"/>
        </w:rPr>
        <w:t>4.2.2  Respondent A</w:t>
      </w:r>
      <w:r w:rsidR="009907D5">
        <w:rPr>
          <w:b/>
          <w:bCs/>
          <w:sz w:val="24"/>
          <w:szCs w:val="24"/>
        </w:rPr>
        <w:t>ctivities</w:t>
      </w:r>
    </w:p>
    <w:p w:rsidR="009907D5" w:rsidRDefault="009907D5" w:rsidP="00674ADB">
      <w:pPr>
        <w:keepNext/>
        <w:widowControl/>
        <w:numPr>
          <w:ilvl w:val="12"/>
          <w:numId w:val="0"/>
        </w:numPr>
        <w:rPr>
          <w:sz w:val="24"/>
          <w:szCs w:val="24"/>
        </w:rPr>
      </w:pPr>
    </w:p>
    <w:p w:rsidR="009907D5" w:rsidRDefault="009A2334" w:rsidP="00674ADB">
      <w:pPr>
        <w:keepNext/>
        <w:widowControl/>
        <w:numPr>
          <w:ilvl w:val="12"/>
          <w:numId w:val="0"/>
        </w:numPr>
        <w:ind w:left="1080"/>
        <w:rPr>
          <w:b/>
          <w:bCs/>
          <w:sz w:val="24"/>
          <w:szCs w:val="24"/>
        </w:rPr>
      </w:pPr>
      <w:r>
        <w:rPr>
          <w:b/>
          <w:bCs/>
          <w:sz w:val="24"/>
          <w:szCs w:val="24"/>
        </w:rPr>
        <w:t xml:space="preserve">A.  </w:t>
      </w:r>
      <w:r w:rsidR="009907D5">
        <w:rPr>
          <w:b/>
          <w:bCs/>
          <w:sz w:val="24"/>
          <w:szCs w:val="24"/>
        </w:rPr>
        <w:t>Allowance Transfers</w:t>
      </w:r>
    </w:p>
    <w:p w:rsidR="00562093" w:rsidRDefault="00562093" w:rsidP="00674ADB">
      <w:pPr>
        <w:keepNext/>
        <w:widowControl/>
        <w:numPr>
          <w:ilvl w:val="12"/>
          <w:numId w:val="0"/>
        </w:numPr>
        <w:rPr>
          <w:sz w:val="24"/>
          <w:szCs w:val="24"/>
        </w:rPr>
      </w:pPr>
    </w:p>
    <w:p w:rsidR="009907D5" w:rsidRDefault="009907D5" w:rsidP="00674ADB">
      <w:pPr>
        <w:keepNext/>
        <w:widowControl/>
        <w:numPr>
          <w:ilvl w:val="12"/>
          <w:numId w:val="0"/>
        </w:numPr>
        <w:rPr>
          <w:sz w:val="24"/>
          <w:szCs w:val="24"/>
        </w:rPr>
      </w:pPr>
      <w:r>
        <w:rPr>
          <w:sz w:val="24"/>
          <w:szCs w:val="24"/>
        </w:rPr>
        <w:tab/>
        <w:t>Participants in the allowance transfer system that are not affected units are required to perform two tasks</w:t>
      </w:r>
      <w:r w:rsidR="00562093">
        <w:rPr>
          <w:sz w:val="24"/>
          <w:szCs w:val="24"/>
        </w:rPr>
        <w:t xml:space="preserve">:  </w:t>
      </w:r>
      <w:r>
        <w:rPr>
          <w:sz w:val="24"/>
          <w:szCs w:val="24"/>
        </w:rPr>
        <w:t>(1) negotiate an agreement to designate an authorized account representative and file an account information application to open an allowance tracking system general account; and (2) complete and submit allowance transfers</w:t>
      </w:r>
      <w:r w:rsidR="005A67EC">
        <w:rPr>
          <w:sz w:val="24"/>
          <w:szCs w:val="24"/>
        </w:rPr>
        <w:t xml:space="preserve">. </w:t>
      </w:r>
      <w:r>
        <w:rPr>
          <w:sz w:val="24"/>
          <w:szCs w:val="24"/>
        </w:rPr>
        <w:t>Designating an authorized account representative and filing an account information application is required one time only, prior to or concurrent with conducting the first transfer of allowances</w:t>
      </w:r>
      <w:r w:rsidR="005A67EC">
        <w:rPr>
          <w:sz w:val="24"/>
          <w:szCs w:val="24"/>
        </w:rPr>
        <w:t xml:space="preserve">. </w:t>
      </w:r>
      <w:r>
        <w:rPr>
          <w:sz w:val="24"/>
          <w:szCs w:val="24"/>
        </w:rPr>
        <w:t xml:space="preserve">For each transfer of allowances, participants are required to complete and submit an allowance transfer form or provide the required information using the </w:t>
      </w:r>
      <w:r w:rsidR="00AE176A">
        <w:rPr>
          <w:sz w:val="24"/>
          <w:szCs w:val="24"/>
        </w:rPr>
        <w:t>Clean Air Markets Division Business System (CBS).</w:t>
      </w:r>
      <w:r w:rsidR="005A67EC">
        <w:rPr>
          <w:sz w:val="24"/>
          <w:szCs w:val="24"/>
        </w:rPr>
        <w:t xml:space="preserve"> </w:t>
      </w:r>
      <w:r>
        <w:rPr>
          <w:sz w:val="24"/>
          <w:szCs w:val="24"/>
        </w:rPr>
        <w:t>Affected units that were required to submit a certification of representation under the initial ICR, must continue to prepare and submit allowance transfer information for each allowance transfer, and if the designated representative chooses, identifying the serial numbers of allowances to be deducted for annual reconciliation using the Allowance Deduction Form.</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General account holders and affected units may change the authorized account representatives by submitting a subsequent allowance account information form or certificate of representation form respectively.</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D0CCF" w:rsidRDefault="002D0CCF" w:rsidP="00574C9E">
      <w:pPr>
        <w:widowControl/>
        <w:numPr>
          <w:ilvl w:val="12"/>
          <w:numId w:val="0"/>
        </w:numPr>
        <w:ind w:left="1080"/>
        <w:rPr>
          <w:b/>
          <w:bCs/>
          <w:sz w:val="24"/>
          <w:szCs w:val="24"/>
        </w:rPr>
      </w:pPr>
    </w:p>
    <w:p w:rsidR="009907D5" w:rsidRDefault="002D0CCF" w:rsidP="00AE176A">
      <w:pPr>
        <w:keepNext/>
        <w:widowControl/>
        <w:numPr>
          <w:ilvl w:val="12"/>
          <w:numId w:val="0"/>
        </w:numPr>
        <w:ind w:left="1080"/>
        <w:rPr>
          <w:b/>
          <w:bCs/>
          <w:sz w:val="24"/>
          <w:szCs w:val="24"/>
        </w:rPr>
      </w:pPr>
      <w:r>
        <w:rPr>
          <w:b/>
          <w:bCs/>
          <w:sz w:val="24"/>
          <w:szCs w:val="24"/>
        </w:rPr>
        <w:lastRenderedPageBreak/>
        <w:t>B</w:t>
      </w:r>
      <w:r w:rsidR="00574C9E">
        <w:rPr>
          <w:b/>
          <w:bCs/>
          <w:sz w:val="24"/>
          <w:szCs w:val="24"/>
        </w:rPr>
        <w:t xml:space="preserve">.  </w:t>
      </w:r>
      <w:r w:rsidR="009907D5">
        <w:rPr>
          <w:b/>
          <w:bCs/>
          <w:sz w:val="24"/>
          <w:szCs w:val="24"/>
        </w:rPr>
        <w:t>Obtaining a Permit</w:t>
      </w:r>
    </w:p>
    <w:p w:rsidR="00562093" w:rsidRDefault="00562093" w:rsidP="00AE176A">
      <w:pPr>
        <w:keepNext/>
        <w:widowControl/>
        <w:numPr>
          <w:ilvl w:val="12"/>
          <w:numId w:val="0"/>
        </w:numPr>
        <w:rPr>
          <w:sz w:val="24"/>
          <w:szCs w:val="24"/>
        </w:rPr>
      </w:pPr>
    </w:p>
    <w:p w:rsidR="009907D5" w:rsidRDefault="009907D5" w:rsidP="00AE176A">
      <w:pPr>
        <w:keepNext/>
        <w:widowControl/>
        <w:numPr>
          <w:ilvl w:val="12"/>
          <w:numId w:val="0"/>
        </w:numPr>
        <w:rPr>
          <w:sz w:val="24"/>
          <w:szCs w:val="24"/>
        </w:rPr>
      </w:pPr>
      <w:r>
        <w:rPr>
          <w:sz w:val="24"/>
          <w:szCs w:val="24"/>
        </w:rPr>
        <w:tab/>
        <w:t>The primary tasks to obtain a permit are listed below</w:t>
      </w:r>
      <w:r w:rsidR="005A67EC">
        <w:rPr>
          <w:sz w:val="24"/>
          <w:szCs w:val="24"/>
        </w:rPr>
        <w:t xml:space="preserve">. </w:t>
      </w:r>
      <w:r>
        <w:rPr>
          <w:sz w:val="24"/>
          <w:szCs w:val="24"/>
        </w:rPr>
        <w:t>These tasks are performed by existing sources required to renew their permits and new units during the period covered by this ICR</w:t>
      </w:r>
      <w:r w:rsidR="005A67EC">
        <w:rPr>
          <w:sz w:val="24"/>
          <w:szCs w:val="24"/>
        </w:rPr>
        <w:t xml:space="preserve">. </w:t>
      </w:r>
      <w:r>
        <w:rPr>
          <w:sz w:val="24"/>
          <w:szCs w:val="24"/>
        </w:rPr>
        <w:t>In general, sources with existin</w:t>
      </w:r>
      <w:r w:rsidR="00574C9E">
        <w:rPr>
          <w:sz w:val="24"/>
          <w:szCs w:val="24"/>
        </w:rPr>
        <w:t>g units, must reapply at least six</w:t>
      </w:r>
      <w:r>
        <w:rPr>
          <w:sz w:val="24"/>
          <w:szCs w:val="24"/>
        </w:rPr>
        <w:t xml:space="preserve"> months prior to the expiration of an existing permit, but the actual timeframe is governed by the permitting authority</w:t>
      </w:r>
      <w:r w:rsidR="00A90381">
        <w:rPr>
          <w:sz w:val="24"/>
          <w:szCs w:val="24"/>
        </w:rPr>
        <w:t>'</w:t>
      </w:r>
      <w:r>
        <w:rPr>
          <w:sz w:val="24"/>
          <w:szCs w:val="24"/>
        </w:rPr>
        <w:t>s operating permits rules</w:t>
      </w:r>
      <w:r w:rsidR="00562093">
        <w:rPr>
          <w:sz w:val="24"/>
          <w:szCs w:val="24"/>
        </w:rPr>
        <w:t xml:space="preserve">.  </w:t>
      </w:r>
    </w:p>
    <w:p w:rsidR="009907D5" w:rsidRDefault="009907D5" w:rsidP="00574C9E">
      <w:pPr>
        <w:widowControl/>
        <w:numPr>
          <w:ilvl w:val="12"/>
          <w:numId w:val="0"/>
        </w:numPr>
        <w:rPr>
          <w:sz w:val="24"/>
          <w:szCs w:val="24"/>
        </w:rPr>
      </w:pPr>
    </w:p>
    <w:p w:rsidR="009907D5" w:rsidRDefault="00574C9E" w:rsidP="00574C9E">
      <w:pPr>
        <w:pStyle w:val="Level1"/>
        <w:widowControl/>
        <w:ind w:hanging="360"/>
        <w:jc w:val="left"/>
      </w:pPr>
      <w:r w:rsidRPr="00574C9E">
        <w:t>●</w:t>
      </w:r>
      <w:r w:rsidRPr="00574C9E">
        <w:tab/>
      </w:r>
      <w:r w:rsidR="009907D5">
        <w:rPr>
          <w:u w:val="single"/>
        </w:rPr>
        <w:t>Designate a representative of the owners and operators of a source</w:t>
      </w:r>
      <w:r w:rsidR="005A67EC">
        <w:t xml:space="preserve">. </w:t>
      </w:r>
      <w:r w:rsidR="009907D5">
        <w:t>Read the designated representative certification procedures</w:t>
      </w:r>
      <w:r w:rsidR="005A67EC">
        <w:t xml:space="preserve">. </w:t>
      </w:r>
      <w:r w:rsidR="009907D5">
        <w:t>Negotiate an agreement to designate a representative for each unit at a source</w:t>
      </w:r>
      <w:r w:rsidR="005A67EC">
        <w:t xml:space="preserve">. </w:t>
      </w:r>
      <w:r w:rsidR="009907D5">
        <w:t>Complete and submit the certification</w:t>
      </w:r>
      <w:r w:rsidR="005A67EC">
        <w:t xml:space="preserve">. </w:t>
      </w:r>
      <w:r w:rsidR="009907D5">
        <w:t>This task is only relevant for a new Phase II source or if a source changes the designated representative.</w:t>
      </w:r>
    </w:p>
    <w:p w:rsidR="00574C9E" w:rsidRDefault="00574C9E" w:rsidP="00574C9E">
      <w:pPr>
        <w:pStyle w:val="Level1"/>
        <w:widowControl/>
        <w:ind w:hanging="360"/>
        <w:jc w:val="left"/>
      </w:pPr>
    </w:p>
    <w:p w:rsidR="009907D5" w:rsidRDefault="00574C9E" w:rsidP="00574C9E">
      <w:pPr>
        <w:pStyle w:val="Level1"/>
        <w:widowControl/>
        <w:ind w:hanging="360"/>
        <w:jc w:val="left"/>
      </w:pPr>
      <w:r w:rsidRPr="00574C9E">
        <w:t>●</w:t>
      </w:r>
      <w:r w:rsidRPr="00574C9E">
        <w:tab/>
      </w:r>
      <w:r w:rsidR="009907D5">
        <w:rPr>
          <w:u w:val="single"/>
        </w:rPr>
        <w:t>Prepare the permit application</w:t>
      </w:r>
      <w:r w:rsidR="005A67EC">
        <w:t xml:space="preserve">. </w:t>
      </w:r>
      <w:r w:rsidR="009907D5">
        <w:t>Read the permit application instructions, then collect relevant information for the permit application</w:t>
      </w:r>
      <w:r w:rsidR="005A67EC">
        <w:t xml:space="preserve">. </w:t>
      </w:r>
      <w:r w:rsidR="009907D5">
        <w:t>Complete the Phase II acid rain permit application</w:t>
      </w:r>
      <w:r w:rsidR="005A67EC">
        <w:t xml:space="preserve">. </w:t>
      </w:r>
      <w:r w:rsidR="009907D5">
        <w:t xml:space="preserve">Where appropriate, provide specific information to support the use of compliance options for </w:t>
      </w:r>
      <w:proofErr w:type="spellStart"/>
      <w:r w:rsidR="009907D5">
        <w:t>NO</w:t>
      </w:r>
      <w:r w:rsidR="00562093">
        <w:rPr>
          <w:vertAlign w:val="subscript"/>
        </w:rPr>
        <w:t>x</w:t>
      </w:r>
      <w:proofErr w:type="spellEnd"/>
      <w:r w:rsidR="005A67EC">
        <w:t xml:space="preserve">. </w:t>
      </w:r>
      <w:r w:rsidR="009907D5">
        <w:t>Review the information for accuracy and appropriateness and report the information to the permitting authority.</w:t>
      </w:r>
    </w:p>
    <w:p w:rsidR="009907D5" w:rsidRDefault="009907D5" w:rsidP="00574C9E">
      <w:pPr>
        <w:widowControl/>
        <w:numPr>
          <w:ilvl w:val="12"/>
          <w:numId w:val="0"/>
        </w:numPr>
        <w:rPr>
          <w:sz w:val="24"/>
          <w:szCs w:val="24"/>
        </w:rPr>
      </w:pPr>
    </w:p>
    <w:p w:rsidR="009907D5" w:rsidRDefault="002D0CCF" w:rsidP="00414A9B">
      <w:pPr>
        <w:widowControl/>
        <w:numPr>
          <w:ilvl w:val="12"/>
          <w:numId w:val="0"/>
        </w:numPr>
        <w:ind w:left="1080"/>
        <w:rPr>
          <w:b/>
          <w:bCs/>
          <w:sz w:val="24"/>
          <w:szCs w:val="24"/>
        </w:rPr>
      </w:pPr>
      <w:r>
        <w:rPr>
          <w:b/>
          <w:bCs/>
          <w:sz w:val="24"/>
          <w:szCs w:val="24"/>
        </w:rPr>
        <w:t>C</w:t>
      </w:r>
      <w:r w:rsidR="00414A9B">
        <w:rPr>
          <w:b/>
          <w:bCs/>
          <w:sz w:val="24"/>
          <w:szCs w:val="24"/>
        </w:rPr>
        <w:t xml:space="preserve">.  </w:t>
      </w:r>
      <w:r w:rsidR="009907D5">
        <w:rPr>
          <w:b/>
          <w:bCs/>
          <w:sz w:val="24"/>
          <w:szCs w:val="24"/>
        </w:rPr>
        <w:t>Emissions Monitoring</w:t>
      </w:r>
    </w:p>
    <w:p w:rsidR="00562093" w:rsidRDefault="00562093" w:rsidP="00574C9E">
      <w:pPr>
        <w:widowControl/>
        <w:numPr>
          <w:ilvl w:val="12"/>
          <w:numId w:val="0"/>
        </w:numPr>
        <w:rPr>
          <w:sz w:val="24"/>
          <w:szCs w:val="24"/>
        </w:rPr>
      </w:pPr>
    </w:p>
    <w:p w:rsidR="009907D5" w:rsidRDefault="009907D5" w:rsidP="00CE3ABF">
      <w:pPr>
        <w:widowControl/>
        <w:numPr>
          <w:ilvl w:val="12"/>
          <w:numId w:val="0"/>
        </w:numPr>
        <w:rPr>
          <w:sz w:val="24"/>
          <w:szCs w:val="24"/>
        </w:rPr>
      </w:pPr>
      <w:r>
        <w:rPr>
          <w:sz w:val="24"/>
          <w:szCs w:val="24"/>
        </w:rPr>
        <w:tab/>
        <w:t xml:space="preserve">The primary tasks that are performed by respondents to meet the emissions </w:t>
      </w:r>
      <w:r w:rsidR="00414A9B">
        <w:rPr>
          <w:sz w:val="24"/>
          <w:szCs w:val="24"/>
        </w:rPr>
        <w:t xml:space="preserve">monitoring requirements are (1) </w:t>
      </w:r>
      <w:r>
        <w:rPr>
          <w:sz w:val="24"/>
          <w:szCs w:val="24"/>
        </w:rPr>
        <w:t>completing and submitting appropriate monitoring plan forms for each affected source and each</w:t>
      </w:r>
      <w:r w:rsidR="00414A9B">
        <w:rPr>
          <w:sz w:val="24"/>
          <w:szCs w:val="24"/>
        </w:rPr>
        <w:t xml:space="preserve"> affected unit at a source; (2) </w:t>
      </w:r>
      <w:r>
        <w:rPr>
          <w:sz w:val="24"/>
          <w:szCs w:val="24"/>
        </w:rPr>
        <w:t>conducting tests to certify the operation of monitors, and subm</w:t>
      </w:r>
      <w:r w:rsidR="00414A9B">
        <w:rPr>
          <w:sz w:val="24"/>
          <w:szCs w:val="24"/>
        </w:rPr>
        <w:t xml:space="preserve">itting test results to EPA; (3) </w:t>
      </w:r>
      <w:r>
        <w:rPr>
          <w:sz w:val="24"/>
          <w:szCs w:val="24"/>
        </w:rPr>
        <w:t>recording hourly emissions data (this activity generally is</w:t>
      </w:r>
      <w:r w:rsidR="00414A9B">
        <w:rPr>
          <w:sz w:val="24"/>
          <w:szCs w:val="24"/>
        </w:rPr>
        <w:t xml:space="preserve"> performed electronically); (4) </w:t>
      </w:r>
      <w:r>
        <w:rPr>
          <w:sz w:val="24"/>
          <w:szCs w:val="24"/>
        </w:rPr>
        <w:t>operation and maintenance activities associated with the monitoring, including quality assurance activities; (5)</w:t>
      </w:r>
      <w:r w:rsidR="00414A9B">
        <w:rPr>
          <w:sz w:val="24"/>
          <w:szCs w:val="24"/>
        </w:rPr>
        <w:t xml:space="preserve"> </w:t>
      </w:r>
      <w:r>
        <w:rPr>
          <w:sz w:val="24"/>
          <w:szCs w:val="24"/>
        </w:rPr>
        <w:t>assuring data quality, preparing quarterly reports of emissions data and submitting these reports to EPA; and (6)</w:t>
      </w:r>
      <w:r w:rsidR="00414A9B">
        <w:rPr>
          <w:sz w:val="24"/>
          <w:szCs w:val="24"/>
        </w:rPr>
        <w:t xml:space="preserve"> </w:t>
      </w:r>
      <w:r>
        <w:rPr>
          <w:sz w:val="24"/>
          <w:szCs w:val="24"/>
        </w:rPr>
        <w:t>responding to error messages generated by EPA as a part of automated data checks or electronic audits, or to field audits conducted by EPA</w:t>
      </w:r>
      <w:r w:rsidR="008E331D">
        <w:rPr>
          <w:sz w:val="24"/>
          <w:szCs w:val="24"/>
        </w:rPr>
        <w:t xml:space="preserve"> and the permitting authority</w:t>
      </w:r>
      <w:r w:rsidR="004452D0">
        <w:rPr>
          <w:sz w:val="24"/>
          <w:szCs w:val="24"/>
        </w:rPr>
        <w:t xml:space="preserve">. </w:t>
      </w:r>
      <w:r>
        <w:rPr>
          <w:sz w:val="24"/>
          <w:szCs w:val="24"/>
        </w:rPr>
        <w:t>In addition, respondents must purchase the necessary monitoring hardware (or pay for fuel sampling and analysis in some cases) and purchase the electronic data reporting software (or software upgrades)</w:t>
      </w:r>
      <w:r w:rsidR="00CE3ABF">
        <w:rPr>
          <w:sz w:val="24"/>
          <w:szCs w:val="24"/>
        </w:rPr>
        <w:t xml:space="preserve">. </w:t>
      </w:r>
      <w:r>
        <w:rPr>
          <w:sz w:val="24"/>
          <w:szCs w:val="24"/>
        </w:rPr>
        <w:t>ECMPS  enables sources to run automated quality checks of reports prior to submittal to EPA and reduces the burden of having to respond to EPA generated error messages or follow-up EPA audits</w:t>
      </w:r>
      <w:r w:rsidR="00562093">
        <w:rPr>
          <w:sz w:val="24"/>
          <w:szCs w:val="24"/>
        </w:rPr>
        <w:t xml:space="preserve">.  </w:t>
      </w:r>
    </w:p>
    <w:p w:rsidR="002D0CCF" w:rsidRDefault="002D0CCF" w:rsidP="00414A9B">
      <w:pPr>
        <w:widowControl/>
        <w:numPr>
          <w:ilvl w:val="12"/>
          <w:numId w:val="0"/>
        </w:numPr>
        <w:ind w:left="1080"/>
        <w:rPr>
          <w:b/>
          <w:sz w:val="24"/>
          <w:szCs w:val="24"/>
        </w:rPr>
      </w:pPr>
    </w:p>
    <w:p w:rsidR="009907D5" w:rsidRDefault="002D0CCF" w:rsidP="00414A9B">
      <w:pPr>
        <w:widowControl/>
        <w:numPr>
          <w:ilvl w:val="12"/>
          <w:numId w:val="0"/>
        </w:numPr>
        <w:ind w:left="1080"/>
        <w:rPr>
          <w:b/>
          <w:bCs/>
          <w:sz w:val="24"/>
          <w:szCs w:val="24"/>
        </w:rPr>
      </w:pPr>
      <w:r>
        <w:rPr>
          <w:b/>
          <w:sz w:val="24"/>
          <w:szCs w:val="24"/>
        </w:rPr>
        <w:t>D</w:t>
      </w:r>
      <w:r w:rsidR="00414A9B" w:rsidRPr="00414A9B">
        <w:rPr>
          <w:b/>
          <w:sz w:val="24"/>
          <w:szCs w:val="24"/>
        </w:rPr>
        <w:t>.</w:t>
      </w:r>
      <w:r w:rsidR="00414A9B">
        <w:rPr>
          <w:sz w:val="24"/>
          <w:szCs w:val="24"/>
        </w:rPr>
        <w:t xml:space="preserve">  </w:t>
      </w:r>
      <w:r w:rsidR="009907D5">
        <w:rPr>
          <w:b/>
          <w:bCs/>
          <w:sz w:val="24"/>
          <w:szCs w:val="24"/>
        </w:rPr>
        <w:t>Opt-in</w:t>
      </w:r>
    </w:p>
    <w:p w:rsidR="00562093" w:rsidRDefault="00562093" w:rsidP="00414A9B">
      <w:pPr>
        <w:widowControl/>
        <w:numPr>
          <w:ilvl w:val="12"/>
          <w:numId w:val="0"/>
        </w:numPr>
        <w:rPr>
          <w:sz w:val="24"/>
          <w:szCs w:val="24"/>
        </w:rPr>
      </w:pPr>
    </w:p>
    <w:p w:rsidR="009907D5" w:rsidRDefault="009907D5" w:rsidP="00414A9B">
      <w:pPr>
        <w:widowControl/>
        <w:numPr>
          <w:ilvl w:val="12"/>
          <w:numId w:val="0"/>
        </w:numPr>
        <w:rPr>
          <w:sz w:val="24"/>
          <w:szCs w:val="24"/>
        </w:rPr>
      </w:pPr>
      <w:r>
        <w:rPr>
          <w:sz w:val="24"/>
          <w:szCs w:val="24"/>
        </w:rPr>
        <w:tab/>
        <w:t>In order to provide the information discussed in the previous section, participants must complete three tasks to participate in the opt-in program</w:t>
      </w:r>
      <w:r w:rsidR="00562093">
        <w:rPr>
          <w:sz w:val="24"/>
          <w:szCs w:val="24"/>
        </w:rPr>
        <w:t xml:space="preserve">:  </w:t>
      </w:r>
      <w:r>
        <w:rPr>
          <w:sz w:val="24"/>
          <w:szCs w:val="24"/>
        </w:rPr>
        <w:t>(1) submit a permit application, (2) meet monitoring requirements, and (3) submit annual compliance reports</w:t>
      </w:r>
      <w:r w:rsidR="005A67EC">
        <w:rPr>
          <w:sz w:val="24"/>
          <w:szCs w:val="24"/>
        </w:rPr>
        <w:t xml:space="preserve">. </w:t>
      </w:r>
      <w:r>
        <w:rPr>
          <w:sz w:val="24"/>
          <w:szCs w:val="24"/>
        </w:rPr>
        <w:t>Respondents who choose to withdraw are required to submit a withdrawal notification.</w:t>
      </w:r>
    </w:p>
    <w:p w:rsidR="009907D5" w:rsidRDefault="009907D5" w:rsidP="00414A9B">
      <w:pPr>
        <w:widowControl/>
        <w:numPr>
          <w:ilvl w:val="12"/>
          <w:numId w:val="0"/>
        </w:numPr>
        <w:rPr>
          <w:sz w:val="24"/>
          <w:szCs w:val="24"/>
        </w:rPr>
      </w:pPr>
    </w:p>
    <w:p w:rsidR="009907D5" w:rsidRDefault="009907D5" w:rsidP="00414A9B">
      <w:pPr>
        <w:widowControl/>
        <w:numPr>
          <w:ilvl w:val="12"/>
          <w:numId w:val="0"/>
        </w:numPr>
        <w:rPr>
          <w:sz w:val="24"/>
          <w:szCs w:val="24"/>
        </w:rPr>
      </w:pPr>
      <w:r>
        <w:rPr>
          <w:sz w:val="24"/>
          <w:szCs w:val="24"/>
        </w:rPr>
        <w:tab/>
        <w:t>The primary tasks that must be completed to obtain a permit and the activities associated with them are listed below</w:t>
      </w:r>
      <w:r w:rsidR="005A67EC">
        <w:rPr>
          <w:sz w:val="24"/>
          <w:szCs w:val="24"/>
        </w:rPr>
        <w:t xml:space="preserve">. </w:t>
      </w:r>
      <w:r>
        <w:rPr>
          <w:sz w:val="24"/>
          <w:szCs w:val="24"/>
        </w:rPr>
        <w:t>These tasks will be performed only once during the period covered by this ICR.</w:t>
      </w:r>
    </w:p>
    <w:p w:rsidR="009907D5" w:rsidRDefault="009907D5" w:rsidP="00414A9B">
      <w:pPr>
        <w:widowControl/>
        <w:numPr>
          <w:ilvl w:val="12"/>
          <w:numId w:val="0"/>
        </w:numPr>
        <w:rPr>
          <w:sz w:val="24"/>
          <w:szCs w:val="24"/>
        </w:rPr>
      </w:pPr>
    </w:p>
    <w:p w:rsidR="009907D5" w:rsidRDefault="00414A9B" w:rsidP="00414A9B">
      <w:pPr>
        <w:pStyle w:val="Level1"/>
        <w:widowControl/>
        <w:ind w:hanging="360"/>
        <w:jc w:val="left"/>
      </w:pPr>
      <w:r w:rsidRPr="00414A9B">
        <w:lastRenderedPageBreak/>
        <w:t>●</w:t>
      </w:r>
      <w:r w:rsidRPr="00414A9B">
        <w:tab/>
      </w:r>
      <w:r w:rsidR="009907D5">
        <w:rPr>
          <w:u w:val="single"/>
        </w:rPr>
        <w:t>Designate a representative of the owners and operators of a source</w:t>
      </w:r>
      <w:r w:rsidR="005A67EC">
        <w:t xml:space="preserve">. </w:t>
      </w:r>
      <w:r w:rsidR="009907D5">
        <w:t>Read the designated representative certification procedures</w:t>
      </w:r>
      <w:r w:rsidR="005A67EC">
        <w:t xml:space="preserve">. </w:t>
      </w:r>
      <w:r w:rsidR="009907D5">
        <w:t>Negotiate an agreement to designate a representative for each source</w:t>
      </w:r>
      <w:r w:rsidR="005A67EC">
        <w:t xml:space="preserve">. </w:t>
      </w:r>
      <w:r w:rsidR="009907D5">
        <w:t>Complete and submit the certification.</w:t>
      </w:r>
    </w:p>
    <w:p w:rsidR="00414A9B" w:rsidRDefault="00414A9B" w:rsidP="00414A9B">
      <w:pPr>
        <w:pStyle w:val="Level1"/>
        <w:widowControl/>
        <w:ind w:left="1440"/>
        <w:jc w:val="left"/>
      </w:pPr>
    </w:p>
    <w:p w:rsidR="009907D5" w:rsidRDefault="00414A9B" w:rsidP="00414A9B">
      <w:pPr>
        <w:pStyle w:val="Level1"/>
        <w:widowControl/>
        <w:ind w:hanging="360"/>
        <w:jc w:val="left"/>
      </w:pPr>
      <w:r w:rsidRPr="00414A9B">
        <w:t>●</w:t>
      </w:r>
      <w:r w:rsidRPr="00414A9B">
        <w:tab/>
      </w:r>
      <w:r w:rsidR="009907D5">
        <w:rPr>
          <w:u w:val="single"/>
        </w:rPr>
        <w:t>Prepare the permit application</w:t>
      </w:r>
      <w:r w:rsidR="005A67EC">
        <w:t xml:space="preserve">. </w:t>
      </w:r>
      <w:r w:rsidR="009907D5">
        <w:t>Read the permit application instructions, then collect relevant information for the permit application</w:t>
      </w:r>
      <w:r w:rsidR="005A67EC">
        <w:t xml:space="preserve">. </w:t>
      </w:r>
      <w:r w:rsidR="009907D5">
        <w:t>Complete written forms, including an application for an opt-in permit</w:t>
      </w:r>
      <w:r w:rsidR="005A67EC">
        <w:t xml:space="preserve">. </w:t>
      </w:r>
      <w:r w:rsidR="009907D5">
        <w:t>Review the information for accuracy and appropriateness</w:t>
      </w:r>
      <w:r w:rsidR="005A67EC">
        <w:t xml:space="preserve">. </w:t>
      </w:r>
      <w:r w:rsidR="009907D5">
        <w:t>Submit the information to EPA, sending copies to the appropriate EPA regional office</w:t>
      </w:r>
      <w:r w:rsidR="00562093">
        <w:t xml:space="preserve">.  </w:t>
      </w:r>
    </w:p>
    <w:p w:rsidR="009907D5" w:rsidRDefault="009907D5" w:rsidP="00414A9B">
      <w:pPr>
        <w:widowControl/>
        <w:numPr>
          <w:ilvl w:val="12"/>
          <w:numId w:val="0"/>
        </w:numPr>
        <w:rPr>
          <w:sz w:val="24"/>
          <w:szCs w:val="24"/>
        </w:rPr>
      </w:pPr>
    </w:p>
    <w:p w:rsidR="009907D5" w:rsidRDefault="009907D5" w:rsidP="00414A9B">
      <w:pPr>
        <w:widowControl/>
        <w:numPr>
          <w:ilvl w:val="12"/>
          <w:numId w:val="0"/>
        </w:numPr>
        <w:rPr>
          <w:sz w:val="24"/>
          <w:szCs w:val="24"/>
        </w:rPr>
      </w:pPr>
      <w:r>
        <w:rPr>
          <w:sz w:val="24"/>
          <w:szCs w:val="24"/>
        </w:rPr>
        <w:tab/>
        <w:t xml:space="preserve">Respondents who opt in and </w:t>
      </w:r>
      <w:r>
        <w:rPr>
          <w:i/>
          <w:iCs/>
          <w:sz w:val="24"/>
          <w:szCs w:val="24"/>
        </w:rPr>
        <w:t>continue to operate</w:t>
      </w:r>
      <w:r>
        <w:rPr>
          <w:sz w:val="24"/>
          <w:szCs w:val="24"/>
        </w:rPr>
        <w:t xml:space="preserve"> must also perform the task required under the emissions monitoring section above</w:t>
      </w:r>
      <w:r w:rsidR="005A67EC">
        <w:rPr>
          <w:sz w:val="24"/>
          <w:szCs w:val="24"/>
        </w:rPr>
        <w:t xml:space="preserve">. </w:t>
      </w:r>
      <w:r>
        <w:rPr>
          <w:sz w:val="24"/>
          <w:szCs w:val="24"/>
        </w:rPr>
        <w:t xml:space="preserve">Respondents who opt in </w:t>
      </w:r>
      <w:r>
        <w:rPr>
          <w:i/>
          <w:iCs/>
          <w:sz w:val="24"/>
          <w:szCs w:val="24"/>
        </w:rPr>
        <w:t>and shut down</w:t>
      </w:r>
      <w:r>
        <w:rPr>
          <w:sz w:val="24"/>
          <w:szCs w:val="24"/>
        </w:rPr>
        <w:t xml:space="preserve"> do not need to perform any tasks related to monitoring.</w:t>
      </w:r>
    </w:p>
    <w:p w:rsidR="009907D5" w:rsidRDefault="009907D5" w:rsidP="00414A9B">
      <w:pPr>
        <w:widowControl/>
        <w:numPr>
          <w:ilvl w:val="12"/>
          <w:numId w:val="0"/>
        </w:numPr>
        <w:rPr>
          <w:sz w:val="24"/>
          <w:szCs w:val="24"/>
        </w:rPr>
      </w:pPr>
    </w:p>
    <w:p w:rsidR="009907D5" w:rsidRDefault="009907D5" w:rsidP="00414A9B">
      <w:pPr>
        <w:widowControl/>
        <w:numPr>
          <w:ilvl w:val="12"/>
          <w:numId w:val="0"/>
        </w:numPr>
        <w:rPr>
          <w:sz w:val="24"/>
          <w:szCs w:val="24"/>
        </w:rPr>
      </w:pPr>
      <w:r>
        <w:rPr>
          <w:sz w:val="24"/>
          <w:szCs w:val="24"/>
        </w:rPr>
        <w:tab/>
        <w:t>To withdraw from the program, respondents must notify EPA of their decision to withdraw</w:t>
      </w:r>
      <w:r w:rsidR="005A67EC">
        <w:rPr>
          <w:sz w:val="24"/>
          <w:szCs w:val="24"/>
        </w:rPr>
        <w:t xml:space="preserve">. </w:t>
      </w:r>
      <w:r>
        <w:rPr>
          <w:sz w:val="24"/>
          <w:szCs w:val="24"/>
        </w:rPr>
        <w:t>Notification entails providing EPA with the data items presented in Section 3.2.1.</w:t>
      </w:r>
    </w:p>
    <w:p w:rsidR="009907D5" w:rsidRDefault="009907D5" w:rsidP="00414A9B">
      <w:pPr>
        <w:widowControl/>
        <w:numPr>
          <w:ilvl w:val="12"/>
          <w:numId w:val="0"/>
        </w:numPr>
        <w:rPr>
          <w:sz w:val="24"/>
          <w:szCs w:val="24"/>
        </w:rPr>
      </w:pPr>
    </w:p>
    <w:p w:rsidR="009907D5" w:rsidRDefault="009907D5" w:rsidP="00414A9B">
      <w:pPr>
        <w:widowControl/>
        <w:numPr>
          <w:ilvl w:val="12"/>
          <w:numId w:val="0"/>
        </w:numPr>
        <w:rPr>
          <w:sz w:val="24"/>
          <w:szCs w:val="24"/>
        </w:rPr>
      </w:pPr>
      <w:r>
        <w:rPr>
          <w:sz w:val="24"/>
          <w:szCs w:val="24"/>
        </w:rPr>
        <w:tab/>
        <w:t>Opt-in sources covered by a thermal energy plan, must also report information concerning the replacement of thermal energy, including the identification of the source or sources providing replacement thermal energy, and the allowances transferred as a result of the replacement of thermal energy.</w:t>
      </w:r>
    </w:p>
    <w:p w:rsidR="009907D5" w:rsidRDefault="009907D5" w:rsidP="00414A9B">
      <w:pPr>
        <w:widowControl/>
        <w:numPr>
          <w:ilvl w:val="12"/>
          <w:numId w:val="0"/>
        </w:numPr>
        <w:rPr>
          <w:b/>
          <w:bCs/>
          <w:sz w:val="24"/>
          <w:szCs w:val="24"/>
        </w:rPr>
      </w:pPr>
    </w:p>
    <w:p w:rsidR="009907D5" w:rsidRDefault="002D0CCF" w:rsidP="00C5261B">
      <w:pPr>
        <w:keepNext/>
        <w:widowControl/>
        <w:numPr>
          <w:ilvl w:val="12"/>
          <w:numId w:val="0"/>
        </w:numPr>
        <w:ind w:left="1080"/>
        <w:rPr>
          <w:b/>
          <w:bCs/>
          <w:sz w:val="24"/>
          <w:szCs w:val="24"/>
        </w:rPr>
      </w:pPr>
      <w:r>
        <w:rPr>
          <w:b/>
          <w:bCs/>
          <w:sz w:val="24"/>
          <w:szCs w:val="24"/>
        </w:rPr>
        <w:t>E</w:t>
      </w:r>
      <w:r w:rsidR="00C5261B">
        <w:rPr>
          <w:b/>
          <w:bCs/>
          <w:sz w:val="24"/>
          <w:szCs w:val="24"/>
        </w:rPr>
        <w:t xml:space="preserve">.  </w:t>
      </w:r>
      <w:proofErr w:type="spellStart"/>
      <w:r w:rsidR="009907D5">
        <w:rPr>
          <w:b/>
          <w:bCs/>
          <w:sz w:val="24"/>
          <w:szCs w:val="24"/>
        </w:rPr>
        <w:t>NO</w:t>
      </w:r>
      <w:r w:rsidR="00562093">
        <w:rPr>
          <w:b/>
          <w:bCs/>
          <w:sz w:val="24"/>
          <w:szCs w:val="24"/>
          <w:vertAlign w:val="subscript"/>
        </w:rPr>
        <w:t>x</w:t>
      </w:r>
      <w:proofErr w:type="spellEnd"/>
      <w:r w:rsidR="009907D5">
        <w:rPr>
          <w:b/>
          <w:bCs/>
          <w:sz w:val="24"/>
          <w:szCs w:val="24"/>
        </w:rPr>
        <w:t xml:space="preserve"> Permitting</w:t>
      </w:r>
    </w:p>
    <w:p w:rsidR="00562093" w:rsidRDefault="00562093" w:rsidP="00562093">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9907D5" w:rsidRDefault="009907D5" w:rsidP="00562093">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The primary tasks for a </w:t>
      </w:r>
      <w:proofErr w:type="spellStart"/>
      <w:r>
        <w:rPr>
          <w:sz w:val="24"/>
          <w:szCs w:val="24"/>
        </w:rPr>
        <w:t>NO</w:t>
      </w:r>
      <w:r w:rsidR="00562093">
        <w:rPr>
          <w:sz w:val="24"/>
          <w:szCs w:val="24"/>
          <w:vertAlign w:val="subscript"/>
        </w:rPr>
        <w:t>x</w:t>
      </w:r>
      <w:proofErr w:type="spellEnd"/>
      <w:r>
        <w:rPr>
          <w:sz w:val="24"/>
          <w:szCs w:val="24"/>
        </w:rPr>
        <w:t xml:space="preserve"> compliance plan are listed below.</w:t>
      </w:r>
    </w:p>
    <w:p w:rsidR="00562093" w:rsidRDefault="00562093" w:rsidP="00562093">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C5261B" w:rsidP="00C5261B">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rsidRPr="00C5261B">
        <w:t>●</w:t>
      </w:r>
      <w:r w:rsidRPr="00C5261B">
        <w:tab/>
      </w:r>
      <w:r w:rsidR="009907D5">
        <w:rPr>
          <w:u w:val="single"/>
        </w:rPr>
        <w:t xml:space="preserve">Prepare the </w:t>
      </w:r>
      <w:proofErr w:type="spellStart"/>
      <w:r w:rsidR="009907D5">
        <w:rPr>
          <w:u w:val="single"/>
        </w:rPr>
        <w:t>NO</w:t>
      </w:r>
      <w:r w:rsidR="00562093">
        <w:rPr>
          <w:u w:val="single"/>
          <w:vertAlign w:val="subscript"/>
        </w:rPr>
        <w:t>x</w:t>
      </w:r>
      <w:proofErr w:type="spellEnd"/>
      <w:r w:rsidR="009907D5">
        <w:rPr>
          <w:u w:val="single"/>
        </w:rPr>
        <w:t xml:space="preserve"> compliance plan application</w:t>
      </w:r>
      <w:r w:rsidR="005A67EC">
        <w:t xml:space="preserve">. </w:t>
      </w:r>
      <w:r w:rsidR="009907D5">
        <w:t>Read the application instructions, then collect relevant information</w:t>
      </w:r>
      <w:r w:rsidR="005A67EC">
        <w:t xml:space="preserve">. </w:t>
      </w:r>
      <w:r w:rsidR="009907D5">
        <w:t>Analyze compliance options and plan compliance</w:t>
      </w:r>
      <w:r w:rsidR="005A67EC">
        <w:t xml:space="preserve">. </w:t>
      </w:r>
      <w:r w:rsidR="009907D5">
        <w:t>Complete written forms</w:t>
      </w:r>
      <w:r w:rsidR="005A67EC">
        <w:t xml:space="preserve">. </w:t>
      </w:r>
      <w:r w:rsidR="009907D5">
        <w:t>Review the information for accuracy and appropriateness and report the information to the permitting authority and send a copy to the EPA</w:t>
      </w:r>
      <w:r w:rsidR="005A67EC">
        <w:t xml:space="preserve">. </w:t>
      </w:r>
      <w:r w:rsidR="009907D5">
        <w:t xml:space="preserve">Preparing a </w:t>
      </w:r>
      <w:proofErr w:type="spellStart"/>
      <w:r w:rsidR="009907D5">
        <w:t>NO</w:t>
      </w:r>
      <w:r w:rsidR="00562093">
        <w:rPr>
          <w:vertAlign w:val="subscript"/>
        </w:rPr>
        <w:t>x</w:t>
      </w:r>
      <w:proofErr w:type="spellEnd"/>
      <w:r w:rsidR="009907D5">
        <w:t xml:space="preserve"> compliance plan application may include interpreting the rule, collecting information and completing and submitting a </w:t>
      </w:r>
      <w:proofErr w:type="spellStart"/>
      <w:r w:rsidR="009907D5">
        <w:t>NO</w:t>
      </w:r>
      <w:r w:rsidR="00562093">
        <w:rPr>
          <w:vertAlign w:val="subscript"/>
        </w:rPr>
        <w:t>x</w:t>
      </w:r>
      <w:proofErr w:type="spellEnd"/>
      <w:r w:rsidR="009907D5">
        <w:t xml:space="preserve"> averaging plan, or an AEL petition.</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Because each source must renew its Acid Rain permit every five years, EPA assumes the tasks for per</w:t>
      </w:r>
      <w:r w:rsidR="00C5261B">
        <w:rPr>
          <w:sz w:val="24"/>
          <w:szCs w:val="24"/>
        </w:rPr>
        <w:t>mitting will be performed by 20 percent</w:t>
      </w:r>
      <w:r>
        <w:rPr>
          <w:sz w:val="24"/>
          <w:szCs w:val="24"/>
        </w:rPr>
        <w:t xml:space="preserve"> of all </w:t>
      </w:r>
      <w:proofErr w:type="spellStart"/>
      <w:r>
        <w:rPr>
          <w:sz w:val="24"/>
          <w:szCs w:val="24"/>
        </w:rPr>
        <w:t>NO</w:t>
      </w:r>
      <w:r w:rsidR="00562093">
        <w:rPr>
          <w:sz w:val="24"/>
          <w:szCs w:val="24"/>
          <w:vertAlign w:val="subscript"/>
        </w:rPr>
        <w:t>x</w:t>
      </w:r>
      <w:proofErr w:type="spellEnd"/>
      <w:r>
        <w:rPr>
          <w:sz w:val="24"/>
          <w:szCs w:val="24"/>
        </w:rPr>
        <w:t xml:space="preserve"> affected sources annually, in accordance with Section 408</w:t>
      </w:r>
      <w:r w:rsidR="00562093">
        <w:rPr>
          <w:sz w:val="24"/>
          <w:szCs w:val="24"/>
        </w:rPr>
        <w:t xml:space="preserve">.  </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9907D5" w:rsidRDefault="00C02836" w:rsidP="00C02836">
      <w:pPr>
        <w:widowControl/>
        <w:numPr>
          <w:ilvl w:val="12"/>
          <w:numId w:val="0"/>
        </w:numPr>
        <w:ind w:left="270" w:hanging="270"/>
        <w:rPr>
          <w:sz w:val="24"/>
          <w:szCs w:val="24"/>
        </w:rPr>
      </w:pPr>
      <w:r>
        <w:rPr>
          <w:b/>
          <w:bCs/>
          <w:sz w:val="24"/>
          <w:szCs w:val="24"/>
        </w:rPr>
        <w:t xml:space="preserve">5.  </w:t>
      </w:r>
      <w:r w:rsidR="009907D5">
        <w:rPr>
          <w:b/>
          <w:bCs/>
          <w:sz w:val="24"/>
          <w:szCs w:val="24"/>
        </w:rPr>
        <w:t>THE INFORMATION COLLECTED -- AGENCY ACTIVITIES</w:t>
      </w:r>
      <w:r w:rsidR="003437F8">
        <w:rPr>
          <w:b/>
          <w:bCs/>
          <w:sz w:val="24"/>
          <w:szCs w:val="24"/>
        </w:rPr>
        <w:t xml:space="preserve">,  </w:t>
      </w:r>
      <w:r w:rsidR="009907D5">
        <w:rPr>
          <w:b/>
          <w:bCs/>
          <w:sz w:val="24"/>
          <w:szCs w:val="24"/>
        </w:rPr>
        <w:t>COLLECTION METHODOLOGY, AND INFORMATION MANAGEMENT</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The first part of this section describes Agency (EPA)</w:t>
      </w:r>
      <w:r w:rsidR="003437F8">
        <w:rPr>
          <w:sz w:val="24"/>
          <w:szCs w:val="24"/>
        </w:rPr>
        <w:t xml:space="preserve">, </w:t>
      </w:r>
      <w:r w:rsidR="008E331D">
        <w:rPr>
          <w:sz w:val="24"/>
          <w:szCs w:val="24"/>
        </w:rPr>
        <w:t>permitting authority</w:t>
      </w:r>
      <w:r w:rsidR="00B2271D">
        <w:rPr>
          <w:sz w:val="24"/>
          <w:szCs w:val="24"/>
        </w:rPr>
        <w:t xml:space="preserve"> </w:t>
      </w:r>
      <w:r>
        <w:rPr>
          <w:sz w:val="24"/>
          <w:szCs w:val="24"/>
        </w:rPr>
        <w:t>activities related to the acquisition, analysis, storage, and distribution of the information collected from (1) participants in allowance transfers, (2) permit applicants, (</w:t>
      </w:r>
      <w:r w:rsidR="009525D1">
        <w:rPr>
          <w:sz w:val="24"/>
          <w:szCs w:val="24"/>
        </w:rPr>
        <w:t>3</w:t>
      </w:r>
      <w:r>
        <w:rPr>
          <w:sz w:val="24"/>
          <w:szCs w:val="24"/>
        </w:rPr>
        <w:t>) designated representatives of affected sources that are required to submit monitoring plans and emissions data, (</w:t>
      </w:r>
      <w:r w:rsidR="009525D1">
        <w:rPr>
          <w:sz w:val="24"/>
          <w:szCs w:val="24"/>
        </w:rPr>
        <w:t>4</w:t>
      </w:r>
      <w:r>
        <w:rPr>
          <w:sz w:val="24"/>
          <w:szCs w:val="24"/>
        </w:rPr>
        <w:t>) participants in the annual auction, and (6) the opt-in program,</w:t>
      </w:r>
      <w:r w:rsidR="003437F8">
        <w:rPr>
          <w:sz w:val="24"/>
          <w:szCs w:val="24"/>
        </w:rPr>
        <w:t xml:space="preserve"> and</w:t>
      </w:r>
      <w:r>
        <w:rPr>
          <w:sz w:val="24"/>
          <w:szCs w:val="24"/>
        </w:rPr>
        <w:t xml:space="preserve"> (7) </w:t>
      </w:r>
      <w:proofErr w:type="spellStart"/>
      <w:r>
        <w:rPr>
          <w:sz w:val="24"/>
          <w:szCs w:val="24"/>
        </w:rPr>
        <w:t>NO</w:t>
      </w:r>
      <w:r w:rsidR="00562093">
        <w:rPr>
          <w:sz w:val="24"/>
          <w:szCs w:val="24"/>
          <w:vertAlign w:val="subscript"/>
        </w:rPr>
        <w:t>x</w:t>
      </w:r>
      <w:proofErr w:type="spellEnd"/>
      <w:r>
        <w:rPr>
          <w:sz w:val="24"/>
          <w:szCs w:val="24"/>
        </w:rPr>
        <w:t xml:space="preserve"> permitting</w:t>
      </w:r>
      <w:r w:rsidR="003437F8">
        <w:rPr>
          <w:sz w:val="24"/>
          <w:szCs w:val="24"/>
        </w:rPr>
        <w:t xml:space="preserve">. </w:t>
      </w:r>
      <w:r>
        <w:rPr>
          <w:sz w:val="24"/>
          <w:szCs w:val="24"/>
        </w:rPr>
        <w:t xml:space="preserve">The second part describes the information management techniques employed to increase the </w:t>
      </w:r>
      <w:r>
        <w:rPr>
          <w:sz w:val="24"/>
          <w:szCs w:val="24"/>
        </w:rPr>
        <w:lastRenderedPageBreak/>
        <w:t>efficiency of collections</w:t>
      </w:r>
      <w:r w:rsidR="00CE3ABF">
        <w:rPr>
          <w:sz w:val="24"/>
          <w:szCs w:val="24"/>
        </w:rPr>
        <w:t xml:space="preserve">. </w:t>
      </w:r>
      <w:r>
        <w:rPr>
          <w:sz w:val="24"/>
          <w:szCs w:val="24"/>
        </w:rPr>
        <w:t>The third part discusses the burden or benefits of the collection activities described in this ICR to small entities</w:t>
      </w:r>
      <w:r w:rsidR="00CE3ABF">
        <w:rPr>
          <w:sz w:val="24"/>
          <w:szCs w:val="24"/>
        </w:rPr>
        <w:t xml:space="preserve">. </w:t>
      </w:r>
      <w:r>
        <w:rPr>
          <w:sz w:val="24"/>
          <w:szCs w:val="24"/>
        </w:rPr>
        <w:t>The last part outlines the schedule for collecting information.</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C02836">
      <w:pPr>
        <w:widowControl/>
        <w:numPr>
          <w:ilvl w:val="12"/>
          <w:numId w:val="0"/>
        </w:numPr>
        <w:ind w:left="360"/>
        <w:rPr>
          <w:sz w:val="24"/>
          <w:szCs w:val="24"/>
        </w:rPr>
      </w:pPr>
      <w:r>
        <w:rPr>
          <w:b/>
          <w:bCs/>
          <w:sz w:val="24"/>
          <w:szCs w:val="24"/>
        </w:rPr>
        <w:t>5.1</w:t>
      </w:r>
      <w:r w:rsidR="00C02836">
        <w:rPr>
          <w:b/>
          <w:bCs/>
          <w:sz w:val="24"/>
          <w:szCs w:val="24"/>
        </w:rPr>
        <w:t xml:space="preserve">  </w:t>
      </w:r>
      <w:r>
        <w:rPr>
          <w:b/>
          <w:bCs/>
          <w:sz w:val="24"/>
          <w:szCs w:val="24"/>
        </w:rPr>
        <w:t>Agency Activities</w:t>
      </w:r>
    </w:p>
    <w:p w:rsidR="009907D5" w:rsidRDefault="009907D5" w:rsidP="00C02836">
      <w:pPr>
        <w:widowControl/>
        <w:numPr>
          <w:ilvl w:val="12"/>
          <w:numId w:val="0"/>
        </w:numPr>
        <w:rPr>
          <w:sz w:val="24"/>
          <w:szCs w:val="24"/>
        </w:rPr>
      </w:pPr>
    </w:p>
    <w:p w:rsidR="009907D5" w:rsidRDefault="00C02836" w:rsidP="00C02836">
      <w:pPr>
        <w:widowControl/>
        <w:numPr>
          <w:ilvl w:val="12"/>
          <w:numId w:val="0"/>
        </w:numPr>
        <w:ind w:left="720"/>
        <w:rPr>
          <w:b/>
          <w:bCs/>
          <w:sz w:val="24"/>
          <w:szCs w:val="24"/>
        </w:rPr>
      </w:pPr>
      <w:r>
        <w:rPr>
          <w:b/>
          <w:bCs/>
          <w:sz w:val="24"/>
          <w:szCs w:val="24"/>
        </w:rPr>
        <w:t xml:space="preserve">5.1.1  </w:t>
      </w:r>
      <w:r w:rsidR="009907D5">
        <w:rPr>
          <w:b/>
          <w:bCs/>
          <w:sz w:val="24"/>
          <w:szCs w:val="24"/>
        </w:rPr>
        <w:t>Allowance Transfers</w:t>
      </w:r>
    </w:p>
    <w:p w:rsidR="00562093" w:rsidRDefault="00562093" w:rsidP="00C02836">
      <w:pPr>
        <w:widowControl/>
        <w:numPr>
          <w:ilvl w:val="12"/>
          <w:numId w:val="0"/>
        </w:numPr>
        <w:rPr>
          <w:sz w:val="24"/>
          <w:szCs w:val="24"/>
        </w:rPr>
      </w:pPr>
    </w:p>
    <w:p w:rsidR="009907D5" w:rsidRDefault="009907D5" w:rsidP="00C02836">
      <w:pPr>
        <w:widowControl/>
        <w:numPr>
          <w:ilvl w:val="12"/>
          <w:numId w:val="0"/>
        </w:numPr>
        <w:rPr>
          <w:sz w:val="24"/>
          <w:szCs w:val="24"/>
        </w:rPr>
      </w:pPr>
      <w:r>
        <w:rPr>
          <w:sz w:val="24"/>
          <w:szCs w:val="24"/>
        </w:rPr>
        <w:tab/>
        <w:t>Collections associated with operating the allowance transfer system require EPA to (1) track allowance holders and maintain allowance accounts, (2) review allowance transfer information for completeness and ensure that all requirements are met, (3) record allowance transfers, and (4) notify both participants in a transfer whether the transfer was recorded</w:t>
      </w:r>
      <w:r w:rsidR="00CE3ABF">
        <w:rPr>
          <w:sz w:val="24"/>
          <w:szCs w:val="24"/>
        </w:rPr>
        <w:t xml:space="preserve">. </w:t>
      </w:r>
      <w:r w:rsidR="00FF5E05">
        <w:rPr>
          <w:sz w:val="24"/>
          <w:szCs w:val="24"/>
        </w:rPr>
        <w:t xml:space="preserve">EPA has developed a computerized allowance tracking system to track allowances and maintain information on accounts that allow market participants to submit transfers via the internet and provide real time transfers with instantaneous confirmation.  </w:t>
      </w:r>
    </w:p>
    <w:p w:rsidR="009907D5" w:rsidRDefault="009907D5" w:rsidP="00C02836">
      <w:pPr>
        <w:widowControl/>
        <w:numPr>
          <w:ilvl w:val="12"/>
          <w:numId w:val="0"/>
        </w:numPr>
        <w:rPr>
          <w:sz w:val="24"/>
          <w:szCs w:val="24"/>
        </w:rPr>
      </w:pPr>
    </w:p>
    <w:p w:rsidR="009907D5" w:rsidRDefault="00C02836" w:rsidP="00C02836">
      <w:pPr>
        <w:keepNext/>
        <w:widowControl/>
        <w:numPr>
          <w:ilvl w:val="12"/>
          <w:numId w:val="0"/>
        </w:numPr>
        <w:ind w:left="720"/>
        <w:rPr>
          <w:b/>
          <w:bCs/>
          <w:sz w:val="24"/>
          <w:szCs w:val="24"/>
        </w:rPr>
      </w:pPr>
      <w:r>
        <w:rPr>
          <w:b/>
          <w:bCs/>
          <w:sz w:val="24"/>
          <w:szCs w:val="24"/>
        </w:rPr>
        <w:t>5.1.</w:t>
      </w:r>
      <w:r w:rsidR="002D0CCF">
        <w:rPr>
          <w:b/>
          <w:bCs/>
          <w:sz w:val="24"/>
          <w:szCs w:val="24"/>
        </w:rPr>
        <w:t>2</w:t>
      </w:r>
      <w:r>
        <w:rPr>
          <w:b/>
          <w:bCs/>
          <w:sz w:val="24"/>
          <w:szCs w:val="24"/>
        </w:rPr>
        <w:t xml:space="preserve">  </w:t>
      </w:r>
      <w:r w:rsidR="009907D5">
        <w:rPr>
          <w:b/>
          <w:bCs/>
          <w:sz w:val="24"/>
          <w:szCs w:val="24"/>
        </w:rPr>
        <w:t>Permits</w:t>
      </w:r>
    </w:p>
    <w:p w:rsidR="00562093" w:rsidRDefault="00562093" w:rsidP="00C02836">
      <w:pPr>
        <w:keepNext/>
        <w:widowControl/>
        <w:numPr>
          <w:ilvl w:val="12"/>
          <w:numId w:val="0"/>
        </w:numPr>
        <w:rPr>
          <w:sz w:val="24"/>
          <w:szCs w:val="24"/>
        </w:rPr>
      </w:pPr>
    </w:p>
    <w:p w:rsidR="009907D5" w:rsidRDefault="00C02836" w:rsidP="00C02836">
      <w:pPr>
        <w:keepNext/>
        <w:widowControl/>
        <w:numPr>
          <w:ilvl w:val="12"/>
          <w:numId w:val="0"/>
        </w:numPr>
        <w:rPr>
          <w:sz w:val="24"/>
          <w:szCs w:val="24"/>
        </w:rPr>
      </w:pPr>
      <w:r>
        <w:rPr>
          <w:sz w:val="24"/>
          <w:szCs w:val="24"/>
        </w:rPr>
        <w:tab/>
      </w:r>
      <w:r w:rsidR="009907D5">
        <w:rPr>
          <w:sz w:val="24"/>
          <w:szCs w:val="24"/>
        </w:rPr>
        <w:t>EPA staff administering the permit program perform the following task:</w:t>
      </w:r>
    </w:p>
    <w:p w:rsidR="009907D5" w:rsidRDefault="009907D5" w:rsidP="00C02836">
      <w:pPr>
        <w:keepNext/>
        <w:widowControl/>
        <w:numPr>
          <w:ilvl w:val="12"/>
          <w:numId w:val="0"/>
        </w:numPr>
        <w:rPr>
          <w:sz w:val="24"/>
          <w:szCs w:val="24"/>
        </w:rPr>
      </w:pPr>
    </w:p>
    <w:p w:rsidR="009907D5" w:rsidRDefault="00C02836" w:rsidP="00C02836">
      <w:pPr>
        <w:pStyle w:val="Level1"/>
        <w:widowControl/>
        <w:ind w:hanging="360"/>
        <w:jc w:val="left"/>
      </w:pPr>
      <w:r>
        <w:t>●</w:t>
      </w:r>
      <w:r>
        <w:tab/>
      </w:r>
      <w:r w:rsidR="009907D5">
        <w:t>Review certificates of representation, enter the information in the Clean Air Markets Database (CAMD), and notify the representative.</w:t>
      </w:r>
    </w:p>
    <w:p w:rsidR="009907D5" w:rsidRDefault="009907D5" w:rsidP="00C02836">
      <w:pPr>
        <w:widowControl/>
        <w:numPr>
          <w:ilvl w:val="12"/>
          <w:numId w:val="0"/>
        </w:numPr>
        <w:rPr>
          <w:sz w:val="24"/>
          <w:szCs w:val="24"/>
        </w:rPr>
      </w:pPr>
    </w:p>
    <w:p w:rsidR="009907D5" w:rsidRDefault="00C02836" w:rsidP="00C02836">
      <w:pPr>
        <w:widowControl/>
        <w:numPr>
          <w:ilvl w:val="12"/>
          <w:numId w:val="0"/>
        </w:numPr>
        <w:rPr>
          <w:sz w:val="24"/>
          <w:szCs w:val="24"/>
        </w:rPr>
      </w:pPr>
      <w:r>
        <w:rPr>
          <w:sz w:val="24"/>
          <w:szCs w:val="24"/>
        </w:rPr>
        <w:tab/>
      </w:r>
      <w:r w:rsidR="009907D5">
        <w:rPr>
          <w:sz w:val="24"/>
          <w:szCs w:val="24"/>
        </w:rPr>
        <w:t>Permitting authority staff, generally at the state or local le</w:t>
      </w:r>
      <w:r w:rsidR="00D370F2">
        <w:rPr>
          <w:sz w:val="24"/>
          <w:szCs w:val="24"/>
        </w:rPr>
        <w:t>vel, perform the following task</w:t>
      </w:r>
      <w:r w:rsidR="009907D5">
        <w:rPr>
          <w:sz w:val="24"/>
          <w:szCs w:val="24"/>
        </w:rPr>
        <w:t>:</w:t>
      </w:r>
    </w:p>
    <w:p w:rsidR="009907D5" w:rsidRDefault="009907D5" w:rsidP="00C02836">
      <w:pPr>
        <w:widowControl/>
        <w:numPr>
          <w:ilvl w:val="12"/>
          <w:numId w:val="0"/>
        </w:numPr>
        <w:rPr>
          <w:sz w:val="24"/>
          <w:szCs w:val="24"/>
        </w:rPr>
      </w:pPr>
    </w:p>
    <w:p w:rsidR="009907D5" w:rsidRDefault="00C02836" w:rsidP="00C02836">
      <w:pPr>
        <w:pStyle w:val="Level1"/>
        <w:widowControl/>
        <w:ind w:hanging="360"/>
        <w:jc w:val="left"/>
      </w:pPr>
      <w:r w:rsidRPr="00C02836">
        <w:t>●</w:t>
      </w:r>
      <w:r w:rsidRPr="00C02836">
        <w:tab/>
      </w:r>
      <w:r w:rsidR="009907D5" w:rsidRPr="00C02836">
        <w:rPr>
          <w:u w:val="single"/>
        </w:rPr>
        <w:t>Review permit applications and issue permits</w:t>
      </w:r>
      <w:r w:rsidR="00CE3ABF">
        <w:t xml:space="preserve">. </w:t>
      </w:r>
      <w:r w:rsidR="009907D5">
        <w:t>Receive and review permit applications and record submissions</w:t>
      </w:r>
      <w:r w:rsidR="00CE3ABF">
        <w:t xml:space="preserve">. </w:t>
      </w:r>
      <w:r w:rsidR="009907D5">
        <w:t>Provide notice to applicants whether permit applications are complete</w:t>
      </w:r>
      <w:r w:rsidR="00CE3ABF">
        <w:t xml:space="preserve">. </w:t>
      </w:r>
      <w:r w:rsidR="009907D5">
        <w:t>Reformat collected data items to constitute proposed and final permits</w:t>
      </w:r>
      <w:r w:rsidR="00CE3ABF">
        <w:t xml:space="preserve">. </w:t>
      </w:r>
      <w:r w:rsidR="009907D5">
        <w:t>Provide opportunities for public comment and participation.</w:t>
      </w:r>
    </w:p>
    <w:p w:rsidR="009907D5" w:rsidRDefault="009907D5" w:rsidP="00C02836">
      <w:pPr>
        <w:widowControl/>
        <w:numPr>
          <w:ilvl w:val="12"/>
          <w:numId w:val="0"/>
        </w:numPr>
        <w:rPr>
          <w:sz w:val="24"/>
          <w:szCs w:val="24"/>
        </w:rPr>
      </w:pPr>
    </w:p>
    <w:p w:rsidR="009907D5" w:rsidRDefault="00C02836" w:rsidP="00C02836">
      <w:pPr>
        <w:widowControl/>
        <w:numPr>
          <w:ilvl w:val="12"/>
          <w:numId w:val="0"/>
        </w:numPr>
        <w:ind w:left="720"/>
        <w:rPr>
          <w:sz w:val="24"/>
          <w:szCs w:val="24"/>
        </w:rPr>
      </w:pPr>
      <w:r>
        <w:rPr>
          <w:b/>
          <w:bCs/>
          <w:sz w:val="24"/>
          <w:szCs w:val="24"/>
        </w:rPr>
        <w:t>5.1.</w:t>
      </w:r>
      <w:r w:rsidR="002D0CCF">
        <w:rPr>
          <w:b/>
          <w:bCs/>
          <w:sz w:val="24"/>
          <w:szCs w:val="24"/>
        </w:rPr>
        <w:t>3</w:t>
      </w:r>
      <w:r>
        <w:rPr>
          <w:b/>
          <w:bCs/>
          <w:sz w:val="24"/>
          <w:szCs w:val="24"/>
        </w:rPr>
        <w:t xml:space="preserve">  </w:t>
      </w:r>
      <w:r w:rsidR="009907D5">
        <w:rPr>
          <w:b/>
          <w:bCs/>
          <w:sz w:val="24"/>
          <w:szCs w:val="24"/>
        </w:rPr>
        <w:t>Emissions Monitoring</w:t>
      </w:r>
      <w:r w:rsidR="009907D5">
        <w:rPr>
          <w:sz w:val="24"/>
          <w:szCs w:val="24"/>
        </w:rPr>
        <w:t xml:space="preserve"> </w:t>
      </w:r>
    </w:p>
    <w:p w:rsidR="00562093" w:rsidRDefault="00562093" w:rsidP="00C02836">
      <w:pPr>
        <w:widowControl/>
        <w:numPr>
          <w:ilvl w:val="12"/>
          <w:numId w:val="0"/>
        </w:numPr>
        <w:rPr>
          <w:sz w:val="24"/>
          <w:szCs w:val="24"/>
        </w:rPr>
      </w:pPr>
    </w:p>
    <w:p w:rsidR="009907D5" w:rsidRDefault="009907D5" w:rsidP="00C02836">
      <w:pPr>
        <w:widowControl/>
        <w:numPr>
          <w:ilvl w:val="12"/>
          <w:numId w:val="0"/>
        </w:numPr>
        <w:rPr>
          <w:sz w:val="24"/>
          <w:szCs w:val="24"/>
        </w:rPr>
      </w:pPr>
      <w:r>
        <w:rPr>
          <w:sz w:val="24"/>
          <w:szCs w:val="24"/>
        </w:rPr>
        <w:tab/>
        <w:t>The major EPA activities related to emissions monitoring and reporting include (1) reviewing monitoring plans and certification applications, and (2) processing, reviewing and evaluating reports of quarterly emissions data from affected units</w:t>
      </w:r>
      <w:r w:rsidR="00CE3ABF">
        <w:rPr>
          <w:sz w:val="24"/>
          <w:szCs w:val="24"/>
        </w:rPr>
        <w:t xml:space="preserve">. </w:t>
      </w:r>
      <w:r>
        <w:rPr>
          <w:sz w:val="24"/>
          <w:szCs w:val="24"/>
        </w:rPr>
        <w:t>EPA</w:t>
      </w:r>
      <w:r w:rsidR="00A90381">
        <w:rPr>
          <w:sz w:val="24"/>
          <w:szCs w:val="24"/>
        </w:rPr>
        <w:t>'</w:t>
      </w:r>
      <w:r>
        <w:rPr>
          <w:sz w:val="24"/>
          <w:szCs w:val="24"/>
        </w:rPr>
        <w:t>s ECMPS computer system tracks and maintains this information</w:t>
      </w:r>
      <w:r w:rsidR="00CE3ABF">
        <w:rPr>
          <w:sz w:val="24"/>
          <w:szCs w:val="24"/>
        </w:rPr>
        <w:t xml:space="preserve">. </w:t>
      </w:r>
      <w:r>
        <w:rPr>
          <w:sz w:val="24"/>
          <w:szCs w:val="24"/>
        </w:rPr>
        <w:t>EPA also answers respondent questions and conducts audits of data submissions and field audits of monitoring systems</w:t>
      </w:r>
      <w:r w:rsidR="00CE3ABF">
        <w:rPr>
          <w:sz w:val="24"/>
          <w:szCs w:val="24"/>
        </w:rPr>
        <w:t xml:space="preserve">. </w:t>
      </w:r>
      <w:r>
        <w:rPr>
          <w:sz w:val="24"/>
          <w:szCs w:val="24"/>
        </w:rPr>
        <w:t>The use of the ECMPS software streamlines EPA</w:t>
      </w:r>
      <w:r w:rsidR="00A90381">
        <w:rPr>
          <w:sz w:val="24"/>
          <w:szCs w:val="24"/>
        </w:rPr>
        <w:t>'</w:t>
      </w:r>
      <w:r>
        <w:rPr>
          <w:sz w:val="24"/>
          <w:szCs w:val="24"/>
        </w:rPr>
        <w:t xml:space="preserve">s process for conducting many of </w:t>
      </w:r>
      <w:r w:rsidR="005A67EC">
        <w:rPr>
          <w:sz w:val="24"/>
          <w:szCs w:val="24"/>
        </w:rPr>
        <w:t>these</w:t>
      </w:r>
      <w:r>
        <w:rPr>
          <w:sz w:val="24"/>
          <w:szCs w:val="24"/>
        </w:rPr>
        <w:t xml:space="preserve"> </w:t>
      </w:r>
      <w:r w:rsidR="00BE0674">
        <w:rPr>
          <w:sz w:val="24"/>
          <w:szCs w:val="24"/>
        </w:rPr>
        <w:t xml:space="preserve">data </w:t>
      </w:r>
      <w:r>
        <w:rPr>
          <w:sz w:val="24"/>
          <w:szCs w:val="24"/>
        </w:rPr>
        <w:t>checks.</w:t>
      </w:r>
      <w:r w:rsidR="008B1264">
        <w:rPr>
          <w:sz w:val="24"/>
          <w:szCs w:val="24"/>
        </w:rPr>
        <w:t xml:space="preserve"> </w:t>
      </w:r>
    </w:p>
    <w:p w:rsidR="002D0CCF" w:rsidRDefault="002D0CCF" w:rsidP="00D370F2">
      <w:pPr>
        <w:widowControl/>
        <w:numPr>
          <w:ilvl w:val="12"/>
          <w:numId w:val="0"/>
        </w:numPr>
        <w:ind w:left="720"/>
        <w:rPr>
          <w:b/>
          <w:bCs/>
          <w:sz w:val="24"/>
          <w:szCs w:val="24"/>
        </w:rPr>
      </w:pPr>
    </w:p>
    <w:p w:rsidR="009907D5" w:rsidRDefault="00C02836" w:rsidP="00D370F2">
      <w:pPr>
        <w:widowControl/>
        <w:numPr>
          <w:ilvl w:val="12"/>
          <w:numId w:val="0"/>
        </w:numPr>
        <w:ind w:left="720"/>
        <w:rPr>
          <w:b/>
          <w:bCs/>
          <w:sz w:val="24"/>
          <w:szCs w:val="24"/>
        </w:rPr>
      </w:pPr>
      <w:r>
        <w:rPr>
          <w:b/>
          <w:bCs/>
          <w:sz w:val="24"/>
          <w:szCs w:val="24"/>
        </w:rPr>
        <w:t>5.1.</w:t>
      </w:r>
      <w:r w:rsidR="002D0CCF">
        <w:rPr>
          <w:b/>
          <w:bCs/>
          <w:sz w:val="24"/>
          <w:szCs w:val="24"/>
        </w:rPr>
        <w:t xml:space="preserve">4  </w:t>
      </w:r>
      <w:r w:rsidR="009907D5">
        <w:rPr>
          <w:b/>
          <w:bCs/>
          <w:sz w:val="24"/>
          <w:szCs w:val="24"/>
        </w:rPr>
        <w:t>Auctions</w:t>
      </w:r>
    </w:p>
    <w:p w:rsidR="00562093" w:rsidRDefault="00562093" w:rsidP="00C02836">
      <w:pPr>
        <w:widowControl/>
        <w:numPr>
          <w:ilvl w:val="12"/>
          <w:numId w:val="0"/>
        </w:numPr>
        <w:rPr>
          <w:sz w:val="24"/>
          <w:szCs w:val="24"/>
        </w:rPr>
      </w:pPr>
    </w:p>
    <w:p w:rsidR="009907D5" w:rsidRDefault="009907D5" w:rsidP="00C02836">
      <w:pPr>
        <w:widowControl/>
        <w:numPr>
          <w:ilvl w:val="12"/>
          <w:numId w:val="0"/>
        </w:numPr>
        <w:rPr>
          <w:sz w:val="24"/>
          <w:szCs w:val="24"/>
        </w:rPr>
      </w:pPr>
      <w:r>
        <w:rPr>
          <w:sz w:val="24"/>
          <w:szCs w:val="24"/>
        </w:rPr>
        <w:tab/>
      </w:r>
      <w:r w:rsidR="00565D31">
        <w:rPr>
          <w:sz w:val="24"/>
          <w:szCs w:val="24"/>
        </w:rPr>
        <w:t xml:space="preserve">EPA staff administering the auctions receive the sealed bids and payments, The bids are submitted electronically by the participants, and payment is made via wire transfer, certified check, or Letter of Credit. After bids are received, they are ranked using a computer program and then the allowances are allocated. EPA </w:t>
      </w:r>
      <w:r w:rsidR="00565D31">
        <w:rPr>
          <w:sz w:val="24"/>
          <w:szCs w:val="24"/>
        </w:rPr>
        <w:lastRenderedPageBreak/>
        <w:t>announces the results by posting them on the EPA website. Finally, after payment is verified, EPA records the transfer of allowances and transfers the proceeds from the auction to the owners and operators from whom the allowances were withheld. EPA has developed a computer system to run the entire auction.</w:t>
      </w:r>
    </w:p>
    <w:p w:rsidR="009907D5" w:rsidRDefault="00C02836" w:rsidP="00674ADB">
      <w:pPr>
        <w:keepNext/>
        <w:widowControl/>
        <w:numPr>
          <w:ilvl w:val="12"/>
          <w:numId w:val="0"/>
        </w:numPr>
        <w:ind w:left="720"/>
        <w:rPr>
          <w:b/>
          <w:bCs/>
          <w:sz w:val="24"/>
          <w:szCs w:val="24"/>
        </w:rPr>
      </w:pPr>
      <w:r>
        <w:rPr>
          <w:b/>
          <w:bCs/>
          <w:sz w:val="24"/>
          <w:szCs w:val="24"/>
        </w:rPr>
        <w:t>5.1.</w:t>
      </w:r>
      <w:r w:rsidR="002D0CCF">
        <w:rPr>
          <w:b/>
          <w:bCs/>
          <w:sz w:val="24"/>
          <w:szCs w:val="24"/>
        </w:rPr>
        <w:t xml:space="preserve">5  </w:t>
      </w:r>
      <w:r w:rsidR="009907D5">
        <w:rPr>
          <w:b/>
          <w:bCs/>
          <w:sz w:val="24"/>
          <w:szCs w:val="24"/>
        </w:rPr>
        <w:t>Opt-in</w:t>
      </w:r>
    </w:p>
    <w:p w:rsidR="00562093" w:rsidRDefault="00562093" w:rsidP="00C02836">
      <w:pPr>
        <w:keepNext/>
        <w:widowControl/>
        <w:numPr>
          <w:ilvl w:val="12"/>
          <w:numId w:val="0"/>
        </w:numPr>
        <w:rPr>
          <w:sz w:val="24"/>
          <w:szCs w:val="24"/>
        </w:rPr>
      </w:pPr>
    </w:p>
    <w:p w:rsidR="009907D5" w:rsidRDefault="009907D5" w:rsidP="00C02836">
      <w:pPr>
        <w:keepNext/>
        <w:widowControl/>
        <w:numPr>
          <w:ilvl w:val="12"/>
          <w:numId w:val="0"/>
        </w:numPr>
        <w:rPr>
          <w:sz w:val="24"/>
          <w:szCs w:val="24"/>
        </w:rPr>
      </w:pPr>
      <w:r>
        <w:rPr>
          <w:sz w:val="24"/>
          <w:szCs w:val="24"/>
        </w:rPr>
        <w:tab/>
        <w:t>EPA staff administering the opt-in permit program perform the following tasks for each opt-in applicant:</w:t>
      </w:r>
    </w:p>
    <w:p w:rsidR="009907D5" w:rsidRDefault="009907D5" w:rsidP="00C02836">
      <w:pPr>
        <w:keepNext/>
        <w:widowControl/>
        <w:numPr>
          <w:ilvl w:val="12"/>
          <w:numId w:val="0"/>
        </w:numPr>
        <w:rPr>
          <w:sz w:val="24"/>
          <w:szCs w:val="24"/>
        </w:rPr>
      </w:pPr>
    </w:p>
    <w:p w:rsidR="009907D5" w:rsidRDefault="00D370F2" w:rsidP="00D370F2">
      <w:pPr>
        <w:pStyle w:val="Level1"/>
        <w:keepNext/>
        <w:widowControl/>
        <w:ind w:hanging="360"/>
        <w:jc w:val="left"/>
      </w:pPr>
      <w:r>
        <w:t>●</w:t>
      </w:r>
      <w:r>
        <w:tab/>
      </w:r>
      <w:r w:rsidR="009907D5">
        <w:t>Review certificate of representation, record information, and notify representative.</w:t>
      </w:r>
    </w:p>
    <w:p w:rsidR="00D370F2" w:rsidRDefault="00D370F2" w:rsidP="00D370F2">
      <w:pPr>
        <w:pStyle w:val="Level1"/>
        <w:keepNext/>
        <w:widowControl/>
        <w:ind w:hanging="360"/>
        <w:jc w:val="left"/>
      </w:pPr>
    </w:p>
    <w:p w:rsidR="009907D5" w:rsidRDefault="00D370F2" w:rsidP="00D370F2">
      <w:pPr>
        <w:pStyle w:val="Level1"/>
        <w:widowControl/>
        <w:ind w:hanging="360"/>
        <w:jc w:val="left"/>
      </w:pPr>
      <w:r w:rsidRPr="00D370F2">
        <w:t>●</w:t>
      </w:r>
      <w:r w:rsidRPr="00D370F2">
        <w:tab/>
      </w:r>
      <w:r w:rsidR="009907D5">
        <w:rPr>
          <w:u w:val="single"/>
        </w:rPr>
        <w:t>Review permit application</w:t>
      </w:r>
      <w:r w:rsidR="00CE3ABF">
        <w:t xml:space="preserve">. </w:t>
      </w:r>
      <w:r w:rsidR="009907D5">
        <w:t>Receive and review permit application and record submission</w:t>
      </w:r>
      <w:r w:rsidR="00CE3ABF">
        <w:t xml:space="preserve">. </w:t>
      </w:r>
      <w:r w:rsidR="009907D5">
        <w:t>Provide notice to applicant as to whether permit application is complete</w:t>
      </w:r>
      <w:r w:rsidR="00CE3ABF">
        <w:t xml:space="preserve">. </w:t>
      </w:r>
      <w:r w:rsidR="009907D5">
        <w:t>Reformat collected data items to constitute proposed and final permit.</w:t>
      </w:r>
    </w:p>
    <w:p w:rsidR="00D370F2" w:rsidRDefault="00D370F2" w:rsidP="00D370F2">
      <w:pPr>
        <w:pStyle w:val="Level1"/>
        <w:widowControl/>
        <w:ind w:hanging="360"/>
        <w:jc w:val="left"/>
      </w:pPr>
    </w:p>
    <w:p w:rsidR="009907D5" w:rsidRDefault="00D370F2" w:rsidP="00D370F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rsidRPr="00D370F2">
        <w:t>●</w:t>
      </w:r>
      <w:r w:rsidRPr="00D370F2">
        <w:tab/>
      </w:r>
      <w:r w:rsidR="009907D5">
        <w:rPr>
          <w:u w:val="single"/>
        </w:rPr>
        <w:t>Notify applicant regarding allowances</w:t>
      </w:r>
      <w:r w:rsidR="00CE3ABF">
        <w:t xml:space="preserve">. </w:t>
      </w:r>
      <w:r w:rsidR="009907D5">
        <w:t>Notify the opt-in permit applicant of the number of allowances the applicant would receive each year as an opt-in source.</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EPA activities related to withdrawals will be to process the withdrawal notification, and ensure that all unused allowances have been surrendered at the end of the calendar year.</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D370F2" w:rsidP="00D370F2">
      <w:pPr>
        <w:widowControl/>
        <w:numPr>
          <w:ilvl w:val="12"/>
          <w:numId w:val="0"/>
        </w:numPr>
        <w:ind w:left="720"/>
        <w:rPr>
          <w:b/>
          <w:bCs/>
          <w:sz w:val="24"/>
          <w:szCs w:val="24"/>
        </w:rPr>
      </w:pPr>
      <w:r>
        <w:rPr>
          <w:b/>
          <w:bCs/>
          <w:sz w:val="24"/>
          <w:szCs w:val="24"/>
        </w:rPr>
        <w:t>5.1.</w:t>
      </w:r>
      <w:r w:rsidR="002D0CCF">
        <w:rPr>
          <w:b/>
          <w:bCs/>
          <w:sz w:val="24"/>
          <w:szCs w:val="24"/>
        </w:rPr>
        <w:t xml:space="preserve">6  </w:t>
      </w:r>
      <w:proofErr w:type="spellStart"/>
      <w:r w:rsidR="009907D5">
        <w:rPr>
          <w:b/>
          <w:bCs/>
          <w:sz w:val="24"/>
          <w:szCs w:val="24"/>
        </w:rPr>
        <w:t>NO</w:t>
      </w:r>
      <w:r w:rsidR="00562093">
        <w:rPr>
          <w:b/>
          <w:bCs/>
          <w:sz w:val="24"/>
          <w:szCs w:val="24"/>
          <w:vertAlign w:val="subscript"/>
        </w:rPr>
        <w:t>x</w:t>
      </w:r>
      <w:proofErr w:type="spellEnd"/>
      <w:r w:rsidR="009907D5">
        <w:rPr>
          <w:b/>
          <w:bCs/>
          <w:sz w:val="24"/>
          <w:szCs w:val="24"/>
        </w:rPr>
        <w:t xml:space="preserve"> Permitting</w:t>
      </w:r>
    </w:p>
    <w:p w:rsidR="00562093" w:rsidRDefault="00562093" w:rsidP="00D370F2">
      <w:pPr>
        <w:widowControl/>
        <w:numPr>
          <w:ilvl w:val="12"/>
          <w:numId w:val="0"/>
        </w:numPr>
        <w:rPr>
          <w:sz w:val="24"/>
          <w:szCs w:val="24"/>
        </w:rPr>
      </w:pPr>
    </w:p>
    <w:p w:rsidR="009907D5" w:rsidRDefault="00562093" w:rsidP="00D370F2">
      <w:pPr>
        <w:widowControl/>
        <w:numPr>
          <w:ilvl w:val="12"/>
          <w:numId w:val="0"/>
        </w:numPr>
        <w:rPr>
          <w:sz w:val="24"/>
          <w:szCs w:val="24"/>
        </w:rPr>
      </w:pPr>
      <w:r>
        <w:rPr>
          <w:sz w:val="24"/>
          <w:szCs w:val="24"/>
        </w:rPr>
        <w:tab/>
      </w:r>
      <w:r w:rsidR="009907D5">
        <w:rPr>
          <w:sz w:val="24"/>
          <w:szCs w:val="24"/>
        </w:rPr>
        <w:t>Agency staff perform the following t</w:t>
      </w:r>
      <w:r w:rsidR="00D370F2">
        <w:rPr>
          <w:sz w:val="24"/>
          <w:szCs w:val="24"/>
        </w:rPr>
        <w:t>ask:</w:t>
      </w:r>
    </w:p>
    <w:p w:rsidR="009907D5" w:rsidRDefault="009907D5" w:rsidP="00D370F2">
      <w:pPr>
        <w:widowControl/>
        <w:numPr>
          <w:ilvl w:val="12"/>
          <w:numId w:val="0"/>
        </w:numPr>
        <w:rPr>
          <w:sz w:val="24"/>
          <w:szCs w:val="24"/>
        </w:rPr>
      </w:pPr>
    </w:p>
    <w:p w:rsidR="009907D5" w:rsidRDefault="00D370F2" w:rsidP="00D370F2">
      <w:pPr>
        <w:pStyle w:val="Level1"/>
        <w:widowControl/>
        <w:ind w:hanging="360"/>
        <w:jc w:val="left"/>
      </w:pPr>
      <w:r w:rsidRPr="00D370F2">
        <w:t>●</w:t>
      </w:r>
      <w:r w:rsidRPr="00D370F2">
        <w:tab/>
      </w:r>
      <w:r w:rsidR="009907D5">
        <w:rPr>
          <w:u w:val="single"/>
        </w:rPr>
        <w:t xml:space="preserve">Review </w:t>
      </w:r>
      <w:proofErr w:type="spellStart"/>
      <w:r w:rsidR="009907D5">
        <w:rPr>
          <w:u w:val="single"/>
        </w:rPr>
        <w:t>NO</w:t>
      </w:r>
      <w:r w:rsidR="009907D5">
        <w:rPr>
          <w:u w:val="single"/>
          <w:vertAlign w:val="subscript"/>
        </w:rPr>
        <w:t>x</w:t>
      </w:r>
      <w:proofErr w:type="spellEnd"/>
      <w:r w:rsidR="009907D5">
        <w:rPr>
          <w:u w:val="single"/>
        </w:rPr>
        <w:t xml:space="preserve"> compliance plan applications</w:t>
      </w:r>
      <w:r w:rsidR="00CE3ABF">
        <w:t xml:space="preserve">. </w:t>
      </w:r>
      <w:r w:rsidR="009907D5">
        <w:t>Receive and review applications and record submissions</w:t>
      </w:r>
      <w:r w:rsidR="00CE3ABF">
        <w:t xml:space="preserve">. </w:t>
      </w:r>
      <w:r w:rsidR="009907D5">
        <w:t>Provide notice to applicants whether applications are complete.</w:t>
      </w:r>
    </w:p>
    <w:p w:rsidR="008B6601" w:rsidRDefault="008B6601" w:rsidP="00674ADB">
      <w:pPr>
        <w:pStyle w:val="Level1"/>
        <w:widowControl/>
        <w:ind w:left="0"/>
        <w:jc w:val="left"/>
      </w:pPr>
    </w:p>
    <w:p w:rsidR="009907D5" w:rsidRDefault="009907D5" w:rsidP="00D370F2">
      <w:pPr>
        <w:widowControl/>
        <w:numPr>
          <w:ilvl w:val="12"/>
          <w:numId w:val="0"/>
        </w:numPr>
        <w:rPr>
          <w:sz w:val="24"/>
          <w:szCs w:val="24"/>
        </w:rPr>
      </w:pPr>
    </w:p>
    <w:p w:rsidR="009907D5" w:rsidRDefault="009907D5" w:rsidP="00D370F2">
      <w:pPr>
        <w:widowControl/>
        <w:numPr>
          <w:ilvl w:val="12"/>
          <w:numId w:val="0"/>
        </w:numPr>
        <w:ind w:left="360"/>
        <w:rPr>
          <w:b/>
          <w:bCs/>
          <w:sz w:val="24"/>
          <w:szCs w:val="24"/>
        </w:rPr>
      </w:pPr>
      <w:r>
        <w:rPr>
          <w:b/>
          <w:bCs/>
          <w:sz w:val="24"/>
          <w:szCs w:val="24"/>
        </w:rPr>
        <w:t>5.2</w:t>
      </w:r>
      <w:r w:rsidR="00D370F2">
        <w:rPr>
          <w:b/>
          <w:bCs/>
          <w:sz w:val="24"/>
          <w:szCs w:val="24"/>
        </w:rPr>
        <w:t xml:space="preserve">  </w:t>
      </w:r>
      <w:r>
        <w:rPr>
          <w:b/>
          <w:bCs/>
          <w:sz w:val="24"/>
          <w:szCs w:val="24"/>
        </w:rPr>
        <w:t>Collection Methodology and Management</w:t>
      </w:r>
    </w:p>
    <w:p w:rsidR="009907D5" w:rsidRDefault="009907D5" w:rsidP="00D370F2">
      <w:pPr>
        <w:widowControl/>
        <w:numPr>
          <w:ilvl w:val="12"/>
          <w:numId w:val="0"/>
        </w:numPr>
        <w:rPr>
          <w:b/>
          <w:bCs/>
          <w:sz w:val="24"/>
          <w:szCs w:val="24"/>
        </w:rPr>
      </w:pPr>
    </w:p>
    <w:p w:rsidR="009907D5" w:rsidRDefault="009907D5" w:rsidP="00D370F2">
      <w:pPr>
        <w:widowControl/>
        <w:numPr>
          <w:ilvl w:val="12"/>
          <w:numId w:val="0"/>
        </w:numPr>
        <w:rPr>
          <w:sz w:val="24"/>
          <w:szCs w:val="24"/>
        </w:rPr>
      </w:pPr>
      <w:r>
        <w:rPr>
          <w:sz w:val="24"/>
          <w:szCs w:val="24"/>
        </w:rPr>
        <w:tab/>
        <w:t>To ensure consistency nationwide and to expedite (1) data entry</w:t>
      </w:r>
      <w:r w:rsidR="00B21EC7">
        <w:rPr>
          <w:sz w:val="24"/>
          <w:szCs w:val="24"/>
        </w:rPr>
        <w:t xml:space="preserve"> and </w:t>
      </w:r>
      <w:r>
        <w:rPr>
          <w:sz w:val="24"/>
          <w:szCs w:val="24"/>
        </w:rPr>
        <w:t>(2) permit issuance, EPA requires that standard reporting forms or equivalent formats or standard electronic reporting formats be used to submit all information to be collected under this ICR</w:t>
      </w:r>
      <w:r w:rsidR="00CE3ABF">
        <w:rPr>
          <w:sz w:val="24"/>
          <w:szCs w:val="24"/>
        </w:rPr>
        <w:t xml:space="preserve">. </w:t>
      </w:r>
      <w:r>
        <w:rPr>
          <w:sz w:val="24"/>
          <w:szCs w:val="24"/>
        </w:rPr>
        <w:t xml:space="preserve">The standard forms are included in Appendix </w:t>
      </w:r>
      <w:r w:rsidR="00116218">
        <w:rPr>
          <w:sz w:val="24"/>
          <w:szCs w:val="24"/>
        </w:rPr>
        <w:t>A</w:t>
      </w:r>
      <w:r w:rsidR="00CE3ABF">
        <w:rPr>
          <w:sz w:val="24"/>
          <w:szCs w:val="24"/>
        </w:rPr>
        <w:t xml:space="preserve">. </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Currently, respondents to collections for allowance transfer information may submit the required information on a standard written form, or using an electronic format</w:t>
      </w:r>
      <w:r w:rsidR="00CE3ABF">
        <w:rPr>
          <w:sz w:val="24"/>
          <w:szCs w:val="24"/>
        </w:rPr>
        <w:t xml:space="preserve">. </w:t>
      </w:r>
      <w:r>
        <w:rPr>
          <w:sz w:val="24"/>
          <w:szCs w:val="24"/>
        </w:rPr>
        <w:t>Permit applications are submitted on standard paper forms, as are certifications for new and retired unit exemptions</w:t>
      </w:r>
      <w:r w:rsidR="00CE3ABF">
        <w:rPr>
          <w:sz w:val="24"/>
          <w:szCs w:val="24"/>
        </w:rPr>
        <w:t xml:space="preserve">. </w:t>
      </w:r>
      <w:r>
        <w:rPr>
          <w:sz w:val="24"/>
          <w:szCs w:val="24"/>
        </w:rPr>
        <w:t xml:space="preserve">EPA requires that </w:t>
      </w:r>
      <w:r>
        <w:rPr>
          <w:color w:val="000000"/>
          <w:sz w:val="24"/>
          <w:szCs w:val="24"/>
        </w:rPr>
        <w:t xml:space="preserve">XML </w:t>
      </w:r>
      <w:r>
        <w:rPr>
          <w:sz w:val="24"/>
          <w:szCs w:val="24"/>
        </w:rPr>
        <w:t>format be used to submit information to be collected under Part 75 and, under the 1999 rule revisions, EPA also required that data be sent via direct electronic submission to EPA beginning in the year 2001</w:t>
      </w:r>
      <w:r w:rsidR="00562093">
        <w:rPr>
          <w:sz w:val="24"/>
          <w:szCs w:val="24"/>
        </w:rPr>
        <w:t xml:space="preserve">.  </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Several computer systems and associated datab</w:t>
      </w:r>
      <w:r w:rsidR="008F3ACE">
        <w:rPr>
          <w:sz w:val="24"/>
          <w:szCs w:val="24"/>
        </w:rPr>
        <w:t xml:space="preserve">ases have been developed to (1) </w:t>
      </w:r>
      <w:r>
        <w:rPr>
          <w:sz w:val="24"/>
          <w:szCs w:val="24"/>
        </w:rPr>
        <w:t>track allowances, (2) record quarterly emissions monitoring data, (3) track auction proceed payments, and (4) calculate the number of allowances to be deducted each year</w:t>
      </w:r>
      <w:r w:rsidR="00CE3ABF">
        <w:rPr>
          <w:sz w:val="24"/>
          <w:szCs w:val="24"/>
        </w:rPr>
        <w:t xml:space="preserve">. </w:t>
      </w:r>
      <w:r>
        <w:rPr>
          <w:sz w:val="24"/>
          <w:szCs w:val="24"/>
        </w:rPr>
        <w:t>In 2001,</w:t>
      </w:r>
      <w:r w:rsidR="008F3ACE">
        <w:rPr>
          <w:sz w:val="24"/>
          <w:szCs w:val="24"/>
        </w:rPr>
        <w:t xml:space="preserve"> EPA made available the On</w:t>
      </w:r>
      <w:r>
        <w:rPr>
          <w:sz w:val="24"/>
          <w:szCs w:val="24"/>
        </w:rPr>
        <w:t>line Allowance Transfer System</w:t>
      </w:r>
      <w:r w:rsidR="00AE176A">
        <w:rPr>
          <w:sz w:val="24"/>
          <w:szCs w:val="24"/>
        </w:rPr>
        <w:t xml:space="preserve"> (now </w:t>
      </w:r>
      <w:r w:rsidR="00AE176A">
        <w:rPr>
          <w:sz w:val="24"/>
          <w:szCs w:val="24"/>
        </w:rPr>
        <w:lastRenderedPageBreak/>
        <w:t>part of the CAMD Business System)</w:t>
      </w:r>
      <w:r>
        <w:rPr>
          <w:sz w:val="24"/>
          <w:szCs w:val="24"/>
        </w:rPr>
        <w:t xml:space="preserve"> to permit online allowance transfers and allowance account maintenance activities</w:t>
      </w:r>
      <w:r w:rsidR="00CE3ABF">
        <w:rPr>
          <w:sz w:val="24"/>
          <w:szCs w:val="24"/>
        </w:rPr>
        <w:t xml:space="preserve">. </w:t>
      </w:r>
      <w:r>
        <w:rPr>
          <w:sz w:val="24"/>
          <w:szCs w:val="24"/>
        </w:rPr>
        <w:t>The systems and databases are designed to coordinate the information for easy access and use by the Agency, states, regulated community, and the public.</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The </w:t>
      </w:r>
      <w:r w:rsidR="00B21EC7">
        <w:rPr>
          <w:sz w:val="24"/>
          <w:szCs w:val="24"/>
        </w:rPr>
        <w:t>Air Markets Program Data</w:t>
      </w:r>
      <w:r>
        <w:rPr>
          <w:sz w:val="24"/>
          <w:szCs w:val="24"/>
        </w:rPr>
        <w:t xml:space="preserve"> section of the EPA</w:t>
      </w:r>
      <w:r w:rsidR="00A90381">
        <w:rPr>
          <w:sz w:val="24"/>
          <w:szCs w:val="24"/>
        </w:rPr>
        <w:t>'</w:t>
      </w:r>
      <w:r>
        <w:rPr>
          <w:sz w:val="24"/>
          <w:szCs w:val="24"/>
        </w:rPr>
        <w:t>s Clea</w:t>
      </w:r>
      <w:r w:rsidR="008F3ACE">
        <w:rPr>
          <w:sz w:val="24"/>
          <w:szCs w:val="24"/>
        </w:rPr>
        <w:t>n Air Markets Home Page on the internet</w:t>
      </w:r>
      <w:r>
        <w:rPr>
          <w:sz w:val="24"/>
          <w:szCs w:val="24"/>
        </w:rPr>
        <w:t xml:space="preserve"> includes detailed information collected from emissions reports, allowance transfer activity, and facility or source data</w:t>
      </w:r>
      <w:r w:rsidR="00CE3ABF">
        <w:rPr>
          <w:sz w:val="24"/>
          <w:szCs w:val="24"/>
        </w:rPr>
        <w:t xml:space="preserve">. </w:t>
      </w:r>
      <w:r w:rsidR="008F3ACE">
        <w:rPr>
          <w:sz w:val="24"/>
          <w:szCs w:val="24"/>
        </w:rPr>
        <w:t>Those without access to the i</w:t>
      </w:r>
      <w:r>
        <w:rPr>
          <w:sz w:val="24"/>
          <w:szCs w:val="24"/>
        </w:rPr>
        <w:t>nternet may use the Acid Rain Hotline to request information.</w:t>
      </w:r>
    </w:p>
    <w:p w:rsidR="008B6601" w:rsidRDefault="008B6601"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674ADB">
      <w:pPr>
        <w:keepNext/>
        <w:widowControl/>
        <w:numPr>
          <w:ilvl w:val="12"/>
          <w:numId w:val="0"/>
        </w:numPr>
        <w:ind w:left="360"/>
        <w:rPr>
          <w:sz w:val="24"/>
          <w:szCs w:val="24"/>
        </w:rPr>
      </w:pPr>
      <w:r>
        <w:rPr>
          <w:b/>
          <w:bCs/>
          <w:sz w:val="24"/>
          <w:szCs w:val="24"/>
        </w:rPr>
        <w:t>5.3</w:t>
      </w:r>
      <w:r w:rsidR="008F3ACE">
        <w:rPr>
          <w:b/>
          <w:bCs/>
          <w:sz w:val="24"/>
          <w:szCs w:val="24"/>
        </w:rPr>
        <w:t xml:space="preserve">  </w:t>
      </w:r>
      <w:r>
        <w:rPr>
          <w:b/>
          <w:bCs/>
          <w:sz w:val="24"/>
          <w:szCs w:val="24"/>
        </w:rPr>
        <w:t>Small Entity Flexibility</w:t>
      </w:r>
    </w:p>
    <w:p w:rsidR="009907D5" w:rsidRDefault="009907D5" w:rsidP="00674ADB">
      <w:pPr>
        <w:keepNext/>
        <w:widowControl/>
        <w:numPr>
          <w:ilvl w:val="12"/>
          <w:numId w:val="0"/>
        </w:numPr>
        <w:rPr>
          <w:sz w:val="24"/>
          <w:szCs w:val="24"/>
        </w:rPr>
      </w:pPr>
    </w:p>
    <w:p w:rsidR="009907D5" w:rsidRDefault="009907D5" w:rsidP="00674ADB">
      <w:pPr>
        <w:keepNext/>
        <w:widowControl/>
        <w:numPr>
          <w:ilvl w:val="12"/>
          <w:numId w:val="0"/>
        </w:numPr>
        <w:rPr>
          <w:sz w:val="24"/>
          <w:szCs w:val="24"/>
        </w:rPr>
      </w:pPr>
      <w:r>
        <w:rPr>
          <w:sz w:val="24"/>
          <w:szCs w:val="24"/>
        </w:rPr>
        <w:tab/>
        <w:t>For the purposes of the Acid Rain Program, EPA has adopted the Small Business Administration</w:t>
      </w:r>
      <w:r w:rsidR="00A90381">
        <w:rPr>
          <w:sz w:val="24"/>
          <w:szCs w:val="24"/>
        </w:rPr>
        <w:t>'</w:t>
      </w:r>
      <w:r>
        <w:rPr>
          <w:sz w:val="24"/>
          <w:szCs w:val="24"/>
        </w:rPr>
        <w:t xml:space="preserve">s definition of a </w:t>
      </w:r>
      <w:r w:rsidR="00A90381">
        <w:rPr>
          <w:sz w:val="24"/>
          <w:szCs w:val="24"/>
        </w:rPr>
        <w:t>"</w:t>
      </w:r>
      <w:r>
        <w:rPr>
          <w:sz w:val="24"/>
          <w:szCs w:val="24"/>
        </w:rPr>
        <w:t>small</w:t>
      </w:r>
      <w:r w:rsidR="00A90381">
        <w:rPr>
          <w:sz w:val="24"/>
          <w:szCs w:val="24"/>
        </w:rPr>
        <w:t>"</w:t>
      </w:r>
      <w:r>
        <w:rPr>
          <w:sz w:val="24"/>
          <w:szCs w:val="24"/>
        </w:rPr>
        <w:t xml:space="preserve"> electric power utility as one that </w:t>
      </w:r>
      <w:r w:rsidR="008F3ACE">
        <w:rPr>
          <w:sz w:val="24"/>
          <w:szCs w:val="24"/>
        </w:rPr>
        <w:t>generates a total of less than four</w:t>
      </w:r>
      <w:r>
        <w:rPr>
          <w:sz w:val="24"/>
          <w:szCs w:val="24"/>
        </w:rPr>
        <w:t xml:space="preserve"> billion kilowatt-hours per year</w:t>
      </w:r>
      <w:r w:rsidR="00CE3ABF">
        <w:rPr>
          <w:sz w:val="24"/>
          <w:szCs w:val="24"/>
        </w:rPr>
        <w:t xml:space="preserve">. </w:t>
      </w:r>
      <w:r>
        <w:rPr>
          <w:sz w:val="24"/>
          <w:szCs w:val="24"/>
        </w:rPr>
        <w:t>Generally, although about two-thirds of the affected sources in Phase II generate a total of le</w:t>
      </w:r>
      <w:r w:rsidR="008F3ACE">
        <w:rPr>
          <w:sz w:val="24"/>
          <w:szCs w:val="24"/>
        </w:rPr>
        <w:t>ss than four</w:t>
      </w:r>
      <w:r>
        <w:rPr>
          <w:sz w:val="24"/>
          <w:szCs w:val="24"/>
        </w:rPr>
        <w:t xml:space="preserve"> billion kilowatt-hours per year and are required to participate in some collections under this ICR (e.g., submitting information for certification of monitors and submitting quarterly emissions monitoring reports), the costs to these sources for collections under this ICR are small relative to the revenues they generate</w:t>
      </w:r>
      <w:r w:rsidR="00CE3ABF">
        <w:rPr>
          <w:sz w:val="24"/>
          <w:szCs w:val="24"/>
        </w:rPr>
        <w:t xml:space="preserve">. </w:t>
      </w:r>
      <w:r>
        <w:rPr>
          <w:sz w:val="24"/>
          <w:szCs w:val="24"/>
        </w:rPr>
        <w:t>This is based on an analysis that was included in the Regulatory Impact Analysis of the Final Acid Rain Implementation Regulations, dated October 19, 1992.</w:t>
      </w:r>
    </w:p>
    <w:p w:rsidR="009907D5" w:rsidRDefault="009907D5" w:rsidP="008F3ACE">
      <w:pPr>
        <w:widowControl/>
        <w:numPr>
          <w:ilvl w:val="12"/>
          <w:numId w:val="0"/>
        </w:numPr>
        <w:rPr>
          <w:sz w:val="24"/>
          <w:szCs w:val="24"/>
        </w:rPr>
      </w:pPr>
    </w:p>
    <w:p w:rsidR="009907D5" w:rsidRDefault="009907D5" w:rsidP="008F3ACE">
      <w:pPr>
        <w:widowControl/>
        <w:numPr>
          <w:ilvl w:val="12"/>
          <w:numId w:val="0"/>
        </w:numPr>
        <w:rPr>
          <w:sz w:val="24"/>
          <w:szCs w:val="24"/>
        </w:rPr>
      </w:pPr>
      <w:r>
        <w:rPr>
          <w:sz w:val="24"/>
          <w:szCs w:val="24"/>
        </w:rPr>
        <w:tab/>
        <w:t>All affected sources under the Clean Air Act Amendments of 1990 are required to submit permit applications and to respond to other collections under this ICR, according to the same parameters (with the exception of operators of new units of 25 MW or less, who may receive an exemption from the Acid Rain Program requirements if they qualify)</w:t>
      </w:r>
      <w:r w:rsidR="00CE3ABF">
        <w:rPr>
          <w:sz w:val="24"/>
          <w:szCs w:val="24"/>
        </w:rPr>
        <w:t xml:space="preserve">. </w:t>
      </w:r>
      <w:r>
        <w:rPr>
          <w:sz w:val="24"/>
          <w:szCs w:val="24"/>
        </w:rPr>
        <w:t>Retired units may also be exempted from some reporting requirements.</w:t>
      </w:r>
    </w:p>
    <w:p w:rsidR="009907D5" w:rsidRDefault="009907D5" w:rsidP="008F3ACE">
      <w:pPr>
        <w:widowControl/>
        <w:numPr>
          <w:ilvl w:val="12"/>
          <w:numId w:val="0"/>
        </w:numPr>
        <w:rPr>
          <w:sz w:val="24"/>
          <w:szCs w:val="24"/>
        </w:rPr>
      </w:pPr>
    </w:p>
    <w:p w:rsidR="009907D5" w:rsidRDefault="009907D5" w:rsidP="008F3ACE">
      <w:pPr>
        <w:widowControl/>
        <w:numPr>
          <w:ilvl w:val="12"/>
          <w:numId w:val="0"/>
        </w:numPr>
        <w:rPr>
          <w:sz w:val="24"/>
          <w:szCs w:val="24"/>
        </w:rPr>
      </w:pPr>
      <w:r>
        <w:rPr>
          <w:sz w:val="24"/>
          <w:szCs w:val="24"/>
        </w:rPr>
        <w:tab/>
        <w:t>The use of standardized forms will enable small entities to understand and complete permit application submissions without the level of staffing which would be necessary in the absence of such forms.</w:t>
      </w:r>
    </w:p>
    <w:p w:rsidR="009907D5" w:rsidRDefault="009907D5" w:rsidP="008F3ACE">
      <w:pPr>
        <w:widowControl/>
        <w:numPr>
          <w:ilvl w:val="12"/>
          <w:numId w:val="0"/>
        </w:numPr>
        <w:rPr>
          <w:sz w:val="24"/>
          <w:szCs w:val="24"/>
        </w:rPr>
      </w:pPr>
    </w:p>
    <w:p w:rsidR="009907D5" w:rsidRDefault="009907D5" w:rsidP="008F3ACE">
      <w:pPr>
        <w:widowControl/>
        <w:numPr>
          <w:ilvl w:val="12"/>
          <w:numId w:val="0"/>
        </w:numPr>
        <w:rPr>
          <w:sz w:val="24"/>
          <w:szCs w:val="24"/>
        </w:rPr>
      </w:pPr>
      <w:r>
        <w:rPr>
          <w:sz w:val="24"/>
          <w:szCs w:val="24"/>
        </w:rPr>
        <w:tab/>
        <w:t xml:space="preserve">In the January 11, 1993 final Acid Rain Core Rules, EPA provided for a conditional exemption from the emissions reduction, permitting, and emissions monitoring requirements of the Acid Rain Program for new units having a nameplate capacity of 25 MW or less that burn fuels with a sulfur content no greater than 0.05 percent by weight, because of the high cost of monitoring emissions from these sources and the </w:t>
      </w:r>
      <w:r>
        <w:rPr>
          <w:i/>
          <w:iCs/>
          <w:sz w:val="24"/>
          <w:szCs w:val="24"/>
        </w:rPr>
        <w:t>de minimis</w:t>
      </w:r>
      <w:r>
        <w:rPr>
          <w:sz w:val="24"/>
          <w:szCs w:val="24"/>
        </w:rPr>
        <w:t xml:space="preserve"> nature of their emissions.</w:t>
      </w:r>
    </w:p>
    <w:p w:rsidR="009907D5" w:rsidRDefault="009907D5" w:rsidP="008F3ACE">
      <w:pPr>
        <w:widowControl/>
        <w:numPr>
          <w:ilvl w:val="12"/>
          <w:numId w:val="0"/>
        </w:numPr>
        <w:rPr>
          <w:sz w:val="24"/>
          <w:szCs w:val="24"/>
        </w:rPr>
      </w:pPr>
    </w:p>
    <w:p w:rsidR="009907D5" w:rsidRDefault="009907D5" w:rsidP="008F3ACE">
      <w:pPr>
        <w:widowControl/>
        <w:numPr>
          <w:ilvl w:val="12"/>
          <w:numId w:val="0"/>
        </w:numPr>
        <w:rPr>
          <w:sz w:val="24"/>
          <w:szCs w:val="24"/>
        </w:rPr>
      </w:pPr>
      <w:r>
        <w:rPr>
          <w:sz w:val="24"/>
          <w:szCs w:val="24"/>
        </w:rPr>
        <w:tab/>
        <w:t>The Part 75 rule revisions also create an additional small unit exception</w:t>
      </w:r>
      <w:r w:rsidR="00CE3ABF">
        <w:rPr>
          <w:sz w:val="24"/>
          <w:szCs w:val="24"/>
        </w:rPr>
        <w:t xml:space="preserve">. </w:t>
      </w:r>
      <w:r>
        <w:rPr>
          <w:sz w:val="24"/>
          <w:szCs w:val="24"/>
        </w:rPr>
        <w:t>This exception incorporates optional reduced monitoring, quality assurance, and reporting requirements into Part 75 for units that combust gas and/or fuel oil and that have low levels of mass emissions (referred to as</w:t>
      </w:r>
      <w:r w:rsidR="000E1060">
        <w:rPr>
          <w:sz w:val="24"/>
          <w:szCs w:val="24"/>
        </w:rPr>
        <w:t xml:space="preserve"> low mass emissions (LME) units</w:t>
      </w:r>
      <w:r w:rsidR="00CE3ABF">
        <w:rPr>
          <w:sz w:val="24"/>
          <w:szCs w:val="24"/>
        </w:rPr>
        <w:t xml:space="preserve">. </w:t>
      </w:r>
      <w:r>
        <w:rPr>
          <w:sz w:val="24"/>
          <w:szCs w:val="24"/>
        </w:rPr>
        <w:t>Originally, EPA required that LME units emit no more than 25 tons of SO</w:t>
      </w:r>
      <w:r>
        <w:rPr>
          <w:sz w:val="24"/>
          <w:szCs w:val="24"/>
          <w:vertAlign w:val="subscript"/>
        </w:rPr>
        <w:t>2</w:t>
      </w:r>
      <w:r>
        <w:rPr>
          <w:sz w:val="24"/>
          <w:szCs w:val="24"/>
        </w:rPr>
        <w:t xml:space="preserve"> and no more than 50 tons of </w:t>
      </w:r>
      <w:proofErr w:type="spellStart"/>
      <w:r>
        <w:rPr>
          <w:sz w:val="24"/>
          <w:szCs w:val="24"/>
        </w:rPr>
        <w:t>NO</w:t>
      </w:r>
      <w:r>
        <w:rPr>
          <w:sz w:val="24"/>
          <w:szCs w:val="24"/>
          <w:vertAlign w:val="subscript"/>
        </w:rPr>
        <w:t>x</w:t>
      </w:r>
      <w:proofErr w:type="spellEnd"/>
      <w:r>
        <w:rPr>
          <w:sz w:val="24"/>
          <w:szCs w:val="24"/>
        </w:rPr>
        <w:t xml:space="preserve"> annually, and that they calculate no more than 25 tons of SO</w:t>
      </w:r>
      <w:r>
        <w:rPr>
          <w:sz w:val="24"/>
          <w:szCs w:val="24"/>
          <w:vertAlign w:val="subscript"/>
        </w:rPr>
        <w:t>2</w:t>
      </w:r>
      <w:r>
        <w:rPr>
          <w:sz w:val="24"/>
          <w:szCs w:val="24"/>
        </w:rPr>
        <w:t xml:space="preserve"> and no more than 50 tons of </w:t>
      </w:r>
      <w:proofErr w:type="spellStart"/>
      <w:r>
        <w:rPr>
          <w:sz w:val="24"/>
          <w:szCs w:val="24"/>
        </w:rPr>
        <w:t>NO</w:t>
      </w:r>
      <w:r>
        <w:rPr>
          <w:sz w:val="24"/>
          <w:szCs w:val="24"/>
          <w:vertAlign w:val="subscript"/>
        </w:rPr>
        <w:t>x</w:t>
      </w:r>
      <w:proofErr w:type="spellEnd"/>
      <w:r>
        <w:rPr>
          <w:sz w:val="24"/>
          <w:szCs w:val="24"/>
        </w:rPr>
        <w:t xml:space="preserve"> annually based on required procedures for calculating and reporting emissions</w:t>
      </w:r>
      <w:r w:rsidR="00CE3ABF">
        <w:rPr>
          <w:sz w:val="24"/>
          <w:szCs w:val="24"/>
        </w:rPr>
        <w:t xml:space="preserve">. </w:t>
      </w:r>
      <w:r>
        <w:rPr>
          <w:sz w:val="24"/>
          <w:szCs w:val="24"/>
        </w:rPr>
        <w:t xml:space="preserve">As part of the 2002 Part 75 revisions, EPA has increased the </w:t>
      </w:r>
      <w:proofErr w:type="spellStart"/>
      <w:r>
        <w:rPr>
          <w:sz w:val="24"/>
          <w:szCs w:val="24"/>
        </w:rPr>
        <w:t>NO</w:t>
      </w:r>
      <w:r>
        <w:rPr>
          <w:sz w:val="24"/>
          <w:szCs w:val="24"/>
          <w:vertAlign w:val="subscript"/>
        </w:rPr>
        <w:t>x</w:t>
      </w:r>
      <w:proofErr w:type="spellEnd"/>
      <w:r>
        <w:rPr>
          <w:sz w:val="24"/>
          <w:szCs w:val="24"/>
        </w:rPr>
        <w:t xml:space="preserve"> threshold to &lt;</w:t>
      </w:r>
      <w:r w:rsidR="000E1060">
        <w:rPr>
          <w:sz w:val="24"/>
          <w:szCs w:val="24"/>
        </w:rPr>
        <w:t xml:space="preserve"> </w:t>
      </w:r>
      <w:r>
        <w:rPr>
          <w:sz w:val="24"/>
          <w:szCs w:val="24"/>
        </w:rPr>
        <w:t xml:space="preserve">100 tons per year (and, for units that are subject to the </w:t>
      </w:r>
      <w:proofErr w:type="spellStart"/>
      <w:r>
        <w:rPr>
          <w:sz w:val="24"/>
          <w:szCs w:val="24"/>
        </w:rPr>
        <w:t>NO</w:t>
      </w:r>
      <w:r>
        <w:rPr>
          <w:sz w:val="24"/>
          <w:szCs w:val="24"/>
          <w:vertAlign w:val="subscript"/>
        </w:rPr>
        <w:t>x</w:t>
      </w:r>
      <w:proofErr w:type="spellEnd"/>
      <w:r>
        <w:rPr>
          <w:sz w:val="24"/>
          <w:szCs w:val="24"/>
        </w:rPr>
        <w:t xml:space="preserve"> SIP Call, no more than 50 tons per ozone season)</w:t>
      </w:r>
      <w:r w:rsidR="00CE3ABF">
        <w:rPr>
          <w:sz w:val="24"/>
          <w:szCs w:val="24"/>
        </w:rPr>
        <w:t xml:space="preserve">. </w:t>
      </w:r>
      <w:r>
        <w:rPr>
          <w:sz w:val="24"/>
          <w:szCs w:val="24"/>
        </w:rPr>
        <w:t xml:space="preserve">Qualifying LME units are no longer required to keep monitoring equipment </w:t>
      </w:r>
      <w:r>
        <w:rPr>
          <w:sz w:val="24"/>
          <w:szCs w:val="24"/>
        </w:rPr>
        <w:lastRenderedPageBreak/>
        <w:t>installed on (or conduct sulfur-in-fuel sampling for) low mass emissions units, nor are they required to perform quality assurance or quality control tests</w:t>
      </w:r>
      <w:r w:rsidR="00CE3ABF">
        <w:rPr>
          <w:sz w:val="24"/>
          <w:szCs w:val="24"/>
        </w:rPr>
        <w:t xml:space="preserve">. </w:t>
      </w:r>
      <w:r>
        <w:rPr>
          <w:sz w:val="24"/>
          <w:szCs w:val="24"/>
        </w:rPr>
        <w:t>Moreover, emissions reporting requirements are significantly simplified for these units.</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Even if a gas- or oil-fired unit does not qualify for the LME provisions, Part 75 allows gas</w:t>
      </w:r>
      <w:r w:rsidR="000E1060">
        <w:rPr>
          <w:sz w:val="24"/>
          <w:szCs w:val="24"/>
        </w:rPr>
        <w:t>-</w:t>
      </w:r>
      <w:r>
        <w:rPr>
          <w:sz w:val="24"/>
          <w:szCs w:val="24"/>
        </w:rPr>
        <w:t xml:space="preserve"> and oil-fired units to use methods other than continuous emission monitoring systems (CEMS)</w:t>
      </w:r>
      <w:r w:rsidR="00CE3ABF">
        <w:rPr>
          <w:sz w:val="24"/>
          <w:szCs w:val="24"/>
        </w:rPr>
        <w:t xml:space="preserve">. </w:t>
      </w:r>
      <w:r>
        <w:rPr>
          <w:sz w:val="24"/>
          <w:szCs w:val="24"/>
        </w:rPr>
        <w:t>The 1999 Part 75 revisions significantly reduced the costs and burdens associated with fuel sampling and QA activities for these non-CEMS methods</w:t>
      </w:r>
      <w:r w:rsidR="00CE3ABF">
        <w:rPr>
          <w:sz w:val="24"/>
          <w:szCs w:val="24"/>
        </w:rPr>
        <w:t xml:space="preserve">. </w:t>
      </w:r>
      <w:r>
        <w:rPr>
          <w:sz w:val="24"/>
          <w:szCs w:val="24"/>
        </w:rPr>
        <w:t>As discussed in the Regulatory Impact Analysis (RIA) of the final Acid Rain Implementation Regulations (October 19, 1992), smaller utilities are more likely to be dependent on these oil- and gas-fired units, especially very small utilities (see p</w:t>
      </w:r>
      <w:r w:rsidR="00562093">
        <w:rPr>
          <w:sz w:val="24"/>
          <w:szCs w:val="24"/>
        </w:rPr>
        <w:t xml:space="preserve">. </w:t>
      </w:r>
      <w:r w:rsidR="00562561">
        <w:rPr>
          <w:sz w:val="24"/>
          <w:szCs w:val="24"/>
        </w:rPr>
        <w:t xml:space="preserve">5 – </w:t>
      </w:r>
      <w:r>
        <w:rPr>
          <w:sz w:val="24"/>
          <w:szCs w:val="24"/>
        </w:rPr>
        <w:t>14 of that RIA document).</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Further reductions in requirements aimed specifically for small entities are limited because of the statutory requirements that all affected units use CEMS (or an equivalent method) to record and report emissions data for Title IV purposes.</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561">
      <w:pPr>
        <w:widowControl/>
        <w:numPr>
          <w:ilvl w:val="12"/>
          <w:numId w:val="0"/>
        </w:numPr>
        <w:ind w:left="360"/>
        <w:rPr>
          <w:sz w:val="24"/>
          <w:szCs w:val="24"/>
        </w:rPr>
      </w:pPr>
      <w:r>
        <w:rPr>
          <w:b/>
          <w:bCs/>
          <w:sz w:val="24"/>
          <w:szCs w:val="24"/>
        </w:rPr>
        <w:t>5.4</w:t>
      </w:r>
      <w:r w:rsidR="00562561">
        <w:rPr>
          <w:b/>
          <w:bCs/>
          <w:sz w:val="24"/>
          <w:szCs w:val="24"/>
        </w:rPr>
        <w:t xml:space="preserve">  </w:t>
      </w:r>
      <w:r>
        <w:rPr>
          <w:b/>
          <w:bCs/>
          <w:sz w:val="24"/>
          <w:szCs w:val="24"/>
        </w:rPr>
        <w:t>Collection Schedule</w:t>
      </w:r>
    </w:p>
    <w:p w:rsidR="009907D5" w:rsidRDefault="009907D5" w:rsidP="00562561">
      <w:pPr>
        <w:widowControl/>
        <w:numPr>
          <w:ilvl w:val="12"/>
          <w:numId w:val="0"/>
        </w:numPr>
        <w:rPr>
          <w:b/>
          <w:bCs/>
          <w:sz w:val="24"/>
          <w:szCs w:val="24"/>
        </w:rPr>
      </w:pPr>
    </w:p>
    <w:p w:rsidR="00562093" w:rsidRDefault="00562561" w:rsidP="00562561">
      <w:pPr>
        <w:widowControl/>
        <w:numPr>
          <w:ilvl w:val="12"/>
          <w:numId w:val="0"/>
        </w:numPr>
        <w:ind w:left="720"/>
        <w:rPr>
          <w:sz w:val="24"/>
          <w:szCs w:val="24"/>
        </w:rPr>
      </w:pPr>
      <w:r>
        <w:rPr>
          <w:b/>
          <w:bCs/>
          <w:sz w:val="24"/>
          <w:szCs w:val="24"/>
        </w:rPr>
        <w:t xml:space="preserve">5.4.1  </w:t>
      </w:r>
      <w:r w:rsidR="009907D5">
        <w:rPr>
          <w:b/>
          <w:bCs/>
          <w:sz w:val="24"/>
          <w:szCs w:val="24"/>
        </w:rPr>
        <w:t>Allowance Transactions</w:t>
      </w:r>
    </w:p>
    <w:p w:rsidR="00562093" w:rsidRDefault="00562093" w:rsidP="00562561">
      <w:pPr>
        <w:widowControl/>
        <w:numPr>
          <w:ilvl w:val="12"/>
          <w:numId w:val="0"/>
        </w:numPr>
        <w:rPr>
          <w:sz w:val="24"/>
          <w:szCs w:val="24"/>
        </w:rPr>
      </w:pPr>
    </w:p>
    <w:p w:rsidR="009907D5" w:rsidRDefault="009907D5" w:rsidP="00562561">
      <w:pPr>
        <w:widowControl/>
        <w:numPr>
          <w:ilvl w:val="12"/>
          <w:numId w:val="0"/>
        </w:numPr>
        <w:rPr>
          <w:sz w:val="24"/>
          <w:szCs w:val="24"/>
        </w:rPr>
      </w:pPr>
      <w:r>
        <w:rPr>
          <w:sz w:val="24"/>
          <w:szCs w:val="24"/>
        </w:rPr>
        <w:tab/>
        <w:t>There is no specific collection schedule associated with allowance transactions.</w:t>
      </w:r>
    </w:p>
    <w:p w:rsidR="009907D5" w:rsidRDefault="009907D5" w:rsidP="00562561">
      <w:pPr>
        <w:widowControl/>
        <w:numPr>
          <w:ilvl w:val="12"/>
          <w:numId w:val="0"/>
        </w:numPr>
        <w:rPr>
          <w:sz w:val="24"/>
          <w:szCs w:val="24"/>
        </w:rPr>
      </w:pPr>
    </w:p>
    <w:p w:rsidR="009907D5" w:rsidRDefault="00562561" w:rsidP="00674ADB">
      <w:pPr>
        <w:keepNext/>
        <w:widowControl/>
        <w:numPr>
          <w:ilvl w:val="12"/>
          <w:numId w:val="0"/>
        </w:numPr>
        <w:ind w:left="720"/>
        <w:rPr>
          <w:b/>
          <w:bCs/>
          <w:sz w:val="24"/>
          <w:szCs w:val="24"/>
        </w:rPr>
      </w:pPr>
      <w:r>
        <w:rPr>
          <w:b/>
          <w:bCs/>
          <w:sz w:val="24"/>
          <w:szCs w:val="24"/>
        </w:rPr>
        <w:t>5.4.</w:t>
      </w:r>
      <w:r w:rsidR="002D0CCF">
        <w:rPr>
          <w:b/>
          <w:bCs/>
          <w:sz w:val="24"/>
          <w:szCs w:val="24"/>
        </w:rPr>
        <w:t xml:space="preserve">2  </w:t>
      </w:r>
      <w:r w:rsidR="009907D5">
        <w:rPr>
          <w:b/>
          <w:bCs/>
          <w:sz w:val="24"/>
          <w:szCs w:val="24"/>
        </w:rPr>
        <w:t>Permits</w:t>
      </w:r>
    </w:p>
    <w:p w:rsidR="00562093" w:rsidRDefault="00562093" w:rsidP="00674ADB">
      <w:pPr>
        <w:keepNext/>
        <w:widowControl/>
        <w:numPr>
          <w:ilvl w:val="12"/>
          <w:numId w:val="0"/>
        </w:numPr>
        <w:rPr>
          <w:sz w:val="24"/>
          <w:szCs w:val="24"/>
        </w:rPr>
      </w:pPr>
    </w:p>
    <w:p w:rsidR="009907D5" w:rsidRDefault="009907D5" w:rsidP="00674ADB">
      <w:pPr>
        <w:keepNext/>
        <w:widowControl/>
        <w:numPr>
          <w:ilvl w:val="12"/>
          <w:numId w:val="0"/>
        </w:numPr>
        <w:rPr>
          <w:sz w:val="24"/>
          <w:szCs w:val="24"/>
        </w:rPr>
      </w:pPr>
      <w:r>
        <w:rPr>
          <w:sz w:val="24"/>
          <w:szCs w:val="24"/>
        </w:rPr>
        <w:tab/>
        <w:t>In general, each Acid Rain permit is effective for five years</w:t>
      </w:r>
      <w:r w:rsidR="00CE3ABF">
        <w:rPr>
          <w:sz w:val="24"/>
          <w:szCs w:val="24"/>
        </w:rPr>
        <w:t xml:space="preserve">. </w:t>
      </w:r>
      <w:r>
        <w:rPr>
          <w:sz w:val="24"/>
          <w:szCs w:val="24"/>
        </w:rPr>
        <w:t>Revisions to the permit may be submitted at any time</w:t>
      </w:r>
      <w:r w:rsidR="00562093">
        <w:rPr>
          <w:sz w:val="24"/>
          <w:szCs w:val="24"/>
        </w:rPr>
        <w:t xml:space="preserve">.  </w:t>
      </w:r>
    </w:p>
    <w:p w:rsidR="009907D5" w:rsidRDefault="009907D5" w:rsidP="00674ADB">
      <w:pPr>
        <w:keepNext/>
        <w:widowControl/>
        <w:numPr>
          <w:ilvl w:val="12"/>
          <w:numId w:val="0"/>
        </w:numPr>
        <w:rPr>
          <w:sz w:val="24"/>
          <w:szCs w:val="24"/>
        </w:rPr>
      </w:pPr>
    </w:p>
    <w:p w:rsidR="009907D5" w:rsidRDefault="00562561" w:rsidP="00562561">
      <w:pPr>
        <w:widowControl/>
        <w:numPr>
          <w:ilvl w:val="12"/>
          <w:numId w:val="0"/>
        </w:numPr>
        <w:ind w:left="720"/>
        <w:rPr>
          <w:b/>
          <w:bCs/>
          <w:sz w:val="24"/>
          <w:szCs w:val="24"/>
        </w:rPr>
      </w:pPr>
      <w:r>
        <w:rPr>
          <w:b/>
          <w:bCs/>
          <w:sz w:val="24"/>
          <w:szCs w:val="24"/>
        </w:rPr>
        <w:t>5.4.</w:t>
      </w:r>
      <w:r w:rsidR="002D0CCF">
        <w:rPr>
          <w:b/>
          <w:bCs/>
          <w:sz w:val="24"/>
          <w:szCs w:val="24"/>
        </w:rPr>
        <w:t xml:space="preserve">3  </w:t>
      </w:r>
      <w:r w:rsidR="009907D5">
        <w:rPr>
          <w:b/>
          <w:bCs/>
          <w:sz w:val="24"/>
          <w:szCs w:val="24"/>
        </w:rPr>
        <w:t>Emissions Monitoring</w:t>
      </w:r>
    </w:p>
    <w:p w:rsidR="00562093" w:rsidRDefault="00562093" w:rsidP="00562561">
      <w:pPr>
        <w:widowControl/>
        <w:numPr>
          <w:ilvl w:val="12"/>
          <w:numId w:val="0"/>
        </w:numPr>
        <w:rPr>
          <w:sz w:val="24"/>
          <w:szCs w:val="24"/>
        </w:rPr>
      </w:pPr>
    </w:p>
    <w:p w:rsidR="009907D5" w:rsidRDefault="009907D5" w:rsidP="00562561">
      <w:pPr>
        <w:widowControl/>
        <w:numPr>
          <w:ilvl w:val="12"/>
          <w:numId w:val="0"/>
        </w:numPr>
        <w:rPr>
          <w:sz w:val="24"/>
          <w:szCs w:val="24"/>
        </w:rPr>
      </w:pPr>
      <w:r>
        <w:rPr>
          <w:sz w:val="24"/>
          <w:szCs w:val="24"/>
        </w:rPr>
        <w:tab/>
        <w:t>Monitoring plans must be submitted only once, although certain elements of the monitoring plan are submitted (and updated as necessary) routinely as part of the XML format</w:t>
      </w:r>
      <w:r w:rsidR="00CE3ABF">
        <w:rPr>
          <w:sz w:val="24"/>
          <w:szCs w:val="24"/>
        </w:rPr>
        <w:t xml:space="preserve">. </w:t>
      </w:r>
      <w:r>
        <w:rPr>
          <w:sz w:val="24"/>
          <w:szCs w:val="24"/>
        </w:rPr>
        <w:t>Only new units will have to apply for certification during the 20</w:t>
      </w:r>
      <w:r w:rsidR="00B21EC7">
        <w:rPr>
          <w:sz w:val="24"/>
          <w:szCs w:val="24"/>
        </w:rPr>
        <w:t>13</w:t>
      </w:r>
      <w:r>
        <w:rPr>
          <w:sz w:val="24"/>
          <w:szCs w:val="24"/>
        </w:rPr>
        <w:t xml:space="preserve"> through 20</w:t>
      </w:r>
      <w:r w:rsidR="00B21EC7">
        <w:rPr>
          <w:sz w:val="24"/>
          <w:szCs w:val="24"/>
        </w:rPr>
        <w:t>15</w:t>
      </w:r>
      <w:r>
        <w:rPr>
          <w:sz w:val="24"/>
          <w:szCs w:val="24"/>
        </w:rPr>
        <w:t xml:space="preserve"> time period</w:t>
      </w:r>
      <w:r w:rsidR="00CE3ABF">
        <w:rPr>
          <w:sz w:val="24"/>
          <w:szCs w:val="24"/>
        </w:rPr>
        <w:t xml:space="preserve">. </w:t>
      </w:r>
      <w:r>
        <w:rPr>
          <w:sz w:val="24"/>
          <w:szCs w:val="24"/>
        </w:rPr>
        <w:t>While some monitors will undergo changes which will require an application for recertification, there is no set schedule for recertification.</w:t>
      </w:r>
    </w:p>
    <w:p w:rsidR="009907D5" w:rsidRDefault="009907D5" w:rsidP="00562561">
      <w:pPr>
        <w:widowControl/>
        <w:numPr>
          <w:ilvl w:val="12"/>
          <w:numId w:val="0"/>
        </w:numPr>
        <w:rPr>
          <w:sz w:val="24"/>
          <w:szCs w:val="24"/>
        </w:rPr>
      </w:pPr>
    </w:p>
    <w:p w:rsidR="009907D5" w:rsidRDefault="009907D5" w:rsidP="007060A3">
      <w:pPr>
        <w:widowControl/>
        <w:numPr>
          <w:ilvl w:val="12"/>
          <w:numId w:val="0"/>
        </w:numPr>
        <w:rPr>
          <w:sz w:val="24"/>
          <w:szCs w:val="24"/>
        </w:rPr>
      </w:pPr>
      <w:r>
        <w:rPr>
          <w:sz w:val="24"/>
          <w:szCs w:val="24"/>
        </w:rPr>
        <w:tab/>
        <w:t>Quarterly reports are due for each quarter during the life of this information collection request</w:t>
      </w:r>
      <w:r w:rsidR="00CE3ABF">
        <w:rPr>
          <w:sz w:val="24"/>
          <w:szCs w:val="24"/>
        </w:rPr>
        <w:t xml:space="preserve">. </w:t>
      </w:r>
      <w:r>
        <w:rPr>
          <w:sz w:val="24"/>
          <w:szCs w:val="24"/>
        </w:rPr>
        <w:t>In addition, EPA has provided for notifications to the Agency for semi-annual or annual quality assurance testing and for situations where a unit will have a revised certification deadline (for example, notifications of unit start-up for new units).</w:t>
      </w:r>
    </w:p>
    <w:p w:rsidR="009907D5" w:rsidRDefault="009907D5" w:rsidP="007060A3">
      <w:pPr>
        <w:widowControl/>
        <w:numPr>
          <w:ilvl w:val="12"/>
          <w:numId w:val="0"/>
        </w:numPr>
        <w:rPr>
          <w:sz w:val="24"/>
          <w:szCs w:val="24"/>
        </w:rPr>
      </w:pPr>
    </w:p>
    <w:p w:rsidR="009907D5" w:rsidRDefault="007060A3" w:rsidP="007060A3">
      <w:pPr>
        <w:keepNext/>
        <w:widowControl/>
        <w:numPr>
          <w:ilvl w:val="12"/>
          <w:numId w:val="0"/>
        </w:numPr>
        <w:ind w:left="720"/>
        <w:rPr>
          <w:b/>
          <w:bCs/>
          <w:sz w:val="24"/>
          <w:szCs w:val="24"/>
        </w:rPr>
      </w:pPr>
      <w:r>
        <w:rPr>
          <w:b/>
          <w:bCs/>
          <w:sz w:val="24"/>
          <w:szCs w:val="24"/>
        </w:rPr>
        <w:lastRenderedPageBreak/>
        <w:t>5.4.</w:t>
      </w:r>
      <w:r w:rsidR="002D0CCF">
        <w:rPr>
          <w:b/>
          <w:bCs/>
          <w:sz w:val="24"/>
          <w:szCs w:val="24"/>
        </w:rPr>
        <w:t xml:space="preserve">4  </w:t>
      </w:r>
      <w:r w:rsidR="009907D5">
        <w:rPr>
          <w:b/>
          <w:bCs/>
          <w:sz w:val="24"/>
          <w:szCs w:val="24"/>
        </w:rPr>
        <w:t>Auctions</w:t>
      </w:r>
    </w:p>
    <w:p w:rsidR="00562093" w:rsidRDefault="00562093" w:rsidP="007060A3">
      <w:pPr>
        <w:keepNext/>
        <w:widowControl/>
        <w:numPr>
          <w:ilvl w:val="12"/>
          <w:numId w:val="0"/>
        </w:numPr>
        <w:rPr>
          <w:sz w:val="24"/>
          <w:szCs w:val="24"/>
        </w:rPr>
      </w:pPr>
    </w:p>
    <w:p w:rsidR="009907D5" w:rsidRDefault="009907D5" w:rsidP="007060A3">
      <w:pPr>
        <w:keepNext/>
        <w:widowControl/>
        <w:numPr>
          <w:ilvl w:val="12"/>
          <w:numId w:val="0"/>
        </w:numPr>
        <w:rPr>
          <w:sz w:val="24"/>
          <w:szCs w:val="24"/>
        </w:rPr>
      </w:pPr>
      <w:r>
        <w:rPr>
          <w:sz w:val="24"/>
          <w:szCs w:val="24"/>
        </w:rPr>
        <w:tab/>
        <w:t>The spot and advance auctions are currently held before March 31 of each year</w:t>
      </w:r>
      <w:r w:rsidR="00CE3ABF">
        <w:rPr>
          <w:sz w:val="24"/>
          <w:szCs w:val="24"/>
        </w:rPr>
        <w:t xml:space="preserve">. </w:t>
      </w:r>
      <w:r>
        <w:rPr>
          <w:sz w:val="24"/>
          <w:szCs w:val="24"/>
        </w:rPr>
        <w:t>The cutoff date for submission of bids is only a few days prior to the auction in order to limit the time EPA holds the bidders</w:t>
      </w:r>
      <w:r w:rsidR="00A90381">
        <w:rPr>
          <w:sz w:val="24"/>
          <w:szCs w:val="24"/>
        </w:rPr>
        <w:t>'</w:t>
      </w:r>
      <w:r>
        <w:rPr>
          <w:sz w:val="24"/>
          <w:szCs w:val="24"/>
        </w:rPr>
        <w:t xml:space="preserve"> money.</w:t>
      </w:r>
    </w:p>
    <w:p w:rsidR="009907D5" w:rsidRDefault="009907D5" w:rsidP="007060A3">
      <w:pPr>
        <w:widowControl/>
        <w:numPr>
          <w:ilvl w:val="12"/>
          <w:numId w:val="0"/>
        </w:numPr>
        <w:rPr>
          <w:sz w:val="24"/>
          <w:szCs w:val="24"/>
        </w:rPr>
      </w:pPr>
    </w:p>
    <w:p w:rsidR="009907D5" w:rsidRDefault="007060A3" w:rsidP="007060A3">
      <w:pPr>
        <w:widowControl/>
        <w:numPr>
          <w:ilvl w:val="12"/>
          <w:numId w:val="0"/>
        </w:numPr>
        <w:ind w:left="720"/>
        <w:rPr>
          <w:b/>
          <w:bCs/>
          <w:sz w:val="24"/>
          <w:szCs w:val="24"/>
        </w:rPr>
      </w:pPr>
      <w:r>
        <w:rPr>
          <w:b/>
          <w:bCs/>
          <w:sz w:val="24"/>
          <w:szCs w:val="24"/>
        </w:rPr>
        <w:t>5.4.</w:t>
      </w:r>
      <w:r w:rsidR="002D0CCF">
        <w:rPr>
          <w:b/>
          <w:bCs/>
          <w:sz w:val="24"/>
          <w:szCs w:val="24"/>
        </w:rPr>
        <w:t xml:space="preserve">5  </w:t>
      </w:r>
      <w:r w:rsidR="009907D5">
        <w:rPr>
          <w:b/>
          <w:bCs/>
          <w:sz w:val="24"/>
          <w:szCs w:val="24"/>
        </w:rPr>
        <w:t>Opt-in</w:t>
      </w:r>
    </w:p>
    <w:p w:rsidR="00562093" w:rsidRDefault="00562093" w:rsidP="007060A3">
      <w:pPr>
        <w:widowControl/>
        <w:numPr>
          <w:ilvl w:val="12"/>
          <w:numId w:val="0"/>
        </w:numPr>
        <w:rPr>
          <w:sz w:val="24"/>
          <w:szCs w:val="24"/>
        </w:rPr>
      </w:pPr>
    </w:p>
    <w:p w:rsidR="009907D5" w:rsidRDefault="009907D5" w:rsidP="007060A3">
      <w:pPr>
        <w:widowControl/>
        <w:numPr>
          <w:ilvl w:val="12"/>
          <w:numId w:val="0"/>
        </w:numPr>
        <w:rPr>
          <w:sz w:val="24"/>
          <w:szCs w:val="24"/>
        </w:rPr>
      </w:pPr>
      <w:r>
        <w:rPr>
          <w:sz w:val="24"/>
          <w:szCs w:val="24"/>
        </w:rPr>
        <w:tab/>
        <w:t>Opting in to the allowance program requires just one information collection (although monitoring information for affected sources must be collected quarterly)</w:t>
      </w:r>
      <w:r w:rsidR="00CE3ABF">
        <w:rPr>
          <w:sz w:val="24"/>
          <w:szCs w:val="24"/>
        </w:rPr>
        <w:t xml:space="preserve">. </w:t>
      </w:r>
      <w:r>
        <w:rPr>
          <w:sz w:val="24"/>
          <w:szCs w:val="24"/>
        </w:rPr>
        <w:t>Opt-in permit applications may be submitted to EPA and the permitting authority at any time</w:t>
      </w:r>
      <w:r w:rsidR="00CE3ABF">
        <w:rPr>
          <w:sz w:val="24"/>
          <w:szCs w:val="24"/>
        </w:rPr>
        <w:t xml:space="preserve">. </w:t>
      </w:r>
      <w:r>
        <w:rPr>
          <w:sz w:val="24"/>
          <w:szCs w:val="24"/>
        </w:rPr>
        <w:t>Permits must be renewed at that time, and every five years thereafter</w:t>
      </w:r>
      <w:r w:rsidR="00CE3ABF">
        <w:rPr>
          <w:sz w:val="24"/>
          <w:szCs w:val="24"/>
        </w:rPr>
        <w:t xml:space="preserve">. </w:t>
      </w:r>
      <w:r>
        <w:rPr>
          <w:sz w:val="24"/>
          <w:szCs w:val="24"/>
        </w:rPr>
        <w:t>Revisions to the permit may be submitted at any time.</w:t>
      </w:r>
    </w:p>
    <w:p w:rsidR="009907D5" w:rsidRDefault="009907D5" w:rsidP="007060A3">
      <w:pPr>
        <w:widowControl/>
        <w:numPr>
          <w:ilvl w:val="12"/>
          <w:numId w:val="0"/>
        </w:numPr>
        <w:rPr>
          <w:sz w:val="24"/>
          <w:szCs w:val="24"/>
        </w:rPr>
      </w:pPr>
    </w:p>
    <w:p w:rsidR="009907D5" w:rsidRDefault="009907D5" w:rsidP="007060A3">
      <w:pPr>
        <w:widowControl/>
        <w:numPr>
          <w:ilvl w:val="12"/>
          <w:numId w:val="0"/>
        </w:numPr>
        <w:rPr>
          <w:sz w:val="24"/>
          <w:szCs w:val="24"/>
        </w:rPr>
      </w:pPr>
      <w:r>
        <w:rPr>
          <w:sz w:val="24"/>
          <w:szCs w:val="24"/>
        </w:rPr>
        <w:tab/>
        <w:t>Monitoring plans must be submitted only once, at the time the opt-in permit application is submitted</w:t>
      </w:r>
      <w:r w:rsidR="00CE3ABF">
        <w:rPr>
          <w:sz w:val="24"/>
          <w:szCs w:val="24"/>
        </w:rPr>
        <w:t xml:space="preserve">. </w:t>
      </w:r>
      <w:r>
        <w:rPr>
          <w:sz w:val="24"/>
          <w:szCs w:val="24"/>
        </w:rPr>
        <w:t>The data upon which EPA will base its certification of each emissions monitor may be submitted after the source receives a draft opt-in permit, but must be submitted before the source may be designated an affected source</w:t>
      </w:r>
      <w:r w:rsidR="00CE3ABF">
        <w:rPr>
          <w:sz w:val="24"/>
          <w:szCs w:val="24"/>
        </w:rPr>
        <w:t xml:space="preserve">. </w:t>
      </w:r>
      <w:r>
        <w:rPr>
          <w:sz w:val="24"/>
          <w:szCs w:val="24"/>
        </w:rPr>
        <w:t>(Monitors must be installed, certified by EPA, and operating before the source may be designated an affected source.</w:t>
      </w:r>
      <w:r w:rsidR="00CE3ABF">
        <w:rPr>
          <w:sz w:val="24"/>
          <w:szCs w:val="24"/>
        </w:rPr>
        <w:t xml:space="preserve">) </w:t>
      </w:r>
      <w:r>
        <w:rPr>
          <w:sz w:val="24"/>
          <w:szCs w:val="24"/>
        </w:rPr>
        <w:t>Emissions data to meet reporting requirements are collected quarterly, 30 days after the end of each calendar quarter, beginning at the end of the first quarter in which the source becomes an affected source.</w:t>
      </w:r>
    </w:p>
    <w:p w:rsidR="009907D5" w:rsidRDefault="009907D5" w:rsidP="007060A3">
      <w:pPr>
        <w:widowControl/>
        <w:numPr>
          <w:ilvl w:val="12"/>
          <w:numId w:val="0"/>
        </w:numPr>
        <w:rPr>
          <w:sz w:val="24"/>
          <w:szCs w:val="24"/>
        </w:rPr>
      </w:pPr>
    </w:p>
    <w:p w:rsidR="009907D5" w:rsidRDefault="009907D5" w:rsidP="007060A3">
      <w:pPr>
        <w:widowControl/>
        <w:numPr>
          <w:ilvl w:val="12"/>
          <w:numId w:val="0"/>
        </w:numPr>
        <w:rPr>
          <w:sz w:val="24"/>
          <w:szCs w:val="24"/>
        </w:rPr>
      </w:pPr>
      <w:r>
        <w:rPr>
          <w:sz w:val="24"/>
          <w:szCs w:val="24"/>
        </w:rPr>
        <w:tab/>
        <w:t>Compliance reports must be sent annually</w:t>
      </w:r>
      <w:r w:rsidR="00CE3ABF">
        <w:rPr>
          <w:sz w:val="24"/>
          <w:szCs w:val="24"/>
        </w:rPr>
        <w:t xml:space="preserve">. </w:t>
      </w:r>
      <w:r>
        <w:rPr>
          <w:sz w:val="24"/>
          <w:szCs w:val="24"/>
        </w:rPr>
        <w:t>Allowance transfer information must be submitted once for each transfer; a certificate of representation needs to be submitted only once, at the same time as the opt-in application.</w:t>
      </w:r>
    </w:p>
    <w:p w:rsidR="009907D5" w:rsidRDefault="009907D5" w:rsidP="007060A3">
      <w:pPr>
        <w:widowControl/>
        <w:numPr>
          <w:ilvl w:val="12"/>
          <w:numId w:val="0"/>
        </w:numPr>
        <w:rPr>
          <w:sz w:val="24"/>
          <w:szCs w:val="24"/>
        </w:rPr>
      </w:pPr>
    </w:p>
    <w:p w:rsidR="009907D5" w:rsidRDefault="007060A3" w:rsidP="007060A3">
      <w:pPr>
        <w:widowControl/>
        <w:numPr>
          <w:ilvl w:val="12"/>
          <w:numId w:val="0"/>
        </w:numPr>
        <w:rPr>
          <w:sz w:val="24"/>
          <w:szCs w:val="24"/>
        </w:rPr>
      </w:pPr>
      <w:r>
        <w:rPr>
          <w:sz w:val="24"/>
          <w:szCs w:val="24"/>
        </w:rPr>
        <w:tab/>
      </w:r>
      <w:r w:rsidR="009907D5">
        <w:rPr>
          <w:sz w:val="24"/>
          <w:szCs w:val="24"/>
        </w:rPr>
        <w:t>Withdrawing requires only one information collection.</w:t>
      </w:r>
    </w:p>
    <w:p w:rsidR="009907D5" w:rsidRDefault="009907D5" w:rsidP="007060A3">
      <w:pPr>
        <w:widowControl/>
        <w:numPr>
          <w:ilvl w:val="12"/>
          <w:numId w:val="0"/>
        </w:numPr>
        <w:rPr>
          <w:sz w:val="24"/>
          <w:szCs w:val="24"/>
        </w:rPr>
      </w:pPr>
    </w:p>
    <w:p w:rsidR="009907D5" w:rsidRDefault="007060A3" w:rsidP="007060A3">
      <w:pPr>
        <w:widowControl/>
        <w:numPr>
          <w:ilvl w:val="12"/>
          <w:numId w:val="0"/>
        </w:numPr>
        <w:ind w:left="720"/>
        <w:rPr>
          <w:b/>
          <w:bCs/>
          <w:sz w:val="24"/>
          <w:szCs w:val="24"/>
        </w:rPr>
      </w:pPr>
      <w:r>
        <w:rPr>
          <w:b/>
          <w:bCs/>
          <w:sz w:val="24"/>
          <w:szCs w:val="24"/>
        </w:rPr>
        <w:t>5.4.</w:t>
      </w:r>
      <w:r w:rsidR="009525D1">
        <w:rPr>
          <w:b/>
          <w:bCs/>
          <w:sz w:val="24"/>
          <w:szCs w:val="24"/>
        </w:rPr>
        <w:t xml:space="preserve">6  </w:t>
      </w:r>
      <w:proofErr w:type="spellStart"/>
      <w:r w:rsidR="009907D5">
        <w:rPr>
          <w:b/>
          <w:bCs/>
          <w:sz w:val="24"/>
          <w:szCs w:val="24"/>
        </w:rPr>
        <w:t>NO</w:t>
      </w:r>
      <w:r w:rsidR="00562093">
        <w:rPr>
          <w:b/>
          <w:bCs/>
          <w:sz w:val="24"/>
          <w:szCs w:val="24"/>
          <w:vertAlign w:val="subscript"/>
        </w:rPr>
        <w:t>x</w:t>
      </w:r>
      <w:proofErr w:type="spellEnd"/>
      <w:r w:rsidR="009907D5">
        <w:rPr>
          <w:b/>
          <w:bCs/>
          <w:sz w:val="24"/>
          <w:szCs w:val="24"/>
        </w:rPr>
        <w:t xml:space="preserve"> Permitting</w:t>
      </w:r>
    </w:p>
    <w:p w:rsidR="00562093" w:rsidRDefault="00562093" w:rsidP="007060A3">
      <w:pPr>
        <w:widowControl/>
        <w:numPr>
          <w:ilvl w:val="12"/>
          <w:numId w:val="0"/>
        </w:numPr>
        <w:rPr>
          <w:sz w:val="24"/>
          <w:szCs w:val="24"/>
        </w:rPr>
      </w:pPr>
    </w:p>
    <w:p w:rsidR="009907D5" w:rsidRDefault="009907D5" w:rsidP="007060A3">
      <w:pPr>
        <w:widowControl/>
        <w:numPr>
          <w:ilvl w:val="12"/>
          <w:numId w:val="0"/>
        </w:numPr>
        <w:rPr>
          <w:sz w:val="24"/>
          <w:szCs w:val="24"/>
        </w:rPr>
      </w:pPr>
      <w:r>
        <w:rPr>
          <w:sz w:val="24"/>
          <w:szCs w:val="24"/>
        </w:rPr>
        <w:tab/>
        <w:t>Acid Rain permits, including</w:t>
      </w:r>
      <w:r>
        <w:rPr>
          <w:sz w:val="24"/>
          <w:szCs w:val="24"/>
          <w:vertAlign w:val="subscript"/>
        </w:rPr>
        <w:t xml:space="preserve"> </w:t>
      </w:r>
      <w:proofErr w:type="spellStart"/>
      <w:r>
        <w:rPr>
          <w:sz w:val="24"/>
          <w:szCs w:val="24"/>
        </w:rPr>
        <w:t>NO</w:t>
      </w:r>
      <w:r w:rsidR="00562093">
        <w:rPr>
          <w:sz w:val="24"/>
          <w:szCs w:val="24"/>
          <w:vertAlign w:val="subscript"/>
        </w:rPr>
        <w:t>x</w:t>
      </w:r>
      <w:proofErr w:type="spellEnd"/>
      <w:r>
        <w:rPr>
          <w:sz w:val="24"/>
          <w:szCs w:val="24"/>
        </w:rPr>
        <w:t xml:space="preserve"> compliance plans must be renewed every five years.</w:t>
      </w:r>
    </w:p>
    <w:p w:rsidR="009907D5" w:rsidRDefault="009907D5" w:rsidP="007060A3">
      <w:pPr>
        <w:widowControl/>
        <w:numPr>
          <w:ilvl w:val="12"/>
          <w:numId w:val="0"/>
        </w:numPr>
        <w:rPr>
          <w:sz w:val="24"/>
          <w:szCs w:val="24"/>
        </w:rPr>
      </w:pPr>
    </w:p>
    <w:p w:rsidR="002D0CCF" w:rsidRDefault="002D0CCF" w:rsidP="007060A3">
      <w:pPr>
        <w:widowControl/>
        <w:numPr>
          <w:ilvl w:val="12"/>
          <w:numId w:val="0"/>
        </w:numPr>
        <w:rPr>
          <w:b/>
          <w:bCs/>
          <w:sz w:val="24"/>
          <w:szCs w:val="24"/>
        </w:rPr>
      </w:pPr>
    </w:p>
    <w:p w:rsidR="009907D5" w:rsidRDefault="007060A3" w:rsidP="007060A3">
      <w:pPr>
        <w:widowControl/>
        <w:numPr>
          <w:ilvl w:val="12"/>
          <w:numId w:val="0"/>
        </w:numPr>
        <w:rPr>
          <w:sz w:val="24"/>
          <w:szCs w:val="24"/>
        </w:rPr>
      </w:pPr>
      <w:r>
        <w:rPr>
          <w:b/>
          <w:bCs/>
          <w:sz w:val="24"/>
          <w:szCs w:val="24"/>
        </w:rPr>
        <w:t xml:space="preserve">6.  </w:t>
      </w:r>
      <w:r w:rsidR="009907D5">
        <w:rPr>
          <w:b/>
          <w:bCs/>
          <w:sz w:val="24"/>
          <w:szCs w:val="24"/>
        </w:rPr>
        <w:t>ESTIMATING THE BURDEN AND COST OF COLLECTIONS</w:t>
      </w:r>
    </w:p>
    <w:p w:rsidR="009907D5" w:rsidRDefault="009907D5" w:rsidP="007060A3">
      <w:pPr>
        <w:widowControl/>
        <w:numPr>
          <w:ilvl w:val="12"/>
          <w:numId w:val="0"/>
        </w:numPr>
        <w:rPr>
          <w:sz w:val="24"/>
          <w:szCs w:val="24"/>
        </w:rPr>
      </w:pPr>
    </w:p>
    <w:p w:rsidR="009907D5" w:rsidRDefault="009907D5" w:rsidP="007060A3">
      <w:pPr>
        <w:widowControl/>
        <w:numPr>
          <w:ilvl w:val="12"/>
          <w:numId w:val="0"/>
        </w:numPr>
        <w:rPr>
          <w:sz w:val="24"/>
          <w:szCs w:val="24"/>
        </w:rPr>
      </w:pPr>
      <w:r>
        <w:rPr>
          <w:sz w:val="24"/>
          <w:szCs w:val="24"/>
        </w:rPr>
        <w:tab/>
        <w:t>This section estimates the burden and cost of (1) tracking and transferring allowances, (2) obtaining and issuing permits, (</w:t>
      </w:r>
      <w:r w:rsidR="00B21EC7">
        <w:rPr>
          <w:sz w:val="24"/>
          <w:szCs w:val="24"/>
        </w:rPr>
        <w:t>3</w:t>
      </w:r>
      <w:r>
        <w:rPr>
          <w:sz w:val="24"/>
          <w:szCs w:val="24"/>
        </w:rPr>
        <w:t xml:space="preserve">) submitting monitoring plans, obtaining certification of each monitor, and recording and reporting data from CEM systems, </w:t>
      </w:r>
      <w:r w:rsidR="00154832">
        <w:rPr>
          <w:sz w:val="24"/>
          <w:szCs w:val="24"/>
        </w:rPr>
        <w:t xml:space="preserve">auditing of the CEMS </w:t>
      </w:r>
      <w:r>
        <w:rPr>
          <w:sz w:val="24"/>
          <w:szCs w:val="24"/>
        </w:rPr>
        <w:t>(</w:t>
      </w:r>
      <w:r w:rsidR="00B21EC7">
        <w:rPr>
          <w:sz w:val="24"/>
          <w:szCs w:val="24"/>
        </w:rPr>
        <w:t>4</w:t>
      </w:r>
      <w:r>
        <w:rPr>
          <w:sz w:val="24"/>
          <w:szCs w:val="24"/>
        </w:rPr>
        <w:t>) the auction program, (</w:t>
      </w:r>
      <w:r w:rsidR="00B21EC7">
        <w:rPr>
          <w:sz w:val="24"/>
          <w:szCs w:val="24"/>
        </w:rPr>
        <w:t>5</w:t>
      </w:r>
      <w:r>
        <w:rPr>
          <w:sz w:val="24"/>
          <w:szCs w:val="24"/>
        </w:rPr>
        <w:t>) the opt-in program, and (</w:t>
      </w:r>
      <w:r w:rsidR="00B21EC7">
        <w:rPr>
          <w:sz w:val="24"/>
          <w:szCs w:val="24"/>
        </w:rPr>
        <w:t>6</w:t>
      </w:r>
      <w:r>
        <w:rPr>
          <w:sz w:val="24"/>
          <w:szCs w:val="24"/>
        </w:rPr>
        <w:t xml:space="preserve">) </w:t>
      </w:r>
      <w:proofErr w:type="spellStart"/>
      <w:r>
        <w:rPr>
          <w:sz w:val="24"/>
          <w:szCs w:val="24"/>
        </w:rPr>
        <w:t>NO</w:t>
      </w:r>
      <w:r w:rsidR="00562093">
        <w:rPr>
          <w:sz w:val="24"/>
          <w:szCs w:val="24"/>
          <w:vertAlign w:val="subscript"/>
        </w:rPr>
        <w:t>x</w:t>
      </w:r>
      <w:proofErr w:type="spellEnd"/>
      <w:r>
        <w:rPr>
          <w:sz w:val="24"/>
          <w:szCs w:val="24"/>
        </w:rPr>
        <w:t xml:space="preserve"> permitting</w:t>
      </w:r>
      <w:r w:rsidR="00562093">
        <w:rPr>
          <w:sz w:val="24"/>
          <w:szCs w:val="24"/>
        </w:rPr>
        <w:t xml:space="preserve">.  </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BE22E8">
      <w:pPr>
        <w:widowControl/>
        <w:numPr>
          <w:ilvl w:val="12"/>
          <w:numId w:val="0"/>
        </w:numPr>
        <w:rPr>
          <w:sz w:val="24"/>
          <w:szCs w:val="24"/>
        </w:rPr>
      </w:pPr>
      <w:r>
        <w:rPr>
          <w:sz w:val="24"/>
          <w:szCs w:val="24"/>
        </w:rPr>
        <w:tab/>
        <w:t>First, assumptions regarding allowance transfers are presented, followed by the annual respondent and Agency burden and cost estimates associated with allowance transfers</w:t>
      </w:r>
      <w:r w:rsidR="00CE3ABF">
        <w:rPr>
          <w:sz w:val="24"/>
          <w:szCs w:val="24"/>
        </w:rPr>
        <w:t xml:space="preserve">. </w:t>
      </w:r>
      <w:r>
        <w:rPr>
          <w:sz w:val="24"/>
          <w:szCs w:val="24"/>
        </w:rPr>
        <w:t>Subsequent sections separately address  permits, emissions monitoring,</w:t>
      </w:r>
      <w:r w:rsidR="00154832">
        <w:rPr>
          <w:sz w:val="24"/>
          <w:szCs w:val="24"/>
        </w:rPr>
        <w:t xml:space="preserve"> auditing of CEMS, </w:t>
      </w:r>
      <w:r>
        <w:rPr>
          <w:sz w:val="24"/>
          <w:szCs w:val="24"/>
        </w:rPr>
        <w:t xml:space="preserve"> auctions, opt-in, and </w:t>
      </w:r>
      <w:proofErr w:type="spellStart"/>
      <w:r>
        <w:rPr>
          <w:sz w:val="24"/>
          <w:szCs w:val="24"/>
        </w:rPr>
        <w:t>NO</w:t>
      </w:r>
      <w:r w:rsidR="00562093">
        <w:rPr>
          <w:sz w:val="24"/>
          <w:szCs w:val="24"/>
          <w:vertAlign w:val="subscript"/>
        </w:rPr>
        <w:t>x</w:t>
      </w:r>
      <w:proofErr w:type="spellEnd"/>
      <w:r>
        <w:rPr>
          <w:sz w:val="24"/>
          <w:szCs w:val="24"/>
        </w:rPr>
        <w:t xml:space="preserve"> permitting</w:t>
      </w:r>
      <w:r w:rsidR="00CE3ABF">
        <w:rPr>
          <w:sz w:val="24"/>
          <w:szCs w:val="24"/>
        </w:rPr>
        <w:t xml:space="preserve">. </w:t>
      </w:r>
      <w:r>
        <w:rPr>
          <w:sz w:val="24"/>
          <w:szCs w:val="24"/>
        </w:rPr>
        <w:t xml:space="preserve">Finally, aggregate </w:t>
      </w:r>
      <w:r>
        <w:rPr>
          <w:sz w:val="24"/>
          <w:szCs w:val="24"/>
        </w:rPr>
        <w:lastRenderedPageBreak/>
        <w:t>annual burden hour and cost estimates to respondents and to EPA for collections covered by this ICR are presented.</w:t>
      </w:r>
    </w:p>
    <w:p w:rsidR="007143F8" w:rsidRDefault="007143F8" w:rsidP="00BE22E8">
      <w:pPr>
        <w:widowControl/>
        <w:numPr>
          <w:ilvl w:val="12"/>
          <w:numId w:val="0"/>
        </w:numPr>
        <w:rPr>
          <w:sz w:val="24"/>
          <w:szCs w:val="24"/>
        </w:rPr>
      </w:pPr>
    </w:p>
    <w:p w:rsidR="009907D5" w:rsidRPr="00B31B77" w:rsidRDefault="009907D5" w:rsidP="00BE22E8">
      <w:pPr>
        <w:widowControl/>
        <w:numPr>
          <w:ilvl w:val="12"/>
          <w:numId w:val="0"/>
        </w:numPr>
        <w:rPr>
          <w:sz w:val="24"/>
          <w:szCs w:val="24"/>
          <w:u w:val="single"/>
        </w:rPr>
      </w:pPr>
      <w:r w:rsidRPr="00B31B77">
        <w:rPr>
          <w:iCs/>
          <w:sz w:val="24"/>
          <w:szCs w:val="24"/>
          <w:u w:val="single"/>
        </w:rPr>
        <w:t>Estimating Labor Costs</w:t>
      </w:r>
    </w:p>
    <w:p w:rsidR="009907D5" w:rsidRDefault="009907D5" w:rsidP="00BE22E8">
      <w:pPr>
        <w:widowControl/>
        <w:numPr>
          <w:ilvl w:val="12"/>
          <w:numId w:val="0"/>
        </w:numPr>
        <w:rPr>
          <w:sz w:val="24"/>
          <w:szCs w:val="24"/>
        </w:rPr>
      </w:pPr>
    </w:p>
    <w:p w:rsidR="009907D5" w:rsidRDefault="009907D5" w:rsidP="00BE22E8">
      <w:pPr>
        <w:widowControl/>
        <w:numPr>
          <w:ilvl w:val="12"/>
          <w:numId w:val="0"/>
        </w:numPr>
        <w:rPr>
          <w:sz w:val="24"/>
          <w:szCs w:val="24"/>
        </w:rPr>
      </w:pPr>
      <w:r>
        <w:rPr>
          <w:sz w:val="24"/>
          <w:szCs w:val="24"/>
        </w:rPr>
        <w:tab/>
        <w:t>To calculate labor costs, EPA used the following amounts</w:t>
      </w:r>
      <w:r w:rsidR="00562093">
        <w:rPr>
          <w:sz w:val="24"/>
          <w:szCs w:val="24"/>
        </w:rPr>
        <w:t xml:space="preserve">:  </w:t>
      </w:r>
      <w:r>
        <w:rPr>
          <w:sz w:val="24"/>
          <w:szCs w:val="24"/>
        </w:rPr>
        <w:t>$</w:t>
      </w:r>
      <w:r w:rsidR="0029102C">
        <w:rPr>
          <w:sz w:val="24"/>
          <w:szCs w:val="24"/>
        </w:rPr>
        <w:t>102.17</w:t>
      </w:r>
      <w:r>
        <w:rPr>
          <w:sz w:val="24"/>
          <w:szCs w:val="24"/>
        </w:rPr>
        <w:t xml:space="preserve"> per hour for managers, $</w:t>
      </w:r>
      <w:r w:rsidR="0029102C">
        <w:rPr>
          <w:sz w:val="24"/>
          <w:szCs w:val="24"/>
        </w:rPr>
        <w:t>66.03</w:t>
      </w:r>
      <w:r>
        <w:rPr>
          <w:sz w:val="24"/>
          <w:szCs w:val="24"/>
        </w:rPr>
        <w:t xml:space="preserve"> per hour for technicians and clerical workers</w:t>
      </w:r>
      <w:r w:rsidR="00CE3ABF">
        <w:rPr>
          <w:sz w:val="24"/>
          <w:szCs w:val="24"/>
        </w:rPr>
        <w:t xml:space="preserve">. </w:t>
      </w:r>
      <w:r>
        <w:rPr>
          <w:sz w:val="24"/>
          <w:szCs w:val="24"/>
        </w:rPr>
        <w:t xml:space="preserve">As noted above, these rates were derived by using the rates from the </w:t>
      </w:r>
      <w:r w:rsidR="0029102C">
        <w:rPr>
          <w:sz w:val="24"/>
          <w:szCs w:val="24"/>
        </w:rPr>
        <w:t xml:space="preserve">most recent CAIR </w:t>
      </w:r>
      <w:r>
        <w:rPr>
          <w:sz w:val="24"/>
          <w:szCs w:val="24"/>
        </w:rPr>
        <w:t xml:space="preserve">ICR and updating them with the Employment Cost Index to </w:t>
      </w:r>
      <w:r w:rsidR="0029102C">
        <w:rPr>
          <w:sz w:val="24"/>
          <w:szCs w:val="24"/>
        </w:rPr>
        <w:t>July 2012</w:t>
      </w:r>
      <w:r>
        <w:rPr>
          <w:sz w:val="24"/>
          <w:szCs w:val="24"/>
        </w:rPr>
        <w:t>.</w:t>
      </w:r>
    </w:p>
    <w:p w:rsidR="009907D5" w:rsidRDefault="009907D5" w:rsidP="00BE22E8">
      <w:pPr>
        <w:widowControl/>
        <w:numPr>
          <w:ilvl w:val="12"/>
          <w:numId w:val="0"/>
        </w:numPr>
        <w:rPr>
          <w:sz w:val="24"/>
          <w:szCs w:val="24"/>
        </w:rPr>
      </w:pPr>
    </w:p>
    <w:p w:rsidR="009907D5" w:rsidRDefault="009907D5" w:rsidP="00BE22E8">
      <w:pPr>
        <w:widowControl/>
        <w:numPr>
          <w:ilvl w:val="12"/>
          <w:numId w:val="0"/>
        </w:numPr>
        <w:rPr>
          <w:sz w:val="24"/>
          <w:szCs w:val="24"/>
        </w:rPr>
      </w:pPr>
      <w:r>
        <w:rPr>
          <w:sz w:val="24"/>
          <w:szCs w:val="24"/>
        </w:rPr>
        <w:tab/>
        <w:t>The labor cost to the Agency, $</w:t>
      </w:r>
      <w:r w:rsidR="0029102C">
        <w:rPr>
          <w:sz w:val="24"/>
          <w:szCs w:val="24"/>
        </w:rPr>
        <w:t>49.49</w:t>
      </w:r>
      <w:r>
        <w:rPr>
          <w:sz w:val="24"/>
          <w:szCs w:val="24"/>
        </w:rPr>
        <w:t xml:space="preserve"> per hour, was also derived by updating the rate from the </w:t>
      </w:r>
      <w:r w:rsidR="00560B58">
        <w:rPr>
          <w:sz w:val="24"/>
          <w:szCs w:val="24"/>
        </w:rPr>
        <w:t>most recent CAIR</w:t>
      </w:r>
      <w:r>
        <w:rPr>
          <w:sz w:val="24"/>
          <w:szCs w:val="24"/>
        </w:rPr>
        <w:t xml:space="preserve"> ICR.</w:t>
      </w:r>
    </w:p>
    <w:p w:rsidR="009907D5" w:rsidRDefault="009907D5" w:rsidP="00BE22E8">
      <w:pPr>
        <w:widowControl/>
        <w:numPr>
          <w:ilvl w:val="12"/>
          <w:numId w:val="0"/>
        </w:numPr>
        <w:rPr>
          <w:sz w:val="24"/>
          <w:szCs w:val="24"/>
        </w:rPr>
      </w:pPr>
    </w:p>
    <w:p w:rsidR="009907D5" w:rsidRDefault="00BE22E8" w:rsidP="00BE22E8">
      <w:pPr>
        <w:widowControl/>
        <w:numPr>
          <w:ilvl w:val="12"/>
          <w:numId w:val="0"/>
        </w:numPr>
        <w:ind w:left="360"/>
        <w:rPr>
          <w:sz w:val="24"/>
          <w:szCs w:val="24"/>
        </w:rPr>
      </w:pPr>
      <w:r>
        <w:rPr>
          <w:b/>
          <w:bCs/>
          <w:sz w:val="24"/>
          <w:szCs w:val="24"/>
        </w:rPr>
        <w:t xml:space="preserve">6.1  </w:t>
      </w:r>
      <w:r w:rsidR="009907D5">
        <w:rPr>
          <w:b/>
          <w:bCs/>
          <w:sz w:val="24"/>
          <w:szCs w:val="24"/>
        </w:rPr>
        <w:t>Tracking, Transferring, and Deducting Allowances</w:t>
      </w:r>
    </w:p>
    <w:p w:rsidR="009907D5" w:rsidRDefault="009907D5" w:rsidP="00BE22E8">
      <w:pPr>
        <w:widowControl/>
        <w:numPr>
          <w:ilvl w:val="12"/>
          <w:numId w:val="0"/>
        </w:numPr>
        <w:rPr>
          <w:sz w:val="24"/>
          <w:szCs w:val="24"/>
        </w:rPr>
      </w:pPr>
    </w:p>
    <w:p w:rsidR="009907D5" w:rsidRDefault="009907D5" w:rsidP="00BE22E8">
      <w:pPr>
        <w:widowControl/>
        <w:numPr>
          <w:ilvl w:val="12"/>
          <w:numId w:val="0"/>
        </w:numPr>
        <w:rPr>
          <w:sz w:val="24"/>
          <w:szCs w:val="24"/>
        </w:rPr>
      </w:pPr>
      <w:r>
        <w:rPr>
          <w:sz w:val="24"/>
          <w:szCs w:val="24"/>
        </w:rPr>
        <w:tab/>
        <w:t>Labor burden and costs for collections associated with tracking and transferring allowances are functions of the number of transfers anticipated</w:t>
      </w:r>
      <w:r w:rsidR="00CE3ABF">
        <w:rPr>
          <w:sz w:val="24"/>
          <w:szCs w:val="24"/>
        </w:rPr>
        <w:t xml:space="preserve">. </w:t>
      </w:r>
      <w:r>
        <w:rPr>
          <w:sz w:val="24"/>
          <w:szCs w:val="24"/>
        </w:rPr>
        <w:t>The 2007</w:t>
      </w:r>
      <w:r w:rsidR="00BE22E8">
        <w:rPr>
          <w:sz w:val="24"/>
          <w:szCs w:val="24"/>
        </w:rPr>
        <w:t xml:space="preserve"> – </w:t>
      </w:r>
      <w:r>
        <w:rPr>
          <w:sz w:val="24"/>
          <w:szCs w:val="24"/>
        </w:rPr>
        <w:t>2009 ARP ICR assumed, based on an average of three units per facility, that the number of privately submitted allowance transfers woul</w:t>
      </w:r>
      <w:r w:rsidR="00BE22E8">
        <w:rPr>
          <w:sz w:val="24"/>
          <w:szCs w:val="24"/>
        </w:rPr>
        <w:t>d be about 1,700 each year (one-</w:t>
      </w:r>
      <w:r>
        <w:rPr>
          <w:sz w:val="24"/>
          <w:szCs w:val="24"/>
        </w:rPr>
        <w:t>third of the 5,200 transfers in a typical prior year)</w:t>
      </w:r>
      <w:r w:rsidR="00CE3ABF">
        <w:rPr>
          <w:sz w:val="24"/>
          <w:szCs w:val="24"/>
        </w:rPr>
        <w:t xml:space="preserve">. </w:t>
      </w:r>
      <w:r>
        <w:rPr>
          <w:sz w:val="24"/>
          <w:szCs w:val="24"/>
        </w:rPr>
        <w:t>This assumption was made because of the Acid Rain Program</w:t>
      </w:r>
      <w:r w:rsidR="00A90381">
        <w:rPr>
          <w:sz w:val="24"/>
          <w:szCs w:val="24"/>
        </w:rPr>
        <w:t>'</w:t>
      </w:r>
      <w:r>
        <w:rPr>
          <w:sz w:val="24"/>
          <w:szCs w:val="24"/>
        </w:rPr>
        <w:t>s 2006 requirement for facility-level, rather than unit-level, compliance</w:t>
      </w:r>
      <w:r w:rsidR="00CE3ABF">
        <w:rPr>
          <w:sz w:val="24"/>
          <w:szCs w:val="24"/>
        </w:rPr>
        <w:t xml:space="preserve">. </w:t>
      </w:r>
      <w:r>
        <w:rPr>
          <w:sz w:val="24"/>
          <w:szCs w:val="24"/>
        </w:rPr>
        <w:t>Transfers to move allowances among the different unit accounts at a facility were no longer needed for compliance purposes</w:t>
      </w:r>
      <w:r w:rsidR="00CE3ABF">
        <w:rPr>
          <w:sz w:val="24"/>
          <w:szCs w:val="24"/>
        </w:rPr>
        <w:t xml:space="preserve">. </w:t>
      </w:r>
      <w:r>
        <w:rPr>
          <w:sz w:val="24"/>
          <w:szCs w:val="24"/>
        </w:rPr>
        <w:t>However, sources transfer allowances for a variety of purposes, and the assumption tha</w:t>
      </w:r>
      <w:r w:rsidR="00BE22E8">
        <w:rPr>
          <w:sz w:val="24"/>
          <w:szCs w:val="24"/>
        </w:rPr>
        <w:t>t transfers would drop by two-</w:t>
      </w:r>
      <w:r>
        <w:rPr>
          <w:sz w:val="24"/>
          <w:szCs w:val="24"/>
        </w:rPr>
        <w:t xml:space="preserve">thirds </w:t>
      </w:r>
      <w:r w:rsidR="00226008">
        <w:rPr>
          <w:sz w:val="24"/>
          <w:szCs w:val="24"/>
        </w:rPr>
        <w:t>over-estimated the impact on the number of tra</w:t>
      </w:r>
      <w:r w:rsidR="00BE22E8">
        <w:rPr>
          <w:sz w:val="24"/>
          <w:szCs w:val="24"/>
        </w:rPr>
        <w:t>nsfers of switching to facility-</w:t>
      </w:r>
      <w:r w:rsidR="00226008">
        <w:rPr>
          <w:sz w:val="24"/>
          <w:szCs w:val="24"/>
        </w:rPr>
        <w:t>level compliance</w:t>
      </w:r>
      <w:r w:rsidR="00CE3ABF">
        <w:rPr>
          <w:sz w:val="24"/>
          <w:szCs w:val="24"/>
        </w:rPr>
        <w:t xml:space="preserve">. </w:t>
      </w:r>
      <w:r>
        <w:rPr>
          <w:sz w:val="24"/>
          <w:szCs w:val="24"/>
        </w:rPr>
        <w:t>Based on number of transfers recorded by EPA in 20</w:t>
      </w:r>
      <w:r w:rsidR="007B2AB1">
        <w:rPr>
          <w:sz w:val="24"/>
          <w:szCs w:val="24"/>
        </w:rPr>
        <w:t>10</w:t>
      </w:r>
      <w:r>
        <w:rPr>
          <w:sz w:val="24"/>
          <w:szCs w:val="24"/>
        </w:rPr>
        <w:t xml:space="preserve"> and 20</w:t>
      </w:r>
      <w:r w:rsidR="007B2AB1">
        <w:rPr>
          <w:sz w:val="24"/>
          <w:szCs w:val="24"/>
        </w:rPr>
        <w:t>11</w:t>
      </w:r>
      <w:r>
        <w:rPr>
          <w:sz w:val="24"/>
          <w:szCs w:val="24"/>
        </w:rPr>
        <w:t xml:space="preserve">, EPA now assumes that about </w:t>
      </w:r>
      <w:r w:rsidR="00712474">
        <w:rPr>
          <w:sz w:val="24"/>
          <w:szCs w:val="24"/>
        </w:rPr>
        <w:t>2,000</w:t>
      </w:r>
      <w:r>
        <w:rPr>
          <w:sz w:val="24"/>
          <w:szCs w:val="24"/>
        </w:rPr>
        <w:t xml:space="preserve"> privately submitted allowance transfers will be made each year, 201</w:t>
      </w:r>
      <w:r w:rsidR="00F4206D">
        <w:rPr>
          <w:sz w:val="24"/>
          <w:szCs w:val="24"/>
        </w:rPr>
        <w:t>3</w:t>
      </w:r>
      <w:r>
        <w:rPr>
          <w:sz w:val="24"/>
          <w:szCs w:val="24"/>
        </w:rPr>
        <w:t xml:space="preserve"> through 201</w:t>
      </w:r>
      <w:r w:rsidR="00F4206D">
        <w:rPr>
          <w:sz w:val="24"/>
          <w:szCs w:val="24"/>
        </w:rPr>
        <w:t>5</w:t>
      </w:r>
      <w:r w:rsidR="00BE22E8">
        <w:rPr>
          <w:sz w:val="24"/>
          <w:szCs w:val="24"/>
        </w:rPr>
        <w:t>.</w:t>
      </w:r>
    </w:p>
    <w:p w:rsidR="009907D5" w:rsidRDefault="009907D5" w:rsidP="00BE22E8">
      <w:pPr>
        <w:widowControl/>
        <w:numPr>
          <w:ilvl w:val="12"/>
          <w:numId w:val="0"/>
        </w:numPr>
        <w:rPr>
          <w:sz w:val="24"/>
          <w:szCs w:val="24"/>
        </w:rPr>
      </w:pPr>
    </w:p>
    <w:p w:rsidR="009907D5" w:rsidRDefault="009907D5" w:rsidP="00BE22E8">
      <w:pPr>
        <w:widowControl/>
        <w:numPr>
          <w:ilvl w:val="12"/>
          <w:numId w:val="0"/>
        </w:numPr>
        <w:rPr>
          <w:sz w:val="24"/>
          <w:szCs w:val="24"/>
        </w:rPr>
      </w:pPr>
      <w:r>
        <w:rPr>
          <w:sz w:val="24"/>
          <w:szCs w:val="24"/>
        </w:rPr>
        <w:tab/>
        <w:t>Affected facilities have the option of identifying specific serial numbered allowances to be deducted by EPA</w:t>
      </w:r>
      <w:r w:rsidR="00CE3ABF">
        <w:rPr>
          <w:sz w:val="24"/>
          <w:szCs w:val="24"/>
        </w:rPr>
        <w:t xml:space="preserve">. </w:t>
      </w:r>
      <w:r>
        <w:rPr>
          <w:sz w:val="24"/>
          <w:szCs w:val="24"/>
        </w:rPr>
        <w:t>Based on past experience, EPA assumes that approximately half of all affected facilities will submit an optional allowance deduction form each year</w:t>
      </w:r>
      <w:r w:rsidR="00CE3ABF">
        <w:rPr>
          <w:sz w:val="24"/>
          <w:szCs w:val="24"/>
        </w:rPr>
        <w:t xml:space="preserve">. </w:t>
      </w:r>
      <w:r>
        <w:rPr>
          <w:sz w:val="24"/>
          <w:szCs w:val="24"/>
        </w:rPr>
        <w:t xml:space="preserve">EPA estimates that an average of </w:t>
      </w:r>
      <w:r w:rsidR="00565D31">
        <w:rPr>
          <w:sz w:val="24"/>
          <w:szCs w:val="24"/>
        </w:rPr>
        <w:t>330</w:t>
      </w:r>
      <w:r>
        <w:rPr>
          <w:sz w:val="24"/>
          <w:szCs w:val="24"/>
        </w:rPr>
        <w:t xml:space="preserve"> facilities will submit the optional deduction forms each year during the period covered by this ICR (</w:t>
      </w:r>
      <w:r w:rsidR="00F4206D">
        <w:rPr>
          <w:sz w:val="24"/>
          <w:szCs w:val="24"/>
        </w:rPr>
        <w:t xml:space="preserve">2013 </w:t>
      </w:r>
      <w:r>
        <w:rPr>
          <w:sz w:val="24"/>
          <w:szCs w:val="24"/>
        </w:rPr>
        <w:t>through 201</w:t>
      </w:r>
      <w:r w:rsidR="00F4206D">
        <w:rPr>
          <w:sz w:val="24"/>
          <w:szCs w:val="24"/>
        </w:rPr>
        <w:t>5</w:t>
      </w:r>
      <w:r>
        <w:rPr>
          <w:sz w:val="24"/>
          <w:szCs w:val="24"/>
        </w:rPr>
        <w:t>).</w:t>
      </w:r>
    </w:p>
    <w:p w:rsidR="009907D5" w:rsidRDefault="009907D5" w:rsidP="00BE22E8">
      <w:pPr>
        <w:widowControl/>
        <w:numPr>
          <w:ilvl w:val="12"/>
          <w:numId w:val="0"/>
        </w:numPr>
        <w:rPr>
          <w:sz w:val="24"/>
          <w:szCs w:val="24"/>
        </w:rPr>
      </w:pPr>
    </w:p>
    <w:p w:rsidR="009907D5" w:rsidRDefault="009907D5" w:rsidP="00674ADB">
      <w:pPr>
        <w:keepNext/>
        <w:widowControl/>
        <w:numPr>
          <w:ilvl w:val="12"/>
          <w:numId w:val="0"/>
        </w:numPr>
        <w:ind w:left="720"/>
        <w:rPr>
          <w:sz w:val="24"/>
          <w:szCs w:val="24"/>
        </w:rPr>
      </w:pPr>
      <w:r>
        <w:rPr>
          <w:b/>
          <w:bCs/>
          <w:sz w:val="24"/>
          <w:szCs w:val="24"/>
        </w:rPr>
        <w:t>6.1.1  Estimate of Respondent Burden and Costs for Transfers and Deductions</w:t>
      </w:r>
      <w:r>
        <w:rPr>
          <w:sz w:val="24"/>
          <w:szCs w:val="24"/>
        </w:rPr>
        <w:t xml:space="preserve"> </w:t>
      </w:r>
    </w:p>
    <w:p w:rsidR="009907D5" w:rsidRDefault="009907D5" w:rsidP="00674ADB">
      <w:pPr>
        <w:keepNext/>
        <w:widowControl/>
        <w:numPr>
          <w:ilvl w:val="12"/>
          <w:numId w:val="0"/>
        </w:numPr>
        <w:rPr>
          <w:sz w:val="24"/>
          <w:szCs w:val="24"/>
        </w:rPr>
      </w:pPr>
    </w:p>
    <w:p w:rsidR="009907D5" w:rsidRDefault="009907D5" w:rsidP="00674ADB">
      <w:pPr>
        <w:keepNext/>
        <w:widowControl/>
        <w:numPr>
          <w:ilvl w:val="12"/>
          <w:numId w:val="0"/>
        </w:numPr>
        <w:rPr>
          <w:sz w:val="24"/>
          <w:szCs w:val="24"/>
        </w:rPr>
      </w:pPr>
      <w:r>
        <w:rPr>
          <w:sz w:val="24"/>
          <w:szCs w:val="24"/>
        </w:rPr>
        <w:tab/>
        <w:t>Exhibit 1 presents the annual burden and costs to participants in allowance transfers and deductions</w:t>
      </w:r>
      <w:r w:rsidR="00CE3ABF">
        <w:rPr>
          <w:sz w:val="24"/>
          <w:szCs w:val="24"/>
        </w:rPr>
        <w:t xml:space="preserve">. </w:t>
      </w:r>
      <w:r>
        <w:rPr>
          <w:sz w:val="24"/>
          <w:szCs w:val="24"/>
        </w:rPr>
        <w:t>Participants that are not affected units are required to negotiate an agreement to designate an authorized account representative and file a new account application; this activity is required only one time, prior to or simultaneous with the participant</w:t>
      </w:r>
      <w:r w:rsidR="00A90381">
        <w:rPr>
          <w:sz w:val="24"/>
          <w:szCs w:val="24"/>
        </w:rPr>
        <w:t>'</w:t>
      </w:r>
      <w:r>
        <w:rPr>
          <w:sz w:val="24"/>
          <w:szCs w:val="24"/>
        </w:rPr>
        <w:t>s first transfer of allowances</w:t>
      </w:r>
      <w:r w:rsidR="00CE3ABF">
        <w:rPr>
          <w:sz w:val="24"/>
          <w:szCs w:val="24"/>
        </w:rPr>
        <w:t xml:space="preserve">. </w:t>
      </w:r>
      <w:r>
        <w:rPr>
          <w:sz w:val="24"/>
          <w:szCs w:val="24"/>
        </w:rPr>
        <w:t>All participants are required to complete and submit allowance transfer information for each transfer of allowances</w:t>
      </w:r>
      <w:r w:rsidR="00CE3ABF">
        <w:rPr>
          <w:sz w:val="24"/>
          <w:szCs w:val="24"/>
        </w:rPr>
        <w:t xml:space="preserve">. </w:t>
      </w:r>
      <w:r w:rsidR="00BE22E8">
        <w:rPr>
          <w:sz w:val="24"/>
          <w:szCs w:val="24"/>
        </w:rPr>
        <w:t>EPA estimates about ten</w:t>
      </w:r>
      <w:r>
        <w:rPr>
          <w:sz w:val="24"/>
          <w:szCs w:val="24"/>
        </w:rPr>
        <w:t xml:space="preserve"> hours to designate an authorized account representative and to</w:t>
      </w:r>
      <w:r w:rsidR="00BE22E8">
        <w:rPr>
          <w:sz w:val="24"/>
          <w:szCs w:val="24"/>
        </w:rPr>
        <w:t xml:space="preserve"> open a general account, about two</w:t>
      </w:r>
      <w:r>
        <w:rPr>
          <w:sz w:val="24"/>
          <w:szCs w:val="24"/>
        </w:rPr>
        <w:t xml:space="preserve"> hours to prepare and submit information for an</w:t>
      </w:r>
      <w:r w:rsidR="00BE22E8">
        <w:rPr>
          <w:sz w:val="24"/>
          <w:szCs w:val="24"/>
        </w:rPr>
        <w:t xml:space="preserve"> allowance transfer, and about three</w:t>
      </w:r>
      <w:r>
        <w:rPr>
          <w:sz w:val="24"/>
          <w:szCs w:val="24"/>
        </w:rPr>
        <w:t xml:space="preserve"> hours to prepare and submit an optional allowance deduction</w:t>
      </w:r>
      <w:r w:rsidR="00562093">
        <w:rPr>
          <w:sz w:val="24"/>
          <w:szCs w:val="24"/>
        </w:rPr>
        <w:t xml:space="preserve">.  </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lastRenderedPageBreak/>
        <w:tab/>
        <w:t xml:space="preserve">Assuming that 55 participants file new general account applications, </w:t>
      </w:r>
      <w:r w:rsidR="00712474">
        <w:rPr>
          <w:sz w:val="24"/>
          <w:szCs w:val="24"/>
        </w:rPr>
        <w:t>2</w:t>
      </w:r>
      <w:r w:rsidR="004E0EE9">
        <w:rPr>
          <w:sz w:val="24"/>
          <w:szCs w:val="24"/>
        </w:rPr>
        <w:t>,</w:t>
      </w:r>
      <w:r w:rsidR="00712474">
        <w:rPr>
          <w:sz w:val="24"/>
          <w:szCs w:val="24"/>
        </w:rPr>
        <w:t>000</w:t>
      </w:r>
      <w:r>
        <w:rPr>
          <w:sz w:val="24"/>
          <w:szCs w:val="24"/>
        </w:rPr>
        <w:t xml:space="preserve"> transfers will be made annually, and </w:t>
      </w:r>
      <w:r w:rsidR="00863F67">
        <w:rPr>
          <w:sz w:val="24"/>
          <w:szCs w:val="24"/>
        </w:rPr>
        <w:t>300</w:t>
      </w:r>
      <w:r w:rsidR="00712474">
        <w:rPr>
          <w:sz w:val="24"/>
          <w:szCs w:val="24"/>
        </w:rPr>
        <w:t xml:space="preserve"> </w:t>
      </w:r>
      <w:r>
        <w:rPr>
          <w:sz w:val="24"/>
          <w:szCs w:val="24"/>
        </w:rPr>
        <w:t xml:space="preserve">deduction forms are submitted, the burden to respondents will be about </w:t>
      </w:r>
      <w:r w:rsidR="00863F67">
        <w:rPr>
          <w:sz w:val="24"/>
          <w:szCs w:val="24"/>
        </w:rPr>
        <w:t>5,880</w:t>
      </w:r>
      <w:r>
        <w:rPr>
          <w:sz w:val="24"/>
          <w:szCs w:val="24"/>
        </w:rPr>
        <w:t xml:space="preserve"> hours annually</w:t>
      </w:r>
      <w:r w:rsidR="00CE3ABF">
        <w:rPr>
          <w:sz w:val="24"/>
          <w:szCs w:val="24"/>
        </w:rPr>
        <w:t xml:space="preserve">. </w:t>
      </w:r>
      <w:r>
        <w:rPr>
          <w:sz w:val="24"/>
          <w:szCs w:val="24"/>
        </w:rPr>
        <w:t>The cost to respondents will be about $</w:t>
      </w:r>
      <w:r w:rsidR="00863F67">
        <w:rPr>
          <w:sz w:val="24"/>
          <w:szCs w:val="24"/>
        </w:rPr>
        <w:t xml:space="preserve">544,455.70 </w:t>
      </w:r>
      <w:r>
        <w:rPr>
          <w:sz w:val="24"/>
          <w:szCs w:val="24"/>
        </w:rPr>
        <w:t>annually.</w:t>
      </w:r>
    </w:p>
    <w:p w:rsidR="00BE22E8" w:rsidRDefault="00BE22E8"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rsidR="009907D5" w:rsidRPr="00BA091F" w:rsidRDefault="00A11546"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Pr>
          <w:sz w:val="24"/>
          <w:szCs w:val="24"/>
        </w:rPr>
        <w:br w:type="page"/>
      </w:r>
      <w:r w:rsidR="009907D5" w:rsidRPr="00BA091F">
        <w:rPr>
          <w:b/>
          <w:sz w:val="24"/>
          <w:szCs w:val="24"/>
        </w:rPr>
        <w:lastRenderedPageBreak/>
        <w:t>EXHIBIT 1</w:t>
      </w:r>
    </w:p>
    <w:p w:rsidR="00BA091F" w:rsidRPr="00BA091F"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BA091F">
        <w:rPr>
          <w:b/>
          <w:sz w:val="24"/>
          <w:szCs w:val="24"/>
        </w:rPr>
        <w:t xml:space="preserve">ANNUAL RESPONDENT BURDEN/COST ESTIMATES FOR </w:t>
      </w:r>
    </w:p>
    <w:p w:rsidR="009907D5" w:rsidRPr="00BA091F"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BA091F">
        <w:rPr>
          <w:b/>
          <w:sz w:val="24"/>
          <w:szCs w:val="24"/>
        </w:rPr>
        <w:t>ALLOWANCE TRANSFERS AND DEDUCTIONS</w:t>
      </w:r>
    </w:p>
    <w:p w:rsidR="00BA091F" w:rsidRDefault="00BA091F"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tbl>
      <w:tblPr>
        <w:tblW w:w="9360" w:type="dxa"/>
        <w:jc w:val="center"/>
        <w:tblLayout w:type="fixed"/>
        <w:tblCellMar>
          <w:top w:w="72" w:type="dxa"/>
          <w:left w:w="72" w:type="dxa"/>
          <w:bottom w:w="72" w:type="dxa"/>
          <w:right w:w="72" w:type="dxa"/>
        </w:tblCellMar>
        <w:tblLook w:val="0000"/>
      </w:tblPr>
      <w:tblGrid>
        <w:gridCol w:w="3240"/>
        <w:gridCol w:w="1710"/>
        <w:gridCol w:w="1440"/>
        <w:gridCol w:w="1620"/>
        <w:gridCol w:w="1350"/>
      </w:tblGrid>
      <w:tr w:rsidR="00477680" w:rsidRPr="00BA091F" w:rsidTr="0064271D">
        <w:trPr>
          <w:jc w:val="center"/>
        </w:trPr>
        <w:tc>
          <w:tcPr>
            <w:tcW w:w="3240" w:type="dxa"/>
            <w:tcBorders>
              <w:top w:val="double" w:sz="6" w:space="0" w:color="auto"/>
              <w:left w:val="double" w:sz="6" w:space="0" w:color="auto"/>
              <w:bottom w:val="single" w:sz="6" w:space="0" w:color="auto"/>
              <w:right w:val="nil"/>
            </w:tcBorders>
            <w:shd w:val="pct10" w:color="auto" w:fill="auto"/>
            <w:vAlign w:val="bottom"/>
          </w:tcPr>
          <w:p w:rsidR="009907D5" w:rsidRPr="00BA091F" w:rsidRDefault="009907D5" w:rsidP="00BA091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BA091F">
              <w:rPr>
                <w:b/>
                <w:sz w:val="22"/>
                <w:szCs w:val="22"/>
              </w:rPr>
              <w:t>Tasks</w:t>
            </w:r>
          </w:p>
        </w:tc>
        <w:tc>
          <w:tcPr>
            <w:tcW w:w="1710" w:type="dxa"/>
            <w:tcBorders>
              <w:top w:val="double" w:sz="6" w:space="0" w:color="auto"/>
              <w:left w:val="single" w:sz="6" w:space="0" w:color="auto"/>
              <w:bottom w:val="single" w:sz="6" w:space="0" w:color="auto"/>
              <w:right w:val="nil"/>
            </w:tcBorders>
            <w:shd w:val="pct10" w:color="auto" w:fill="auto"/>
            <w:vAlign w:val="bottom"/>
          </w:tcPr>
          <w:p w:rsidR="00BA091F" w:rsidRPr="00BA091F" w:rsidRDefault="009907D5" w:rsidP="00BA091F">
            <w:pPr>
              <w:widowControl/>
              <w:numPr>
                <w:ilvl w:val="12"/>
                <w:numId w:val="0"/>
              </w:numPr>
              <w:jc w:val="center"/>
              <w:rPr>
                <w:b/>
                <w:sz w:val="22"/>
                <w:szCs w:val="22"/>
              </w:rPr>
            </w:pPr>
            <w:r w:rsidRPr="00BA091F">
              <w:rPr>
                <w:b/>
                <w:sz w:val="22"/>
                <w:szCs w:val="22"/>
              </w:rPr>
              <w:t>Burden Hours</w:t>
            </w:r>
          </w:p>
          <w:p w:rsidR="009907D5" w:rsidRPr="00BA091F" w:rsidRDefault="009907D5" w:rsidP="00BA091F">
            <w:pPr>
              <w:widowControl/>
              <w:numPr>
                <w:ilvl w:val="12"/>
                <w:numId w:val="0"/>
              </w:numPr>
              <w:jc w:val="center"/>
              <w:rPr>
                <w:b/>
                <w:sz w:val="22"/>
                <w:szCs w:val="22"/>
              </w:rPr>
            </w:pPr>
            <w:r w:rsidRPr="00BA091F">
              <w:rPr>
                <w:b/>
                <w:sz w:val="22"/>
                <w:szCs w:val="22"/>
              </w:rPr>
              <w:t>per Occurrence</w:t>
            </w:r>
          </w:p>
        </w:tc>
        <w:tc>
          <w:tcPr>
            <w:tcW w:w="1440" w:type="dxa"/>
            <w:tcBorders>
              <w:top w:val="double" w:sz="6" w:space="0" w:color="auto"/>
              <w:left w:val="single" w:sz="6" w:space="0" w:color="auto"/>
              <w:bottom w:val="single" w:sz="6" w:space="0" w:color="auto"/>
              <w:right w:val="nil"/>
            </w:tcBorders>
            <w:shd w:val="pct10" w:color="auto" w:fill="auto"/>
            <w:vAlign w:val="bottom"/>
          </w:tcPr>
          <w:p w:rsidR="009907D5" w:rsidRPr="00BA091F" w:rsidRDefault="009907D5" w:rsidP="00BA091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BA091F">
              <w:rPr>
                <w:b/>
                <w:sz w:val="22"/>
                <w:szCs w:val="22"/>
              </w:rPr>
              <w:t xml:space="preserve">Cost per </w:t>
            </w:r>
            <w:proofErr w:type="spellStart"/>
            <w:r w:rsidRPr="00BA091F">
              <w:rPr>
                <w:b/>
                <w:sz w:val="22"/>
                <w:szCs w:val="22"/>
              </w:rPr>
              <w:t>Occurrence</w:t>
            </w:r>
            <w:r w:rsidRPr="00BA091F">
              <w:rPr>
                <w:b/>
                <w:sz w:val="22"/>
                <w:szCs w:val="22"/>
                <w:vertAlign w:val="superscript"/>
              </w:rPr>
              <w:t>a</w:t>
            </w:r>
            <w:proofErr w:type="spellEnd"/>
          </w:p>
        </w:tc>
        <w:tc>
          <w:tcPr>
            <w:tcW w:w="1620" w:type="dxa"/>
            <w:tcBorders>
              <w:top w:val="double" w:sz="6" w:space="0" w:color="auto"/>
              <w:left w:val="single" w:sz="6" w:space="0" w:color="auto"/>
              <w:bottom w:val="single" w:sz="6" w:space="0" w:color="auto"/>
              <w:right w:val="nil"/>
            </w:tcBorders>
            <w:shd w:val="pct10" w:color="auto" w:fill="auto"/>
            <w:vAlign w:val="bottom"/>
          </w:tcPr>
          <w:p w:rsidR="009907D5" w:rsidRPr="0064271D" w:rsidRDefault="009907D5" w:rsidP="00BA091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BA091F">
              <w:rPr>
                <w:b/>
                <w:sz w:val="22"/>
                <w:szCs w:val="22"/>
              </w:rPr>
              <w:t xml:space="preserve">Total </w:t>
            </w:r>
            <w:proofErr w:type="spellStart"/>
            <w:r w:rsidRPr="00BA091F">
              <w:rPr>
                <w:b/>
                <w:sz w:val="22"/>
                <w:szCs w:val="22"/>
              </w:rPr>
              <w:t>Burden</w:t>
            </w:r>
            <w:r w:rsidRPr="00BA091F">
              <w:rPr>
                <w:b/>
                <w:sz w:val="22"/>
                <w:szCs w:val="22"/>
                <w:vertAlign w:val="superscript"/>
              </w:rPr>
              <w:t>b</w:t>
            </w:r>
            <w:proofErr w:type="spellEnd"/>
            <w:r w:rsidR="00A45B03">
              <w:rPr>
                <w:b/>
                <w:sz w:val="22"/>
                <w:szCs w:val="22"/>
              </w:rPr>
              <w:t xml:space="preserve"> (h</w:t>
            </w:r>
            <w:r w:rsidR="0064271D">
              <w:rPr>
                <w:b/>
                <w:sz w:val="22"/>
                <w:szCs w:val="22"/>
              </w:rPr>
              <w:t>ours)</w:t>
            </w:r>
          </w:p>
        </w:tc>
        <w:tc>
          <w:tcPr>
            <w:tcW w:w="1350" w:type="dxa"/>
            <w:tcBorders>
              <w:top w:val="double" w:sz="6" w:space="0" w:color="auto"/>
              <w:left w:val="single" w:sz="6" w:space="0" w:color="auto"/>
              <w:bottom w:val="single" w:sz="6" w:space="0" w:color="auto"/>
              <w:right w:val="double" w:sz="6" w:space="0" w:color="auto"/>
            </w:tcBorders>
            <w:shd w:val="pct10" w:color="auto" w:fill="auto"/>
            <w:vAlign w:val="bottom"/>
          </w:tcPr>
          <w:p w:rsidR="009907D5" w:rsidRPr="00BA091F" w:rsidRDefault="009907D5" w:rsidP="00BA091F">
            <w:pPr>
              <w:widowControl/>
              <w:numPr>
                <w:ilvl w:val="12"/>
                <w:numId w:val="0"/>
              </w:numPr>
              <w:jc w:val="center"/>
              <w:rPr>
                <w:b/>
                <w:sz w:val="22"/>
                <w:szCs w:val="22"/>
              </w:rPr>
            </w:pPr>
            <w:r w:rsidRPr="00BA091F">
              <w:rPr>
                <w:b/>
                <w:sz w:val="22"/>
                <w:szCs w:val="22"/>
              </w:rPr>
              <w:t>Total Cost</w:t>
            </w:r>
          </w:p>
        </w:tc>
      </w:tr>
      <w:tr w:rsidR="00477680" w:rsidRPr="00BA091F" w:rsidTr="0064271D">
        <w:trPr>
          <w:jc w:val="center"/>
        </w:trPr>
        <w:tc>
          <w:tcPr>
            <w:tcW w:w="3240" w:type="dxa"/>
            <w:tcBorders>
              <w:top w:val="single" w:sz="6" w:space="0" w:color="auto"/>
              <w:left w:val="double" w:sz="6" w:space="0" w:color="auto"/>
              <w:bottom w:val="nil"/>
              <w:right w:val="single" w:sz="6" w:space="0" w:color="auto"/>
            </w:tcBorders>
          </w:tcPr>
          <w:p w:rsidR="009907D5" w:rsidRPr="00BA091F" w:rsidRDefault="009907D5" w:rsidP="00BA091F">
            <w:pPr>
              <w:widowControl/>
              <w:numPr>
                <w:ilvl w:val="12"/>
                <w:numId w:val="0"/>
              </w:numPr>
            </w:pPr>
            <w:r w:rsidRPr="00BA091F">
              <w:t>Designate an authorized account representative and file new account application</w:t>
            </w:r>
            <w:r w:rsidR="00BA091F">
              <w:t>.</w:t>
            </w:r>
          </w:p>
        </w:tc>
        <w:tc>
          <w:tcPr>
            <w:tcW w:w="1710" w:type="dxa"/>
            <w:tcBorders>
              <w:top w:val="single" w:sz="6" w:space="0" w:color="auto"/>
              <w:left w:val="single" w:sz="6" w:space="0" w:color="auto"/>
              <w:bottom w:val="nil"/>
              <w:right w:val="single" w:sz="6" w:space="0" w:color="auto"/>
            </w:tcBorders>
          </w:tcPr>
          <w:p w:rsidR="009907D5" w:rsidRPr="00BA091F" w:rsidRDefault="009907D5" w:rsidP="00562093">
            <w:pPr>
              <w:widowControl/>
              <w:numPr>
                <w:ilvl w:val="12"/>
                <w:numId w:val="0"/>
              </w:numPr>
              <w:jc w:val="center"/>
            </w:pPr>
          </w:p>
        </w:tc>
        <w:tc>
          <w:tcPr>
            <w:tcW w:w="1440" w:type="dxa"/>
            <w:tcBorders>
              <w:top w:val="single" w:sz="6" w:space="0" w:color="auto"/>
              <w:left w:val="single" w:sz="6" w:space="0" w:color="auto"/>
              <w:bottom w:val="nil"/>
              <w:right w:val="single" w:sz="6" w:space="0" w:color="auto"/>
            </w:tcBorders>
          </w:tcPr>
          <w:p w:rsidR="009907D5" w:rsidRPr="00BA091F" w:rsidRDefault="009907D5" w:rsidP="00562093">
            <w:pPr>
              <w:widowControl/>
              <w:numPr>
                <w:ilvl w:val="12"/>
                <w:numId w:val="0"/>
              </w:numPr>
              <w:jc w:val="center"/>
            </w:pPr>
          </w:p>
        </w:tc>
        <w:tc>
          <w:tcPr>
            <w:tcW w:w="1620" w:type="dxa"/>
            <w:tcBorders>
              <w:top w:val="single" w:sz="6" w:space="0" w:color="auto"/>
              <w:left w:val="single" w:sz="6" w:space="0" w:color="auto"/>
              <w:bottom w:val="nil"/>
              <w:right w:val="single" w:sz="6" w:space="0" w:color="auto"/>
            </w:tcBorders>
          </w:tcPr>
          <w:p w:rsidR="009907D5" w:rsidRPr="00BA091F" w:rsidRDefault="009907D5" w:rsidP="00562093">
            <w:pPr>
              <w:widowControl/>
              <w:numPr>
                <w:ilvl w:val="12"/>
                <w:numId w:val="0"/>
              </w:numPr>
              <w:jc w:val="center"/>
            </w:pPr>
          </w:p>
        </w:tc>
        <w:tc>
          <w:tcPr>
            <w:tcW w:w="1350" w:type="dxa"/>
            <w:tcBorders>
              <w:top w:val="single" w:sz="6" w:space="0" w:color="auto"/>
              <w:left w:val="single" w:sz="6" w:space="0" w:color="auto"/>
              <w:bottom w:val="nil"/>
              <w:right w:val="double" w:sz="6" w:space="0" w:color="auto"/>
            </w:tcBorders>
          </w:tcPr>
          <w:p w:rsidR="009907D5" w:rsidRPr="00BA091F" w:rsidRDefault="009907D5" w:rsidP="00562093">
            <w:pPr>
              <w:widowControl/>
              <w:numPr>
                <w:ilvl w:val="12"/>
                <w:numId w:val="0"/>
              </w:numPr>
              <w:jc w:val="center"/>
            </w:pPr>
          </w:p>
        </w:tc>
      </w:tr>
      <w:tr w:rsidR="00477680" w:rsidRPr="00BA091F" w:rsidTr="0064271D">
        <w:trPr>
          <w:jc w:val="center"/>
        </w:trPr>
        <w:tc>
          <w:tcPr>
            <w:tcW w:w="3240" w:type="dxa"/>
            <w:tcBorders>
              <w:top w:val="nil"/>
              <w:left w:val="double" w:sz="6" w:space="0" w:color="auto"/>
              <w:bottom w:val="nil"/>
              <w:right w:val="single" w:sz="6" w:space="0" w:color="auto"/>
            </w:tcBorders>
          </w:tcPr>
          <w:p w:rsidR="009907D5" w:rsidRPr="00BA091F" w:rsidRDefault="009907D5" w:rsidP="00BA091F">
            <w:pPr>
              <w:widowControl/>
              <w:numPr>
                <w:ilvl w:val="12"/>
                <w:numId w:val="0"/>
              </w:numPr>
              <w:ind w:left="378"/>
            </w:pPr>
            <w:r w:rsidRPr="00BA091F">
              <w:t>Managerial</w:t>
            </w:r>
            <w:r w:rsidR="00B63804">
              <w:t>.</w:t>
            </w:r>
          </w:p>
        </w:tc>
        <w:tc>
          <w:tcPr>
            <w:tcW w:w="1710" w:type="dxa"/>
            <w:tcBorders>
              <w:top w:val="nil"/>
              <w:left w:val="single" w:sz="6" w:space="0" w:color="auto"/>
              <w:bottom w:val="nil"/>
              <w:right w:val="single" w:sz="6" w:space="0" w:color="auto"/>
            </w:tcBorders>
            <w:vAlign w:val="bottom"/>
          </w:tcPr>
          <w:p w:rsidR="009907D5" w:rsidRPr="00BA091F" w:rsidRDefault="009907D5" w:rsidP="00562093">
            <w:pPr>
              <w:widowControl/>
              <w:numPr>
                <w:ilvl w:val="12"/>
                <w:numId w:val="0"/>
              </w:numPr>
              <w:jc w:val="center"/>
            </w:pPr>
            <w:r w:rsidRPr="00BA091F">
              <w:t>3</w:t>
            </w:r>
          </w:p>
        </w:tc>
        <w:tc>
          <w:tcPr>
            <w:tcW w:w="1440" w:type="dxa"/>
            <w:tcBorders>
              <w:top w:val="nil"/>
              <w:left w:val="single" w:sz="6" w:space="0" w:color="auto"/>
              <w:bottom w:val="nil"/>
              <w:right w:val="single" w:sz="6" w:space="0" w:color="auto"/>
            </w:tcBorders>
          </w:tcPr>
          <w:p w:rsidR="009907D5" w:rsidRPr="00BA091F" w:rsidRDefault="009907D5" w:rsidP="0029102C">
            <w:pPr>
              <w:widowControl/>
              <w:numPr>
                <w:ilvl w:val="12"/>
                <w:numId w:val="0"/>
              </w:numPr>
              <w:jc w:val="center"/>
            </w:pPr>
            <w:r w:rsidRPr="00BA091F">
              <w:t>$</w:t>
            </w:r>
            <w:r w:rsidR="0029102C">
              <w:t>306.51</w:t>
            </w:r>
          </w:p>
        </w:tc>
        <w:tc>
          <w:tcPr>
            <w:tcW w:w="1620" w:type="dxa"/>
            <w:tcBorders>
              <w:top w:val="nil"/>
              <w:left w:val="single" w:sz="6" w:space="0" w:color="auto"/>
              <w:bottom w:val="nil"/>
              <w:right w:val="single" w:sz="6" w:space="0" w:color="auto"/>
            </w:tcBorders>
            <w:vAlign w:val="bottom"/>
          </w:tcPr>
          <w:p w:rsidR="009907D5" w:rsidRPr="00BA091F" w:rsidRDefault="009907D5" w:rsidP="00562093">
            <w:pPr>
              <w:widowControl/>
              <w:numPr>
                <w:ilvl w:val="12"/>
                <w:numId w:val="0"/>
              </w:numPr>
              <w:jc w:val="center"/>
            </w:pPr>
            <w:r w:rsidRPr="00BA091F">
              <w:t>165</w:t>
            </w:r>
          </w:p>
        </w:tc>
        <w:tc>
          <w:tcPr>
            <w:tcW w:w="1350" w:type="dxa"/>
            <w:tcBorders>
              <w:top w:val="nil"/>
              <w:left w:val="single" w:sz="6" w:space="0" w:color="auto"/>
              <w:bottom w:val="nil"/>
              <w:right w:val="double" w:sz="6" w:space="0" w:color="auto"/>
            </w:tcBorders>
          </w:tcPr>
          <w:p w:rsidR="009907D5" w:rsidRPr="00BA091F" w:rsidRDefault="009907D5" w:rsidP="0029102C">
            <w:pPr>
              <w:widowControl/>
              <w:numPr>
                <w:ilvl w:val="12"/>
                <w:numId w:val="0"/>
              </w:numPr>
              <w:jc w:val="center"/>
            </w:pPr>
            <w:r w:rsidRPr="00BA091F">
              <w:t>$</w:t>
            </w:r>
            <w:r w:rsidR="0029102C">
              <w:t>16,858.05</w:t>
            </w:r>
          </w:p>
        </w:tc>
      </w:tr>
      <w:tr w:rsidR="00477680" w:rsidRPr="00BA091F" w:rsidTr="0064271D">
        <w:trPr>
          <w:jc w:val="center"/>
        </w:trPr>
        <w:tc>
          <w:tcPr>
            <w:tcW w:w="3240" w:type="dxa"/>
            <w:tcBorders>
              <w:top w:val="nil"/>
              <w:left w:val="double" w:sz="6" w:space="0" w:color="auto"/>
              <w:bottom w:val="single" w:sz="6" w:space="0" w:color="auto"/>
              <w:right w:val="single" w:sz="6" w:space="0" w:color="auto"/>
            </w:tcBorders>
          </w:tcPr>
          <w:p w:rsidR="009907D5" w:rsidRPr="00BA091F" w:rsidRDefault="009907D5" w:rsidP="00BA091F">
            <w:pPr>
              <w:widowControl/>
              <w:numPr>
                <w:ilvl w:val="12"/>
                <w:numId w:val="0"/>
              </w:numPr>
              <w:ind w:left="378"/>
            </w:pPr>
            <w:r w:rsidRPr="00BA091F">
              <w:t>Technical</w:t>
            </w:r>
            <w:r w:rsidR="00B63804">
              <w:t>.</w:t>
            </w:r>
          </w:p>
        </w:tc>
        <w:tc>
          <w:tcPr>
            <w:tcW w:w="1710" w:type="dxa"/>
            <w:tcBorders>
              <w:top w:val="nil"/>
              <w:left w:val="single" w:sz="6" w:space="0" w:color="auto"/>
              <w:bottom w:val="single" w:sz="6" w:space="0" w:color="auto"/>
              <w:right w:val="single" w:sz="6" w:space="0" w:color="auto"/>
            </w:tcBorders>
            <w:vAlign w:val="bottom"/>
          </w:tcPr>
          <w:p w:rsidR="009907D5" w:rsidRPr="00BA091F" w:rsidRDefault="009907D5" w:rsidP="00562093">
            <w:pPr>
              <w:widowControl/>
              <w:numPr>
                <w:ilvl w:val="12"/>
                <w:numId w:val="0"/>
              </w:numPr>
              <w:jc w:val="center"/>
            </w:pPr>
            <w:r w:rsidRPr="00BA091F">
              <w:t>7</w:t>
            </w:r>
          </w:p>
        </w:tc>
        <w:tc>
          <w:tcPr>
            <w:tcW w:w="1440" w:type="dxa"/>
            <w:tcBorders>
              <w:top w:val="nil"/>
              <w:left w:val="single" w:sz="6" w:space="0" w:color="auto"/>
              <w:bottom w:val="single" w:sz="6" w:space="0" w:color="auto"/>
              <w:right w:val="single" w:sz="6" w:space="0" w:color="auto"/>
            </w:tcBorders>
          </w:tcPr>
          <w:p w:rsidR="009907D5" w:rsidRPr="00BA091F" w:rsidRDefault="009907D5" w:rsidP="0029102C">
            <w:pPr>
              <w:widowControl/>
              <w:numPr>
                <w:ilvl w:val="12"/>
                <w:numId w:val="0"/>
              </w:numPr>
              <w:jc w:val="center"/>
            </w:pPr>
            <w:r w:rsidRPr="00BA091F">
              <w:t>$</w:t>
            </w:r>
            <w:r w:rsidR="0029102C">
              <w:t>462.21</w:t>
            </w:r>
          </w:p>
        </w:tc>
        <w:tc>
          <w:tcPr>
            <w:tcW w:w="1620" w:type="dxa"/>
            <w:tcBorders>
              <w:top w:val="nil"/>
              <w:left w:val="single" w:sz="6" w:space="0" w:color="auto"/>
              <w:bottom w:val="single" w:sz="6" w:space="0" w:color="auto"/>
              <w:right w:val="single" w:sz="6" w:space="0" w:color="auto"/>
            </w:tcBorders>
            <w:vAlign w:val="bottom"/>
          </w:tcPr>
          <w:p w:rsidR="009907D5" w:rsidRPr="00BA091F" w:rsidRDefault="009907D5" w:rsidP="00562093">
            <w:pPr>
              <w:widowControl/>
              <w:numPr>
                <w:ilvl w:val="12"/>
                <w:numId w:val="0"/>
              </w:numPr>
              <w:jc w:val="center"/>
            </w:pPr>
            <w:r w:rsidRPr="00BA091F">
              <w:t>385</w:t>
            </w:r>
          </w:p>
        </w:tc>
        <w:tc>
          <w:tcPr>
            <w:tcW w:w="1350" w:type="dxa"/>
            <w:tcBorders>
              <w:top w:val="nil"/>
              <w:left w:val="single" w:sz="6" w:space="0" w:color="auto"/>
              <w:bottom w:val="single" w:sz="6" w:space="0" w:color="auto"/>
              <w:right w:val="double" w:sz="6" w:space="0" w:color="auto"/>
            </w:tcBorders>
          </w:tcPr>
          <w:p w:rsidR="009907D5" w:rsidRPr="00BA091F" w:rsidRDefault="009907D5" w:rsidP="0029102C">
            <w:pPr>
              <w:widowControl/>
              <w:numPr>
                <w:ilvl w:val="12"/>
                <w:numId w:val="0"/>
              </w:numPr>
              <w:jc w:val="center"/>
            </w:pPr>
            <w:r w:rsidRPr="00BA091F">
              <w:t>$</w:t>
            </w:r>
            <w:r w:rsidR="0029102C">
              <w:t>25,421.55</w:t>
            </w:r>
          </w:p>
        </w:tc>
      </w:tr>
      <w:tr w:rsidR="00477680" w:rsidRPr="00BA091F" w:rsidTr="0064271D">
        <w:trPr>
          <w:jc w:val="center"/>
        </w:trPr>
        <w:tc>
          <w:tcPr>
            <w:tcW w:w="3240" w:type="dxa"/>
            <w:tcBorders>
              <w:top w:val="single" w:sz="6" w:space="0" w:color="auto"/>
              <w:left w:val="double" w:sz="6" w:space="0" w:color="auto"/>
              <w:bottom w:val="nil"/>
              <w:right w:val="single" w:sz="6" w:space="0" w:color="auto"/>
            </w:tcBorders>
          </w:tcPr>
          <w:p w:rsidR="009907D5" w:rsidRPr="00BA091F" w:rsidRDefault="009907D5" w:rsidP="00BA091F">
            <w:pPr>
              <w:widowControl/>
              <w:numPr>
                <w:ilvl w:val="12"/>
                <w:numId w:val="0"/>
              </w:numPr>
            </w:pPr>
            <w:r w:rsidRPr="00BA091F">
              <w:t>Prepare and submit allowance transfer information</w:t>
            </w:r>
            <w:r w:rsidR="00BA091F">
              <w:t>.</w:t>
            </w:r>
          </w:p>
        </w:tc>
        <w:tc>
          <w:tcPr>
            <w:tcW w:w="1710" w:type="dxa"/>
            <w:tcBorders>
              <w:top w:val="single" w:sz="6" w:space="0" w:color="auto"/>
              <w:left w:val="single" w:sz="6" w:space="0" w:color="auto"/>
              <w:bottom w:val="nil"/>
              <w:right w:val="single" w:sz="6" w:space="0" w:color="auto"/>
            </w:tcBorders>
          </w:tcPr>
          <w:p w:rsidR="009907D5" w:rsidRPr="00BA091F" w:rsidRDefault="009907D5" w:rsidP="00562093">
            <w:pPr>
              <w:widowControl/>
              <w:numPr>
                <w:ilvl w:val="12"/>
                <w:numId w:val="0"/>
              </w:numPr>
              <w:jc w:val="center"/>
            </w:pPr>
          </w:p>
        </w:tc>
        <w:tc>
          <w:tcPr>
            <w:tcW w:w="1440" w:type="dxa"/>
            <w:tcBorders>
              <w:top w:val="single" w:sz="6" w:space="0" w:color="auto"/>
              <w:left w:val="single" w:sz="6" w:space="0" w:color="auto"/>
              <w:bottom w:val="nil"/>
              <w:right w:val="single" w:sz="6" w:space="0" w:color="auto"/>
            </w:tcBorders>
          </w:tcPr>
          <w:p w:rsidR="009907D5" w:rsidRPr="00BA091F" w:rsidRDefault="009907D5" w:rsidP="00562093">
            <w:pPr>
              <w:widowControl/>
              <w:numPr>
                <w:ilvl w:val="12"/>
                <w:numId w:val="0"/>
              </w:numPr>
              <w:jc w:val="center"/>
            </w:pPr>
          </w:p>
        </w:tc>
        <w:tc>
          <w:tcPr>
            <w:tcW w:w="1620" w:type="dxa"/>
            <w:tcBorders>
              <w:top w:val="single" w:sz="6" w:space="0" w:color="auto"/>
              <w:left w:val="single" w:sz="6" w:space="0" w:color="auto"/>
              <w:bottom w:val="nil"/>
              <w:right w:val="single" w:sz="6" w:space="0" w:color="auto"/>
            </w:tcBorders>
          </w:tcPr>
          <w:p w:rsidR="009907D5" w:rsidRPr="00BA091F" w:rsidRDefault="009907D5" w:rsidP="00562093">
            <w:pPr>
              <w:widowControl/>
              <w:numPr>
                <w:ilvl w:val="12"/>
                <w:numId w:val="0"/>
              </w:numPr>
              <w:jc w:val="center"/>
            </w:pPr>
          </w:p>
        </w:tc>
        <w:tc>
          <w:tcPr>
            <w:tcW w:w="1350" w:type="dxa"/>
            <w:tcBorders>
              <w:top w:val="single" w:sz="6" w:space="0" w:color="auto"/>
              <w:left w:val="single" w:sz="6" w:space="0" w:color="auto"/>
              <w:bottom w:val="nil"/>
              <w:right w:val="double" w:sz="6" w:space="0" w:color="auto"/>
            </w:tcBorders>
          </w:tcPr>
          <w:p w:rsidR="009907D5" w:rsidRPr="00BA091F" w:rsidRDefault="009907D5" w:rsidP="00562093">
            <w:pPr>
              <w:widowControl/>
              <w:numPr>
                <w:ilvl w:val="12"/>
                <w:numId w:val="0"/>
              </w:numPr>
              <w:jc w:val="center"/>
            </w:pPr>
          </w:p>
        </w:tc>
      </w:tr>
      <w:tr w:rsidR="00477680" w:rsidRPr="00BA091F" w:rsidTr="0064271D">
        <w:trPr>
          <w:jc w:val="center"/>
        </w:trPr>
        <w:tc>
          <w:tcPr>
            <w:tcW w:w="3240" w:type="dxa"/>
            <w:tcBorders>
              <w:top w:val="nil"/>
              <w:left w:val="double" w:sz="6" w:space="0" w:color="auto"/>
              <w:bottom w:val="nil"/>
              <w:right w:val="single" w:sz="6" w:space="0" w:color="auto"/>
            </w:tcBorders>
          </w:tcPr>
          <w:p w:rsidR="009907D5" w:rsidRPr="00BA091F" w:rsidRDefault="009907D5" w:rsidP="00BA091F">
            <w:pPr>
              <w:widowControl/>
              <w:numPr>
                <w:ilvl w:val="12"/>
                <w:numId w:val="0"/>
              </w:numPr>
              <w:ind w:left="378"/>
            </w:pPr>
            <w:r w:rsidRPr="00BA091F">
              <w:t>Managerial</w:t>
            </w:r>
            <w:r w:rsidR="00B63804">
              <w:t>.</w:t>
            </w:r>
          </w:p>
        </w:tc>
        <w:tc>
          <w:tcPr>
            <w:tcW w:w="1710" w:type="dxa"/>
            <w:tcBorders>
              <w:top w:val="nil"/>
              <w:left w:val="single" w:sz="6" w:space="0" w:color="auto"/>
              <w:bottom w:val="nil"/>
              <w:right w:val="single" w:sz="6" w:space="0" w:color="auto"/>
            </w:tcBorders>
            <w:vAlign w:val="bottom"/>
          </w:tcPr>
          <w:p w:rsidR="009907D5" w:rsidRPr="00BA091F" w:rsidRDefault="009907D5" w:rsidP="00562093">
            <w:pPr>
              <w:widowControl/>
              <w:numPr>
                <w:ilvl w:val="12"/>
                <w:numId w:val="0"/>
              </w:numPr>
              <w:jc w:val="center"/>
            </w:pPr>
            <w:r w:rsidRPr="00BA091F">
              <w:t>1</w:t>
            </w:r>
          </w:p>
        </w:tc>
        <w:tc>
          <w:tcPr>
            <w:tcW w:w="1440" w:type="dxa"/>
            <w:tcBorders>
              <w:top w:val="nil"/>
              <w:left w:val="single" w:sz="6" w:space="0" w:color="auto"/>
              <w:bottom w:val="nil"/>
              <w:right w:val="single" w:sz="6" w:space="0" w:color="auto"/>
            </w:tcBorders>
          </w:tcPr>
          <w:p w:rsidR="009907D5" w:rsidRPr="00BA091F" w:rsidRDefault="009907D5" w:rsidP="0029102C">
            <w:pPr>
              <w:widowControl/>
              <w:numPr>
                <w:ilvl w:val="12"/>
                <w:numId w:val="0"/>
              </w:numPr>
              <w:jc w:val="center"/>
            </w:pPr>
            <w:r w:rsidRPr="00BA091F">
              <w:t>$</w:t>
            </w:r>
            <w:r w:rsidR="0029102C">
              <w:t>102.17</w:t>
            </w:r>
          </w:p>
        </w:tc>
        <w:tc>
          <w:tcPr>
            <w:tcW w:w="1620" w:type="dxa"/>
            <w:tcBorders>
              <w:top w:val="nil"/>
              <w:left w:val="single" w:sz="6" w:space="0" w:color="auto"/>
              <w:bottom w:val="nil"/>
              <w:right w:val="single" w:sz="6" w:space="0" w:color="auto"/>
            </w:tcBorders>
            <w:vAlign w:val="bottom"/>
          </w:tcPr>
          <w:p w:rsidR="009907D5" w:rsidRPr="00BA091F" w:rsidRDefault="00A11546" w:rsidP="00562093">
            <w:pPr>
              <w:widowControl/>
              <w:numPr>
                <w:ilvl w:val="12"/>
                <w:numId w:val="0"/>
              </w:numPr>
              <w:jc w:val="center"/>
            </w:pPr>
            <w:r>
              <w:t>2,000</w:t>
            </w:r>
          </w:p>
        </w:tc>
        <w:tc>
          <w:tcPr>
            <w:tcW w:w="1350" w:type="dxa"/>
            <w:tcBorders>
              <w:top w:val="nil"/>
              <w:left w:val="single" w:sz="6" w:space="0" w:color="auto"/>
              <w:bottom w:val="nil"/>
              <w:right w:val="double" w:sz="6" w:space="0" w:color="auto"/>
            </w:tcBorders>
          </w:tcPr>
          <w:p w:rsidR="009907D5" w:rsidRPr="00BA091F" w:rsidRDefault="009907D5" w:rsidP="00A11546">
            <w:pPr>
              <w:widowControl/>
              <w:numPr>
                <w:ilvl w:val="12"/>
                <w:numId w:val="0"/>
              </w:numPr>
              <w:jc w:val="center"/>
            </w:pPr>
            <w:r w:rsidRPr="00BA091F">
              <w:t>$</w:t>
            </w:r>
            <w:r w:rsidR="00A11546">
              <w:t>204,340.00</w:t>
            </w:r>
          </w:p>
        </w:tc>
      </w:tr>
      <w:tr w:rsidR="00477680" w:rsidRPr="00BA091F" w:rsidTr="0064271D">
        <w:trPr>
          <w:jc w:val="center"/>
        </w:trPr>
        <w:tc>
          <w:tcPr>
            <w:tcW w:w="3240" w:type="dxa"/>
            <w:tcBorders>
              <w:top w:val="nil"/>
              <w:left w:val="double" w:sz="6" w:space="0" w:color="auto"/>
              <w:bottom w:val="single" w:sz="6" w:space="0" w:color="auto"/>
              <w:right w:val="single" w:sz="6" w:space="0" w:color="auto"/>
            </w:tcBorders>
          </w:tcPr>
          <w:p w:rsidR="009907D5" w:rsidRPr="00BA091F" w:rsidRDefault="009907D5" w:rsidP="00BA091F">
            <w:pPr>
              <w:widowControl/>
              <w:numPr>
                <w:ilvl w:val="12"/>
                <w:numId w:val="0"/>
              </w:numPr>
              <w:ind w:left="378"/>
            </w:pPr>
            <w:r w:rsidRPr="00BA091F">
              <w:t>Technical</w:t>
            </w:r>
            <w:r w:rsidR="00B63804">
              <w:t>.</w:t>
            </w:r>
          </w:p>
        </w:tc>
        <w:tc>
          <w:tcPr>
            <w:tcW w:w="1710" w:type="dxa"/>
            <w:tcBorders>
              <w:top w:val="nil"/>
              <w:left w:val="single" w:sz="6" w:space="0" w:color="auto"/>
              <w:bottom w:val="single" w:sz="6" w:space="0" w:color="auto"/>
              <w:right w:val="single" w:sz="6" w:space="0" w:color="auto"/>
            </w:tcBorders>
            <w:vAlign w:val="bottom"/>
          </w:tcPr>
          <w:p w:rsidR="009907D5" w:rsidRPr="00BA091F" w:rsidRDefault="009907D5" w:rsidP="00562093">
            <w:pPr>
              <w:widowControl/>
              <w:numPr>
                <w:ilvl w:val="12"/>
                <w:numId w:val="0"/>
              </w:numPr>
              <w:jc w:val="center"/>
            </w:pPr>
            <w:r w:rsidRPr="00BA091F">
              <w:t>1</w:t>
            </w:r>
          </w:p>
        </w:tc>
        <w:tc>
          <w:tcPr>
            <w:tcW w:w="1440" w:type="dxa"/>
            <w:tcBorders>
              <w:top w:val="nil"/>
              <w:left w:val="single" w:sz="6" w:space="0" w:color="auto"/>
              <w:bottom w:val="single" w:sz="6" w:space="0" w:color="auto"/>
              <w:right w:val="single" w:sz="6" w:space="0" w:color="auto"/>
            </w:tcBorders>
          </w:tcPr>
          <w:p w:rsidR="009907D5" w:rsidRPr="00BA091F" w:rsidRDefault="009907D5" w:rsidP="0029102C">
            <w:pPr>
              <w:widowControl/>
              <w:numPr>
                <w:ilvl w:val="12"/>
                <w:numId w:val="0"/>
              </w:numPr>
              <w:jc w:val="center"/>
            </w:pPr>
            <w:r w:rsidRPr="00BA091F">
              <w:t>$</w:t>
            </w:r>
            <w:r w:rsidR="0029102C">
              <w:t>66.03</w:t>
            </w:r>
          </w:p>
        </w:tc>
        <w:tc>
          <w:tcPr>
            <w:tcW w:w="1620" w:type="dxa"/>
            <w:tcBorders>
              <w:top w:val="nil"/>
              <w:left w:val="single" w:sz="6" w:space="0" w:color="auto"/>
              <w:bottom w:val="single" w:sz="6" w:space="0" w:color="auto"/>
              <w:right w:val="single" w:sz="6" w:space="0" w:color="auto"/>
            </w:tcBorders>
            <w:vAlign w:val="bottom"/>
          </w:tcPr>
          <w:p w:rsidR="009907D5" w:rsidRPr="00BA091F" w:rsidRDefault="00A11546" w:rsidP="00562093">
            <w:pPr>
              <w:widowControl/>
              <w:numPr>
                <w:ilvl w:val="12"/>
                <w:numId w:val="0"/>
              </w:numPr>
              <w:jc w:val="center"/>
            </w:pPr>
            <w:r>
              <w:t>2,000</w:t>
            </w:r>
          </w:p>
        </w:tc>
        <w:tc>
          <w:tcPr>
            <w:tcW w:w="1350" w:type="dxa"/>
            <w:tcBorders>
              <w:top w:val="nil"/>
              <w:left w:val="single" w:sz="6" w:space="0" w:color="auto"/>
              <w:bottom w:val="single" w:sz="6" w:space="0" w:color="auto"/>
              <w:right w:val="double" w:sz="6" w:space="0" w:color="auto"/>
            </w:tcBorders>
          </w:tcPr>
          <w:p w:rsidR="009907D5" w:rsidRPr="00BA091F" w:rsidRDefault="009907D5" w:rsidP="00A11546">
            <w:pPr>
              <w:widowControl/>
              <w:numPr>
                <w:ilvl w:val="12"/>
                <w:numId w:val="0"/>
              </w:numPr>
              <w:jc w:val="center"/>
            </w:pPr>
            <w:r w:rsidRPr="00BA091F">
              <w:t>$</w:t>
            </w:r>
            <w:r w:rsidR="00A11546">
              <w:t>132,060.00</w:t>
            </w:r>
          </w:p>
        </w:tc>
      </w:tr>
      <w:tr w:rsidR="00477680" w:rsidRPr="00BA091F" w:rsidTr="0064271D">
        <w:trPr>
          <w:jc w:val="center"/>
        </w:trPr>
        <w:tc>
          <w:tcPr>
            <w:tcW w:w="3240" w:type="dxa"/>
            <w:tcBorders>
              <w:top w:val="single" w:sz="6" w:space="0" w:color="auto"/>
              <w:left w:val="double" w:sz="6" w:space="0" w:color="auto"/>
              <w:bottom w:val="nil"/>
              <w:right w:val="single" w:sz="6" w:space="0" w:color="auto"/>
            </w:tcBorders>
          </w:tcPr>
          <w:p w:rsidR="009907D5" w:rsidRPr="00BA091F" w:rsidRDefault="009907D5" w:rsidP="00BA091F">
            <w:pPr>
              <w:widowControl/>
              <w:numPr>
                <w:ilvl w:val="12"/>
                <w:numId w:val="0"/>
              </w:numPr>
            </w:pPr>
            <w:r w:rsidRPr="00BA091F">
              <w:t>Allowance deduction form (optional)</w:t>
            </w:r>
            <w:r w:rsidR="00BA091F">
              <w:t>.</w:t>
            </w:r>
          </w:p>
        </w:tc>
        <w:tc>
          <w:tcPr>
            <w:tcW w:w="1710" w:type="dxa"/>
            <w:tcBorders>
              <w:top w:val="single" w:sz="6" w:space="0" w:color="auto"/>
              <w:left w:val="single" w:sz="6" w:space="0" w:color="auto"/>
              <w:bottom w:val="nil"/>
              <w:right w:val="single" w:sz="6" w:space="0" w:color="auto"/>
            </w:tcBorders>
          </w:tcPr>
          <w:p w:rsidR="009907D5" w:rsidRPr="00BA091F" w:rsidRDefault="009907D5" w:rsidP="00562093">
            <w:pPr>
              <w:widowControl/>
              <w:numPr>
                <w:ilvl w:val="12"/>
                <w:numId w:val="0"/>
              </w:numPr>
              <w:jc w:val="center"/>
            </w:pPr>
          </w:p>
        </w:tc>
        <w:tc>
          <w:tcPr>
            <w:tcW w:w="1440" w:type="dxa"/>
            <w:tcBorders>
              <w:top w:val="single" w:sz="6" w:space="0" w:color="auto"/>
              <w:left w:val="single" w:sz="6" w:space="0" w:color="auto"/>
              <w:bottom w:val="nil"/>
              <w:right w:val="single" w:sz="6" w:space="0" w:color="auto"/>
            </w:tcBorders>
          </w:tcPr>
          <w:p w:rsidR="009907D5" w:rsidRPr="00BA091F" w:rsidRDefault="009907D5" w:rsidP="00562093">
            <w:pPr>
              <w:widowControl/>
              <w:numPr>
                <w:ilvl w:val="12"/>
                <w:numId w:val="0"/>
              </w:numPr>
              <w:jc w:val="center"/>
            </w:pPr>
          </w:p>
        </w:tc>
        <w:tc>
          <w:tcPr>
            <w:tcW w:w="1620" w:type="dxa"/>
            <w:tcBorders>
              <w:top w:val="single" w:sz="6" w:space="0" w:color="auto"/>
              <w:left w:val="single" w:sz="6" w:space="0" w:color="auto"/>
              <w:bottom w:val="nil"/>
              <w:right w:val="single" w:sz="6" w:space="0" w:color="auto"/>
            </w:tcBorders>
          </w:tcPr>
          <w:p w:rsidR="009907D5" w:rsidRPr="00BA091F" w:rsidRDefault="009907D5" w:rsidP="00562093">
            <w:pPr>
              <w:widowControl/>
              <w:numPr>
                <w:ilvl w:val="12"/>
                <w:numId w:val="0"/>
              </w:numPr>
              <w:jc w:val="center"/>
            </w:pPr>
          </w:p>
        </w:tc>
        <w:tc>
          <w:tcPr>
            <w:tcW w:w="1350" w:type="dxa"/>
            <w:tcBorders>
              <w:top w:val="single" w:sz="6" w:space="0" w:color="auto"/>
              <w:left w:val="single" w:sz="6" w:space="0" w:color="auto"/>
              <w:bottom w:val="nil"/>
              <w:right w:val="double" w:sz="6" w:space="0" w:color="auto"/>
            </w:tcBorders>
          </w:tcPr>
          <w:p w:rsidR="009907D5" w:rsidRPr="00BA091F" w:rsidRDefault="009907D5" w:rsidP="00562093">
            <w:pPr>
              <w:widowControl/>
              <w:numPr>
                <w:ilvl w:val="12"/>
                <w:numId w:val="0"/>
              </w:numPr>
              <w:jc w:val="center"/>
            </w:pPr>
          </w:p>
        </w:tc>
      </w:tr>
      <w:tr w:rsidR="00477680" w:rsidRPr="00BA091F" w:rsidTr="0064271D">
        <w:trPr>
          <w:jc w:val="center"/>
        </w:trPr>
        <w:tc>
          <w:tcPr>
            <w:tcW w:w="3240" w:type="dxa"/>
            <w:tcBorders>
              <w:top w:val="nil"/>
              <w:left w:val="double" w:sz="6" w:space="0" w:color="auto"/>
              <w:bottom w:val="nil"/>
              <w:right w:val="single" w:sz="6" w:space="0" w:color="auto"/>
            </w:tcBorders>
          </w:tcPr>
          <w:p w:rsidR="009907D5" w:rsidRPr="00BA091F" w:rsidRDefault="009907D5" w:rsidP="00BA091F">
            <w:pPr>
              <w:widowControl/>
              <w:numPr>
                <w:ilvl w:val="12"/>
                <w:numId w:val="0"/>
              </w:numPr>
              <w:ind w:left="378"/>
            </w:pPr>
            <w:r w:rsidRPr="00BA091F">
              <w:t>Managerial</w:t>
            </w:r>
            <w:r w:rsidR="00B63804">
              <w:t>.</w:t>
            </w:r>
          </w:p>
        </w:tc>
        <w:tc>
          <w:tcPr>
            <w:tcW w:w="1710" w:type="dxa"/>
            <w:tcBorders>
              <w:top w:val="nil"/>
              <w:left w:val="single" w:sz="6" w:space="0" w:color="auto"/>
              <w:bottom w:val="nil"/>
              <w:right w:val="single" w:sz="6" w:space="0" w:color="auto"/>
            </w:tcBorders>
            <w:vAlign w:val="bottom"/>
          </w:tcPr>
          <w:p w:rsidR="009907D5" w:rsidRPr="00BA091F" w:rsidRDefault="009907D5" w:rsidP="00562093">
            <w:pPr>
              <w:widowControl/>
              <w:numPr>
                <w:ilvl w:val="12"/>
                <w:numId w:val="0"/>
              </w:numPr>
              <w:jc w:val="center"/>
            </w:pPr>
            <w:r w:rsidRPr="00BA091F">
              <w:t>1</w:t>
            </w:r>
          </w:p>
        </w:tc>
        <w:tc>
          <w:tcPr>
            <w:tcW w:w="1440" w:type="dxa"/>
            <w:tcBorders>
              <w:top w:val="nil"/>
              <w:left w:val="single" w:sz="6" w:space="0" w:color="auto"/>
              <w:bottom w:val="nil"/>
              <w:right w:val="single" w:sz="6" w:space="0" w:color="auto"/>
            </w:tcBorders>
          </w:tcPr>
          <w:p w:rsidR="009907D5" w:rsidRPr="00BA091F" w:rsidRDefault="009907D5" w:rsidP="0029102C">
            <w:pPr>
              <w:widowControl/>
              <w:numPr>
                <w:ilvl w:val="12"/>
                <w:numId w:val="0"/>
              </w:numPr>
              <w:jc w:val="center"/>
            </w:pPr>
            <w:r w:rsidRPr="00BA091F">
              <w:t>$</w:t>
            </w:r>
            <w:r w:rsidR="0029102C">
              <w:t>102.17</w:t>
            </w:r>
          </w:p>
        </w:tc>
        <w:tc>
          <w:tcPr>
            <w:tcW w:w="1620" w:type="dxa"/>
            <w:tcBorders>
              <w:top w:val="nil"/>
              <w:left w:val="single" w:sz="6" w:space="0" w:color="auto"/>
              <w:bottom w:val="nil"/>
              <w:right w:val="single" w:sz="6" w:space="0" w:color="auto"/>
            </w:tcBorders>
          </w:tcPr>
          <w:p w:rsidR="009907D5" w:rsidRPr="00BA091F" w:rsidRDefault="00565D31" w:rsidP="00565D31">
            <w:pPr>
              <w:widowControl/>
              <w:numPr>
                <w:ilvl w:val="12"/>
                <w:numId w:val="0"/>
              </w:numPr>
              <w:jc w:val="center"/>
            </w:pPr>
            <w:r>
              <w:t>330</w:t>
            </w:r>
          </w:p>
        </w:tc>
        <w:tc>
          <w:tcPr>
            <w:tcW w:w="1350" w:type="dxa"/>
            <w:tcBorders>
              <w:top w:val="nil"/>
              <w:left w:val="single" w:sz="6" w:space="0" w:color="auto"/>
              <w:bottom w:val="nil"/>
              <w:right w:val="double" w:sz="6" w:space="0" w:color="auto"/>
            </w:tcBorders>
          </w:tcPr>
          <w:p w:rsidR="009907D5" w:rsidRPr="00BA091F" w:rsidRDefault="009907D5" w:rsidP="00565D31">
            <w:pPr>
              <w:widowControl/>
              <w:numPr>
                <w:ilvl w:val="12"/>
                <w:numId w:val="0"/>
              </w:numPr>
              <w:jc w:val="center"/>
            </w:pPr>
            <w:r w:rsidRPr="00BA091F">
              <w:t>$</w:t>
            </w:r>
            <w:r w:rsidR="00565D31">
              <w:t>33,716.10</w:t>
            </w:r>
          </w:p>
        </w:tc>
      </w:tr>
      <w:tr w:rsidR="00477680" w:rsidRPr="00BA091F" w:rsidTr="006E338E">
        <w:trPr>
          <w:jc w:val="center"/>
        </w:trPr>
        <w:tc>
          <w:tcPr>
            <w:tcW w:w="3240" w:type="dxa"/>
            <w:tcBorders>
              <w:top w:val="nil"/>
              <w:left w:val="double" w:sz="6" w:space="0" w:color="auto"/>
              <w:bottom w:val="double" w:sz="6" w:space="0" w:color="auto"/>
              <w:right w:val="single" w:sz="6" w:space="0" w:color="auto"/>
            </w:tcBorders>
          </w:tcPr>
          <w:p w:rsidR="009907D5" w:rsidRPr="00BA091F" w:rsidRDefault="009907D5" w:rsidP="00BA091F">
            <w:pPr>
              <w:widowControl/>
              <w:numPr>
                <w:ilvl w:val="12"/>
                <w:numId w:val="0"/>
              </w:numPr>
              <w:ind w:left="378"/>
            </w:pPr>
            <w:r w:rsidRPr="00BA091F">
              <w:t>Technical</w:t>
            </w:r>
            <w:r w:rsidR="00B63804">
              <w:t>.</w:t>
            </w:r>
          </w:p>
        </w:tc>
        <w:tc>
          <w:tcPr>
            <w:tcW w:w="1710" w:type="dxa"/>
            <w:tcBorders>
              <w:top w:val="nil"/>
              <w:left w:val="single" w:sz="6" w:space="0" w:color="auto"/>
              <w:bottom w:val="double" w:sz="6" w:space="0" w:color="auto"/>
              <w:right w:val="single" w:sz="6" w:space="0" w:color="auto"/>
            </w:tcBorders>
            <w:vAlign w:val="bottom"/>
          </w:tcPr>
          <w:p w:rsidR="009907D5" w:rsidRPr="00BA091F" w:rsidRDefault="009907D5" w:rsidP="00562093">
            <w:pPr>
              <w:widowControl/>
              <w:numPr>
                <w:ilvl w:val="12"/>
                <w:numId w:val="0"/>
              </w:numPr>
              <w:jc w:val="center"/>
            </w:pPr>
            <w:r w:rsidRPr="00BA091F">
              <w:t>2</w:t>
            </w:r>
          </w:p>
        </w:tc>
        <w:tc>
          <w:tcPr>
            <w:tcW w:w="1440" w:type="dxa"/>
            <w:tcBorders>
              <w:top w:val="nil"/>
              <w:left w:val="single" w:sz="6" w:space="0" w:color="auto"/>
              <w:bottom w:val="double" w:sz="6" w:space="0" w:color="auto"/>
              <w:right w:val="single" w:sz="6" w:space="0" w:color="auto"/>
            </w:tcBorders>
          </w:tcPr>
          <w:p w:rsidR="009907D5" w:rsidRPr="00BA091F" w:rsidRDefault="009907D5" w:rsidP="0029102C">
            <w:pPr>
              <w:widowControl/>
              <w:numPr>
                <w:ilvl w:val="12"/>
                <w:numId w:val="0"/>
              </w:numPr>
              <w:jc w:val="center"/>
            </w:pPr>
            <w:r w:rsidRPr="00BA091F">
              <w:t>$</w:t>
            </w:r>
            <w:r w:rsidR="0029102C">
              <w:t>132.06</w:t>
            </w:r>
          </w:p>
        </w:tc>
        <w:tc>
          <w:tcPr>
            <w:tcW w:w="1620" w:type="dxa"/>
            <w:tcBorders>
              <w:top w:val="nil"/>
              <w:left w:val="single" w:sz="6" w:space="0" w:color="auto"/>
              <w:bottom w:val="double" w:sz="6" w:space="0" w:color="auto"/>
              <w:right w:val="single" w:sz="6" w:space="0" w:color="auto"/>
            </w:tcBorders>
          </w:tcPr>
          <w:p w:rsidR="009907D5" w:rsidRPr="00BA091F" w:rsidRDefault="00A11546" w:rsidP="00562093">
            <w:pPr>
              <w:widowControl/>
              <w:numPr>
                <w:ilvl w:val="12"/>
                <w:numId w:val="0"/>
              </w:numPr>
              <w:jc w:val="center"/>
            </w:pPr>
            <w:r>
              <w:t>1,000</w:t>
            </w:r>
          </w:p>
        </w:tc>
        <w:tc>
          <w:tcPr>
            <w:tcW w:w="1350" w:type="dxa"/>
            <w:tcBorders>
              <w:top w:val="nil"/>
              <w:left w:val="single" w:sz="6" w:space="0" w:color="auto"/>
              <w:bottom w:val="double" w:sz="6" w:space="0" w:color="auto"/>
              <w:right w:val="double" w:sz="6" w:space="0" w:color="auto"/>
            </w:tcBorders>
          </w:tcPr>
          <w:p w:rsidR="009907D5" w:rsidRPr="00BA091F" w:rsidRDefault="009907D5" w:rsidP="00565D31">
            <w:pPr>
              <w:widowControl/>
              <w:numPr>
                <w:ilvl w:val="12"/>
                <w:numId w:val="0"/>
              </w:numPr>
              <w:jc w:val="center"/>
            </w:pPr>
            <w:r w:rsidRPr="00BA091F">
              <w:t>$</w:t>
            </w:r>
            <w:r w:rsidR="00863F67">
              <w:t>132,060.00</w:t>
            </w:r>
          </w:p>
        </w:tc>
      </w:tr>
      <w:tr w:rsidR="007906CC" w:rsidRPr="00BA091F" w:rsidTr="006E338E">
        <w:trPr>
          <w:jc w:val="center"/>
        </w:trPr>
        <w:tc>
          <w:tcPr>
            <w:tcW w:w="6390" w:type="dxa"/>
            <w:gridSpan w:val="3"/>
            <w:tcBorders>
              <w:top w:val="double" w:sz="6" w:space="0" w:color="auto"/>
              <w:left w:val="double" w:sz="6" w:space="0" w:color="auto"/>
              <w:bottom w:val="double" w:sz="6" w:space="0" w:color="auto"/>
              <w:right w:val="nil"/>
            </w:tcBorders>
          </w:tcPr>
          <w:p w:rsidR="007906CC" w:rsidRPr="00BA091F" w:rsidRDefault="007906CC" w:rsidP="007906CC">
            <w:pPr>
              <w:widowControl/>
              <w:numPr>
                <w:ilvl w:val="12"/>
                <w:numId w:val="0"/>
              </w:numPr>
              <w:rPr>
                <w:b/>
              </w:rPr>
            </w:pPr>
            <w:r w:rsidRPr="00BA091F">
              <w:rPr>
                <w:b/>
              </w:rPr>
              <w:t>TOTAL</w:t>
            </w:r>
          </w:p>
        </w:tc>
        <w:tc>
          <w:tcPr>
            <w:tcW w:w="1620" w:type="dxa"/>
            <w:tcBorders>
              <w:top w:val="double" w:sz="6" w:space="0" w:color="auto"/>
              <w:left w:val="single" w:sz="6" w:space="0" w:color="auto"/>
              <w:bottom w:val="double" w:sz="6" w:space="0" w:color="auto"/>
              <w:right w:val="nil"/>
            </w:tcBorders>
            <w:vAlign w:val="bottom"/>
          </w:tcPr>
          <w:p w:rsidR="007906CC" w:rsidRPr="00BA091F" w:rsidRDefault="00863F67" w:rsidP="00863F67">
            <w:pPr>
              <w:widowControl/>
              <w:numPr>
                <w:ilvl w:val="12"/>
                <w:numId w:val="0"/>
              </w:numPr>
              <w:jc w:val="center"/>
              <w:rPr>
                <w:b/>
              </w:rPr>
            </w:pPr>
            <w:r>
              <w:rPr>
                <w:b/>
              </w:rPr>
              <w:t>5,880</w:t>
            </w:r>
          </w:p>
        </w:tc>
        <w:tc>
          <w:tcPr>
            <w:tcW w:w="1350" w:type="dxa"/>
            <w:tcBorders>
              <w:top w:val="double" w:sz="6" w:space="0" w:color="auto"/>
              <w:left w:val="single" w:sz="6" w:space="0" w:color="auto"/>
              <w:bottom w:val="double" w:sz="6" w:space="0" w:color="auto"/>
              <w:right w:val="double" w:sz="6" w:space="0" w:color="auto"/>
            </w:tcBorders>
          </w:tcPr>
          <w:p w:rsidR="007906CC" w:rsidRPr="00BA091F" w:rsidRDefault="007906CC" w:rsidP="00863F67">
            <w:pPr>
              <w:widowControl/>
              <w:numPr>
                <w:ilvl w:val="12"/>
                <w:numId w:val="0"/>
              </w:numPr>
              <w:jc w:val="center"/>
              <w:rPr>
                <w:b/>
              </w:rPr>
            </w:pPr>
            <w:r w:rsidRPr="00BA091F">
              <w:rPr>
                <w:b/>
              </w:rPr>
              <w:t>$</w:t>
            </w:r>
            <w:r w:rsidR="00863F67">
              <w:rPr>
                <w:b/>
              </w:rPr>
              <w:t>544,455.70</w:t>
            </w:r>
          </w:p>
        </w:tc>
      </w:tr>
    </w:tbl>
    <w:p w:rsidR="00BA091F" w:rsidRPr="00477680" w:rsidRDefault="00BA091F" w:rsidP="00BA091F">
      <w:pPr>
        <w:widowControl/>
        <w:numPr>
          <w:ilvl w:val="12"/>
          <w:numId w:val="0"/>
        </w:numPr>
        <w:rPr>
          <w:sz w:val="22"/>
          <w:szCs w:val="22"/>
        </w:rPr>
      </w:pPr>
    </w:p>
    <w:p w:rsidR="009907D5" w:rsidRPr="00477680" w:rsidRDefault="009907D5" w:rsidP="00477680">
      <w:pPr>
        <w:widowControl/>
        <w:numPr>
          <w:ilvl w:val="12"/>
          <w:numId w:val="0"/>
        </w:numPr>
        <w:ind w:left="1080" w:hanging="180"/>
      </w:pPr>
      <w:r w:rsidRPr="00477680">
        <w:rPr>
          <w:vertAlign w:val="superscript"/>
        </w:rPr>
        <w:t>a</w:t>
      </w:r>
      <w:r w:rsidR="00477680">
        <w:tab/>
      </w:r>
      <w:r w:rsidR="0029102C" w:rsidRPr="00477680">
        <w:t>20</w:t>
      </w:r>
      <w:r w:rsidR="0029102C">
        <w:t>12</w:t>
      </w:r>
      <w:r w:rsidRPr="00477680">
        <w:t>dol</w:t>
      </w:r>
      <w:r w:rsidR="00D827BE">
        <w:t>lars; managerial hours $</w:t>
      </w:r>
      <w:r w:rsidR="0029102C">
        <w:t>102.17</w:t>
      </w:r>
      <w:r w:rsidR="00D827BE">
        <w:t xml:space="preserve"> per hour</w:t>
      </w:r>
      <w:r w:rsidR="00562093" w:rsidRPr="00477680">
        <w:t xml:space="preserve"> </w:t>
      </w:r>
      <w:r w:rsidRPr="00477680">
        <w:t>and technical hour</w:t>
      </w:r>
      <w:r w:rsidR="00D827BE">
        <w:t>s $6</w:t>
      </w:r>
      <w:r w:rsidR="0029102C">
        <w:t>6.03</w:t>
      </w:r>
      <w:r w:rsidR="00D827BE">
        <w:t xml:space="preserve"> per hour.</w:t>
      </w:r>
    </w:p>
    <w:p w:rsidR="009907D5" w:rsidRDefault="009907D5" w:rsidP="00477680">
      <w:pPr>
        <w:widowControl/>
        <w:numPr>
          <w:ilvl w:val="12"/>
          <w:numId w:val="0"/>
        </w:numPr>
        <w:ind w:left="1080" w:hanging="180"/>
      </w:pPr>
      <w:r w:rsidRPr="00477680">
        <w:rPr>
          <w:vertAlign w:val="superscript"/>
        </w:rPr>
        <w:t>b</w:t>
      </w:r>
      <w:r w:rsidR="00477680">
        <w:tab/>
      </w:r>
      <w:r w:rsidRPr="00477680">
        <w:t xml:space="preserve">Assumes 55 participants file new account applications, </w:t>
      </w:r>
      <w:r w:rsidR="00A11546">
        <w:t>2,000</w:t>
      </w:r>
      <w:r w:rsidRPr="00477680">
        <w:t xml:space="preserve"> transfers are made, and </w:t>
      </w:r>
      <w:r w:rsidR="00565D31">
        <w:t>330</w:t>
      </w:r>
      <w:r w:rsidRPr="00477680">
        <w:t xml:space="preserve"> optional deduction are submitted.</w:t>
      </w:r>
      <w:r w:rsidR="00565D31">
        <w:t xml:space="preserve"> </w:t>
      </w:r>
    </w:p>
    <w:p w:rsidR="00565D31" w:rsidRPr="00477680" w:rsidRDefault="00565D31" w:rsidP="00477680">
      <w:pPr>
        <w:widowControl/>
        <w:numPr>
          <w:ilvl w:val="12"/>
          <w:numId w:val="0"/>
        </w:numPr>
        <w:ind w:left="1080" w:hanging="180"/>
      </w:pPr>
    </w:p>
    <w:p w:rsidR="009907D5" w:rsidRDefault="009907D5" w:rsidP="00B50B78">
      <w:pPr>
        <w:widowControl/>
        <w:numPr>
          <w:ilvl w:val="12"/>
          <w:numId w:val="0"/>
        </w:numPr>
        <w:ind w:left="720"/>
        <w:rPr>
          <w:sz w:val="24"/>
          <w:szCs w:val="24"/>
        </w:rPr>
      </w:pPr>
      <w:r>
        <w:rPr>
          <w:b/>
          <w:bCs/>
          <w:sz w:val="24"/>
          <w:szCs w:val="24"/>
        </w:rPr>
        <w:t>6.1.2  Estimate of Agency Burden and Costs for Transfers</w:t>
      </w:r>
    </w:p>
    <w:p w:rsidR="009907D5" w:rsidRDefault="009907D5" w:rsidP="00B50B78">
      <w:pPr>
        <w:widowControl/>
        <w:numPr>
          <w:ilvl w:val="12"/>
          <w:numId w:val="0"/>
        </w:numPr>
        <w:rPr>
          <w:sz w:val="24"/>
          <w:szCs w:val="24"/>
        </w:rPr>
      </w:pPr>
    </w:p>
    <w:p w:rsidR="009907D5" w:rsidRDefault="009907D5" w:rsidP="00B50B78">
      <w:pPr>
        <w:widowControl/>
        <w:numPr>
          <w:ilvl w:val="12"/>
          <w:numId w:val="0"/>
        </w:numPr>
        <w:rPr>
          <w:sz w:val="24"/>
          <w:szCs w:val="24"/>
        </w:rPr>
      </w:pPr>
      <w:r>
        <w:rPr>
          <w:sz w:val="24"/>
          <w:szCs w:val="24"/>
        </w:rPr>
        <w:tab/>
        <w:t>Agency burden and costs are divided into those costs associated with enhancing a tracking system, and those associated with transferring and deducting allowances.</w:t>
      </w:r>
    </w:p>
    <w:p w:rsidR="009907D5" w:rsidRDefault="009907D5" w:rsidP="00B50B78">
      <w:pPr>
        <w:widowControl/>
        <w:numPr>
          <w:ilvl w:val="12"/>
          <w:numId w:val="0"/>
        </w:numPr>
        <w:rPr>
          <w:sz w:val="24"/>
          <w:szCs w:val="24"/>
        </w:rPr>
      </w:pPr>
    </w:p>
    <w:p w:rsidR="009907D5" w:rsidRDefault="00B50B78" w:rsidP="00A11546">
      <w:pPr>
        <w:keepNext/>
        <w:widowControl/>
        <w:numPr>
          <w:ilvl w:val="12"/>
          <w:numId w:val="0"/>
        </w:numPr>
        <w:ind w:left="1080"/>
        <w:rPr>
          <w:b/>
          <w:bCs/>
          <w:sz w:val="24"/>
          <w:szCs w:val="24"/>
        </w:rPr>
      </w:pPr>
      <w:r>
        <w:rPr>
          <w:b/>
          <w:bCs/>
          <w:sz w:val="24"/>
          <w:szCs w:val="24"/>
        </w:rPr>
        <w:t xml:space="preserve">A.  </w:t>
      </w:r>
      <w:r w:rsidR="009907D5">
        <w:rPr>
          <w:b/>
          <w:bCs/>
          <w:sz w:val="24"/>
          <w:szCs w:val="24"/>
        </w:rPr>
        <w:t>Allowance Tracking System</w:t>
      </w:r>
    </w:p>
    <w:p w:rsidR="00562093" w:rsidRDefault="00562093" w:rsidP="00674ADB">
      <w:pPr>
        <w:keepNext/>
        <w:widowControl/>
        <w:numPr>
          <w:ilvl w:val="12"/>
          <w:numId w:val="0"/>
        </w:numPr>
        <w:rPr>
          <w:sz w:val="24"/>
          <w:szCs w:val="24"/>
        </w:rPr>
      </w:pPr>
    </w:p>
    <w:p w:rsidR="009907D5" w:rsidRDefault="009907D5" w:rsidP="00674ADB">
      <w:pPr>
        <w:keepNext/>
        <w:widowControl/>
        <w:numPr>
          <w:ilvl w:val="12"/>
          <w:numId w:val="0"/>
        </w:numPr>
        <w:rPr>
          <w:sz w:val="24"/>
          <w:szCs w:val="24"/>
        </w:rPr>
      </w:pPr>
      <w:r>
        <w:rPr>
          <w:sz w:val="24"/>
          <w:szCs w:val="24"/>
        </w:rPr>
        <w:tab/>
        <w:t>The allowance system regulations set the general requirements for the tracking system, which has been developed by EPA</w:t>
      </w:r>
      <w:r w:rsidR="00CE3ABF">
        <w:rPr>
          <w:sz w:val="24"/>
          <w:szCs w:val="24"/>
        </w:rPr>
        <w:t xml:space="preserve">. </w:t>
      </w:r>
      <w:r>
        <w:rPr>
          <w:sz w:val="24"/>
          <w:szCs w:val="24"/>
        </w:rPr>
        <w:t>In order to track allowances, the allowance tracking system must include information on (1) allowance allocations for each affected facility, (2) allowance transfers and deductions, and (3) allowance holders</w:t>
      </w:r>
      <w:r w:rsidR="00CE3ABF">
        <w:rPr>
          <w:sz w:val="24"/>
          <w:szCs w:val="24"/>
        </w:rPr>
        <w:t xml:space="preserve">. </w:t>
      </w:r>
      <w:r>
        <w:rPr>
          <w:sz w:val="24"/>
          <w:szCs w:val="24"/>
        </w:rPr>
        <w:t>Also, to allow for the transfer of future year allowances, the allowance tracking system will contain allowance information for thirty years into the future</w:t>
      </w:r>
      <w:r w:rsidR="00CE3ABF">
        <w:rPr>
          <w:sz w:val="24"/>
          <w:szCs w:val="24"/>
        </w:rPr>
        <w:t xml:space="preserve">. </w:t>
      </w:r>
      <w:r>
        <w:rPr>
          <w:sz w:val="24"/>
          <w:szCs w:val="24"/>
        </w:rPr>
        <w:t>EPA has made the information compiled in the allowance tracking system publicly available in several formats on the internet and is continually working to improve electronic access.</w:t>
      </w:r>
    </w:p>
    <w:p w:rsidR="00B50B78" w:rsidRDefault="00B50B78" w:rsidP="00B50B78">
      <w:pPr>
        <w:widowControl/>
        <w:numPr>
          <w:ilvl w:val="12"/>
          <w:numId w:val="0"/>
        </w:numPr>
        <w:rPr>
          <w:sz w:val="24"/>
          <w:szCs w:val="24"/>
        </w:rPr>
      </w:pPr>
    </w:p>
    <w:p w:rsidR="009907D5" w:rsidRDefault="009907D5" w:rsidP="00B50B78">
      <w:pPr>
        <w:widowControl/>
        <w:numPr>
          <w:ilvl w:val="12"/>
          <w:numId w:val="0"/>
        </w:numPr>
        <w:rPr>
          <w:sz w:val="24"/>
          <w:szCs w:val="24"/>
        </w:rPr>
      </w:pPr>
      <w:r>
        <w:rPr>
          <w:sz w:val="24"/>
          <w:szCs w:val="24"/>
        </w:rPr>
        <w:lastRenderedPageBreak/>
        <w:tab/>
        <w:t>EPA incurs annual operation and maintenance (O&amp;M) costs for running an electronic transmission network, system enhancement, general maintenance, and employee salaries</w:t>
      </w:r>
      <w:r w:rsidR="00CE3ABF">
        <w:rPr>
          <w:sz w:val="24"/>
          <w:szCs w:val="24"/>
        </w:rPr>
        <w:t xml:space="preserve">. </w:t>
      </w:r>
      <w:r>
        <w:rPr>
          <w:sz w:val="24"/>
          <w:szCs w:val="24"/>
        </w:rPr>
        <w:t>These O&amp;M costs are estimated at $</w:t>
      </w:r>
      <w:r w:rsidRPr="00590400">
        <w:rPr>
          <w:sz w:val="24"/>
          <w:szCs w:val="24"/>
        </w:rPr>
        <w:t>1.5 million</w:t>
      </w:r>
      <w:r>
        <w:rPr>
          <w:sz w:val="24"/>
          <w:szCs w:val="24"/>
        </w:rPr>
        <w:t xml:space="preserve"> annually.</w:t>
      </w:r>
    </w:p>
    <w:p w:rsidR="009907D5" w:rsidRDefault="009907D5" w:rsidP="00B50B78">
      <w:pPr>
        <w:widowControl/>
        <w:numPr>
          <w:ilvl w:val="12"/>
          <w:numId w:val="0"/>
        </w:numPr>
        <w:rPr>
          <w:sz w:val="24"/>
          <w:szCs w:val="24"/>
        </w:rPr>
      </w:pPr>
    </w:p>
    <w:p w:rsidR="009907D5" w:rsidRDefault="00B50B78" w:rsidP="00B50B78">
      <w:pPr>
        <w:widowControl/>
        <w:numPr>
          <w:ilvl w:val="12"/>
          <w:numId w:val="0"/>
        </w:numPr>
        <w:ind w:left="1080"/>
        <w:rPr>
          <w:sz w:val="24"/>
          <w:szCs w:val="24"/>
        </w:rPr>
      </w:pPr>
      <w:r>
        <w:rPr>
          <w:b/>
          <w:bCs/>
          <w:sz w:val="24"/>
          <w:szCs w:val="24"/>
        </w:rPr>
        <w:t xml:space="preserve">B.  </w:t>
      </w:r>
      <w:r w:rsidR="009907D5">
        <w:rPr>
          <w:b/>
          <w:bCs/>
          <w:sz w:val="24"/>
          <w:szCs w:val="24"/>
        </w:rPr>
        <w:t>Allowance Transfer System</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Upon receipt of an allowance transfer notification in hard copy form, EPA will (1) review allowance transfer information for completeness and ensure that all requirements have been met, (2) record allowance transfers, and (3) notify both participants to a transfer whether the transfer was recorded</w:t>
      </w:r>
      <w:r w:rsidR="00CE3ABF">
        <w:rPr>
          <w:sz w:val="24"/>
          <w:szCs w:val="24"/>
        </w:rPr>
        <w:t xml:space="preserve">. </w:t>
      </w:r>
      <w:r>
        <w:rPr>
          <w:sz w:val="24"/>
          <w:szCs w:val="24"/>
        </w:rPr>
        <w:t>EPA estimates that it will require an average of one hour to perform these activities for each notification</w:t>
      </w:r>
      <w:r w:rsidR="00CE3ABF">
        <w:rPr>
          <w:sz w:val="24"/>
          <w:szCs w:val="24"/>
        </w:rPr>
        <w:t xml:space="preserve">. </w:t>
      </w:r>
      <w:r>
        <w:rPr>
          <w:sz w:val="24"/>
          <w:szCs w:val="24"/>
        </w:rPr>
        <w:t>Upon receipt of an optional allowance deduction form, in hard copy, EPA will record the data into the EPA data system</w:t>
      </w:r>
      <w:r w:rsidR="00CE3ABF">
        <w:rPr>
          <w:sz w:val="24"/>
          <w:szCs w:val="24"/>
        </w:rPr>
        <w:t xml:space="preserve">. </w:t>
      </w:r>
      <w:r>
        <w:rPr>
          <w:sz w:val="24"/>
          <w:szCs w:val="24"/>
        </w:rPr>
        <w:t>This is estimated to take about 30 minutes per form</w:t>
      </w:r>
      <w:r w:rsidR="00562093">
        <w:rPr>
          <w:sz w:val="24"/>
          <w:szCs w:val="24"/>
        </w:rPr>
        <w:t xml:space="preserve">.  </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226008">
        <w:rPr>
          <w:sz w:val="24"/>
          <w:szCs w:val="24"/>
        </w:rPr>
        <w:t>Recent results indicat</w:t>
      </w:r>
      <w:r w:rsidR="001832D8">
        <w:rPr>
          <w:sz w:val="24"/>
          <w:szCs w:val="24"/>
        </w:rPr>
        <w:t>e</w:t>
      </w:r>
      <w:r w:rsidR="00226008">
        <w:rPr>
          <w:sz w:val="24"/>
          <w:szCs w:val="24"/>
        </w:rPr>
        <w:t xml:space="preserve"> that only about one percent of all transfers employ paper forms</w:t>
      </w:r>
      <w:r w:rsidR="00CE3ABF">
        <w:rPr>
          <w:sz w:val="24"/>
          <w:szCs w:val="24"/>
        </w:rPr>
        <w:t xml:space="preserve">. </w:t>
      </w:r>
      <w:r w:rsidR="00226008">
        <w:rPr>
          <w:sz w:val="24"/>
          <w:szCs w:val="24"/>
        </w:rPr>
        <w:t>So, a</w:t>
      </w:r>
      <w:r>
        <w:rPr>
          <w:sz w:val="24"/>
          <w:szCs w:val="24"/>
        </w:rPr>
        <w:t xml:space="preserve">ssuming </w:t>
      </w:r>
      <w:r w:rsidR="00226008">
        <w:rPr>
          <w:sz w:val="24"/>
          <w:szCs w:val="24"/>
        </w:rPr>
        <w:t xml:space="preserve">40 </w:t>
      </w:r>
      <w:r>
        <w:rPr>
          <w:sz w:val="24"/>
          <w:szCs w:val="24"/>
        </w:rPr>
        <w:t xml:space="preserve">(out of the </w:t>
      </w:r>
      <w:r w:rsidR="00B21EC7">
        <w:rPr>
          <w:sz w:val="24"/>
          <w:szCs w:val="24"/>
        </w:rPr>
        <w:t>2,000</w:t>
      </w:r>
      <w:r>
        <w:rPr>
          <w:sz w:val="24"/>
          <w:szCs w:val="24"/>
        </w:rPr>
        <w:t xml:space="preserve"> total) transfers will be made using paper forms each year and 100 (out of the </w:t>
      </w:r>
      <w:r w:rsidR="00B21EC7">
        <w:rPr>
          <w:sz w:val="24"/>
          <w:szCs w:val="24"/>
        </w:rPr>
        <w:t xml:space="preserve">500 </w:t>
      </w:r>
      <w:r>
        <w:rPr>
          <w:sz w:val="24"/>
          <w:szCs w:val="24"/>
        </w:rPr>
        <w:t xml:space="preserve">total) deduction submissions will be on paper, the annual burden to EPA will be about </w:t>
      </w:r>
      <w:r w:rsidR="00226008">
        <w:rPr>
          <w:sz w:val="24"/>
          <w:szCs w:val="24"/>
        </w:rPr>
        <w:t xml:space="preserve">90 </w:t>
      </w:r>
      <w:r>
        <w:rPr>
          <w:sz w:val="24"/>
          <w:szCs w:val="24"/>
        </w:rPr>
        <w:t>hours</w:t>
      </w:r>
      <w:r w:rsidR="00CE3ABF">
        <w:rPr>
          <w:sz w:val="24"/>
          <w:szCs w:val="24"/>
        </w:rPr>
        <w:t xml:space="preserve">. </w:t>
      </w:r>
      <w:r>
        <w:rPr>
          <w:sz w:val="24"/>
          <w:szCs w:val="24"/>
        </w:rPr>
        <w:t>There is no Agency burden when participants use the electronic online transfer system (also used for the optional deduction submission), since all EPA functions are automated</w:t>
      </w:r>
      <w:r w:rsidR="00CE3ABF">
        <w:rPr>
          <w:sz w:val="24"/>
          <w:szCs w:val="24"/>
        </w:rPr>
        <w:t xml:space="preserve">. </w:t>
      </w:r>
      <w:r w:rsidR="00E51311">
        <w:rPr>
          <w:sz w:val="24"/>
          <w:szCs w:val="24"/>
        </w:rPr>
        <w:t>Costs for maintaining the on</w:t>
      </w:r>
      <w:r>
        <w:rPr>
          <w:sz w:val="24"/>
          <w:szCs w:val="24"/>
        </w:rPr>
        <w:t>line system are included in the O&amp;M costs</w:t>
      </w:r>
      <w:r w:rsidR="00CE3ABF">
        <w:rPr>
          <w:sz w:val="24"/>
          <w:szCs w:val="24"/>
        </w:rPr>
        <w:t xml:space="preserve">. </w:t>
      </w:r>
      <w:r>
        <w:rPr>
          <w:sz w:val="24"/>
          <w:szCs w:val="24"/>
        </w:rPr>
        <w:t>The total cost to EPA will be about $</w:t>
      </w:r>
      <w:r w:rsidR="00F4206D">
        <w:rPr>
          <w:sz w:val="24"/>
          <w:szCs w:val="24"/>
        </w:rPr>
        <w:t>4,454.60</w:t>
      </w:r>
      <w:r>
        <w:rPr>
          <w:sz w:val="24"/>
          <w:szCs w:val="24"/>
        </w:rPr>
        <w:t xml:space="preserve"> annually</w:t>
      </w:r>
      <w:r w:rsidR="00CE3ABF">
        <w:rPr>
          <w:sz w:val="24"/>
          <w:szCs w:val="24"/>
        </w:rPr>
        <w:t xml:space="preserve">. </w:t>
      </w:r>
      <w:r>
        <w:rPr>
          <w:sz w:val="24"/>
          <w:szCs w:val="24"/>
        </w:rPr>
        <w:t>Exhibit 2 summarizes the Agency burden and cost estimates for recording and transferring allowances.</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rsidR="009907D5" w:rsidRPr="00E51311" w:rsidRDefault="009907D5" w:rsidP="000E57D3">
      <w:pPr>
        <w:keepNext/>
        <w:keepLines/>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E51311">
        <w:rPr>
          <w:b/>
          <w:sz w:val="24"/>
          <w:szCs w:val="24"/>
        </w:rPr>
        <w:t>EXHIBIT 2</w:t>
      </w:r>
    </w:p>
    <w:p w:rsidR="009907D5" w:rsidRPr="00E51311" w:rsidRDefault="009907D5" w:rsidP="000E57D3">
      <w:pPr>
        <w:keepNext/>
        <w:keepLines/>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E51311">
        <w:rPr>
          <w:b/>
          <w:sz w:val="24"/>
          <w:szCs w:val="24"/>
        </w:rPr>
        <w:t>ANNUAL AGENCY BURDEN/COST ESTIMATES FOR ALLOWANCE TRANSFERS</w:t>
      </w:r>
    </w:p>
    <w:tbl>
      <w:tblPr>
        <w:tblW w:w="9360" w:type="dxa"/>
        <w:jc w:val="center"/>
        <w:tblLayout w:type="fixed"/>
        <w:tblCellMar>
          <w:top w:w="72" w:type="dxa"/>
          <w:left w:w="72" w:type="dxa"/>
          <w:bottom w:w="72" w:type="dxa"/>
          <w:right w:w="72" w:type="dxa"/>
        </w:tblCellMar>
        <w:tblLook w:val="0000"/>
      </w:tblPr>
      <w:tblGrid>
        <w:gridCol w:w="3278"/>
        <w:gridCol w:w="1685"/>
        <w:gridCol w:w="1432"/>
        <w:gridCol w:w="1618"/>
        <w:gridCol w:w="1347"/>
      </w:tblGrid>
      <w:tr w:rsidR="000E57D3" w:rsidRPr="0064271D" w:rsidTr="007906CC">
        <w:trPr>
          <w:cantSplit/>
          <w:jc w:val="center"/>
        </w:trPr>
        <w:tc>
          <w:tcPr>
            <w:tcW w:w="3278" w:type="dxa"/>
            <w:tcBorders>
              <w:top w:val="double" w:sz="6" w:space="0" w:color="auto"/>
              <w:left w:val="double" w:sz="6" w:space="0" w:color="auto"/>
              <w:bottom w:val="single" w:sz="6" w:space="0" w:color="auto"/>
              <w:right w:val="nil"/>
            </w:tcBorders>
            <w:shd w:val="pct10" w:color="auto" w:fill="auto"/>
            <w:vAlign w:val="bottom"/>
          </w:tcPr>
          <w:p w:rsidR="000E57D3" w:rsidRPr="00BA091F" w:rsidRDefault="000E57D3" w:rsidP="000E57D3">
            <w:pPr>
              <w:keepNext/>
              <w:keepLines/>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BA091F">
              <w:rPr>
                <w:b/>
                <w:sz w:val="22"/>
                <w:szCs w:val="22"/>
              </w:rPr>
              <w:t>Tasks</w:t>
            </w:r>
          </w:p>
        </w:tc>
        <w:tc>
          <w:tcPr>
            <w:tcW w:w="1685" w:type="dxa"/>
            <w:tcBorders>
              <w:top w:val="double" w:sz="6" w:space="0" w:color="auto"/>
              <w:left w:val="single" w:sz="6" w:space="0" w:color="auto"/>
              <w:bottom w:val="single" w:sz="6" w:space="0" w:color="auto"/>
              <w:right w:val="nil"/>
            </w:tcBorders>
            <w:shd w:val="pct10" w:color="auto" w:fill="auto"/>
            <w:vAlign w:val="bottom"/>
          </w:tcPr>
          <w:p w:rsidR="000E57D3" w:rsidRPr="00BA091F" w:rsidRDefault="000E57D3" w:rsidP="000E57D3">
            <w:pPr>
              <w:keepNext/>
              <w:keepLines/>
              <w:widowControl/>
              <w:numPr>
                <w:ilvl w:val="12"/>
                <w:numId w:val="0"/>
              </w:numPr>
              <w:jc w:val="center"/>
              <w:rPr>
                <w:b/>
                <w:sz w:val="22"/>
                <w:szCs w:val="22"/>
              </w:rPr>
            </w:pPr>
            <w:r w:rsidRPr="00BA091F">
              <w:rPr>
                <w:b/>
                <w:sz w:val="22"/>
                <w:szCs w:val="22"/>
              </w:rPr>
              <w:t>Burden Hours</w:t>
            </w:r>
          </w:p>
          <w:p w:rsidR="000E57D3" w:rsidRPr="00BA091F" w:rsidRDefault="000E57D3" w:rsidP="000E57D3">
            <w:pPr>
              <w:keepNext/>
              <w:keepLines/>
              <w:widowControl/>
              <w:numPr>
                <w:ilvl w:val="12"/>
                <w:numId w:val="0"/>
              </w:numPr>
              <w:jc w:val="center"/>
              <w:rPr>
                <w:b/>
                <w:sz w:val="22"/>
                <w:szCs w:val="22"/>
              </w:rPr>
            </w:pPr>
            <w:r w:rsidRPr="00BA091F">
              <w:rPr>
                <w:b/>
                <w:sz w:val="22"/>
                <w:szCs w:val="22"/>
              </w:rPr>
              <w:t>per Occurrence</w:t>
            </w:r>
          </w:p>
        </w:tc>
        <w:tc>
          <w:tcPr>
            <w:tcW w:w="1432" w:type="dxa"/>
            <w:tcBorders>
              <w:top w:val="double" w:sz="6" w:space="0" w:color="auto"/>
              <w:left w:val="single" w:sz="6" w:space="0" w:color="auto"/>
              <w:bottom w:val="single" w:sz="6" w:space="0" w:color="auto"/>
              <w:right w:val="nil"/>
            </w:tcBorders>
            <w:shd w:val="pct10" w:color="auto" w:fill="auto"/>
            <w:vAlign w:val="bottom"/>
          </w:tcPr>
          <w:p w:rsidR="000E57D3" w:rsidRPr="00BA091F" w:rsidRDefault="000E57D3" w:rsidP="000E57D3">
            <w:pPr>
              <w:keepNext/>
              <w:keepLines/>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BA091F">
              <w:rPr>
                <w:b/>
                <w:sz w:val="22"/>
                <w:szCs w:val="22"/>
              </w:rPr>
              <w:t xml:space="preserve">Cost per </w:t>
            </w:r>
            <w:proofErr w:type="spellStart"/>
            <w:r w:rsidRPr="00BA091F">
              <w:rPr>
                <w:b/>
                <w:sz w:val="22"/>
                <w:szCs w:val="22"/>
              </w:rPr>
              <w:t>Occurrence</w:t>
            </w:r>
            <w:r w:rsidRPr="00BA091F">
              <w:rPr>
                <w:b/>
                <w:sz w:val="22"/>
                <w:szCs w:val="22"/>
                <w:vertAlign w:val="superscript"/>
              </w:rPr>
              <w:t>a</w:t>
            </w:r>
            <w:proofErr w:type="spellEnd"/>
          </w:p>
        </w:tc>
        <w:tc>
          <w:tcPr>
            <w:tcW w:w="1618" w:type="dxa"/>
            <w:tcBorders>
              <w:top w:val="double" w:sz="6" w:space="0" w:color="auto"/>
              <w:left w:val="single" w:sz="6" w:space="0" w:color="auto"/>
              <w:bottom w:val="single" w:sz="6" w:space="0" w:color="auto"/>
              <w:right w:val="nil"/>
            </w:tcBorders>
            <w:shd w:val="pct10" w:color="auto" w:fill="auto"/>
            <w:vAlign w:val="bottom"/>
          </w:tcPr>
          <w:p w:rsidR="000E57D3" w:rsidRPr="0064271D" w:rsidRDefault="000E57D3" w:rsidP="000E57D3">
            <w:pPr>
              <w:keepNext/>
              <w:keepLines/>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BA091F">
              <w:rPr>
                <w:b/>
                <w:sz w:val="22"/>
                <w:szCs w:val="22"/>
              </w:rPr>
              <w:t xml:space="preserve">Total </w:t>
            </w:r>
            <w:proofErr w:type="spellStart"/>
            <w:r w:rsidRPr="00BA091F">
              <w:rPr>
                <w:b/>
                <w:sz w:val="22"/>
                <w:szCs w:val="22"/>
              </w:rPr>
              <w:t>Burden</w:t>
            </w:r>
            <w:r w:rsidRPr="00BA091F">
              <w:rPr>
                <w:b/>
                <w:sz w:val="22"/>
                <w:szCs w:val="22"/>
                <w:vertAlign w:val="superscript"/>
              </w:rPr>
              <w:t>b</w:t>
            </w:r>
            <w:proofErr w:type="spellEnd"/>
            <w:r w:rsidR="00A45B03">
              <w:rPr>
                <w:b/>
                <w:sz w:val="22"/>
                <w:szCs w:val="22"/>
              </w:rPr>
              <w:t xml:space="preserve"> (h</w:t>
            </w:r>
            <w:r>
              <w:rPr>
                <w:b/>
                <w:sz w:val="22"/>
                <w:szCs w:val="22"/>
              </w:rPr>
              <w:t>ours)</w:t>
            </w:r>
          </w:p>
        </w:tc>
        <w:tc>
          <w:tcPr>
            <w:tcW w:w="1347" w:type="dxa"/>
            <w:tcBorders>
              <w:top w:val="double" w:sz="6" w:space="0" w:color="auto"/>
              <w:left w:val="single" w:sz="6" w:space="0" w:color="auto"/>
              <w:bottom w:val="single" w:sz="6" w:space="0" w:color="auto"/>
              <w:right w:val="double" w:sz="6" w:space="0" w:color="auto"/>
            </w:tcBorders>
            <w:shd w:val="pct10" w:color="auto" w:fill="auto"/>
            <w:vAlign w:val="bottom"/>
          </w:tcPr>
          <w:p w:rsidR="000E57D3" w:rsidRPr="00BA091F" w:rsidRDefault="000E57D3" w:rsidP="000E57D3">
            <w:pPr>
              <w:keepNext/>
              <w:keepLines/>
              <w:widowControl/>
              <w:numPr>
                <w:ilvl w:val="12"/>
                <w:numId w:val="0"/>
              </w:numPr>
              <w:jc w:val="center"/>
              <w:rPr>
                <w:b/>
                <w:sz w:val="22"/>
                <w:szCs w:val="22"/>
              </w:rPr>
            </w:pPr>
            <w:r w:rsidRPr="00BA091F">
              <w:rPr>
                <w:b/>
                <w:sz w:val="22"/>
                <w:szCs w:val="22"/>
              </w:rPr>
              <w:t>Total Cost</w:t>
            </w:r>
          </w:p>
        </w:tc>
      </w:tr>
      <w:tr w:rsidR="009907D5" w:rsidRPr="000E57D3" w:rsidTr="00572651">
        <w:trPr>
          <w:cantSplit/>
          <w:jc w:val="center"/>
        </w:trPr>
        <w:tc>
          <w:tcPr>
            <w:tcW w:w="3278" w:type="dxa"/>
            <w:tcBorders>
              <w:top w:val="single" w:sz="6" w:space="0" w:color="auto"/>
              <w:left w:val="double" w:sz="6" w:space="0" w:color="auto"/>
              <w:bottom w:val="nil"/>
              <w:right w:val="nil"/>
            </w:tcBorders>
          </w:tcPr>
          <w:p w:rsidR="009907D5" w:rsidRPr="000E57D3" w:rsidRDefault="009907D5" w:rsidP="00572651">
            <w:pPr>
              <w:keepNext/>
              <w:keepLines/>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0E57D3">
              <w:rPr>
                <w:szCs w:val="22"/>
              </w:rPr>
              <w:t>Review allowance transfer information, record transfer, and notify transfer participants</w:t>
            </w:r>
            <w:r w:rsidR="00C47DBD">
              <w:rPr>
                <w:szCs w:val="22"/>
              </w:rPr>
              <w:t>.</w:t>
            </w:r>
          </w:p>
        </w:tc>
        <w:tc>
          <w:tcPr>
            <w:tcW w:w="1685" w:type="dxa"/>
            <w:tcBorders>
              <w:top w:val="single" w:sz="6" w:space="0" w:color="auto"/>
              <w:left w:val="single" w:sz="6" w:space="0" w:color="auto"/>
              <w:bottom w:val="nil"/>
              <w:right w:val="nil"/>
            </w:tcBorders>
          </w:tcPr>
          <w:p w:rsidR="009907D5" w:rsidRPr="000E57D3" w:rsidRDefault="009907D5" w:rsidP="00572651">
            <w:pPr>
              <w:keepNext/>
              <w:keepLines/>
              <w:widowControl/>
              <w:numPr>
                <w:ilvl w:val="12"/>
                <w:numId w:val="0"/>
              </w:numPr>
              <w:jc w:val="center"/>
              <w:rPr>
                <w:szCs w:val="22"/>
              </w:rPr>
            </w:pPr>
            <w:r w:rsidRPr="000E57D3">
              <w:rPr>
                <w:szCs w:val="22"/>
              </w:rPr>
              <w:t>1</w:t>
            </w:r>
          </w:p>
        </w:tc>
        <w:tc>
          <w:tcPr>
            <w:tcW w:w="1432" w:type="dxa"/>
            <w:tcBorders>
              <w:top w:val="single" w:sz="6" w:space="0" w:color="auto"/>
              <w:left w:val="single" w:sz="6" w:space="0" w:color="auto"/>
              <w:bottom w:val="nil"/>
              <w:right w:val="nil"/>
            </w:tcBorders>
          </w:tcPr>
          <w:p w:rsidR="009907D5" w:rsidRPr="000E57D3" w:rsidRDefault="009907D5" w:rsidP="00A11546">
            <w:pPr>
              <w:keepNext/>
              <w:keepLines/>
              <w:widowControl/>
              <w:numPr>
                <w:ilvl w:val="12"/>
                <w:numId w:val="0"/>
              </w:numPr>
              <w:jc w:val="center"/>
              <w:rPr>
                <w:szCs w:val="22"/>
              </w:rPr>
            </w:pPr>
            <w:r w:rsidRPr="000E57D3">
              <w:rPr>
                <w:szCs w:val="22"/>
              </w:rPr>
              <w:t>$</w:t>
            </w:r>
            <w:r w:rsidR="00A11546">
              <w:rPr>
                <w:szCs w:val="22"/>
              </w:rPr>
              <w:t>49.49</w:t>
            </w:r>
          </w:p>
        </w:tc>
        <w:tc>
          <w:tcPr>
            <w:tcW w:w="1618" w:type="dxa"/>
            <w:tcBorders>
              <w:top w:val="single" w:sz="6" w:space="0" w:color="auto"/>
              <w:left w:val="single" w:sz="6" w:space="0" w:color="auto"/>
              <w:bottom w:val="nil"/>
              <w:right w:val="nil"/>
            </w:tcBorders>
          </w:tcPr>
          <w:p w:rsidR="009907D5" w:rsidRPr="000E57D3" w:rsidRDefault="00226008" w:rsidP="00572651">
            <w:pPr>
              <w:keepNext/>
              <w:keepLines/>
              <w:widowControl/>
              <w:numPr>
                <w:ilvl w:val="12"/>
                <w:numId w:val="0"/>
              </w:numPr>
              <w:jc w:val="center"/>
              <w:rPr>
                <w:szCs w:val="22"/>
              </w:rPr>
            </w:pPr>
            <w:r w:rsidRPr="000E57D3">
              <w:rPr>
                <w:szCs w:val="22"/>
              </w:rPr>
              <w:t>40</w:t>
            </w:r>
          </w:p>
        </w:tc>
        <w:tc>
          <w:tcPr>
            <w:tcW w:w="1347" w:type="dxa"/>
            <w:tcBorders>
              <w:top w:val="single" w:sz="6" w:space="0" w:color="auto"/>
              <w:left w:val="single" w:sz="6" w:space="0" w:color="auto"/>
              <w:bottom w:val="nil"/>
              <w:right w:val="double" w:sz="6" w:space="0" w:color="auto"/>
            </w:tcBorders>
          </w:tcPr>
          <w:p w:rsidR="009907D5" w:rsidRPr="000E57D3" w:rsidRDefault="009907D5" w:rsidP="00A11546">
            <w:pPr>
              <w:keepNext/>
              <w:keepLines/>
              <w:widowControl/>
              <w:numPr>
                <w:ilvl w:val="12"/>
                <w:numId w:val="0"/>
              </w:numPr>
              <w:jc w:val="center"/>
              <w:rPr>
                <w:szCs w:val="22"/>
              </w:rPr>
            </w:pPr>
            <w:r w:rsidRPr="000E57D3">
              <w:rPr>
                <w:szCs w:val="22"/>
              </w:rPr>
              <w:t>$</w:t>
            </w:r>
            <w:r w:rsidR="00A11546">
              <w:rPr>
                <w:szCs w:val="22"/>
              </w:rPr>
              <w:t>1,979.60</w:t>
            </w:r>
          </w:p>
        </w:tc>
      </w:tr>
      <w:tr w:rsidR="009907D5" w:rsidRPr="000E57D3" w:rsidTr="00572651">
        <w:trPr>
          <w:cantSplit/>
          <w:jc w:val="center"/>
        </w:trPr>
        <w:tc>
          <w:tcPr>
            <w:tcW w:w="3278" w:type="dxa"/>
            <w:tcBorders>
              <w:top w:val="single" w:sz="6" w:space="0" w:color="auto"/>
              <w:left w:val="double" w:sz="6" w:space="0" w:color="auto"/>
              <w:bottom w:val="double" w:sz="6" w:space="0" w:color="auto"/>
              <w:right w:val="nil"/>
            </w:tcBorders>
          </w:tcPr>
          <w:p w:rsidR="009907D5" w:rsidRPr="000E57D3" w:rsidRDefault="009907D5" w:rsidP="00572651">
            <w:pPr>
              <w:keepNext/>
              <w:keepLines/>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0E57D3">
              <w:rPr>
                <w:szCs w:val="22"/>
              </w:rPr>
              <w:t>Enter deduction data and deduct allowances</w:t>
            </w:r>
            <w:r w:rsidR="00C47DBD">
              <w:rPr>
                <w:szCs w:val="22"/>
              </w:rPr>
              <w:t>.</w:t>
            </w:r>
          </w:p>
        </w:tc>
        <w:tc>
          <w:tcPr>
            <w:tcW w:w="1685" w:type="dxa"/>
            <w:tcBorders>
              <w:top w:val="single" w:sz="6" w:space="0" w:color="auto"/>
              <w:left w:val="single" w:sz="6" w:space="0" w:color="auto"/>
              <w:bottom w:val="double" w:sz="6" w:space="0" w:color="auto"/>
              <w:right w:val="nil"/>
            </w:tcBorders>
          </w:tcPr>
          <w:p w:rsidR="009907D5" w:rsidRPr="000E57D3" w:rsidRDefault="009907D5" w:rsidP="00572651">
            <w:pPr>
              <w:keepNext/>
              <w:keepLines/>
              <w:widowControl/>
              <w:numPr>
                <w:ilvl w:val="12"/>
                <w:numId w:val="0"/>
              </w:numPr>
              <w:jc w:val="center"/>
              <w:rPr>
                <w:szCs w:val="22"/>
              </w:rPr>
            </w:pPr>
            <w:r w:rsidRPr="000E57D3">
              <w:rPr>
                <w:szCs w:val="22"/>
              </w:rPr>
              <w:t>0.5</w:t>
            </w:r>
          </w:p>
        </w:tc>
        <w:tc>
          <w:tcPr>
            <w:tcW w:w="1432" w:type="dxa"/>
            <w:tcBorders>
              <w:top w:val="single" w:sz="6" w:space="0" w:color="auto"/>
              <w:left w:val="single" w:sz="6" w:space="0" w:color="auto"/>
              <w:bottom w:val="double" w:sz="6" w:space="0" w:color="auto"/>
              <w:right w:val="nil"/>
            </w:tcBorders>
          </w:tcPr>
          <w:p w:rsidR="009907D5" w:rsidRPr="000E57D3" w:rsidRDefault="009907D5" w:rsidP="00A11546">
            <w:pPr>
              <w:keepNext/>
              <w:keepLines/>
              <w:widowControl/>
              <w:numPr>
                <w:ilvl w:val="12"/>
                <w:numId w:val="0"/>
              </w:numPr>
              <w:jc w:val="center"/>
              <w:rPr>
                <w:szCs w:val="22"/>
              </w:rPr>
            </w:pPr>
            <w:r w:rsidRPr="000E57D3">
              <w:rPr>
                <w:szCs w:val="22"/>
              </w:rPr>
              <w:t>$</w:t>
            </w:r>
            <w:r w:rsidR="00A11546">
              <w:rPr>
                <w:szCs w:val="22"/>
              </w:rPr>
              <w:t>24.75</w:t>
            </w:r>
          </w:p>
        </w:tc>
        <w:tc>
          <w:tcPr>
            <w:tcW w:w="1618" w:type="dxa"/>
            <w:tcBorders>
              <w:top w:val="single" w:sz="6" w:space="0" w:color="auto"/>
              <w:left w:val="single" w:sz="6" w:space="0" w:color="auto"/>
              <w:bottom w:val="double" w:sz="6" w:space="0" w:color="auto"/>
              <w:right w:val="nil"/>
            </w:tcBorders>
          </w:tcPr>
          <w:p w:rsidR="009907D5" w:rsidRPr="000E57D3" w:rsidRDefault="00585FA5" w:rsidP="00572651">
            <w:pPr>
              <w:keepNext/>
              <w:keepLines/>
              <w:widowControl/>
              <w:numPr>
                <w:ilvl w:val="12"/>
                <w:numId w:val="0"/>
              </w:numPr>
              <w:jc w:val="center"/>
              <w:rPr>
                <w:szCs w:val="22"/>
              </w:rPr>
            </w:pPr>
            <w:r>
              <w:rPr>
                <w:szCs w:val="22"/>
              </w:rPr>
              <w:t>50</w:t>
            </w:r>
          </w:p>
        </w:tc>
        <w:tc>
          <w:tcPr>
            <w:tcW w:w="1347" w:type="dxa"/>
            <w:tcBorders>
              <w:top w:val="single" w:sz="6" w:space="0" w:color="auto"/>
              <w:left w:val="single" w:sz="6" w:space="0" w:color="auto"/>
              <w:bottom w:val="double" w:sz="6" w:space="0" w:color="auto"/>
              <w:right w:val="double" w:sz="6" w:space="0" w:color="auto"/>
            </w:tcBorders>
          </w:tcPr>
          <w:p w:rsidR="009907D5" w:rsidRPr="000E57D3" w:rsidRDefault="009907D5" w:rsidP="00A11546">
            <w:pPr>
              <w:keepNext/>
              <w:keepLines/>
              <w:widowControl/>
              <w:numPr>
                <w:ilvl w:val="12"/>
                <w:numId w:val="0"/>
              </w:numPr>
              <w:jc w:val="center"/>
              <w:rPr>
                <w:szCs w:val="22"/>
              </w:rPr>
            </w:pPr>
            <w:r w:rsidRPr="000E57D3">
              <w:rPr>
                <w:szCs w:val="22"/>
              </w:rPr>
              <w:t>$</w:t>
            </w:r>
            <w:r w:rsidR="00A11546">
              <w:rPr>
                <w:szCs w:val="22"/>
              </w:rPr>
              <w:t>2,475.00</w:t>
            </w:r>
          </w:p>
        </w:tc>
      </w:tr>
      <w:tr w:rsidR="007906CC" w:rsidRPr="00C47DBD" w:rsidTr="00572651">
        <w:trPr>
          <w:cantSplit/>
          <w:jc w:val="center"/>
        </w:trPr>
        <w:tc>
          <w:tcPr>
            <w:tcW w:w="6395" w:type="dxa"/>
            <w:gridSpan w:val="3"/>
            <w:tcBorders>
              <w:top w:val="double" w:sz="6" w:space="0" w:color="auto"/>
              <w:left w:val="double" w:sz="6" w:space="0" w:color="auto"/>
              <w:bottom w:val="double" w:sz="6" w:space="0" w:color="auto"/>
              <w:right w:val="nil"/>
            </w:tcBorders>
            <w:vAlign w:val="bottom"/>
          </w:tcPr>
          <w:p w:rsidR="007906CC" w:rsidRPr="00C47DBD" w:rsidRDefault="007906CC" w:rsidP="007906CC">
            <w:pPr>
              <w:keepNext/>
              <w:keepLines/>
              <w:widowControl/>
              <w:numPr>
                <w:ilvl w:val="12"/>
                <w:numId w:val="0"/>
              </w:numPr>
              <w:rPr>
                <w:b/>
                <w:szCs w:val="22"/>
              </w:rPr>
            </w:pPr>
            <w:r w:rsidRPr="00C47DBD">
              <w:rPr>
                <w:b/>
                <w:szCs w:val="22"/>
              </w:rPr>
              <w:t>TOTAL</w:t>
            </w:r>
          </w:p>
        </w:tc>
        <w:tc>
          <w:tcPr>
            <w:tcW w:w="1618" w:type="dxa"/>
            <w:tcBorders>
              <w:top w:val="double" w:sz="6" w:space="0" w:color="auto"/>
              <w:left w:val="single" w:sz="6" w:space="0" w:color="auto"/>
              <w:bottom w:val="double" w:sz="6" w:space="0" w:color="auto"/>
              <w:right w:val="nil"/>
            </w:tcBorders>
          </w:tcPr>
          <w:p w:rsidR="007906CC" w:rsidRPr="00C47DBD" w:rsidRDefault="00585FA5" w:rsidP="00572651">
            <w:pPr>
              <w:keepNext/>
              <w:keepLines/>
              <w:widowControl/>
              <w:numPr>
                <w:ilvl w:val="12"/>
                <w:numId w:val="0"/>
              </w:numPr>
              <w:jc w:val="center"/>
              <w:rPr>
                <w:b/>
                <w:szCs w:val="22"/>
              </w:rPr>
            </w:pPr>
            <w:r>
              <w:rPr>
                <w:b/>
                <w:szCs w:val="22"/>
              </w:rPr>
              <w:t>90</w:t>
            </w:r>
          </w:p>
        </w:tc>
        <w:tc>
          <w:tcPr>
            <w:tcW w:w="1347" w:type="dxa"/>
            <w:tcBorders>
              <w:top w:val="double" w:sz="6" w:space="0" w:color="auto"/>
              <w:left w:val="single" w:sz="6" w:space="0" w:color="auto"/>
              <w:bottom w:val="double" w:sz="6" w:space="0" w:color="auto"/>
              <w:right w:val="double" w:sz="6" w:space="0" w:color="auto"/>
            </w:tcBorders>
          </w:tcPr>
          <w:p w:rsidR="007906CC" w:rsidRPr="00C47DBD" w:rsidRDefault="007906CC" w:rsidP="00863F67">
            <w:pPr>
              <w:keepNext/>
              <w:keepLines/>
              <w:widowControl/>
              <w:numPr>
                <w:ilvl w:val="12"/>
                <w:numId w:val="0"/>
              </w:numPr>
              <w:jc w:val="center"/>
              <w:rPr>
                <w:b/>
                <w:szCs w:val="22"/>
              </w:rPr>
            </w:pPr>
            <w:r w:rsidRPr="00C47DBD">
              <w:rPr>
                <w:b/>
                <w:szCs w:val="22"/>
              </w:rPr>
              <w:t>$</w:t>
            </w:r>
            <w:r w:rsidR="00DF2AB5">
              <w:rPr>
                <w:b/>
                <w:szCs w:val="22"/>
              </w:rPr>
              <w:t>4,454.60</w:t>
            </w:r>
          </w:p>
        </w:tc>
      </w:tr>
    </w:tbl>
    <w:p w:rsidR="000E57D3" w:rsidRPr="000E57D3" w:rsidRDefault="000E57D3" w:rsidP="00562093">
      <w:pPr>
        <w:keepNext/>
        <w:keepLines/>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907D5" w:rsidRPr="00C47DBD" w:rsidRDefault="009907D5" w:rsidP="00C47DBD">
      <w:pPr>
        <w:keepNext/>
        <w:keepLines/>
        <w:widowControl/>
        <w:numPr>
          <w:ilvl w:val="12"/>
          <w:numId w:val="0"/>
        </w:numPr>
        <w:ind w:left="1080" w:hanging="180"/>
      </w:pPr>
      <w:r w:rsidRPr="00C47DBD">
        <w:rPr>
          <w:vertAlign w:val="superscript"/>
        </w:rPr>
        <w:t>a</w:t>
      </w:r>
      <w:r w:rsidR="00C47DBD" w:rsidRPr="00C47DBD">
        <w:tab/>
      </w:r>
      <w:r w:rsidR="00A11546" w:rsidRPr="00C47DBD">
        <w:t>20</w:t>
      </w:r>
      <w:r w:rsidR="00A11546">
        <w:t>12</w:t>
      </w:r>
      <w:r w:rsidR="00A11546" w:rsidRPr="00C47DBD">
        <w:t xml:space="preserve"> </w:t>
      </w:r>
      <w:r w:rsidRPr="00C47DBD">
        <w:t>dollars.</w:t>
      </w:r>
    </w:p>
    <w:p w:rsidR="009907D5" w:rsidRPr="00C47DBD" w:rsidRDefault="009907D5" w:rsidP="00C47DBD">
      <w:pPr>
        <w:keepNext/>
        <w:keepLines/>
        <w:widowControl/>
        <w:numPr>
          <w:ilvl w:val="12"/>
          <w:numId w:val="0"/>
        </w:numPr>
        <w:ind w:left="1080" w:hanging="180"/>
      </w:pPr>
      <w:r w:rsidRPr="00C47DBD">
        <w:rPr>
          <w:vertAlign w:val="superscript"/>
        </w:rPr>
        <w:t>b</w:t>
      </w:r>
      <w:r w:rsidR="00C47DBD" w:rsidRPr="00C47DBD">
        <w:tab/>
      </w:r>
      <w:r w:rsidRPr="00C47DBD">
        <w:t xml:space="preserve">Assumes </w:t>
      </w:r>
      <w:r w:rsidR="00226008" w:rsidRPr="00C47DBD">
        <w:t xml:space="preserve">40 </w:t>
      </w:r>
      <w:r w:rsidRPr="00C47DBD">
        <w:t>transfer</w:t>
      </w:r>
      <w:r w:rsidR="007F15F7">
        <w:t xml:space="preserve"> form</w:t>
      </w:r>
      <w:r w:rsidRPr="00C47DBD">
        <w:t xml:space="preserve">s and </w:t>
      </w:r>
      <w:r w:rsidR="00863F67">
        <w:t>20</w:t>
      </w:r>
      <w:r w:rsidR="00863F67" w:rsidRPr="00C47DBD">
        <w:t xml:space="preserve"> </w:t>
      </w:r>
      <w:r w:rsidRPr="00C47DBD">
        <w:t>optional deduction forms are submitted annually.</w:t>
      </w:r>
    </w:p>
    <w:p w:rsidR="009907D5" w:rsidRDefault="009907D5" w:rsidP="00E90E93">
      <w:pPr>
        <w:widowControl/>
        <w:numPr>
          <w:ilvl w:val="12"/>
          <w:numId w:val="0"/>
        </w:numPr>
        <w:rPr>
          <w:sz w:val="24"/>
          <w:szCs w:val="24"/>
        </w:rPr>
      </w:pPr>
    </w:p>
    <w:p w:rsidR="009907D5" w:rsidRDefault="009907D5" w:rsidP="00A11360">
      <w:pPr>
        <w:widowControl/>
        <w:numPr>
          <w:ilvl w:val="12"/>
          <w:numId w:val="0"/>
        </w:numPr>
        <w:ind w:left="360"/>
        <w:rPr>
          <w:sz w:val="24"/>
          <w:szCs w:val="24"/>
        </w:rPr>
      </w:pPr>
      <w:r>
        <w:rPr>
          <w:b/>
          <w:bCs/>
          <w:sz w:val="24"/>
          <w:szCs w:val="24"/>
        </w:rPr>
        <w:t>6.</w:t>
      </w:r>
      <w:r w:rsidR="000018B4">
        <w:rPr>
          <w:b/>
          <w:bCs/>
          <w:sz w:val="24"/>
          <w:szCs w:val="24"/>
        </w:rPr>
        <w:t>2</w:t>
      </w:r>
      <w:r w:rsidR="00A11360">
        <w:rPr>
          <w:b/>
          <w:bCs/>
          <w:sz w:val="24"/>
          <w:szCs w:val="24"/>
        </w:rPr>
        <w:t xml:space="preserve">  </w:t>
      </w:r>
      <w:r>
        <w:rPr>
          <w:b/>
          <w:bCs/>
          <w:sz w:val="24"/>
          <w:szCs w:val="24"/>
        </w:rPr>
        <w:t>Obtaining and Issuing Permits</w:t>
      </w:r>
    </w:p>
    <w:p w:rsidR="009907D5" w:rsidRDefault="009907D5" w:rsidP="00E90E93">
      <w:pPr>
        <w:widowControl/>
        <w:numPr>
          <w:ilvl w:val="12"/>
          <w:numId w:val="0"/>
        </w:numPr>
        <w:rPr>
          <w:sz w:val="24"/>
          <w:szCs w:val="24"/>
        </w:rPr>
      </w:pPr>
    </w:p>
    <w:p w:rsidR="009907D5" w:rsidRDefault="009907D5" w:rsidP="00E90E93">
      <w:pPr>
        <w:widowControl/>
        <w:numPr>
          <w:ilvl w:val="12"/>
          <w:numId w:val="0"/>
        </w:numPr>
        <w:rPr>
          <w:sz w:val="24"/>
          <w:szCs w:val="24"/>
        </w:rPr>
      </w:pPr>
      <w:r>
        <w:rPr>
          <w:sz w:val="24"/>
          <w:szCs w:val="24"/>
        </w:rPr>
        <w:tab/>
        <w:t>This part presents estimates of the level of effort required and the associated costs to permit applicants and either EPA or the permitting authority of obtaining and issuing permits</w:t>
      </w:r>
      <w:r w:rsidR="00CE3ABF">
        <w:rPr>
          <w:sz w:val="24"/>
          <w:szCs w:val="24"/>
        </w:rPr>
        <w:t xml:space="preserve">. </w:t>
      </w:r>
      <w:r>
        <w:rPr>
          <w:sz w:val="24"/>
          <w:szCs w:val="24"/>
        </w:rPr>
        <w:t>This analysis estimates the cost and burden for new sources required to obtain permits for Phase II, for sources changing designated representatives, and sources renewing their permit</w:t>
      </w:r>
      <w:r w:rsidR="00562093">
        <w:rPr>
          <w:sz w:val="24"/>
          <w:szCs w:val="24"/>
        </w:rPr>
        <w:t xml:space="preserve">.  </w:t>
      </w:r>
    </w:p>
    <w:p w:rsidR="00944E8F" w:rsidRDefault="00944E8F" w:rsidP="00E90E93">
      <w:pPr>
        <w:widowControl/>
        <w:numPr>
          <w:ilvl w:val="12"/>
          <w:numId w:val="0"/>
        </w:numPr>
        <w:rPr>
          <w:sz w:val="24"/>
          <w:szCs w:val="24"/>
        </w:rPr>
      </w:pPr>
    </w:p>
    <w:p w:rsidR="009907D5" w:rsidRDefault="009907D5" w:rsidP="00E90E93">
      <w:pPr>
        <w:widowControl/>
        <w:numPr>
          <w:ilvl w:val="12"/>
          <w:numId w:val="0"/>
        </w:numPr>
        <w:rPr>
          <w:sz w:val="24"/>
          <w:szCs w:val="24"/>
        </w:rPr>
      </w:pPr>
      <w:r>
        <w:rPr>
          <w:sz w:val="24"/>
          <w:szCs w:val="24"/>
        </w:rPr>
        <w:tab/>
        <w:t>All applicants for permits will be required to submit a general acid rain permit application for each affected source that covers all units at the source.</w:t>
      </w:r>
    </w:p>
    <w:p w:rsidR="009907D5" w:rsidRDefault="009907D5" w:rsidP="00E90E93">
      <w:pPr>
        <w:widowControl/>
        <w:numPr>
          <w:ilvl w:val="12"/>
          <w:numId w:val="0"/>
        </w:numPr>
        <w:rPr>
          <w:sz w:val="24"/>
          <w:szCs w:val="24"/>
        </w:rPr>
      </w:pPr>
    </w:p>
    <w:p w:rsidR="009907D5" w:rsidRDefault="009907D5" w:rsidP="00913870">
      <w:pPr>
        <w:widowControl/>
        <w:numPr>
          <w:ilvl w:val="12"/>
          <w:numId w:val="0"/>
        </w:numPr>
        <w:ind w:left="720"/>
        <w:rPr>
          <w:sz w:val="24"/>
          <w:szCs w:val="24"/>
        </w:rPr>
      </w:pPr>
      <w:r>
        <w:rPr>
          <w:b/>
          <w:bCs/>
          <w:sz w:val="24"/>
          <w:szCs w:val="24"/>
        </w:rPr>
        <w:t>6.</w:t>
      </w:r>
      <w:r w:rsidR="000018B4">
        <w:rPr>
          <w:b/>
          <w:bCs/>
          <w:sz w:val="24"/>
          <w:szCs w:val="24"/>
        </w:rPr>
        <w:t>2</w:t>
      </w:r>
      <w:r>
        <w:rPr>
          <w:b/>
          <w:bCs/>
          <w:sz w:val="24"/>
          <w:szCs w:val="24"/>
        </w:rPr>
        <w:t>.1  Estimate of Respondent Burden and Costs for Permitting</w:t>
      </w:r>
    </w:p>
    <w:p w:rsidR="009907D5" w:rsidRDefault="009907D5" w:rsidP="00E90E93">
      <w:pPr>
        <w:widowControl/>
        <w:numPr>
          <w:ilvl w:val="12"/>
          <w:numId w:val="0"/>
        </w:numPr>
        <w:rPr>
          <w:sz w:val="24"/>
          <w:szCs w:val="24"/>
        </w:rPr>
      </w:pPr>
    </w:p>
    <w:p w:rsidR="009907D5" w:rsidRDefault="009907D5" w:rsidP="00E90E93">
      <w:pPr>
        <w:widowControl/>
        <w:numPr>
          <w:ilvl w:val="12"/>
          <w:numId w:val="0"/>
        </w:numPr>
        <w:rPr>
          <w:sz w:val="24"/>
          <w:szCs w:val="24"/>
        </w:rPr>
      </w:pPr>
      <w:r>
        <w:rPr>
          <w:sz w:val="24"/>
          <w:szCs w:val="24"/>
        </w:rPr>
        <w:tab/>
        <w:t xml:space="preserve">Exhibit </w:t>
      </w:r>
      <w:r w:rsidR="00D37C1D">
        <w:rPr>
          <w:sz w:val="24"/>
          <w:szCs w:val="24"/>
        </w:rPr>
        <w:t xml:space="preserve">3 </w:t>
      </w:r>
      <w:r>
        <w:rPr>
          <w:sz w:val="24"/>
          <w:szCs w:val="24"/>
        </w:rPr>
        <w:t>depicts the burden and costs to respondents for (1) selecting a new designated representative, (2) submitting Phase II permit application, (3) submitting a retired unit exemption, and (4) submitting a new unit exemption</w:t>
      </w:r>
      <w:r w:rsidR="00CE3ABF">
        <w:rPr>
          <w:sz w:val="24"/>
          <w:szCs w:val="24"/>
        </w:rPr>
        <w:t xml:space="preserve">. </w:t>
      </w:r>
      <w:r>
        <w:rPr>
          <w:sz w:val="24"/>
          <w:szCs w:val="24"/>
        </w:rPr>
        <w:t xml:space="preserve">Based on the past two years of operation, EPA assumes that each </w:t>
      </w:r>
      <w:r w:rsidRPr="00A713FE">
        <w:rPr>
          <w:sz w:val="24"/>
          <w:szCs w:val="24"/>
        </w:rPr>
        <w:t xml:space="preserve">year </w:t>
      </w:r>
      <w:r w:rsidR="00A713FE">
        <w:rPr>
          <w:sz w:val="24"/>
          <w:szCs w:val="24"/>
        </w:rPr>
        <w:t>1,</w:t>
      </w:r>
      <w:r w:rsidR="00D1429A">
        <w:rPr>
          <w:sz w:val="24"/>
          <w:szCs w:val="24"/>
        </w:rPr>
        <w:t xml:space="preserve">200 </w:t>
      </w:r>
      <w:r>
        <w:rPr>
          <w:sz w:val="24"/>
          <w:szCs w:val="24"/>
        </w:rPr>
        <w:t xml:space="preserve">Certificate of </w:t>
      </w:r>
      <w:r w:rsidR="00A713FE">
        <w:rPr>
          <w:sz w:val="24"/>
          <w:szCs w:val="24"/>
        </w:rPr>
        <w:t xml:space="preserve">Representation </w:t>
      </w:r>
      <w:r>
        <w:rPr>
          <w:sz w:val="24"/>
          <w:szCs w:val="24"/>
        </w:rPr>
        <w:t>forms will be submitted to appoint new</w:t>
      </w:r>
      <w:r w:rsidR="00913870">
        <w:rPr>
          <w:sz w:val="24"/>
          <w:szCs w:val="24"/>
        </w:rPr>
        <w:t xml:space="preserve"> designated representatives, 20 percent</w:t>
      </w:r>
      <w:r>
        <w:rPr>
          <w:sz w:val="24"/>
          <w:szCs w:val="24"/>
        </w:rPr>
        <w:t xml:space="preserve"> of all sources will submit Phase II permit applications (this number includes both new sources and sources renewing their permits), 33 units will submit retired unit exemptions, and 33 units will submit new unit exemptions</w:t>
      </w:r>
      <w:r w:rsidR="00562093">
        <w:rPr>
          <w:sz w:val="24"/>
          <w:szCs w:val="24"/>
        </w:rPr>
        <w:t xml:space="preserve">.  </w:t>
      </w:r>
    </w:p>
    <w:p w:rsidR="009907D5" w:rsidRDefault="009907D5" w:rsidP="00E90E93">
      <w:pPr>
        <w:widowControl/>
        <w:numPr>
          <w:ilvl w:val="12"/>
          <w:numId w:val="0"/>
        </w:numPr>
        <w:rPr>
          <w:sz w:val="24"/>
          <w:szCs w:val="24"/>
        </w:rPr>
      </w:pPr>
      <w:r>
        <w:rPr>
          <w:sz w:val="24"/>
          <w:szCs w:val="24"/>
        </w:rPr>
        <w:tab/>
        <w:t xml:space="preserve">The total annual respondent burden is estimated to </w:t>
      </w:r>
      <w:r w:rsidRPr="00A713FE">
        <w:rPr>
          <w:sz w:val="24"/>
          <w:szCs w:val="24"/>
        </w:rPr>
        <w:t xml:space="preserve">be </w:t>
      </w:r>
      <w:r w:rsidR="00DF2AB5">
        <w:rPr>
          <w:sz w:val="24"/>
          <w:szCs w:val="24"/>
        </w:rPr>
        <w:t>19,481</w:t>
      </w:r>
      <w:r>
        <w:rPr>
          <w:sz w:val="24"/>
          <w:szCs w:val="24"/>
        </w:rPr>
        <w:t xml:space="preserve"> hours</w:t>
      </w:r>
      <w:r w:rsidR="00CE3ABF">
        <w:rPr>
          <w:sz w:val="24"/>
          <w:szCs w:val="24"/>
        </w:rPr>
        <w:t xml:space="preserve">. </w:t>
      </w:r>
      <w:r>
        <w:rPr>
          <w:sz w:val="24"/>
          <w:szCs w:val="24"/>
        </w:rPr>
        <w:t>The costs associated with the permitting process are estimated at $</w:t>
      </w:r>
      <w:r w:rsidR="00B82D8E" w:rsidRPr="00B82D8E">
        <w:rPr>
          <w:sz w:val="24"/>
          <w:szCs w:val="24"/>
        </w:rPr>
        <w:t>1,</w:t>
      </w:r>
      <w:r w:rsidR="00D1429A">
        <w:rPr>
          <w:sz w:val="24"/>
          <w:szCs w:val="24"/>
        </w:rPr>
        <w:t>740,465.67</w:t>
      </w:r>
      <w:r w:rsidR="00B82D8E" w:rsidRPr="00B82D8E">
        <w:rPr>
          <w:sz w:val="24"/>
          <w:szCs w:val="24"/>
        </w:rPr>
        <w:t xml:space="preserve"> </w:t>
      </w:r>
      <w:r>
        <w:rPr>
          <w:sz w:val="24"/>
          <w:szCs w:val="24"/>
        </w:rPr>
        <w:t>annually.</w:t>
      </w:r>
    </w:p>
    <w:p w:rsidR="009907D5" w:rsidRPr="005454C6" w:rsidRDefault="009907D5" w:rsidP="00E90E93">
      <w:pPr>
        <w:keepNext/>
        <w:keepLines/>
        <w:widowControl/>
        <w:numPr>
          <w:ilvl w:val="12"/>
          <w:numId w:val="0"/>
        </w:numPr>
        <w:jc w:val="center"/>
        <w:rPr>
          <w:b/>
          <w:sz w:val="24"/>
          <w:szCs w:val="24"/>
        </w:rPr>
      </w:pPr>
      <w:r w:rsidRPr="005454C6">
        <w:rPr>
          <w:b/>
          <w:sz w:val="24"/>
          <w:szCs w:val="24"/>
        </w:rPr>
        <w:lastRenderedPageBreak/>
        <w:t xml:space="preserve">EXHIBIT </w:t>
      </w:r>
      <w:r w:rsidR="00A11546">
        <w:rPr>
          <w:b/>
          <w:sz w:val="24"/>
          <w:szCs w:val="24"/>
        </w:rPr>
        <w:t>3</w:t>
      </w:r>
    </w:p>
    <w:p w:rsidR="009907D5" w:rsidRPr="005454C6" w:rsidRDefault="009907D5" w:rsidP="00E90E93">
      <w:pPr>
        <w:keepNext/>
        <w:keepLines/>
        <w:widowControl/>
        <w:numPr>
          <w:ilvl w:val="12"/>
          <w:numId w:val="0"/>
        </w:numPr>
        <w:jc w:val="center"/>
        <w:rPr>
          <w:b/>
          <w:sz w:val="24"/>
          <w:szCs w:val="24"/>
        </w:rPr>
      </w:pPr>
      <w:r w:rsidRPr="005454C6">
        <w:rPr>
          <w:b/>
          <w:sz w:val="24"/>
          <w:szCs w:val="24"/>
        </w:rPr>
        <w:t>RESPONDENT BURDEN/COST ESTIMATES FOR PERMITS</w:t>
      </w:r>
    </w:p>
    <w:p w:rsidR="005454C6" w:rsidRDefault="005454C6" w:rsidP="00E90E93">
      <w:pPr>
        <w:keepNext/>
        <w:keepLines/>
        <w:widowControl/>
        <w:numPr>
          <w:ilvl w:val="12"/>
          <w:numId w:val="0"/>
        </w:numPr>
        <w:jc w:val="center"/>
        <w:rPr>
          <w:sz w:val="24"/>
          <w:szCs w:val="24"/>
        </w:rPr>
      </w:pPr>
    </w:p>
    <w:tbl>
      <w:tblPr>
        <w:tblW w:w="9360" w:type="dxa"/>
        <w:jc w:val="center"/>
        <w:tblLayout w:type="fixed"/>
        <w:tblCellMar>
          <w:top w:w="72" w:type="dxa"/>
          <w:left w:w="72" w:type="dxa"/>
          <w:bottom w:w="72" w:type="dxa"/>
          <w:right w:w="72" w:type="dxa"/>
        </w:tblCellMar>
        <w:tblLook w:val="0000"/>
      </w:tblPr>
      <w:tblGrid>
        <w:gridCol w:w="3237"/>
        <w:gridCol w:w="1708"/>
        <w:gridCol w:w="1438"/>
        <w:gridCol w:w="1625"/>
        <w:gridCol w:w="1352"/>
      </w:tblGrid>
      <w:tr w:rsidR="009907D5" w:rsidRPr="005454C6" w:rsidTr="00E32593">
        <w:trPr>
          <w:cantSplit/>
          <w:jc w:val="center"/>
        </w:trPr>
        <w:tc>
          <w:tcPr>
            <w:tcW w:w="3237" w:type="dxa"/>
            <w:tcBorders>
              <w:top w:val="double" w:sz="6" w:space="0" w:color="auto"/>
              <w:left w:val="double" w:sz="6" w:space="0" w:color="auto"/>
              <w:bottom w:val="single" w:sz="6" w:space="0" w:color="auto"/>
              <w:right w:val="nil"/>
            </w:tcBorders>
            <w:shd w:val="pct10" w:color="auto" w:fill="auto"/>
            <w:vAlign w:val="bottom"/>
          </w:tcPr>
          <w:p w:rsidR="009907D5" w:rsidRPr="005454C6" w:rsidRDefault="009907D5" w:rsidP="005454C6">
            <w:pPr>
              <w:keepNext/>
              <w:keepLines/>
              <w:widowControl/>
              <w:numPr>
                <w:ilvl w:val="12"/>
                <w:numId w:val="0"/>
              </w:numPr>
              <w:jc w:val="center"/>
              <w:rPr>
                <w:b/>
                <w:sz w:val="22"/>
                <w:szCs w:val="22"/>
              </w:rPr>
            </w:pPr>
            <w:r w:rsidRPr="005454C6">
              <w:rPr>
                <w:b/>
                <w:sz w:val="22"/>
                <w:szCs w:val="22"/>
              </w:rPr>
              <w:t>Tasks</w:t>
            </w:r>
          </w:p>
        </w:tc>
        <w:tc>
          <w:tcPr>
            <w:tcW w:w="1708" w:type="dxa"/>
            <w:tcBorders>
              <w:top w:val="double" w:sz="6" w:space="0" w:color="auto"/>
              <w:left w:val="single" w:sz="6" w:space="0" w:color="auto"/>
              <w:bottom w:val="single" w:sz="6" w:space="0" w:color="auto"/>
              <w:right w:val="nil"/>
            </w:tcBorders>
            <w:shd w:val="pct10" w:color="auto" w:fill="auto"/>
            <w:vAlign w:val="bottom"/>
          </w:tcPr>
          <w:p w:rsidR="009907D5" w:rsidRPr="005454C6" w:rsidRDefault="00302E48" w:rsidP="005454C6">
            <w:pPr>
              <w:keepNext/>
              <w:keepLines/>
              <w:widowControl/>
              <w:numPr>
                <w:ilvl w:val="12"/>
                <w:numId w:val="0"/>
              </w:numPr>
              <w:jc w:val="center"/>
              <w:rPr>
                <w:b/>
                <w:sz w:val="22"/>
                <w:szCs w:val="22"/>
              </w:rPr>
            </w:pPr>
            <w:r>
              <w:rPr>
                <w:b/>
                <w:sz w:val="22"/>
                <w:szCs w:val="22"/>
              </w:rPr>
              <w:t>Burden Hours p</w:t>
            </w:r>
            <w:r w:rsidR="009907D5" w:rsidRPr="005454C6">
              <w:rPr>
                <w:b/>
                <w:sz w:val="22"/>
                <w:szCs w:val="22"/>
              </w:rPr>
              <w:t>er Occurrence</w:t>
            </w:r>
          </w:p>
        </w:tc>
        <w:tc>
          <w:tcPr>
            <w:tcW w:w="1438" w:type="dxa"/>
            <w:tcBorders>
              <w:top w:val="double" w:sz="6" w:space="0" w:color="auto"/>
              <w:left w:val="single" w:sz="6" w:space="0" w:color="auto"/>
              <w:bottom w:val="single" w:sz="6" w:space="0" w:color="auto"/>
              <w:right w:val="nil"/>
            </w:tcBorders>
            <w:shd w:val="pct10" w:color="auto" w:fill="auto"/>
            <w:vAlign w:val="bottom"/>
          </w:tcPr>
          <w:p w:rsidR="009907D5" w:rsidRPr="005454C6" w:rsidRDefault="00302E48" w:rsidP="005454C6">
            <w:pPr>
              <w:keepNext/>
              <w:keepLines/>
              <w:widowControl/>
              <w:numPr>
                <w:ilvl w:val="12"/>
                <w:numId w:val="0"/>
              </w:numPr>
              <w:jc w:val="center"/>
              <w:rPr>
                <w:b/>
                <w:sz w:val="22"/>
                <w:szCs w:val="22"/>
              </w:rPr>
            </w:pPr>
            <w:r>
              <w:rPr>
                <w:b/>
                <w:sz w:val="22"/>
                <w:szCs w:val="22"/>
              </w:rPr>
              <w:t>Cost p</w:t>
            </w:r>
            <w:r w:rsidR="009907D5" w:rsidRPr="005454C6">
              <w:rPr>
                <w:b/>
                <w:sz w:val="22"/>
                <w:szCs w:val="22"/>
              </w:rPr>
              <w:t xml:space="preserve">er </w:t>
            </w:r>
            <w:proofErr w:type="spellStart"/>
            <w:r w:rsidR="009907D5" w:rsidRPr="005454C6">
              <w:rPr>
                <w:b/>
                <w:sz w:val="22"/>
                <w:szCs w:val="22"/>
              </w:rPr>
              <w:t>Occurrence</w:t>
            </w:r>
            <w:r w:rsidR="009907D5" w:rsidRPr="005454C6">
              <w:rPr>
                <w:b/>
                <w:sz w:val="22"/>
                <w:szCs w:val="22"/>
                <w:vertAlign w:val="superscript"/>
              </w:rPr>
              <w:t>a</w:t>
            </w:r>
            <w:proofErr w:type="spellEnd"/>
          </w:p>
        </w:tc>
        <w:tc>
          <w:tcPr>
            <w:tcW w:w="1625" w:type="dxa"/>
            <w:tcBorders>
              <w:top w:val="double" w:sz="6" w:space="0" w:color="auto"/>
              <w:left w:val="single" w:sz="6" w:space="0" w:color="auto"/>
              <w:bottom w:val="single" w:sz="6" w:space="0" w:color="auto"/>
              <w:right w:val="nil"/>
            </w:tcBorders>
            <w:shd w:val="pct10" w:color="auto" w:fill="auto"/>
            <w:vAlign w:val="bottom"/>
          </w:tcPr>
          <w:p w:rsidR="009907D5" w:rsidRPr="005454C6" w:rsidRDefault="009907D5" w:rsidP="005454C6">
            <w:pPr>
              <w:keepNext/>
              <w:keepLines/>
              <w:widowControl/>
              <w:numPr>
                <w:ilvl w:val="12"/>
                <w:numId w:val="0"/>
              </w:numPr>
              <w:jc w:val="center"/>
              <w:rPr>
                <w:b/>
                <w:sz w:val="22"/>
                <w:szCs w:val="22"/>
              </w:rPr>
            </w:pPr>
            <w:r w:rsidRPr="005454C6">
              <w:rPr>
                <w:b/>
                <w:sz w:val="22"/>
                <w:szCs w:val="22"/>
              </w:rPr>
              <w:t>Total Burden</w:t>
            </w:r>
          </w:p>
        </w:tc>
        <w:tc>
          <w:tcPr>
            <w:tcW w:w="1352" w:type="dxa"/>
            <w:tcBorders>
              <w:top w:val="double" w:sz="6" w:space="0" w:color="auto"/>
              <w:left w:val="single" w:sz="6" w:space="0" w:color="auto"/>
              <w:bottom w:val="single" w:sz="6" w:space="0" w:color="auto"/>
              <w:right w:val="double" w:sz="6" w:space="0" w:color="auto"/>
            </w:tcBorders>
            <w:shd w:val="pct10" w:color="auto" w:fill="auto"/>
            <w:vAlign w:val="bottom"/>
          </w:tcPr>
          <w:p w:rsidR="009907D5" w:rsidRPr="005454C6" w:rsidRDefault="009907D5" w:rsidP="005454C6">
            <w:pPr>
              <w:keepNext/>
              <w:keepLines/>
              <w:widowControl/>
              <w:numPr>
                <w:ilvl w:val="12"/>
                <w:numId w:val="0"/>
              </w:numPr>
              <w:jc w:val="center"/>
              <w:rPr>
                <w:b/>
                <w:sz w:val="22"/>
                <w:szCs w:val="22"/>
              </w:rPr>
            </w:pPr>
            <w:r w:rsidRPr="005454C6">
              <w:rPr>
                <w:b/>
                <w:sz w:val="22"/>
                <w:szCs w:val="22"/>
              </w:rPr>
              <w:t>Total Cost</w:t>
            </w:r>
          </w:p>
        </w:tc>
      </w:tr>
      <w:tr w:rsidR="009907D5" w:rsidRPr="005454C6" w:rsidTr="00E32593">
        <w:trPr>
          <w:cantSplit/>
          <w:jc w:val="center"/>
        </w:trPr>
        <w:tc>
          <w:tcPr>
            <w:tcW w:w="3237" w:type="dxa"/>
            <w:tcBorders>
              <w:top w:val="single" w:sz="6" w:space="0" w:color="auto"/>
              <w:left w:val="double" w:sz="6" w:space="0" w:color="auto"/>
              <w:bottom w:val="nil"/>
              <w:right w:val="nil"/>
            </w:tcBorders>
          </w:tcPr>
          <w:p w:rsidR="009907D5" w:rsidRPr="005454C6" w:rsidRDefault="009907D5" w:rsidP="00E90E93">
            <w:pPr>
              <w:keepNext/>
              <w:keepLines/>
              <w:widowControl/>
              <w:numPr>
                <w:ilvl w:val="12"/>
                <w:numId w:val="0"/>
              </w:numPr>
            </w:pPr>
            <w:r w:rsidRPr="005454C6">
              <w:t xml:space="preserve">Change Designated </w:t>
            </w:r>
            <w:proofErr w:type="spellStart"/>
            <w:r w:rsidRPr="005454C6">
              <w:t>Representive</w:t>
            </w:r>
            <w:r w:rsidR="00302E48">
              <w:t>.</w:t>
            </w:r>
            <w:r w:rsidRPr="005454C6">
              <w:rPr>
                <w:vertAlign w:val="superscript"/>
              </w:rPr>
              <w:t>b</w:t>
            </w:r>
            <w:proofErr w:type="spellEnd"/>
          </w:p>
        </w:tc>
        <w:tc>
          <w:tcPr>
            <w:tcW w:w="1708" w:type="dxa"/>
            <w:tcBorders>
              <w:top w:val="single" w:sz="6" w:space="0" w:color="auto"/>
              <w:left w:val="single" w:sz="6" w:space="0" w:color="auto"/>
              <w:bottom w:val="nil"/>
              <w:right w:val="nil"/>
            </w:tcBorders>
            <w:vAlign w:val="bottom"/>
          </w:tcPr>
          <w:p w:rsidR="009907D5" w:rsidRPr="005454C6" w:rsidRDefault="009907D5" w:rsidP="00E90E93">
            <w:pPr>
              <w:keepNext/>
              <w:keepLines/>
              <w:widowControl/>
              <w:numPr>
                <w:ilvl w:val="12"/>
                <w:numId w:val="0"/>
              </w:numPr>
              <w:jc w:val="center"/>
            </w:pPr>
          </w:p>
        </w:tc>
        <w:tc>
          <w:tcPr>
            <w:tcW w:w="1438" w:type="dxa"/>
            <w:tcBorders>
              <w:top w:val="single" w:sz="6" w:space="0" w:color="auto"/>
              <w:left w:val="single" w:sz="6" w:space="0" w:color="auto"/>
              <w:bottom w:val="nil"/>
              <w:right w:val="nil"/>
            </w:tcBorders>
            <w:vAlign w:val="bottom"/>
          </w:tcPr>
          <w:p w:rsidR="009907D5" w:rsidRPr="005454C6" w:rsidRDefault="009907D5" w:rsidP="00E90E93">
            <w:pPr>
              <w:keepNext/>
              <w:keepLines/>
              <w:widowControl/>
              <w:numPr>
                <w:ilvl w:val="12"/>
                <w:numId w:val="0"/>
              </w:numPr>
              <w:jc w:val="center"/>
            </w:pPr>
          </w:p>
        </w:tc>
        <w:tc>
          <w:tcPr>
            <w:tcW w:w="1625" w:type="dxa"/>
            <w:tcBorders>
              <w:top w:val="single" w:sz="6" w:space="0" w:color="auto"/>
              <w:left w:val="single" w:sz="6" w:space="0" w:color="auto"/>
              <w:bottom w:val="nil"/>
              <w:right w:val="nil"/>
            </w:tcBorders>
            <w:vAlign w:val="bottom"/>
          </w:tcPr>
          <w:p w:rsidR="009907D5" w:rsidRPr="005454C6" w:rsidRDefault="009907D5" w:rsidP="00E90E93">
            <w:pPr>
              <w:keepNext/>
              <w:keepLines/>
              <w:widowControl/>
              <w:numPr>
                <w:ilvl w:val="12"/>
                <w:numId w:val="0"/>
              </w:numPr>
              <w:jc w:val="center"/>
            </w:pPr>
          </w:p>
        </w:tc>
        <w:tc>
          <w:tcPr>
            <w:tcW w:w="1352" w:type="dxa"/>
            <w:tcBorders>
              <w:top w:val="single" w:sz="6" w:space="0" w:color="auto"/>
              <w:left w:val="single" w:sz="6" w:space="0" w:color="auto"/>
              <w:bottom w:val="nil"/>
              <w:right w:val="double" w:sz="6" w:space="0" w:color="auto"/>
            </w:tcBorders>
            <w:vAlign w:val="bottom"/>
          </w:tcPr>
          <w:p w:rsidR="009907D5" w:rsidRPr="005454C6" w:rsidRDefault="009907D5" w:rsidP="00E90E93">
            <w:pPr>
              <w:keepNext/>
              <w:keepLines/>
              <w:widowControl/>
              <w:numPr>
                <w:ilvl w:val="12"/>
                <w:numId w:val="0"/>
              </w:numPr>
              <w:jc w:val="center"/>
            </w:pPr>
          </w:p>
        </w:tc>
      </w:tr>
      <w:tr w:rsidR="005B5241" w:rsidRPr="005454C6" w:rsidTr="00E32593">
        <w:trPr>
          <w:cantSplit/>
          <w:jc w:val="center"/>
        </w:trPr>
        <w:tc>
          <w:tcPr>
            <w:tcW w:w="3237" w:type="dxa"/>
            <w:tcBorders>
              <w:top w:val="nil"/>
              <w:left w:val="double" w:sz="6" w:space="0" w:color="auto"/>
              <w:bottom w:val="nil"/>
              <w:right w:val="nil"/>
            </w:tcBorders>
          </w:tcPr>
          <w:p w:rsidR="005B5241" w:rsidRPr="005454C6" w:rsidRDefault="005B5241" w:rsidP="005454C6">
            <w:pPr>
              <w:keepNext/>
              <w:keepLines/>
              <w:widowControl/>
              <w:numPr>
                <w:ilvl w:val="12"/>
                <w:numId w:val="0"/>
              </w:numPr>
              <w:ind w:left="378"/>
            </w:pPr>
            <w:r w:rsidRPr="005454C6">
              <w:t>Managerial</w:t>
            </w:r>
            <w:r w:rsidR="00B63804">
              <w:t>.</w:t>
            </w:r>
          </w:p>
        </w:tc>
        <w:tc>
          <w:tcPr>
            <w:tcW w:w="1708" w:type="dxa"/>
            <w:tcBorders>
              <w:top w:val="nil"/>
              <w:left w:val="single" w:sz="6" w:space="0" w:color="auto"/>
              <w:bottom w:val="nil"/>
              <w:right w:val="nil"/>
            </w:tcBorders>
            <w:vAlign w:val="bottom"/>
          </w:tcPr>
          <w:p w:rsidR="005B5241" w:rsidRPr="005454C6" w:rsidRDefault="005B5241" w:rsidP="00E90E93">
            <w:pPr>
              <w:keepNext/>
              <w:keepLines/>
              <w:widowControl/>
              <w:numPr>
                <w:ilvl w:val="12"/>
                <w:numId w:val="0"/>
              </w:numPr>
              <w:jc w:val="center"/>
            </w:pPr>
            <w:r w:rsidRPr="005454C6">
              <w:t>10</w:t>
            </w:r>
          </w:p>
        </w:tc>
        <w:tc>
          <w:tcPr>
            <w:tcW w:w="1438" w:type="dxa"/>
            <w:tcBorders>
              <w:top w:val="nil"/>
              <w:left w:val="single" w:sz="6" w:space="0" w:color="auto"/>
              <w:bottom w:val="nil"/>
              <w:right w:val="nil"/>
            </w:tcBorders>
            <w:vAlign w:val="bottom"/>
          </w:tcPr>
          <w:p w:rsidR="005B5241" w:rsidRPr="005454C6" w:rsidRDefault="00302E48" w:rsidP="00F4206D">
            <w:pPr>
              <w:keepNext/>
              <w:keepLines/>
              <w:widowControl/>
              <w:numPr>
                <w:ilvl w:val="12"/>
                <w:numId w:val="0"/>
              </w:numPr>
              <w:jc w:val="center"/>
            </w:pPr>
            <w:r>
              <w:t>$</w:t>
            </w:r>
            <w:r w:rsidR="00F4206D">
              <w:t>1,021.70</w:t>
            </w:r>
          </w:p>
        </w:tc>
        <w:tc>
          <w:tcPr>
            <w:tcW w:w="1625" w:type="dxa"/>
            <w:tcBorders>
              <w:top w:val="nil"/>
              <w:left w:val="single" w:sz="6" w:space="0" w:color="auto"/>
              <w:bottom w:val="nil"/>
              <w:right w:val="nil"/>
            </w:tcBorders>
            <w:vAlign w:val="bottom"/>
          </w:tcPr>
          <w:p w:rsidR="005B5241" w:rsidRPr="005454C6" w:rsidRDefault="005B5241" w:rsidP="00B21EC7">
            <w:pPr>
              <w:keepNext/>
              <w:keepLines/>
              <w:widowControl/>
              <w:numPr>
                <w:ilvl w:val="12"/>
                <w:numId w:val="0"/>
              </w:numPr>
              <w:jc w:val="center"/>
            </w:pPr>
            <w:r w:rsidRPr="005454C6">
              <w:t>12,</w:t>
            </w:r>
            <w:r w:rsidR="00B21EC7">
              <w:t>000</w:t>
            </w:r>
          </w:p>
        </w:tc>
        <w:tc>
          <w:tcPr>
            <w:tcW w:w="1352" w:type="dxa"/>
            <w:tcBorders>
              <w:top w:val="nil"/>
              <w:left w:val="single" w:sz="6" w:space="0" w:color="auto"/>
              <w:bottom w:val="nil"/>
              <w:right w:val="double" w:sz="6" w:space="0" w:color="auto"/>
            </w:tcBorders>
            <w:vAlign w:val="bottom"/>
          </w:tcPr>
          <w:p w:rsidR="005B5241" w:rsidRPr="005454C6" w:rsidRDefault="005B5241" w:rsidP="00D1429A">
            <w:pPr>
              <w:keepNext/>
              <w:keepLines/>
              <w:widowControl/>
              <w:numPr>
                <w:ilvl w:val="12"/>
                <w:numId w:val="0"/>
              </w:numPr>
              <w:jc w:val="center"/>
              <w:rPr>
                <w:highlight w:val="yellow"/>
              </w:rPr>
            </w:pPr>
            <w:r w:rsidRPr="005454C6">
              <w:t>$</w:t>
            </w:r>
            <w:r w:rsidR="00D1429A">
              <w:t>1,226,040.00</w:t>
            </w:r>
            <w:r w:rsidRPr="005454C6">
              <w:t xml:space="preserve"> </w:t>
            </w:r>
          </w:p>
        </w:tc>
      </w:tr>
      <w:tr w:rsidR="005B5241" w:rsidRPr="005454C6" w:rsidTr="00E32593">
        <w:trPr>
          <w:cantSplit/>
          <w:jc w:val="center"/>
        </w:trPr>
        <w:tc>
          <w:tcPr>
            <w:tcW w:w="3237" w:type="dxa"/>
            <w:tcBorders>
              <w:top w:val="nil"/>
              <w:left w:val="double" w:sz="6" w:space="0" w:color="auto"/>
              <w:bottom w:val="nil"/>
              <w:right w:val="nil"/>
            </w:tcBorders>
          </w:tcPr>
          <w:p w:rsidR="005B5241" w:rsidRPr="005454C6" w:rsidRDefault="005B5241" w:rsidP="005454C6">
            <w:pPr>
              <w:keepNext/>
              <w:keepLines/>
              <w:widowControl/>
              <w:numPr>
                <w:ilvl w:val="12"/>
                <w:numId w:val="0"/>
              </w:numPr>
              <w:ind w:left="378"/>
            </w:pPr>
            <w:r w:rsidRPr="005454C6">
              <w:t>Technical</w:t>
            </w:r>
            <w:r w:rsidR="00B63804">
              <w:t>.</w:t>
            </w:r>
          </w:p>
        </w:tc>
        <w:tc>
          <w:tcPr>
            <w:tcW w:w="1708" w:type="dxa"/>
            <w:tcBorders>
              <w:top w:val="nil"/>
              <w:left w:val="single" w:sz="6" w:space="0" w:color="auto"/>
              <w:bottom w:val="nil"/>
              <w:right w:val="nil"/>
            </w:tcBorders>
            <w:vAlign w:val="bottom"/>
          </w:tcPr>
          <w:p w:rsidR="005B5241" w:rsidRPr="005454C6" w:rsidRDefault="005B5241" w:rsidP="00E90E93">
            <w:pPr>
              <w:keepNext/>
              <w:keepLines/>
              <w:widowControl/>
              <w:numPr>
                <w:ilvl w:val="12"/>
                <w:numId w:val="0"/>
              </w:numPr>
              <w:jc w:val="center"/>
            </w:pPr>
            <w:r w:rsidRPr="005454C6">
              <w:t>5</w:t>
            </w:r>
          </w:p>
        </w:tc>
        <w:tc>
          <w:tcPr>
            <w:tcW w:w="1438" w:type="dxa"/>
            <w:tcBorders>
              <w:top w:val="nil"/>
              <w:left w:val="single" w:sz="6" w:space="0" w:color="auto"/>
              <w:bottom w:val="nil"/>
              <w:right w:val="nil"/>
            </w:tcBorders>
            <w:vAlign w:val="bottom"/>
          </w:tcPr>
          <w:p w:rsidR="005B5241" w:rsidRPr="005454C6" w:rsidRDefault="005B5241" w:rsidP="00F4206D">
            <w:pPr>
              <w:keepNext/>
              <w:keepLines/>
              <w:widowControl/>
              <w:numPr>
                <w:ilvl w:val="12"/>
                <w:numId w:val="0"/>
              </w:numPr>
              <w:jc w:val="center"/>
            </w:pPr>
            <w:r w:rsidRPr="005454C6">
              <w:t>$</w:t>
            </w:r>
            <w:r w:rsidR="00F4206D">
              <w:t>330.15</w:t>
            </w:r>
          </w:p>
        </w:tc>
        <w:tc>
          <w:tcPr>
            <w:tcW w:w="1625" w:type="dxa"/>
            <w:tcBorders>
              <w:top w:val="nil"/>
              <w:left w:val="single" w:sz="6" w:space="0" w:color="auto"/>
              <w:bottom w:val="nil"/>
              <w:right w:val="nil"/>
            </w:tcBorders>
            <w:vAlign w:val="bottom"/>
          </w:tcPr>
          <w:p w:rsidR="005B5241" w:rsidRPr="005454C6" w:rsidRDefault="005B5241" w:rsidP="00B21EC7">
            <w:pPr>
              <w:keepNext/>
              <w:keepLines/>
              <w:widowControl/>
              <w:numPr>
                <w:ilvl w:val="12"/>
                <w:numId w:val="0"/>
              </w:numPr>
              <w:jc w:val="center"/>
            </w:pPr>
            <w:r w:rsidRPr="005454C6">
              <w:t>6,</w:t>
            </w:r>
            <w:r w:rsidR="00B21EC7">
              <w:t>000</w:t>
            </w:r>
          </w:p>
        </w:tc>
        <w:tc>
          <w:tcPr>
            <w:tcW w:w="1352" w:type="dxa"/>
            <w:tcBorders>
              <w:top w:val="nil"/>
              <w:left w:val="single" w:sz="6" w:space="0" w:color="auto"/>
              <w:bottom w:val="nil"/>
              <w:right w:val="double" w:sz="6" w:space="0" w:color="auto"/>
            </w:tcBorders>
            <w:vAlign w:val="bottom"/>
          </w:tcPr>
          <w:p w:rsidR="005B5241" w:rsidRPr="005454C6" w:rsidRDefault="005B5241" w:rsidP="00D1429A">
            <w:pPr>
              <w:keepNext/>
              <w:keepLines/>
              <w:widowControl/>
              <w:numPr>
                <w:ilvl w:val="12"/>
                <w:numId w:val="0"/>
              </w:numPr>
              <w:jc w:val="center"/>
              <w:rPr>
                <w:highlight w:val="yellow"/>
              </w:rPr>
            </w:pPr>
            <w:r w:rsidRPr="005454C6">
              <w:t xml:space="preserve">$  </w:t>
            </w:r>
            <w:r w:rsidR="00D1429A">
              <w:t>396,180.00</w:t>
            </w:r>
            <w:r w:rsidRPr="005454C6">
              <w:t xml:space="preserve"> </w:t>
            </w:r>
          </w:p>
        </w:tc>
      </w:tr>
      <w:tr w:rsidR="009907D5" w:rsidRPr="005454C6" w:rsidTr="00E32593">
        <w:trPr>
          <w:cantSplit/>
          <w:jc w:val="center"/>
        </w:trPr>
        <w:tc>
          <w:tcPr>
            <w:tcW w:w="3237" w:type="dxa"/>
            <w:tcBorders>
              <w:top w:val="single" w:sz="6" w:space="0" w:color="auto"/>
              <w:left w:val="double" w:sz="6" w:space="0" w:color="auto"/>
              <w:bottom w:val="nil"/>
              <w:right w:val="nil"/>
            </w:tcBorders>
          </w:tcPr>
          <w:p w:rsidR="009907D5" w:rsidRPr="005454C6" w:rsidRDefault="009907D5" w:rsidP="00E90E93">
            <w:pPr>
              <w:keepNext/>
              <w:keepLines/>
              <w:widowControl/>
              <w:numPr>
                <w:ilvl w:val="12"/>
                <w:numId w:val="0"/>
              </w:numPr>
            </w:pPr>
            <w:r w:rsidRPr="005454C6">
              <w:t xml:space="preserve">Phase II Permit </w:t>
            </w:r>
            <w:proofErr w:type="spellStart"/>
            <w:r w:rsidRPr="005454C6">
              <w:t>Applications</w:t>
            </w:r>
            <w:r w:rsidR="00302E48">
              <w:t>.</w:t>
            </w:r>
            <w:r w:rsidRPr="005454C6">
              <w:rPr>
                <w:vertAlign w:val="superscript"/>
              </w:rPr>
              <w:t>c</w:t>
            </w:r>
            <w:proofErr w:type="spellEnd"/>
          </w:p>
        </w:tc>
        <w:tc>
          <w:tcPr>
            <w:tcW w:w="1708" w:type="dxa"/>
            <w:tcBorders>
              <w:top w:val="single" w:sz="6" w:space="0" w:color="auto"/>
              <w:left w:val="single" w:sz="6" w:space="0" w:color="auto"/>
              <w:bottom w:val="nil"/>
              <w:right w:val="single" w:sz="6" w:space="0" w:color="auto"/>
            </w:tcBorders>
            <w:vAlign w:val="bottom"/>
          </w:tcPr>
          <w:p w:rsidR="009907D5" w:rsidRPr="005454C6" w:rsidRDefault="009907D5" w:rsidP="00E90E93">
            <w:pPr>
              <w:keepNext/>
              <w:keepLines/>
              <w:widowControl/>
              <w:numPr>
                <w:ilvl w:val="12"/>
                <w:numId w:val="0"/>
              </w:numPr>
              <w:jc w:val="center"/>
            </w:pPr>
          </w:p>
        </w:tc>
        <w:tc>
          <w:tcPr>
            <w:tcW w:w="1438" w:type="dxa"/>
            <w:tcBorders>
              <w:top w:val="single" w:sz="6" w:space="0" w:color="auto"/>
              <w:left w:val="nil"/>
              <w:bottom w:val="nil"/>
              <w:right w:val="single" w:sz="6" w:space="0" w:color="auto"/>
            </w:tcBorders>
            <w:vAlign w:val="bottom"/>
          </w:tcPr>
          <w:p w:rsidR="009907D5" w:rsidRPr="005454C6" w:rsidRDefault="009907D5" w:rsidP="00E90E93">
            <w:pPr>
              <w:keepNext/>
              <w:keepLines/>
              <w:widowControl/>
              <w:numPr>
                <w:ilvl w:val="12"/>
                <w:numId w:val="0"/>
              </w:numPr>
              <w:jc w:val="center"/>
            </w:pPr>
          </w:p>
        </w:tc>
        <w:tc>
          <w:tcPr>
            <w:tcW w:w="1625" w:type="dxa"/>
            <w:tcBorders>
              <w:top w:val="single" w:sz="6" w:space="0" w:color="auto"/>
              <w:left w:val="nil"/>
              <w:bottom w:val="nil"/>
              <w:right w:val="single" w:sz="6" w:space="0" w:color="auto"/>
            </w:tcBorders>
            <w:vAlign w:val="bottom"/>
          </w:tcPr>
          <w:p w:rsidR="009907D5" w:rsidRPr="005454C6" w:rsidRDefault="009907D5" w:rsidP="00E90E93">
            <w:pPr>
              <w:keepNext/>
              <w:keepLines/>
              <w:widowControl/>
              <w:numPr>
                <w:ilvl w:val="12"/>
                <w:numId w:val="0"/>
              </w:numPr>
              <w:jc w:val="center"/>
            </w:pPr>
          </w:p>
        </w:tc>
        <w:tc>
          <w:tcPr>
            <w:tcW w:w="1352" w:type="dxa"/>
            <w:tcBorders>
              <w:top w:val="single" w:sz="6" w:space="0" w:color="auto"/>
              <w:left w:val="nil"/>
              <w:bottom w:val="nil"/>
              <w:right w:val="double" w:sz="6" w:space="0" w:color="auto"/>
            </w:tcBorders>
            <w:vAlign w:val="bottom"/>
          </w:tcPr>
          <w:p w:rsidR="009907D5" w:rsidRPr="005454C6" w:rsidRDefault="009907D5" w:rsidP="00E90E93">
            <w:pPr>
              <w:keepNext/>
              <w:keepLines/>
              <w:widowControl/>
              <w:numPr>
                <w:ilvl w:val="12"/>
                <w:numId w:val="0"/>
              </w:numPr>
              <w:jc w:val="center"/>
            </w:pPr>
          </w:p>
        </w:tc>
      </w:tr>
      <w:tr w:rsidR="009907D5" w:rsidRPr="005454C6" w:rsidTr="00E32593">
        <w:trPr>
          <w:cantSplit/>
          <w:jc w:val="center"/>
        </w:trPr>
        <w:tc>
          <w:tcPr>
            <w:tcW w:w="3237" w:type="dxa"/>
            <w:tcBorders>
              <w:top w:val="nil"/>
              <w:left w:val="double" w:sz="6" w:space="0" w:color="auto"/>
              <w:bottom w:val="nil"/>
              <w:right w:val="nil"/>
            </w:tcBorders>
          </w:tcPr>
          <w:p w:rsidR="009907D5" w:rsidRPr="005454C6" w:rsidRDefault="009907D5" w:rsidP="00302E48">
            <w:pPr>
              <w:keepNext/>
              <w:keepLines/>
              <w:widowControl/>
              <w:numPr>
                <w:ilvl w:val="12"/>
                <w:numId w:val="0"/>
              </w:numPr>
              <w:ind w:left="378"/>
            </w:pPr>
            <w:r w:rsidRPr="005454C6">
              <w:t>Managerial</w:t>
            </w:r>
            <w:r w:rsidR="00B63804">
              <w:t>.</w:t>
            </w:r>
          </w:p>
        </w:tc>
        <w:tc>
          <w:tcPr>
            <w:tcW w:w="1708" w:type="dxa"/>
            <w:tcBorders>
              <w:top w:val="nil"/>
              <w:left w:val="single" w:sz="6" w:space="0" w:color="auto"/>
              <w:bottom w:val="nil"/>
              <w:right w:val="single" w:sz="6" w:space="0" w:color="auto"/>
            </w:tcBorders>
            <w:vAlign w:val="bottom"/>
          </w:tcPr>
          <w:p w:rsidR="009907D5" w:rsidRPr="005454C6" w:rsidRDefault="009907D5" w:rsidP="00E90E93">
            <w:pPr>
              <w:keepNext/>
              <w:keepLines/>
              <w:widowControl/>
              <w:numPr>
                <w:ilvl w:val="12"/>
                <w:numId w:val="0"/>
              </w:numPr>
              <w:jc w:val="center"/>
            </w:pPr>
            <w:r w:rsidRPr="005454C6">
              <w:t>2</w:t>
            </w:r>
          </w:p>
        </w:tc>
        <w:tc>
          <w:tcPr>
            <w:tcW w:w="1438" w:type="dxa"/>
            <w:tcBorders>
              <w:top w:val="nil"/>
              <w:left w:val="nil"/>
              <w:bottom w:val="nil"/>
              <w:right w:val="single" w:sz="6" w:space="0" w:color="auto"/>
            </w:tcBorders>
            <w:vAlign w:val="bottom"/>
          </w:tcPr>
          <w:p w:rsidR="009907D5" w:rsidRPr="005454C6" w:rsidRDefault="009907D5" w:rsidP="00F4206D">
            <w:pPr>
              <w:keepNext/>
              <w:keepLines/>
              <w:widowControl/>
              <w:numPr>
                <w:ilvl w:val="12"/>
                <w:numId w:val="0"/>
              </w:numPr>
              <w:jc w:val="center"/>
            </w:pPr>
            <w:r w:rsidRPr="005454C6">
              <w:t>$</w:t>
            </w:r>
            <w:r w:rsidR="00F4206D">
              <w:t>204.34</w:t>
            </w:r>
          </w:p>
        </w:tc>
        <w:tc>
          <w:tcPr>
            <w:tcW w:w="1625" w:type="dxa"/>
            <w:tcBorders>
              <w:top w:val="nil"/>
              <w:left w:val="nil"/>
              <w:bottom w:val="nil"/>
              <w:right w:val="single" w:sz="6" w:space="0" w:color="auto"/>
            </w:tcBorders>
            <w:vAlign w:val="bottom"/>
          </w:tcPr>
          <w:p w:rsidR="009907D5" w:rsidRPr="005454C6" w:rsidRDefault="00226008" w:rsidP="00E90E93">
            <w:pPr>
              <w:keepNext/>
              <w:keepLines/>
              <w:widowControl/>
              <w:numPr>
                <w:ilvl w:val="12"/>
                <w:numId w:val="0"/>
              </w:numPr>
              <w:jc w:val="center"/>
            </w:pPr>
            <w:r w:rsidRPr="005454C6">
              <w:t>500</w:t>
            </w:r>
          </w:p>
        </w:tc>
        <w:tc>
          <w:tcPr>
            <w:tcW w:w="1352" w:type="dxa"/>
            <w:tcBorders>
              <w:top w:val="nil"/>
              <w:left w:val="nil"/>
              <w:bottom w:val="nil"/>
              <w:right w:val="double" w:sz="6" w:space="0" w:color="auto"/>
            </w:tcBorders>
            <w:vAlign w:val="bottom"/>
          </w:tcPr>
          <w:p w:rsidR="009907D5" w:rsidRPr="005454C6" w:rsidRDefault="009907D5" w:rsidP="00D1429A">
            <w:pPr>
              <w:keepNext/>
              <w:keepLines/>
              <w:widowControl/>
              <w:numPr>
                <w:ilvl w:val="12"/>
                <w:numId w:val="0"/>
              </w:numPr>
              <w:jc w:val="center"/>
            </w:pPr>
            <w:r w:rsidRPr="005454C6">
              <w:t>$</w:t>
            </w:r>
            <w:r w:rsidR="00D1429A">
              <w:t>51,085.00</w:t>
            </w:r>
          </w:p>
        </w:tc>
      </w:tr>
      <w:tr w:rsidR="009907D5" w:rsidRPr="005454C6" w:rsidTr="00E32593">
        <w:trPr>
          <w:cantSplit/>
          <w:jc w:val="center"/>
        </w:trPr>
        <w:tc>
          <w:tcPr>
            <w:tcW w:w="3237" w:type="dxa"/>
            <w:tcBorders>
              <w:top w:val="nil"/>
              <w:left w:val="double" w:sz="6" w:space="0" w:color="auto"/>
              <w:bottom w:val="nil"/>
              <w:right w:val="nil"/>
            </w:tcBorders>
          </w:tcPr>
          <w:p w:rsidR="009907D5" w:rsidRPr="005454C6" w:rsidRDefault="009907D5" w:rsidP="00302E48">
            <w:pPr>
              <w:keepNext/>
              <w:keepLines/>
              <w:widowControl/>
              <w:numPr>
                <w:ilvl w:val="12"/>
                <w:numId w:val="0"/>
              </w:numPr>
              <w:ind w:left="378"/>
            </w:pPr>
            <w:r w:rsidRPr="005454C6">
              <w:t>Technical</w:t>
            </w:r>
            <w:r w:rsidR="00B63804">
              <w:t>.</w:t>
            </w:r>
          </w:p>
        </w:tc>
        <w:tc>
          <w:tcPr>
            <w:tcW w:w="1708" w:type="dxa"/>
            <w:tcBorders>
              <w:top w:val="nil"/>
              <w:left w:val="single" w:sz="6" w:space="0" w:color="auto"/>
              <w:bottom w:val="nil"/>
              <w:right w:val="single" w:sz="6" w:space="0" w:color="auto"/>
            </w:tcBorders>
            <w:vAlign w:val="bottom"/>
          </w:tcPr>
          <w:p w:rsidR="009907D5" w:rsidRPr="005454C6" w:rsidRDefault="009907D5" w:rsidP="00E90E93">
            <w:pPr>
              <w:keepNext/>
              <w:keepLines/>
              <w:widowControl/>
              <w:numPr>
                <w:ilvl w:val="12"/>
                <w:numId w:val="0"/>
              </w:numPr>
              <w:jc w:val="center"/>
            </w:pPr>
            <w:r w:rsidRPr="005454C6">
              <w:t>3</w:t>
            </w:r>
          </w:p>
        </w:tc>
        <w:tc>
          <w:tcPr>
            <w:tcW w:w="1438" w:type="dxa"/>
            <w:tcBorders>
              <w:top w:val="nil"/>
              <w:left w:val="nil"/>
              <w:bottom w:val="nil"/>
              <w:right w:val="single" w:sz="6" w:space="0" w:color="auto"/>
            </w:tcBorders>
            <w:vAlign w:val="bottom"/>
          </w:tcPr>
          <w:p w:rsidR="009907D5" w:rsidRPr="005454C6" w:rsidRDefault="009907D5" w:rsidP="00F4206D">
            <w:pPr>
              <w:keepNext/>
              <w:keepLines/>
              <w:widowControl/>
              <w:numPr>
                <w:ilvl w:val="12"/>
                <w:numId w:val="0"/>
              </w:numPr>
              <w:jc w:val="center"/>
            </w:pPr>
            <w:r w:rsidRPr="005454C6">
              <w:t>$</w:t>
            </w:r>
            <w:r w:rsidR="00F4206D">
              <w:t>198.09</w:t>
            </w:r>
          </w:p>
        </w:tc>
        <w:tc>
          <w:tcPr>
            <w:tcW w:w="1625" w:type="dxa"/>
            <w:tcBorders>
              <w:top w:val="nil"/>
              <w:left w:val="nil"/>
              <w:bottom w:val="nil"/>
              <w:right w:val="single" w:sz="6" w:space="0" w:color="auto"/>
            </w:tcBorders>
            <w:vAlign w:val="bottom"/>
          </w:tcPr>
          <w:p w:rsidR="009907D5" w:rsidRPr="005454C6" w:rsidRDefault="00226008" w:rsidP="00E90E93">
            <w:pPr>
              <w:keepNext/>
              <w:keepLines/>
              <w:widowControl/>
              <w:numPr>
                <w:ilvl w:val="12"/>
                <w:numId w:val="0"/>
              </w:numPr>
              <w:jc w:val="center"/>
            </w:pPr>
            <w:r w:rsidRPr="005454C6">
              <w:t>750</w:t>
            </w:r>
          </w:p>
        </w:tc>
        <w:tc>
          <w:tcPr>
            <w:tcW w:w="1352" w:type="dxa"/>
            <w:tcBorders>
              <w:top w:val="nil"/>
              <w:left w:val="nil"/>
              <w:bottom w:val="nil"/>
              <w:right w:val="double" w:sz="6" w:space="0" w:color="auto"/>
            </w:tcBorders>
            <w:vAlign w:val="bottom"/>
          </w:tcPr>
          <w:p w:rsidR="009907D5" w:rsidRPr="005454C6" w:rsidRDefault="009907D5" w:rsidP="00F4206D">
            <w:pPr>
              <w:keepNext/>
              <w:keepLines/>
              <w:widowControl/>
              <w:numPr>
                <w:ilvl w:val="12"/>
                <w:numId w:val="0"/>
              </w:numPr>
              <w:jc w:val="center"/>
            </w:pPr>
            <w:r w:rsidRPr="005454C6">
              <w:t>$</w:t>
            </w:r>
            <w:r w:rsidR="00B82D8E">
              <w:t>49,522.5</w:t>
            </w:r>
          </w:p>
        </w:tc>
      </w:tr>
      <w:tr w:rsidR="009907D5" w:rsidRPr="005454C6" w:rsidTr="00E32593">
        <w:trPr>
          <w:cantSplit/>
          <w:jc w:val="center"/>
        </w:trPr>
        <w:tc>
          <w:tcPr>
            <w:tcW w:w="3237" w:type="dxa"/>
            <w:tcBorders>
              <w:top w:val="single" w:sz="6" w:space="0" w:color="auto"/>
              <w:left w:val="double" w:sz="6" w:space="0" w:color="auto"/>
              <w:bottom w:val="nil"/>
              <w:right w:val="nil"/>
            </w:tcBorders>
          </w:tcPr>
          <w:p w:rsidR="009907D5" w:rsidRPr="005454C6" w:rsidRDefault="009907D5" w:rsidP="00E90E93">
            <w:pPr>
              <w:keepNext/>
              <w:keepLines/>
              <w:widowControl/>
              <w:numPr>
                <w:ilvl w:val="12"/>
                <w:numId w:val="0"/>
              </w:numPr>
            </w:pPr>
            <w:r w:rsidRPr="005454C6">
              <w:t xml:space="preserve">Retired Unit </w:t>
            </w:r>
            <w:proofErr w:type="spellStart"/>
            <w:r w:rsidRPr="005454C6">
              <w:t>Exemption</w:t>
            </w:r>
            <w:r w:rsidR="00302E48">
              <w:t>.</w:t>
            </w:r>
            <w:r w:rsidRPr="005454C6">
              <w:rPr>
                <w:vertAlign w:val="superscript"/>
              </w:rPr>
              <w:t>d</w:t>
            </w:r>
            <w:proofErr w:type="spellEnd"/>
          </w:p>
        </w:tc>
        <w:tc>
          <w:tcPr>
            <w:tcW w:w="1708" w:type="dxa"/>
            <w:tcBorders>
              <w:top w:val="single" w:sz="6" w:space="0" w:color="auto"/>
              <w:left w:val="single" w:sz="6" w:space="0" w:color="auto"/>
              <w:bottom w:val="nil"/>
              <w:right w:val="single" w:sz="6" w:space="0" w:color="auto"/>
            </w:tcBorders>
            <w:vAlign w:val="bottom"/>
          </w:tcPr>
          <w:p w:rsidR="009907D5" w:rsidRPr="005454C6" w:rsidRDefault="009907D5" w:rsidP="00E90E93">
            <w:pPr>
              <w:keepNext/>
              <w:keepLines/>
              <w:widowControl/>
              <w:numPr>
                <w:ilvl w:val="12"/>
                <w:numId w:val="0"/>
              </w:numPr>
              <w:jc w:val="center"/>
            </w:pPr>
          </w:p>
        </w:tc>
        <w:tc>
          <w:tcPr>
            <w:tcW w:w="1438" w:type="dxa"/>
            <w:tcBorders>
              <w:top w:val="single" w:sz="6" w:space="0" w:color="auto"/>
              <w:left w:val="nil"/>
              <w:bottom w:val="nil"/>
              <w:right w:val="single" w:sz="6" w:space="0" w:color="auto"/>
            </w:tcBorders>
            <w:vAlign w:val="bottom"/>
          </w:tcPr>
          <w:p w:rsidR="009907D5" w:rsidRPr="005454C6" w:rsidRDefault="009907D5" w:rsidP="00E90E93">
            <w:pPr>
              <w:keepNext/>
              <w:keepLines/>
              <w:widowControl/>
              <w:numPr>
                <w:ilvl w:val="12"/>
                <w:numId w:val="0"/>
              </w:numPr>
              <w:jc w:val="center"/>
            </w:pPr>
          </w:p>
        </w:tc>
        <w:tc>
          <w:tcPr>
            <w:tcW w:w="1625" w:type="dxa"/>
            <w:tcBorders>
              <w:top w:val="single" w:sz="6" w:space="0" w:color="auto"/>
              <w:left w:val="nil"/>
              <w:bottom w:val="nil"/>
              <w:right w:val="single" w:sz="6" w:space="0" w:color="auto"/>
            </w:tcBorders>
            <w:vAlign w:val="bottom"/>
          </w:tcPr>
          <w:p w:rsidR="009907D5" w:rsidRPr="005454C6" w:rsidRDefault="009907D5" w:rsidP="00E90E93">
            <w:pPr>
              <w:keepNext/>
              <w:keepLines/>
              <w:widowControl/>
              <w:numPr>
                <w:ilvl w:val="12"/>
                <w:numId w:val="0"/>
              </w:numPr>
              <w:jc w:val="center"/>
            </w:pPr>
          </w:p>
        </w:tc>
        <w:tc>
          <w:tcPr>
            <w:tcW w:w="1352" w:type="dxa"/>
            <w:tcBorders>
              <w:top w:val="single" w:sz="6" w:space="0" w:color="auto"/>
              <w:left w:val="nil"/>
              <w:bottom w:val="nil"/>
              <w:right w:val="double" w:sz="6" w:space="0" w:color="auto"/>
            </w:tcBorders>
            <w:vAlign w:val="bottom"/>
          </w:tcPr>
          <w:p w:rsidR="009907D5" w:rsidRPr="005454C6" w:rsidRDefault="009907D5" w:rsidP="00E90E93">
            <w:pPr>
              <w:keepNext/>
              <w:keepLines/>
              <w:widowControl/>
              <w:numPr>
                <w:ilvl w:val="12"/>
                <w:numId w:val="0"/>
              </w:numPr>
              <w:jc w:val="center"/>
            </w:pPr>
          </w:p>
        </w:tc>
      </w:tr>
      <w:tr w:rsidR="009907D5" w:rsidRPr="005454C6" w:rsidTr="00E32593">
        <w:trPr>
          <w:cantSplit/>
          <w:jc w:val="center"/>
        </w:trPr>
        <w:tc>
          <w:tcPr>
            <w:tcW w:w="3237" w:type="dxa"/>
            <w:tcBorders>
              <w:top w:val="nil"/>
              <w:left w:val="double" w:sz="6" w:space="0" w:color="auto"/>
              <w:bottom w:val="nil"/>
              <w:right w:val="nil"/>
            </w:tcBorders>
          </w:tcPr>
          <w:p w:rsidR="009907D5" w:rsidRPr="005454C6" w:rsidRDefault="009907D5" w:rsidP="00302E48">
            <w:pPr>
              <w:keepNext/>
              <w:keepLines/>
              <w:widowControl/>
              <w:numPr>
                <w:ilvl w:val="12"/>
                <w:numId w:val="0"/>
              </w:numPr>
              <w:ind w:left="378"/>
            </w:pPr>
            <w:r w:rsidRPr="005454C6">
              <w:t>Managerial</w:t>
            </w:r>
            <w:r w:rsidR="00B63804">
              <w:t>.</w:t>
            </w:r>
          </w:p>
        </w:tc>
        <w:tc>
          <w:tcPr>
            <w:tcW w:w="1708" w:type="dxa"/>
            <w:tcBorders>
              <w:top w:val="nil"/>
              <w:left w:val="single" w:sz="6" w:space="0" w:color="auto"/>
              <w:bottom w:val="nil"/>
              <w:right w:val="single" w:sz="6" w:space="0" w:color="auto"/>
            </w:tcBorders>
            <w:vAlign w:val="bottom"/>
          </w:tcPr>
          <w:p w:rsidR="009907D5" w:rsidRPr="005454C6" w:rsidRDefault="009907D5" w:rsidP="00E90E93">
            <w:pPr>
              <w:keepNext/>
              <w:keepLines/>
              <w:widowControl/>
              <w:numPr>
                <w:ilvl w:val="12"/>
                <w:numId w:val="0"/>
              </w:numPr>
              <w:jc w:val="center"/>
            </w:pPr>
            <w:r w:rsidRPr="005454C6">
              <w:t>1</w:t>
            </w:r>
          </w:p>
        </w:tc>
        <w:tc>
          <w:tcPr>
            <w:tcW w:w="1438" w:type="dxa"/>
            <w:tcBorders>
              <w:top w:val="nil"/>
              <w:left w:val="nil"/>
              <w:bottom w:val="nil"/>
              <w:right w:val="single" w:sz="6" w:space="0" w:color="auto"/>
            </w:tcBorders>
            <w:vAlign w:val="bottom"/>
          </w:tcPr>
          <w:p w:rsidR="009907D5" w:rsidRPr="005454C6" w:rsidRDefault="009907D5" w:rsidP="00F4206D">
            <w:pPr>
              <w:keepNext/>
              <w:keepLines/>
              <w:widowControl/>
              <w:numPr>
                <w:ilvl w:val="12"/>
                <w:numId w:val="0"/>
              </w:numPr>
              <w:jc w:val="center"/>
            </w:pPr>
            <w:r w:rsidRPr="005454C6">
              <w:t>$</w:t>
            </w:r>
            <w:r w:rsidR="00F4206D">
              <w:t>102.17</w:t>
            </w:r>
          </w:p>
        </w:tc>
        <w:tc>
          <w:tcPr>
            <w:tcW w:w="1625" w:type="dxa"/>
            <w:tcBorders>
              <w:top w:val="nil"/>
              <w:left w:val="nil"/>
              <w:bottom w:val="nil"/>
              <w:right w:val="single" w:sz="6" w:space="0" w:color="auto"/>
            </w:tcBorders>
            <w:vAlign w:val="bottom"/>
          </w:tcPr>
          <w:p w:rsidR="009907D5" w:rsidRPr="005454C6" w:rsidRDefault="009907D5" w:rsidP="00E90E93">
            <w:pPr>
              <w:keepNext/>
              <w:keepLines/>
              <w:widowControl/>
              <w:numPr>
                <w:ilvl w:val="12"/>
                <w:numId w:val="0"/>
              </w:numPr>
              <w:jc w:val="center"/>
            </w:pPr>
            <w:r w:rsidRPr="005454C6">
              <w:t>33</w:t>
            </w:r>
          </w:p>
        </w:tc>
        <w:tc>
          <w:tcPr>
            <w:tcW w:w="1352" w:type="dxa"/>
            <w:tcBorders>
              <w:top w:val="nil"/>
              <w:left w:val="nil"/>
              <w:bottom w:val="nil"/>
              <w:right w:val="double" w:sz="6" w:space="0" w:color="auto"/>
            </w:tcBorders>
            <w:vAlign w:val="bottom"/>
          </w:tcPr>
          <w:p w:rsidR="009907D5" w:rsidRPr="005454C6" w:rsidRDefault="009907D5" w:rsidP="00B82D8E">
            <w:pPr>
              <w:keepNext/>
              <w:keepLines/>
              <w:widowControl/>
              <w:numPr>
                <w:ilvl w:val="12"/>
                <w:numId w:val="0"/>
              </w:numPr>
              <w:jc w:val="center"/>
            </w:pPr>
            <w:r w:rsidRPr="005454C6">
              <w:t>$</w:t>
            </w:r>
            <w:r w:rsidR="00B82D8E">
              <w:t>3,371.61</w:t>
            </w:r>
          </w:p>
        </w:tc>
      </w:tr>
      <w:tr w:rsidR="009907D5" w:rsidRPr="005454C6" w:rsidTr="00E32593">
        <w:trPr>
          <w:cantSplit/>
          <w:jc w:val="center"/>
        </w:trPr>
        <w:tc>
          <w:tcPr>
            <w:tcW w:w="3237" w:type="dxa"/>
            <w:tcBorders>
              <w:top w:val="nil"/>
              <w:left w:val="double" w:sz="6" w:space="0" w:color="auto"/>
              <w:bottom w:val="nil"/>
              <w:right w:val="nil"/>
            </w:tcBorders>
          </w:tcPr>
          <w:p w:rsidR="009907D5" w:rsidRPr="005454C6" w:rsidRDefault="009907D5" w:rsidP="00302E48">
            <w:pPr>
              <w:keepNext/>
              <w:keepLines/>
              <w:widowControl/>
              <w:numPr>
                <w:ilvl w:val="12"/>
                <w:numId w:val="0"/>
              </w:numPr>
              <w:ind w:left="378"/>
            </w:pPr>
            <w:r w:rsidRPr="005454C6">
              <w:t>Technical</w:t>
            </w:r>
            <w:r w:rsidR="00B63804">
              <w:t>.</w:t>
            </w:r>
          </w:p>
        </w:tc>
        <w:tc>
          <w:tcPr>
            <w:tcW w:w="1708" w:type="dxa"/>
            <w:tcBorders>
              <w:top w:val="nil"/>
              <w:left w:val="single" w:sz="6" w:space="0" w:color="auto"/>
              <w:bottom w:val="nil"/>
              <w:right w:val="single" w:sz="6" w:space="0" w:color="auto"/>
            </w:tcBorders>
            <w:vAlign w:val="bottom"/>
          </w:tcPr>
          <w:p w:rsidR="009907D5" w:rsidRPr="005454C6" w:rsidRDefault="009907D5" w:rsidP="00E90E93">
            <w:pPr>
              <w:keepNext/>
              <w:keepLines/>
              <w:widowControl/>
              <w:numPr>
                <w:ilvl w:val="12"/>
                <w:numId w:val="0"/>
              </w:numPr>
              <w:jc w:val="center"/>
            </w:pPr>
            <w:r w:rsidRPr="005454C6">
              <w:t>2</w:t>
            </w:r>
          </w:p>
        </w:tc>
        <w:tc>
          <w:tcPr>
            <w:tcW w:w="1438" w:type="dxa"/>
            <w:tcBorders>
              <w:top w:val="nil"/>
              <w:left w:val="nil"/>
              <w:bottom w:val="nil"/>
              <w:right w:val="single" w:sz="6" w:space="0" w:color="auto"/>
            </w:tcBorders>
            <w:vAlign w:val="bottom"/>
          </w:tcPr>
          <w:p w:rsidR="009907D5" w:rsidRPr="005454C6" w:rsidRDefault="009907D5" w:rsidP="00F4206D">
            <w:pPr>
              <w:keepNext/>
              <w:keepLines/>
              <w:widowControl/>
              <w:numPr>
                <w:ilvl w:val="12"/>
                <w:numId w:val="0"/>
              </w:numPr>
              <w:jc w:val="center"/>
            </w:pPr>
            <w:r w:rsidRPr="005454C6">
              <w:t>$</w:t>
            </w:r>
            <w:r w:rsidR="00F4206D">
              <w:t>132.06</w:t>
            </w:r>
          </w:p>
        </w:tc>
        <w:tc>
          <w:tcPr>
            <w:tcW w:w="1625" w:type="dxa"/>
            <w:tcBorders>
              <w:top w:val="nil"/>
              <w:left w:val="nil"/>
              <w:bottom w:val="nil"/>
              <w:right w:val="single" w:sz="6" w:space="0" w:color="auto"/>
            </w:tcBorders>
            <w:vAlign w:val="bottom"/>
          </w:tcPr>
          <w:p w:rsidR="009907D5" w:rsidRPr="005454C6" w:rsidRDefault="009907D5" w:rsidP="00E90E93">
            <w:pPr>
              <w:keepNext/>
              <w:keepLines/>
              <w:widowControl/>
              <w:numPr>
                <w:ilvl w:val="12"/>
                <w:numId w:val="0"/>
              </w:numPr>
              <w:jc w:val="center"/>
            </w:pPr>
            <w:r w:rsidRPr="005454C6">
              <w:t>66</w:t>
            </w:r>
          </w:p>
        </w:tc>
        <w:tc>
          <w:tcPr>
            <w:tcW w:w="1352" w:type="dxa"/>
            <w:tcBorders>
              <w:top w:val="nil"/>
              <w:left w:val="nil"/>
              <w:bottom w:val="nil"/>
              <w:right w:val="double" w:sz="6" w:space="0" w:color="auto"/>
            </w:tcBorders>
            <w:vAlign w:val="bottom"/>
          </w:tcPr>
          <w:p w:rsidR="009907D5" w:rsidRPr="005454C6" w:rsidRDefault="009907D5" w:rsidP="00B82D8E">
            <w:pPr>
              <w:keepNext/>
              <w:keepLines/>
              <w:widowControl/>
              <w:numPr>
                <w:ilvl w:val="12"/>
                <w:numId w:val="0"/>
              </w:numPr>
              <w:jc w:val="center"/>
            </w:pPr>
            <w:r w:rsidRPr="005454C6">
              <w:t>$</w:t>
            </w:r>
            <w:r w:rsidR="00B82D8E">
              <w:t>4,357.98</w:t>
            </w:r>
          </w:p>
        </w:tc>
      </w:tr>
      <w:tr w:rsidR="009907D5" w:rsidRPr="005454C6" w:rsidTr="00E32593">
        <w:trPr>
          <w:cantSplit/>
          <w:jc w:val="center"/>
        </w:trPr>
        <w:tc>
          <w:tcPr>
            <w:tcW w:w="3237" w:type="dxa"/>
            <w:tcBorders>
              <w:top w:val="single" w:sz="6" w:space="0" w:color="auto"/>
              <w:left w:val="double" w:sz="6" w:space="0" w:color="auto"/>
              <w:bottom w:val="nil"/>
              <w:right w:val="nil"/>
            </w:tcBorders>
          </w:tcPr>
          <w:p w:rsidR="009907D5" w:rsidRPr="005454C6" w:rsidRDefault="009907D5" w:rsidP="00E90E93">
            <w:pPr>
              <w:keepNext/>
              <w:keepLines/>
              <w:widowControl/>
              <w:numPr>
                <w:ilvl w:val="12"/>
                <w:numId w:val="0"/>
              </w:numPr>
            </w:pPr>
            <w:r w:rsidRPr="005454C6">
              <w:t xml:space="preserve">New Unit </w:t>
            </w:r>
            <w:proofErr w:type="spellStart"/>
            <w:r w:rsidRPr="005454C6">
              <w:t>Exemption</w:t>
            </w:r>
            <w:r w:rsidR="00302E48">
              <w:t>.</w:t>
            </w:r>
            <w:r w:rsidRPr="005454C6">
              <w:rPr>
                <w:vertAlign w:val="superscript"/>
              </w:rPr>
              <w:t>e</w:t>
            </w:r>
            <w:proofErr w:type="spellEnd"/>
          </w:p>
        </w:tc>
        <w:tc>
          <w:tcPr>
            <w:tcW w:w="1708" w:type="dxa"/>
            <w:tcBorders>
              <w:top w:val="single" w:sz="6" w:space="0" w:color="auto"/>
              <w:left w:val="single" w:sz="6" w:space="0" w:color="auto"/>
              <w:bottom w:val="nil"/>
              <w:right w:val="single" w:sz="6" w:space="0" w:color="auto"/>
            </w:tcBorders>
            <w:vAlign w:val="bottom"/>
          </w:tcPr>
          <w:p w:rsidR="009907D5" w:rsidRPr="005454C6" w:rsidRDefault="009907D5" w:rsidP="00E90E93">
            <w:pPr>
              <w:keepNext/>
              <w:keepLines/>
              <w:widowControl/>
              <w:numPr>
                <w:ilvl w:val="12"/>
                <w:numId w:val="0"/>
              </w:numPr>
              <w:jc w:val="center"/>
            </w:pPr>
          </w:p>
        </w:tc>
        <w:tc>
          <w:tcPr>
            <w:tcW w:w="1438" w:type="dxa"/>
            <w:tcBorders>
              <w:top w:val="single" w:sz="6" w:space="0" w:color="auto"/>
              <w:left w:val="nil"/>
              <w:bottom w:val="nil"/>
              <w:right w:val="single" w:sz="6" w:space="0" w:color="auto"/>
            </w:tcBorders>
            <w:vAlign w:val="bottom"/>
          </w:tcPr>
          <w:p w:rsidR="009907D5" w:rsidRPr="005454C6" w:rsidRDefault="009907D5" w:rsidP="00E90E93">
            <w:pPr>
              <w:keepNext/>
              <w:keepLines/>
              <w:widowControl/>
              <w:numPr>
                <w:ilvl w:val="12"/>
                <w:numId w:val="0"/>
              </w:numPr>
              <w:jc w:val="center"/>
            </w:pPr>
          </w:p>
        </w:tc>
        <w:tc>
          <w:tcPr>
            <w:tcW w:w="1625" w:type="dxa"/>
            <w:tcBorders>
              <w:top w:val="single" w:sz="6" w:space="0" w:color="auto"/>
              <w:left w:val="nil"/>
              <w:bottom w:val="nil"/>
              <w:right w:val="single" w:sz="6" w:space="0" w:color="auto"/>
            </w:tcBorders>
            <w:vAlign w:val="bottom"/>
          </w:tcPr>
          <w:p w:rsidR="009907D5" w:rsidRPr="005454C6" w:rsidRDefault="009907D5" w:rsidP="00E90E93">
            <w:pPr>
              <w:keepNext/>
              <w:keepLines/>
              <w:widowControl/>
              <w:numPr>
                <w:ilvl w:val="12"/>
                <w:numId w:val="0"/>
              </w:numPr>
              <w:jc w:val="center"/>
            </w:pPr>
          </w:p>
        </w:tc>
        <w:tc>
          <w:tcPr>
            <w:tcW w:w="1352" w:type="dxa"/>
            <w:tcBorders>
              <w:top w:val="single" w:sz="6" w:space="0" w:color="auto"/>
              <w:left w:val="nil"/>
              <w:bottom w:val="nil"/>
              <w:right w:val="double" w:sz="6" w:space="0" w:color="auto"/>
            </w:tcBorders>
            <w:vAlign w:val="bottom"/>
          </w:tcPr>
          <w:p w:rsidR="009907D5" w:rsidRPr="005454C6" w:rsidRDefault="009907D5" w:rsidP="00E90E93">
            <w:pPr>
              <w:keepNext/>
              <w:keepLines/>
              <w:widowControl/>
              <w:numPr>
                <w:ilvl w:val="12"/>
                <w:numId w:val="0"/>
              </w:numPr>
              <w:jc w:val="center"/>
            </w:pPr>
          </w:p>
        </w:tc>
      </w:tr>
      <w:tr w:rsidR="009907D5" w:rsidRPr="005454C6" w:rsidTr="00E32593">
        <w:trPr>
          <w:cantSplit/>
          <w:jc w:val="center"/>
        </w:trPr>
        <w:tc>
          <w:tcPr>
            <w:tcW w:w="3237" w:type="dxa"/>
            <w:tcBorders>
              <w:top w:val="nil"/>
              <w:left w:val="double" w:sz="6" w:space="0" w:color="auto"/>
              <w:bottom w:val="nil"/>
              <w:right w:val="nil"/>
            </w:tcBorders>
          </w:tcPr>
          <w:p w:rsidR="009907D5" w:rsidRPr="005454C6" w:rsidRDefault="009907D5" w:rsidP="00302E48">
            <w:pPr>
              <w:keepNext/>
              <w:keepLines/>
              <w:widowControl/>
              <w:numPr>
                <w:ilvl w:val="12"/>
                <w:numId w:val="0"/>
              </w:numPr>
              <w:ind w:left="378"/>
            </w:pPr>
            <w:r w:rsidRPr="005454C6">
              <w:t>Managerial</w:t>
            </w:r>
            <w:r w:rsidR="00B63804">
              <w:t>.</w:t>
            </w:r>
          </w:p>
        </w:tc>
        <w:tc>
          <w:tcPr>
            <w:tcW w:w="1708" w:type="dxa"/>
            <w:tcBorders>
              <w:top w:val="nil"/>
              <w:left w:val="single" w:sz="6" w:space="0" w:color="auto"/>
              <w:bottom w:val="nil"/>
              <w:right w:val="single" w:sz="6" w:space="0" w:color="auto"/>
            </w:tcBorders>
            <w:vAlign w:val="bottom"/>
          </w:tcPr>
          <w:p w:rsidR="009907D5" w:rsidRPr="005454C6" w:rsidRDefault="009907D5" w:rsidP="00E90E93">
            <w:pPr>
              <w:keepNext/>
              <w:keepLines/>
              <w:widowControl/>
              <w:numPr>
                <w:ilvl w:val="12"/>
                <w:numId w:val="0"/>
              </w:numPr>
              <w:jc w:val="center"/>
            </w:pPr>
            <w:r w:rsidRPr="005454C6">
              <w:t>1</w:t>
            </w:r>
          </w:p>
        </w:tc>
        <w:tc>
          <w:tcPr>
            <w:tcW w:w="1438" w:type="dxa"/>
            <w:tcBorders>
              <w:top w:val="nil"/>
              <w:left w:val="nil"/>
              <w:bottom w:val="nil"/>
              <w:right w:val="single" w:sz="6" w:space="0" w:color="auto"/>
            </w:tcBorders>
            <w:vAlign w:val="bottom"/>
          </w:tcPr>
          <w:p w:rsidR="009907D5" w:rsidRPr="005454C6" w:rsidRDefault="009907D5" w:rsidP="00F4206D">
            <w:pPr>
              <w:keepNext/>
              <w:keepLines/>
              <w:widowControl/>
              <w:numPr>
                <w:ilvl w:val="12"/>
                <w:numId w:val="0"/>
              </w:numPr>
              <w:jc w:val="center"/>
            </w:pPr>
            <w:r w:rsidRPr="005454C6">
              <w:t>$</w:t>
            </w:r>
            <w:r w:rsidR="00F4206D">
              <w:t>102.17</w:t>
            </w:r>
          </w:p>
        </w:tc>
        <w:tc>
          <w:tcPr>
            <w:tcW w:w="1625" w:type="dxa"/>
            <w:tcBorders>
              <w:top w:val="nil"/>
              <w:left w:val="nil"/>
              <w:bottom w:val="nil"/>
              <w:right w:val="single" w:sz="6" w:space="0" w:color="auto"/>
            </w:tcBorders>
            <w:vAlign w:val="bottom"/>
          </w:tcPr>
          <w:p w:rsidR="009907D5" w:rsidRPr="005454C6" w:rsidRDefault="009907D5" w:rsidP="00E90E93">
            <w:pPr>
              <w:keepNext/>
              <w:keepLines/>
              <w:widowControl/>
              <w:numPr>
                <w:ilvl w:val="12"/>
                <w:numId w:val="0"/>
              </w:numPr>
              <w:jc w:val="center"/>
            </w:pPr>
            <w:r w:rsidRPr="005454C6">
              <w:t>33</w:t>
            </w:r>
          </w:p>
        </w:tc>
        <w:tc>
          <w:tcPr>
            <w:tcW w:w="1352" w:type="dxa"/>
            <w:tcBorders>
              <w:top w:val="nil"/>
              <w:left w:val="nil"/>
              <w:bottom w:val="nil"/>
              <w:right w:val="double" w:sz="6" w:space="0" w:color="auto"/>
            </w:tcBorders>
            <w:vAlign w:val="bottom"/>
          </w:tcPr>
          <w:p w:rsidR="009907D5" w:rsidRPr="005454C6" w:rsidRDefault="009907D5" w:rsidP="00B82D8E">
            <w:pPr>
              <w:keepNext/>
              <w:keepLines/>
              <w:widowControl/>
              <w:numPr>
                <w:ilvl w:val="12"/>
                <w:numId w:val="0"/>
              </w:numPr>
              <w:jc w:val="center"/>
            </w:pPr>
            <w:r w:rsidRPr="005454C6">
              <w:t>$</w:t>
            </w:r>
            <w:r w:rsidR="00B82D8E">
              <w:t>3,371.61</w:t>
            </w:r>
          </w:p>
        </w:tc>
      </w:tr>
      <w:tr w:rsidR="009907D5" w:rsidRPr="005454C6" w:rsidTr="006E338E">
        <w:trPr>
          <w:cantSplit/>
          <w:jc w:val="center"/>
        </w:trPr>
        <w:tc>
          <w:tcPr>
            <w:tcW w:w="3237" w:type="dxa"/>
            <w:tcBorders>
              <w:top w:val="nil"/>
              <w:left w:val="double" w:sz="6" w:space="0" w:color="auto"/>
              <w:bottom w:val="double" w:sz="6" w:space="0" w:color="auto"/>
              <w:right w:val="nil"/>
            </w:tcBorders>
          </w:tcPr>
          <w:p w:rsidR="009907D5" w:rsidRPr="005454C6" w:rsidRDefault="009907D5" w:rsidP="00302E48">
            <w:pPr>
              <w:keepNext/>
              <w:keepLines/>
              <w:widowControl/>
              <w:numPr>
                <w:ilvl w:val="12"/>
                <w:numId w:val="0"/>
              </w:numPr>
              <w:ind w:left="378"/>
            </w:pPr>
            <w:r w:rsidRPr="005454C6">
              <w:t>Technical</w:t>
            </w:r>
            <w:r w:rsidR="00B63804">
              <w:t>.</w:t>
            </w:r>
          </w:p>
        </w:tc>
        <w:tc>
          <w:tcPr>
            <w:tcW w:w="1708" w:type="dxa"/>
            <w:tcBorders>
              <w:top w:val="nil"/>
              <w:left w:val="single" w:sz="6" w:space="0" w:color="auto"/>
              <w:bottom w:val="double" w:sz="6" w:space="0" w:color="auto"/>
              <w:right w:val="single" w:sz="6" w:space="0" w:color="auto"/>
            </w:tcBorders>
            <w:vAlign w:val="bottom"/>
          </w:tcPr>
          <w:p w:rsidR="009907D5" w:rsidRPr="005454C6" w:rsidRDefault="009907D5" w:rsidP="00E90E93">
            <w:pPr>
              <w:keepNext/>
              <w:keepLines/>
              <w:widowControl/>
              <w:numPr>
                <w:ilvl w:val="12"/>
                <w:numId w:val="0"/>
              </w:numPr>
              <w:jc w:val="center"/>
            </w:pPr>
            <w:r w:rsidRPr="005454C6">
              <w:t>3</w:t>
            </w:r>
          </w:p>
        </w:tc>
        <w:tc>
          <w:tcPr>
            <w:tcW w:w="1438" w:type="dxa"/>
            <w:tcBorders>
              <w:top w:val="nil"/>
              <w:left w:val="nil"/>
              <w:bottom w:val="double" w:sz="6" w:space="0" w:color="auto"/>
              <w:right w:val="single" w:sz="6" w:space="0" w:color="auto"/>
            </w:tcBorders>
            <w:vAlign w:val="bottom"/>
          </w:tcPr>
          <w:p w:rsidR="009907D5" w:rsidRPr="005454C6" w:rsidRDefault="009907D5" w:rsidP="00F4206D">
            <w:pPr>
              <w:keepNext/>
              <w:keepLines/>
              <w:widowControl/>
              <w:numPr>
                <w:ilvl w:val="12"/>
                <w:numId w:val="0"/>
              </w:numPr>
              <w:jc w:val="center"/>
            </w:pPr>
            <w:r w:rsidRPr="005454C6">
              <w:t>$</w:t>
            </w:r>
            <w:r w:rsidR="00F4206D">
              <w:t>198.09</w:t>
            </w:r>
          </w:p>
        </w:tc>
        <w:tc>
          <w:tcPr>
            <w:tcW w:w="1625" w:type="dxa"/>
            <w:tcBorders>
              <w:top w:val="nil"/>
              <w:left w:val="nil"/>
              <w:bottom w:val="double" w:sz="6" w:space="0" w:color="auto"/>
              <w:right w:val="single" w:sz="6" w:space="0" w:color="auto"/>
            </w:tcBorders>
            <w:vAlign w:val="bottom"/>
          </w:tcPr>
          <w:p w:rsidR="009907D5" w:rsidRPr="005454C6" w:rsidRDefault="009907D5" w:rsidP="00E90E93">
            <w:pPr>
              <w:keepNext/>
              <w:keepLines/>
              <w:widowControl/>
              <w:numPr>
                <w:ilvl w:val="12"/>
                <w:numId w:val="0"/>
              </w:numPr>
              <w:jc w:val="center"/>
            </w:pPr>
            <w:r w:rsidRPr="005454C6">
              <w:t>99</w:t>
            </w:r>
          </w:p>
        </w:tc>
        <w:tc>
          <w:tcPr>
            <w:tcW w:w="1352" w:type="dxa"/>
            <w:tcBorders>
              <w:top w:val="nil"/>
              <w:left w:val="nil"/>
              <w:bottom w:val="double" w:sz="6" w:space="0" w:color="auto"/>
              <w:right w:val="double" w:sz="6" w:space="0" w:color="auto"/>
            </w:tcBorders>
            <w:vAlign w:val="bottom"/>
          </w:tcPr>
          <w:p w:rsidR="009907D5" w:rsidRPr="005454C6" w:rsidRDefault="009907D5" w:rsidP="00E90E93">
            <w:pPr>
              <w:keepNext/>
              <w:keepLines/>
              <w:widowControl/>
              <w:numPr>
                <w:ilvl w:val="12"/>
                <w:numId w:val="0"/>
              </w:numPr>
              <w:jc w:val="center"/>
            </w:pPr>
            <w:r w:rsidRPr="005454C6">
              <w:t>$</w:t>
            </w:r>
            <w:r w:rsidR="00B82D8E">
              <w:t>6,536.97</w:t>
            </w:r>
          </w:p>
        </w:tc>
      </w:tr>
      <w:tr w:rsidR="00E32593" w:rsidRPr="005454C6" w:rsidTr="006E338E">
        <w:trPr>
          <w:cantSplit/>
          <w:jc w:val="center"/>
        </w:trPr>
        <w:tc>
          <w:tcPr>
            <w:tcW w:w="6383" w:type="dxa"/>
            <w:gridSpan w:val="3"/>
            <w:tcBorders>
              <w:top w:val="double" w:sz="6" w:space="0" w:color="auto"/>
              <w:left w:val="double" w:sz="6" w:space="0" w:color="auto"/>
              <w:bottom w:val="double" w:sz="6" w:space="0" w:color="auto"/>
              <w:right w:val="single" w:sz="6" w:space="0" w:color="auto"/>
            </w:tcBorders>
          </w:tcPr>
          <w:p w:rsidR="00E32593" w:rsidRPr="005454C6" w:rsidRDefault="00E32593" w:rsidP="00E32593">
            <w:pPr>
              <w:keepNext/>
              <w:keepLines/>
              <w:widowControl/>
              <w:numPr>
                <w:ilvl w:val="12"/>
                <w:numId w:val="0"/>
              </w:numPr>
              <w:rPr>
                <w:b/>
              </w:rPr>
            </w:pPr>
            <w:r w:rsidRPr="005454C6">
              <w:rPr>
                <w:b/>
              </w:rPr>
              <w:t>TOTAL</w:t>
            </w:r>
          </w:p>
        </w:tc>
        <w:tc>
          <w:tcPr>
            <w:tcW w:w="1625" w:type="dxa"/>
            <w:tcBorders>
              <w:top w:val="double" w:sz="6" w:space="0" w:color="auto"/>
              <w:left w:val="single" w:sz="6" w:space="0" w:color="auto"/>
              <w:bottom w:val="double" w:sz="6" w:space="0" w:color="auto"/>
              <w:right w:val="nil"/>
            </w:tcBorders>
            <w:vAlign w:val="bottom"/>
          </w:tcPr>
          <w:p w:rsidR="00E32593" w:rsidRPr="005454C6" w:rsidRDefault="00D1429A" w:rsidP="00E90E93">
            <w:pPr>
              <w:keepNext/>
              <w:keepLines/>
              <w:widowControl/>
              <w:numPr>
                <w:ilvl w:val="12"/>
                <w:numId w:val="0"/>
              </w:numPr>
              <w:jc w:val="center"/>
              <w:rPr>
                <w:b/>
                <w:highlight w:val="yellow"/>
              </w:rPr>
            </w:pPr>
            <w:r>
              <w:rPr>
                <w:b/>
              </w:rPr>
              <w:t>19,481</w:t>
            </w:r>
            <w:r w:rsidR="00E32593" w:rsidRPr="005454C6">
              <w:rPr>
                <w:b/>
              </w:rPr>
              <w:t xml:space="preserve"> </w:t>
            </w:r>
          </w:p>
        </w:tc>
        <w:tc>
          <w:tcPr>
            <w:tcW w:w="1352" w:type="dxa"/>
            <w:tcBorders>
              <w:top w:val="double" w:sz="6" w:space="0" w:color="auto"/>
              <w:left w:val="single" w:sz="6" w:space="0" w:color="auto"/>
              <w:bottom w:val="double" w:sz="6" w:space="0" w:color="auto"/>
              <w:right w:val="double" w:sz="6" w:space="0" w:color="auto"/>
            </w:tcBorders>
            <w:vAlign w:val="bottom"/>
          </w:tcPr>
          <w:p w:rsidR="00E32593" w:rsidRPr="005454C6" w:rsidRDefault="00E32593" w:rsidP="00D1429A">
            <w:pPr>
              <w:keepNext/>
              <w:keepLines/>
              <w:widowControl/>
              <w:numPr>
                <w:ilvl w:val="12"/>
                <w:numId w:val="0"/>
              </w:numPr>
              <w:jc w:val="center"/>
              <w:rPr>
                <w:b/>
                <w:highlight w:val="yellow"/>
              </w:rPr>
            </w:pPr>
            <w:r w:rsidRPr="005454C6">
              <w:rPr>
                <w:b/>
              </w:rPr>
              <w:t>$</w:t>
            </w:r>
            <w:r w:rsidR="00D1429A">
              <w:rPr>
                <w:b/>
              </w:rPr>
              <w:t>1,740,465.67</w:t>
            </w:r>
            <w:r w:rsidRPr="005454C6">
              <w:rPr>
                <w:b/>
              </w:rPr>
              <w:t xml:space="preserve"> </w:t>
            </w:r>
          </w:p>
        </w:tc>
      </w:tr>
    </w:tbl>
    <w:p w:rsidR="005454C6" w:rsidRPr="005454C6" w:rsidRDefault="005454C6" w:rsidP="00E90E93">
      <w:pPr>
        <w:keepNext/>
        <w:keepLines/>
        <w:widowControl/>
        <w:numPr>
          <w:ilvl w:val="12"/>
          <w:numId w:val="0"/>
        </w:numPr>
        <w:rPr>
          <w:sz w:val="24"/>
          <w:szCs w:val="22"/>
        </w:rPr>
      </w:pPr>
    </w:p>
    <w:p w:rsidR="009907D5" w:rsidRPr="005454C6" w:rsidRDefault="00DD0BDD" w:rsidP="00D93549">
      <w:pPr>
        <w:keepNext/>
        <w:keepLines/>
        <w:widowControl/>
        <w:numPr>
          <w:ilvl w:val="12"/>
          <w:numId w:val="0"/>
        </w:numPr>
        <w:ind w:left="1080" w:hanging="180"/>
        <w:rPr>
          <w:szCs w:val="22"/>
        </w:rPr>
      </w:pPr>
      <w:r w:rsidRPr="005454C6">
        <w:rPr>
          <w:szCs w:val="22"/>
          <w:vertAlign w:val="superscript"/>
        </w:rPr>
        <w:t>a</w:t>
      </w:r>
      <w:r>
        <w:rPr>
          <w:szCs w:val="22"/>
        </w:rPr>
        <w:tab/>
      </w:r>
      <w:r w:rsidRPr="005454C6">
        <w:rPr>
          <w:szCs w:val="22"/>
        </w:rPr>
        <w:t>20</w:t>
      </w:r>
      <w:r>
        <w:rPr>
          <w:szCs w:val="22"/>
        </w:rPr>
        <w:t xml:space="preserve">12 </w:t>
      </w:r>
      <w:r w:rsidRPr="005454C6">
        <w:rPr>
          <w:szCs w:val="22"/>
        </w:rPr>
        <w:t>dollars.</w:t>
      </w:r>
    </w:p>
    <w:p w:rsidR="009907D5" w:rsidRPr="005454C6" w:rsidRDefault="009907D5" w:rsidP="00D93549">
      <w:pPr>
        <w:keepNext/>
        <w:keepLines/>
        <w:widowControl/>
        <w:numPr>
          <w:ilvl w:val="12"/>
          <w:numId w:val="0"/>
        </w:numPr>
        <w:ind w:left="1080" w:hanging="180"/>
        <w:rPr>
          <w:szCs w:val="22"/>
        </w:rPr>
      </w:pPr>
      <w:r w:rsidRPr="005454C6">
        <w:rPr>
          <w:szCs w:val="22"/>
          <w:vertAlign w:val="superscript"/>
        </w:rPr>
        <w:t>b</w:t>
      </w:r>
      <w:r w:rsidR="005454C6">
        <w:rPr>
          <w:szCs w:val="22"/>
        </w:rPr>
        <w:tab/>
      </w:r>
      <w:r w:rsidRPr="005454C6">
        <w:rPr>
          <w:szCs w:val="22"/>
        </w:rPr>
        <w:t xml:space="preserve">Assumes that </w:t>
      </w:r>
      <w:r w:rsidR="005B5241" w:rsidRPr="005454C6">
        <w:rPr>
          <w:szCs w:val="22"/>
        </w:rPr>
        <w:t>1,</w:t>
      </w:r>
      <w:r w:rsidR="00D1429A">
        <w:rPr>
          <w:szCs w:val="22"/>
        </w:rPr>
        <w:t>200</w:t>
      </w:r>
      <w:r w:rsidR="00D1429A" w:rsidRPr="005454C6">
        <w:rPr>
          <w:szCs w:val="22"/>
        </w:rPr>
        <w:t xml:space="preserve"> </w:t>
      </w:r>
      <w:r w:rsidRPr="005454C6">
        <w:rPr>
          <w:szCs w:val="22"/>
        </w:rPr>
        <w:t>certificate of representation forms will be submitted.</w:t>
      </w:r>
    </w:p>
    <w:p w:rsidR="009907D5" w:rsidRPr="005454C6" w:rsidRDefault="009907D5" w:rsidP="00D93549">
      <w:pPr>
        <w:keepNext/>
        <w:keepLines/>
        <w:widowControl/>
        <w:numPr>
          <w:ilvl w:val="12"/>
          <w:numId w:val="0"/>
        </w:numPr>
        <w:ind w:left="1080" w:hanging="180"/>
        <w:rPr>
          <w:szCs w:val="22"/>
        </w:rPr>
      </w:pPr>
      <w:r w:rsidRPr="005454C6">
        <w:rPr>
          <w:szCs w:val="22"/>
          <w:vertAlign w:val="superscript"/>
        </w:rPr>
        <w:t>c</w:t>
      </w:r>
      <w:r w:rsidR="005454C6">
        <w:rPr>
          <w:szCs w:val="22"/>
        </w:rPr>
        <w:tab/>
      </w:r>
      <w:r w:rsidRPr="005454C6">
        <w:rPr>
          <w:szCs w:val="22"/>
        </w:rPr>
        <w:t xml:space="preserve">Assumes </w:t>
      </w:r>
      <w:r w:rsidR="00F34A1B" w:rsidRPr="005454C6">
        <w:rPr>
          <w:szCs w:val="22"/>
        </w:rPr>
        <w:t xml:space="preserve">250 </w:t>
      </w:r>
      <w:r w:rsidR="005454C6">
        <w:rPr>
          <w:szCs w:val="22"/>
        </w:rPr>
        <w:t>sources (20 percent</w:t>
      </w:r>
      <w:r w:rsidRPr="005454C6">
        <w:rPr>
          <w:szCs w:val="22"/>
        </w:rPr>
        <w:t xml:space="preserve"> of all affected sources) will submit Phase II permit applications each year.</w:t>
      </w:r>
    </w:p>
    <w:p w:rsidR="009907D5" w:rsidRPr="005454C6" w:rsidRDefault="009907D5" w:rsidP="00D93549">
      <w:pPr>
        <w:keepNext/>
        <w:keepLines/>
        <w:widowControl/>
        <w:numPr>
          <w:ilvl w:val="12"/>
          <w:numId w:val="0"/>
        </w:numPr>
        <w:ind w:left="1080" w:hanging="180"/>
        <w:rPr>
          <w:szCs w:val="22"/>
        </w:rPr>
      </w:pPr>
      <w:r w:rsidRPr="005454C6">
        <w:rPr>
          <w:szCs w:val="22"/>
          <w:vertAlign w:val="superscript"/>
        </w:rPr>
        <w:t>d</w:t>
      </w:r>
      <w:r w:rsidR="005454C6">
        <w:rPr>
          <w:szCs w:val="22"/>
        </w:rPr>
        <w:tab/>
      </w:r>
      <w:r w:rsidRPr="005454C6">
        <w:rPr>
          <w:szCs w:val="22"/>
        </w:rPr>
        <w:t>Assumes 33 units will submit retired unit exemptions each year.</w:t>
      </w:r>
    </w:p>
    <w:p w:rsidR="009907D5" w:rsidRPr="005454C6" w:rsidRDefault="009907D5" w:rsidP="00D93549">
      <w:pPr>
        <w:keepNext/>
        <w:keepLines/>
        <w:widowControl/>
        <w:numPr>
          <w:ilvl w:val="12"/>
          <w:numId w:val="0"/>
        </w:numPr>
        <w:ind w:left="1080" w:hanging="180"/>
        <w:rPr>
          <w:sz w:val="22"/>
          <w:szCs w:val="24"/>
        </w:rPr>
      </w:pPr>
      <w:r w:rsidRPr="005454C6">
        <w:rPr>
          <w:szCs w:val="22"/>
          <w:vertAlign w:val="superscript"/>
        </w:rPr>
        <w:t>e</w:t>
      </w:r>
      <w:r w:rsidR="005454C6">
        <w:rPr>
          <w:szCs w:val="22"/>
        </w:rPr>
        <w:tab/>
      </w:r>
      <w:r w:rsidRPr="005454C6">
        <w:rPr>
          <w:szCs w:val="22"/>
        </w:rPr>
        <w:t>Assumes 33 units will submit new unit exemptions each year.</w:t>
      </w:r>
    </w:p>
    <w:p w:rsidR="00562093" w:rsidRPr="005454C6" w:rsidRDefault="00562093" w:rsidP="00E90E93">
      <w:pPr>
        <w:keepNext/>
        <w:keepLines/>
        <w:widowControl/>
        <w:numPr>
          <w:ilvl w:val="12"/>
          <w:numId w:val="0"/>
        </w:numPr>
        <w:rPr>
          <w:sz w:val="24"/>
          <w:szCs w:val="24"/>
        </w:rPr>
      </w:pPr>
    </w:p>
    <w:p w:rsidR="00562093" w:rsidRPr="00F34A1B" w:rsidRDefault="00562093" w:rsidP="00E90E93">
      <w:pPr>
        <w:keepNext/>
        <w:keepLines/>
        <w:widowControl/>
        <w:numPr>
          <w:ilvl w:val="12"/>
          <w:numId w:val="0"/>
        </w:numPr>
        <w:rPr>
          <w:sz w:val="2"/>
          <w:szCs w:val="2"/>
        </w:rPr>
      </w:pPr>
    </w:p>
    <w:p w:rsidR="009907D5" w:rsidRDefault="008B5097" w:rsidP="00674ADB">
      <w:pPr>
        <w:keepNext/>
        <w:widowControl/>
        <w:ind w:left="720"/>
        <w:rPr>
          <w:b/>
          <w:bCs/>
          <w:sz w:val="24"/>
          <w:szCs w:val="24"/>
        </w:rPr>
      </w:pPr>
      <w:r>
        <w:rPr>
          <w:b/>
          <w:bCs/>
          <w:sz w:val="24"/>
          <w:szCs w:val="24"/>
        </w:rPr>
        <w:t>6.</w:t>
      </w:r>
      <w:r w:rsidR="000018B4">
        <w:rPr>
          <w:b/>
          <w:bCs/>
          <w:sz w:val="24"/>
          <w:szCs w:val="24"/>
        </w:rPr>
        <w:t>2</w:t>
      </w:r>
      <w:r>
        <w:rPr>
          <w:b/>
          <w:bCs/>
          <w:sz w:val="24"/>
          <w:szCs w:val="24"/>
        </w:rPr>
        <w:t xml:space="preserve">.2  </w:t>
      </w:r>
      <w:r w:rsidR="009907D5">
        <w:rPr>
          <w:b/>
          <w:bCs/>
          <w:sz w:val="24"/>
          <w:szCs w:val="24"/>
        </w:rPr>
        <w:t>Estimate of Agency/Permitting Authority Burden and Costs for Permitting</w:t>
      </w:r>
    </w:p>
    <w:p w:rsidR="009907D5" w:rsidRDefault="009907D5" w:rsidP="00674ADB">
      <w:pPr>
        <w:keepNext/>
        <w:widowControl/>
        <w:rPr>
          <w:b/>
          <w:bCs/>
          <w:sz w:val="24"/>
          <w:szCs w:val="24"/>
        </w:rPr>
      </w:pPr>
    </w:p>
    <w:p w:rsidR="00FE3EEE" w:rsidRDefault="009907D5" w:rsidP="00674ADB">
      <w:pPr>
        <w:keepNext/>
        <w:widowControl/>
        <w:rPr>
          <w:sz w:val="24"/>
          <w:szCs w:val="24"/>
        </w:rPr>
      </w:pPr>
      <w:r>
        <w:rPr>
          <w:b/>
          <w:bCs/>
          <w:sz w:val="24"/>
          <w:szCs w:val="24"/>
        </w:rPr>
        <w:tab/>
      </w:r>
      <w:r>
        <w:rPr>
          <w:sz w:val="24"/>
          <w:szCs w:val="24"/>
        </w:rPr>
        <w:t>Exhibit 6 presents the burden and costs to EPA and the permitting authority to review and process permit information</w:t>
      </w:r>
      <w:r w:rsidR="00CE3ABF">
        <w:rPr>
          <w:sz w:val="24"/>
          <w:szCs w:val="24"/>
        </w:rPr>
        <w:t xml:space="preserve">. </w:t>
      </w:r>
      <w:r>
        <w:rPr>
          <w:sz w:val="24"/>
          <w:szCs w:val="24"/>
        </w:rPr>
        <w:t>The primary tasks performed by EPA are reviewing certificates of representation, and reviewing permit applications</w:t>
      </w:r>
      <w:r w:rsidR="00CE3ABF">
        <w:rPr>
          <w:sz w:val="24"/>
          <w:szCs w:val="24"/>
        </w:rPr>
        <w:t xml:space="preserve">. </w:t>
      </w:r>
      <w:r>
        <w:rPr>
          <w:sz w:val="24"/>
          <w:szCs w:val="24"/>
        </w:rPr>
        <w:t>The primary tasks performed by the permitting authority are reviewing and processing permit applications, notifying the public, issuing proposed and final permits, reviewing new and retired unit exemptions</w:t>
      </w:r>
      <w:r w:rsidR="00CE3ABF">
        <w:rPr>
          <w:sz w:val="24"/>
          <w:szCs w:val="24"/>
        </w:rPr>
        <w:t xml:space="preserve">. </w:t>
      </w:r>
      <w:r>
        <w:rPr>
          <w:sz w:val="24"/>
          <w:szCs w:val="24"/>
        </w:rPr>
        <w:t>Reviewing a certificate of representation and determining completenes</w:t>
      </w:r>
      <w:r w:rsidR="00F61FF5">
        <w:rPr>
          <w:sz w:val="24"/>
          <w:szCs w:val="24"/>
        </w:rPr>
        <w:t>s</w:t>
      </w:r>
      <w:r>
        <w:rPr>
          <w:sz w:val="24"/>
          <w:szCs w:val="24"/>
        </w:rPr>
        <w:t xml:space="preserve"> is estimated to require half an hour</w:t>
      </w:r>
      <w:r w:rsidR="00CE3ABF">
        <w:rPr>
          <w:sz w:val="24"/>
          <w:szCs w:val="24"/>
        </w:rPr>
        <w:t xml:space="preserve">. </w:t>
      </w:r>
      <w:r>
        <w:rPr>
          <w:sz w:val="24"/>
          <w:szCs w:val="24"/>
        </w:rPr>
        <w:t>Reviewing the permit application, notifying the public, and issuing proposed and final p</w:t>
      </w:r>
      <w:r w:rsidR="008B5097">
        <w:rPr>
          <w:sz w:val="24"/>
          <w:szCs w:val="24"/>
        </w:rPr>
        <w:t>ermits is estimated to require nine</w:t>
      </w:r>
      <w:r>
        <w:rPr>
          <w:sz w:val="24"/>
          <w:szCs w:val="24"/>
        </w:rPr>
        <w:t xml:space="preserve"> hours per occurrence</w:t>
      </w:r>
      <w:r w:rsidR="00CE3ABF">
        <w:rPr>
          <w:sz w:val="24"/>
          <w:szCs w:val="24"/>
        </w:rPr>
        <w:t xml:space="preserve">. </w:t>
      </w:r>
      <w:r>
        <w:rPr>
          <w:sz w:val="24"/>
          <w:szCs w:val="24"/>
        </w:rPr>
        <w:t>The Agency</w:t>
      </w:r>
      <w:r w:rsidR="00A90381">
        <w:rPr>
          <w:sz w:val="24"/>
          <w:szCs w:val="24"/>
        </w:rPr>
        <w:t>'</w:t>
      </w:r>
      <w:r>
        <w:rPr>
          <w:sz w:val="24"/>
          <w:szCs w:val="24"/>
        </w:rPr>
        <w:t xml:space="preserve">s total annual effort will be </w:t>
      </w:r>
      <w:r w:rsidR="00F34A1B">
        <w:rPr>
          <w:sz w:val="24"/>
          <w:szCs w:val="24"/>
        </w:rPr>
        <w:t>908.5</w:t>
      </w:r>
      <w:r w:rsidR="006837BD">
        <w:rPr>
          <w:sz w:val="24"/>
          <w:szCs w:val="24"/>
        </w:rPr>
        <w:t xml:space="preserve"> </w:t>
      </w:r>
      <w:r>
        <w:rPr>
          <w:sz w:val="24"/>
          <w:szCs w:val="24"/>
        </w:rPr>
        <w:t>hours</w:t>
      </w:r>
      <w:r w:rsidR="00CE3ABF">
        <w:rPr>
          <w:sz w:val="24"/>
          <w:szCs w:val="24"/>
        </w:rPr>
        <w:t xml:space="preserve">. </w:t>
      </w:r>
      <w:r>
        <w:rPr>
          <w:sz w:val="24"/>
          <w:szCs w:val="24"/>
        </w:rPr>
        <w:t>The total cost to EPA for all permitting activities will be about $</w:t>
      </w:r>
      <w:r w:rsidR="00B82D8E">
        <w:rPr>
          <w:sz w:val="24"/>
          <w:szCs w:val="24"/>
        </w:rPr>
        <w:t>4,454.60</w:t>
      </w:r>
      <w:r w:rsidR="00CE3ABF">
        <w:rPr>
          <w:sz w:val="24"/>
          <w:szCs w:val="24"/>
        </w:rPr>
        <w:t xml:space="preserve">. </w:t>
      </w:r>
      <w:r>
        <w:rPr>
          <w:sz w:val="24"/>
          <w:szCs w:val="24"/>
        </w:rPr>
        <w:t xml:space="preserve">The total annual estimated burden and cost to the Permitting Authorities is </w:t>
      </w:r>
      <w:r w:rsidR="006F4EC3">
        <w:rPr>
          <w:sz w:val="24"/>
          <w:szCs w:val="24"/>
        </w:rPr>
        <w:t>3,002</w:t>
      </w:r>
      <w:r>
        <w:rPr>
          <w:sz w:val="24"/>
          <w:szCs w:val="24"/>
        </w:rPr>
        <w:t xml:space="preserve"> hours and $</w:t>
      </w:r>
      <w:r w:rsidR="006F4EC3">
        <w:rPr>
          <w:sz w:val="24"/>
          <w:szCs w:val="24"/>
        </w:rPr>
        <w:t>148,568.98</w:t>
      </w:r>
      <w:r w:rsidR="00562093">
        <w:rPr>
          <w:sz w:val="24"/>
          <w:szCs w:val="24"/>
        </w:rPr>
        <w:t xml:space="preserve">.  </w:t>
      </w:r>
    </w:p>
    <w:p w:rsidR="009907D5" w:rsidRDefault="009907D5" w:rsidP="00E90E93">
      <w:pPr>
        <w:widowControl/>
        <w:rPr>
          <w:sz w:val="24"/>
          <w:szCs w:val="24"/>
        </w:rPr>
      </w:pPr>
    </w:p>
    <w:p w:rsidR="009907D5" w:rsidRDefault="009907D5" w:rsidP="00E90E93">
      <w:pPr>
        <w:widowControl/>
        <w:numPr>
          <w:ilvl w:val="12"/>
          <w:numId w:val="0"/>
        </w:numPr>
        <w:rPr>
          <w:sz w:val="24"/>
          <w:szCs w:val="24"/>
        </w:rPr>
      </w:pPr>
    </w:p>
    <w:p w:rsidR="009907D5" w:rsidRPr="00635FCE" w:rsidRDefault="009907D5" w:rsidP="00E90E93">
      <w:pPr>
        <w:keepNext/>
        <w:keepLines/>
        <w:widowControl/>
        <w:numPr>
          <w:ilvl w:val="12"/>
          <w:numId w:val="0"/>
        </w:numPr>
        <w:jc w:val="center"/>
        <w:rPr>
          <w:b/>
          <w:sz w:val="24"/>
          <w:szCs w:val="24"/>
        </w:rPr>
      </w:pPr>
      <w:r w:rsidRPr="00635FCE">
        <w:rPr>
          <w:b/>
          <w:sz w:val="24"/>
          <w:szCs w:val="24"/>
        </w:rPr>
        <w:t xml:space="preserve">EXHIBIT </w:t>
      </w:r>
      <w:r w:rsidR="00D1429A">
        <w:rPr>
          <w:b/>
          <w:sz w:val="24"/>
          <w:szCs w:val="24"/>
        </w:rPr>
        <w:t>4</w:t>
      </w:r>
    </w:p>
    <w:p w:rsidR="009907D5" w:rsidRPr="00635FCE" w:rsidRDefault="009907D5" w:rsidP="00E90E93">
      <w:pPr>
        <w:keepNext/>
        <w:keepLines/>
        <w:widowControl/>
        <w:numPr>
          <w:ilvl w:val="12"/>
          <w:numId w:val="0"/>
        </w:numPr>
        <w:jc w:val="center"/>
        <w:rPr>
          <w:b/>
          <w:sz w:val="24"/>
          <w:szCs w:val="24"/>
        </w:rPr>
      </w:pPr>
      <w:r w:rsidRPr="00635FCE">
        <w:rPr>
          <w:b/>
          <w:sz w:val="24"/>
          <w:szCs w:val="24"/>
        </w:rPr>
        <w:t>ANNUAL AGENCY/PERMITTING AUTHORITY BURDEN/COST ESTIMATES FOR PERMITS</w:t>
      </w:r>
    </w:p>
    <w:p w:rsidR="008B5097" w:rsidRDefault="008B5097" w:rsidP="00E90E93">
      <w:pPr>
        <w:keepNext/>
        <w:keepLines/>
        <w:widowControl/>
        <w:numPr>
          <w:ilvl w:val="12"/>
          <w:numId w:val="0"/>
        </w:numPr>
        <w:jc w:val="center"/>
        <w:rPr>
          <w:sz w:val="24"/>
          <w:szCs w:val="24"/>
        </w:rPr>
      </w:pPr>
    </w:p>
    <w:tbl>
      <w:tblPr>
        <w:tblW w:w="9360" w:type="dxa"/>
        <w:jc w:val="center"/>
        <w:tblLayout w:type="fixed"/>
        <w:tblCellMar>
          <w:top w:w="72" w:type="dxa"/>
          <w:left w:w="72" w:type="dxa"/>
          <w:bottom w:w="72" w:type="dxa"/>
          <w:right w:w="72" w:type="dxa"/>
        </w:tblCellMar>
        <w:tblLook w:val="0000"/>
      </w:tblPr>
      <w:tblGrid>
        <w:gridCol w:w="3237"/>
        <w:gridCol w:w="1712"/>
        <w:gridCol w:w="1438"/>
        <w:gridCol w:w="1625"/>
        <w:gridCol w:w="1348"/>
      </w:tblGrid>
      <w:tr w:rsidR="009907D5" w:rsidRPr="00635FCE" w:rsidTr="00635FCE">
        <w:trPr>
          <w:cantSplit/>
          <w:jc w:val="center"/>
        </w:trPr>
        <w:tc>
          <w:tcPr>
            <w:tcW w:w="3240" w:type="dxa"/>
            <w:tcBorders>
              <w:top w:val="double" w:sz="6" w:space="0" w:color="auto"/>
              <w:left w:val="double" w:sz="6" w:space="0" w:color="auto"/>
              <w:bottom w:val="single" w:sz="6" w:space="0" w:color="auto"/>
              <w:right w:val="nil"/>
            </w:tcBorders>
            <w:shd w:val="pct10" w:color="auto" w:fill="auto"/>
            <w:vAlign w:val="bottom"/>
          </w:tcPr>
          <w:p w:rsidR="009907D5" w:rsidRPr="00635FCE" w:rsidRDefault="009907D5" w:rsidP="00635FCE">
            <w:pPr>
              <w:keepNext/>
              <w:keepLines/>
              <w:widowControl/>
              <w:numPr>
                <w:ilvl w:val="12"/>
                <w:numId w:val="0"/>
              </w:numPr>
              <w:jc w:val="center"/>
              <w:rPr>
                <w:b/>
                <w:sz w:val="22"/>
                <w:szCs w:val="22"/>
              </w:rPr>
            </w:pPr>
            <w:r w:rsidRPr="00635FCE">
              <w:rPr>
                <w:b/>
                <w:sz w:val="22"/>
                <w:szCs w:val="22"/>
              </w:rPr>
              <w:t>Tasks</w:t>
            </w:r>
          </w:p>
        </w:tc>
        <w:tc>
          <w:tcPr>
            <w:tcW w:w="1714" w:type="dxa"/>
            <w:tcBorders>
              <w:top w:val="double" w:sz="6" w:space="0" w:color="auto"/>
              <w:left w:val="single" w:sz="6" w:space="0" w:color="auto"/>
              <w:bottom w:val="single" w:sz="6" w:space="0" w:color="auto"/>
              <w:right w:val="nil"/>
            </w:tcBorders>
            <w:shd w:val="pct10" w:color="auto" w:fill="auto"/>
            <w:vAlign w:val="bottom"/>
          </w:tcPr>
          <w:p w:rsidR="009907D5" w:rsidRPr="00635FCE" w:rsidRDefault="00635FCE" w:rsidP="00635FCE">
            <w:pPr>
              <w:keepNext/>
              <w:keepLines/>
              <w:widowControl/>
              <w:numPr>
                <w:ilvl w:val="12"/>
                <w:numId w:val="0"/>
              </w:numPr>
              <w:jc w:val="center"/>
              <w:rPr>
                <w:b/>
                <w:sz w:val="22"/>
                <w:szCs w:val="22"/>
              </w:rPr>
            </w:pPr>
            <w:r>
              <w:rPr>
                <w:b/>
                <w:sz w:val="22"/>
                <w:szCs w:val="22"/>
              </w:rPr>
              <w:t>Burden Hours p</w:t>
            </w:r>
            <w:r w:rsidR="009907D5" w:rsidRPr="00635FCE">
              <w:rPr>
                <w:b/>
                <w:sz w:val="22"/>
                <w:szCs w:val="22"/>
              </w:rPr>
              <w:t>er Occurrence</w:t>
            </w:r>
          </w:p>
        </w:tc>
        <w:tc>
          <w:tcPr>
            <w:tcW w:w="1440" w:type="dxa"/>
            <w:tcBorders>
              <w:top w:val="double" w:sz="6" w:space="0" w:color="auto"/>
              <w:left w:val="single" w:sz="6" w:space="0" w:color="auto"/>
              <w:bottom w:val="single" w:sz="6" w:space="0" w:color="auto"/>
              <w:right w:val="nil"/>
            </w:tcBorders>
            <w:shd w:val="pct10" w:color="auto" w:fill="auto"/>
            <w:vAlign w:val="bottom"/>
          </w:tcPr>
          <w:p w:rsidR="009907D5" w:rsidRPr="00635FCE" w:rsidRDefault="00635FCE" w:rsidP="00635FCE">
            <w:pPr>
              <w:keepNext/>
              <w:keepLines/>
              <w:widowControl/>
              <w:numPr>
                <w:ilvl w:val="12"/>
                <w:numId w:val="0"/>
              </w:numPr>
              <w:jc w:val="center"/>
              <w:rPr>
                <w:b/>
                <w:sz w:val="22"/>
                <w:szCs w:val="22"/>
              </w:rPr>
            </w:pPr>
            <w:r>
              <w:rPr>
                <w:b/>
                <w:sz w:val="22"/>
                <w:szCs w:val="22"/>
              </w:rPr>
              <w:t>Cost p</w:t>
            </w:r>
            <w:r w:rsidR="009907D5" w:rsidRPr="00635FCE">
              <w:rPr>
                <w:b/>
                <w:sz w:val="22"/>
                <w:szCs w:val="22"/>
              </w:rPr>
              <w:t xml:space="preserve">er </w:t>
            </w:r>
            <w:proofErr w:type="spellStart"/>
            <w:r w:rsidR="009907D5" w:rsidRPr="00635FCE">
              <w:rPr>
                <w:b/>
                <w:sz w:val="22"/>
                <w:szCs w:val="22"/>
              </w:rPr>
              <w:t>Source</w:t>
            </w:r>
            <w:r w:rsidR="009907D5" w:rsidRPr="00635FCE">
              <w:rPr>
                <w:b/>
                <w:sz w:val="22"/>
                <w:szCs w:val="22"/>
                <w:vertAlign w:val="superscript"/>
              </w:rPr>
              <w:t>a</w:t>
            </w:r>
            <w:proofErr w:type="spellEnd"/>
          </w:p>
        </w:tc>
        <w:tc>
          <w:tcPr>
            <w:tcW w:w="1627" w:type="dxa"/>
            <w:tcBorders>
              <w:top w:val="double" w:sz="6" w:space="0" w:color="auto"/>
              <w:left w:val="single" w:sz="6" w:space="0" w:color="auto"/>
              <w:bottom w:val="single" w:sz="6" w:space="0" w:color="auto"/>
              <w:right w:val="nil"/>
            </w:tcBorders>
            <w:shd w:val="pct10" w:color="auto" w:fill="auto"/>
            <w:vAlign w:val="bottom"/>
          </w:tcPr>
          <w:p w:rsidR="009907D5" w:rsidRPr="00635FCE" w:rsidRDefault="00A45B03" w:rsidP="00635FCE">
            <w:pPr>
              <w:keepNext/>
              <w:keepLines/>
              <w:widowControl/>
              <w:numPr>
                <w:ilvl w:val="12"/>
                <w:numId w:val="0"/>
              </w:numPr>
              <w:jc w:val="center"/>
              <w:rPr>
                <w:b/>
                <w:sz w:val="22"/>
                <w:szCs w:val="22"/>
              </w:rPr>
            </w:pPr>
            <w:r>
              <w:rPr>
                <w:b/>
                <w:sz w:val="22"/>
                <w:szCs w:val="22"/>
              </w:rPr>
              <w:t>Total Burden (h</w:t>
            </w:r>
            <w:r w:rsidR="009907D5" w:rsidRPr="00635FCE">
              <w:rPr>
                <w:b/>
                <w:sz w:val="22"/>
                <w:szCs w:val="22"/>
              </w:rPr>
              <w:t>ours)</w:t>
            </w:r>
          </w:p>
        </w:tc>
        <w:tc>
          <w:tcPr>
            <w:tcW w:w="1350" w:type="dxa"/>
            <w:tcBorders>
              <w:top w:val="double" w:sz="6" w:space="0" w:color="auto"/>
              <w:left w:val="single" w:sz="6" w:space="0" w:color="auto"/>
              <w:bottom w:val="single" w:sz="6" w:space="0" w:color="auto"/>
              <w:right w:val="double" w:sz="6" w:space="0" w:color="auto"/>
            </w:tcBorders>
            <w:shd w:val="pct10" w:color="auto" w:fill="auto"/>
            <w:vAlign w:val="bottom"/>
          </w:tcPr>
          <w:p w:rsidR="009907D5" w:rsidRPr="00635FCE" w:rsidRDefault="009907D5" w:rsidP="00635FCE">
            <w:pPr>
              <w:keepNext/>
              <w:keepLines/>
              <w:widowControl/>
              <w:numPr>
                <w:ilvl w:val="12"/>
                <w:numId w:val="0"/>
              </w:numPr>
              <w:jc w:val="center"/>
              <w:rPr>
                <w:b/>
                <w:sz w:val="22"/>
                <w:szCs w:val="22"/>
              </w:rPr>
            </w:pPr>
            <w:r w:rsidRPr="00635FCE">
              <w:rPr>
                <w:b/>
                <w:sz w:val="22"/>
                <w:szCs w:val="22"/>
              </w:rPr>
              <w:t>Total Cost</w:t>
            </w:r>
          </w:p>
        </w:tc>
      </w:tr>
      <w:tr w:rsidR="009907D5" w:rsidRPr="00635FCE" w:rsidTr="00572651">
        <w:trPr>
          <w:cantSplit/>
          <w:jc w:val="center"/>
        </w:trPr>
        <w:tc>
          <w:tcPr>
            <w:tcW w:w="3240" w:type="dxa"/>
            <w:tcBorders>
              <w:top w:val="single" w:sz="6" w:space="0" w:color="auto"/>
              <w:left w:val="double" w:sz="6" w:space="0" w:color="auto"/>
              <w:bottom w:val="nil"/>
              <w:right w:val="nil"/>
            </w:tcBorders>
          </w:tcPr>
          <w:p w:rsidR="009907D5" w:rsidRPr="00635FCE" w:rsidRDefault="009907D5" w:rsidP="00E90E93">
            <w:pPr>
              <w:keepNext/>
              <w:keepLines/>
              <w:widowControl/>
              <w:numPr>
                <w:ilvl w:val="12"/>
                <w:numId w:val="0"/>
              </w:numPr>
              <w:rPr>
                <w:szCs w:val="24"/>
              </w:rPr>
            </w:pPr>
            <w:r w:rsidRPr="00635FCE">
              <w:rPr>
                <w:szCs w:val="22"/>
              </w:rPr>
              <w:t xml:space="preserve">EPA reviews certificates of representation and records </w:t>
            </w:r>
            <w:proofErr w:type="spellStart"/>
            <w:r w:rsidRPr="00635FCE">
              <w:rPr>
                <w:szCs w:val="22"/>
              </w:rPr>
              <w:t>information</w:t>
            </w:r>
            <w:r w:rsidR="00635FCE">
              <w:rPr>
                <w:szCs w:val="22"/>
              </w:rPr>
              <w:t>.</w:t>
            </w:r>
            <w:r w:rsidRPr="00635FCE">
              <w:rPr>
                <w:szCs w:val="22"/>
                <w:vertAlign w:val="superscript"/>
              </w:rPr>
              <w:t>b</w:t>
            </w:r>
            <w:proofErr w:type="spellEnd"/>
          </w:p>
        </w:tc>
        <w:tc>
          <w:tcPr>
            <w:tcW w:w="1714" w:type="dxa"/>
            <w:tcBorders>
              <w:top w:val="single" w:sz="6" w:space="0" w:color="auto"/>
              <w:left w:val="single" w:sz="6" w:space="0" w:color="auto"/>
              <w:bottom w:val="nil"/>
              <w:right w:val="nil"/>
            </w:tcBorders>
          </w:tcPr>
          <w:p w:rsidR="009907D5" w:rsidRPr="00635FCE" w:rsidRDefault="009907D5" w:rsidP="00572651">
            <w:pPr>
              <w:keepNext/>
              <w:keepLines/>
              <w:widowControl/>
              <w:numPr>
                <w:ilvl w:val="12"/>
                <w:numId w:val="0"/>
              </w:numPr>
              <w:jc w:val="center"/>
              <w:rPr>
                <w:szCs w:val="24"/>
              </w:rPr>
            </w:pPr>
            <w:r w:rsidRPr="00635FCE">
              <w:rPr>
                <w:szCs w:val="22"/>
              </w:rPr>
              <w:t>0.5</w:t>
            </w:r>
          </w:p>
        </w:tc>
        <w:tc>
          <w:tcPr>
            <w:tcW w:w="1440" w:type="dxa"/>
            <w:tcBorders>
              <w:top w:val="single" w:sz="6" w:space="0" w:color="auto"/>
              <w:left w:val="single" w:sz="6" w:space="0" w:color="auto"/>
              <w:bottom w:val="nil"/>
              <w:right w:val="nil"/>
            </w:tcBorders>
          </w:tcPr>
          <w:p w:rsidR="009907D5" w:rsidRPr="00635FCE" w:rsidRDefault="009907D5" w:rsidP="00B82D8E">
            <w:pPr>
              <w:keepNext/>
              <w:keepLines/>
              <w:widowControl/>
              <w:numPr>
                <w:ilvl w:val="12"/>
                <w:numId w:val="0"/>
              </w:numPr>
              <w:jc w:val="center"/>
              <w:rPr>
                <w:szCs w:val="24"/>
              </w:rPr>
            </w:pPr>
            <w:r w:rsidRPr="00635FCE">
              <w:rPr>
                <w:szCs w:val="22"/>
              </w:rPr>
              <w:t>$</w:t>
            </w:r>
            <w:r w:rsidR="00B82D8E">
              <w:rPr>
                <w:szCs w:val="22"/>
              </w:rPr>
              <w:t>24.75</w:t>
            </w:r>
          </w:p>
        </w:tc>
        <w:tc>
          <w:tcPr>
            <w:tcW w:w="1627" w:type="dxa"/>
            <w:tcBorders>
              <w:top w:val="single" w:sz="6" w:space="0" w:color="auto"/>
              <w:left w:val="single" w:sz="6" w:space="0" w:color="auto"/>
              <w:bottom w:val="nil"/>
              <w:right w:val="nil"/>
            </w:tcBorders>
          </w:tcPr>
          <w:p w:rsidR="009907D5" w:rsidRPr="00635FCE" w:rsidRDefault="00D1429A" w:rsidP="00D1429A">
            <w:pPr>
              <w:keepNext/>
              <w:keepLines/>
              <w:widowControl/>
              <w:numPr>
                <w:ilvl w:val="12"/>
                <w:numId w:val="0"/>
              </w:numPr>
              <w:jc w:val="center"/>
              <w:rPr>
                <w:szCs w:val="24"/>
              </w:rPr>
            </w:pPr>
            <w:r>
              <w:rPr>
                <w:szCs w:val="22"/>
              </w:rPr>
              <w:t>600</w:t>
            </w:r>
          </w:p>
        </w:tc>
        <w:tc>
          <w:tcPr>
            <w:tcW w:w="1350" w:type="dxa"/>
            <w:tcBorders>
              <w:top w:val="single" w:sz="6" w:space="0" w:color="auto"/>
              <w:left w:val="single" w:sz="6" w:space="0" w:color="auto"/>
              <w:bottom w:val="nil"/>
              <w:right w:val="double" w:sz="6" w:space="0" w:color="auto"/>
            </w:tcBorders>
          </w:tcPr>
          <w:p w:rsidR="009907D5" w:rsidRPr="00635FCE" w:rsidRDefault="00D1429A" w:rsidP="00572651">
            <w:pPr>
              <w:keepNext/>
              <w:keepLines/>
              <w:widowControl/>
              <w:numPr>
                <w:ilvl w:val="12"/>
                <w:numId w:val="0"/>
              </w:numPr>
              <w:jc w:val="center"/>
              <w:rPr>
                <w:szCs w:val="24"/>
              </w:rPr>
            </w:pPr>
            <w:r>
              <w:rPr>
                <w:szCs w:val="22"/>
              </w:rPr>
              <w:t>$29,694.00</w:t>
            </w:r>
          </w:p>
        </w:tc>
      </w:tr>
      <w:tr w:rsidR="009907D5" w:rsidRPr="00635FCE" w:rsidTr="00572651">
        <w:trPr>
          <w:cantSplit/>
          <w:jc w:val="center"/>
        </w:trPr>
        <w:tc>
          <w:tcPr>
            <w:tcW w:w="3240" w:type="dxa"/>
            <w:tcBorders>
              <w:top w:val="single" w:sz="6" w:space="0" w:color="auto"/>
              <w:left w:val="double" w:sz="6" w:space="0" w:color="auto"/>
              <w:bottom w:val="nil"/>
              <w:right w:val="nil"/>
            </w:tcBorders>
          </w:tcPr>
          <w:p w:rsidR="009907D5" w:rsidRPr="00635FCE" w:rsidRDefault="009907D5" w:rsidP="00E90E93">
            <w:pPr>
              <w:keepNext/>
              <w:keepLines/>
              <w:widowControl/>
              <w:numPr>
                <w:ilvl w:val="12"/>
                <w:numId w:val="0"/>
              </w:numPr>
              <w:rPr>
                <w:szCs w:val="24"/>
              </w:rPr>
            </w:pPr>
            <w:r w:rsidRPr="00635FCE">
              <w:rPr>
                <w:szCs w:val="22"/>
              </w:rPr>
              <w:t xml:space="preserve">Review permit application, and issue draft, proposed, and final </w:t>
            </w:r>
            <w:proofErr w:type="spellStart"/>
            <w:r w:rsidRPr="00635FCE">
              <w:rPr>
                <w:szCs w:val="22"/>
              </w:rPr>
              <w:t>permit</w:t>
            </w:r>
            <w:r w:rsidR="00635FCE">
              <w:rPr>
                <w:szCs w:val="22"/>
              </w:rPr>
              <w:t>.</w:t>
            </w:r>
            <w:r w:rsidRPr="00635FCE">
              <w:rPr>
                <w:szCs w:val="22"/>
                <w:vertAlign w:val="superscript"/>
              </w:rPr>
              <w:t>c</w:t>
            </w:r>
            <w:proofErr w:type="spellEnd"/>
          </w:p>
        </w:tc>
        <w:tc>
          <w:tcPr>
            <w:tcW w:w="1714" w:type="dxa"/>
            <w:tcBorders>
              <w:top w:val="single" w:sz="6" w:space="0" w:color="auto"/>
              <w:left w:val="single" w:sz="6" w:space="0" w:color="auto"/>
              <w:bottom w:val="nil"/>
              <w:right w:val="single" w:sz="6" w:space="0" w:color="auto"/>
            </w:tcBorders>
          </w:tcPr>
          <w:p w:rsidR="009907D5" w:rsidRPr="00635FCE" w:rsidRDefault="009907D5" w:rsidP="00572651">
            <w:pPr>
              <w:keepNext/>
              <w:keepLines/>
              <w:widowControl/>
              <w:numPr>
                <w:ilvl w:val="12"/>
                <w:numId w:val="0"/>
              </w:numPr>
              <w:jc w:val="center"/>
              <w:rPr>
                <w:szCs w:val="24"/>
              </w:rPr>
            </w:pPr>
          </w:p>
        </w:tc>
        <w:tc>
          <w:tcPr>
            <w:tcW w:w="1440" w:type="dxa"/>
            <w:tcBorders>
              <w:top w:val="single" w:sz="6" w:space="0" w:color="auto"/>
              <w:left w:val="nil"/>
              <w:bottom w:val="nil"/>
              <w:right w:val="nil"/>
            </w:tcBorders>
          </w:tcPr>
          <w:p w:rsidR="009907D5" w:rsidRPr="00635FCE" w:rsidRDefault="009907D5" w:rsidP="00572651">
            <w:pPr>
              <w:keepNext/>
              <w:keepLines/>
              <w:widowControl/>
              <w:numPr>
                <w:ilvl w:val="12"/>
                <w:numId w:val="0"/>
              </w:numPr>
              <w:jc w:val="center"/>
              <w:rPr>
                <w:szCs w:val="24"/>
              </w:rPr>
            </w:pPr>
          </w:p>
        </w:tc>
        <w:tc>
          <w:tcPr>
            <w:tcW w:w="1627" w:type="dxa"/>
            <w:tcBorders>
              <w:top w:val="single" w:sz="6" w:space="0" w:color="auto"/>
              <w:left w:val="single" w:sz="6" w:space="0" w:color="auto"/>
              <w:bottom w:val="nil"/>
              <w:right w:val="single" w:sz="6" w:space="0" w:color="auto"/>
            </w:tcBorders>
          </w:tcPr>
          <w:p w:rsidR="009907D5" w:rsidRPr="00635FCE" w:rsidRDefault="009907D5" w:rsidP="00572651">
            <w:pPr>
              <w:keepNext/>
              <w:keepLines/>
              <w:widowControl/>
              <w:numPr>
                <w:ilvl w:val="12"/>
                <w:numId w:val="0"/>
              </w:numPr>
              <w:jc w:val="center"/>
              <w:rPr>
                <w:szCs w:val="24"/>
              </w:rPr>
            </w:pPr>
          </w:p>
        </w:tc>
        <w:tc>
          <w:tcPr>
            <w:tcW w:w="1350" w:type="dxa"/>
            <w:tcBorders>
              <w:top w:val="single" w:sz="6" w:space="0" w:color="auto"/>
              <w:left w:val="nil"/>
              <w:bottom w:val="nil"/>
              <w:right w:val="double" w:sz="6" w:space="0" w:color="auto"/>
            </w:tcBorders>
          </w:tcPr>
          <w:p w:rsidR="009907D5" w:rsidRPr="00635FCE" w:rsidRDefault="009907D5" w:rsidP="00572651">
            <w:pPr>
              <w:keepNext/>
              <w:keepLines/>
              <w:widowControl/>
              <w:numPr>
                <w:ilvl w:val="12"/>
                <w:numId w:val="0"/>
              </w:numPr>
              <w:jc w:val="center"/>
              <w:rPr>
                <w:szCs w:val="24"/>
              </w:rPr>
            </w:pPr>
          </w:p>
        </w:tc>
      </w:tr>
      <w:tr w:rsidR="009907D5" w:rsidRPr="00635FCE" w:rsidTr="00572651">
        <w:trPr>
          <w:cantSplit/>
          <w:jc w:val="center"/>
        </w:trPr>
        <w:tc>
          <w:tcPr>
            <w:tcW w:w="3240" w:type="dxa"/>
            <w:tcBorders>
              <w:top w:val="nil"/>
              <w:left w:val="double" w:sz="6" w:space="0" w:color="auto"/>
              <w:bottom w:val="nil"/>
              <w:right w:val="nil"/>
            </w:tcBorders>
          </w:tcPr>
          <w:p w:rsidR="009907D5" w:rsidRPr="00635FCE" w:rsidRDefault="009907D5" w:rsidP="00635FCE">
            <w:pPr>
              <w:keepNext/>
              <w:keepLines/>
              <w:widowControl/>
              <w:numPr>
                <w:ilvl w:val="12"/>
                <w:numId w:val="0"/>
              </w:numPr>
              <w:ind w:left="378"/>
              <w:rPr>
                <w:szCs w:val="24"/>
              </w:rPr>
            </w:pPr>
            <w:r w:rsidRPr="00635FCE">
              <w:rPr>
                <w:szCs w:val="22"/>
              </w:rPr>
              <w:t>Permitting Authority action</w:t>
            </w:r>
            <w:r w:rsidR="00B63804">
              <w:rPr>
                <w:szCs w:val="22"/>
              </w:rPr>
              <w:t>.</w:t>
            </w:r>
          </w:p>
        </w:tc>
        <w:tc>
          <w:tcPr>
            <w:tcW w:w="1714" w:type="dxa"/>
            <w:tcBorders>
              <w:top w:val="nil"/>
              <w:left w:val="single" w:sz="6" w:space="0" w:color="auto"/>
              <w:bottom w:val="nil"/>
              <w:right w:val="single" w:sz="6" w:space="0" w:color="auto"/>
            </w:tcBorders>
          </w:tcPr>
          <w:p w:rsidR="009907D5" w:rsidRPr="00635FCE" w:rsidRDefault="009907D5" w:rsidP="00572651">
            <w:pPr>
              <w:keepNext/>
              <w:keepLines/>
              <w:widowControl/>
              <w:numPr>
                <w:ilvl w:val="12"/>
                <w:numId w:val="0"/>
              </w:numPr>
              <w:jc w:val="center"/>
              <w:rPr>
                <w:szCs w:val="24"/>
              </w:rPr>
            </w:pPr>
            <w:r w:rsidRPr="00635FCE">
              <w:rPr>
                <w:szCs w:val="22"/>
              </w:rPr>
              <w:t>8</w:t>
            </w:r>
          </w:p>
        </w:tc>
        <w:tc>
          <w:tcPr>
            <w:tcW w:w="1440" w:type="dxa"/>
            <w:tcBorders>
              <w:top w:val="nil"/>
              <w:left w:val="nil"/>
              <w:bottom w:val="nil"/>
              <w:right w:val="nil"/>
            </w:tcBorders>
          </w:tcPr>
          <w:p w:rsidR="009907D5" w:rsidRPr="00635FCE" w:rsidRDefault="009907D5" w:rsidP="00B82D8E">
            <w:pPr>
              <w:keepNext/>
              <w:keepLines/>
              <w:widowControl/>
              <w:numPr>
                <w:ilvl w:val="12"/>
                <w:numId w:val="0"/>
              </w:numPr>
              <w:jc w:val="center"/>
              <w:rPr>
                <w:szCs w:val="24"/>
              </w:rPr>
            </w:pPr>
            <w:r w:rsidRPr="00635FCE">
              <w:rPr>
                <w:szCs w:val="22"/>
              </w:rPr>
              <w:t>$</w:t>
            </w:r>
            <w:r w:rsidR="00B82D8E">
              <w:rPr>
                <w:szCs w:val="22"/>
              </w:rPr>
              <w:t>395.92</w:t>
            </w:r>
          </w:p>
        </w:tc>
        <w:tc>
          <w:tcPr>
            <w:tcW w:w="1627" w:type="dxa"/>
            <w:tcBorders>
              <w:top w:val="nil"/>
              <w:left w:val="single" w:sz="6" w:space="0" w:color="auto"/>
              <w:bottom w:val="nil"/>
              <w:right w:val="single" w:sz="6" w:space="0" w:color="auto"/>
            </w:tcBorders>
          </w:tcPr>
          <w:p w:rsidR="009907D5" w:rsidRPr="00635FCE" w:rsidRDefault="009907D5" w:rsidP="00572651">
            <w:pPr>
              <w:keepNext/>
              <w:keepLines/>
              <w:widowControl/>
              <w:numPr>
                <w:ilvl w:val="12"/>
                <w:numId w:val="0"/>
              </w:numPr>
              <w:jc w:val="center"/>
              <w:rPr>
                <w:szCs w:val="24"/>
              </w:rPr>
            </w:pPr>
            <w:r w:rsidRPr="00635FCE">
              <w:rPr>
                <w:szCs w:val="22"/>
              </w:rPr>
              <w:t>2,</w:t>
            </w:r>
            <w:r w:rsidR="00E86F3D" w:rsidRPr="00635FCE">
              <w:rPr>
                <w:szCs w:val="22"/>
              </w:rPr>
              <w:t>000</w:t>
            </w:r>
          </w:p>
        </w:tc>
        <w:tc>
          <w:tcPr>
            <w:tcW w:w="1350" w:type="dxa"/>
            <w:tcBorders>
              <w:top w:val="nil"/>
              <w:left w:val="nil"/>
              <w:bottom w:val="nil"/>
              <w:right w:val="double" w:sz="6" w:space="0" w:color="auto"/>
            </w:tcBorders>
          </w:tcPr>
          <w:p w:rsidR="009907D5" w:rsidRPr="00635FCE" w:rsidRDefault="009907D5" w:rsidP="00B82D8E">
            <w:pPr>
              <w:keepNext/>
              <w:keepLines/>
              <w:widowControl/>
              <w:numPr>
                <w:ilvl w:val="12"/>
                <w:numId w:val="0"/>
              </w:numPr>
              <w:jc w:val="center"/>
              <w:rPr>
                <w:szCs w:val="24"/>
              </w:rPr>
            </w:pPr>
            <w:r w:rsidRPr="00635FCE">
              <w:rPr>
                <w:szCs w:val="22"/>
              </w:rPr>
              <w:t>$</w:t>
            </w:r>
            <w:r w:rsidR="00B82D8E">
              <w:rPr>
                <w:szCs w:val="22"/>
              </w:rPr>
              <w:t>98,980.00</w:t>
            </w:r>
          </w:p>
        </w:tc>
      </w:tr>
      <w:tr w:rsidR="009907D5" w:rsidRPr="00635FCE" w:rsidTr="00572651">
        <w:trPr>
          <w:cantSplit/>
          <w:jc w:val="center"/>
        </w:trPr>
        <w:tc>
          <w:tcPr>
            <w:tcW w:w="3240" w:type="dxa"/>
            <w:tcBorders>
              <w:top w:val="nil"/>
              <w:left w:val="double" w:sz="6" w:space="0" w:color="auto"/>
              <w:bottom w:val="nil"/>
              <w:right w:val="nil"/>
            </w:tcBorders>
          </w:tcPr>
          <w:p w:rsidR="009907D5" w:rsidRPr="00635FCE" w:rsidRDefault="009907D5" w:rsidP="00635FCE">
            <w:pPr>
              <w:keepNext/>
              <w:keepLines/>
              <w:widowControl/>
              <w:numPr>
                <w:ilvl w:val="12"/>
                <w:numId w:val="0"/>
              </w:numPr>
              <w:ind w:left="378"/>
              <w:rPr>
                <w:szCs w:val="24"/>
              </w:rPr>
            </w:pPr>
            <w:r w:rsidRPr="00635FCE">
              <w:rPr>
                <w:szCs w:val="22"/>
              </w:rPr>
              <w:t>EPA review</w:t>
            </w:r>
            <w:r w:rsidR="00B63804">
              <w:rPr>
                <w:szCs w:val="22"/>
              </w:rPr>
              <w:t>.</w:t>
            </w:r>
          </w:p>
        </w:tc>
        <w:tc>
          <w:tcPr>
            <w:tcW w:w="1714" w:type="dxa"/>
            <w:tcBorders>
              <w:top w:val="nil"/>
              <w:left w:val="single" w:sz="6" w:space="0" w:color="auto"/>
              <w:bottom w:val="nil"/>
              <w:right w:val="single" w:sz="6" w:space="0" w:color="auto"/>
            </w:tcBorders>
          </w:tcPr>
          <w:p w:rsidR="009907D5" w:rsidRPr="00635FCE" w:rsidRDefault="009907D5" w:rsidP="00572651">
            <w:pPr>
              <w:keepNext/>
              <w:keepLines/>
              <w:widowControl/>
              <w:numPr>
                <w:ilvl w:val="12"/>
                <w:numId w:val="0"/>
              </w:numPr>
              <w:jc w:val="center"/>
              <w:rPr>
                <w:szCs w:val="24"/>
              </w:rPr>
            </w:pPr>
            <w:r w:rsidRPr="00635FCE">
              <w:rPr>
                <w:szCs w:val="22"/>
              </w:rPr>
              <w:t>1</w:t>
            </w:r>
          </w:p>
        </w:tc>
        <w:tc>
          <w:tcPr>
            <w:tcW w:w="1440" w:type="dxa"/>
            <w:tcBorders>
              <w:top w:val="nil"/>
              <w:left w:val="nil"/>
              <w:bottom w:val="nil"/>
              <w:right w:val="nil"/>
            </w:tcBorders>
          </w:tcPr>
          <w:p w:rsidR="009907D5" w:rsidRPr="00635FCE" w:rsidRDefault="009907D5" w:rsidP="00572651">
            <w:pPr>
              <w:keepNext/>
              <w:keepLines/>
              <w:widowControl/>
              <w:numPr>
                <w:ilvl w:val="12"/>
                <w:numId w:val="0"/>
              </w:numPr>
              <w:jc w:val="center"/>
              <w:rPr>
                <w:szCs w:val="24"/>
              </w:rPr>
            </w:pPr>
            <w:r w:rsidRPr="00635FCE">
              <w:rPr>
                <w:szCs w:val="22"/>
              </w:rPr>
              <w:t>$</w:t>
            </w:r>
            <w:r w:rsidR="00B82D8E">
              <w:rPr>
                <w:szCs w:val="22"/>
              </w:rPr>
              <w:t>49.49</w:t>
            </w:r>
          </w:p>
        </w:tc>
        <w:tc>
          <w:tcPr>
            <w:tcW w:w="1627" w:type="dxa"/>
            <w:tcBorders>
              <w:top w:val="nil"/>
              <w:left w:val="single" w:sz="6" w:space="0" w:color="auto"/>
              <w:bottom w:val="nil"/>
              <w:right w:val="single" w:sz="6" w:space="0" w:color="auto"/>
            </w:tcBorders>
          </w:tcPr>
          <w:p w:rsidR="009907D5" w:rsidRPr="00635FCE" w:rsidRDefault="00E86F3D" w:rsidP="00572651">
            <w:pPr>
              <w:keepNext/>
              <w:keepLines/>
              <w:widowControl/>
              <w:numPr>
                <w:ilvl w:val="12"/>
                <w:numId w:val="0"/>
              </w:numPr>
              <w:jc w:val="center"/>
              <w:rPr>
                <w:szCs w:val="24"/>
              </w:rPr>
            </w:pPr>
            <w:r w:rsidRPr="00635FCE">
              <w:rPr>
                <w:szCs w:val="22"/>
              </w:rPr>
              <w:t>250</w:t>
            </w:r>
          </w:p>
        </w:tc>
        <w:tc>
          <w:tcPr>
            <w:tcW w:w="1350" w:type="dxa"/>
            <w:tcBorders>
              <w:top w:val="nil"/>
              <w:left w:val="nil"/>
              <w:bottom w:val="nil"/>
              <w:right w:val="double" w:sz="6" w:space="0" w:color="auto"/>
            </w:tcBorders>
          </w:tcPr>
          <w:p w:rsidR="009907D5" w:rsidRPr="00635FCE" w:rsidRDefault="009907D5" w:rsidP="00B82D8E">
            <w:pPr>
              <w:keepNext/>
              <w:keepLines/>
              <w:widowControl/>
              <w:numPr>
                <w:ilvl w:val="12"/>
                <w:numId w:val="0"/>
              </w:numPr>
              <w:jc w:val="center"/>
              <w:rPr>
                <w:szCs w:val="24"/>
              </w:rPr>
            </w:pPr>
            <w:r w:rsidRPr="00635FCE">
              <w:rPr>
                <w:szCs w:val="22"/>
              </w:rPr>
              <w:t>$</w:t>
            </w:r>
            <w:r w:rsidR="00B82D8E">
              <w:rPr>
                <w:szCs w:val="22"/>
              </w:rPr>
              <w:t>12,372.50</w:t>
            </w:r>
          </w:p>
        </w:tc>
      </w:tr>
      <w:tr w:rsidR="009907D5" w:rsidRPr="00635FCE" w:rsidTr="00572651">
        <w:trPr>
          <w:cantSplit/>
          <w:jc w:val="center"/>
        </w:trPr>
        <w:tc>
          <w:tcPr>
            <w:tcW w:w="3240" w:type="dxa"/>
            <w:tcBorders>
              <w:top w:val="single" w:sz="6" w:space="0" w:color="auto"/>
              <w:left w:val="double" w:sz="6" w:space="0" w:color="auto"/>
              <w:bottom w:val="nil"/>
              <w:right w:val="nil"/>
            </w:tcBorders>
          </w:tcPr>
          <w:p w:rsidR="009907D5" w:rsidRPr="00635FCE" w:rsidRDefault="009907D5" w:rsidP="00E90E93">
            <w:pPr>
              <w:keepNext/>
              <w:keepLines/>
              <w:widowControl/>
              <w:numPr>
                <w:ilvl w:val="12"/>
                <w:numId w:val="0"/>
              </w:numPr>
              <w:rPr>
                <w:szCs w:val="24"/>
              </w:rPr>
            </w:pPr>
            <w:r w:rsidRPr="00635FCE">
              <w:rPr>
                <w:szCs w:val="22"/>
              </w:rPr>
              <w:t xml:space="preserve">Receive and process retired and new unit </w:t>
            </w:r>
            <w:proofErr w:type="spellStart"/>
            <w:r w:rsidRPr="00635FCE">
              <w:rPr>
                <w:szCs w:val="22"/>
              </w:rPr>
              <w:t>exemptions</w:t>
            </w:r>
            <w:r w:rsidR="00635FCE">
              <w:rPr>
                <w:szCs w:val="22"/>
              </w:rPr>
              <w:t>.</w:t>
            </w:r>
            <w:r w:rsidRPr="00635FCE">
              <w:rPr>
                <w:szCs w:val="22"/>
                <w:vertAlign w:val="superscript"/>
              </w:rPr>
              <w:t>d</w:t>
            </w:r>
            <w:proofErr w:type="spellEnd"/>
          </w:p>
        </w:tc>
        <w:tc>
          <w:tcPr>
            <w:tcW w:w="1714" w:type="dxa"/>
            <w:tcBorders>
              <w:top w:val="single" w:sz="6" w:space="0" w:color="auto"/>
              <w:left w:val="single" w:sz="6" w:space="0" w:color="auto"/>
              <w:bottom w:val="nil"/>
              <w:right w:val="single" w:sz="6" w:space="0" w:color="auto"/>
            </w:tcBorders>
          </w:tcPr>
          <w:p w:rsidR="009907D5" w:rsidRPr="00635FCE" w:rsidRDefault="009907D5" w:rsidP="00572651">
            <w:pPr>
              <w:keepNext/>
              <w:keepLines/>
              <w:widowControl/>
              <w:numPr>
                <w:ilvl w:val="12"/>
                <w:numId w:val="0"/>
              </w:numPr>
              <w:jc w:val="center"/>
              <w:rPr>
                <w:szCs w:val="24"/>
              </w:rPr>
            </w:pPr>
          </w:p>
        </w:tc>
        <w:tc>
          <w:tcPr>
            <w:tcW w:w="1440" w:type="dxa"/>
            <w:tcBorders>
              <w:top w:val="single" w:sz="6" w:space="0" w:color="auto"/>
              <w:left w:val="nil"/>
              <w:bottom w:val="nil"/>
              <w:right w:val="nil"/>
            </w:tcBorders>
          </w:tcPr>
          <w:p w:rsidR="009907D5" w:rsidRPr="00635FCE" w:rsidRDefault="009907D5" w:rsidP="00572651">
            <w:pPr>
              <w:keepNext/>
              <w:keepLines/>
              <w:widowControl/>
              <w:numPr>
                <w:ilvl w:val="12"/>
                <w:numId w:val="0"/>
              </w:numPr>
              <w:jc w:val="center"/>
              <w:rPr>
                <w:szCs w:val="24"/>
              </w:rPr>
            </w:pPr>
          </w:p>
        </w:tc>
        <w:tc>
          <w:tcPr>
            <w:tcW w:w="1627" w:type="dxa"/>
            <w:tcBorders>
              <w:top w:val="single" w:sz="6" w:space="0" w:color="auto"/>
              <w:left w:val="single" w:sz="6" w:space="0" w:color="auto"/>
              <w:bottom w:val="nil"/>
              <w:right w:val="single" w:sz="6" w:space="0" w:color="auto"/>
            </w:tcBorders>
          </w:tcPr>
          <w:p w:rsidR="009907D5" w:rsidRPr="00635FCE" w:rsidRDefault="009907D5" w:rsidP="00572651">
            <w:pPr>
              <w:keepNext/>
              <w:keepLines/>
              <w:widowControl/>
              <w:numPr>
                <w:ilvl w:val="12"/>
                <w:numId w:val="0"/>
              </w:numPr>
              <w:jc w:val="center"/>
              <w:rPr>
                <w:szCs w:val="24"/>
              </w:rPr>
            </w:pPr>
          </w:p>
        </w:tc>
        <w:tc>
          <w:tcPr>
            <w:tcW w:w="1350" w:type="dxa"/>
            <w:tcBorders>
              <w:top w:val="single" w:sz="6" w:space="0" w:color="auto"/>
              <w:left w:val="nil"/>
              <w:bottom w:val="nil"/>
              <w:right w:val="double" w:sz="6" w:space="0" w:color="auto"/>
            </w:tcBorders>
          </w:tcPr>
          <w:p w:rsidR="009907D5" w:rsidRPr="00635FCE" w:rsidRDefault="009907D5" w:rsidP="00572651">
            <w:pPr>
              <w:keepNext/>
              <w:keepLines/>
              <w:widowControl/>
              <w:numPr>
                <w:ilvl w:val="12"/>
                <w:numId w:val="0"/>
              </w:numPr>
              <w:jc w:val="center"/>
              <w:rPr>
                <w:szCs w:val="24"/>
              </w:rPr>
            </w:pPr>
          </w:p>
        </w:tc>
      </w:tr>
      <w:tr w:rsidR="009907D5" w:rsidRPr="00635FCE" w:rsidTr="00572651">
        <w:trPr>
          <w:cantSplit/>
          <w:jc w:val="center"/>
        </w:trPr>
        <w:tc>
          <w:tcPr>
            <w:tcW w:w="3240" w:type="dxa"/>
            <w:tcBorders>
              <w:top w:val="nil"/>
              <w:left w:val="double" w:sz="6" w:space="0" w:color="auto"/>
              <w:bottom w:val="nil"/>
              <w:right w:val="nil"/>
            </w:tcBorders>
          </w:tcPr>
          <w:p w:rsidR="009907D5" w:rsidRPr="00635FCE" w:rsidRDefault="009907D5" w:rsidP="00635FCE">
            <w:pPr>
              <w:keepNext/>
              <w:keepLines/>
              <w:widowControl/>
              <w:numPr>
                <w:ilvl w:val="12"/>
                <w:numId w:val="0"/>
              </w:numPr>
              <w:ind w:left="378"/>
              <w:rPr>
                <w:szCs w:val="24"/>
              </w:rPr>
            </w:pPr>
            <w:r w:rsidRPr="00635FCE">
              <w:rPr>
                <w:szCs w:val="22"/>
              </w:rPr>
              <w:t>Permitting Authority action</w:t>
            </w:r>
            <w:r w:rsidR="00B63804">
              <w:rPr>
                <w:szCs w:val="22"/>
              </w:rPr>
              <w:t>.</w:t>
            </w:r>
          </w:p>
        </w:tc>
        <w:tc>
          <w:tcPr>
            <w:tcW w:w="1714" w:type="dxa"/>
            <w:tcBorders>
              <w:top w:val="nil"/>
              <w:left w:val="single" w:sz="6" w:space="0" w:color="auto"/>
              <w:bottom w:val="nil"/>
              <w:right w:val="single" w:sz="6" w:space="0" w:color="auto"/>
            </w:tcBorders>
          </w:tcPr>
          <w:p w:rsidR="009907D5" w:rsidRPr="00635FCE" w:rsidRDefault="009907D5" w:rsidP="00572651">
            <w:pPr>
              <w:keepNext/>
              <w:keepLines/>
              <w:widowControl/>
              <w:numPr>
                <w:ilvl w:val="12"/>
                <w:numId w:val="0"/>
              </w:numPr>
              <w:jc w:val="center"/>
              <w:rPr>
                <w:szCs w:val="24"/>
              </w:rPr>
            </w:pPr>
            <w:r w:rsidRPr="00635FCE">
              <w:rPr>
                <w:szCs w:val="22"/>
              </w:rPr>
              <w:t>2</w:t>
            </w:r>
          </w:p>
        </w:tc>
        <w:tc>
          <w:tcPr>
            <w:tcW w:w="1440" w:type="dxa"/>
            <w:tcBorders>
              <w:top w:val="nil"/>
              <w:left w:val="nil"/>
              <w:bottom w:val="nil"/>
              <w:right w:val="nil"/>
            </w:tcBorders>
          </w:tcPr>
          <w:p w:rsidR="009907D5" w:rsidRPr="00635FCE" w:rsidRDefault="009907D5" w:rsidP="00572651">
            <w:pPr>
              <w:keepNext/>
              <w:keepLines/>
              <w:widowControl/>
              <w:numPr>
                <w:ilvl w:val="12"/>
                <w:numId w:val="0"/>
              </w:numPr>
              <w:jc w:val="center"/>
              <w:rPr>
                <w:szCs w:val="24"/>
              </w:rPr>
            </w:pPr>
            <w:r w:rsidRPr="00635FCE">
              <w:rPr>
                <w:szCs w:val="22"/>
              </w:rPr>
              <w:t>$</w:t>
            </w:r>
            <w:r w:rsidR="00B82D8E">
              <w:rPr>
                <w:szCs w:val="22"/>
              </w:rPr>
              <w:t>98.98</w:t>
            </w:r>
          </w:p>
        </w:tc>
        <w:tc>
          <w:tcPr>
            <w:tcW w:w="1627" w:type="dxa"/>
            <w:tcBorders>
              <w:top w:val="nil"/>
              <w:left w:val="single" w:sz="6" w:space="0" w:color="auto"/>
              <w:bottom w:val="nil"/>
              <w:right w:val="single" w:sz="6" w:space="0" w:color="auto"/>
            </w:tcBorders>
          </w:tcPr>
          <w:p w:rsidR="009907D5" w:rsidRPr="00635FCE" w:rsidRDefault="009907D5" w:rsidP="00572651">
            <w:pPr>
              <w:keepNext/>
              <w:keepLines/>
              <w:widowControl/>
              <w:numPr>
                <w:ilvl w:val="12"/>
                <w:numId w:val="0"/>
              </w:numPr>
              <w:jc w:val="center"/>
              <w:rPr>
                <w:szCs w:val="24"/>
              </w:rPr>
            </w:pPr>
            <w:r w:rsidRPr="00635FCE">
              <w:rPr>
                <w:szCs w:val="22"/>
              </w:rPr>
              <w:t>132</w:t>
            </w:r>
          </w:p>
        </w:tc>
        <w:tc>
          <w:tcPr>
            <w:tcW w:w="1350" w:type="dxa"/>
            <w:tcBorders>
              <w:top w:val="nil"/>
              <w:left w:val="nil"/>
              <w:bottom w:val="nil"/>
              <w:right w:val="double" w:sz="6" w:space="0" w:color="auto"/>
            </w:tcBorders>
          </w:tcPr>
          <w:p w:rsidR="009907D5" w:rsidRPr="00635FCE" w:rsidRDefault="009907D5" w:rsidP="00B82D8E">
            <w:pPr>
              <w:keepNext/>
              <w:keepLines/>
              <w:widowControl/>
              <w:numPr>
                <w:ilvl w:val="12"/>
                <w:numId w:val="0"/>
              </w:numPr>
              <w:jc w:val="center"/>
              <w:rPr>
                <w:szCs w:val="24"/>
              </w:rPr>
            </w:pPr>
            <w:r w:rsidRPr="00635FCE">
              <w:rPr>
                <w:szCs w:val="22"/>
              </w:rPr>
              <w:t>$</w:t>
            </w:r>
            <w:r w:rsidR="00B82D8E">
              <w:rPr>
                <w:szCs w:val="22"/>
              </w:rPr>
              <w:t>6,532.68</w:t>
            </w:r>
          </w:p>
        </w:tc>
      </w:tr>
      <w:tr w:rsidR="009907D5" w:rsidRPr="00635FCE" w:rsidTr="00572651">
        <w:trPr>
          <w:cantSplit/>
          <w:jc w:val="center"/>
        </w:trPr>
        <w:tc>
          <w:tcPr>
            <w:tcW w:w="3240" w:type="dxa"/>
            <w:tcBorders>
              <w:top w:val="nil"/>
              <w:left w:val="double" w:sz="6" w:space="0" w:color="auto"/>
              <w:bottom w:val="double" w:sz="6" w:space="0" w:color="auto"/>
              <w:right w:val="nil"/>
            </w:tcBorders>
          </w:tcPr>
          <w:p w:rsidR="009907D5" w:rsidRPr="00635FCE" w:rsidRDefault="009907D5" w:rsidP="00635FCE">
            <w:pPr>
              <w:keepNext/>
              <w:keepLines/>
              <w:widowControl/>
              <w:numPr>
                <w:ilvl w:val="12"/>
                <w:numId w:val="0"/>
              </w:numPr>
              <w:ind w:left="378"/>
              <w:rPr>
                <w:szCs w:val="24"/>
              </w:rPr>
            </w:pPr>
            <w:r w:rsidRPr="00635FCE">
              <w:rPr>
                <w:szCs w:val="22"/>
              </w:rPr>
              <w:t>EPA review</w:t>
            </w:r>
            <w:r w:rsidR="00B63804">
              <w:rPr>
                <w:szCs w:val="22"/>
              </w:rPr>
              <w:t>.</w:t>
            </w:r>
          </w:p>
        </w:tc>
        <w:tc>
          <w:tcPr>
            <w:tcW w:w="1714" w:type="dxa"/>
            <w:tcBorders>
              <w:top w:val="nil"/>
              <w:left w:val="single" w:sz="6" w:space="0" w:color="auto"/>
              <w:bottom w:val="double" w:sz="6" w:space="0" w:color="auto"/>
              <w:right w:val="single" w:sz="6" w:space="0" w:color="auto"/>
            </w:tcBorders>
          </w:tcPr>
          <w:p w:rsidR="009907D5" w:rsidRPr="00635FCE" w:rsidRDefault="009907D5" w:rsidP="00572651">
            <w:pPr>
              <w:keepNext/>
              <w:keepLines/>
              <w:widowControl/>
              <w:numPr>
                <w:ilvl w:val="12"/>
                <w:numId w:val="0"/>
              </w:numPr>
              <w:jc w:val="center"/>
              <w:rPr>
                <w:szCs w:val="24"/>
              </w:rPr>
            </w:pPr>
            <w:r w:rsidRPr="00635FCE">
              <w:rPr>
                <w:szCs w:val="22"/>
              </w:rPr>
              <w:t>0.3</w:t>
            </w:r>
          </w:p>
        </w:tc>
        <w:tc>
          <w:tcPr>
            <w:tcW w:w="1440" w:type="dxa"/>
            <w:tcBorders>
              <w:top w:val="nil"/>
              <w:left w:val="nil"/>
              <w:bottom w:val="double" w:sz="6" w:space="0" w:color="auto"/>
              <w:right w:val="nil"/>
            </w:tcBorders>
          </w:tcPr>
          <w:p w:rsidR="009907D5" w:rsidRPr="00635FCE" w:rsidRDefault="009907D5" w:rsidP="00572651">
            <w:pPr>
              <w:keepNext/>
              <w:keepLines/>
              <w:widowControl/>
              <w:numPr>
                <w:ilvl w:val="12"/>
                <w:numId w:val="0"/>
              </w:numPr>
              <w:jc w:val="center"/>
              <w:rPr>
                <w:szCs w:val="24"/>
              </w:rPr>
            </w:pPr>
            <w:r w:rsidRPr="00635FCE">
              <w:rPr>
                <w:szCs w:val="22"/>
              </w:rPr>
              <w:t>$</w:t>
            </w:r>
            <w:r w:rsidR="00B82D8E">
              <w:rPr>
                <w:szCs w:val="22"/>
              </w:rPr>
              <w:t>14.85</w:t>
            </w:r>
          </w:p>
        </w:tc>
        <w:tc>
          <w:tcPr>
            <w:tcW w:w="1627" w:type="dxa"/>
            <w:tcBorders>
              <w:top w:val="nil"/>
              <w:left w:val="single" w:sz="6" w:space="0" w:color="auto"/>
              <w:bottom w:val="double" w:sz="6" w:space="0" w:color="auto"/>
              <w:right w:val="single" w:sz="6" w:space="0" w:color="auto"/>
            </w:tcBorders>
          </w:tcPr>
          <w:p w:rsidR="009907D5" w:rsidRPr="00635FCE" w:rsidRDefault="009907D5" w:rsidP="00572651">
            <w:pPr>
              <w:keepNext/>
              <w:keepLines/>
              <w:widowControl/>
              <w:numPr>
                <w:ilvl w:val="12"/>
                <w:numId w:val="0"/>
              </w:numPr>
              <w:jc w:val="center"/>
              <w:rPr>
                <w:szCs w:val="24"/>
              </w:rPr>
            </w:pPr>
            <w:r w:rsidRPr="00635FCE">
              <w:rPr>
                <w:szCs w:val="22"/>
              </w:rPr>
              <w:t>20</w:t>
            </w:r>
          </w:p>
        </w:tc>
        <w:tc>
          <w:tcPr>
            <w:tcW w:w="1350" w:type="dxa"/>
            <w:tcBorders>
              <w:top w:val="nil"/>
              <w:left w:val="nil"/>
              <w:bottom w:val="double" w:sz="6" w:space="0" w:color="auto"/>
              <w:right w:val="double" w:sz="6" w:space="0" w:color="auto"/>
            </w:tcBorders>
          </w:tcPr>
          <w:p w:rsidR="009907D5" w:rsidRPr="00635FCE" w:rsidRDefault="009907D5" w:rsidP="00AF0C5A">
            <w:pPr>
              <w:keepNext/>
              <w:keepLines/>
              <w:widowControl/>
              <w:numPr>
                <w:ilvl w:val="12"/>
                <w:numId w:val="0"/>
              </w:numPr>
              <w:jc w:val="center"/>
              <w:rPr>
                <w:szCs w:val="24"/>
              </w:rPr>
            </w:pPr>
            <w:r w:rsidRPr="00635FCE">
              <w:rPr>
                <w:szCs w:val="22"/>
              </w:rPr>
              <w:t>$</w:t>
            </w:r>
            <w:r w:rsidR="00AF0C5A">
              <w:rPr>
                <w:szCs w:val="22"/>
              </w:rPr>
              <w:t>989.80</w:t>
            </w:r>
          </w:p>
        </w:tc>
      </w:tr>
      <w:tr w:rsidR="009907D5" w:rsidRPr="00635FCE" w:rsidTr="00572651">
        <w:trPr>
          <w:cantSplit/>
          <w:jc w:val="center"/>
        </w:trPr>
        <w:tc>
          <w:tcPr>
            <w:tcW w:w="1440" w:type="dxa"/>
            <w:gridSpan w:val="3"/>
            <w:tcBorders>
              <w:top w:val="double" w:sz="6" w:space="0" w:color="auto"/>
              <w:left w:val="double" w:sz="6" w:space="0" w:color="auto"/>
              <w:bottom w:val="double" w:sz="6" w:space="0" w:color="auto"/>
              <w:right w:val="nil"/>
            </w:tcBorders>
          </w:tcPr>
          <w:p w:rsidR="009907D5" w:rsidRPr="00635FCE" w:rsidRDefault="009907D5" w:rsidP="00E90E93">
            <w:pPr>
              <w:keepNext/>
              <w:keepLines/>
              <w:widowControl/>
              <w:numPr>
                <w:ilvl w:val="12"/>
                <w:numId w:val="0"/>
              </w:numPr>
              <w:rPr>
                <w:b/>
                <w:szCs w:val="24"/>
              </w:rPr>
            </w:pPr>
            <w:r w:rsidRPr="00635FCE">
              <w:rPr>
                <w:b/>
                <w:szCs w:val="22"/>
              </w:rPr>
              <w:t>TOTAL</w:t>
            </w:r>
          </w:p>
        </w:tc>
        <w:tc>
          <w:tcPr>
            <w:tcW w:w="1627" w:type="dxa"/>
            <w:tcBorders>
              <w:top w:val="double" w:sz="6" w:space="0" w:color="auto"/>
              <w:left w:val="single" w:sz="6" w:space="0" w:color="auto"/>
              <w:bottom w:val="double" w:sz="6" w:space="0" w:color="auto"/>
              <w:right w:val="nil"/>
            </w:tcBorders>
          </w:tcPr>
          <w:p w:rsidR="009907D5" w:rsidRPr="00635FCE" w:rsidRDefault="00FE3EEE" w:rsidP="00AF0C5A">
            <w:pPr>
              <w:keepNext/>
              <w:keepLines/>
              <w:widowControl/>
              <w:numPr>
                <w:ilvl w:val="12"/>
                <w:numId w:val="0"/>
              </w:numPr>
              <w:jc w:val="center"/>
              <w:rPr>
                <w:b/>
                <w:szCs w:val="24"/>
              </w:rPr>
            </w:pPr>
            <w:r w:rsidRPr="00635FCE">
              <w:rPr>
                <w:b/>
                <w:szCs w:val="22"/>
              </w:rPr>
              <w:t>3,</w:t>
            </w:r>
            <w:r w:rsidR="00AF0C5A">
              <w:rPr>
                <w:b/>
                <w:szCs w:val="22"/>
              </w:rPr>
              <w:t>0</w:t>
            </w:r>
            <w:r w:rsidR="00D1429A">
              <w:rPr>
                <w:b/>
                <w:szCs w:val="22"/>
              </w:rPr>
              <w:t>02.00</w:t>
            </w:r>
          </w:p>
        </w:tc>
        <w:tc>
          <w:tcPr>
            <w:tcW w:w="1350" w:type="dxa"/>
            <w:tcBorders>
              <w:top w:val="double" w:sz="6" w:space="0" w:color="auto"/>
              <w:left w:val="single" w:sz="6" w:space="0" w:color="auto"/>
              <w:bottom w:val="double" w:sz="6" w:space="0" w:color="auto"/>
              <w:right w:val="double" w:sz="6" w:space="0" w:color="auto"/>
            </w:tcBorders>
          </w:tcPr>
          <w:p w:rsidR="009907D5" w:rsidRPr="00635FCE" w:rsidRDefault="009907D5" w:rsidP="00D1429A">
            <w:pPr>
              <w:keepNext/>
              <w:keepLines/>
              <w:widowControl/>
              <w:numPr>
                <w:ilvl w:val="12"/>
                <w:numId w:val="0"/>
              </w:numPr>
              <w:jc w:val="center"/>
              <w:rPr>
                <w:b/>
                <w:szCs w:val="24"/>
              </w:rPr>
            </w:pPr>
            <w:r w:rsidRPr="00635FCE">
              <w:rPr>
                <w:b/>
                <w:szCs w:val="22"/>
              </w:rPr>
              <w:t>$</w:t>
            </w:r>
            <w:r w:rsidR="00AF0C5A">
              <w:rPr>
                <w:b/>
                <w:szCs w:val="22"/>
              </w:rPr>
              <w:t>1</w:t>
            </w:r>
            <w:r w:rsidR="00D1429A">
              <w:rPr>
                <w:b/>
                <w:szCs w:val="22"/>
              </w:rPr>
              <w:t>48</w:t>
            </w:r>
            <w:r w:rsidR="00AF0C5A">
              <w:rPr>
                <w:b/>
                <w:szCs w:val="22"/>
              </w:rPr>
              <w:t>,</w:t>
            </w:r>
            <w:r w:rsidR="00D1429A">
              <w:rPr>
                <w:b/>
                <w:szCs w:val="22"/>
              </w:rPr>
              <w:t>568</w:t>
            </w:r>
            <w:r w:rsidR="00AF0C5A">
              <w:rPr>
                <w:b/>
                <w:szCs w:val="22"/>
              </w:rPr>
              <w:t>.</w:t>
            </w:r>
            <w:r w:rsidR="00D1429A">
              <w:rPr>
                <w:b/>
                <w:szCs w:val="22"/>
              </w:rPr>
              <w:t>98</w:t>
            </w:r>
          </w:p>
        </w:tc>
      </w:tr>
    </w:tbl>
    <w:p w:rsidR="008B5097" w:rsidRPr="008B5097" w:rsidRDefault="008B5097" w:rsidP="00E90E93">
      <w:pPr>
        <w:keepNext/>
        <w:keepLines/>
        <w:widowControl/>
        <w:numPr>
          <w:ilvl w:val="12"/>
          <w:numId w:val="0"/>
        </w:numPr>
        <w:rPr>
          <w:sz w:val="24"/>
          <w:szCs w:val="22"/>
        </w:rPr>
      </w:pPr>
    </w:p>
    <w:p w:rsidR="009907D5" w:rsidRPr="008B5097" w:rsidRDefault="009907D5" w:rsidP="00E63842">
      <w:pPr>
        <w:keepNext/>
        <w:keepLines/>
        <w:widowControl/>
        <w:numPr>
          <w:ilvl w:val="12"/>
          <w:numId w:val="0"/>
        </w:numPr>
        <w:ind w:left="1080" w:hanging="180"/>
      </w:pPr>
      <w:r w:rsidRPr="008B5097">
        <w:rPr>
          <w:vertAlign w:val="superscript"/>
        </w:rPr>
        <w:t>a</w:t>
      </w:r>
      <w:r w:rsidR="008B5097">
        <w:tab/>
      </w:r>
      <w:r w:rsidR="00AF0C5A" w:rsidRPr="008B5097">
        <w:t>20</w:t>
      </w:r>
      <w:r w:rsidR="00AF0C5A">
        <w:t>12</w:t>
      </w:r>
      <w:r w:rsidR="00AF0C5A" w:rsidRPr="008B5097">
        <w:t xml:space="preserve"> </w:t>
      </w:r>
      <w:r w:rsidRPr="008B5097">
        <w:t>dollars.</w:t>
      </w:r>
    </w:p>
    <w:p w:rsidR="009907D5" w:rsidRPr="008B5097" w:rsidRDefault="009907D5" w:rsidP="00E63842">
      <w:pPr>
        <w:keepNext/>
        <w:keepLines/>
        <w:widowControl/>
        <w:numPr>
          <w:ilvl w:val="12"/>
          <w:numId w:val="0"/>
        </w:numPr>
        <w:ind w:left="1080" w:hanging="180"/>
      </w:pPr>
      <w:r w:rsidRPr="008B5097">
        <w:rPr>
          <w:vertAlign w:val="superscript"/>
        </w:rPr>
        <w:t>b</w:t>
      </w:r>
      <w:r w:rsidR="008B5097">
        <w:tab/>
      </w:r>
      <w:r w:rsidRPr="008B5097">
        <w:t xml:space="preserve">Assumes </w:t>
      </w:r>
      <w:r w:rsidR="00FE3EEE" w:rsidRPr="008B5097">
        <w:t>1,</w:t>
      </w:r>
      <w:r w:rsidR="00D1429A">
        <w:t>200</w:t>
      </w:r>
      <w:r w:rsidR="00D1429A" w:rsidRPr="008B5097">
        <w:t xml:space="preserve"> </w:t>
      </w:r>
      <w:r w:rsidRPr="008B5097">
        <w:t>sources submit a certificate of representation.</w:t>
      </w:r>
    </w:p>
    <w:p w:rsidR="009907D5" w:rsidRPr="008B5097" w:rsidRDefault="009907D5" w:rsidP="00E63842">
      <w:pPr>
        <w:keepNext/>
        <w:keepLines/>
        <w:widowControl/>
        <w:numPr>
          <w:ilvl w:val="12"/>
          <w:numId w:val="0"/>
        </w:numPr>
        <w:ind w:left="1080" w:hanging="180"/>
      </w:pPr>
      <w:r w:rsidRPr="008B5097">
        <w:rPr>
          <w:vertAlign w:val="superscript"/>
        </w:rPr>
        <w:t>c</w:t>
      </w:r>
      <w:r w:rsidR="008B5097">
        <w:tab/>
      </w:r>
      <w:r w:rsidRPr="008B5097">
        <w:t xml:space="preserve">Assumes </w:t>
      </w:r>
      <w:r w:rsidR="00E86F3D" w:rsidRPr="008B5097">
        <w:t xml:space="preserve">250 </w:t>
      </w:r>
      <w:r w:rsidR="00E63842">
        <w:t>sources (20 percent</w:t>
      </w:r>
      <w:r w:rsidRPr="008B5097">
        <w:t xml:space="preserve"> of all affected sources) will submit Phase II permit applications each year.</w:t>
      </w:r>
    </w:p>
    <w:p w:rsidR="009907D5" w:rsidRPr="008B5097" w:rsidRDefault="009907D5" w:rsidP="00E63842">
      <w:pPr>
        <w:keepNext/>
        <w:keepLines/>
        <w:widowControl/>
        <w:numPr>
          <w:ilvl w:val="12"/>
          <w:numId w:val="0"/>
        </w:numPr>
        <w:ind w:left="1080" w:hanging="180"/>
      </w:pPr>
      <w:r w:rsidRPr="008B5097">
        <w:rPr>
          <w:vertAlign w:val="superscript"/>
        </w:rPr>
        <w:t>d</w:t>
      </w:r>
      <w:r w:rsidR="008B5097">
        <w:tab/>
      </w:r>
      <w:r w:rsidRPr="008B5097">
        <w:t>Assumes 33 retired and 33 new unit exemptions are submitted each year.</w:t>
      </w:r>
    </w:p>
    <w:p w:rsidR="009907D5" w:rsidRDefault="009907D5" w:rsidP="00E90E93">
      <w:pPr>
        <w:widowControl/>
        <w:numPr>
          <w:ilvl w:val="12"/>
          <w:numId w:val="0"/>
        </w:numPr>
        <w:rPr>
          <w:sz w:val="24"/>
          <w:szCs w:val="24"/>
        </w:rPr>
      </w:pPr>
    </w:p>
    <w:p w:rsidR="0099414F" w:rsidRDefault="0099414F" w:rsidP="00E90E93">
      <w:pPr>
        <w:widowControl/>
        <w:numPr>
          <w:ilvl w:val="12"/>
          <w:numId w:val="0"/>
        </w:numPr>
        <w:rPr>
          <w:sz w:val="24"/>
          <w:szCs w:val="24"/>
        </w:rPr>
      </w:pPr>
    </w:p>
    <w:p w:rsidR="009907D5" w:rsidRDefault="0099414F" w:rsidP="0099414F">
      <w:pPr>
        <w:widowControl/>
        <w:ind w:left="360"/>
        <w:rPr>
          <w:b/>
          <w:bCs/>
          <w:sz w:val="24"/>
          <w:szCs w:val="24"/>
        </w:rPr>
      </w:pPr>
      <w:r w:rsidRPr="0099414F">
        <w:rPr>
          <w:b/>
          <w:sz w:val="24"/>
          <w:szCs w:val="24"/>
        </w:rPr>
        <w:t>6.</w:t>
      </w:r>
      <w:r w:rsidR="000018B4">
        <w:rPr>
          <w:b/>
          <w:sz w:val="24"/>
          <w:szCs w:val="24"/>
        </w:rPr>
        <w:t>3</w:t>
      </w:r>
      <w:r>
        <w:rPr>
          <w:sz w:val="24"/>
          <w:szCs w:val="24"/>
        </w:rPr>
        <w:t xml:space="preserve">  </w:t>
      </w:r>
      <w:r w:rsidR="009907D5">
        <w:rPr>
          <w:b/>
          <w:bCs/>
          <w:sz w:val="24"/>
          <w:szCs w:val="24"/>
        </w:rPr>
        <w:t>Emissions Monitoring Recording and Reporting</w:t>
      </w:r>
    </w:p>
    <w:p w:rsidR="009907D5" w:rsidRDefault="009907D5" w:rsidP="00E90E93">
      <w:pPr>
        <w:widowControl/>
        <w:rPr>
          <w:b/>
          <w:bCs/>
          <w:sz w:val="24"/>
          <w:szCs w:val="24"/>
        </w:rPr>
      </w:pPr>
    </w:p>
    <w:p w:rsidR="009907D5" w:rsidRDefault="009907D5" w:rsidP="00E90E93">
      <w:pPr>
        <w:pStyle w:val="NormalWeb"/>
        <w:spacing w:before="0" w:beforeAutospacing="0" w:after="0" w:afterAutospacing="0"/>
        <w:ind w:firstLine="720"/>
      </w:pPr>
      <w:r>
        <w:t>This section estimates the burden and cost of submitting monitoring plans, obtaining certification of each monitoring system, conducting monitor quality assurance activities, and recording and reporting data from CEM systems (or approved alternatives), and other ancillary activities (such as responding to EPA generated error messages, or responding to EPA audits).</w:t>
      </w:r>
    </w:p>
    <w:p w:rsidR="00562093" w:rsidRDefault="00562093" w:rsidP="00E90E93">
      <w:pPr>
        <w:pStyle w:val="NormalWeb"/>
        <w:spacing w:before="0" w:beforeAutospacing="0" w:after="0" w:afterAutospacing="0"/>
        <w:ind w:firstLine="720"/>
      </w:pPr>
    </w:p>
    <w:p w:rsidR="009907D5" w:rsidRDefault="009907D5" w:rsidP="00E90E93">
      <w:pPr>
        <w:pStyle w:val="NormalWeb"/>
        <w:spacing w:before="0" w:beforeAutospacing="0" w:after="0" w:afterAutospacing="0"/>
        <w:ind w:firstLine="720"/>
      </w:pPr>
      <w:r>
        <w:t>The legislative requirements in Title IV require all affected Phase I and Phase II sources to install SO</w:t>
      </w:r>
      <w:r>
        <w:rPr>
          <w:vertAlign w:val="subscript"/>
        </w:rPr>
        <w:t>2</w:t>
      </w:r>
      <w:r>
        <w:t xml:space="preserve"> and </w:t>
      </w:r>
      <w:proofErr w:type="spellStart"/>
      <w:r>
        <w:t>NO</w:t>
      </w:r>
      <w:r>
        <w:rPr>
          <w:vertAlign w:val="subscript"/>
        </w:rPr>
        <w:t>x</w:t>
      </w:r>
      <w:proofErr w:type="spellEnd"/>
      <w:r>
        <w:t xml:space="preserve"> CEM systems, </w:t>
      </w:r>
      <w:r w:rsidR="00574A5A">
        <w:t xml:space="preserve">continuous </w:t>
      </w:r>
      <w:r>
        <w:t>opacity monitors (COMS), and flow monitors (or approved alternatives)</w:t>
      </w:r>
      <w:r w:rsidR="00CE3ABF">
        <w:t xml:space="preserve">. </w:t>
      </w:r>
      <w:r>
        <w:t>Data handling or reporting is required by the law, but not specified</w:t>
      </w:r>
      <w:r w:rsidR="00CE3ABF">
        <w:t xml:space="preserve">. </w:t>
      </w:r>
      <w:r>
        <w:t>Under the promulgated regulations, however, EPA imposes data handling, reporting, and recordkeeping requirements</w:t>
      </w:r>
      <w:r w:rsidR="00CE3ABF">
        <w:t xml:space="preserve">. </w:t>
      </w:r>
      <w:r>
        <w:t>The EPA requires that all affected units required to install CEM systems use a data acquisition and handling system (DAHS) to record hourly CEM and flow monitor data in the XML format</w:t>
      </w:r>
      <w:r w:rsidR="00CE3ABF">
        <w:t xml:space="preserve">. </w:t>
      </w:r>
      <w:r>
        <w:t>Affected gas- and oil-fired units may elect to use the approved alternative SO</w:t>
      </w:r>
      <w:r>
        <w:rPr>
          <w:vertAlign w:val="subscript"/>
        </w:rPr>
        <w:t>2</w:t>
      </w:r>
      <w:r>
        <w:t xml:space="preserve"> monitoring method and record fuel sulfur analysis data, and then use a DAHS to record and report hourly fuel flow values from a fuel flow meter in the XML format</w:t>
      </w:r>
      <w:r w:rsidR="00CE3ABF">
        <w:t xml:space="preserve">. </w:t>
      </w:r>
      <w:r>
        <w:t xml:space="preserve">In addition, peaking units </w:t>
      </w:r>
      <w:r>
        <w:lastRenderedPageBreak/>
        <w:t xml:space="preserve">that burn natural gas and/or fuel oil may use an excepted method for calculating </w:t>
      </w:r>
      <w:proofErr w:type="spellStart"/>
      <w:r>
        <w:t>NO</w:t>
      </w:r>
      <w:r>
        <w:rPr>
          <w:vertAlign w:val="subscript"/>
        </w:rPr>
        <w:t>x</w:t>
      </w:r>
      <w:proofErr w:type="spellEnd"/>
      <w:r>
        <w:t xml:space="preserve"> emission rates</w:t>
      </w:r>
      <w:r w:rsidR="00CE3ABF">
        <w:t xml:space="preserve">. </w:t>
      </w:r>
      <w:r>
        <w:t>Finally, EPA allows certain low mass emissions (LME) units to use assumed emission factors together with operational data to calculate emissions.</w:t>
      </w:r>
    </w:p>
    <w:p w:rsidR="00562093" w:rsidRDefault="00562093" w:rsidP="00E90E93">
      <w:pPr>
        <w:pStyle w:val="NormalWeb"/>
        <w:spacing w:before="0" w:beforeAutospacing="0" w:after="0" w:afterAutospacing="0"/>
        <w:ind w:firstLine="720"/>
      </w:pPr>
    </w:p>
    <w:p w:rsidR="009907D5" w:rsidRDefault="009907D5" w:rsidP="00E90E93">
      <w:pPr>
        <w:pStyle w:val="NormalWeb"/>
        <w:spacing w:before="0" w:beforeAutospacing="0" w:after="0" w:afterAutospacing="0"/>
        <w:ind w:firstLine="720"/>
      </w:pPr>
      <w:r>
        <w:t>Affected sources are required to complete and submit a monitoring plan and obtain certification of each monitor (on standard forms) for each affected unit at the source</w:t>
      </w:r>
      <w:r w:rsidR="00CE3ABF">
        <w:t xml:space="preserve">. </w:t>
      </w:r>
      <w:r>
        <w:t>These plans and certifications, which are only submitted once, have already been submitted for most units</w:t>
      </w:r>
      <w:r w:rsidR="00CE3ABF">
        <w:t xml:space="preserve">. </w:t>
      </w:r>
      <w:r>
        <w:t>Sources, however, may need to submit revised plans or even recertify if they change some aspect of their existing plan</w:t>
      </w:r>
      <w:r w:rsidR="00CE3ABF">
        <w:t xml:space="preserve">. </w:t>
      </w:r>
      <w:r>
        <w:t>New units will still need to submit plans and certifications for the first time</w:t>
      </w:r>
      <w:r w:rsidR="00CE3ABF">
        <w:t xml:space="preserve">. </w:t>
      </w:r>
      <w:r>
        <w:t>In addition, all affected units are required to submit quarterly reports of their emissions data to EPA; these reports include much of the basic monitoring plan data as well.</w:t>
      </w:r>
    </w:p>
    <w:p w:rsidR="00562093" w:rsidRDefault="00562093" w:rsidP="00E90E93">
      <w:pPr>
        <w:pStyle w:val="NormalWeb"/>
        <w:spacing w:before="0" w:beforeAutospacing="0" w:after="0" w:afterAutospacing="0"/>
        <w:ind w:firstLine="720"/>
      </w:pPr>
    </w:p>
    <w:p w:rsidR="009907D5" w:rsidRDefault="009907D5" w:rsidP="00E90E93">
      <w:pPr>
        <w:pStyle w:val="NormalWeb"/>
        <w:spacing w:before="0" w:beforeAutospacing="0" w:after="0" w:afterAutospacing="0"/>
        <w:ind w:firstLine="720"/>
      </w:pPr>
      <w:r>
        <w:t>To develop this renewal ICR, EPA relied primarily on the extensive efforts to identify and calculate burdens for prior</w:t>
      </w:r>
      <w:r w:rsidR="00E86F3D">
        <w:t xml:space="preserve"> </w:t>
      </w:r>
      <w:r>
        <w:t>ICR renewals and the Clean Air Interstate Rule (CAIR) ICR</w:t>
      </w:r>
      <w:r w:rsidR="00CE3ABF">
        <w:t xml:space="preserve">. </w:t>
      </w:r>
      <w:r>
        <w:t>In 1999, EPA promulgated significant revisions to Part 75 to address a number of implementation concerns that affected sources had raised</w:t>
      </w:r>
      <w:r w:rsidR="00CE3ABF">
        <w:t xml:space="preserve">. </w:t>
      </w:r>
      <w:r>
        <w:t xml:space="preserve">In 2002, EPA promulgated less significant revisions to Part 75 that addressed a number of procedural and technical issues, the possibility of non-load based units using Part 75 as part of the </w:t>
      </w:r>
      <w:proofErr w:type="spellStart"/>
      <w:r>
        <w:t>NO</w:t>
      </w:r>
      <w:r>
        <w:rPr>
          <w:vertAlign w:val="subscript"/>
        </w:rPr>
        <w:t>x</w:t>
      </w:r>
      <w:proofErr w:type="spellEnd"/>
      <w:r>
        <w:t xml:space="preserve"> SIP Call, and the expanded use of the LME provisions</w:t>
      </w:r>
      <w:r w:rsidR="00CE3ABF">
        <w:t xml:space="preserve">. </w:t>
      </w:r>
      <w:r w:rsidR="00E86F3D">
        <w:t>In 2005, EPA pro</w:t>
      </w:r>
      <w:r w:rsidR="00314957">
        <w:t>m</w:t>
      </w:r>
      <w:r w:rsidR="00E86F3D">
        <w:t>ulgated Part 75 revisions that implement the new ECMPS data system and reporting process</w:t>
      </w:r>
      <w:r w:rsidR="00562093">
        <w:t xml:space="preserve">.  </w:t>
      </w:r>
    </w:p>
    <w:p w:rsidR="00562093" w:rsidRDefault="00562093" w:rsidP="00E90E93">
      <w:pPr>
        <w:pStyle w:val="NormalWeb"/>
        <w:spacing w:before="0" w:beforeAutospacing="0" w:after="0" w:afterAutospacing="0"/>
        <w:ind w:firstLine="720"/>
      </w:pPr>
    </w:p>
    <w:p w:rsidR="009907D5" w:rsidRDefault="009907D5" w:rsidP="00E90E93">
      <w:pPr>
        <w:pStyle w:val="NormalWeb"/>
        <w:spacing w:before="0" w:beforeAutospacing="0" w:after="0" w:afterAutospacing="0"/>
        <w:ind w:firstLine="720"/>
      </w:pPr>
      <w:r>
        <w:t>To quantify the respondents</w:t>
      </w:r>
      <w:r w:rsidR="00A90381">
        <w:t>'</w:t>
      </w:r>
      <w:r>
        <w:t xml:space="preserve"> burdens and costs, EPA has analyzed existing data reported by the affected sources and developed model unit categories to classify and characterize the affected population.</w:t>
      </w:r>
    </w:p>
    <w:p w:rsidR="00562093" w:rsidRDefault="00562093" w:rsidP="00E90E93">
      <w:pPr>
        <w:pStyle w:val="NormalWeb"/>
        <w:spacing w:before="0" w:beforeAutospacing="0" w:after="0" w:afterAutospacing="0"/>
        <w:ind w:firstLine="720"/>
      </w:pPr>
    </w:p>
    <w:p w:rsidR="009907D5" w:rsidRDefault="009907D5" w:rsidP="00E90E93">
      <w:pPr>
        <w:pStyle w:val="NormalWeb"/>
        <w:spacing w:before="0" w:beforeAutospacing="0" w:after="0" w:afterAutospacing="0"/>
        <w:ind w:firstLine="720"/>
      </w:pPr>
      <w:r>
        <w:t>A projection of the number of new units that will come on line in 201</w:t>
      </w:r>
      <w:r w:rsidR="001A0F7F">
        <w:t>3</w:t>
      </w:r>
      <w:r>
        <w:t xml:space="preserve"> through 201</w:t>
      </w:r>
      <w:r w:rsidR="001A0F7F">
        <w:t>5</w:t>
      </w:r>
      <w:r>
        <w:t xml:space="preserve"> was also made and included in the unit counts</w:t>
      </w:r>
      <w:r w:rsidR="00CE3ABF">
        <w:t xml:space="preserve">. </w:t>
      </w:r>
      <w:r>
        <w:t xml:space="preserve">The new unit estimates </w:t>
      </w:r>
      <w:r w:rsidR="001A0F7F">
        <w:t>29</w:t>
      </w:r>
      <w:r>
        <w:t xml:space="preserve"> new units each year, increasing the average total number of units by </w:t>
      </w:r>
      <w:r w:rsidR="00D92F39">
        <w:t xml:space="preserve">87 </w:t>
      </w:r>
      <w:r>
        <w:t>units/year from 201</w:t>
      </w:r>
      <w:r w:rsidR="001A0F7F">
        <w:t>3</w:t>
      </w:r>
      <w:r>
        <w:t xml:space="preserve"> through 201</w:t>
      </w:r>
      <w:r w:rsidR="001A0F7F">
        <w:t>5</w:t>
      </w:r>
      <w:r>
        <w:t xml:space="preserve"> were based on the </w:t>
      </w:r>
      <w:r w:rsidR="006C696E">
        <w:t>previous</w:t>
      </w:r>
      <w:r>
        <w:t xml:space="preserve"> average of new units coming on line </w:t>
      </w:r>
      <w:r w:rsidR="0099414F">
        <w:t xml:space="preserve">plus a </w:t>
      </w:r>
      <w:r w:rsidR="001A0F7F">
        <w:t xml:space="preserve">0.8 </w:t>
      </w:r>
      <w:r w:rsidR="0099414F">
        <w:t>percent</w:t>
      </w:r>
      <w:r>
        <w:t xml:space="preserve"> annual increase in the number of units (per the Energy Information Administration </w:t>
      </w:r>
      <w:r w:rsidR="0099414F">
        <w:t>(EIA) projected approximately one percent</w:t>
      </w:r>
      <w:r>
        <w:t xml:space="preserve"> annual increase in electricity generating capacity in the </w:t>
      </w:r>
      <w:r w:rsidR="001A0F7F" w:rsidRPr="00674ADB">
        <w:t xml:space="preserve">Annual Energy Outlook </w:t>
      </w:r>
      <w:r w:rsidR="001A0F7F">
        <w:t>2012</w:t>
      </w:r>
      <w:r w:rsidR="00562093">
        <w:t xml:space="preserve">. </w:t>
      </w:r>
      <w:r>
        <w:t>New units were apportioned to the different monitoring methodologies based on the four year average of new units coming on line for each methodology.</w:t>
      </w:r>
    </w:p>
    <w:p w:rsidR="00562093" w:rsidRDefault="00562093" w:rsidP="00E90E93">
      <w:pPr>
        <w:pStyle w:val="NormalWeb"/>
        <w:spacing w:before="0" w:beforeAutospacing="0" w:after="0" w:afterAutospacing="0"/>
        <w:ind w:firstLine="720"/>
      </w:pPr>
    </w:p>
    <w:p w:rsidR="009907D5" w:rsidRDefault="009907D5" w:rsidP="0099414F">
      <w:pPr>
        <w:pStyle w:val="NormalWeb"/>
        <w:keepNext/>
        <w:spacing w:before="0" w:beforeAutospacing="0" w:after="0" w:afterAutospacing="0"/>
        <w:ind w:firstLine="720"/>
      </w:pPr>
      <w:r>
        <w:t>The result of this analysis projects the total number of reporting units within the following model categories:</w:t>
      </w:r>
    </w:p>
    <w:p w:rsidR="00562093" w:rsidRDefault="00562093" w:rsidP="0099414F">
      <w:pPr>
        <w:pStyle w:val="NormalWeb"/>
        <w:keepNext/>
        <w:spacing w:before="0" w:beforeAutospacing="0" w:after="0" w:afterAutospacing="0"/>
        <w:ind w:firstLine="720"/>
      </w:pPr>
    </w:p>
    <w:p w:rsidR="009907D5" w:rsidRDefault="001554FE" w:rsidP="001554FE">
      <w:pPr>
        <w:pStyle w:val="NormalWeb"/>
        <w:spacing w:before="0" w:beforeAutospacing="0" w:after="0" w:afterAutospacing="0"/>
        <w:ind w:left="720" w:hanging="360"/>
      </w:pPr>
      <w:r>
        <w:t>●</w:t>
      </w:r>
      <w:r>
        <w:tab/>
      </w:r>
      <w:r w:rsidR="009907D5">
        <w:t>Model A (units with SO</w:t>
      </w:r>
      <w:r w:rsidR="009907D5">
        <w:rPr>
          <w:vertAlign w:val="subscript"/>
        </w:rPr>
        <w:t>2</w:t>
      </w:r>
      <w:r w:rsidR="009907D5">
        <w:t xml:space="preserve">, flow, </w:t>
      </w:r>
      <w:proofErr w:type="spellStart"/>
      <w:r w:rsidR="009907D5">
        <w:t>NO</w:t>
      </w:r>
      <w:r w:rsidR="009907D5">
        <w:rPr>
          <w:vertAlign w:val="subscript"/>
        </w:rPr>
        <w:t>x</w:t>
      </w:r>
      <w:proofErr w:type="spellEnd"/>
      <w:r w:rsidR="009907D5">
        <w:t>, and CO</w:t>
      </w:r>
      <w:r w:rsidR="009907D5">
        <w:rPr>
          <w:vertAlign w:val="subscript"/>
        </w:rPr>
        <w:t>2</w:t>
      </w:r>
      <w:r w:rsidR="009907D5">
        <w:t xml:space="preserve"> CEMS)</w:t>
      </w:r>
      <w:r w:rsidR="00562093">
        <w:t xml:space="preserve">:  </w:t>
      </w:r>
      <w:r w:rsidR="00D92F39">
        <w:t>678</w:t>
      </w:r>
      <w:r w:rsidR="009907D5">
        <w:t xml:space="preserve"> total units.</w:t>
      </w:r>
    </w:p>
    <w:p w:rsidR="001554FE" w:rsidRDefault="001554FE" w:rsidP="001554FE">
      <w:pPr>
        <w:pStyle w:val="NormalWeb"/>
        <w:spacing w:before="0" w:beforeAutospacing="0" w:after="0" w:afterAutospacing="0"/>
        <w:ind w:left="720" w:hanging="360"/>
      </w:pPr>
    </w:p>
    <w:p w:rsidR="009907D5" w:rsidRDefault="001554FE" w:rsidP="001554FE">
      <w:pPr>
        <w:pStyle w:val="NormalWeb"/>
        <w:spacing w:before="0" w:beforeAutospacing="0" w:after="0" w:afterAutospacing="0"/>
        <w:ind w:left="720" w:hanging="360"/>
      </w:pPr>
      <w:r>
        <w:t>●</w:t>
      </w:r>
      <w:r>
        <w:tab/>
      </w:r>
      <w:r w:rsidR="009907D5">
        <w:t>Model B (units with opacity CEMS solely as a result of Title IV</w:t>
      </w:r>
      <w:r w:rsidR="009907D5" w:rsidRPr="00D92F39">
        <w:t>)</w:t>
      </w:r>
      <w:r w:rsidR="00562093" w:rsidRPr="006F4EC3">
        <w:t xml:space="preserve">:  </w:t>
      </w:r>
      <w:r w:rsidR="00AE176A">
        <w:t>624</w:t>
      </w:r>
      <w:r w:rsidR="00D92F39">
        <w:t xml:space="preserve"> </w:t>
      </w:r>
      <w:r w:rsidR="009907D5">
        <w:t>total units</w:t>
      </w:r>
      <w:r w:rsidR="00CE3ABF">
        <w:t xml:space="preserve">. </w:t>
      </w:r>
      <w:r w:rsidR="009907D5">
        <w:t>(Note</w:t>
      </w:r>
      <w:r w:rsidR="00562093">
        <w:t xml:space="preserve">:  </w:t>
      </w:r>
      <w:r w:rsidR="009907D5">
        <w:t>these units also are classified under other models for SO</w:t>
      </w:r>
      <w:r w:rsidR="009907D5">
        <w:rPr>
          <w:vertAlign w:val="subscript"/>
        </w:rPr>
        <w:t>2</w:t>
      </w:r>
      <w:r w:rsidR="009907D5">
        <w:t xml:space="preserve">, </w:t>
      </w:r>
      <w:proofErr w:type="spellStart"/>
      <w:r w:rsidR="009907D5">
        <w:t>NO</w:t>
      </w:r>
      <w:r w:rsidR="009907D5">
        <w:rPr>
          <w:vertAlign w:val="subscript"/>
        </w:rPr>
        <w:t>x</w:t>
      </w:r>
      <w:proofErr w:type="spellEnd"/>
      <w:r w:rsidR="009907D5">
        <w:t>, and CO</w:t>
      </w:r>
      <w:r w:rsidR="009907D5">
        <w:rPr>
          <w:vertAlign w:val="subscript"/>
        </w:rPr>
        <w:t>2</w:t>
      </w:r>
      <w:r w:rsidR="009907D5">
        <w:t xml:space="preserve"> requirements.)</w:t>
      </w:r>
    </w:p>
    <w:p w:rsidR="001554FE" w:rsidRDefault="001554FE" w:rsidP="001554FE">
      <w:pPr>
        <w:pStyle w:val="NormalWeb"/>
        <w:spacing w:before="0" w:beforeAutospacing="0" w:after="0" w:afterAutospacing="0"/>
        <w:ind w:left="720" w:hanging="360"/>
      </w:pPr>
    </w:p>
    <w:p w:rsidR="009907D5" w:rsidRDefault="001554FE" w:rsidP="001554FE">
      <w:pPr>
        <w:pStyle w:val="NormalWeb"/>
        <w:spacing w:before="0" w:beforeAutospacing="0" w:after="0" w:afterAutospacing="0"/>
        <w:ind w:left="720" w:hanging="360"/>
      </w:pPr>
      <w:r>
        <w:t>●</w:t>
      </w:r>
      <w:r>
        <w:tab/>
      </w:r>
      <w:r w:rsidR="009907D5">
        <w:t>Model C (units with Appendix D monitoring for SO</w:t>
      </w:r>
      <w:r w:rsidR="009907D5">
        <w:rPr>
          <w:vertAlign w:val="subscript"/>
        </w:rPr>
        <w:t>2</w:t>
      </w:r>
      <w:r w:rsidR="009907D5">
        <w:t xml:space="preserve"> and CEMS for </w:t>
      </w:r>
      <w:proofErr w:type="spellStart"/>
      <w:r w:rsidR="009907D5">
        <w:t>NO</w:t>
      </w:r>
      <w:r w:rsidR="009907D5">
        <w:rPr>
          <w:vertAlign w:val="subscript"/>
        </w:rPr>
        <w:t>x</w:t>
      </w:r>
      <w:proofErr w:type="spellEnd"/>
      <w:r w:rsidR="009907D5">
        <w:t>)</w:t>
      </w:r>
      <w:r w:rsidR="00562093">
        <w:t xml:space="preserve">:  </w:t>
      </w:r>
      <w:r w:rsidR="00E86F3D" w:rsidRPr="00D92F39">
        <w:t>2,</w:t>
      </w:r>
      <w:r w:rsidR="00D92F39">
        <w:t>790</w:t>
      </w:r>
      <w:r w:rsidR="009907D5">
        <w:t xml:space="preserve"> total units</w:t>
      </w:r>
      <w:r>
        <w:t>.</w:t>
      </w:r>
    </w:p>
    <w:p w:rsidR="001554FE" w:rsidRDefault="001554FE" w:rsidP="001554FE">
      <w:pPr>
        <w:pStyle w:val="NormalWeb"/>
        <w:spacing w:before="0" w:beforeAutospacing="0" w:after="0" w:afterAutospacing="0"/>
        <w:ind w:left="720" w:hanging="360"/>
      </w:pPr>
    </w:p>
    <w:p w:rsidR="009907D5" w:rsidRDefault="001554FE" w:rsidP="001554FE">
      <w:pPr>
        <w:pStyle w:val="NormalWeb"/>
        <w:spacing w:before="0" w:beforeAutospacing="0" w:after="0" w:afterAutospacing="0"/>
        <w:ind w:left="720" w:hanging="360"/>
      </w:pPr>
      <w:r>
        <w:t>●</w:t>
      </w:r>
      <w:r>
        <w:tab/>
      </w:r>
      <w:r w:rsidR="009907D5">
        <w:t>Model D (units using both Appendix D and Appendix E for SO</w:t>
      </w:r>
      <w:r w:rsidR="009907D5">
        <w:rPr>
          <w:vertAlign w:val="subscript"/>
        </w:rPr>
        <w:t>2</w:t>
      </w:r>
      <w:r w:rsidR="009907D5">
        <w:t xml:space="preserve"> and </w:t>
      </w:r>
      <w:proofErr w:type="spellStart"/>
      <w:r w:rsidR="009907D5">
        <w:t>NO</w:t>
      </w:r>
      <w:r w:rsidR="009907D5">
        <w:rPr>
          <w:vertAlign w:val="subscript"/>
        </w:rPr>
        <w:t>x</w:t>
      </w:r>
      <w:proofErr w:type="spellEnd"/>
      <w:r w:rsidR="009907D5" w:rsidRPr="00B8725A">
        <w:t>)</w:t>
      </w:r>
      <w:r w:rsidR="00562093">
        <w:t xml:space="preserve">:  </w:t>
      </w:r>
      <w:r w:rsidR="00D92F39">
        <w:t xml:space="preserve">300 </w:t>
      </w:r>
      <w:r w:rsidR="009907D5" w:rsidRPr="00B8725A">
        <w:t>total units.</w:t>
      </w:r>
    </w:p>
    <w:p w:rsidR="001554FE" w:rsidRPr="00B8725A" w:rsidRDefault="001554FE" w:rsidP="001554FE">
      <w:pPr>
        <w:pStyle w:val="NormalWeb"/>
        <w:spacing w:before="0" w:beforeAutospacing="0" w:after="0" w:afterAutospacing="0"/>
        <w:ind w:left="720" w:hanging="360"/>
      </w:pPr>
    </w:p>
    <w:p w:rsidR="009907D5" w:rsidRDefault="001554FE" w:rsidP="001554FE">
      <w:pPr>
        <w:pStyle w:val="NormalWeb"/>
        <w:spacing w:before="0" w:beforeAutospacing="0" w:after="0" w:afterAutospacing="0"/>
        <w:ind w:left="720" w:hanging="360"/>
      </w:pPr>
      <w:r>
        <w:lastRenderedPageBreak/>
        <w:t>●</w:t>
      </w:r>
      <w:r>
        <w:tab/>
      </w:r>
      <w:r w:rsidR="009907D5" w:rsidRPr="00B8725A">
        <w:t>Model E (units using the LME methodology</w:t>
      </w:r>
      <w:r w:rsidR="009907D5" w:rsidRPr="00D92F39">
        <w:t>)</w:t>
      </w:r>
      <w:r w:rsidR="00562093" w:rsidRPr="006F4EC3">
        <w:t xml:space="preserve">:  </w:t>
      </w:r>
      <w:r w:rsidR="009907D5" w:rsidRPr="006F4EC3">
        <w:t>14</w:t>
      </w:r>
      <w:r w:rsidR="00116218" w:rsidRPr="006F4EC3">
        <w:t>5</w:t>
      </w:r>
      <w:r w:rsidR="009907D5" w:rsidRPr="00B8725A">
        <w:t xml:space="preserve"> total units</w:t>
      </w:r>
    </w:p>
    <w:p w:rsidR="001554FE" w:rsidRDefault="001554FE" w:rsidP="001554FE">
      <w:pPr>
        <w:pStyle w:val="NormalWeb"/>
        <w:spacing w:before="0" w:beforeAutospacing="0" w:after="0" w:afterAutospacing="0"/>
        <w:ind w:left="720" w:hanging="360"/>
      </w:pPr>
    </w:p>
    <w:p w:rsidR="009907D5" w:rsidRDefault="001554FE" w:rsidP="001554FE">
      <w:pPr>
        <w:pStyle w:val="NormalWeb"/>
        <w:spacing w:before="0" w:beforeAutospacing="0" w:after="0" w:afterAutospacing="0"/>
        <w:ind w:left="720" w:hanging="360"/>
      </w:pPr>
      <w:r>
        <w:t>●</w:t>
      </w:r>
      <w:r>
        <w:tab/>
      </w:r>
      <w:r w:rsidR="009907D5">
        <w:t>Model F (units with moisture monitors necessary for moisture correction)</w:t>
      </w:r>
      <w:r w:rsidR="00562093">
        <w:t xml:space="preserve">:  </w:t>
      </w:r>
      <w:r w:rsidR="00D92F39">
        <w:t xml:space="preserve">52 </w:t>
      </w:r>
      <w:r w:rsidR="009907D5">
        <w:t>total units</w:t>
      </w:r>
      <w:r w:rsidR="00CE3ABF">
        <w:t xml:space="preserve">. </w:t>
      </w:r>
      <w:r w:rsidR="009907D5">
        <w:t>(Note</w:t>
      </w:r>
      <w:r w:rsidR="00562093">
        <w:t xml:space="preserve">:  </w:t>
      </w:r>
      <w:r w:rsidR="00127B5A">
        <w:t>t</w:t>
      </w:r>
      <w:r w:rsidR="009907D5">
        <w:t>hese units are also classified under other models for SO</w:t>
      </w:r>
      <w:r w:rsidR="009907D5">
        <w:rPr>
          <w:vertAlign w:val="subscript"/>
        </w:rPr>
        <w:t>2</w:t>
      </w:r>
      <w:r w:rsidR="009907D5">
        <w:t xml:space="preserve">, </w:t>
      </w:r>
      <w:proofErr w:type="spellStart"/>
      <w:r w:rsidR="009907D5">
        <w:t>NO</w:t>
      </w:r>
      <w:r w:rsidR="009907D5">
        <w:rPr>
          <w:vertAlign w:val="subscript"/>
        </w:rPr>
        <w:t>x</w:t>
      </w:r>
      <w:proofErr w:type="spellEnd"/>
      <w:r w:rsidR="009907D5">
        <w:t>, and CO</w:t>
      </w:r>
      <w:r w:rsidR="009907D5">
        <w:rPr>
          <w:vertAlign w:val="subscript"/>
        </w:rPr>
        <w:t>2</w:t>
      </w:r>
      <w:r w:rsidR="009907D5">
        <w:t xml:space="preserve"> requirements.)</w:t>
      </w:r>
    </w:p>
    <w:p w:rsidR="00562093" w:rsidRDefault="00562093" w:rsidP="00E90E93">
      <w:pPr>
        <w:pStyle w:val="NormalWeb"/>
        <w:spacing w:before="0" w:beforeAutospacing="0" w:after="0" w:afterAutospacing="0"/>
      </w:pPr>
    </w:p>
    <w:p w:rsidR="009907D5" w:rsidRDefault="009907D5" w:rsidP="00E90E93">
      <w:pPr>
        <w:pStyle w:val="NormalWeb"/>
        <w:spacing w:before="0" w:beforeAutospacing="0" w:after="0" w:afterAutospacing="0"/>
        <w:ind w:firstLine="720"/>
      </w:pPr>
      <w:r>
        <w:t>To estimate the burden and/or cost for each model, EPA has relied on the sources</w:t>
      </w:r>
      <w:r w:rsidR="00EF1CAE">
        <w:t xml:space="preserve"> </w:t>
      </w:r>
      <w:r>
        <w:t>estimates included in the prior ICR renewal for labor hour estimates of each activity</w:t>
      </w:r>
      <w:r w:rsidR="00CE3ABF">
        <w:t xml:space="preserve">. </w:t>
      </w:r>
      <w:r>
        <w:t>O&amp;M and capital costs were updated from</w:t>
      </w:r>
      <w:r w:rsidR="008B4D54">
        <w:t xml:space="preserve"> estimates included in the </w:t>
      </w:r>
      <w:r w:rsidR="006C696E">
        <w:t>2010-2012</w:t>
      </w:r>
      <w:r>
        <w:t xml:space="preserve"> ICR renewal, using a factor (1.024) based on the BLM Producer Price Index</w:t>
      </w:r>
      <w:r w:rsidR="00CE3ABF">
        <w:t xml:space="preserve">. </w:t>
      </w:r>
      <w:r w:rsidR="00772FAE">
        <w:t>EPA also incorporated the ad</w:t>
      </w:r>
      <w:r w:rsidR="009F3F22">
        <w:t>ditional Annual O&amp;M costs from</w:t>
      </w:r>
      <w:r w:rsidR="00772FAE">
        <w:t xml:space="preserve"> </w:t>
      </w:r>
      <w:r w:rsidR="009F3F22">
        <w:rPr>
          <w:rFonts w:ascii="TimesNewRoman,Bold" w:hAnsi="TimesNewRoman,Bold" w:cs="TimesNewRoman,Bold"/>
          <w:bCs/>
        </w:rPr>
        <w:t>EPA ICR Number 2203.04, OMB Control Number 2060-0626. See Appendix B for background and discussion of how these permanent cost increases were derived. T</w:t>
      </w:r>
      <w:r>
        <w:t xml:space="preserve">he hourly labor rates for managerial, technical and clerical staff reflect the labor rates used in the existing ICR but are updated to </w:t>
      </w:r>
      <w:r w:rsidR="006C696E">
        <w:t xml:space="preserve">2012 </w:t>
      </w:r>
      <w:r>
        <w:t>dollars using the BLM Employment Cost Index, consistent with Agency ICR guidance.</w:t>
      </w:r>
    </w:p>
    <w:p w:rsidR="00562093" w:rsidRDefault="00562093" w:rsidP="00E90E93">
      <w:pPr>
        <w:pStyle w:val="NormalWeb"/>
        <w:spacing w:before="0" w:beforeAutospacing="0" w:after="0" w:afterAutospacing="0"/>
        <w:ind w:firstLine="720"/>
      </w:pPr>
    </w:p>
    <w:p w:rsidR="009907D5" w:rsidRDefault="009907D5" w:rsidP="008B4D54">
      <w:pPr>
        <w:pStyle w:val="NormalWeb"/>
        <w:spacing w:before="0" w:beforeAutospacing="0" w:after="0" w:afterAutospacing="0"/>
        <w:ind w:left="720"/>
        <w:rPr>
          <w:rStyle w:val="Strong"/>
        </w:rPr>
      </w:pPr>
      <w:r>
        <w:rPr>
          <w:rStyle w:val="Strong"/>
        </w:rPr>
        <w:t xml:space="preserve">6.4.1 </w:t>
      </w:r>
      <w:r w:rsidR="008B4D54">
        <w:rPr>
          <w:rStyle w:val="Strong"/>
        </w:rPr>
        <w:t xml:space="preserve"> </w:t>
      </w:r>
      <w:r>
        <w:rPr>
          <w:rStyle w:val="Strong"/>
        </w:rPr>
        <w:t>Estimating Respondent Burden</w:t>
      </w:r>
    </w:p>
    <w:p w:rsidR="00562093" w:rsidRDefault="00562093" w:rsidP="00E90E93">
      <w:pPr>
        <w:pStyle w:val="NormalWeb"/>
        <w:spacing w:before="0" w:beforeAutospacing="0" w:after="0" w:afterAutospacing="0"/>
      </w:pPr>
    </w:p>
    <w:p w:rsidR="009907D5" w:rsidRDefault="009907D5" w:rsidP="00E90E93">
      <w:pPr>
        <w:pStyle w:val="NormalWeb"/>
        <w:spacing w:before="0" w:beforeAutospacing="0" w:after="0" w:afterAutospacing="0"/>
        <w:ind w:firstLine="720"/>
      </w:pPr>
      <w:r>
        <w:t>The primary tasks performed by owners and operators of affected units ar</w:t>
      </w:r>
      <w:r w:rsidR="008B4D54">
        <w:t xml:space="preserve">e (1) </w:t>
      </w:r>
      <w:r>
        <w:t>reviewing the regulatio</w:t>
      </w:r>
      <w:r w:rsidR="008B4D54">
        <w:t xml:space="preserve">ns, forms and instructions, (2) </w:t>
      </w:r>
      <w:r>
        <w:t>responding to EPA generated</w:t>
      </w:r>
      <w:r w:rsidR="008B4D54">
        <w:t xml:space="preserve"> error messages and audits, (3) </w:t>
      </w:r>
      <w:r>
        <w:t xml:space="preserve">installing and reprogramming a DAHS </w:t>
      </w:r>
      <w:r w:rsidR="008B4D54">
        <w:t xml:space="preserve">and debugging the software, (4) </w:t>
      </w:r>
      <w:r>
        <w:t>completing and submitting monitoring plans for each unit at the sour</w:t>
      </w:r>
      <w:r w:rsidR="008B4D54">
        <w:t xml:space="preserve">ce, (5) </w:t>
      </w:r>
      <w:r>
        <w:t>performing appropriate tests and providing test resul</w:t>
      </w:r>
      <w:r w:rsidR="008B4D54">
        <w:t xml:space="preserve">ts to certify each monitor, (6) </w:t>
      </w:r>
      <w:r>
        <w:t>performing quality assurance testing and</w:t>
      </w:r>
      <w:r w:rsidR="008B4D54">
        <w:t xml:space="preserve"> maintenance upon monitors, (7) </w:t>
      </w:r>
      <w:r>
        <w:t>assuring the quality of emissions data, preparing quarterly reports of emissions data, and sub</w:t>
      </w:r>
      <w:r w:rsidR="008B4D54">
        <w:t xml:space="preserve">mitting reports to EPA; and (8) </w:t>
      </w:r>
      <w:r>
        <w:t>fuel sampling</w:t>
      </w:r>
      <w:r w:rsidR="00562093">
        <w:t xml:space="preserve">.  </w:t>
      </w:r>
    </w:p>
    <w:p w:rsidR="00562093" w:rsidRDefault="00562093" w:rsidP="00E90E93">
      <w:pPr>
        <w:pStyle w:val="NormalWeb"/>
        <w:spacing w:before="0" w:beforeAutospacing="0" w:after="0" w:afterAutospacing="0"/>
        <w:ind w:firstLine="720"/>
      </w:pPr>
    </w:p>
    <w:p w:rsidR="009907D5" w:rsidRPr="009D581C" w:rsidRDefault="009D581C" w:rsidP="009D581C">
      <w:pPr>
        <w:pStyle w:val="NormalWeb"/>
        <w:spacing w:before="0" w:beforeAutospacing="0" w:after="0" w:afterAutospacing="0"/>
        <w:ind w:left="1080"/>
        <w:rPr>
          <w:b/>
          <w:i/>
        </w:rPr>
      </w:pPr>
      <w:r w:rsidRPr="009D581C">
        <w:rPr>
          <w:rStyle w:val="Emphasis"/>
          <w:b/>
          <w:i w:val="0"/>
        </w:rPr>
        <w:t xml:space="preserve">A.  </w:t>
      </w:r>
      <w:r w:rsidR="009907D5" w:rsidRPr="009D581C">
        <w:rPr>
          <w:rStyle w:val="Emphasis"/>
          <w:b/>
          <w:i w:val="0"/>
        </w:rPr>
        <w:t>Regulatory Review</w:t>
      </w:r>
    </w:p>
    <w:p w:rsidR="00562093" w:rsidRDefault="00562093" w:rsidP="00E90E93">
      <w:pPr>
        <w:pStyle w:val="NormalWeb"/>
        <w:spacing w:before="0" w:beforeAutospacing="0" w:after="0" w:afterAutospacing="0"/>
      </w:pPr>
    </w:p>
    <w:p w:rsidR="009907D5" w:rsidRDefault="009907D5" w:rsidP="00E90E93">
      <w:pPr>
        <w:pStyle w:val="NormalWeb"/>
        <w:spacing w:before="0" w:beforeAutospacing="0" w:after="0" w:afterAutospacing="0"/>
        <w:ind w:firstLine="720"/>
      </w:pPr>
      <w:r>
        <w:t>The estimate for time to review instructions and requirements remains consistent with the labor es</w:t>
      </w:r>
      <w:r w:rsidR="00DE2639">
        <w:t>timates used in previous ICRs (four manager hours and four</w:t>
      </w:r>
      <w:r>
        <w:t xml:space="preserve"> technician hours) where no substantial changes have been made to the Rule</w:t>
      </w:r>
      <w:r w:rsidR="00CE3ABF">
        <w:t xml:space="preserve">. </w:t>
      </w:r>
      <w:r w:rsidR="00116F90">
        <w:t>These estimates apply at the facility level</w:t>
      </w:r>
      <w:r w:rsidR="00CE3ABF">
        <w:t xml:space="preserve">. </w:t>
      </w:r>
      <w:r w:rsidR="00116F90">
        <w:t>T</w:t>
      </w:r>
      <w:r w:rsidR="00DE2639">
        <w:t xml:space="preserve">he estimates for burden in 2008 – </w:t>
      </w:r>
      <w:r w:rsidR="00116F90">
        <w:t>2009 to review the Part 75 rule revisi</w:t>
      </w:r>
      <w:r w:rsidR="00314957">
        <w:t>on</w:t>
      </w:r>
      <w:r w:rsidR="00116F90">
        <w:t xml:space="preserve"> in January 2008 were addressed in the proposed ICR for that rule, and are not expected to be included in the p</w:t>
      </w:r>
      <w:r w:rsidR="00DE2639">
        <w:t>eriod covered by this ICR (201</w:t>
      </w:r>
      <w:r w:rsidR="00AF0C5A">
        <w:t>3</w:t>
      </w:r>
      <w:r w:rsidR="00DE2639">
        <w:t xml:space="preserve"> – </w:t>
      </w:r>
      <w:r w:rsidR="00116F90">
        <w:t>201</w:t>
      </w:r>
      <w:r w:rsidR="00AF0C5A">
        <w:t>5</w:t>
      </w:r>
      <w:r w:rsidR="00116F90">
        <w:t>)</w:t>
      </w:r>
      <w:r w:rsidR="00CE3ABF">
        <w:t xml:space="preserve">. </w:t>
      </w:r>
      <w:r w:rsidR="00116F90">
        <w:t>These hours cover reviews independent of the reviews that may occur as part of the reviewing task areas listed below</w:t>
      </w:r>
      <w:r w:rsidR="00CE3ABF">
        <w:t xml:space="preserve">. </w:t>
      </w:r>
      <w:r>
        <w:t xml:space="preserve">EPA continues to make available </w:t>
      </w:r>
      <w:r w:rsidR="00116F90">
        <w:t>a</w:t>
      </w:r>
      <w:r>
        <w:t xml:space="preserve"> </w:t>
      </w:r>
      <w:hyperlink r:id="rId12" w:history="1">
        <w:r>
          <w:rPr>
            <w:rStyle w:val="Hyperlink"/>
          </w:rPr>
          <w:t>Part 75 Emissions Monitoring Policy Manual</w:t>
        </w:r>
      </w:hyperlink>
      <w:r>
        <w:t>, as well as tutorials, questions and answers, and other guidance documents for using ECMPS</w:t>
      </w:r>
      <w:r w:rsidR="00CE3ABF">
        <w:t xml:space="preserve">. </w:t>
      </w:r>
      <w:r>
        <w:t xml:space="preserve">Part 75 is available online through the electronic </w:t>
      </w:r>
      <w:hyperlink r:id="rId13" w:history="1">
        <w:r>
          <w:rPr>
            <w:rStyle w:val="Hyperlink"/>
          </w:rPr>
          <w:t>Code of Federal Regulations</w:t>
        </w:r>
      </w:hyperlink>
      <w:r>
        <w:t xml:space="preserve"> (</w:t>
      </w:r>
      <w:hyperlink r:id="rId14" w:history="1">
        <w:r>
          <w:rPr>
            <w:rStyle w:val="Hyperlink"/>
          </w:rPr>
          <w:t>e-CFR</w:t>
        </w:r>
      </w:hyperlink>
      <w:r>
        <w:t>)</w:t>
      </w:r>
      <w:r w:rsidR="00CE3ABF">
        <w:t xml:space="preserve">. </w:t>
      </w:r>
      <w:r>
        <w:t xml:space="preserve">In addition, EPA in 2005 posted online a text version of its </w:t>
      </w:r>
      <w:hyperlink r:id="rId15" w:history="1">
        <w:r>
          <w:rPr>
            <w:rStyle w:val="Hyperlink"/>
          </w:rPr>
          <w:t>Plain English Guide to Part 75</w:t>
        </w:r>
      </w:hyperlink>
      <w:r w:rsidR="00562093">
        <w:t xml:space="preserve">.  </w:t>
      </w:r>
    </w:p>
    <w:p w:rsidR="00562093" w:rsidRDefault="00562093" w:rsidP="00E90E93">
      <w:pPr>
        <w:pStyle w:val="NormalWeb"/>
        <w:spacing w:before="0" w:beforeAutospacing="0" w:after="0" w:afterAutospacing="0"/>
        <w:ind w:firstLine="720"/>
      </w:pPr>
    </w:p>
    <w:p w:rsidR="009907D5" w:rsidRPr="009D581C" w:rsidRDefault="009D581C" w:rsidP="009D581C">
      <w:pPr>
        <w:pStyle w:val="NormalWeb"/>
        <w:spacing w:before="0" w:beforeAutospacing="0" w:after="0" w:afterAutospacing="0"/>
        <w:ind w:left="1080"/>
        <w:rPr>
          <w:b/>
          <w:i/>
        </w:rPr>
      </w:pPr>
      <w:r w:rsidRPr="009D581C">
        <w:rPr>
          <w:rStyle w:val="Emphasis"/>
          <w:b/>
          <w:i w:val="0"/>
        </w:rPr>
        <w:t>B.</w:t>
      </w:r>
      <w:r w:rsidR="009907D5" w:rsidRPr="009D581C">
        <w:rPr>
          <w:rStyle w:val="Emphasis"/>
          <w:b/>
          <w:i w:val="0"/>
        </w:rPr>
        <w:t xml:space="preserve"> </w:t>
      </w:r>
      <w:r w:rsidR="00DE2639" w:rsidRPr="009D581C">
        <w:rPr>
          <w:rStyle w:val="Emphasis"/>
          <w:b/>
          <w:i w:val="0"/>
        </w:rPr>
        <w:t xml:space="preserve"> </w:t>
      </w:r>
      <w:r w:rsidR="009907D5" w:rsidRPr="009D581C">
        <w:rPr>
          <w:rStyle w:val="Emphasis"/>
          <w:b/>
          <w:i w:val="0"/>
        </w:rPr>
        <w:t>Response to Error Messages/Audits</w:t>
      </w:r>
    </w:p>
    <w:p w:rsidR="00562093" w:rsidRDefault="00562093" w:rsidP="00E90E93">
      <w:pPr>
        <w:pStyle w:val="NormalWeb"/>
        <w:spacing w:before="0" w:beforeAutospacing="0" w:after="0" w:afterAutospacing="0"/>
      </w:pPr>
    </w:p>
    <w:p w:rsidR="009907D5" w:rsidRDefault="009907D5" w:rsidP="00E90E93">
      <w:pPr>
        <w:pStyle w:val="NormalWeb"/>
        <w:spacing w:before="0" w:beforeAutospacing="0" w:after="0" w:afterAutospacing="0"/>
        <w:ind w:firstLine="720"/>
      </w:pPr>
      <w:r>
        <w:t>The EPA provides feedback to sources so that suspected errors in submissions by sources are noted and corrected</w:t>
      </w:r>
      <w:r w:rsidR="00CE3ABF">
        <w:t xml:space="preserve">. </w:t>
      </w:r>
      <w:r>
        <w:t xml:space="preserve">With the use of the ECMPS software, </w:t>
      </w:r>
      <w:r w:rsidR="00116F90">
        <w:t>this occurs before formal data submission becaus</w:t>
      </w:r>
      <w:r w:rsidR="00314957">
        <w:t>e</w:t>
      </w:r>
      <w:r w:rsidR="00116F90">
        <w:t xml:space="preserve"> the ECMPS client tool checks all data with more than 1,000 QA checks, prior to the data being submitted</w:t>
      </w:r>
      <w:r w:rsidR="00CE3ABF">
        <w:t xml:space="preserve">. </w:t>
      </w:r>
      <w:r w:rsidR="00116F90">
        <w:t xml:space="preserve">Thus, </w:t>
      </w:r>
      <w:r>
        <w:t xml:space="preserve">EPA believes that the burdens for this activity </w:t>
      </w:r>
      <w:r w:rsidR="00116F90">
        <w:t xml:space="preserve">will </w:t>
      </w:r>
      <w:r>
        <w:t>decrease over time</w:t>
      </w:r>
      <w:r w:rsidR="00CE3ABF">
        <w:t xml:space="preserve">. </w:t>
      </w:r>
      <w:r>
        <w:t xml:space="preserve">At the same time, however, EPA has </w:t>
      </w:r>
      <w:r>
        <w:lastRenderedPageBreak/>
        <w:t>increased its audit oversight and expects to continue to conduct a number of electronic and field audits of facilities over the next few years</w:t>
      </w:r>
      <w:r w:rsidR="00CE3ABF">
        <w:t xml:space="preserve">. </w:t>
      </w:r>
      <w:r>
        <w:t>In particular, EPA makes significant use of electronic audits as a means to provide continuous data quality improvement</w:t>
      </w:r>
      <w:r w:rsidR="00CE3ABF">
        <w:t xml:space="preserve">. </w:t>
      </w:r>
      <w:r>
        <w:t>This effort has already been factored into respondent burden</w:t>
      </w:r>
      <w:r w:rsidR="00CE3ABF">
        <w:t xml:space="preserve">. </w:t>
      </w:r>
      <w:r>
        <w:t xml:space="preserve">In addition, if EPA </w:t>
      </w:r>
      <w:r w:rsidR="004C090B">
        <w:t xml:space="preserve">and the permitting authorities </w:t>
      </w:r>
      <w:r>
        <w:t>conduct a field audit, the burden to a source could involve from 24 to 36 hours</w:t>
      </w:r>
      <w:r w:rsidR="00CE3ABF">
        <w:t xml:space="preserve">. </w:t>
      </w:r>
      <w:r>
        <w:t>However, on a per unit basis, these field audit impacts are less significant because not every unit will be subject to an audit in a particular year</w:t>
      </w:r>
      <w:r w:rsidR="00CE3ABF">
        <w:t xml:space="preserve">. </w:t>
      </w:r>
      <w:r w:rsidR="00DE2639">
        <w:t>EPA projects no more than ten</w:t>
      </w:r>
      <w:r>
        <w:t xml:space="preserve"> audits per year</w:t>
      </w:r>
      <w:r w:rsidR="004C090B">
        <w:t xml:space="preserve"> for the agency and no more than 10 audits per year for each permitting authority</w:t>
      </w:r>
      <w:r w:rsidR="00CE3ABF">
        <w:t xml:space="preserve">. </w:t>
      </w:r>
      <w:r>
        <w:t>If the average burden of an audit</w:t>
      </w:r>
      <w:r w:rsidR="00DE2639">
        <w:t xml:space="preserve"> is 30 hours per audit, the per </w:t>
      </w:r>
      <w:r>
        <w:t>unit burden for all units that would be associated with EPA</w:t>
      </w:r>
      <w:r w:rsidR="00A90381">
        <w:t>'</w:t>
      </w:r>
      <w:r>
        <w:t>s</w:t>
      </w:r>
      <w:r w:rsidR="004C090B">
        <w:t xml:space="preserve"> or the permitting authority’s</w:t>
      </w:r>
      <w:r>
        <w:t xml:space="preserve"> audit activities is less than one hour of burden per respondent</w:t>
      </w:r>
      <w:r w:rsidR="00CE3ABF">
        <w:t xml:space="preserve">. </w:t>
      </w:r>
      <w:r>
        <w:t>Note that, because this activity should be inapplicable for the simplified reporting required of low mass emissions units, the total number of respondents for this activity excludes the LME units.</w:t>
      </w:r>
    </w:p>
    <w:p w:rsidR="00562093" w:rsidRDefault="00562093" w:rsidP="00E90E93">
      <w:pPr>
        <w:pStyle w:val="NormalWeb"/>
        <w:spacing w:before="0" w:beforeAutospacing="0" w:after="0" w:afterAutospacing="0"/>
        <w:ind w:firstLine="720"/>
      </w:pPr>
    </w:p>
    <w:p w:rsidR="009907D5" w:rsidRPr="009D581C" w:rsidRDefault="009D581C" w:rsidP="009D581C">
      <w:pPr>
        <w:pStyle w:val="NormalWeb"/>
        <w:spacing w:before="0" w:beforeAutospacing="0" w:after="0" w:afterAutospacing="0"/>
        <w:ind w:left="1080"/>
        <w:rPr>
          <w:b/>
          <w:i/>
        </w:rPr>
      </w:pPr>
      <w:r w:rsidRPr="009D581C">
        <w:rPr>
          <w:rStyle w:val="Emphasis"/>
          <w:b/>
          <w:i w:val="0"/>
        </w:rPr>
        <w:t>C.</w:t>
      </w:r>
      <w:r w:rsidR="009907D5" w:rsidRPr="009D581C">
        <w:rPr>
          <w:rStyle w:val="Emphasis"/>
          <w:b/>
          <w:i w:val="0"/>
        </w:rPr>
        <w:t xml:space="preserve"> </w:t>
      </w:r>
      <w:r w:rsidR="00DE2639" w:rsidRPr="009D581C">
        <w:rPr>
          <w:rStyle w:val="Emphasis"/>
          <w:b/>
          <w:i w:val="0"/>
        </w:rPr>
        <w:t xml:space="preserve"> </w:t>
      </w:r>
      <w:r w:rsidR="009907D5" w:rsidRPr="009D581C">
        <w:rPr>
          <w:rStyle w:val="Emphasis"/>
          <w:b/>
          <w:i w:val="0"/>
        </w:rPr>
        <w:t>DAHS Upgrade and Debugging</w:t>
      </w:r>
    </w:p>
    <w:p w:rsidR="00562093" w:rsidRDefault="00562093" w:rsidP="00E90E93">
      <w:pPr>
        <w:pStyle w:val="NormalWeb"/>
        <w:spacing w:before="0" w:beforeAutospacing="0" w:after="0" w:afterAutospacing="0"/>
      </w:pPr>
    </w:p>
    <w:p w:rsidR="00562093" w:rsidRDefault="009907D5" w:rsidP="00E90E93">
      <w:pPr>
        <w:pStyle w:val="NormalWeb"/>
        <w:spacing w:before="0" w:beforeAutospacing="0" w:after="0" w:afterAutospacing="0"/>
        <w:ind w:firstLine="720"/>
        <w:rPr>
          <w:rStyle w:val="Emphasis"/>
        </w:rPr>
      </w:pPr>
      <w:r>
        <w:t>During the years</w:t>
      </w:r>
      <w:r w:rsidR="00DE2639">
        <w:t xml:space="preserve"> immediately preceding the 2010 – </w:t>
      </w:r>
      <w:r>
        <w:t>2012 ICR, sources installed computer software designed to implement updated electronic data reporting using XML formats required under the Acid Rain Program</w:t>
      </w:r>
      <w:r w:rsidR="00CE3ABF">
        <w:t xml:space="preserve">. </w:t>
      </w:r>
      <w:r>
        <w:t>EPA promulgated revisions to Part 75 in late 2006 to accommodate changes in EPA</w:t>
      </w:r>
      <w:r w:rsidR="00A90381">
        <w:t>'</w:t>
      </w:r>
      <w:r>
        <w:t>s data systems that manage the data submitted by respondents</w:t>
      </w:r>
      <w:r w:rsidR="00CE3ABF">
        <w:t xml:space="preserve">. </w:t>
      </w:r>
      <w:r>
        <w:t>These data system changes were necessary to modernize EPA</w:t>
      </w:r>
      <w:r w:rsidR="00A90381">
        <w:t>'</w:t>
      </w:r>
      <w:r>
        <w:t>s data systems, and to streamline reporting</w:t>
      </w:r>
      <w:r w:rsidR="00CE3ABF">
        <w:t xml:space="preserve">. </w:t>
      </w:r>
      <w:r>
        <w:t>The costs of the required DAHS upgrade were analyzed in a separate, but closely related ICR (see EPA Docket EPA-HQ-OAR-2005-0132)</w:t>
      </w:r>
      <w:r w:rsidR="00CE3ABF">
        <w:t xml:space="preserve">. </w:t>
      </w:r>
      <w:r w:rsidR="00116F90">
        <w:t>T</w:t>
      </w:r>
      <w:r w:rsidR="00314957">
        <w:t>he</w:t>
      </w:r>
      <w:r w:rsidR="00116F90">
        <w:t xml:space="preserve"> capital costs for ARP facilities associated with that DAHS upgrade are accounted for in this ICR</w:t>
      </w:r>
      <w:r w:rsidR="00CE3ABF">
        <w:t xml:space="preserve">. </w:t>
      </w:r>
      <w:r>
        <w:t>Use of XML format data systems became mandatory in January 2009, and updated values in this section reflect estimated changes in respondents</w:t>
      </w:r>
      <w:r w:rsidR="00A90381">
        <w:t>'</w:t>
      </w:r>
      <w:r>
        <w:t xml:space="preserve"> burden, some of which may be related to this upgrade</w:t>
      </w:r>
      <w:r w:rsidR="00CE3ABF">
        <w:t xml:space="preserve">. </w:t>
      </w:r>
      <w:r>
        <w:t>For the time period of this ICR, 201</w:t>
      </w:r>
      <w:r w:rsidR="00AF0C5A">
        <w:t>3</w:t>
      </w:r>
      <w:r>
        <w:t xml:space="preserve"> through 201</w:t>
      </w:r>
      <w:r w:rsidR="00AF0C5A">
        <w:t>5</w:t>
      </w:r>
      <w:r>
        <w:t xml:space="preserve">, </w:t>
      </w:r>
      <w:r w:rsidR="009F3F22">
        <w:t xml:space="preserve">EPA estimates that 20 percent of units reporting with CEMS would </w:t>
      </w:r>
      <w:r>
        <w:t xml:space="preserve">require a DAHS upgrade </w:t>
      </w:r>
      <w:r w:rsidR="009F3F22">
        <w:t xml:space="preserve">due to changes in the Protocol Gas Verification Program gas type code data element.  </w:t>
      </w:r>
    </w:p>
    <w:p w:rsidR="009907D5" w:rsidRDefault="009907D5" w:rsidP="00E90E93">
      <w:pPr>
        <w:pStyle w:val="NormalWeb"/>
        <w:spacing w:before="0" w:beforeAutospacing="0" w:after="0" w:afterAutospacing="0"/>
        <w:ind w:firstLine="720"/>
        <w:rPr>
          <w:rStyle w:val="Emphasis"/>
          <w:i w:val="0"/>
        </w:rPr>
      </w:pPr>
    </w:p>
    <w:p w:rsidR="009907D5" w:rsidRPr="009D581C" w:rsidRDefault="009D581C" w:rsidP="009D581C">
      <w:pPr>
        <w:pStyle w:val="NormalWeb"/>
        <w:spacing w:before="0" w:beforeAutospacing="0" w:after="0" w:afterAutospacing="0"/>
        <w:ind w:left="1080"/>
        <w:rPr>
          <w:b/>
          <w:i/>
        </w:rPr>
      </w:pPr>
      <w:r w:rsidRPr="009D581C">
        <w:rPr>
          <w:rStyle w:val="Emphasis"/>
          <w:b/>
          <w:i w:val="0"/>
        </w:rPr>
        <w:t>D.</w:t>
      </w:r>
      <w:r w:rsidR="009907D5" w:rsidRPr="009D581C">
        <w:rPr>
          <w:rStyle w:val="Emphasis"/>
          <w:b/>
          <w:i w:val="0"/>
        </w:rPr>
        <w:t xml:space="preserve"> </w:t>
      </w:r>
      <w:r w:rsidR="00DE2639" w:rsidRPr="009D581C">
        <w:rPr>
          <w:rStyle w:val="Emphasis"/>
          <w:b/>
          <w:i w:val="0"/>
        </w:rPr>
        <w:t xml:space="preserve"> </w:t>
      </w:r>
      <w:r w:rsidR="009907D5" w:rsidRPr="009D581C">
        <w:rPr>
          <w:rStyle w:val="Emphasis"/>
          <w:b/>
          <w:i w:val="0"/>
        </w:rPr>
        <w:t>Monitoring Plans</w:t>
      </w:r>
    </w:p>
    <w:p w:rsidR="00562093" w:rsidRDefault="00562093" w:rsidP="00E90E93">
      <w:pPr>
        <w:pStyle w:val="NormalWeb"/>
        <w:spacing w:before="0" w:beforeAutospacing="0" w:after="0" w:afterAutospacing="0"/>
      </w:pPr>
    </w:p>
    <w:p w:rsidR="009907D5" w:rsidRDefault="009907D5" w:rsidP="00E90E93">
      <w:pPr>
        <w:pStyle w:val="NormalWeb"/>
        <w:spacing w:before="0" w:beforeAutospacing="0" w:after="0" w:afterAutospacing="0"/>
        <w:ind w:firstLine="720"/>
      </w:pPr>
      <w:r>
        <w:t>Completing and submitting monitoring plans is estimated to require an average of about 20 hours per unit initially</w:t>
      </w:r>
      <w:r w:rsidR="00CE3ABF">
        <w:t xml:space="preserve">. </w:t>
      </w:r>
      <w:r>
        <w:t>For existing units, initial monitoring plan submissions will be received prior to the time period covered in this renewal ICR, and, consistent with the existing ICR, EPA does not include burden hours for existing units under this initial monitoring plan development task area during 201</w:t>
      </w:r>
      <w:r w:rsidR="00AF0C5A">
        <w:t>3</w:t>
      </w:r>
      <w:r>
        <w:t xml:space="preserve"> through 201</w:t>
      </w:r>
      <w:r w:rsidR="00AF0C5A">
        <w:t>5</w:t>
      </w:r>
      <w:r w:rsidR="00CE3ABF">
        <w:t xml:space="preserve">. </w:t>
      </w:r>
      <w:r>
        <w:t>The burden associated with revising the monitoring plan is included in the time for preparing and submitting each quarterly emissions report.</w:t>
      </w:r>
    </w:p>
    <w:p w:rsidR="00562093" w:rsidRDefault="00562093" w:rsidP="00E90E93">
      <w:pPr>
        <w:pStyle w:val="NormalWeb"/>
        <w:spacing w:before="0" w:beforeAutospacing="0" w:after="0" w:afterAutospacing="0"/>
        <w:ind w:firstLine="720"/>
      </w:pPr>
    </w:p>
    <w:p w:rsidR="009907D5" w:rsidRDefault="009907D5" w:rsidP="00E90E93">
      <w:pPr>
        <w:pStyle w:val="NormalWeb"/>
        <w:spacing w:before="0" w:beforeAutospacing="0" w:after="0" w:afterAutospacing="0"/>
        <w:ind w:firstLine="720"/>
      </w:pPr>
      <w:r>
        <w:t>Based on EIA</w:t>
      </w:r>
      <w:r w:rsidR="00A90381">
        <w:t>'</w:t>
      </w:r>
      <w:r w:rsidR="00DE2639">
        <w:t>s projected one percent</w:t>
      </w:r>
      <w:r>
        <w:t xml:space="preserve"> per year increase in electricity generating capacity, EPA projects that the number of new units in 201</w:t>
      </w:r>
      <w:r w:rsidR="00AF0C5A">
        <w:t>3</w:t>
      </w:r>
      <w:r>
        <w:t xml:space="preserve"> through 201</w:t>
      </w:r>
      <w:r w:rsidR="00AF0C5A">
        <w:t>5</w:t>
      </w:r>
      <w:r w:rsidR="00DE2639">
        <w:t xml:space="preserve"> will increase approximately one percent</w:t>
      </w:r>
      <w:r>
        <w:t xml:space="preserve"> per year over the number of units reporting in </w:t>
      </w:r>
      <w:r w:rsidR="00AF0C5A">
        <w:t>2012</w:t>
      </w:r>
      <w:r w:rsidR="00CE3ABF">
        <w:t xml:space="preserve">. </w:t>
      </w:r>
      <w:r>
        <w:t>These units have a separate line item for initial monitoring plan preparation.</w:t>
      </w:r>
    </w:p>
    <w:p w:rsidR="00562093" w:rsidRDefault="00562093" w:rsidP="00E90E93">
      <w:pPr>
        <w:pStyle w:val="NormalWeb"/>
        <w:spacing w:before="0" w:beforeAutospacing="0" w:after="0" w:afterAutospacing="0"/>
        <w:ind w:firstLine="720"/>
      </w:pPr>
    </w:p>
    <w:p w:rsidR="009907D5" w:rsidRPr="009D581C" w:rsidRDefault="009D581C" w:rsidP="009F3F22">
      <w:pPr>
        <w:pStyle w:val="NormalWeb"/>
        <w:keepNext/>
        <w:spacing w:before="0" w:beforeAutospacing="0" w:after="0" w:afterAutospacing="0"/>
        <w:ind w:left="1080"/>
        <w:rPr>
          <w:b/>
          <w:i/>
        </w:rPr>
      </w:pPr>
      <w:r w:rsidRPr="009D581C">
        <w:rPr>
          <w:rStyle w:val="Emphasis"/>
          <w:b/>
          <w:i w:val="0"/>
        </w:rPr>
        <w:lastRenderedPageBreak/>
        <w:t>E.</w:t>
      </w:r>
      <w:r w:rsidR="00DE2639" w:rsidRPr="009D581C">
        <w:rPr>
          <w:rStyle w:val="Emphasis"/>
          <w:b/>
          <w:i w:val="0"/>
        </w:rPr>
        <w:t xml:space="preserve"> </w:t>
      </w:r>
      <w:r w:rsidR="009907D5" w:rsidRPr="009D581C">
        <w:rPr>
          <w:rStyle w:val="Emphasis"/>
          <w:b/>
          <w:i w:val="0"/>
        </w:rPr>
        <w:t xml:space="preserve"> Monitor Certification</w:t>
      </w:r>
    </w:p>
    <w:p w:rsidR="00562093" w:rsidRDefault="00562093" w:rsidP="009F3F22">
      <w:pPr>
        <w:pStyle w:val="NormalWeb"/>
        <w:keepNext/>
        <w:spacing w:before="0" w:beforeAutospacing="0" w:after="0" w:afterAutospacing="0"/>
      </w:pPr>
    </w:p>
    <w:p w:rsidR="009907D5" w:rsidRDefault="009907D5" w:rsidP="009F3F22">
      <w:pPr>
        <w:pStyle w:val="NormalWeb"/>
        <w:keepNext/>
        <w:spacing w:before="0" w:beforeAutospacing="0" w:after="0" w:afterAutospacing="0"/>
        <w:ind w:firstLine="720"/>
      </w:pPr>
      <w:r>
        <w:t>Based on information gathered as part of the 1999 rule revisions, EPA included assumptions in the previous ICR renewal to include labor burdens for monitor certification activity as well as test contractor costs</w:t>
      </w:r>
      <w:r w:rsidR="00CE3ABF">
        <w:t xml:space="preserve">. </w:t>
      </w:r>
      <w:r>
        <w:t xml:space="preserve">For existing units, only </w:t>
      </w:r>
      <w:proofErr w:type="spellStart"/>
      <w:r>
        <w:t>recertifications</w:t>
      </w:r>
      <w:proofErr w:type="spellEnd"/>
      <w:r>
        <w:t xml:space="preserve"> are included in the estimated activities for 201</w:t>
      </w:r>
      <w:r w:rsidR="00AF0C5A">
        <w:t>3</w:t>
      </w:r>
      <w:r>
        <w:t xml:space="preserve"> through 201</w:t>
      </w:r>
      <w:r w:rsidR="00AF0C5A">
        <w:t>3</w:t>
      </w:r>
      <w:r w:rsidR="00CE3ABF">
        <w:t xml:space="preserve">. </w:t>
      </w:r>
      <w:r>
        <w:t>The Agency estimates a labor burden of 50 hours and a contractor cost of $</w:t>
      </w:r>
      <w:r w:rsidRPr="00B8725A">
        <w:t>3,482</w:t>
      </w:r>
      <w:r>
        <w:t xml:space="preserve"> per respondent</w:t>
      </w:r>
      <w:r w:rsidR="00CE3ABF">
        <w:t xml:space="preserve">. </w:t>
      </w:r>
      <w:r>
        <w:t>The cost and burden figures exclude the costs and burdens associated with conducting a RATA as part of the recertification process because those costs are incorporated within the annual QA costs for previously certified monitoring systems</w:t>
      </w:r>
      <w:r w:rsidR="00562093">
        <w:t xml:space="preserve">.  </w:t>
      </w:r>
    </w:p>
    <w:p w:rsidR="00562093" w:rsidRDefault="00562093" w:rsidP="00E90E93">
      <w:pPr>
        <w:pStyle w:val="NormalWeb"/>
        <w:spacing w:before="0" w:beforeAutospacing="0" w:after="0" w:afterAutospacing="0"/>
        <w:ind w:firstLine="720"/>
      </w:pPr>
    </w:p>
    <w:p w:rsidR="009907D5" w:rsidRDefault="009907D5" w:rsidP="00E90E93">
      <w:pPr>
        <w:keepLines/>
        <w:widowControl/>
        <w:ind w:firstLine="720"/>
        <w:rPr>
          <w:color w:val="000000"/>
          <w:sz w:val="24"/>
          <w:szCs w:val="24"/>
        </w:rPr>
      </w:pPr>
      <w:r>
        <w:rPr>
          <w:color w:val="000000"/>
          <w:sz w:val="24"/>
          <w:szCs w:val="24"/>
        </w:rPr>
        <w:t>Under Part 75, sources are required to recertify the monitoring systems whenever the source makes a replacement, modification, or change in a certified CEMS or continuous opacity monitoring system that may significantly affect the ability of the system to accurately measure or record the SO</w:t>
      </w:r>
      <w:r>
        <w:rPr>
          <w:color w:val="000000"/>
          <w:sz w:val="24"/>
          <w:szCs w:val="24"/>
          <w:vertAlign w:val="subscript"/>
        </w:rPr>
        <w:t>2</w:t>
      </w:r>
      <w:r>
        <w:rPr>
          <w:color w:val="000000"/>
          <w:sz w:val="24"/>
          <w:szCs w:val="24"/>
        </w:rPr>
        <w:t xml:space="preserve"> or CO</w:t>
      </w:r>
      <w:r>
        <w:rPr>
          <w:color w:val="000000"/>
          <w:sz w:val="24"/>
          <w:szCs w:val="24"/>
          <w:vertAlign w:val="subscript"/>
        </w:rPr>
        <w:t>2</w:t>
      </w:r>
      <w:r>
        <w:rPr>
          <w:color w:val="000000"/>
          <w:sz w:val="24"/>
          <w:szCs w:val="24"/>
        </w:rPr>
        <w:t xml:space="preserve"> concentration, stack gas volumetric flow rate, </w:t>
      </w:r>
      <w:proofErr w:type="spellStart"/>
      <w:r>
        <w:rPr>
          <w:color w:val="000000"/>
          <w:sz w:val="24"/>
          <w:szCs w:val="24"/>
        </w:rPr>
        <w:t>NOx</w:t>
      </w:r>
      <w:proofErr w:type="spellEnd"/>
      <w:r>
        <w:rPr>
          <w:color w:val="000000"/>
          <w:sz w:val="24"/>
          <w:szCs w:val="24"/>
        </w:rPr>
        <w:t xml:space="preserve"> emission rate, percent moisture, or to meet the QA and QC requirements</w:t>
      </w:r>
      <w:r w:rsidR="00CE3ABF">
        <w:rPr>
          <w:color w:val="000000"/>
          <w:sz w:val="24"/>
          <w:szCs w:val="24"/>
        </w:rPr>
        <w:t xml:space="preserve">. </w:t>
      </w:r>
      <w:r>
        <w:rPr>
          <w:color w:val="000000"/>
          <w:sz w:val="24"/>
          <w:szCs w:val="24"/>
        </w:rPr>
        <w:t>Recertification is also necessary whenever the source makes a replacement, modification, or change to the flue gas handling system or the unit operation that may significantly change the flow or concentration profile</w:t>
      </w:r>
      <w:r w:rsidR="00CE3ABF">
        <w:rPr>
          <w:color w:val="000000"/>
          <w:sz w:val="24"/>
          <w:szCs w:val="24"/>
        </w:rPr>
        <w:t xml:space="preserve">. </w:t>
      </w:r>
      <w:r>
        <w:rPr>
          <w:color w:val="000000"/>
          <w:sz w:val="24"/>
          <w:szCs w:val="24"/>
        </w:rPr>
        <w:t>Examples of changes which require recertification include</w:t>
      </w:r>
      <w:r w:rsidR="00562093">
        <w:rPr>
          <w:color w:val="000000"/>
          <w:sz w:val="24"/>
          <w:szCs w:val="24"/>
        </w:rPr>
        <w:t xml:space="preserve">:  </w:t>
      </w:r>
      <w:r>
        <w:rPr>
          <w:color w:val="000000"/>
          <w:sz w:val="24"/>
          <w:szCs w:val="24"/>
        </w:rPr>
        <w:t>replacement of the analyzer, change in location or orientation of the sampling probe or site; and complete replacement of an existing CEMS or continuous opacity monitoring system.</w:t>
      </w:r>
    </w:p>
    <w:p w:rsidR="00562093" w:rsidRDefault="00562093" w:rsidP="00E90E93">
      <w:pPr>
        <w:keepLines/>
        <w:widowControl/>
        <w:ind w:firstLine="720"/>
        <w:rPr>
          <w:color w:val="000000"/>
          <w:sz w:val="24"/>
          <w:szCs w:val="24"/>
        </w:rPr>
      </w:pPr>
    </w:p>
    <w:p w:rsidR="009907D5" w:rsidRDefault="009907D5" w:rsidP="00E90E93">
      <w:pPr>
        <w:pStyle w:val="NormalWeb"/>
        <w:spacing w:before="0" w:beforeAutospacing="0" w:after="0" w:afterAutospacing="0"/>
        <w:ind w:firstLine="720"/>
      </w:pPr>
      <w:r>
        <w:t>For new units, the monitor certification costs are included in the capital/startup costs.</w:t>
      </w:r>
    </w:p>
    <w:p w:rsidR="00562093" w:rsidRDefault="00562093" w:rsidP="00E90E93">
      <w:pPr>
        <w:pStyle w:val="NormalWeb"/>
        <w:spacing w:before="0" w:beforeAutospacing="0" w:after="0" w:afterAutospacing="0"/>
        <w:ind w:firstLine="720"/>
      </w:pPr>
    </w:p>
    <w:p w:rsidR="009907D5" w:rsidRPr="009D581C" w:rsidRDefault="009D581C" w:rsidP="009D581C">
      <w:pPr>
        <w:pStyle w:val="NormalWeb"/>
        <w:spacing w:before="0" w:beforeAutospacing="0" w:after="0" w:afterAutospacing="0"/>
        <w:ind w:left="1080"/>
        <w:rPr>
          <w:b/>
          <w:i/>
        </w:rPr>
      </w:pPr>
      <w:r w:rsidRPr="009D581C">
        <w:rPr>
          <w:rStyle w:val="Emphasis"/>
          <w:b/>
          <w:i w:val="0"/>
        </w:rPr>
        <w:t>F.</w:t>
      </w:r>
      <w:r w:rsidR="009907D5" w:rsidRPr="009D581C">
        <w:rPr>
          <w:rStyle w:val="Emphasis"/>
          <w:b/>
          <w:i w:val="0"/>
        </w:rPr>
        <w:t xml:space="preserve"> </w:t>
      </w:r>
      <w:r w:rsidR="00DE2639" w:rsidRPr="009D581C">
        <w:rPr>
          <w:rStyle w:val="Emphasis"/>
          <w:b/>
          <w:i w:val="0"/>
        </w:rPr>
        <w:t xml:space="preserve"> </w:t>
      </w:r>
      <w:r w:rsidR="009907D5" w:rsidRPr="009D581C">
        <w:rPr>
          <w:rStyle w:val="Emphasis"/>
          <w:b/>
          <w:i w:val="0"/>
        </w:rPr>
        <w:t>Quality Assurance</w:t>
      </w:r>
    </w:p>
    <w:p w:rsidR="00562093" w:rsidRDefault="00562093" w:rsidP="00E90E93">
      <w:pPr>
        <w:pStyle w:val="NormalWeb"/>
        <w:spacing w:before="0" w:beforeAutospacing="0" w:after="0" w:afterAutospacing="0"/>
      </w:pPr>
    </w:p>
    <w:p w:rsidR="009907D5" w:rsidRDefault="009907D5" w:rsidP="00E90E93">
      <w:pPr>
        <w:pStyle w:val="NormalWeb"/>
        <w:spacing w:before="0" w:beforeAutospacing="0" w:after="0" w:afterAutospacing="0"/>
        <w:ind w:firstLine="720"/>
      </w:pPr>
      <w:r>
        <w:t>Quality assurance (QA) testing and maintenance upon monitoring systems is the largest burden item under the monitoring, reporting and recordkeeping requirements for the Acid Rain Program</w:t>
      </w:r>
      <w:r w:rsidR="00CE3ABF">
        <w:t xml:space="preserve">. </w:t>
      </w:r>
      <w:r>
        <w:t>The requirements include daily, quarterly and annual QA requirements, depending on the monitoring approach being used</w:t>
      </w:r>
      <w:r w:rsidR="00CE3ABF">
        <w:t xml:space="preserve">. </w:t>
      </w:r>
      <w:r>
        <w:t>For reporting units that use a full set of CEMS (SO</w:t>
      </w:r>
      <w:r>
        <w:rPr>
          <w:vertAlign w:val="subscript"/>
        </w:rPr>
        <w:t>2</w:t>
      </w:r>
      <w:r>
        <w:t xml:space="preserve">, flow, </w:t>
      </w:r>
      <w:proofErr w:type="spellStart"/>
      <w:r>
        <w:t>NO</w:t>
      </w:r>
      <w:r>
        <w:rPr>
          <w:vertAlign w:val="subscript"/>
        </w:rPr>
        <w:t>x</w:t>
      </w:r>
      <w:proofErr w:type="spellEnd"/>
      <w:r>
        <w:t xml:space="preserve"> and CO</w:t>
      </w:r>
      <w:r>
        <w:rPr>
          <w:vertAlign w:val="subscript"/>
        </w:rPr>
        <w:t>2</w:t>
      </w:r>
      <w:r>
        <w:t>), the Agency has developed a per unit labor burden based primarily on information gathered from affected sources</w:t>
      </w:r>
      <w:r w:rsidR="00CE3ABF">
        <w:t xml:space="preserve">. </w:t>
      </w:r>
      <w:r>
        <w:t>For units that also are required to install and maintain a continuous opacity monitoring system (COMS) as a result of Part 75, additional labor burdens apply</w:t>
      </w:r>
      <w:r w:rsidR="00CE3ABF">
        <w:t xml:space="preserve">. </w:t>
      </w:r>
      <w:r>
        <w:t>For units that rely on Appendix D excepted methods for SO</w:t>
      </w:r>
      <w:r>
        <w:rPr>
          <w:vertAlign w:val="subscript"/>
        </w:rPr>
        <w:t>2</w:t>
      </w:r>
      <w:r>
        <w:t xml:space="preserve"> but use a </w:t>
      </w:r>
      <w:proofErr w:type="spellStart"/>
      <w:r>
        <w:t>NO</w:t>
      </w:r>
      <w:r>
        <w:rPr>
          <w:vertAlign w:val="subscript"/>
        </w:rPr>
        <w:t>x</w:t>
      </w:r>
      <w:proofErr w:type="spellEnd"/>
      <w:r>
        <w:t xml:space="preserve"> and CO</w:t>
      </w:r>
      <w:r>
        <w:rPr>
          <w:vertAlign w:val="subscript"/>
        </w:rPr>
        <w:t>2</w:t>
      </w:r>
      <w:r>
        <w:t xml:space="preserve"> CEMS, reduced labor burden estimates apply because the quality assurance activities for the excepted methods are less than for a CEMS</w:t>
      </w:r>
      <w:r w:rsidR="00CE3ABF">
        <w:t xml:space="preserve">. </w:t>
      </w:r>
      <w:r>
        <w:t>The labor burdens for these excepted methods were derived primarily from cost estimates provided by a group of affected utilities (see Docket A-97-35, Item II-D-48)</w:t>
      </w:r>
      <w:r w:rsidR="00CE3ABF">
        <w:t xml:space="preserve">. </w:t>
      </w:r>
      <w:r>
        <w:t>For units that rely on the excepted methods under both Appendix D and E (i.e., units without CEMS), the burden estimates are reduced further because no CEMS QA is required</w:t>
      </w:r>
      <w:r w:rsidR="00CE3ABF">
        <w:t xml:space="preserve">. </w:t>
      </w:r>
      <w:r>
        <w:t>For the relatively small number of units that require moisture correction, labor burdens for moisture monitoring QA activities were added based on information supplied by an affected utility (see Docket A-97-35, Item II-D-94)</w:t>
      </w:r>
      <w:r w:rsidR="00CE3ABF">
        <w:t xml:space="preserve">. </w:t>
      </w:r>
      <w:r>
        <w:t>Finally, for units that use the LME provisions, no QA requirements apply except for units that use the unit-specific default value option</w:t>
      </w:r>
      <w:r w:rsidR="00CE3ABF">
        <w:t xml:space="preserve">. </w:t>
      </w:r>
      <w:r>
        <w:t>Those units are required to test the unit to determine a unit specific value</w:t>
      </w:r>
      <w:r w:rsidR="00CE3ABF">
        <w:t xml:space="preserve">. </w:t>
      </w:r>
      <w:r>
        <w:t>That cost has been included as a contractor cost for all new LME units</w:t>
      </w:r>
      <w:r w:rsidR="00CE3ABF">
        <w:t xml:space="preserve">. </w:t>
      </w:r>
      <w:r w:rsidR="004B6593">
        <w:t xml:space="preserve">In addition to previously established quality assurance costs, this ICR incorporates burdens from </w:t>
      </w:r>
      <w:r w:rsidR="004B6593">
        <w:rPr>
          <w:rFonts w:ascii="TimesNewRoman,Bold" w:hAnsi="TimesNewRoman,Bold" w:cs="TimesNewRoman,Bold"/>
          <w:bCs/>
        </w:rPr>
        <w:t xml:space="preserve">EPA ICR Number 2203.04, OMB Control Number 2060-0626. See Appendix B for background and discussion of how </w:t>
      </w:r>
      <w:r w:rsidR="004B6593">
        <w:rPr>
          <w:rFonts w:ascii="TimesNewRoman,Bold" w:hAnsi="TimesNewRoman,Bold" w:cs="TimesNewRoman,Bold"/>
          <w:bCs/>
        </w:rPr>
        <w:lastRenderedPageBreak/>
        <w:t>these permanent cost increases were derived.</w:t>
      </w:r>
      <w:r w:rsidR="004B6593">
        <w:t xml:space="preserve"> </w:t>
      </w:r>
      <w:r>
        <w:t>Using the data discussed above, EPA estimates that the average respondent (using a weighted average for the</w:t>
      </w:r>
      <w:r w:rsidR="00574A5A">
        <w:t xml:space="preserve"> units that fall under Models A – </w:t>
      </w:r>
      <w:r>
        <w:t xml:space="preserve">F) will require approximately </w:t>
      </w:r>
      <w:r w:rsidRPr="009D5E20">
        <w:t>450</w:t>
      </w:r>
      <w:r>
        <w:t xml:space="preserve"> labor hours to meet the QA requirements of Part 75</w:t>
      </w:r>
      <w:r w:rsidR="00CE3ABF">
        <w:t xml:space="preserve">. </w:t>
      </w:r>
      <w:r>
        <w:t>Consistent with the existing ICR, this labor is expected to be almost entirely technician labor.</w:t>
      </w:r>
    </w:p>
    <w:p w:rsidR="00562093" w:rsidRDefault="00562093" w:rsidP="00E90E93">
      <w:pPr>
        <w:pStyle w:val="NormalWeb"/>
        <w:spacing w:before="0" w:beforeAutospacing="0" w:after="0" w:afterAutospacing="0"/>
        <w:ind w:firstLine="720"/>
      </w:pPr>
    </w:p>
    <w:p w:rsidR="009907D5" w:rsidRPr="009D581C" w:rsidRDefault="009D581C" w:rsidP="00674ADB">
      <w:pPr>
        <w:pStyle w:val="NormalWeb"/>
        <w:keepNext/>
        <w:spacing w:before="0" w:beforeAutospacing="0" w:after="0" w:afterAutospacing="0"/>
        <w:ind w:left="1080"/>
        <w:rPr>
          <w:b/>
          <w:i/>
        </w:rPr>
      </w:pPr>
      <w:r w:rsidRPr="009D581C">
        <w:rPr>
          <w:rStyle w:val="Emphasis"/>
          <w:b/>
          <w:i w:val="0"/>
        </w:rPr>
        <w:t>G.</w:t>
      </w:r>
      <w:r w:rsidR="0069706B" w:rsidRPr="009D581C">
        <w:rPr>
          <w:rStyle w:val="Emphasis"/>
          <w:b/>
          <w:i w:val="0"/>
        </w:rPr>
        <w:t xml:space="preserve"> </w:t>
      </w:r>
      <w:r w:rsidR="009907D5" w:rsidRPr="009D581C">
        <w:rPr>
          <w:rStyle w:val="Emphasis"/>
          <w:b/>
          <w:i w:val="0"/>
        </w:rPr>
        <w:t xml:space="preserve"> Quarterly Reports</w:t>
      </w:r>
    </w:p>
    <w:p w:rsidR="00562093" w:rsidRDefault="00562093" w:rsidP="00674ADB">
      <w:pPr>
        <w:pStyle w:val="NormalWeb"/>
        <w:keepNext/>
        <w:spacing w:before="0" w:beforeAutospacing="0" w:after="0" w:afterAutospacing="0"/>
      </w:pPr>
    </w:p>
    <w:p w:rsidR="009907D5" w:rsidRDefault="009907D5" w:rsidP="00674ADB">
      <w:pPr>
        <w:pStyle w:val="NormalWeb"/>
        <w:keepNext/>
        <w:spacing w:before="0" w:beforeAutospacing="0" w:after="0" w:afterAutospacing="0"/>
        <w:ind w:firstLine="720"/>
      </w:pPr>
      <w:r>
        <w:t>Tasks performed by utilities in preparing quarterly reports include</w:t>
      </w:r>
      <w:r w:rsidR="00562093">
        <w:t xml:space="preserve">:  </w:t>
      </w:r>
      <w:r w:rsidR="0069706B">
        <w:t xml:space="preserve">(1) </w:t>
      </w:r>
      <w:r>
        <w:t>assuri</w:t>
      </w:r>
      <w:r w:rsidR="0069706B">
        <w:t xml:space="preserve">ng the quality of the data, (2) </w:t>
      </w:r>
      <w:r>
        <w:t>preparin</w:t>
      </w:r>
      <w:r w:rsidR="0069706B">
        <w:t xml:space="preserve">g the quarterly report, (3) </w:t>
      </w:r>
      <w:r>
        <w:t>revising the mon</w:t>
      </w:r>
      <w:r w:rsidR="0069706B">
        <w:t xml:space="preserve">itoring plan, if necessary, (4) </w:t>
      </w:r>
      <w:r>
        <w:t>preparation of hard copy documentation accompanying</w:t>
      </w:r>
      <w:r w:rsidR="0069706B">
        <w:t xml:space="preserve"> the quarterly reports, and (5) </w:t>
      </w:r>
      <w:r>
        <w:t>managerial review</w:t>
      </w:r>
      <w:r w:rsidR="00CE3ABF">
        <w:t xml:space="preserve">. </w:t>
      </w:r>
      <w:r>
        <w:t>EPA has been improving electronic file transfer procedures over the past few years and has been developing automated tools that allow sources to quality assure their reports</w:t>
      </w:r>
      <w:r w:rsidR="00CE3ABF">
        <w:t xml:space="preserve">. </w:t>
      </w:r>
      <w:r>
        <w:t>EPA believes these efforts have reduced the average burdens per report over time</w:t>
      </w:r>
      <w:r w:rsidR="00CE3ABF">
        <w:t xml:space="preserve">. </w:t>
      </w:r>
      <w:r>
        <w:t>In addition, because the program is maturing, the respondents have developed procedures and methods to increase their efficiency with reporting</w:t>
      </w:r>
      <w:r w:rsidR="00CE3ABF">
        <w:t xml:space="preserve">. </w:t>
      </w:r>
      <w:r>
        <w:t>The 1996 ICR estimated 240 hours per unit for this activity</w:t>
      </w:r>
      <w:r w:rsidR="00CE3ABF">
        <w:t xml:space="preserve">. </w:t>
      </w:r>
      <w:r>
        <w:t>As a result of the 1999 Part 75 revisions, this estimate was decreased to 204 hours, but that estimate was not based on consideration of potential changes in burden that may have occurred outside the scope of the specific reduced reporting requirements in the 1999 rule revisions</w:t>
      </w:r>
      <w:r w:rsidR="00CE3ABF">
        <w:t xml:space="preserve">. </w:t>
      </w:r>
      <w:r>
        <w:t>Based on consultations with a few utility representatives in 2002, EPA determined that this burden activity area significantly overstated the average burden levels, although it may have been accurate for some units</w:t>
      </w:r>
      <w:r w:rsidR="00CE3ABF">
        <w:t xml:space="preserve">. </w:t>
      </w:r>
      <w:r>
        <w:t>The contacts provided a fairly wide range of estimates for this activity, however, and thus EPA conservatively used a 102 hour per unit estimat</w:t>
      </w:r>
      <w:r w:rsidR="00A61710">
        <w:t>e in the 2002 ICR renewal (a 50 percent</w:t>
      </w:r>
      <w:r>
        <w:t xml:space="preserve"> reduction from the 1999 ICR)</w:t>
      </w:r>
      <w:r w:rsidR="00CE3ABF">
        <w:t xml:space="preserve">. </w:t>
      </w:r>
      <w:r>
        <w:t xml:space="preserve">This burden estimate </w:t>
      </w:r>
      <w:r w:rsidR="00A7139D">
        <w:t>was</w:t>
      </w:r>
      <w:r>
        <w:t xml:space="preserve"> used </w:t>
      </w:r>
      <w:r w:rsidR="00A7139D">
        <w:t xml:space="preserve">in the prior ICR </w:t>
      </w:r>
      <w:r>
        <w:t>renewal as well</w:t>
      </w:r>
      <w:r w:rsidR="00CE3ABF">
        <w:t xml:space="preserve">. </w:t>
      </w:r>
      <w:r w:rsidR="00A7139D">
        <w:t>For this renewal, consultations with affected sources continued to show a wide range of estimates for this activity</w:t>
      </w:r>
      <w:r w:rsidR="00CE3ABF">
        <w:t xml:space="preserve">. </w:t>
      </w:r>
      <w:r w:rsidR="00B52DB2">
        <w:t>EPA contacted several sources in September 2012 to determine if these prior estimates were still valid or should be revised upward or downward. No significant changes were needed</w:t>
      </w:r>
      <w:r w:rsidR="00CE3ABF">
        <w:t xml:space="preserve">. </w:t>
      </w:r>
      <w:r>
        <w:t>For LME units, the estimate remains at 16 hours per year for each LME unit.</w:t>
      </w:r>
    </w:p>
    <w:p w:rsidR="00562093" w:rsidRDefault="00562093" w:rsidP="00E90E93">
      <w:pPr>
        <w:pStyle w:val="NormalWeb"/>
        <w:spacing w:before="0" w:beforeAutospacing="0" w:after="0" w:afterAutospacing="0"/>
        <w:ind w:firstLine="720"/>
      </w:pPr>
    </w:p>
    <w:p w:rsidR="009907D5" w:rsidRDefault="009907D5" w:rsidP="00A61710">
      <w:pPr>
        <w:pStyle w:val="NormalWeb"/>
        <w:spacing w:before="0" w:beforeAutospacing="0" w:after="0" w:afterAutospacing="0"/>
        <w:ind w:left="720"/>
        <w:rPr>
          <w:rStyle w:val="Strong"/>
        </w:rPr>
      </w:pPr>
      <w:r>
        <w:rPr>
          <w:rStyle w:val="Strong"/>
        </w:rPr>
        <w:t>6.4.2</w:t>
      </w:r>
      <w:r w:rsidR="00A61710">
        <w:rPr>
          <w:rStyle w:val="Strong"/>
        </w:rPr>
        <w:t xml:space="preserve"> </w:t>
      </w:r>
      <w:r>
        <w:rPr>
          <w:rStyle w:val="Strong"/>
        </w:rPr>
        <w:t xml:space="preserve"> Estimating</w:t>
      </w:r>
      <w:r>
        <w:t xml:space="preserve"> </w:t>
      </w:r>
      <w:r>
        <w:rPr>
          <w:rStyle w:val="Strong"/>
        </w:rPr>
        <w:t>Respondent Costs</w:t>
      </w:r>
    </w:p>
    <w:p w:rsidR="00562093" w:rsidRDefault="00562093" w:rsidP="00E90E93">
      <w:pPr>
        <w:pStyle w:val="NormalWeb"/>
        <w:spacing w:before="0" w:beforeAutospacing="0" w:after="0" w:afterAutospacing="0"/>
      </w:pPr>
    </w:p>
    <w:p w:rsidR="009907D5" w:rsidRDefault="009907D5" w:rsidP="00E90E93">
      <w:pPr>
        <w:pStyle w:val="NormalWeb"/>
        <w:spacing w:before="0" w:beforeAutospacing="0" w:after="0" w:afterAutospacing="0"/>
        <w:ind w:firstLine="720"/>
      </w:pPr>
      <w:r>
        <w:t>Exhibit 7 summarizes the annual respondent costs</w:t>
      </w:r>
      <w:r w:rsidR="00CE3ABF">
        <w:t xml:space="preserve">. </w:t>
      </w:r>
      <w:r>
        <w:t>The following discussion describes how those costs were derived.</w:t>
      </w:r>
    </w:p>
    <w:p w:rsidR="00562093" w:rsidRDefault="00562093" w:rsidP="00E90E93">
      <w:pPr>
        <w:pStyle w:val="NormalWeb"/>
        <w:spacing w:before="0" w:beforeAutospacing="0" w:after="0" w:afterAutospacing="0"/>
        <w:ind w:firstLine="720"/>
      </w:pPr>
    </w:p>
    <w:p w:rsidR="009907D5" w:rsidRPr="009D581C" w:rsidRDefault="009D581C" w:rsidP="009D581C">
      <w:pPr>
        <w:pStyle w:val="NormalWeb"/>
        <w:keepNext/>
        <w:spacing w:before="0" w:beforeAutospacing="0" w:after="0" w:afterAutospacing="0"/>
        <w:ind w:left="1080"/>
        <w:rPr>
          <w:rStyle w:val="Emphasis"/>
          <w:b/>
          <w:i w:val="0"/>
        </w:rPr>
      </w:pPr>
      <w:r w:rsidRPr="009D581C">
        <w:rPr>
          <w:rStyle w:val="Emphasis"/>
          <w:b/>
          <w:i w:val="0"/>
        </w:rPr>
        <w:t>A.</w:t>
      </w:r>
      <w:r w:rsidR="00A61710" w:rsidRPr="009D581C">
        <w:rPr>
          <w:rStyle w:val="Emphasis"/>
          <w:b/>
          <w:i w:val="0"/>
        </w:rPr>
        <w:t xml:space="preserve"> </w:t>
      </w:r>
      <w:r w:rsidR="009907D5" w:rsidRPr="009D581C">
        <w:rPr>
          <w:rStyle w:val="Emphasis"/>
          <w:b/>
          <w:i w:val="0"/>
        </w:rPr>
        <w:t xml:space="preserve"> Estimating Total Capital and Annual Operations and Maintenance Costs</w:t>
      </w:r>
    </w:p>
    <w:p w:rsidR="00562093" w:rsidRDefault="00562093" w:rsidP="00A61710">
      <w:pPr>
        <w:pStyle w:val="NormalWeb"/>
        <w:keepNext/>
        <w:spacing w:before="0" w:beforeAutospacing="0" w:after="0" w:afterAutospacing="0"/>
      </w:pPr>
    </w:p>
    <w:p w:rsidR="009907D5" w:rsidRDefault="009907D5" w:rsidP="00E90E93">
      <w:pPr>
        <w:widowControl/>
        <w:ind w:firstLine="720"/>
        <w:rPr>
          <w:sz w:val="24"/>
          <w:szCs w:val="24"/>
        </w:rPr>
      </w:pPr>
      <w:r>
        <w:rPr>
          <w:sz w:val="24"/>
          <w:szCs w:val="24"/>
        </w:rPr>
        <w:t>Capital/start-up costs include the cost of installing required CEMS or alternatives</w:t>
      </w:r>
      <w:r w:rsidR="00CE3ABF">
        <w:rPr>
          <w:sz w:val="24"/>
          <w:szCs w:val="24"/>
        </w:rPr>
        <w:t xml:space="preserve">. </w:t>
      </w:r>
      <w:r>
        <w:rPr>
          <w:sz w:val="24"/>
          <w:szCs w:val="24"/>
        </w:rPr>
        <w:t>The Agency developed the capital cost estimates for the CEM and other equipment based on EPA CEM cost models, existing ICRs, and comments from various affected utilities</w:t>
      </w:r>
      <w:r w:rsidR="00CE3ABF">
        <w:rPr>
          <w:sz w:val="24"/>
          <w:szCs w:val="24"/>
        </w:rPr>
        <w:t xml:space="preserve">. </w:t>
      </w:r>
      <w:r>
        <w:rPr>
          <w:sz w:val="24"/>
          <w:szCs w:val="24"/>
        </w:rPr>
        <w:t>The cost estimates vary depending on the number and type of monitors that are required</w:t>
      </w:r>
      <w:r w:rsidR="00CE3ABF">
        <w:rPr>
          <w:sz w:val="24"/>
          <w:szCs w:val="24"/>
        </w:rPr>
        <w:t xml:space="preserve">. </w:t>
      </w:r>
      <w:r>
        <w:rPr>
          <w:sz w:val="24"/>
          <w:szCs w:val="24"/>
        </w:rPr>
        <w:t>Annualized capital cost estimates are in</w:t>
      </w:r>
      <w:r w:rsidR="004F266D">
        <w:rPr>
          <w:sz w:val="24"/>
          <w:szCs w:val="24"/>
        </w:rPr>
        <w:t xml:space="preserve">cluded for each of the Models </w:t>
      </w:r>
      <w:r w:rsidR="004F266D">
        <w:rPr>
          <w:sz w:val="24"/>
          <w:szCs w:val="24"/>
        </w:rPr>
        <w:br/>
        <w:t xml:space="preserve">A – </w:t>
      </w:r>
      <w:r>
        <w:rPr>
          <w:sz w:val="24"/>
          <w:szCs w:val="24"/>
        </w:rPr>
        <w:t xml:space="preserve">F on Exhibit </w:t>
      </w:r>
      <w:r w:rsidR="00D37C1D">
        <w:rPr>
          <w:sz w:val="24"/>
          <w:szCs w:val="24"/>
        </w:rPr>
        <w:t>5</w:t>
      </w:r>
      <w:r w:rsidR="00CE3ABF">
        <w:rPr>
          <w:sz w:val="24"/>
          <w:szCs w:val="24"/>
        </w:rPr>
        <w:t xml:space="preserve">. </w:t>
      </w:r>
      <w:r>
        <w:rPr>
          <w:sz w:val="24"/>
          <w:szCs w:val="24"/>
        </w:rPr>
        <w:t>These annualized capital costs were originally drawn from CAIR EPA ICR #2152.0</w:t>
      </w:r>
      <w:r w:rsidR="00D37C1D">
        <w:rPr>
          <w:sz w:val="24"/>
          <w:szCs w:val="24"/>
        </w:rPr>
        <w:t>5</w:t>
      </w:r>
      <w:r w:rsidR="00DA534F">
        <w:rPr>
          <w:sz w:val="24"/>
          <w:szCs w:val="24"/>
        </w:rPr>
        <w:t xml:space="preserve"> (OMB Control Number 2060-0570)</w:t>
      </w:r>
      <w:r>
        <w:rPr>
          <w:sz w:val="24"/>
          <w:szCs w:val="24"/>
        </w:rPr>
        <w:t>, and have been updated for this ICR using a factor based on the rate of inflation shown for 200</w:t>
      </w:r>
      <w:r w:rsidR="001A0465">
        <w:rPr>
          <w:sz w:val="24"/>
          <w:szCs w:val="24"/>
        </w:rPr>
        <w:t>9</w:t>
      </w:r>
      <w:r>
        <w:rPr>
          <w:sz w:val="24"/>
          <w:szCs w:val="24"/>
        </w:rPr>
        <w:t xml:space="preserve"> through 20</w:t>
      </w:r>
      <w:r w:rsidR="001A0465">
        <w:rPr>
          <w:sz w:val="24"/>
          <w:szCs w:val="24"/>
        </w:rPr>
        <w:t>12</w:t>
      </w:r>
      <w:r>
        <w:rPr>
          <w:sz w:val="24"/>
          <w:szCs w:val="24"/>
        </w:rPr>
        <w:t xml:space="preserve"> in Industrial Commodities Producer Price Index (PPI) maintained by the Bureau of Labor Statistics</w:t>
      </w:r>
      <w:r w:rsidR="00CE3ABF">
        <w:rPr>
          <w:sz w:val="24"/>
          <w:szCs w:val="24"/>
        </w:rPr>
        <w:t>.</w:t>
      </w:r>
      <w:r w:rsidR="00533D55">
        <w:rPr>
          <w:sz w:val="24"/>
          <w:szCs w:val="24"/>
        </w:rPr>
        <w:t xml:space="preserve"> </w:t>
      </w:r>
      <w:r>
        <w:rPr>
          <w:sz w:val="24"/>
          <w:szCs w:val="24"/>
        </w:rPr>
        <w:t xml:space="preserve">The annualized costs ranged </w:t>
      </w:r>
      <w:r w:rsidRPr="00D37C1D">
        <w:rPr>
          <w:sz w:val="24"/>
          <w:szCs w:val="24"/>
        </w:rPr>
        <w:t>from $</w:t>
      </w:r>
      <w:r w:rsidR="006F4EC3">
        <w:rPr>
          <w:sz w:val="24"/>
          <w:szCs w:val="24"/>
        </w:rPr>
        <w:t>3</w:t>
      </w:r>
      <w:r w:rsidR="00533D55">
        <w:rPr>
          <w:sz w:val="24"/>
          <w:szCs w:val="24"/>
        </w:rPr>
        <w:t>0</w:t>
      </w:r>
      <w:r w:rsidR="006F4EC3">
        <w:rPr>
          <w:sz w:val="24"/>
          <w:szCs w:val="24"/>
        </w:rPr>
        <w:t>,282</w:t>
      </w:r>
      <w:r>
        <w:rPr>
          <w:sz w:val="24"/>
          <w:szCs w:val="24"/>
        </w:rPr>
        <w:t xml:space="preserve"> for units with a full set of CEMS (Model A), to $</w:t>
      </w:r>
      <w:r w:rsidR="006F4EC3">
        <w:rPr>
          <w:sz w:val="24"/>
          <w:szCs w:val="24"/>
        </w:rPr>
        <w:t>19,661</w:t>
      </w:r>
      <w:r>
        <w:rPr>
          <w:sz w:val="24"/>
          <w:szCs w:val="24"/>
        </w:rPr>
        <w:t xml:space="preserve"> for a unit that uses </w:t>
      </w:r>
      <w:proofErr w:type="spellStart"/>
      <w:r>
        <w:rPr>
          <w:sz w:val="24"/>
          <w:szCs w:val="24"/>
        </w:rPr>
        <w:t>NO</w:t>
      </w:r>
      <w:r>
        <w:rPr>
          <w:sz w:val="24"/>
          <w:szCs w:val="24"/>
          <w:vertAlign w:val="subscript"/>
        </w:rPr>
        <w:t>x</w:t>
      </w:r>
      <w:proofErr w:type="spellEnd"/>
      <w:r>
        <w:rPr>
          <w:sz w:val="24"/>
          <w:szCs w:val="24"/>
        </w:rPr>
        <w:t xml:space="preserve"> CEMS and Appendix D methods (Model C), to </w:t>
      </w:r>
      <w:r w:rsidRPr="00D37C1D">
        <w:rPr>
          <w:sz w:val="24"/>
          <w:szCs w:val="24"/>
        </w:rPr>
        <w:t>$2,</w:t>
      </w:r>
      <w:r w:rsidR="006F4EC3">
        <w:rPr>
          <w:sz w:val="24"/>
          <w:szCs w:val="24"/>
        </w:rPr>
        <w:t xml:space="preserve">359 </w:t>
      </w:r>
      <w:r>
        <w:rPr>
          <w:sz w:val="24"/>
          <w:szCs w:val="24"/>
        </w:rPr>
        <w:t xml:space="preserve">for units that use both </w:t>
      </w:r>
      <w:r>
        <w:rPr>
          <w:sz w:val="24"/>
          <w:szCs w:val="24"/>
        </w:rPr>
        <w:lastRenderedPageBreak/>
        <w:t>Appendix D and Appendix E methods without any CEMS (Model D)</w:t>
      </w:r>
      <w:r w:rsidR="00CE3ABF">
        <w:rPr>
          <w:sz w:val="24"/>
          <w:szCs w:val="24"/>
        </w:rPr>
        <w:t xml:space="preserve">. </w:t>
      </w:r>
      <w:r>
        <w:rPr>
          <w:sz w:val="24"/>
          <w:szCs w:val="24"/>
        </w:rPr>
        <w:t>There are no capital/start-up costs for LME units</w:t>
      </w:r>
      <w:r w:rsidR="00CE3ABF">
        <w:rPr>
          <w:sz w:val="24"/>
          <w:szCs w:val="24"/>
        </w:rPr>
        <w:t xml:space="preserve">. </w:t>
      </w:r>
      <w:r>
        <w:rPr>
          <w:sz w:val="24"/>
          <w:szCs w:val="24"/>
        </w:rPr>
        <w:t xml:space="preserve">A discussion of how the capital/start-up costs were annualized follows in Section </w:t>
      </w:r>
      <w:r w:rsidR="006C5FA0">
        <w:rPr>
          <w:sz w:val="24"/>
          <w:szCs w:val="24"/>
        </w:rPr>
        <w:t>C</w:t>
      </w:r>
      <w:r w:rsidR="00CE3ABF">
        <w:rPr>
          <w:sz w:val="24"/>
          <w:szCs w:val="24"/>
        </w:rPr>
        <w:t xml:space="preserve">. </w:t>
      </w:r>
      <w:r w:rsidR="006C5FA0">
        <w:rPr>
          <w:sz w:val="24"/>
          <w:szCs w:val="24"/>
        </w:rPr>
        <w:t>Annualizing Capital Costs</w:t>
      </w:r>
      <w:r w:rsidR="00CE3ABF">
        <w:rPr>
          <w:sz w:val="24"/>
          <w:szCs w:val="24"/>
        </w:rPr>
        <w:t xml:space="preserve">. </w:t>
      </w:r>
      <w:r w:rsidR="00C42B86">
        <w:rPr>
          <w:sz w:val="24"/>
          <w:szCs w:val="24"/>
        </w:rPr>
        <w:t>A</w:t>
      </w:r>
      <w:r w:rsidR="00A7139D">
        <w:rPr>
          <w:sz w:val="24"/>
          <w:szCs w:val="24"/>
        </w:rPr>
        <w:t>s noted earlier, this ICR includes annualized capital costs for recent DAHS upgrades at all ARP facilities</w:t>
      </w:r>
      <w:r w:rsidR="00562093">
        <w:rPr>
          <w:sz w:val="24"/>
          <w:szCs w:val="24"/>
        </w:rPr>
        <w:t xml:space="preserve">.  </w:t>
      </w:r>
    </w:p>
    <w:p w:rsidR="009907D5" w:rsidRDefault="009907D5" w:rsidP="00E90E93">
      <w:pPr>
        <w:widowControl/>
        <w:rPr>
          <w:sz w:val="24"/>
          <w:szCs w:val="24"/>
        </w:rPr>
      </w:pPr>
    </w:p>
    <w:p w:rsidR="009907D5" w:rsidRDefault="009907D5" w:rsidP="00E90E93">
      <w:pPr>
        <w:widowControl/>
        <w:ind w:firstLine="720"/>
        <w:rPr>
          <w:sz w:val="24"/>
          <w:szCs w:val="24"/>
        </w:rPr>
      </w:pPr>
      <w:r>
        <w:rPr>
          <w:sz w:val="24"/>
          <w:szCs w:val="24"/>
        </w:rPr>
        <w:t>In addition to capital/start-up costs, respondents incur operation and maintenance (O&amp;M) costs (exclusive of labor costs) that reflect ongoing costs to a unit</w:t>
      </w:r>
      <w:r w:rsidR="00CE3ABF">
        <w:rPr>
          <w:sz w:val="24"/>
          <w:szCs w:val="24"/>
        </w:rPr>
        <w:t xml:space="preserve">. </w:t>
      </w:r>
      <w:r>
        <w:rPr>
          <w:sz w:val="24"/>
          <w:szCs w:val="24"/>
        </w:rPr>
        <w:t>These costs include both contractor costs for the required recertification, diagnostic, and quality assurance (QA) testing, and other direct maintenance-related expenses (</w:t>
      </w:r>
      <w:r w:rsidRPr="00D00509">
        <w:rPr>
          <w:sz w:val="24"/>
          <w:szCs w:val="24"/>
        </w:rPr>
        <w:t>e.g.,</w:t>
      </w:r>
      <w:r>
        <w:rPr>
          <w:sz w:val="24"/>
          <w:szCs w:val="24"/>
        </w:rPr>
        <w:t xml:space="preserve"> spare parts and calibration gases)</w:t>
      </w:r>
      <w:r w:rsidR="00CE3ABF">
        <w:rPr>
          <w:sz w:val="24"/>
          <w:szCs w:val="24"/>
        </w:rPr>
        <w:t xml:space="preserve">. </w:t>
      </w:r>
      <w:r>
        <w:rPr>
          <w:sz w:val="24"/>
          <w:szCs w:val="24"/>
        </w:rPr>
        <w:t xml:space="preserve">The cost estimates used in this renewal ICR are generally the </w:t>
      </w:r>
      <w:r w:rsidR="00A7139D">
        <w:rPr>
          <w:sz w:val="24"/>
          <w:szCs w:val="24"/>
        </w:rPr>
        <w:t xml:space="preserve">same as the </w:t>
      </w:r>
      <w:r>
        <w:rPr>
          <w:sz w:val="24"/>
          <w:szCs w:val="24"/>
        </w:rPr>
        <w:t>CAIR EPA ICR #2152.0</w:t>
      </w:r>
      <w:r w:rsidR="001A0465">
        <w:rPr>
          <w:sz w:val="24"/>
          <w:szCs w:val="24"/>
        </w:rPr>
        <w:t>5</w:t>
      </w:r>
      <w:r>
        <w:rPr>
          <w:sz w:val="24"/>
          <w:szCs w:val="24"/>
        </w:rPr>
        <w:t>, and were derived from EPA CEM cost models, existing ICRs, Agency staff experience under the Acid Rain Program, information gathered during development of the 1999 and 2002 Part 75 revisions, and supplemental estimates provided by affected utilities and others related to the various cost items (see, e.g., EPA Air Docket A-97-35, Item II-D-48)</w:t>
      </w:r>
      <w:r w:rsidR="00CE3ABF">
        <w:rPr>
          <w:sz w:val="24"/>
          <w:szCs w:val="24"/>
        </w:rPr>
        <w:t xml:space="preserve">. </w:t>
      </w:r>
      <w:r>
        <w:rPr>
          <w:sz w:val="24"/>
          <w:szCs w:val="24"/>
        </w:rPr>
        <w:t>These O&amp;M c</w:t>
      </w:r>
      <w:r w:rsidR="00D00509">
        <w:rPr>
          <w:sz w:val="24"/>
          <w:szCs w:val="24"/>
        </w:rPr>
        <w:t xml:space="preserve">osts have also been updated to </w:t>
      </w:r>
      <w:r w:rsidR="001A0465">
        <w:rPr>
          <w:sz w:val="24"/>
          <w:szCs w:val="24"/>
        </w:rPr>
        <w:t xml:space="preserve">2012 </w:t>
      </w:r>
      <w:r w:rsidR="00D00509">
        <w:rPr>
          <w:sz w:val="24"/>
          <w:szCs w:val="24"/>
        </w:rPr>
        <w:t xml:space="preserve">dollars </w:t>
      </w:r>
      <w:r>
        <w:rPr>
          <w:sz w:val="24"/>
          <w:szCs w:val="24"/>
        </w:rPr>
        <w:t>based on the PPI</w:t>
      </w:r>
      <w:r w:rsidR="00533D55">
        <w:rPr>
          <w:sz w:val="24"/>
          <w:szCs w:val="24"/>
        </w:rPr>
        <w:t xml:space="preserve"> and include the permanent increase due to incorporation of the ARP burdens associated with </w:t>
      </w:r>
      <w:r w:rsidR="00533D55" w:rsidRPr="00533D55">
        <w:rPr>
          <w:sz w:val="24"/>
          <w:szCs w:val="24"/>
        </w:rPr>
        <w:t>EPA ICR Number 2203.04, OMB Control Number 2060-0626. See Appendix B for background and discussion of how these permanent cost increases were derived.</w:t>
      </w:r>
      <w:r w:rsidR="00CE3ABF">
        <w:rPr>
          <w:sz w:val="24"/>
          <w:szCs w:val="24"/>
        </w:rPr>
        <w:t xml:space="preserve"> </w:t>
      </w:r>
      <w:r>
        <w:rPr>
          <w:sz w:val="24"/>
          <w:szCs w:val="24"/>
        </w:rPr>
        <w:t xml:space="preserve">The total cost for these operation and maintenance cost items (other than fuel sampling) </w:t>
      </w:r>
      <w:r w:rsidRPr="00D37C1D">
        <w:rPr>
          <w:sz w:val="24"/>
          <w:szCs w:val="24"/>
        </w:rPr>
        <w:t xml:space="preserve">is </w:t>
      </w:r>
      <w:r w:rsidRPr="00305049">
        <w:rPr>
          <w:sz w:val="24"/>
          <w:szCs w:val="24"/>
        </w:rPr>
        <w:t>estimated at $</w:t>
      </w:r>
      <w:r w:rsidR="006F4EC3">
        <w:rPr>
          <w:sz w:val="24"/>
          <w:szCs w:val="24"/>
        </w:rPr>
        <w:t>3</w:t>
      </w:r>
      <w:r w:rsidR="00533D55">
        <w:rPr>
          <w:sz w:val="24"/>
          <w:szCs w:val="24"/>
        </w:rPr>
        <w:t>2</w:t>
      </w:r>
      <w:r w:rsidR="006F4EC3">
        <w:rPr>
          <w:sz w:val="24"/>
          <w:szCs w:val="24"/>
        </w:rPr>
        <w:t>,</w:t>
      </w:r>
      <w:r w:rsidR="00315B58">
        <w:rPr>
          <w:sz w:val="24"/>
          <w:szCs w:val="24"/>
        </w:rPr>
        <w:t>2</w:t>
      </w:r>
      <w:r w:rsidR="00533D55">
        <w:rPr>
          <w:sz w:val="24"/>
          <w:szCs w:val="24"/>
        </w:rPr>
        <w:t>68</w:t>
      </w:r>
      <w:r>
        <w:rPr>
          <w:sz w:val="24"/>
          <w:szCs w:val="24"/>
        </w:rPr>
        <w:t xml:space="preserve"> for a unit with a full set of CEMS, while units that use alternate methodologies have reduced costs</w:t>
      </w:r>
      <w:r w:rsidR="00D00509">
        <w:rPr>
          <w:sz w:val="24"/>
          <w:szCs w:val="24"/>
        </w:rPr>
        <w:t>.</w:t>
      </w:r>
    </w:p>
    <w:p w:rsidR="00562093" w:rsidRDefault="00562093" w:rsidP="00E90E93">
      <w:pPr>
        <w:widowControl/>
        <w:ind w:firstLine="720"/>
        <w:rPr>
          <w:sz w:val="24"/>
          <w:szCs w:val="24"/>
        </w:rPr>
      </w:pPr>
    </w:p>
    <w:p w:rsidR="009907D5" w:rsidRDefault="009907D5" w:rsidP="00E90E93">
      <w:pPr>
        <w:pStyle w:val="NormalWeb"/>
        <w:spacing w:before="0" w:beforeAutospacing="0" w:after="0" w:afterAutospacing="0"/>
        <w:ind w:firstLine="720"/>
      </w:pPr>
      <w:r>
        <w:t>Note that testing contractor costs for certification, recertification and annual RATAs also are presented as other direct costs and are not converted to equivalent source labor hours</w:t>
      </w:r>
      <w:r w:rsidR="00CE3ABF">
        <w:t xml:space="preserve">. </w:t>
      </w:r>
      <w:r>
        <w:t>This approach is consistent with the common business practice for obtaining outside contractors to conduct certification/recertification tests and annual relative accuracy test audits</w:t>
      </w:r>
      <w:r w:rsidR="00CE3ABF">
        <w:t xml:space="preserve">. </w:t>
      </w:r>
      <w:r>
        <w:t>For initial certification, the certification test costs are commonly bundled with equipment purchase contracts, according to information provided by a range of CEMS equipment vendors</w:t>
      </w:r>
      <w:r w:rsidR="00CE3ABF">
        <w:t xml:space="preserve">. </w:t>
      </w:r>
      <w:r>
        <w:t>For RATAs that are conducted either as part of the annual quality assurance requirements or as part of recertification, industry contacts have indicated that RATA testing is usually performed under a fixed price contract basis, except for travel costs that may be billed on an hourly basis beyond the basic contract cost</w:t>
      </w:r>
      <w:r w:rsidR="00CE3ABF">
        <w:t xml:space="preserve">. </w:t>
      </w:r>
      <w:r>
        <w:t>For annual RATAs, the sources indicated that an annual contract between a testing company and utility is often used</w:t>
      </w:r>
      <w:r w:rsidR="00CE3ABF">
        <w:t xml:space="preserve">. </w:t>
      </w:r>
      <w:r>
        <w:t>One municipal utility representative indicated that the applicable municipal regulations required that outside contracts be on a flat fee, not hourly, basis.</w:t>
      </w:r>
    </w:p>
    <w:p w:rsidR="00093C0B" w:rsidRDefault="00093C0B" w:rsidP="00E90E93">
      <w:pPr>
        <w:pStyle w:val="NormalWeb"/>
        <w:spacing w:before="0" w:beforeAutospacing="0" w:after="0" w:afterAutospacing="0"/>
        <w:ind w:firstLine="720"/>
      </w:pPr>
    </w:p>
    <w:p w:rsidR="009907D5" w:rsidRPr="009D581C" w:rsidRDefault="009D581C" w:rsidP="009D581C">
      <w:pPr>
        <w:pStyle w:val="NormalWeb"/>
        <w:keepNext/>
        <w:spacing w:before="0" w:beforeAutospacing="0" w:after="0" w:afterAutospacing="0"/>
        <w:ind w:left="1080"/>
        <w:rPr>
          <w:rStyle w:val="Emphasis"/>
          <w:b/>
          <w:i w:val="0"/>
        </w:rPr>
      </w:pPr>
      <w:r w:rsidRPr="009D581C">
        <w:rPr>
          <w:rStyle w:val="Emphasis"/>
          <w:b/>
          <w:i w:val="0"/>
        </w:rPr>
        <w:t>B.</w:t>
      </w:r>
      <w:r w:rsidR="00515443" w:rsidRPr="009D581C">
        <w:rPr>
          <w:rStyle w:val="Emphasis"/>
          <w:b/>
          <w:i w:val="0"/>
        </w:rPr>
        <w:t xml:space="preserve"> </w:t>
      </w:r>
      <w:r w:rsidR="009907D5" w:rsidRPr="009D581C">
        <w:rPr>
          <w:rStyle w:val="Emphasis"/>
          <w:b/>
          <w:i w:val="0"/>
        </w:rPr>
        <w:t xml:space="preserve"> Capital/Start-up vs</w:t>
      </w:r>
      <w:r w:rsidR="00515443" w:rsidRPr="009D581C">
        <w:rPr>
          <w:rStyle w:val="Emphasis"/>
          <w:b/>
          <w:i w:val="0"/>
        </w:rPr>
        <w:t>.</w:t>
      </w:r>
      <w:r w:rsidR="00562093" w:rsidRPr="009D581C">
        <w:rPr>
          <w:rStyle w:val="Emphasis"/>
          <w:b/>
          <w:i w:val="0"/>
        </w:rPr>
        <w:t xml:space="preserve"> </w:t>
      </w:r>
      <w:r w:rsidR="00515443" w:rsidRPr="009D581C">
        <w:rPr>
          <w:rStyle w:val="Emphasis"/>
          <w:b/>
          <w:i w:val="0"/>
        </w:rPr>
        <w:t>Operating and Maintenance (O&amp;</w:t>
      </w:r>
      <w:r w:rsidR="009907D5" w:rsidRPr="009D581C">
        <w:rPr>
          <w:rStyle w:val="Emphasis"/>
          <w:b/>
          <w:i w:val="0"/>
        </w:rPr>
        <w:t>M) Costs</w:t>
      </w:r>
    </w:p>
    <w:p w:rsidR="00562093" w:rsidRDefault="00562093" w:rsidP="00515443">
      <w:pPr>
        <w:pStyle w:val="NormalWeb"/>
        <w:keepNext/>
        <w:spacing w:before="0" w:beforeAutospacing="0" w:after="0" w:afterAutospacing="0"/>
      </w:pPr>
    </w:p>
    <w:p w:rsidR="009907D5" w:rsidRDefault="009907D5" w:rsidP="00E90E93">
      <w:pPr>
        <w:pStyle w:val="NormalWeb"/>
        <w:spacing w:before="0" w:beforeAutospacing="0" w:after="0" w:afterAutospacing="0"/>
        <w:ind w:firstLine="720"/>
      </w:pPr>
      <w:r>
        <w:t>Capital costs reflect one-time costs for purchase of equipment which will be used over a period of years</w:t>
      </w:r>
      <w:r w:rsidR="00CE3ABF">
        <w:t xml:space="preserve">. </w:t>
      </w:r>
      <w:r>
        <w:t>Conversely, operating and maintenance costs are those costs which are incurred on an annual or other scheduled basis</w:t>
      </w:r>
      <w:r w:rsidR="00CE3ABF">
        <w:t xml:space="preserve">. </w:t>
      </w:r>
      <w:r>
        <w:t>For instance, costs associated with quality assurance activities, such as spare parts or contractor costs for work, will be incurred on an annual basis</w:t>
      </w:r>
      <w:r w:rsidR="00562093">
        <w:t xml:space="preserve">.  </w:t>
      </w:r>
    </w:p>
    <w:p w:rsidR="00562093" w:rsidRDefault="00562093" w:rsidP="00E90E93">
      <w:pPr>
        <w:pStyle w:val="NormalWeb"/>
        <w:spacing w:before="0" w:beforeAutospacing="0" w:after="0" w:afterAutospacing="0"/>
        <w:ind w:firstLine="720"/>
      </w:pPr>
    </w:p>
    <w:p w:rsidR="009907D5" w:rsidRPr="009D581C" w:rsidRDefault="009D581C" w:rsidP="009D581C">
      <w:pPr>
        <w:pStyle w:val="NormalWeb"/>
        <w:spacing w:before="0" w:beforeAutospacing="0" w:after="0" w:afterAutospacing="0"/>
        <w:ind w:left="1080"/>
        <w:rPr>
          <w:rStyle w:val="Emphasis"/>
          <w:b/>
          <w:i w:val="0"/>
        </w:rPr>
      </w:pPr>
      <w:r w:rsidRPr="009D581C">
        <w:rPr>
          <w:rStyle w:val="Emphasis"/>
          <w:b/>
          <w:i w:val="0"/>
        </w:rPr>
        <w:t>C.</w:t>
      </w:r>
      <w:r w:rsidR="00515443" w:rsidRPr="009D581C">
        <w:rPr>
          <w:rStyle w:val="Emphasis"/>
          <w:b/>
          <w:i w:val="0"/>
        </w:rPr>
        <w:t xml:space="preserve"> </w:t>
      </w:r>
      <w:r w:rsidR="009907D5" w:rsidRPr="009D581C">
        <w:rPr>
          <w:rStyle w:val="Emphasis"/>
          <w:b/>
          <w:i w:val="0"/>
        </w:rPr>
        <w:t xml:space="preserve"> Annualizing Capital Costs</w:t>
      </w:r>
    </w:p>
    <w:p w:rsidR="00562093" w:rsidRDefault="00562093" w:rsidP="00E90E93">
      <w:pPr>
        <w:pStyle w:val="NormalWeb"/>
        <w:spacing w:before="0" w:beforeAutospacing="0" w:after="0" w:afterAutospacing="0"/>
      </w:pPr>
    </w:p>
    <w:p w:rsidR="009907D5" w:rsidRDefault="009907D5" w:rsidP="00E90E93">
      <w:pPr>
        <w:widowControl/>
        <w:ind w:firstLine="720"/>
        <w:rPr>
          <w:sz w:val="24"/>
          <w:szCs w:val="24"/>
        </w:rPr>
      </w:pPr>
      <w:r>
        <w:rPr>
          <w:sz w:val="24"/>
          <w:szCs w:val="24"/>
        </w:rPr>
        <w:t>The relevant capital costs for the emissions trading portion of this ICR</w:t>
      </w:r>
      <w:r w:rsidR="00515443">
        <w:rPr>
          <w:sz w:val="24"/>
          <w:szCs w:val="24"/>
        </w:rPr>
        <w:t xml:space="preserve"> were annualized at a rate of seven percent</w:t>
      </w:r>
      <w:r>
        <w:rPr>
          <w:sz w:val="24"/>
          <w:szCs w:val="24"/>
        </w:rPr>
        <w:t xml:space="preserve"> (i.e., the annualized capital cost was calculated assuming money to purchase the capita</w:t>
      </w:r>
      <w:r w:rsidR="00515443">
        <w:rPr>
          <w:sz w:val="24"/>
          <w:szCs w:val="24"/>
        </w:rPr>
        <w:t xml:space="preserve">l equipment was </w:t>
      </w:r>
      <w:r w:rsidR="00515443">
        <w:rPr>
          <w:sz w:val="24"/>
          <w:szCs w:val="24"/>
        </w:rPr>
        <w:lastRenderedPageBreak/>
        <w:t>borrowed at a seven percent</w:t>
      </w:r>
      <w:r>
        <w:rPr>
          <w:sz w:val="24"/>
          <w:szCs w:val="24"/>
        </w:rPr>
        <w:t xml:space="preserve"> annual interest rate)</w:t>
      </w:r>
      <w:r w:rsidR="00CE3ABF">
        <w:rPr>
          <w:sz w:val="24"/>
          <w:szCs w:val="24"/>
        </w:rPr>
        <w:t xml:space="preserve">. </w:t>
      </w:r>
      <w:r>
        <w:rPr>
          <w:sz w:val="24"/>
          <w:szCs w:val="24"/>
        </w:rPr>
        <w:t>The cost of the loan was amortized over the life of the loan to repay original borrowed amount plus interest</w:t>
      </w:r>
      <w:r w:rsidR="00CE3ABF">
        <w:rPr>
          <w:sz w:val="24"/>
          <w:szCs w:val="24"/>
        </w:rPr>
        <w:t xml:space="preserve">. </w:t>
      </w:r>
      <w:r>
        <w:rPr>
          <w:sz w:val="24"/>
          <w:szCs w:val="24"/>
        </w:rPr>
        <w:t>The result is the annualized capital cost reported.</w:t>
      </w:r>
      <w:r w:rsidR="00CE3ABF">
        <w:rPr>
          <w:sz w:val="24"/>
          <w:szCs w:val="24"/>
        </w:rPr>
        <w:t xml:space="preserve">) </w:t>
      </w:r>
      <w:r>
        <w:rPr>
          <w:sz w:val="24"/>
          <w:szCs w:val="24"/>
        </w:rPr>
        <w:t xml:space="preserve">The annualized cost of the necessary </w:t>
      </w:r>
      <w:r w:rsidR="00A7139D">
        <w:rPr>
          <w:sz w:val="24"/>
          <w:szCs w:val="24"/>
        </w:rPr>
        <w:t xml:space="preserve">monitoring equipment </w:t>
      </w:r>
      <w:r>
        <w:rPr>
          <w:sz w:val="24"/>
          <w:szCs w:val="24"/>
        </w:rPr>
        <w:t xml:space="preserve">capital purchases varies from </w:t>
      </w:r>
      <w:r w:rsidRPr="00D37C1D">
        <w:rPr>
          <w:sz w:val="24"/>
          <w:szCs w:val="24"/>
        </w:rPr>
        <w:t>$2,</w:t>
      </w:r>
      <w:r w:rsidR="006F4EC3" w:rsidRPr="00305049">
        <w:rPr>
          <w:sz w:val="24"/>
          <w:szCs w:val="24"/>
        </w:rPr>
        <w:t>320</w:t>
      </w:r>
      <w:r w:rsidR="006F4EC3">
        <w:rPr>
          <w:sz w:val="24"/>
          <w:szCs w:val="24"/>
        </w:rPr>
        <w:t xml:space="preserve"> </w:t>
      </w:r>
      <w:r>
        <w:rPr>
          <w:sz w:val="24"/>
          <w:szCs w:val="24"/>
        </w:rPr>
        <w:t xml:space="preserve">to </w:t>
      </w:r>
      <w:r w:rsidRPr="00D37C1D">
        <w:rPr>
          <w:sz w:val="24"/>
          <w:szCs w:val="24"/>
        </w:rPr>
        <w:t>$</w:t>
      </w:r>
      <w:r w:rsidR="006F4EC3">
        <w:rPr>
          <w:sz w:val="24"/>
          <w:szCs w:val="24"/>
        </w:rPr>
        <w:t>30,282</w:t>
      </w:r>
      <w:r>
        <w:rPr>
          <w:sz w:val="24"/>
          <w:szCs w:val="24"/>
        </w:rPr>
        <w:t>, per year, per unit, depending on the type of monitoring methodology</w:t>
      </w:r>
      <w:r w:rsidR="00CE3ABF">
        <w:rPr>
          <w:sz w:val="24"/>
          <w:szCs w:val="24"/>
        </w:rPr>
        <w:t xml:space="preserve">. </w:t>
      </w:r>
      <w:r>
        <w:rPr>
          <w:sz w:val="24"/>
          <w:szCs w:val="24"/>
        </w:rPr>
        <w:t>Exhibit 7 contains a breakdown of annual costs by monitoring methodology</w:t>
      </w:r>
      <w:r w:rsidR="00CE3ABF">
        <w:rPr>
          <w:sz w:val="24"/>
          <w:szCs w:val="24"/>
        </w:rPr>
        <w:t xml:space="preserve">. </w:t>
      </w:r>
      <w:r>
        <w:rPr>
          <w:sz w:val="24"/>
          <w:szCs w:val="24"/>
        </w:rPr>
        <w:t xml:space="preserve">The capital costs are from the CAIR </w:t>
      </w:r>
      <w:r w:rsidR="00515443">
        <w:rPr>
          <w:sz w:val="24"/>
          <w:szCs w:val="24"/>
        </w:rPr>
        <w:t>EPA ICR #2152.0</w:t>
      </w:r>
      <w:r w:rsidR="001A0465">
        <w:rPr>
          <w:sz w:val="24"/>
          <w:szCs w:val="24"/>
        </w:rPr>
        <w:t>5</w:t>
      </w:r>
      <w:r w:rsidR="00515443">
        <w:rPr>
          <w:sz w:val="24"/>
          <w:szCs w:val="24"/>
        </w:rPr>
        <w:t xml:space="preserve">, updated from </w:t>
      </w:r>
      <w:r>
        <w:rPr>
          <w:sz w:val="24"/>
          <w:szCs w:val="24"/>
        </w:rPr>
        <w:t>200</w:t>
      </w:r>
      <w:r w:rsidR="001A0465">
        <w:rPr>
          <w:sz w:val="24"/>
          <w:szCs w:val="24"/>
        </w:rPr>
        <w:t>9</w:t>
      </w:r>
      <w:r>
        <w:rPr>
          <w:sz w:val="24"/>
          <w:szCs w:val="24"/>
        </w:rPr>
        <w:t xml:space="preserve"> </w:t>
      </w:r>
      <w:r w:rsidR="00515443">
        <w:rPr>
          <w:sz w:val="24"/>
          <w:szCs w:val="24"/>
        </w:rPr>
        <w:t xml:space="preserve">dollars </w:t>
      </w:r>
      <w:r>
        <w:rPr>
          <w:sz w:val="24"/>
          <w:szCs w:val="24"/>
        </w:rPr>
        <w:t>to 20</w:t>
      </w:r>
      <w:r w:rsidR="001A0465">
        <w:rPr>
          <w:sz w:val="24"/>
          <w:szCs w:val="24"/>
        </w:rPr>
        <w:t>12</w:t>
      </w:r>
      <w:r w:rsidR="00515443">
        <w:rPr>
          <w:sz w:val="24"/>
          <w:szCs w:val="24"/>
        </w:rPr>
        <w:t xml:space="preserve"> dollars</w:t>
      </w:r>
      <w:r>
        <w:rPr>
          <w:sz w:val="24"/>
          <w:szCs w:val="24"/>
        </w:rPr>
        <w:t xml:space="preserve"> by a factor (</w:t>
      </w:r>
      <w:r w:rsidRPr="00D37C1D">
        <w:rPr>
          <w:sz w:val="24"/>
          <w:szCs w:val="24"/>
        </w:rPr>
        <w:t>1.024</w:t>
      </w:r>
      <w:r>
        <w:rPr>
          <w:sz w:val="24"/>
          <w:szCs w:val="24"/>
        </w:rPr>
        <w:t>) based on the PPI for industrial commodities.</w:t>
      </w:r>
    </w:p>
    <w:p w:rsidR="00562093" w:rsidRDefault="00562093" w:rsidP="00E90E93">
      <w:pPr>
        <w:widowControl/>
        <w:ind w:firstLine="720"/>
        <w:rPr>
          <w:sz w:val="24"/>
          <w:szCs w:val="24"/>
        </w:rPr>
      </w:pPr>
    </w:p>
    <w:p w:rsidR="009907D5" w:rsidRPr="009D581C" w:rsidRDefault="009D581C" w:rsidP="009D581C">
      <w:pPr>
        <w:pStyle w:val="NormalWeb"/>
        <w:spacing w:before="0" w:beforeAutospacing="0" w:after="0" w:afterAutospacing="0"/>
        <w:ind w:left="1080"/>
        <w:rPr>
          <w:b/>
        </w:rPr>
      </w:pPr>
      <w:r w:rsidRPr="009D581C">
        <w:rPr>
          <w:b/>
        </w:rPr>
        <w:t>D.</w:t>
      </w:r>
      <w:r w:rsidR="009907D5" w:rsidRPr="009D581C">
        <w:rPr>
          <w:b/>
        </w:rPr>
        <w:t xml:space="preserve">  </w:t>
      </w:r>
      <w:r w:rsidR="00315B58">
        <w:rPr>
          <w:b/>
        </w:rPr>
        <w:t>Protocol Gas Verification Program Increased Cylinder Costs</w:t>
      </w:r>
    </w:p>
    <w:p w:rsidR="00562093" w:rsidRDefault="00562093" w:rsidP="00E90E93">
      <w:pPr>
        <w:pStyle w:val="NormalWeb"/>
        <w:spacing w:before="0" w:beforeAutospacing="0" w:after="0" w:afterAutospacing="0"/>
        <w:rPr>
          <w:i/>
        </w:rPr>
      </w:pPr>
    </w:p>
    <w:p w:rsidR="00315B58" w:rsidRDefault="00315B58" w:rsidP="00E90E93">
      <w:pPr>
        <w:widowControl/>
        <w:ind w:firstLine="720"/>
        <w:rPr>
          <w:sz w:val="24"/>
          <w:szCs w:val="24"/>
        </w:rPr>
      </w:pPr>
      <w:r>
        <w:rPr>
          <w:sz w:val="24"/>
          <w:szCs w:val="24"/>
        </w:rPr>
        <w:t xml:space="preserve">This increased protocol gas verification program cylinder costs were derived from </w:t>
      </w:r>
      <w:r w:rsidRPr="00533D55">
        <w:rPr>
          <w:sz w:val="24"/>
          <w:szCs w:val="24"/>
        </w:rPr>
        <w:t>EPA ICR Number 2203.04, OMB Control Number 2060-0626</w:t>
      </w:r>
      <w:r>
        <w:rPr>
          <w:sz w:val="24"/>
          <w:szCs w:val="24"/>
        </w:rPr>
        <w:t>. EPA assumes that each affected unit using on average six cylinders a year at an increased cost of two dollars per cylinder. See Appendix B for more background information.</w:t>
      </w:r>
    </w:p>
    <w:p w:rsidR="009907D5" w:rsidRDefault="009907D5" w:rsidP="00E90E93">
      <w:pPr>
        <w:widowControl/>
        <w:ind w:firstLine="720"/>
        <w:rPr>
          <w:sz w:val="24"/>
          <w:szCs w:val="24"/>
        </w:rPr>
      </w:pPr>
    </w:p>
    <w:p w:rsidR="009907D5" w:rsidRDefault="009907D5" w:rsidP="00515443">
      <w:pPr>
        <w:pStyle w:val="NormalWeb"/>
        <w:keepNext/>
        <w:spacing w:before="0" w:beforeAutospacing="0" w:after="0" w:afterAutospacing="0"/>
        <w:ind w:left="720"/>
        <w:rPr>
          <w:rStyle w:val="Strong"/>
        </w:rPr>
      </w:pPr>
      <w:r>
        <w:rPr>
          <w:rStyle w:val="Strong"/>
        </w:rPr>
        <w:t xml:space="preserve">6.4.3 </w:t>
      </w:r>
      <w:r w:rsidR="00515443">
        <w:rPr>
          <w:rStyle w:val="Strong"/>
        </w:rPr>
        <w:t xml:space="preserve"> </w:t>
      </w:r>
      <w:r>
        <w:rPr>
          <w:rStyle w:val="Strong"/>
        </w:rPr>
        <w:t>Estimating Agency Burden and Cost</w:t>
      </w:r>
    </w:p>
    <w:p w:rsidR="00562093" w:rsidRDefault="00562093" w:rsidP="00E90E93">
      <w:pPr>
        <w:pStyle w:val="NormalWeb"/>
        <w:keepNext/>
        <w:spacing w:before="0" w:beforeAutospacing="0" w:after="0" w:afterAutospacing="0"/>
      </w:pPr>
    </w:p>
    <w:p w:rsidR="009907D5" w:rsidRDefault="009907D5" w:rsidP="00E90E93">
      <w:pPr>
        <w:pStyle w:val="NormalWeb"/>
        <w:keepNext/>
        <w:spacing w:before="0" w:beforeAutospacing="0" w:after="0" w:afterAutospacing="0"/>
        <w:ind w:firstLine="720"/>
      </w:pPr>
      <w:r>
        <w:t xml:space="preserve">The tasks that will be performed by EPA include processing, reviewing, and evaluating emissions data reports submitted by utilities, and conducting appropriate </w:t>
      </w:r>
      <w:r w:rsidR="00AE176A">
        <w:t xml:space="preserve">CEMS and data </w:t>
      </w:r>
      <w:r>
        <w:t>audit activities to verify the information provided</w:t>
      </w:r>
      <w:r w:rsidR="00CE3ABF">
        <w:t xml:space="preserve">. </w:t>
      </w:r>
      <w:r>
        <w:t xml:space="preserve">The estimated Agency burden has been </w:t>
      </w:r>
      <w:r w:rsidR="0072587F">
        <w:t>remains at one</w:t>
      </w:r>
      <w:r>
        <w:t xml:space="preserve"> hour</w:t>
      </w:r>
      <w:r w:rsidR="0072587F">
        <w:t xml:space="preserve"> per report basis, which is consistent with the previous ICR</w:t>
      </w:r>
      <w:r w:rsidR="00CE3ABF">
        <w:t xml:space="preserve">. </w:t>
      </w:r>
      <w:r>
        <w:t>EPA</w:t>
      </w:r>
      <w:r w:rsidR="00A90381">
        <w:t>'</w:t>
      </w:r>
      <w:r>
        <w:t>s increased audit oversight efforts are more than offset by burden reductions from increasing familiarity with the program and improved automated tools</w:t>
      </w:r>
      <w:r w:rsidR="00CE3ABF">
        <w:t xml:space="preserve">. </w:t>
      </w:r>
      <w:r>
        <w:t xml:space="preserve">Assuming that affected sources will </w:t>
      </w:r>
      <w:r w:rsidRPr="00B81DB4">
        <w:t xml:space="preserve">submit </w:t>
      </w:r>
      <w:r w:rsidR="001A0465" w:rsidRPr="001A0465">
        <w:t>3</w:t>
      </w:r>
      <w:r w:rsidR="001A0465">
        <w:t>,616</w:t>
      </w:r>
      <w:r w:rsidR="00955FBC">
        <w:t xml:space="preserve"> </w:t>
      </w:r>
      <w:r>
        <w:t xml:space="preserve">emissions reports to EPA per quarter, the total annual burden incurred by the Agency will be </w:t>
      </w:r>
      <w:r w:rsidR="00D37C1D">
        <w:t>14,464</w:t>
      </w:r>
      <w:r w:rsidR="00116218">
        <w:t xml:space="preserve"> </w:t>
      </w:r>
      <w:r>
        <w:t>hours</w:t>
      </w:r>
      <w:r w:rsidR="00CE3ABF">
        <w:t xml:space="preserve">. </w:t>
      </w:r>
      <w:r w:rsidR="000E313A">
        <w:t>This ICR also incorporates the agency burden previously calculated under</w:t>
      </w:r>
      <w:r w:rsidR="00DB3745" w:rsidRPr="00DB3745">
        <w:t xml:space="preserve"> </w:t>
      </w:r>
      <w:r w:rsidR="00DB3745" w:rsidRPr="00533D55">
        <w:t>EPA ICR Number 2203.04, OMB Control Number 2060-0626</w:t>
      </w:r>
      <w:r w:rsidR="00DB3745">
        <w:t xml:space="preserve"> which results in an increase of 90 additional hours on an annual basis. (See Appendix B for more background information.)</w:t>
      </w:r>
      <w:r w:rsidR="000E313A">
        <w:t xml:space="preserve"> </w:t>
      </w:r>
      <w:r>
        <w:t xml:space="preserve">The total annual cost to EPA for processing, reviewing, and evaluating these quarterly emissions reports will be approximately </w:t>
      </w:r>
      <w:r w:rsidRPr="00D37C1D">
        <w:t>$</w:t>
      </w:r>
      <w:r w:rsidR="00DB3745">
        <w:t>78</w:t>
      </w:r>
      <w:r w:rsidR="000E2DAE">
        <w:t>3</w:t>
      </w:r>
      <w:r w:rsidR="00D37C1D">
        <w:t>,</w:t>
      </w:r>
      <w:r w:rsidR="000E2DAE">
        <w:t>145</w:t>
      </w:r>
      <w:r w:rsidR="00CE3ABF">
        <w:t xml:space="preserve">. </w:t>
      </w:r>
      <w:r>
        <w:t xml:space="preserve">Exhibit </w:t>
      </w:r>
      <w:r w:rsidR="00DB3745">
        <w:t>6</w:t>
      </w:r>
      <w:r>
        <w:t xml:space="preserve"> summarizes the Agency burden and costs associated with emissions reporting</w:t>
      </w:r>
      <w:r w:rsidR="00DB3745">
        <w:t xml:space="preserve"> including conducting CEMS audits and reviewing CEMS conducted by government contractor. </w:t>
      </w:r>
    </w:p>
    <w:p w:rsidR="00562093" w:rsidRDefault="00562093" w:rsidP="00164A2C">
      <w:pPr>
        <w:pStyle w:val="NormalWeb"/>
        <w:spacing w:before="0" w:beforeAutospacing="0" w:after="0" w:afterAutospacing="0"/>
        <w:ind w:firstLine="720"/>
      </w:pPr>
    </w:p>
    <w:p w:rsidR="009907D5" w:rsidRDefault="009907D5" w:rsidP="00164A2C">
      <w:pPr>
        <w:pStyle w:val="NormalWeb"/>
        <w:keepNext/>
        <w:spacing w:before="0" w:beforeAutospacing="0" w:after="0" w:afterAutospacing="0"/>
        <w:ind w:left="720"/>
        <w:rPr>
          <w:rStyle w:val="Strong"/>
        </w:rPr>
      </w:pPr>
      <w:r>
        <w:rPr>
          <w:rStyle w:val="Strong"/>
        </w:rPr>
        <w:t>6.4.4</w:t>
      </w:r>
      <w:r w:rsidR="00164A2C">
        <w:rPr>
          <w:rStyle w:val="Strong"/>
        </w:rPr>
        <w:t xml:space="preserve"> </w:t>
      </w:r>
      <w:r>
        <w:rPr>
          <w:rStyle w:val="Strong"/>
        </w:rPr>
        <w:t xml:space="preserve"> Estimating the Respondent Universe and Total Burden and Costs</w:t>
      </w:r>
    </w:p>
    <w:p w:rsidR="00562093" w:rsidRDefault="00562093" w:rsidP="00515443">
      <w:pPr>
        <w:pStyle w:val="NormalWeb"/>
        <w:keepNext/>
        <w:spacing w:before="0" w:beforeAutospacing="0" w:after="0" w:afterAutospacing="0"/>
      </w:pPr>
    </w:p>
    <w:p w:rsidR="00562093" w:rsidRDefault="009907D5" w:rsidP="00E90E93">
      <w:pPr>
        <w:pStyle w:val="NormalWeb"/>
        <w:spacing w:before="0" w:beforeAutospacing="0" w:after="0" w:afterAutospacing="0"/>
        <w:ind w:firstLine="720"/>
        <w:sectPr w:rsidR="00562093" w:rsidSect="004E34F6">
          <w:headerReference w:type="default" r:id="rId16"/>
          <w:footerReference w:type="default" r:id="rId17"/>
          <w:headerReference w:type="first" r:id="rId18"/>
          <w:footerReference w:type="first" r:id="rId19"/>
          <w:pgSz w:w="12240" w:h="15840"/>
          <w:pgMar w:top="2045" w:right="720" w:bottom="2045" w:left="720" w:header="1440" w:footer="1440" w:gutter="0"/>
          <w:pgNumType w:start="2"/>
          <w:cols w:space="720"/>
          <w:noEndnote/>
          <w:titlePg/>
          <w:docGrid w:linePitch="272"/>
        </w:sectPr>
      </w:pPr>
      <w:r>
        <w:t xml:space="preserve">Based on the number of units reporting in </w:t>
      </w:r>
      <w:r w:rsidR="001A0465">
        <w:t>2012</w:t>
      </w:r>
      <w:r>
        <w:t xml:space="preserve">and the EIA projection that electricity generation </w:t>
      </w:r>
      <w:r w:rsidR="006960BA">
        <w:t>capacity</w:t>
      </w:r>
      <w:r w:rsidR="00D04138">
        <w:t xml:space="preserve"> will increase by about one percent</w:t>
      </w:r>
      <w:r>
        <w:t xml:space="preserve"> per year, EPA </w:t>
      </w:r>
      <w:r w:rsidR="00D04138">
        <w:t>estimates that, during the 201</w:t>
      </w:r>
      <w:r w:rsidR="001A0465">
        <w:t>3</w:t>
      </w:r>
      <w:r w:rsidR="00D04138">
        <w:t xml:space="preserve"> – </w:t>
      </w:r>
      <w:r>
        <w:t>201</w:t>
      </w:r>
      <w:r w:rsidR="001A0465">
        <w:t>5</w:t>
      </w:r>
      <w:r>
        <w:t xml:space="preserve"> time period:</w:t>
      </w:r>
      <w:r w:rsidR="00D04138">
        <w:t xml:space="preserve">  (a) </w:t>
      </w:r>
      <w:r w:rsidR="00B81DB4" w:rsidRPr="00B81DB4">
        <w:t>1</w:t>
      </w:r>
      <w:r w:rsidR="00B81DB4">
        <w:t>,</w:t>
      </w:r>
      <w:r w:rsidR="00A474FF">
        <w:t>234</w:t>
      </w:r>
      <w:r w:rsidR="000E2DAE">
        <w:t xml:space="preserve"> </w:t>
      </w:r>
      <w:r>
        <w:t>sources will review ins</w:t>
      </w:r>
      <w:r w:rsidR="00D04138">
        <w:t xml:space="preserve">tructions and requirements; (b) </w:t>
      </w:r>
      <w:r w:rsidR="007D31C8" w:rsidRPr="0072587F">
        <w:t>1,20</w:t>
      </w:r>
      <w:r w:rsidR="00A7139D" w:rsidRPr="0072587F">
        <w:t>1</w:t>
      </w:r>
      <w:r w:rsidR="007D31C8">
        <w:t xml:space="preserve"> </w:t>
      </w:r>
      <w:r>
        <w:t>sources (this number excludes sources with only low mass emissions units and new units) will reprogram and de</w:t>
      </w:r>
      <w:r w:rsidR="00D04138">
        <w:t xml:space="preserve">bug DAHS computer software; (c) </w:t>
      </w:r>
      <w:r w:rsidR="001A0465">
        <w:t>3,616</w:t>
      </w:r>
      <w:r w:rsidR="00D04138">
        <w:t xml:space="preserve"> </w:t>
      </w:r>
      <w:r>
        <w:t>units will su</w:t>
      </w:r>
      <w:r w:rsidR="00D04138">
        <w:t xml:space="preserve">bmit quarterly reports; and (d) </w:t>
      </w:r>
      <w:r w:rsidR="00A474FF">
        <w:t>3,471</w:t>
      </w:r>
      <w:r w:rsidR="00D04138">
        <w:t xml:space="preserve"> </w:t>
      </w:r>
      <w:r>
        <w:t>units will respond to EPA generated e</w:t>
      </w:r>
      <w:r w:rsidR="00D04138">
        <w:t>rror messages (of which about ten</w:t>
      </w:r>
      <w:r>
        <w:t xml:space="preserve"> units will also respond to EPA audit activities), and perform QA testing and maintenance (units using the LME methodology are excluded from these activities)</w:t>
      </w:r>
      <w:r w:rsidR="00562093">
        <w:t xml:space="preserve">.  </w:t>
      </w:r>
      <w:r w:rsidR="00A474FF">
        <w:t>F</w:t>
      </w:r>
      <w:r>
        <w:t xml:space="preserve">rom </w:t>
      </w:r>
      <w:r w:rsidRPr="0072587F">
        <w:t>2006 through 2008, an average of 913 units recorded recertification</w:t>
      </w:r>
      <w:r w:rsidR="007D31C8" w:rsidRPr="0072587F">
        <w:t xml:space="preserve"> event</w:t>
      </w:r>
      <w:r w:rsidRPr="0072587F">
        <w:t xml:space="preserve">s </w:t>
      </w:r>
      <w:r w:rsidR="000E2DAE" w:rsidRPr="0072587F">
        <w:t>annuall</w:t>
      </w:r>
      <w:r w:rsidR="000E2DAE">
        <w:t>y;</w:t>
      </w:r>
      <w:r w:rsidR="00A474FF">
        <w:t xml:space="preserve"> however for this ICR</w:t>
      </w:r>
      <w:r w:rsidR="007D31C8">
        <w:t xml:space="preserve">, EPA estimates that approximately </w:t>
      </w:r>
      <w:r w:rsidR="00D37C1D">
        <w:t xml:space="preserve">600 </w:t>
      </w:r>
      <w:r w:rsidR="007D31C8">
        <w:t>units will recertify annually</w:t>
      </w:r>
      <w:r w:rsidR="00CE3ABF">
        <w:t xml:space="preserve">. </w:t>
      </w:r>
      <w:r>
        <w:t xml:space="preserve">EPA is using </w:t>
      </w:r>
      <w:r w:rsidR="00674ADB">
        <w:t>a</w:t>
      </w:r>
      <w:r>
        <w:t xml:space="preserve"> </w:t>
      </w:r>
      <w:r w:rsidR="00D37C1D">
        <w:t xml:space="preserve">lower </w:t>
      </w:r>
      <w:r>
        <w:t xml:space="preserve">number for </w:t>
      </w:r>
      <w:proofErr w:type="spellStart"/>
      <w:r>
        <w:t>recertifications</w:t>
      </w:r>
      <w:proofErr w:type="spellEnd"/>
      <w:r>
        <w:t xml:space="preserve"> from 201</w:t>
      </w:r>
      <w:r w:rsidR="00D37C1D">
        <w:t>3</w:t>
      </w:r>
      <w:r>
        <w:t xml:space="preserve"> through 201</w:t>
      </w:r>
      <w:r w:rsidR="00D37C1D">
        <w:t xml:space="preserve">5 </w:t>
      </w:r>
      <w:r w:rsidR="00A474FF">
        <w:t xml:space="preserve">ICR </w:t>
      </w:r>
      <w:r w:rsidR="00D37C1D">
        <w:t xml:space="preserve">based on the average number of </w:t>
      </w:r>
      <w:proofErr w:type="spellStart"/>
      <w:r w:rsidR="00D37C1D">
        <w:t>recertifications</w:t>
      </w:r>
      <w:proofErr w:type="spellEnd"/>
      <w:r w:rsidR="00D37C1D">
        <w:t xml:space="preserve"> </w:t>
      </w:r>
      <w:r w:rsidR="00A474FF">
        <w:t xml:space="preserve"> </w:t>
      </w:r>
      <w:r w:rsidR="00D37C1D">
        <w:t>received during the 2009-2012</w:t>
      </w:r>
      <w:r w:rsidR="00A474FF">
        <w:t xml:space="preserve"> period</w:t>
      </w:r>
      <w:r w:rsidR="00D37C1D">
        <w:t xml:space="preserve"> </w:t>
      </w:r>
      <w:r>
        <w:t>, and will again revisit the dat</w:t>
      </w:r>
      <w:r w:rsidR="00D04138">
        <w:t>a when preparing the next (201</w:t>
      </w:r>
      <w:r w:rsidR="00A474FF">
        <w:t>6</w:t>
      </w:r>
      <w:r w:rsidR="00D04138">
        <w:t xml:space="preserve"> – </w:t>
      </w:r>
      <w:r>
        <w:t>201</w:t>
      </w:r>
      <w:r w:rsidR="00A474FF">
        <w:t>8</w:t>
      </w:r>
      <w:r>
        <w:t>) renewal of the ARP ICR</w:t>
      </w:r>
      <w:r w:rsidR="00CE3ABF">
        <w:t xml:space="preserve">. </w:t>
      </w:r>
      <w:r>
        <w:t xml:space="preserve">Exhibit </w:t>
      </w:r>
      <w:r w:rsidR="00A474FF">
        <w:t>5</w:t>
      </w:r>
      <w:r>
        <w:t xml:space="preserve"> shows the total burden and total cost based on this respondent universe</w:t>
      </w:r>
      <w:r w:rsidR="004F5049">
        <w:t xml:space="preserve">. </w:t>
      </w:r>
    </w:p>
    <w:p w:rsidR="009907D5" w:rsidRDefault="009907D5" w:rsidP="00562093">
      <w:pPr>
        <w:pStyle w:val="NormalWeb"/>
        <w:spacing w:before="0" w:beforeAutospacing="0" w:after="0" w:afterAutospacing="0"/>
        <w:jc w:val="center"/>
        <w:rPr>
          <w:b/>
        </w:rPr>
      </w:pPr>
      <w:r>
        <w:rPr>
          <w:b/>
        </w:rPr>
        <w:lastRenderedPageBreak/>
        <w:t xml:space="preserve">EXHIBIT </w:t>
      </w:r>
      <w:r w:rsidR="00A474FF">
        <w:rPr>
          <w:b/>
        </w:rPr>
        <w:t>5</w:t>
      </w:r>
    </w:p>
    <w:p w:rsidR="009907D5" w:rsidRDefault="009907D5" w:rsidP="00562093">
      <w:pPr>
        <w:pStyle w:val="NormalWeb"/>
        <w:spacing w:before="0" w:beforeAutospacing="0" w:after="0" w:afterAutospacing="0"/>
        <w:jc w:val="center"/>
        <w:rPr>
          <w:b/>
        </w:rPr>
      </w:pPr>
      <w:r>
        <w:rPr>
          <w:b/>
        </w:rPr>
        <w:t>ANNUAL RESPONDENT BURDEN/COST ESTIMATES FOR EMISSIONS MONITORING</w:t>
      </w:r>
    </w:p>
    <w:p w:rsidR="004F173D" w:rsidRDefault="004F173D" w:rsidP="00562093">
      <w:pPr>
        <w:pStyle w:val="NormalWeb"/>
        <w:spacing w:before="0" w:beforeAutospacing="0" w:after="0" w:afterAutospacing="0"/>
        <w:jc w:val="center"/>
        <w:rPr>
          <w:b/>
        </w:rPr>
      </w:pPr>
    </w:p>
    <w:tbl>
      <w:tblPr>
        <w:tblW w:w="14400" w:type="dxa"/>
        <w:jc w:val="center"/>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Layout w:type="fixed"/>
        <w:tblCellMar>
          <w:top w:w="72" w:type="dxa"/>
          <w:left w:w="72" w:type="dxa"/>
          <w:bottom w:w="43" w:type="dxa"/>
          <w:right w:w="72" w:type="dxa"/>
        </w:tblCellMar>
        <w:tblLook w:val="0000"/>
      </w:tblPr>
      <w:tblGrid>
        <w:gridCol w:w="7175"/>
        <w:gridCol w:w="542"/>
        <w:gridCol w:w="542"/>
        <w:gridCol w:w="547"/>
        <w:gridCol w:w="812"/>
        <w:gridCol w:w="809"/>
        <w:gridCol w:w="901"/>
        <w:gridCol w:w="809"/>
        <w:gridCol w:w="999"/>
        <w:gridCol w:w="1264"/>
      </w:tblGrid>
      <w:tr w:rsidR="000B2130" w:rsidRPr="00A55501" w:rsidTr="005F2634">
        <w:trPr>
          <w:cantSplit/>
          <w:trHeight w:val="1206"/>
          <w:jc w:val="center"/>
        </w:trPr>
        <w:tc>
          <w:tcPr>
            <w:tcW w:w="2491" w:type="pct"/>
            <w:shd w:val="pct10" w:color="auto" w:fill="auto"/>
            <w:vAlign w:val="bottom"/>
          </w:tcPr>
          <w:p w:rsidR="00D06A4F" w:rsidRDefault="00A55501" w:rsidP="00795AC3">
            <w:pPr>
              <w:widowControl/>
              <w:jc w:val="center"/>
              <w:rPr>
                <w:b/>
                <w:bCs/>
              </w:rPr>
            </w:pPr>
            <w:bookmarkStart w:id="0" w:name="RANGE!A1:J22"/>
            <w:r w:rsidRPr="00A55501">
              <w:rPr>
                <w:b/>
                <w:bCs/>
              </w:rPr>
              <w:t xml:space="preserve">INFORMATION </w:t>
            </w:r>
          </w:p>
          <w:p w:rsidR="00A55501" w:rsidRPr="00A55501" w:rsidRDefault="00A55501" w:rsidP="00795AC3">
            <w:pPr>
              <w:widowControl/>
              <w:jc w:val="center"/>
              <w:rPr>
                <w:b/>
                <w:bCs/>
              </w:rPr>
            </w:pPr>
            <w:r w:rsidRPr="00A55501">
              <w:rPr>
                <w:b/>
                <w:bCs/>
              </w:rPr>
              <w:t>COLLECTION ACTIVITY</w:t>
            </w:r>
            <w:bookmarkEnd w:id="0"/>
          </w:p>
        </w:tc>
        <w:tc>
          <w:tcPr>
            <w:tcW w:w="188" w:type="pct"/>
            <w:shd w:val="pct10" w:color="auto" w:fill="auto"/>
            <w:textDirection w:val="btLr"/>
            <w:vAlign w:val="center"/>
          </w:tcPr>
          <w:p w:rsidR="00A55501" w:rsidRPr="00A55501" w:rsidRDefault="00A55501" w:rsidP="00AE0E7F">
            <w:pPr>
              <w:widowControl/>
              <w:rPr>
                <w:b/>
                <w:bCs/>
              </w:rPr>
            </w:pPr>
            <w:r w:rsidRPr="00A55501">
              <w:rPr>
                <w:b/>
                <w:bCs/>
              </w:rPr>
              <w:t>Mgr</w:t>
            </w:r>
            <w:r w:rsidR="00562093">
              <w:rPr>
                <w:b/>
                <w:bCs/>
              </w:rPr>
              <w:t xml:space="preserve">. </w:t>
            </w:r>
            <w:r w:rsidR="00415AC3">
              <w:rPr>
                <w:b/>
                <w:bCs/>
              </w:rPr>
              <w:t>$</w:t>
            </w:r>
            <w:r w:rsidR="00A474FF">
              <w:rPr>
                <w:b/>
                <w:bCs/>
              </w:rPr>
              <w:t>102.71</w:t>
            </w:r>
            <w:r w:rsidR="00415AC3">
              <w:rPr>
                <w:b/>
                <w:bCs/>
              </w:rPr>
              <w:t>/Hou</w:t>
            </w:r>
            <w:r w:rsidRPr="00A55501">
              <w:rPr>
                <w:b/>
                <w:bCs/>
              </w:rPr>
              <w:t>r</w:t>
            </w:r>
          </w:p>
        </w:tc>
        <w:tc>
          <w:tcPr>
            <w:tcW w:w="188" w:type="pct"/>
            <w:shd w:val="pct10" w:color="auto" w:fill="auto"/>
            <w:textDirection w:val="btLr"/>
            <w:vAlign w:val="center"/>
          </w:tcPr>
          <w:p w:rsidR="00A55501" w:rsidRPr="00A55501" w:rsidRDefault="00A55501" w:rsidP="00590400">
            <w:pPr>
              <w:pStyle w:val="NormalWeb"/>
              <w:spacing w:before="0" w:beforeAutospacing="0" w:after="0" w:afterAutospacing="0"/>
              <w:rPr>
                <w:b/>
                <w:bCs/>
                <w:sz w:val="20"/>
                <w:szCs w:val="20"/>
              </w:rPr>
            </w:pPr>
            <w:r w:rsidRPr="00A55501">
              <w:rPr>
                <w:b/>
                <w:bCs/>
                <w:sz w:val="20"/>
                <w:szCs w:val="20"/>
              </w:rPr>
              <w:t>Tech</w:t>
            </w:r>
            <w:r w:rsidR="00562093">
              <w:rPr>
                <w:b/>
                <w:bCs/>
                <w:sz w:val="20"/>
                <w:szCs w:val="20"/>
              </w:rPr>
              <w:t xml:space="preserve">. </w:t>
            </w:r>
            <w:r w:rsidR="00415AC3">
              <w:rPr>
                <w:b/>
                <w:bCs/>
                <w:sz w:val="20"/>
                <w:szCs w:val="20"/>
              </w:rPr>
              <w:t>$6</w:t>
            </w:r>
            <w:r w:rsidR="00A474FF">
              <w:rPr>
                <w:b/>
                <w:bCs/>
                <w:sz w:val="20"/>
                <w:szCs w:val="20"/>
              </w:rPr>
              <w:t>6</w:t>
            </w:r>
            <w:r w:rsidR="00415AC3">
              <w:rPr>
                <w:b/>
                <w:bCs/>
                <w:sz w:val="20"/>
                <w:szCs w:val="20"/>
              </w:rPr>
              <w:t>.</w:t>
            </w:r>
            <w:r w:rsidR="00A474FF">
              <w:rPr>
                <w:b/>
                <w:bCs/>
                <w:sz w:val="20"/>
                <w:szCs w:val="20"/>
              </w:rPr>
              <w:t>03</w:t>
            </w:r>
            <w:r w:rsidR="00415AC3">
              <w:rPr>
                <w:b/>
                <w:bCs/>
                <w:sz w:val="20"/>
                <w:szCs w:val="20"/>
              </w:rPr>
              <w:t>/Hou</w:t>
            </w:r>
            <w:r w:rsidRPr="00A55501">
              <w:rPr>
                <w:b/>
                <w:bCs/>
                <w:sz w:val="20"/>
                <w:szCs w:val="20"/>
              </w:rPr>
              <w:t>r</w:t>
            </w:r>
          </w:p>
        </w:tc>
        <w:tc>
          <w:tcPr>
            <w:tcW w:w="190" w:type="pct"/>
            <w:shd w:val="pct10" w:color="auto" w:fill="auto"/>
            <w:textDirection w:val="btLr"/>
            <w:vAlign w:val="center"/>
          </w:tcPr>
          <w:p w:rsidR="00A55501" w:rsidRPr="00A55501" w:rsidRDefault="00415AC3" w:rsidP="00F67757">
            <w:pPr>
              <w:widowControl/>
              <w:rPr>
                <w:b/>
                <w:bCs/>
              </w:rPr>
            </w:pPr>
            <w:r>
              <w:rPr>
                <w:b/>
                <w:bCs/>
              </w:rPr>
              <w:t>Respondent Hours/Yea</w:t>
            </w:r>
            <w:r w:rsidR="00A55501" w:rsidRPr="00A55501">
              <w:rPr>
                <w:b/>
                <w:bCs/>
              </w:rPr>
              <w:t>r</w:t>
            </w:r>
          </w:p>
        </w:tc>
        <w:tc>
          <w:tcPr>
            <w:tcW w:w="282" w:type="pct"/>
            <w:shd w:val="pct10" w:color="auto" w:fill="auto"/>
            <w:textDirection w:val="btLr"/>
            <w:vAlign w:val="center"/>
          </w:tcPr>
          <w:p w:rsidR="00A55501" w:rsidRPr="00A55501" w:rsidRDefault="00A55501" w:rsidP="00F67757">
            <w:pPr>
              <w:widowControl/>
              <w:rPr>
                <w:b/>
                <w:bCs/>
              </w:rPr>
            </w:pPr>
            <w:r w:rsidRPr="00A55501">
              <w:rPr>
                <w:b/>
                <w:bCs/>
              </w:rPr>
              <w:t>Labor Cost/Year</w:t>
            </w:r>
          </w:p>
        </w:tc>
        <w:tc>
          <w:tcPr>
            <w:tcW w:w="281" w:type="pct"/>
            <w:shd w:val="pct10" w:color="auto" w:fill="auto"/>
            <w:textDirection w:val="btLr"/>
            <w:vAlign w:val="center"/>
          </w:tcPr>
          <w:p w:rsidR="00A55501" w:rsidRPr="00A55501" w:rsidRDefault="00415AC3" w:rsidP="00F67757">
            <w:pPr>
              <w:widowControl/>
              <w:rPr>
                <w:b/>
                <w:bCs/>
              </w:rPr>
            </w:pPr>
            <w:r>
              <w:rPr>
                <w:b/>
                <w:bCs/>
              </w:rPr>
              <w:t>Cont./</w:t>
            </w:r>
            <w:r w:rsidR="00A55501" w:rsidRPr="00A55501">
              <w:rPr>
                <w:b/>
                <w:bCs/>
              </w:rPr>
              <w:t>O&amp;M Cost</w:t>
            </w:r>
          </w:p>
        </w:tc>
        <w:tc>
          <w:tcPr>
            <w:tcW w:w="313" w:type="pct"/>
            <w:shd w:val="pct10" w:color="auto" w:fill="auto"/>
            <w:textDirection w:val="btLr"/>
            <w:vAlign w:val="center"/>
          </w:tcPr>
          <w:p w:rsidR="00A55501" w:rsidRPr="00A55501" w:rsidRDefault="00415AC3" w:rsidP="00F67757">
            <w:pPr>
              <w:widowControl/>
              <w:rPr>
                <w:b/>
                <w:bCs/>
              </w:rPr>
            </w:pPr>
            <w:r>
              <w:rPr>
                <w:b/>
                <w:bCs/>
              </w:rPr>
              <w:t>Capital/</w:t>
            </w:r>
            <w:r w:rsidR="00A55501" w:rsidRPr="00A55501">
              <w:rPr>
                <w:b/>
                <w:bCs/>
              </w:rPr>
              <w:t>Start</w:t>
            </w:r>
            <w:r w:rsidR="005F2634">
              <w:rPr>
                <w:b/>
                <w:bCs/>
              </w:rPr>
              <w:t>-</w:t>
            </w:r>
            <w:r w:rsidR="00A55501" w:rsidRPr="00A55501">
              <w:rPr>
                <w:b/>
                <w:bCs/>
              </w:rPr>
              <w:t>up Cost</w:t>
            </w:r>
          </w:p>
        </w:tc>
        <w:tc>
          <w:tcPr>
            <w:tcW w:w="281" w:type="pct"/>
            <w:shd w:val="pct10" w:color="auto" w:fill="auto"/>
            <w:textDirection w:val="btLr"/>
            <w:vAlign w:val="center"/>
          </w:tcPr>
          <w:p w:rsidR="00A55501" w:rsidRPr="00A55501" w:rsidRDefault="00A55501" w:rsidP="00F67757">
            <w:pPr>
              <w:widowControl/>
              <w:rPr>
                <w:b/>
                <w:bCs/>
              </w:rPr>
            </w:pPr>
            <w:r w:rsidRPr="00A55501">
              <w:rPr>
                <w:b/>
                <w:bCs/>
              </w:rPr>
              <w:t>No</w:t>
            </w:r>
            <w:r w:rsidR="00415AC3">
              <w:rPr>
                <w:b/>
                <w:bCs/>
              </w:rPr>
              <w:t xml:space="preserve">. </w:t>
            </w:r>
            <w:r w:rsidRPr="00A55501">
              <w:rPr>
                <w:b/>
                <w:bCs/>
              </w:rPr>
              <w:t>of Respondents</w:t>
            </w:r>
          </w:p>
        </w:tc>
        <w:tc>
          <w:tcPr>
            <w:tcW w:w="347" w:type="pct"/>
            <w:shd w:val="pct10" w:color="auto" w:fill="auto"/>
            <w:textDirection w:val="btLr"/>
            <w:vAlign w:val="center"/>
          </w:tcPr>
          <w:p w:rsidR="00A55501" w:rsidRPr="00A55501" w:rsidRDefault="00A55501" w:rsidP="00F67757">
            <w:pPr>
              <w:widowControl/>
              <w:rPr>
                <w:b/>
                <w:bCs/>
              </w:rPr>
            </w:pPr>
            <w:r w:rsidRPr="00A55501">
              <w:rPr>
                <w:b/>
                <w:bCs/>
              </w:rPr>
              <w:t>Total Hours/Year</w:t>
            </w:r>
          </w:p>
        </w:tc>
        <w:tc>
          <w:tcPr>
            <w:tcW w:w="439" w:type="pct"/>
            <w:shd w:val="pct10" w:color="auto" w:fill="auto"/>
            <w:textDirection w:val="btLr"/>
            <w:vAlign w:val="center"/>
          </w:tcPr>
          <w:p w:rsidR="00A55501" w:rsidRPr="00A55501" w:rsidRDefault="00A55501" w:rsidP="00F67757">
            <w:pPr>
              <w:widowControl/>
              <w:rPr>
                <w:b/>
                <w:bCs/>
              </w:rPr>
            </w:pPr>
            <w:r w:rsidRPr="00A55501">
              <w:rPr>
                <w:b/>
                <w:bCs/>
              </w:rPr>
              <w:t>Total Cost/Year</w:t>
            </w:r>
          </w:p>
        </w:tc>
      </w:tr>
      <w:tr w:rsidR="000B2130" w:rsidRPr="00A55501" w:rsidTr="005F2634">
        <w:trPr>
          <w:jc w:val="center"/>
        </w:trPr>
        <w:tc>
          <w:tcPr>
            <w:tcW w:w="2491" w:type="pct"/>
          </w:tcPr>
          <w:p w:rsidR="00A55501" w:rsidRPr="00795AC3" w:rsidRDefault="00A55501" w:rsidP="00D06A4F">
            <w:pPr>
              <w:widowControl/>
              <w:rPr>
                <w:bCs/>
              </w:rPr>
            </w:pPr>
            <w:r w:rsidRPr="00795AC3">
              <w:rPr>
                <w:bCs/>
              </w:rPr>
              <w:t>1</w:t>
            </w:r>
            <w:r w:rsidR="00562093" w:rsidRPr="00795AC3">
              <w:rPr>
                <w:bCs/>
              </w:rPr>
              <w:t xml:space="preserve">.  </w:t>
            </w:r>
            <w:r w:rsidRPr="00795AC3">
              <w:rPr>
                <w:bCs/>
              </w:rPr>
              <w:t>Review Instructions and Requirements</w:t>
            </w:r>
            <w:r w:rsidR="002B568B">
              <w:rPr>
                <w:bCs/>
              </w:rPr>
              <w:t>.</w:t>
            </w:r>
          </w:p>
        </w:tc>
        <w:tc>
          <w:tcPr>
            <w:tcW w:w="188" w:type="pct"/>
            <w:vAlign w:val="center"/>
          </w:tcPr>
          <w:p w:rsidR="00A55501" w:rsidRPr="00795AC3" w:rsidRDefault="00A55501" w:rsidP="00562093">
            <w:pPr>
              <w:widowControl/>
              <w:jc w:val="center"/>
              <w:rPr>
                <w:bCs/>
              </w:rPr>
            </w:pPr>
            <w:r w:rsidRPr="00795AC3">
              <w:rPr>
                <w:bCs/>
              </w:rPr>
              <w:t xml:space="preserve">4 </w:t>
            </w:r>
          </w:p>
        </w:tc>
        <w:tc>
          <w:tcPr>
            <w:tcW w:w="188" w:type="pct"/>
            <w:vAlign w:val="center"/>
          </w:tcPr>
          <w:p w:rsidR="00A55501" w:rsidRPr="00795AC3" w:rsidRDefault="00A55501" w:rsidP="00562093">
            <w:pPr>
              <w:pStyle w:val="NormalWeb"/>
              <w:spacing w:before="0" w:beforeAutospacing="0" w:after="0" w:afterAutospacing="0"/>
              <w:jc w:val="center"/>
              <w:rPr>
                <w:bCs/>
                <w:sz w:val="20"/>
                <w:szCs w:val="20"/>
              </w:rPr>
            </w:pPr>
            <w:r w:rsidRPr="00795AC3">
              <w:rPr>
                <w:bCs/>
                <w:sz w:val="20"/>
                <w:szCs w:val="20"/>
              </w:rPr>
              <w:t xml:space="preserve">4 </w:t>
            </w:r>
          </w:p>
        </w:tc>
        <w:tc>
          <w:tcPr>
            <w:tcW w:w="190" w:type="pct"/>
            <w:vAlign w:val="center"/>
          </w:tcPr>
          <w:p w:rsidR="00A55501" w:rsidRPr="00795AC3" w:rsidRDefault="00A55501" w:rsidP="00562093">
            <w:pPr>
              <w:widowControl/>
              <w:jc w:val="center"/>
              <w:rPr>
                <w:bCs/>
              </w:rPr>
            </w:pPr>
            <w:r w:rsidRPr="00795AC3">
              <w:rPr>
                <w:bCs/>
              </w:rPr>
              <w:t xml:space="preserve">8 </w:t>
            </w:r>
          </w:p>
        </w:tc>
        <w:tc>
          <w:tcPr>
            <w:tcW w:w="282" w:type="pct"/>
            <w:vAlign w:val="center"/>
          </w:tcPr>
          <w:p w:rsidR="00A55501" w:rsidRPr="00795AC3" w:rsidRDefault="00D06A4F" w:rsidP="00AE0E7F">
            <w:pPr>
              <w:widowControl/>
              <w:jc w:val="center"/>
              <w:rPr>
                <w:bCs/>
              </w:rPr>
            </w:pPr>
            <w:r>
              <w:rPr>
                <w:bCs/>
              </w:rPr>
              <w:t>$</w:t>
            </w:r>
            <w:r w:rsidR="00A474FF">
              <w:rPr>
                <w:bCs/>
              </w:rPr>
              <w:t>673</w:t>
            </w:r>
            <w:r w:rsidR="00A474FF" w:rsidRPr="00795AC3">
              <w:rPr>
                <w:bCs/>
              </w:rPr>
              <w:t xml:space="preserve"> </w:t>
            </w:r>
          </w:p>
        </w:tc>
        <w:tc>
          <w:tcPr>
            <w:tcW w:w="281" w:type="pct"/>
            <w:vAlign w:val="center"/>
          </w:tcPr>
          <w:p w:rsidR="00A55501" w:rsidRPr="00795AC3" w:rsidRDefault="003217E3" w:rsidP="003217E3">
            <w:pPr>
              <w:widowControl/>
              <w:tabs>
                <w:tab w:val="right" w:pos="545"/>
              </w:tabs>
              <w:rPr>
                <w:bCs/>
              </w:rPr>
            </w:pPr>
            <w:r>
              <w:rPr>
                <w:bCs/>
              </w:rPr>
              <w:t>$</w:t>
            </w:r>
            <w:r>
              <w:rPr>
                <w:bCs/>
              </w:rPr>
              <w:tab/>
            </w:r>
            <w:r w:rsidR="002B1959">
              <w:rPr>
                <w:bCs/>
              </w:rPr>
              <w:t>-</w:t>
            </w:r>
          </w:p>
        </w:tc>
        <w:tc>
          <w:tcPr>
            <w:tcW w:w="313" w:type="pct"/>
            <w:vAlign w:val="center"/>
          </w:tcPr>
          <w:p w:rsidR="00A55501" w:rsidRPr="00795AC3" w:rsidRDefault="00A55501" w:rsidP="004A7BCE">
            <w:pPr>
              <w:widowControl/>
              <w:tabs>
                <w:tab w:val="right" w:pos="621"/>
                <w:tab w:val="right" w:pos="648"/>
              </w:tabs>
              <w:rPr>
                <w:bCs/>
              </w:rPr>
            </w:pPr>
            <w:r w:rsidRPr="00795AC3">
              <w:rPr>
                <w:bCs/>
              </w:rPr>
              <w:t>$</w:t>
            </w:r>
            <w:r w:rsidR="002B1959">
              <w:rPr>
                <w:bCs/>
              </w:rPr>
              <w:tab/>
            </w:r>
            <w:r w:rsidRPr="00795AC3">
              <w:rPr>
                <w:bCs/>
              </w:rPr>
              <w:t>-</w:t>
            </w:r>
          </w:p>
        </w:tc>
        <w:tc>
          <w:tcPr>
            <w:tcW w:w="281" w:type="pct"/>
            <w:vAlign w:val="center"/>
          </w:tcPr>
          <w:p w:rsidR="00A55501" w:rsidRPr="00795AC3" w:rsidRDefault="00A55501" w:rsidP="00AE0E7F">
            <w:pPr>
              <w:widowControl/>
              <w:jc w:val="center"/>
              <w:rPr>
                <w:bCs/>
              </w:rPr>
            </w:pPr>
            <w:r w:rsidRPr="00795AC3">
              <w:rPr>
                <w:bCs/>
              </w:rPr>
              <w:t>1,</w:t>
            </w:r>
            <w:r w:rsidR="00A474FF">
              <w:rPr>
                <w:bCs/>
              </w:rPr>
              <w:t>234</w:t>
            </w:r>
            <w:r w:rsidR="00A474FF" w:rsidRPr="00795AC3">
              <w:rPr>
                <w:bCs/>
              </w:rPr>
              <w:t xml:space="preserve"> </w:t>
            </w:r>
          </w:p>
        </w:tc>
        <w:tc>
          <w:tcPr>
            <w:tcW w:w="347" w:type="pct"/>
            <w:vAlign w:val="center"/>
          </w:tcPr>
          <w:p w:rsidR="00A55501" w:rsidRPr="00795AC3" w:rsidRDefault="00A55501" w:rsidP="00590400">
            <w:pPr>
              <w:widowControl/>
              <w:jc w:val="center"/>
              <w:rPr>
                <w:bCs/>
              </w:rPr>
            </w:pPr>
            <w:r w:rsidRPr="00795AC3">
              <w:rPr>
                <w:bCs/>
              </w:rPr>
              <w:t>9,</w:t>
            </w:r>
            <w:r w:rsidR="00A474FF">
              <w:rPr>
                <w:bCs/>
              </w:rPr>
              <w:t>872</w:t>
            </w:r>
            <w:r w:rsidR="00A474FF" w:rsidRPr="00795AC3">
              <w:rPr>
                <w:bCs/>
              </w:rPr>
              <w:t xml:space="preserve"> </w:t>
            </w:r>
          </w:p>
        </w:tc>
        <w:tc>
          <w:tcPr>
            <w:tcW w:w="439" w:type="pct"/>
            <w:vAlign w:val="center"/>
          </w:tcPr>
          <w:p w:rsidR="00A55501" w:rsidRPr="00795AC3" w:rsidRDefault="00D06A4F" w:rsidP="007F15F7">
            <w:pPr>
              <w:widowControl/>
              <w:jc w:val="center"/>
              <w:rPr>
                <w:bCs/>
              </w:rPr>
            </w:pPr>
            <w:r>
              <w:rPr>
                <w:bCs/>
              </w:rPr>
              <w:t>$</w:t>
            </w:r>
            <w:r w:rsidR="00A474FF">
              <w:rPr>
                <w:bCs/>
              </w:rPr>
              <w:t>830,235</w:t>
            </w:r>
          </w:p>
        </w:tc>
      </w:tr>
      <w:tr w:rsidR="000B2130" w:rsidRPr="00A55501" w:rsidTr="00257605">
        <w:trPr>
          <w:jc w:val="center"/>
        </w:trPr>
        <w:tc>
          <w:tcPr>
            <w:tcW w:w="2491" w:type="pct"/>
          </w:tcPr>
          <w:p w:rsidR="00A55501" w:rsidRPr="00795AC3" w:rsidRDefault="00A55501" w:rsidP="00D06A4F">
            <w:pPr>
              <w:widowControl/>
              <w:rPr>
                <w:bCs/>
              </w:rPr>
            </w:pPr>
            <w:r w:rsidRPr="00795AC3">
              <w:rPr>
                <w:bCs/>
              </w:rPr>
              <w:t>2</w:t>
            </w:r>
            <w:r w:rsidR="00562093" w:rsidRPr="00795AC3">
              <w:rPr>
                <w:bCs/>
              </w:rPr>
              <w:t xml:space="preserve">.  </w:t>
            </w:r>
            <w:r w:rsidRPr="00795AC3">
              <w:rPr>
                <w:bCs/>
              </w:rPr>
              <w:t xml:space="preserve">Respond to EPA Generated Error Messages, </w:t>
            </w:r>
            <w:r w:rsidR="00F46B7D">
              <w:rPr>
                <w:bCs/>
              </w:rPr>
              <w:t>EPA</w:t>
            </w:r>
            <w:r w:rsidR="00664DA6">
              <w:rPr>
                <w:bCs/>
              </w:rPr>
              <w:t>, and Permitting Authority</w:t>
            </w:r>
            <w:r w:rsidR="00F46B7D">
              <w:rPr>
                <w:bCs/>
              </w:rPr>
              <w:t xml:space="preserve"> </w:t>
            </w:r>
            <w:r w:rsidRPr="00795AC3">
              <w:rPr>
                <w:bCs/>
              </w:rPr>
              <w:t>Field Audits</w:t>
            </w:r>
            <w:r w:rsidR="002B568B">
              <w:rPr>
                <w:bCs/>
              </w:rPr>
              <w:t>.</w:t>
            </w:r>
          </w:p>
        </w:tc>
        <w:tc>
          <w:tcPr>
            <w:tcW w:w="188" w:type="pct"/>
            <w:vAlign w:val="center"/>
          </w:tcPr>
          <w:p w:rsidR="00A55501" w:rsidRPr="00795AC3" w:rsidRDefault="00A55501" w:rsidP="00562093">
            <w:pPr>
              <w:widowControl/>
              <w:jc w:val="center"/>
              <w:rPr>
                <w:bCs/>
              </w:rPr>
            </w:pPr>
            <w:r w:rsidRPr="00795AC3">
              <w:rPr>
                <w:bCs/>
              </w:rPr>
              <w:t xml:space="preserve">6 </w:t>
            </w:r>
          </w:p>
        </w:tc>
        <w:tc>
          <w:tcPr>
            <w:tcW w:w="188" w:type="pct"/>
            <w:vAlign w:val="center"/>
          </w:tcPr>
          <w:p w:rsidR="00A55501" w:rsidRPr="00795AC3" w:rsidRDefault="00A55501" w:rsidP="00562093">
            <w:pPr>
              <w:pStyle w:val="NormalWeb"/>
              <w:spacing w:before="0" w:beforeAutospacing="0" w:after="0" w:afterAutospacing="0"/>
              <w:jc w:val="center"/>
              <w:rPr>
                <w:bCs/>
                <w:sz w:val="20"/>
                <w:szCs w:val="20"/>
              </w:rPr>
            </w:pPr>
            <w:r w:rsidRPr="00795AC3">
              <w:rPr>
                <w:bCs/>
                <w:sz w:val="20"/>
                <w:szCs w:val="20"/>
              </w:rPr>
              <w:t xml:space="preserve">18 </w:t>
            </w:r>
          </w:p>
        </w:tc>
        <w:tc>
          <w:tcPr>
            <w:tcW w:w="190" w:type="pct"/>
            <w:vAlign w:val="center"/>
          </w:tcPr>
          <w:p w:rsidR="00A55501" w:rsidRPr="00795AC3" w:rsidRDefault="00A55501" w:rsidP="00562093">
            <w:pPr>
              <w:widowControl/>
              <w:jc w:val="center"/>
              <w:rPr>
                <w:bCs/>
              </w:rPr>
            </w:pPr>
            <w:r w:rsidRPr="00795AC3">
              <w:rPr>
                <w:bCs/>
              </w:rPr>
              <w:t xml:space="preserve">24 </w:t>
            </w:r>
          </w:p>
        </w:tc>
        <w:tc>
          <w:tcPr>
            <w:tcW w:w="282" w:type="pct"/>
            <w:vAlign w:val="center"/>
          </w:tcPr>
          <w:p w:rsidR="00A55501" w:rsidRPr="00795AC3" w:rsidRDefault="00A55501" w:rsidP="00AE0E7F">
            <w:pPr>
              <w:widowControl/>
              <w:jc w:val="center"/>
              <w:rPr>
                <w:bCs/>
              </w:rPr>
            </w:pPr>
            <w:r w:rsidRPr="00795AC3">
              <w:rPr>
                <w:bCs/>
              </w:rPr>
              <w:t>$</w:t>
            </w:r>
            <w:r w:rsidR="00A474FF">
              <w:rPr>
                <w:bCs/>
              </w:rPr>
              <w:t>1,802</w:t>
            </w:r>
            <w:r w:rsidRPr="00795AC3">
              <w:rPr>
                <w:bCs/>
              </w:rPr>
              <w:t xml:space="preserve"> </w:t>
            </w:r>
          </w:p>
        </w:tc>
        <w:tc>
          <w:tcPr>
            <w:tcW w:w="281" w:type="pct"/>
            <w:vAlign w:val="center"/>
          </w:tcPr>
          <w:p w:rsidR="00A55501" w:rsidRPr="00795AC3" w:rsidRDefault="00A55501" w:rsidP="002B1959">
            <w:pPr>
              <w:widowControl/>
              <w:tabs>
                <w:tab w:val="right" w:pos="545"/>
              </w:tabs>
              <w:rPr>
                <w:bCs/>
              </w:rPr>
            </w:pPr>
            <w:r w:rsidRPr="00795AC3">
              <w:rPr>
                <w:bCs/>
              </w:rPr>
              <w:t>$</w:t>
            </w:r>
            <w:r w:rsidR="002B1959">
              <w:rPr>
                <w:bCs/>
              </w:rPr>
              <w:tab/>
            </w:r>
            <w:r w:rsidRPr="00795AC3">
              <w:rPr>
                <w:bCs/>
              </w:rPr>
              <w:t>-</w:t>
            </w:r>
          </w:p>
        </w:tc>
        <w:tc>
          <w:tcPr>
            <w:tcW w:w="313" w:type="pct"/>
            <w:vAlign w:val="center"/>
          </w:tcPr>
          <w:p w:rsidR="00A55501" w:rsidRPr="00795AC3" w:rsidRDefault="00D06A4F" w:rsidP="004A7BCE">
            <w:pPr>
              <w:widowControl/>
              <w:tabs>
                <w:tab w:val="right" w:pos="621"/>
                <w:tab w:val="right" w:pos="648"/>
              </w:tabs>
              <w:rPr>
                <w:bCs/>
              </w:rPr>
            </w:pPr>
            <w:r>
              <w:rPr>
                <w:bCs/>
              </w:rPr>
              <w:t>$</w:t>
            </w:r>
            <w:r w:rsidR="002B1959">
              <w:rPr>
                <w:bCs/>
              </w:rPr>
              <w:tab/>
            </w:r>
            <w:r w:rsidR="00A55501" w:rsidRPr="00795AC3">
              <w:rPr>
                <w:bCs/>
              </w:rPr>
              <w:t>-</w:t>
            </w:r>
          </w:p>
        </w:tc>
        <w:tc>
          <w:tcPr>
            <w:tcW w:w="281" w:type="pct"/>
            <w:vAlign w:val="center"/>
          </w:tcPr>
          <w:p w:rsidR="00A55501" w:rsidRPr="00795AC3" w:rsidRDefault="00A55501" w:rsidP="00AE0E7F">
            <w:pPr>
              <w:widowControl/>
              <w:jc w:val="center"/>
              <w:rPr>
                <w:bCs/>
              </w:rPr>
            </w:pPr>
            <w:r w:rsidRPr="00795AC3">
              <w:rPr>
                <w:bCs/>
              </w:rPr>
              <w:t>3,</w:t>
            </w:r>
            <w:r w:rsidR="00A474FF">
              <w:rPr>
                <w:bCs/>
              </w:rPr>
              <w:t>471</w:t>
            </w:r>
            <w:r w:rsidR="00A474FF" w:rsidRPr="00795AC3">
              <w:rPr>
                <w:bCs/>
              </w:rPr>
              <w:t xml:space="preserve"> </w:t>
            </w:r>
          </w:p>
        </w:tc>
        <w:tc>
          <w:tcPr>
            <w:tcW w:w="347" w:type="pct"/>
            <w:vAlign w:val="center"/>
          </w:tcPr>
          <w:p w:rsidR="00A55501" w:rsidRPr="00795AC3" w:rsidRDefault="00A474FF" w:rsidP="00562093">
            <w:pPr>
              <w:widowControl/>
              <w:jc w:val="center"/>
              <w:rPr>
                <w:bCs/>
              </w:rPr>
            </w:pPr>
            <w:r>
              <w:rPr>
                <w:bCs/>
              </w:rPr>
              <w:t>83,304</w:t>
            </w:r>
            <w:r w:rsidR="00A55501" w:rsidRPr="00795AC3">
              <w:rPr>
                <w:bCs/>
              </w:rPr>
              <w:t xml:space="preserve"> </w:t>
            </w:r>
          </w:p>
        </w:tc>
        <w:tc>
          <w:tcPr>
            <w:tcW w:w="439" w:type="pct"/>
            <w:vAlign w:val="center"/>
          </w:tcPr>
          <w:p w:rsidR="00A55501" w:rsidRPr="00795AC3" w:rsidRDefault="00D06A4F" w:rsidP="00AE0E7F">
            <w:pPr>
              <w:widowControl/>
              <w:jc w:val="center"/>
              <w:rPr>
                <w:bCs/>
              </w:rPr>
            </w:pPr>
            <w:r>
              <w:rPr>
                <w:bCs/>
              </w:rPr>
              <w:t>$</w:t>
            </w:r>
            <w:r w:rsidR="00F67757">
              <w:rPr>
                <w:bCs/>
              </w:rPr>
              <w:t>6,</w:t>
            </w:r>
            <w:r w:rsidR="00A474FF">
              <w:rPr>
                <w:bCs/>
              </w:rPr>
              <w:t>253,215</w:t>
            </w:r>
          </w:p>
        </w:tc>
      </w:tr>
      <w:tr w:rsidR="000B2130" w:rsidRPr="00A55501" w:rsidTr="005F2634">
        <w:trPr>
          <w:jc w:val="center"/>
        </w:trPr>
        <w:tc>
          <w:tcPr>
            <w:tcW w:w="2491" w:type="pct"/>
          </w:tcPr>
          <w:p w:rsidR="00A55501" w:rsidRPr="00795AC3" w:rsidRDefault="00A55501" w:rsidP="00D06A4F">
            <w:pPr>
              <w:widowControl/>
              <w:rPr>
                <w:bCs/>
              </w:rPr>
            </w:pPr>
            <w:r w:rsidRPr="00795AC3">
              <w:rPr>
                <w:bCs/>
              </w:rPr>
              <w:t>3a</w:t>
            </w:r>
            <w:r w:rsidR="00562093" w:rsidRPr="00795AC3">
              <w:rPr>
                <w:bCs/>
              </w:rPr>
              <w:t xml:space="preserve">.  </w:t>
            </w:r>
            <w:r w:rsidRPr="00795AC3">
              <w:rPr>
                <w:bCs/>
              </w:rPr>
              <w:t>DAHS Upgrade</w:t>
            </w:r>
            <w:r w:rsidR="002B568B">
              <w:rPr>
                <w:bCs/>
              </w:rPr>
              <w:t>.</w:t>
            </w:r>
          </w:p>
        </w:tc>
        <w:tc>
          <w:tcPr>
            <w:tcW w:w="188" w:type="pct"/>
            <w:vAlign w:val="center"/>
          </w:tcPr>
          <w:p w:rsidR="00A55501" w:rsidRPr="00795AC3" w:rsidRDefault="00A55501" w:rsidP="00562093">
            <w:pPr>
              <w:widowControl/>
              <w:jc w:val="center"/>
              <w:rPr>
                <w:bCs/>
              </w:rPr>
            </w:pPr>
          </w:p>
        </w:tc>
        <w:tc>
          <w:tcPr>
            <w:tcW w:w="188" w:type="pct"/>
            <w:vAlign w:val="center"/>
          </w:tcPr>
          <w:p w:rsidR="00A55501" w:rsidRPr="00795AC3" w:rsidRDefault="00A55501" w:rsidP="00562093">
            <w:pPr>
              <w:pStyle w:val="NormalWeb"/>
              <w:spacing w:before="0" w:beforeAutospacing="0" w:after="0" w:afterAutospacing="0"/>
              <w:jc w:val="center"/>
              <w:rPr>
                <w:bCs/>
                <w:sz w:val="20"/>
                <w:szCs w:val="20"/>
              </w:rPr>
            </w:pPr>
          </w:p>
        </w:tc>
        <w:tc>
          <w:tcPr>
            <w:tcW w:w="190" w:type="pct"/>
            <w:vAlign w:val="center"/>
          </w:tcPr>
          <w:p w:rsidR="00A55501" w:rsidRPr="00795AC3" w:rsidRDefault="00A55501" w:rsidP="00562093">
            <w:pPr>
              <w:widowControl/>
              <w:jc w:val="center"/>
              <w:rPr>
                <w:bCs/>
              </w:rPr>
            </w:pPr>
          </w:p>
        </w:tc>
        <w:tc>
          <w:tcPr>
            <w:tcW w:w="282" w:type="pct"/>
            <w:vAlign w:val="center"/>
          </w:tcPr>
          <w:p w:rsidR="00A55501" w:rsidRPr="00795AC3" w:rsidRDefault="00A55501" w:rsidP="00562093">
            <w:pPr>
              <w:widowControl/>
              <w:jc w:val="center"/>
              <w:rPr>
                <w:bCs/>
              </w:rPr>
            </w:pPr>
          </w:p>
        </w:tc>
        <w:tc>
          <w:tcPr>
            <w:tcW w:w="281" w:type="pct"/>
            <w:vAlign w:val="center"/>
          </w:tcPr>
          <w:p w:rsidR="00A55501" w:rsidRPr="00795AC3" w:rsidRDefault="00D06A4F" w:rsidP="002B1959">
            <w:pPr>
              <w:widowControl/>
              <w:tabs>
                <w:tab w:val="right" w:pos="545"/>
              </w:tabs>
              <w:rPr>
                <w:bCs/>
              </w:rPr>
            </w:pPr>
            <w:r>
              <w:rPr>
                <w:bCs/>
              </w:rPr>
              <w:t>$</w:t>
            </w:r>
            <w:r w:rsidR="002B1959">
              <w:rPr>
                <w:bCs/>
              </w:rPr>
              <w:tab/>
            </w:r>
            <w:r w:rsidR="00A55501" w:rsidRPr="00795AC3">
              <w:rPr>
                <w:bCs/>
              </w:rPr>
              <w:t>-</w:t>
            </w:r>
          </w:p>
        </w:tc>
        <w:tc>
          <w:tcPr>
            <w:tcW w:w="313" w:type="pct"/>
            <w:vAlign w:val="center"/>
          </w:tcPr>
          <w:p w:rsidR="00A55501" w:rsidRPr="00795AC3" w:rsidRDefault="00D06A4F" w:rsidP="004A7BCE">
            <w:pPr>
              <w:widowControl/>
              <w:tabs>
                <w:tab w:val="right" w:pos="621"/>
                <w:tab w:val="right" w:pos="648"/>
              </w:tabs>
              <w:jc w:val="center"/>
              <w:rPr>
                <w:bCs/>
              </w:rPr>
            </w:pPr>
            <w:r>
              <w:rPr>
                <w:bCs/>
              </w:rPr>
              <w:t>$</w:t>
            </w:r>
            <w:r w:rsidR="00A55501" w:rsidRPr="00795AC3">
              <w:rPr>
                <w:bCs/>
              </w:rPr>
              <w:t xml:space="preserve">570 </w:t>
            </w:r>
          </w:p>
        </w:tc>
        <w:tc>
          <w:tcPr>
            <w:tcW w:w="281" w:type="pct"/>
            <w:vAlign w:val="center"/>
          </w:tcPr>
          <w:p w:rsidR="00A55501" w:rsidRPr="00795AC3" w:rsidRDefault="00A55501" w:rsidP="00AE0E7F">
            <w:pPr>
              <w:widowControl/>
              <w:jc w:val="center"/>
              <w:rPr>
                <w:bCs/>
              </w:rPr>
            </w:pPr>
            <w:r w:rsidRPr="00795AC3">
              <w:rPr>
                <w:bCs/>
              </w:rPr>
              <w:t>1,</w:t>
            </w:r>
            <w:r w:rsidR="00A474FF">
              <w:rPr>
                <w:bCs/>
              </w:rPr>
              <w:t>279</w:t>
            </w:r>
            <w:r w:rsidR="00A474FF" w:rsidRPr="00795AC3">
              <w:rPr>
                <w:bCs/>
              </w:rPr>
              <w:t xml:space="preserve"> </w:t>
            </w:r>
          </w:p>
        </w:tc>
        <w:tc>
          <w:tcPr>
            <w:tcW w:w="347" w:type="pct"/>
            <w:vAlign w:val="center"/>
          </w:tcPr>
          <w:p w:rsidR="00A55501" w:rsidRPr="00795AC3" w:rsidRDefault="00A55501" w:rsidP="00562093">
            <w:pPr>
              <w:widowControl/>
              <w:jc w:val="center"/>
              <w:rPr>
                <w:bCs/>
              </w:rPr>
            </w:pPr>
          </w:p>
        </w:tc>
        <w:tc>
          <w:tcPr>
            <w:tcW w:w="439" w:type="pct"/>
            <w:vAlign w:val="center"/>
          </w:tcPr>
          <w:p w:rsidR="00A55501" w:rsidRPr="00795AC3" w:rsidRDefault="00A55501" w:rsidP="00AE0E7F">
            <w:pPr>
              <w:widowControl/>
              <w:jc w:val="center"/>
              <w:rPr>
                <w:bCs/>
              </w:rPr>
            </w:pPr>
            <w:r w:rsidRPr="00795AC3">
              <w:rPr>
                <w:bCs/>
              </w:rPr>
              <w:t>$</w:t>
            </w:r>
            <w:r w:rsidR="00A474FF">
              <w:rPr>
                <w:bCs/>
              </w:rPr>
              <w:t>739,030</w:t>
            </w:r>
          </w:p>
        </w:tc>
      </w:tr>
      <w:tr w:rsidR="000B2130" w:rsidRPr="00A55501" w:rsidTr="005F2634">
        <w:trPr>
          <w:jc w:val="center"/>
        </w:trPr>
        <w:tc>
          <w:tcPr>
            <w:tcW w:w="2491" w:type="pct"/>
          </w:tcPr>
          <w:p w:rsidR="00A55501" w:rsidRPr="00795AC3" w:rsidRDefault="00A55501" w:rsidP="00D06A4F">
            <w:pPr>
              <w:widowControl/>
              <w:rPr>
                <w:bCs/>
              </w:rPr>
            </w:pPr>
            <w:r w:rsidRPr="00795AC3">
              <w:rPr>
                <w:bCs/>
              </w:rPr>
              <w:t>3b</w:t>
            </w:r>
            <w:r w:rsidR="00562093" w:rsidRPr="00795AC3">
              <w:rPr>
                <w:bCs/>
              </w:rPr>
              <w:t xml:space="preserve">.  </w:t>
            </w:r>
            <w:r w:rsidRPr="00795AC3">
              <w:rPr>
                <w:bCs/>
              </w:rPr>
              <w:t>DAHS Debugging</w:t>
            </w:r>
            <w:r w:rsidR="002B568B">
              <w:rPr>
                <w:bCs/>
              </w:rPr>
              <w:t>.</w:t>
            </w:r>
          </w:p>
        </w:tc>
        <w:tc>
          <w:tcPr>
            <w:tcW w:w="188" w:type="pct"/>
            <w:vAlign w:val="center"/>
          </w:tcPr>
          <w:p w:rsidR="00A55501" w:rsidRPr="00795AC3" w:rsidRDefault="00A55501" w:rsidP="00562093">
            <w:pPr>
              <w:widowControl/>
              <w:jc w:val="center"/>
              <w:rPr>
                <w:bCs/>
              </w:rPr>
            </w:pPr>
            <w:r w:rsidRPr="00795AC3">
              <w:rPr>
                <w:bCs/>
              </w:rPr>
              <w:t xml:space="preserve">4 </w:t>
            </w:r>
          </w:p>
        </w:tc>
        <w:tc>
          <w:tcPr>
            <w:tcW w:w="188" w:type="pct"/>
            <w:vAlign w:val="center"/>
          </w:tcPr>
          <w:p w:rsidR="00A55501" w:rsidRPr="00795AC3" w:rsidRDefault="00A55501" w:rsidP="00562093">
            <w:pPr>
              <w:pStyle w:val="NormalWeb"/>
              <w:spacing w:before="0" w:beforeAutospacing="0" w:after="0" w:afterAutospacing="0"/>
              <w:jc w:val="center"/>
              <w:rPr>
                <w:bCs/>
                <w:sz w:val="20"/>
                <w:szCs w:val="20"/>
              </w:rPr>
            </w:pPr>
            <w:r w:rsidRPr="00795AC3">
              <w:rPr>
                <w:bCs/>
                <w:sz w:val="20"/>
                <w:szCs w:val="20"/>
              </w:rPr>
              <w:t xml:space="preserve">12 </w:t>
            </w:r>
          </w:p>
        </w:tc>
        <w:tc>
          <w:tcPr>
            <w:tcW w:w="190" w:type="pct"/>
            <w:vAlign w:val="center"/>
          </w:tcPr>
          <w:p w:rsidR="00A55501" w:rsidRPr="00795AC3" w:rsidRDefault="00A55501" w:rsidP="00562093">
            <w:pPr>
              <w:widowControl/>
              <w:jc w:val="center"/>
              <w:rPr>
                <w:bCs/>
              </w:rPr>
            </w:pPr>
            <w:r w:rsidRPr="00795AC3">
              <w:rPr>
                <w:bCs/>
              </w:rPr>
              <w:t xml:space="preserve">16 </w:t>
            </w:r>
          </w:p>
        </w:tc>
        <w:tc>
          <w:tcPr>
            <w:tcW w:w="282" w:type="pct"/>
            <w:vAlign w:val="center"/>
          </w:tcPr>
          <w:p w:rsidR="00A55501" w:rsidRPr="00795AC3" w:rsidRDefault="00A55501" w:rsidP="00AE0E7F">
            <w:pPr>
              <w:widowControl/>
              <w:jc w:val="center"/>
              <w:rPr>
                <w:bCs/>
              </w:rPr>
            </w:pPr>
            <w:r w:rsidRPr="00795AC3">
              <w:rPr>
                <w:bCs/>
              </w:rPr>
              <w:t>$</w:t>
            </w:r>
            <w:r w:rsidR="00A474FF">
              <w:rPr>
                <w:bCs/>
              </w:rPr>
              <w:t>1201</w:t>
            </w:r>
            <w:r w:rsidRPr="00795AC3">
              <w:rPr>
                <w:bCs/>
              </w:rPr>
              <w:t xml:space="preserve"> </w:t>
            </w:r>
          </w:p>
        </w:tc>
        <w:tc>
          <w:tcPr>
            <w:tcW w:w="281" w:type="pct"/>
            <w:vAlign w:val="center"/>
          </w:tcPr>
          <w:p w:rsidR="00A55501" w:rsidRPr="00795AC3" w:rsidRDefault="00D06A4F" w:rsidP="002B1959">
            <w:pPr>
              <w:widowControl/>
              <w:tabs>
                <w:tab w:val="right" w:pos="545"/>
              </w:tabs>
              <w:rPr>
                <w:bCs/>
              </w:rPr>
            </w:pPr>
            <w:r>
              <w:rPr>
                <w:bCs/>
              </w:rPr>
              <w:t>$</w:t>
            </w:r>
            <w:r w:rsidR="002B1959">
              <w:rPr>
                <w:bCs/>
              </w:rPr>
              <w:tab/>
            </w:r>
            <w:r w:rsidR="00A55501" w:rsidRPr="00795AC3">
              <w:rPr>
                <w:bCs/>
              </w:rPr>
              <w:t>-</w:t>
            </w:r>
          </w:p>
        </w:tc>
        <w:tc>
          <w:tcPr>
            <w:tcW w:w="313" w:type="pct"/>
            <w:vAlign w:val="center"/>
          </w:tcPr>
          <w:p w:rsidR="00A55501" w:rsidRPr="00795AC3" w:rsidRDefault="00D06A4F" w:rsidP="004A7BCE">
            <w:pPr>
              <w:widowControl/>
              <w:tabs>
                <w:tab w:val="right" w:pos="621"/>
                <w:tab w:val="right" w:pos="648"/>
              </w:tabs>
              <w:rPr>
                <w:bCs/>
              </w:rPr>
            </w:pPr>
            <w:r>
              <w:rPr>
                <w:bCs/>
              </w:rPr>
              <w:t>$</w:t>
            </w:r>
            <w:r w:rsidR="002B1959">
              <w:rPr>
                <w:bCs/>
              </w:rPr>
              <w:tab/>
            </w:r>
            <w:r w:rsidR="00A55501" w:rsidRPr="00795AC3">
              <w:rPr>
                <w:bCs/>
              </w:rPr>
              <w:t>-</w:t>
            </w:r>
          </w:p>
        </w:tc>
        <w:tc>
          <w:tcPr>
            <w:tcW w:w="281" w:type="pct"/>
            <w:vAlign w:val="center"/>
          </w:tcPr>
          <w:p w:rsidR="00A55501" w:rsidRPr="00795AC3" w:rsidRDefault="00A55501" w:rsidP="00AE0E7F">
            <w:pPr>
              <w:widowControl/>
              <w:jc w:val="center"/>
              <w:rPr>
                <w:bCs/>
              </w:rPr>
            </w:pPr>
            <w:r w:rsidRPr="00795AC3">
              <w:rPr>
                <w:bCs/>
              </w:rPr>
              <w:t>1,2</w:t>
            </w:r>
            <w:r w:rsidR="00A474FF">
              <w:rPr>
                <w:bCs/>
              </w:rPr>
              <w:t>79</w:t>
            </w:r>
            <w:r w:rsidRPr="00795AC3">
              <w:rPr>
                <w:bCs/>
              </w:rPr>
              <w:t xml:space="preserve"> </w:t>
            </w:r>
          </w:p>
        </w:tc>
        <w:tc>
          <w:tcPr>
            <w:tcW w:w="347" w:type="pct"/>
            <w:vAlign w:val="center"/>
          </w:tcPr>
          <w:p w:rsidR="00A55501" w:rsidRPr="00795AC3" w:rsidRDefault="00A474FF" w:rsidP="00590400">
            <w:pPr>
              <w:widowControl/>
              <w:jc w:val="center"/>
              <w:rPr>
                <w:bCs/>
              </w:rPr>
            </w:pPr>
            <w:r>
              <w:rPr>
                <w:bCs/>
              </w:rPr>
              <w:t>20,064</w:t>
            </w:r>
            <w:r w:rsidR="00A55501" w:rsidRPr="00795AC3">
              <w:rPr>
                <w:bCs/>
              </w:rPr>
              <w:t xml:space="preserve"> </w:t>
            </w:r>
          </w:p>
        </w:tc>
        <w:tc>
          <w:tcPr>
            <w:tcW w:w="439" w:type="pct"/>
            <w:vAlign w:val="center"/>
          </w:tcPr>
          <w:p w:rsidR="00A55501" w:rsidRPr="00795AC3" w:rsidRDefault="00D06A4F" w:rsidP="00D06A4F">
            <w:pPr>
              <w:widowControl/>
              <w:jc w:val="center"/>
              <w:rPr>
                <w:bCs/>
              </w:rPr>
            </w:pPr>
            <w:r>
              <w:rPr>
                <w:bCs/>
              </w:rPr>
              <w:t>$</w:t>
            </w:r>
            <w:r w:rsidR="00A474FF">
              <w:rPr>
                <w:bCs/>
              </w:rPr>
              <w:t>1,536,130</w:t>
            </w:r>
          </w:p>
        </w:tc>
      </w:tr>
      <w:tr w:rsidR="000B2130" w:rsidRPr="00A55501" w:rsidTr="005F2634">
        <w:trPr>
          <w:jc w:val="center"/>
        </w:trPr>
        <w:tc>
          <w:tcPr>
            <w:tcW w:w="2491" w:type="pct"/>
          </w:tcPr>
          <w:p w:rsidR="00A55501" w:rsidRPr="00795AC3" w:rsidRDefault="00A55501" w:rsidP="00D06A4F">
            <w:pPr>
              <w:widowControl/>
              <w:rPr>
                <w:bCs/>
              </w:rPr>
            </w:pPr>
            <w:r w:rsidRPr="00795AC3">
              <w:rPr>
                <w:bCs/>
              </w:rPr>
              <w:t>4</w:t>
            </w:r>
            <w:r w:rsidR="00562093" w:rsidRPr="00795AC3">
              <w:rPr>
                <w:bCs/>
              </w:rPr>
              <w:t xml:space="preserve">.  </w:t>
            </w:r>
            <w:r w:rsidRPr="00795AC3">
              <w:rPr>
                <w:bCs/>
              </w:rPr>
              <w:t>New Unit Monitoring Plans</w:t>
            </w:r>
            <w:r w:rsidR="002B568B">
              <w:rPr>
                <w:bCs/>
              </w:rPr>
              <w:t>.</w:t>
            </w:r>
          </w:p>
        </w:tc>
        <w:tc>
          <w:tcPr>
            <w:tcW w:w="188" w:type="pct"/>
            <w:vAlign w:val="center"/>
          </w:tcPr>
          <w:p w:rsidR="00A55501" w:rsidRPr="00795AC3" w:rsidRDefault="00A55501" w:rsidP="00562093">
            <w:pPr>
              <w:widowControl/>
              <w:jc w:val="center"/>
              <w:rPr>
                <w:bCs/>
              </w:rPr>
            </w:pPr>
            <w:r w:rsidRPr="00795AC3">
              <w:rPr>
                <w:bCs/>
              </w:rPr>
              <w:t xml:space="preserve">10 </w:t>
            </w:r>
          </w:p>
        </w:tc>
        <w:tc>
          <w:tcPr>
            <w:tcW w:w="188" w:type="pct"/>
            <w:vAlign w:val="center"/>
          </w:tcPr>
          <w:p w:rsidR="00A55501" w:rsidRPr="00795AC3" w:rsidRDefault="00A55501" w:rsidP="00562093">
            <w:pPr>
              <w:pStyle w:val="NormalWeb"/>
              <w:spacing w:before="0" w:beforeAutospacing="0" w:after="0" w:afterAutospacing="0"/>
              <w:jc w:val="center"/>
              <w:rPr>
                <w:bCs/>
                <w:sz w:val="20"/>
                <w:szCs w:val="20"/>
              </w:rPr>
            </w:pPr>
            <w:r w:rsidRPr="00795AC3">
              <w:rPr>
                <w:bCs/>
                <w:sz w:val="20"/>
                <w:szCs w:val="20"/>
              </w:rPr>
              <w:t xml:space="preserve">10 </w:t>
            </w:r>
          </w:p>
        </w:tc>
        <w:tc>
          <w:tcPr>
            <w:tcW w:w="190" w:type="pct"/>
            <w:vAlign w:val="center"/>
          </w:tcPr>
          <w:p w:rsidR="00A55501" w:rsidRPr="00795AC3" w:rsidRDefault="00A55501" w:rsidP="00562093">
            <w:pPr>
              <w:widowControl/>
              <w:jc w:val="center"/>
              <w:rPr>
                <w:bCs/>
              </w:rPr>
            </w:pPr>
            <w:r w:rsidRPr="00795AC3">
              <w:rPr>
                <w:bCs/>
              </w:rPr>
              <w:t xml:space="preserve">20 </w:t>
            </w:r>
          </w:p>
        </w:tc>
        <w:tc>
          <w:tcPr>
            <w:tcW w:w="282" w:type="pct"/>
            <w:vAlign w:val="center"/>
          </w:tcPr>
          <w:p w:rsidR="00A55501" w:rsidRPr="00795AC3" w:rsidRDefault="00A55501" w:rsidP="00AE0E7F">
            <w:pPr>
              <w:widowControl/>
              <w:jc w:val="center"/>
              <w:rPr>
                <w:bCs/>
              </w:rPr>
            </w:pPr>
            <w:r w:rsidRPr="00795AC3">
              <w:rPr>
                <w:bCs/>
              </w:rPr>
              <w:t>$</w:t>
            </w:r>
            <w:r w:rsidR="00A474FF">
              <w:rPr>
                <w:bCs/>
              </w:rPr>
              <w:t>1,682</w:t>
            </w:r>
            <w:r w:rsidRPr="00795AC3">
              <w:rPr>
                <w:bCs/>
              </w:rPr>
              <w:t xml:space="preserve"> </w:t>
            </w:r>
          </w:p>
        </w:tc>
        <w:tc>
          <w:tcPr>
            <w:tcW w:w="281" w:type="pct"/>
            <w:vAlign w:val="center"/>
          </w:tcPr>
          <w:p w:rsidR="00A55501" w:rsidRPr="00795AC3" w:rsidRDefault="00D06A4F" w:rsidP="002B1959">
            <w:pPr>
              <w:widowControl/>
              <w:tabs>
                <w:tab w:val="right" w:pos="545"/>
              </w:tabs>
              <w:rPr>
                <w:bCs/>
              </w:rPr>
            </w:pPr>
            <w:r>
              <w:rPr>
                <w:bCs/>
              </w:rPr>
              <w:t>$</w:t>
            </w:r>
            <w:r w:rsidR="002B1959">
              <w:rPr>
                <w:bCs/>
              </w:rPr>
              <w:tab/>
            </w:r>
            <w:r w:rsidR="00A55501" w:rsidRPr="00795AC3">
              <w:rPr>
                <w:bCs/>
              </w:rPr>
              <w:t>-</w:t>
            </w:r>
          </w:p>
        </w:tc>
        <w:tc>
          <w:tcPr>
            <w:tcW w:w="313" w:type="pct"/>
            <w:vAlign w:val="center"/>
          </w:tcPr>
          <w:p w:rsidR="00A55501" w:rsidRPr="00795AC3" w:rsidRDefault="00D06A4F" w:rsidP="004A7BCE">
            <w:pPr>
              <w:widowControl/>
              <w:tabs>
                <w:tab w:val="right" w:pos="621"/>
                <w:tab w:val="right" w:pos="648"/>
              </w:tabs>
              <w:rPr>
                <w:bCs/>
              </w:rPr>
            </w:pPr>
            <w:r>
              <w:rPr>
                <w:bCs/>
              </w:rPr>
              <w:t>$</w:t>
            </w:r>
            <w:r w:rsidR="002B1959">
              <w:rPr>
                <w:bCs/>
              </w:rPr>
              <w:tab/>
            </w:r>
            <w:r w:rsidR="00A55501" w:rsidRPr="00795AC3">
              <w:rPr>
                <w:bCs/>
              </w:rPr>
              <w:t>-</w:t>
            </w:r>
          </w:p>
        </w:tc>
        <w:tc>
          <w:tcPr>
            <w:tcW w:w="281" w:type="pct"/>
            <w:vAlign w:val="center"/>
          </w:tcPr>
          <w:p w:rsidR="00A55501" w:rsidRPr="00795AC3" w:rsidRDefault="00A55501" w:rsidP="00562093">
            <w:pPr>
              <w:widowControl/>
              <w:jc w:val="center"/>
              <w:rPr>
                <w:bCs/>
              </w:rPr>
            </w:pPr>
            <w:r w:rsidRPr="00795AC3">
              <w:rPr>
                <w:bCs/>
              </w:rPr>
              <w:t xml:space="preserve">37 </w:t>
            </w:r>
          </w:p>
        </w:tc>
        <w:tc>
          <w:tcPr>
            <w:tcW w:w="347" w:type="pct"/>
            <w:vAlign w:val="center"/>
          </w:tcPr>
          <w:p w:rsidR="00A55501" w:rsidRPr="00795AC3" w:rsidRDefault="00A55501" w:rsidP="00562093">
            <w:pPr>
              <w:widowControl/>
              <w:jc w:val="center"/>
              <w:rPr>
                <w:bCs/>
              </w:rPr>
            </w:pPr>
            <w:r w:rsidRPr="00795AC3">
              <w:rPr>
                <w:bCs/>
              </w:rPr>
              <w:t xml:space="preserve">740 </w:t>
            </w:r>
          </w:p>
        </w:tc>
        <w:tc>
          <w:tcPr>
            <w:tcW w:w="439" w:type="pct"/>
            <w:vAlign w:val="center"/>
          </w:tcPr>
          <w:p w:rsidR="00A55501" w:rsidRPr="00795AC3" w:rsidRDefault="00F67757" w:rsidP="00AE0E7F">
            <w:pPr>
              <w:widowControl/>
              <w:jc w:val="center"/>
              <w:rPr>
                <w:bCs/>
              </w:rPr>
            </w:pPr>
            <w:r>
              <w:rPr>
                <w:bCs/>
              </w:rPr>
              <w:t>$</w:t>
            </w:r>
            <w:r w:rsidR="00895D05">
              <w:rPr>
                <w:bCs/>
              </w:rPr>
              <w:t>62,234</w:t>
            </w:r>
          </w:p>
        </w:tc>
      </w:tr>
      <w:tr w:rsidR="000B2130" w:rsidRPr="00A55501" w:rsidTr="005F2634">
        <w:trPr>
          <w:jc w:val="center"/>
        </w:trPr>
        <w:tc>
          <w:tcPr>
            <w:tcW w:w="2491" w:type="pct"/>
          </w:tcPr>
          <w:p w:rsidR="00A55501" w:rsidRPr="00795AC3" w:rsidRDefault="00A55501" w:rsidP="00D06A4F">
            <w:pPr>
              <w:widowControl/>
              <w:rPr>
                <w:bCs/>
              </w:rPr>
            </w:pPr>
            <w:r w:rsidRPr="00795AC3">
              <w:rPr>
                <w:bCs/>
              </w:rPr>
              <w:t>5</w:t>
            </w:r>
            <w:r w:rsidR="00562093" w:rsidRPr="00795AC3">
              <w:rPr>
                <w:bCs/>
              </w:rPr>
              <w:t xml:space="preserve">.  </w:t>
            </w:r>
            <w:r w:rsidRPr="00795AC3">
              <w:rPr>
                <w:bCs/>
              </w:rPr>
              <w:t>Recertify Monitors</w:t>
            </w:r>
            <w:r w:rsidR="002B568B">
              <w:rPr>
                <w:bCs/>
              </w:rPr>
              <w:t>.</w:t>
            </w:r>
          </w:p>
        </w:tc>
        <w:tc>
          <w:tcPr>
            <w:tcW w:w="188" w:type="pct"/>
            <w:vAlign w:val="center"/>
          </w:tcPr>
          <w:p w:rsidR="00A55501" w:rsidRPr="00795AC3" w:rsidRDefault="00A55501" w:rsidP="00562093">
            <w:pPr>
              <w:widowControl/>
              <w:jc w:val="center"/>
              <w:rPr>
                <w:bCs/>
              </w:rPr>
            </w:pPr>
            <w:r w:rsidRPr="00795AC3">
              <w:rPr>
                <w:bCs/>
              </w:rPr>
              <w:t xml:space="preserve">38 </w:t>
            </w:r>
          </w:p>
        </w:tc>
        <w:tc>
          <w:tcPr>
            <w:tcW w:w="188" w:type="pct"/>
            <w:vAlign w:val="center"/>
          </w:tcPr>
          <w:p w:rsidR="00A55501" w:rsidRPr="00795AC3" w:rsidRDefault="00A55501" w:rsidP="00562093">
            <w:pPr>
              <w:pStyle w:val="NormalWeb"/>
              <w:spacing w:before="0" w:beforeAutospacing="0" w:after="0" w:afterAutospacing="0"/>
              <w:jc w:val="center"/>
              <w:rPr>
                <w:bCs/>
                <w:sz w:val="20"/>
                <w:szCs w:val="20"/>
              </w:rPr>
            </w:pPr>
            <w:r w:rsidRPr="00795AC3">
              <w:rPr>
                <w:bCs/>
                <w:sz w:val="20"/>
                <w:szCs w:val="20"/>
              </w:rPr>
              <w:t xml:space="preserve">12 </w:t>
            </w:r>
          </w:p>
        </w:tc>
        <w:tc>
          <w:tcPr>
            <w:tcW w:w="190" w:type="pct"/>
            <w:vAlign w:val="center"/>
          </w:tcPr>
          <w:p w:rsidR="00A55501" w:rsidRPr="00795AC3" w:rsidRDefault="00A55501" w:rsidP="00562093">
            <w:pPr>
              <w:widowControl/>
              <w:jc w:val="center"/>
              <w:rPr>
                <w:bCs/>
              </w:rPr>
            </w:pPr>
            <w:r w:rsidRPr="00795AC3">
              <w:rPr>
                <w:bCs/>
              </w:rPr>
              <w:t xml:space="preserve">50 </w:t>
            </w:r>
          </w:p>
        </w:tc>
        <w:tc>
          <w:tcPr>
            <w:tcW w:w="282" w:type="pct"/>
            <w:vAlign w:val="center"/>
          </w:tcPr>
          <w:p w:rsidR="00A55501" w:rsidRPr="00795AC3" w:rsidRDefault="00A55501" w:rsidP="00AE0E7F">
            <w:pPr>
              <w:widowControl/>
              <w:jc w:val="center"/>
              <w:rPr>
                <w:bCs/>
              </w:rPr>
            </w:pPr>
            <w:r w:rsidRPr="00795AC3">
              <w:rPr>
                <w:bCs/>
              </w:rPr>
              <w:t>$</w:t>
            </w:r>
            <w:r w:rsidR="00895D05">
              <w:rPr>
                <w:bCs/>
              </w:rPr>
              <w:t>4,675</w:t>
            </w:r>
            <w:r w:rsidRPr="00795AC3">
              <w:rPr>
                <w:bCs/>
              </w:rPr>
              <w:t xml:space="preserve"> </w:t>
            </w:r>
          </w:p>
        </w:tc>
        <w:tc>
          <w:tcPr>
            <w:tcW w:w="281" w:type="pct"/>
            <w:vAlign w:val="center"/>
          </w:tcPr>
          <w:p w:rsidR="00A55501" w:rsidRPr="00795AC3" w:rsidRDefault="00D06A4F" w:rsidP="00562093">
            <w:pPr>
              <w:widowControl/>
              <w:jc w:val="center"/>
              <w:rPr>
                <w:bCs/>
              </w:rPr>
            </w:pPr>
            <w:r>
              <w:rPr>
                <w:bCs/>
              </w:rPr>
              <w:t>$</w:t>
            </w:r>
            <w:r w:rsidR="00A55501" w:rsidRPr="00795AC3">
              <w:rPr>
                <w:bCs/>
              </w:rPr>
              <w:t xml:space="preserve">3,482 </w:t>
            </w:r>
          </w:p>
        </w:tc>
        <w:tc>
          <w:tcPr>
            <w:tcW w:w="313" w:type="pct"/>
            <w:vAlign w:val="center"/>
          </w:tcPr>
          <w:p w:rsidR="00A55501" w:rsidRPr="00795AC3" w:rsidRDefault="00D06A4F" w:rsidP="004A7BCE">
            <w:pPr>
              <w:widowControl/>
              <w:tabs>
                <w:tab w:val="right" w:pos="621"/>
                <w:tab w:val="right" w:pos="648"/>
              </w:tabs>
              <w:rPr>
                <w:bCs/>
              </w:rPr>
            </w:pPr>
            <w:r>
              <w:rPr>
                <w:bCs/>
              </w:rPr>
              <w:t>$</w:t>
            </w:r>
            <w:r w:rsidR="002B1959">
              <w:rPr>
                <w:bCs/>
              </w:rPr>
              <w:tab/>
            </w:r>
            <w:r w:rsidR="00A55501" w:rsidRPr="00795AC3">
              <w:rPr>
                <w:bCs/>
              </w:rPr>
              <w:t>-</w:t>
            </w:r>
          </w:p>
        </w:tc>
        <w:tc>
          <w:tcPr>
            <w:tcW w:w="281" w:type="pct"/>
            <w:vAlign w:val="center"/>
          </w:tcPr>
          <w:p w:rsidR="00A55501" w:rsidRPr="00795AC3" w:rsidRDefault="00895D05" w:rsidP="00AE0E7F">
            <w:pPr>
              <w:widowControl/>
              <w:jc w:val="center"/>
              <w:rPr>
                <w:bCs/>
              </w:rPr>
            </w:pPr>
            <w:r>
              <w:rPr>
                <w:bCs/>
              </w:rPr>
              <w:t>600</w:t>
            </w:r>
            <w:r w:rsidR="00A55501" w:rsidRPr="00795AC3">
              <w:rPr>
                <w:bCs/>
              </w:rPr>
              <w:t xml:space="preserve"> </w:t>
            </w:r>
          </w:p>
        </w:tc>
        <w:tc>
          <w:tcPr>
            <w:tcW w:w="347" w:type="pct"/>
            <w:vAlign w:val="center"/>
          </w:tcPr>
          <w:p w:rsidR="00A55501" w:rsidRPr="00795AC3" w:rsidRDefault="00895D05" w:rsidP="00562093">
            <w:pPr>
              <w:widowControl/>
              <w:jc w:val="center"/>
              <w:rPr>
                <w:bCs/>
              </w:rPr>
            </w:pPr>
            <w:r>
              <w:rPr>
                <w:bCs/>
              </w:rPr>
              <w:t>30,000</w:t>
            </w:r>
            <w:r w:rsidR="00A55501" w:rsidRPr="00795AC3">
              <w:rPr>
                <w:bCs/>
              </w:rPr>
              <w:t xml:space="preserve"> </w:t>
            </w:r>
          </w:p>
        </w:tc>
        <w:tc>
          <w:tcPr>
            <w:tcW w:w="439" w:type="pct"/>
            <w:vAlign w:val="center"/>
          </w:tcPr>
          <w:p w:rsidR="00A55501" w:rsidRPr="00795AC3" w:rsidRDefault="00D06A4F" w:rsidP="00AE0E7F">
            <w:pPr>
              <w:widowControl/>
              <w:jc w:val="center"/>
              <w:rPr>
                <w:bCs/>
              </w:rPr>
            </w:pPr>
            <w:r>
              <w:rPr>
                <w:bCs/>
              </w:rPr>
              <w:t>$</w:t>
            </w:r>
            <w:r w:rsidR="00895D05">
              <w:rPr>
                <w:bCs/>
              </w:rPr>
              <w:t>4,893,852</w:t>
            </w:r>
          </w:p>
        </w:tc>
      </w:tr>
      <w:tr w:rsidR="000B2130" w:rsidRPr="00A55501" w:rsidTr="00257605">
        <w:trPr>
          <w:jc w:val="center"/>
        </w:trPr>
        <w:tc>
          <w:tcPr>
            <w:tcW w:w="2491" w:type="pct"/>
          </w:tcPr>
          <w:p w:rsidR="00A55501" w:rsidRPr="00795AC3" w:rsidRDefault="00A55501" w:rsidP="00D06A4F">
            <w:pPr>
              <w:widowControl/>
              <w:rPr>
                <w:bCs/>
              </w:rPr>
            </w:pPr>
            <w:r w:rsidRPr="00795AC3">
              <w:rPr>
                <w:bCs/>
              </w:rPr>
              <w:t>6</w:t>
            </w:r>
            <w:r w:rsidR="00562093" w:rsidRPr="00795AC3">
              <w:rPr>
                <w:bCs/>
              </w:rPr>
              <w:t xml:space="preserve">.  </w:t>
            </w:r>
            <w:r w:rsidRPr="00795AC3">
              <w:rPr>
                <w:bCs/>
              </w:rPr>
              <w:t>Startup/Capital Items and Perform QA Testing and Maintenance</w:t>
            </w:r>
            <w:r w:rsidR="002B568B">
              <w:rPr>
                <w:bCs/>
              </w:rPr>
              <w:t>.</w:t>
            </w:r>
          </w:p>
        </w:tc>
        <w:tc>
          <w:tcPr>
            <w:tcW w:w="188" w:type="pct"/>
            <w:vAlign w:val="center"/>
          </w:tcPr>
          <w:p w:rsidR="00A55501" w:rsidRPr="00795AC3" w:rsidRDefault="00A55501" w:rsidP="00562093">
            <w:pPr>
              <w:widowControl/>
              <w:jc w:val="center"/>
              <w:rPr>
                <w:bCs/>
              </w:rPr>
            </w:pPr>
          </w:p>
        </w:tc>
        <w:tc>
          <w:tcPr>
            <w:tcW w:w="188" w:type="pct"/>
            <w:vAlign w:val="center"/>
          </w:tcPr>
          <w:p w:rsidR="00A55501" w:rsidRPr="00795AC3" w:rsidRDefault="00A55501" w:rsidP="00562093">
            <w:pPr>
              <w:pStyle w:val="NormalWeb"/>
              <w:spacing w:before="0" w:beforeAutospacing="0" w:after="0" w:afterAutospacing="0"/>
              <w:jc w:val="center"/>
              <w:rPr>
                <w:bCs/>
                <w:sz w:val="20"/>
                <w:szCs w:val="20"/>
              </w:rPr>
            </w:pPr>
          </w:p>
        </w:tc>
        <w:tc>
          <w:tcPr>
            <w:tcW w:w="190" w:type="pct"/>
            <w:vAlign w:val="center"/>
          </w:tcPr>
          <w:p w:rsidR="00A55501" w:rsidRPr="00795AC3" w:rsidRDefault="00A55501" w:rsidP="00562093">
            <w:pPr>
              <w:widowControl/>
              <w:jc w:val="center"/>
              <w:rPr>
                <w:bCs/>
              </w:rPr>
            </w:pPr>
          </w:p>
        </w:tc>
        <w:tc>
          <w:tcPr>
            <w:tcW w:w="282" w:type="pct"/>
            <w:vAlign w:val="center"/>
          </w:tcPr>
          <w:p w:rsidR="00A55501" w:rsidRPr="00795AC3" w:rsidRDefault="00A55501" w:rsidP="00562093">
            <w:pPr>
              <w:widowControl/>
              <w:jc w:val="center"/>
              <w:rPr>
                <w:bCs/>
              </w:rPr>
            </w:pPr>
          </w:p>
        </w:tc>
        <w:tc>
          <w:tcPr>
            <w:tcW w:w="281" w:type="pct"/>
            <w:vAlign w:val="center"/>
          </w:tcPr>
          <w:p w:rsidR="00A55501" w:rsidRPr="00795AC3" w:rsidRDefault="00A55501" w:rsidP="00562093">
            <w:pPr>
              <w:widowControl/>
              <w:jc w:val="center"/>
              <w:rPr>
                <w:bCs/>
              </w:rPr>
            </w:pPr>
          </w:p>
        </w:tc>
        <w:tc>
          <w:tcPr>
            <w:tcW w:w="313" w:type="pct"/>
            <w:vAlign w:val="center"/>
          </w:tcPr>
          <w:p w:rsidR="00A55501" w:rsidRPr="00795AC3" w:rsidRDefault="00A55501" w:rsidP="004A7BCE">
            <w:pPr>
              <w:widowControl/>
              <w:tabs>
                <w:tab w:val="right" w:pos="621"/>
                <w:tab w:val="right" w:pos="648"/>
              </w:tabs>
              <w:jc w:val="center"/>
              <w:rPr>
                <w:bCs/>
              </w:rPr>
            </w:pPr>
          </w:p>
        </w:tc>
        <w:tc>
          <w:tcPr>
            <w:tcW w:w="281" w:type="pct"/>
            <w:vAlign w:val="center"/>
          </w:tcPr>
          <w:p w:rsidR="00A55501" w:rsidRPr="00795AC3" w:rsidRDefault="00A55501" w:rsidP="00562093">
            <w:pPr>
              <w:widowControl/>
              <w:jc w:val="center"/>
              <w:rPr>
                <w:bCs/>
              </w:rPr>
            </w:pPr>
          </w:p>
        </w:tc>
        <w:tc>
          <w:tcPr>
            <w:tcW w:w="347" w:type="pct"/>
            <w:vAlign w:val="center"/>
          </w:tcPr>
          <w:p w:rsidR="00A55501" w:rsidRPr="00795AC3" w:rsidRDefault="00A55501" w:rsidP="00562093">
            <w:pPr>
              <w:widowControl/>
              <w:jc w:val="center"/>
              <w:rPr>
                <w:bCs/>
              </w:rPr>
            </w:pPr>
          </w:p>
        </w:tc>
        <w:tc>
          <w:tcPr>
            <w:tcW w:w="439" w:type="pct"/>
            <w:vAlign w:val="center"/>
          </w:tcPr>
          <w:p w:rsidR="00A55501" w:rsidRPr="00795AC3" w:rsidRDefault="00A55501" w:rsidP="00562093">
            <w:pPr>
              <w:widowControl/>
              <w:jc w:val="center"/>
              <w:rPr>
                <w:bCs/>
              </w:rPr>
            </w:pPr>
          </w:p>
        </w:tc>
      </w:tr>
      <w:tr w:rsidR="000B2130" w:rsidRPr="00A55501" w:rsidTr="005F2634">
        <w:trPr>
          <w:jc w:val="center"/>
        </w:trPr>
        <w:tc>
          <w:tcPr>
            <w:tcW w:w="2491" w:type="pct"/>
          </w:tcPr>
          <w:p w:rsidR="00A55501" w:rsidRPr="00795AC3" w:rsidRDefault="00A55501" w:rsidP="004161CD">
            <w:pPr>
              <w:widowControl/>
              <w:ind w:left="173"/>
              <w:rPr>
                <w:bCs/>
              </w:rPr>
            </w:pPr>
            <w:r w:rsidRPr="00795AC3">
              <w:rPr>
                <w:bCs/>
              </w:rPr>
              <w:t>(a) Model A (CEMS)</w:t>
            </w:r>
            <w:r w:rsidR="002B568B">
              <w:rPr>
                <w:bCs/>
              </w:rPr>
              <w:t>.</w:t>
            </w:r>
          </w:p>
        </w:tc>
        <w:tc>
          <w:tcPr>
            <w:tcW w:w="188" w:type="pct"/>
            <w:vAlign w:val="center"/>
          </w:tcPr>
          <w:p w:rsidR="00A55501" w:rsidRPr="00795AC3" w:rsidRDefault="00A55501" w:rsidP="00562093">
            <w:pPr>
              <w:widowControl/>
              <w:jc w:val="center"/>
              <w:rPr>
                <w:bCs/>
              </w:rPr>
            </w:pPr>
            <w:r w:rsidRPr="00795AC3">
              <w:rPr>
                <w:bCs/>
              </w:rPr>
              <w:t xml:space="preserve">50 </w:t>
            </w:r>
          </w:p>
        </w:tc>
        <w:tc>
          <w:tcPr>
            <w:tcW w:w="188" w:type="pct"/>
            <w:vAlign w:val="center"/>
          </w:tcPr>
          <w:p w:rsidR="00A55501" w:rsidRPr="00795AC3" w:rsidRDefault="00A55501" w:rsidP="00562093">
            <w:pPr>
              <w:pStyle w:val="NormalWeb"/>
              <w:spacing w:before="0" w:beforeAutospacing="0" w:after="0" w:afterAutospacing="0"/>
              <w:jc w:val="center"/>
              <w:rPr>
                <w:bCs/>
                <w:sz w:val="20"/>
                <w:szCs w:val="20"/>
              </w:rPr>
            </w:pPr>
            <w:r w:rsidRPr="00795AC3">
              <w:rPr>
                <w:bCs/>
                <w:sz w:val="20"/>
                <w:szCs w:val="20"/>
              </w:rPr>
              <w:t xml:space="preserve">480 </w:t>
            </w:r>
          </w:p>
        </w:tc>
        <w:tc>
          <w:tcPr>
            <w:tcW w:w="190" w:type="pct"/>
            <w:vAlign w:val="center"/>
          </w:tcPr>
          <w:p w:rsidR="00A55501" w:rsidRPr="00795AC3" w:rsidRDefault="00A55501" w:rsidP="00562093">
            <w:pPr>
              <w:widowControl/>
              <w:jc w:val="center"/>
              <w:rPr>
                <w:bCs/>
              </w:rPr>
            </w:pPr>
            <w:r w:rsidRPr="00795AC3">
              <w:rPr>
                <w:bCs/>
              </w:rPr>
              <w:t xml:space="preserve">530 </w:t>
            </w:r>
          </w:p>
        </w:tc>
        <w:tc>
          <w:tcPr>
            <w:tcW w:w="282" w:type="pct"/>
            <w:vAlign w:val="center"/>
          </w:tcPr>
          <w:p w:rsidR="00A55501" w:rsidRPr="00795AC3" w:rsidRDefault="00A55501" w:rsidP="00AE0E7F">
            <w:pPr>
              <w:widowControl/>
              <w:jc w:val="center"/>
              <w:rPr>
                <w:bCs/>
              </w:rPr>
            </w:pPr>
            <w:r w:rsidRPr="00795AC3">
              <w:rPr>
                <w:bCs/>
              </w:rPr>
              <w:t>$</w:t>
            </w:r>
            <w:r w:rsidR="00895D05">
              <w:rPr>
                <w:bCs/>
              </w:rPr>
              <w:t>36,803</w:t>
            </w:r>
          </w:p>
        </w:tc>
        <w:tc>
          <w:tcPr>
            <w:tcW w:w="281" w:type="pct"/>
            <w:vAlign w:val="center"/>
          </w:tcPr>
          <w:p w:rsidR="00A55501" w:rsidRPr="00795AC3" w:rsidRDefault="00D06A4F" w:rsidP="000B2130">
            <w:pPr>
              <w:widowControl/>
              <w:jc w:val="center"/>
              <w:rPr>
                <w:bCs/>
              </w:rPr>
            </w:pPr>
            <w:r>
              <w:rPr>
                <w:bCs/>
              </w:rPr>
              <w:t>$</w:t>
            </w:r>
            <w:r w:rsidR="00A55501" w:rsidRPr="00795AC3">
              <w:rPr>
                <w:bCs/>
              </w:rPr>
              <w:t>31,949</w:t>
            </w:r>
          </w:p>
        </w:tc>
        <w:tc>
          <w:tcPr>
            <w:tcW w:w="313" w:type="pct"/>
            <w:vAlign w:val="center"/>
          </w:tcPr>
          <w:p w:rsidR="00A55501" w:rsidRPr="00795AC3" w:rsidRDefault="00D06A4F" w:rsidP="00AE0E7F">
            <w:pPr>
              <w:widowControl/>
              <w:tabs>
                <w:tab w:val="right" w:pos="621"/>
                <w:tab w:val="right" w:pos="648"/>
              </w:tabs>
              <w:jc w:val="center"/>
              <w:rPr>
                <w:bCs/>
              </w:rPr>
            </w:pPr>
            <w:r>
              <w:rPr>
                <w:bCs/>
              </w:rPr>
              <w:t>$</w:t>
            </w:r>
            <w:r w:rsidR="00895D05">
              <w:rPr>
                <w:bCs/>
              </w:rPr>
              <w:t>30,282</w:t>
            </w:r>
            <w:r w:rsidR="00A55501" w:rsidRPr="00795AC3">
              <w:rPr>
                <w:bCs/>
              </w:rPr>
              <w:t xml:space="preserve"> </w:t>
            </w:r>
          </w:p>
        </w:tc>
        <w:tc>
          <w:tcPr>
            <w:tcW w:w="281" w:type="pct"/>
            <w:vAlign w:val="center"/>
          </w:tcPr>
          <w:p w:rsidR="00A55501" w:rsidRPr="00795AC3" w:rsidRDefault="00895D05" w:rsidP="00590400">
            <w:pPr>
              <w:widowControl/>
              <w:jc w:val="center"/>
              <w:rPr>
                <w:bCs/>
              </w:rPr>
            </w:pPr>
            <w:r>
              <w:rPr>
                <w:bCs/>
              </w:rPr>
              <w:t>678</w:t>
            </w:r>
            <w:r w:rsidR="00A55501" w:rsidRPr="00795AC3">
              <w:rPr>
                <w:bCs/>
              </w:rPr>
              <w:t xml:space="preserve"> </w:t>
            </w:r>
          </w:p>
        </w:tc>
        <w:tc>
          <w:tcPr>
            <w:tcW w:w="347" w:type="pct"/>
            <w:vAlign w:val="center"/>
          </w:tcPr>
          <w:p w:rsidR="00A55501" w:rsidRPr="00795AC3" w:rsidRDefault="00895D05" w:rsidP="007F15F7">
            <w:pPr>
              <w:widowControl/>
              <w:jc w:val="center"/>
              <w:rPr>
                <w:bCs/>
              </w:rPr>
            </w:pPr>
            <w:r>
              <w:rPr>
                <w:bCs/>
              </w:rPr>
              <w:t>359,340</w:t>
            </w:r>
            <w:r w:rsidR="00A55501" w:rsidRPr="00795AC3">
              <w:rPr>
                <w:bCs/>
              </w:rPr>
              <w:t xml:space="preserve"> </w:t>
            </w:r>
          </w:p>
        </w:tc>
        <w:tc>
          <w:tcPr>
            <w:tcW w:w="439" w:type="pct"/>
            <w:vAlign w:val="center"/>
          </w:tcPr>
          <w:p w:rsidR="00A55501" w:rsidRPr="00795AC3" w:rsidRDefault="00D06A4F" w:rsidP="000E2DAE">
            <w:pPr>
              <w:widowControl/>
              <w:jc w:val="center"/>
              <w:rPr>
                <w:bCs/>
              </w:rPr>
            </w:pPr>
            <w:r>
              <w:rPr>
                <w:bCs/>
              </w:rPr>
              <w:t>$</w:t>
            </w:r>
            <w:r w:rsidR="00895D05">
              <w:rPr>
                <w:bCs/>
              </w:rPr>
              <w:t>67,</w:t>
            </w:r>
            <w:r w:rsidR="000E2DAE">
              <w:rPr>
                <w:bCs/>
              </w:rPr>
              <w:t>361,148</w:t>
            </w:r>
          </w:p>
        </w:tc>
      </w:tr>
      <w:tr w:rsidR="000B2130" w:rsidRPr="00A55501" w:rsidTr="005F2634">
        <w:trPr>
          <w:jc w:val="center"/>
        </w:trPr>
        <w:tc>
          <w:tcPr>
            <w:tcW w:w="2491" w:type="pct"/>
          </w:tcPr>
          <w:p w:rsidR="00A55501" w:rsidRPr="00795AC3" w:rsidRDefault="00A55501" w:rsidP="004161CD">
            <w:pPr>
              <w:widowControl/>
              <w:ind w:left="173"/>
              <w:rPr>
                <w:bCs/>
              </w:rPr>
            </w:pPr>
            <w:r w:rsidRPr="00795AC3">
              <w:rPr>
                <w:bCs/>
              </w:rPr>
              <w:t>(b) Model B (COMS)</w:t>
            </w:r>
            <w:r w:rsidR="002B568B">
              <w:rPr>
                <w:bCs/>
              </w:rPr>
              <w:t>.</w:t>
            </w:r>
          </w:p>
        </w:tc>
        <w:tc>
          <w:tcPr>
            <w:tcW w:w="188" w:type="pct"/>
            <w:vAlign w:val="center"/>
          </w:tcPr>
          <w:p w:rsidR="00A55501" w:rsidRPr="00795AC3" w:rsidRDefault="000C0149" w:rsidP="002D3113">
            <w:pPr>
              <w:widowControl/>
              <w:tabs>
                <w:tab w:val="right" w:pos="303"/>
              </w:tabs>
              <w:jc w:val="center"/>
              <w:rPr>
                <w:bCs/>
              </w:rPr>
            </w:pPr>
            <w:r>
              <w:rPr>
                <w:bCs/>
              </w:rPr>
              <w:t>-</w:t>
            </w:r>
          </w:p>
        </w:tc>
        <w:tc>
          <w:tcPr>
            <w:tcW w:w="188" w:type="pct"/>
            <w:vAlign w:val="center"/>
          </w:tcPr>
          <w:p w:rsidR="00A55501" w:rsidRPr="00795AC3" w:rsidRDefault="00A55501" w:rsidP="00562093">
            <w:pPr>
              <w:pStyle w:val="NormalWeb"/>
              <w:spacing w:before="0" w:beforeAutospacing="0" w:after="0" w:afterAutospacing="0"/>
              <w:jc w:val="center"/>
              <w:rPr>
                <w:bCs/>
                <w:sz w:val="20"/>
                <w:szCs w:val="20"/>
              </w:rPr>
            </w:pPr>
            <w:r w:rsidRPr="00795AC3">
              <w:rPr>
                <w:bCs/>
                <w:sz w:val="20"/>
                <w:szCs w:val="20"/>
              </w:rPr>
              <w:t xml:space="preserve">171 </w:t>
            </w:r>
          </w:p>
        </w:tc>
        <w:tc>
          <w:tcPr>
            <w:tcW w:w="190" w:type="pct"/>
            <w:vAlign w:val="center"/>
          </w:tcPr>
          <w:p w:rsidR="00A55501" w:rsidRPr="00795AC3" w:rsidRDefault="00A55501" w:rsidP="00562093">
            <w:pPr>
              <w:widowControl/>
              <w:jc w:val="center"/>
              <w:rPr>
                <w:bCs/>
              </w:rPr>
            </w:pPr>
            <w:r w:rsidRPr="00795AC3">
              <w:rPr>
                <w:bCs/>
              </w:rPr>
              <w:t xml:space="preserve">171 </w:t>
            </w:r>
          </w:p>
        </w:tc>
        <w:tc>
          <w:tcPr>
            <w:tcW w:w="282" w:type="pct"/>
            <w:vAlign w:val="center"/>
          </w:tcPr>
          <w:p w:rsidR="00A55501" w:rsidRPr="00795AC3" w:rsidRDefault="00D06A4F" w:rsidP="00AE0E7F">
            <w:pPr>
              <w:widowControl/>
              <w:jc w:val="center"/>
              <w:rPr>
                <w:bCs/>
              </w:rPr>
            </w:pPr>
            <w:r>
              <w:rPr>
                <w:bCs/>
              </w:rPr>
              <w:t>$</w:t>
            </w:r>
            <w:r w:rsidR="00895D05">
              <w:rPr>
                <w:bCs/>
              </w:rPr>
              <w:t>11,291</w:t>
            </w:r>
          </w:p>
        </w:tc>
        <w:tc>
          <w:tcPr>
            <w:tcW w:w="281" w:type="pct"/>
            <w:vAlign w:val="center"/>
          </w:tcPr>
          <w:p w:rsidR="00A55501" w:rsidRPr="00795AC3" w:rsidRDefault="00A55501" w:rsidP="00D06A4F">
            <w:pPr>
              <w:widowControl/>
              <w:jc w:val="center"/>
              <w:rPr>
                <w:bCs/>
              </w:rPr>
            </w:pPr>
            <w:r w:rsidRPr="00795AC3">
              <w:rPr>
                <w:bCs/>
              </w:rPr>
              <w:t xml:space="preserve">$295 </w:t>
            </w:r>
          </w:p>
        </w:tc>
        <w:tc>
          <w:tcPr>
            <w:tcW w:w="313" w:type="pct"/>
            <w:vAlign w:val="center"/>
          </w:tcPr>
          <w:p w:rsidR="00A55501" w:rsidRPr="00795AC3" w:rsidRDefault="00D06A4F" w:rsidP="00AE0E7F">
            <w:pPr>
              <w:widowControl/>
              <w:tabs>
                <w:tab w:val="right" w:pos="621"/>
                <w:tab w:val="right" w:pos="648"/>
              </w:tabs>
              <w:jc w:val="center"/>
              <w:rPr>
                <w:bCs/>
              </w:rPr>
            </w:pPr>
            <w:r>
              <w:rPr>
                <w:bCs/>
              </w:rPr>
              <w:t>$</w:t>
            </w:r>
            <w:r w:rsidR="00895D05">
              <w:rPr>
                <w:bCs/>
              </w:rPr>
              <w:t>3,733</w:t>
            </w:r>
            <w:r w:rsidR="00A55501" w:rsidRPr="00795AC3">
              <w:rPr>
                <w:bCs/>
              </w:rPr>
              <w:t xml:space="preserve"> </w:t>
            </w:r>
          </w:p>
        </w:tc>
        <w:tc>
          <w:tcPr>
            <w:tcW w:w="281" w:type="pct"/>
            <w:vAlign w:val="center"/>
          </w:tcPr>
          <w:p w:rsidR="00A55501" w:rsidRPr="00795AC3" w:rsidRDefault="00895D05" w:rsidP="00590400">
            <w:pPr>
              <w:widowControl/>
              <w:jc w:val="center"/>
              <w:rPr>
                <w:bCs/>
              </w:rPr>
            </w:pPr>
            <w:r>
              <w:rPr>
                <w:bCs/>
              </w:rPr>
              <w:t>807</w:t>
            </w:r>
            <w:r w:rsidR="00A55501" w:rsidRPr="00795AC3">
              <w:rPr>
                <w:bCs/>
              </w:rPr>
              <w:t xml:space="preserve"> </w:t>
            </w:r>
          </w:p>
        </w:tc>
        <w:tc>
          <w:tcPr>
            <w:tcW w:w="347" w:type="pct"/>
            <w:vAlign w:val="center"/>
          </w:tcPr>
          <w:p w:rsidR="00A55501" w:rsidRPr="00795AC3" w:rsidRDefault="00895D05" w:rsidP="007F15F7">
            <w:pPr>
              <w:widowControl/>
              <w:jc w:val="center"/>
              <w:rPr>
                <w:bCs/>
              </w:rPr>
            </w:pPr>
            <w:r>
              <w:rPr>
                <w:bCs/>
              </w:rPr>
              <w:t>1</w:t>
            </w:r>
            <w:r w:rsidR="000E2DAE">
              <w:rPr>
                <w:bCs/>
              </w:rPr>
              <w:t>06,704</w:t>
            </w:r>
            <w:r w:rsidR="00A55501" w:rsidRPr="00795AC3">
              <w:rPr>
                <w:bCs/>
              </w:rPr>
              <w:t xml:space="preserve"> </w:t>
            </w:r>
          </w:p>
        </w:tc>
        <w:tc>
          <w:tcPr>
            <w:tcW w:w="439" w:type="pct"/>
            <w:vAlign w:val="center"/>
          </w:tcPr>
          <w:p w:rsidR="00A55501" w:rsidRPr="00795AC3" w:rsidRDefault="00D06A4F" w:rsidP="007F15F7">
            <w:pPr>
              <w:widowControl/>
              <w:jc w:val="center"/>
              <w:rPr>
                <w:bCs/>
              </w:rPr>
            </w:pPr>
            <w:r>
              <w:rPr>
                <w:bCs/>
              </w:rPr>
              <w:t>$</w:t>
            </w:r>
            <w:r w:rsidR="000E2DAE">
              <w:rPr>
                <w:bCs/>
              </w:rPr>
              <w:t>9,559,039</w:t>
            </w:r>
          </w:p>
        </w:tc>
      </w:tr>
      <w:tr w:rsidR="000B2130" w:rsidRPr="00A55501" w:rsidTr="005F2634">
        <w:trPr>
          <w:jc w:val="center"/>
        </w:trPr>
        <w:tc>
          <w:tcPr>
            <w:tcW w:w="2491" w:type="pct"/>
          </w:tcPr>
          <w:p w:rsidR="00A55501" w:rsidRPr="00795AC3" w:rsidRDefault="004161CD" w:rsidP="004161CD">
            <w:pPr>
              <w:widowControl/>
              <w:ind w:left="173"/>
              <w:rPr>
                <w:bCs/>
              </w:rPr>
            </w:pPr>
            <w:r>
              <w:rPr>
                <w:bCs/>
              </w:rPr>
              <w:t xml:space="preserve">(c) Model C (App D -- </w:t>
            </w:r>
            <w:proofErr w:type="spellStart"/>
            <w:r w:rsidR="00A55501" w:rsidRPr="00795AC3">
              <w:rPr>
                <w:bCs/>
              </w:rPr>
              <w:t>NO</w:t>
            </w:r>
            <w:r w:rsidR="00A55501" w:rsidRPr="004161CD">
              <w:rPr>
                <w:bCs/>
                <w:vertAlign w:val="subscript"/>
              </w:rPr>
              <w:t>x</w:t>
            </w:r>
            <w:proofErr w:type="spellEnd"/>
            <w:r w:rsidR="00A55501" w:rsidRPr="00795AC3">
              <w:rPr>
                <w:bCs/>
              </w:rPr>
              <w:t xml:space="preserve"> CEM)</w:t>
            </w:r>
            <w:r w:rsidR="002B568B">
              <w:rPr>
                <w:bCs/>
              </w:rPr>
              <w:t>.</w:t>
            </w:r>
          </w:p>
        </w:tc>
        <w:tc>
          <w:tcPr>
            <w:tcW w:w="188" w:type="pct"/>
            <w:vAlign w:val="center"/>
          </w:tcPr>
          <w:p w:rsidR="00A55501" w:rsidRPr="00795AC3" w:rsidRDefault="00A55501" w:rsidP="003217E3">
            <w:pPr>
              <w:widowControl/>
              <w:tabs>
                <w:tab w:val="right" w:pos="303"/>
              </w:tabs>
              <w:jc w:val="center"/>
              <w:rPr>
                <w:bCs/>
              </w:rPr>
            </w:pPr>
            <w:r w:rsidRPr="00795AC3">
              <w:rPr>
                <w:bCs/>
              </w:rPr>
              <w:t xml:space="preserve">20 </w:t>
            </w:r>
          </w:p>
        </w:tc>
        <w:tc>
          <w:tcPr>
            <w:tcW w:w="188" w:type="pct"/>
            <w:vAlign w:val="center"/>
          </w:tcPr>
          <w:p w:rsidR="00A55501" w:rsidRPr="00795AC3" w:rsidRDefault="00A55501" w:rsidP="00562093">
            <w:pPr>
              <w:pStyle w:val="NormalWeb"/>
              <w:spacing w:before="0" w:beforeAutospacing="0" w:after="0" w:afterAutospacing="0"/>
              <w:jc w:val="center"/>
              <w:rPr>
                <w:bCs/>
                <w:sz w:val="20"/>
                <w:szCs w:val="20"/>
              </w:rPr>
            </w:pPr>
            <w:r w:rsidRPr="00795AC3">
              <w:rPr>
                <w:bCs/>
                <w:sz w:val="20"/>
                <w:szCs w:val="20"/>
              </w:rPr>
              <w:t xml:space="preserve">375 </w:t>
            </w:r>
          </w:p>
        </w:tc>
        <w:tc>
          <w:tcPr>
            <w:tcW w:w="190" w:type="pct"/>
            <w:vAlign w:val="center"/>
          </w:tcPr>
          <w:p w:rsidR="00A55501" w:rsidRPr="00795AC3" w:rsidRDefault="00A55501" w:rsidP="00562093">
            <w:pPr>
              <w:widowControl/>
              <w:jc w:val="center"/>
              <w:rPr>
                <w:bCs/>
              </w:rPr>
            </w:pPr>
            <w:r w:rsidRPr="00795AC3">
              <w:rPr>
                <w:bCs/>
              </w:rPr>
              <w:t xml:space="preserve">395 </w:t>
            </w:r>
          </w:p>
        </w:tc>
        <w:tc>
          <w:tcPr>
            <w:tcW w:w="282" w:type="pct"/>
            <w:vAlign w:val="center"/>
          </w:tcPr>
          <w:p w:rsidR="00A55501" w:rsidRPr="00795AC3" w:rsidRDefault="00D06A4F" w:rsidP="00AE0E7F">
            <w:pPr>
              <w:widowControl/>
              <w:jc w:val="center"/>
              <w:rPr>
                <w:bCs/>
              </w:rPr>
            </w:pPr>
            <w:r>
              <w:rPr>
                <w:bCs/>
              </w:rPr>
              <w:t>$</w:t>
            </w:r>
            <w:r w:rsidR="00895D05">
              <w:rPr>
                <w:bCs/>
              </w:rPr>
              <w:t>26,805</w:t>
            </w:r>
          </w:p>
        </w:tc>
        <w:tc>
          <w:tcPr>
            <w:tcW w:w="281" w:type="pct"/>
            <w:vAlign w:val="center"/>
          </w:tcPr>
          <w:p w:rsidR="00A55501" w:rsidRPr="00795AC3" w:rsidRDefault="00D06A4F" w:rsidP="00590400">
            <w:pPr>
              <w:widowControl/>
              <w:jc w:val="center"/>
              <w:rPr>
                <w:bCs/>
              </w:rPr>
            </w:pPr>
            <w:r>
              <w:rPr>
                <w:bCs/>
              </w:rPr>
              <w:t>$</w:t>
            </w:r>
            <w:r w:rsidR="00895D05">
              <w:rPr>
                <w:bCs/>
              </w:rPr>
              <w:t>17,818</w:t>
            </w:r>
            <w:r w:rsidR="00A55501" w:rsidRPr="00795AC3">
              <w:rPr>
                <w:bCs/>
              </w:rPr>
              <w:t xml:space="preserve"> </w:t>
            </w:r>
          </w:p>
        </w:tc>
        <w:tc>
          <w:tcPr>
            <w:tcW w:w="313" w:type="pct"/>
            <w:vAlign w:val="center"/>
          </w:tcPr>
          <w:p w:rsidR="00A55501" w:rsidRPr="00795AC3" w:rsidRDefault="00D06A4F" w:rsidP="007F15F7">
            <w:pPr>
              <w:widowControl/>
              <w:tabs>
                <w:tab w:val="right" w:pos="621"/>
                <w:tab w:val="right" w:pos="648"/>
              </w:tabs>
              <w:jc w:val="center"/>
              <w:rPr>
                <w:bCs/>
              </w:rPr>
            </w:pPr>
            <w:r>
              <w:rPr>
                <w:bCs/>
              </w:rPr>
              <w:t>$</w:t>
            </w:r>
            <w:r w:rsidR="00A55501" w:rsidRPr="00795AC3">
              <w:rPr>
                <w:bCs/>
              </w:rPr>
              <w:t>19,</w:t>
            </w:r>
            <w:r w:rsidR="00895D05">
              <w:rPr>
                <w:bCs/>
              </w:rPr>
              <w:t>661</w:t>
            </w:r>
          </w:p>
        </w:tc>
        <w:tc>
          <w:tcPr>
            <w:tcW w:w="281" w:type="pct"/>
            <w:vAlign w:val="center"/>
          </w:tcPr>
          <w:p w:rsidR="00A55501" w:rsidRPr="00795AC3" w:rsidRDefault="00A55501" w:rsidP="007F15F7">
            <w:pPr>
              <w:widowControl/>
              <w:jc w:val="center"/>
              <w:rPr>
                <w:bCs/>
              </w:rPr>
            </w:pPr>
            <w:r w:rsidRPr="00795AC3">
              <w:rPr>
                <w:bCs/>
              </w:rPr>
              <w:t>2,</w:t>
            </w:r>
            <w:r w:rsidR="00895D05">
              <w:rPr>
                <w:bCs/>
              </w:rPr>
              <w:t>790</w:t>
            </w:r>
            <w:r w:rsidRPr="00795AC3">
              <w:rPr>
                <w:bCs/>
              </w:rPr>
              <w:t xml:space="preserve"> </w:t>
            </w:r>
          </w:p>
        </w:tc>
        <w:tc>
          <w:tcPr>
            <w:tcW w:w="347" w:type="pct"/>
            <w:vAlign w:val="center"/>
          </w:tcPr>
          <w:p w:rsidR="00A55501" w:rsidRPr="00795AC3" w:rsidRDefault="00895D05" w:rsidP="00C26EE4">
            <w:pPr>
              <w:widowControl/>
              <w:jc w:val="center"/>
              <w:rPr>
                <w:bCs/>
              </w:rPr>
            </w:pPr>
            <w:r>
              <w:rPr>
                <w:bCs/>
              </w:rPr>
              <w:t>1,102,050</w:t>
            </w:r>
            <w:r w:rsidR="00A55501" w:rsidRPr="00795AC3">
              <w:rPr>
                <w:bCs/>
              </w:rPr>
              <w:t xml:space="preserve"> </w:t>
            </w:r>
          </w:p>
        </w:tc>
        <w:tc>
          <w:tcPr>
            <w:tcW w:w="439" w:type="pct"/>
            <w:vAlign w:val="center"/>
          </w:tcPr>
          <w:p w:rsidR="00A55501" w:rsidRPr="00795AC3" w:rsidRDefault="00D06A4F" w:rsidP="00EB3CAB">
            <w:pPr>
              <w:widowControl/>
              <w:jc w:val="center"/>
              <w:rPr>
                <w:bCs/>
              </w:rPr>
            </w:pPr>
            <w:r>
              <w:rPr>
                <w:bCs/>
              </w:rPr>
              <w:t>$</w:t>
            </w:r>
            <w:r w:rsidR="00895D05">
              <w:rPr>
                <w:bCs/>
              </w:rPr>
              <w:t>179,349,710</w:t>
            </w:r>
          </w:p>
        </w:tc>
      </w:tr>
      <w:tr w:rsidR="000B2130" w:rsidRPr="00A55501" w:rsidTr="005F2634">
        <w:trPr>
          <w:jc w:val="center"/>
        </w:trPr>
        <w:tc>
          <w:tcPr>
            <w:tcW w:w="2491" w:type="pct"/>
          </w:tcPr>
          <w:p w:rsidR="00A55501" w:rsidRPr="00795AC3" w:rsidRDefault="00A55501" w:rsidP="004161CD">
            <w:pPr>
              <w:widowControl/>
              <w:ind w:left="173"/>
              <w:rPr>
                <w:bCs/>
              </w:rPr>
            </w:pPr>
            <w:r w:rsidRPr="00795AC3">
              <w:rPr>
                <w:bCs/>
              </w:rPr>
              <w:t>(d) Model D (App D and E)</w:t>
            </w:r>
            <w:r w:rsidR="002B568B">
              <w:rPr>
                <w:bCs/>
              </w:rPr>
              <w:t>.</w:t>
            </w:r>
          </w:p>
        </w:tc>
        <w:tc>
          <w:tcPr>
            <w:tcW w:w="188" w:type="pct"/>
            <w:vAlign w:val="center"/>
          </w:tcPr>
          <w:p w:rsidR="00A55501" w:rsidRPr="00795AC3" w:rsidRDefault="00A55501" w:rsidP="003217E3">
            <w:pPr>
              <w:widowControl/>
              <w:tabs>
                <w:tab w:val="right" w:pos="303"/>
              </w:tabs>
              <w:jc w:val="center"/>
              <w:rPr>
                <w:bCs/>
              </w:rPr>
            </w:pPr>
            <w:r w:rsidRPr="00795AC3">
              <w:rPr>
                <w:bCs/>
              </w:rPr>
              <w:t xml:space="preserve">5 </w:t>
            </w:r>
          </w:p>
        </w:tc>
        <w:tc>
          <w:tcPr>
            <w:tcW w:w="188" w:type="pct"/>
            <w:vAlign w:val="center"/>
          </w:tcPr>
          <w:p w:rsidR="00A55501" w:rsidRPr="00795AC3" w:rsidRDefault="00A55501" w:rsidP="00562093">
            <w:pPr>
              <w:pStyle w:val="NormalWeb"/>
              <w:spacing w:before="0" w:beforeAutospacing="0" w:after="0" w:afterAutospacing="0"/>
              <w:jc w:val="center"/>
              <w:rPr>
                <w:bCs/>
                <w:sz w:val="20"/>
                <w:szCs w:val="20"/>
              </w:rPr>
            </w:pPr>
            <w:r w:rsidRPr="00795AC3">
              <w:rPr>
                <w:bCs/>
                <w:sz w:val="20"/>
                <w:szCs w:val="20"/>
              </w:rPr>
              <w:t xml:space="preserve">30 </w:t>
            </w:r>
          </w:p>
        </w:tc>
        <w:tc>
          <w:tcPr>
            <w:tcW w:w="190" w:type="pct"/>
            <w:vAlign w:val="center"/>
          </w:tcPr>
          <w:p w:rsidR="00A55501" w:rsidRPr="00795AC3" w:rsidRDefault="00A55501" w:rsidP="00562093">
            <w:pPr>
              <w:widowControl/>
              <w:jc w:val="center"/>
              <w:rPr>
                <w:bCs/>
              </w:rPr>
            </w:pPr>
            <w:r w:rsidRPr="00795AC3">
              <w:rPr>
                <w:bCs/>
              </w:rPr>
              <w:t xml:space="preserve">35 </w:t>
            </w:r>
          </w:p>
        </w:tc>
        <w:tc>
          <w:tcPr>
            <w:tcW w:w="282" w:type="pct"/>
            <w:vAlign w:val="center"/>
          </w:tcPr>
          <w:p w:rsidR="00A55501" w:rsidRPr="00795AC3" w:rsidRDefault="00D06A4F" w:rsidP="00AE0E7F">
            <w:pPr>
              <w:widowControl/>
              <w:jc w:val="center"/>
              <w:rPr>
                <w:bCs/>
              </w:rPr>
            </w:pPr>
            <w:r>
              <w:rPr>
                <w:bCs/>
              </w:rPr>
              <w:t>$</w:t>
            </w:r>
            <w:r w:rsidR="00895D05">
              <w:rPr>
                <w:bCs/>
              </w:rPr>
              <w:t>2,492</w:t>
            </w:r>
            <w:r w:rsidR="00A55501" w:rsidRPr="00795AC3">
              <w:rPr>
                <w:bCs/>
              </w:rPr>
              <w:t xml:space="preserve"> </w:t>
            </w:r>
          </w:p>
        </w:tc>
        <w:tc>
          <w:tcPr>
            <w:tcW w:w="281" w:type="pct"/>
            <w:vAlign w:val="center"/>
          </w:tcPr>
          <w:p w:rsidR="00A55501" w:rsidRPr="00795AC3" w:rsidRDefault="00D06A4F" w:rsidP="00D06A4F">
            <w:pPr>
              <w:widowControl/>
              <w:jc w:val="center"/>
              <w:rPr>
                <w:bCs/>
              </w:rPr>
            </w:pPr>
            <w:r>
              <w:rPr>
                <w:bCs/>
              </w:rPr>
              <w:t>$</w:t>
            </w:r>
            <w:r w:rsidR="00A55501" w:rsidRPr="00795AC3">
              <w:rPr>
                <w:bCs/>
              </w:rPr>
              <w:t xml:space="preserve">1,843 </w:t>
            </w:r>
          </w:p>
        </w:tc>
        <w:tc>
          <w:tcPr>
            <w:tcW w:w="313" w:type="pct"/>
            <w:vAlign w:val="center"/>
          </w:tcPr>
          <w:p w:rsidR="00A55501" w:rsidRPr="00795AC3" w:rsidRDefault="00D06A4F" w:rsidP="00AE0E7F">
            <w:pPr>
              <w:widowControl/>
              <w:tabs>
                <w:tab w:val="right" w:pos="621"/>
                <w:tab w:val="right" w:pos="648"/>
              </w:tabs>
              <w:jc w:val="center"/>
              <w:rPr>
                <w:bCs/>
              </w:rPr>
            </w:pPr>
            <w:r>
              <w:rPr>
                <w:bCs/>
              </w:rPr>
              <w:t>$</w:t>
            </w:r>
            <w:r w:rsidR="00A55501" w:rsidRPr="00795AC3">
              <w:rPr>
                <w:bCs/>
              </w:rPr>
              <w:t>2,3</w:t>
            </w:r>
            <w:r w:rsidR="00895D05">
              <w:rPr>
                <w:bCs/>
              </w:rPr>
              <w:t>59</w:t>
            </w:r>
            <w:r w:rsidR="00A55501" w:rsidRPr="00795AC3">
              <w:rPr>
                <w:bCs/>
              </w:rPr>
              <w:t xml:space="preserve"> </w:t>
            </w:r>
          </w:p>
        </w:tc>
        <w:tc>
          <w:tcPr>
            <w:tcW w:w="281" w:type="pct"/>
            <w:vAlign w:val="center"/>
          </w:tcPr>
          <w:p w:rsidR="00A55501" w:rsidRPr="00795AC3" w:rsidRDefault="00895D05" w:rsidP="00590400">
            <w:pPr>
              <w:widowControl/>
              <w:jc w:val="center"/>
              <w:rPr>
                <w:bCs/>
              </w:rPr>
            </w:pPr>
            <w:r>
              <w:rPr>
                <w:bCs/>
              </w:rPr>
              <w:t>300</w:t>
            </w:r>
            <w:r w:rsidR="00A55501" w:rsidRPr="00795AC3">
              <w:rPr>
                <w:bCs/>
              </w:rPr>
              <w:t xml:space="preserve"> </w:t>
            </w:r>
          </w:p>
        </w:tc>
        <w:tc>
          <w:tcPr>
            <w:tcW w:w="347" w:type="pct"/>
            <w:vAlign w:val="center"/>
          </w:tcPr>
          <w:p w:rsidR="00A55501" w:rsidRPr="00795AC3" w:rsidRDefault="00895D05" w:rsidP="007F15F7">
            <w:pPr>
              <w:widowControl/>
              <w:jc w:val="center"/>
              <w:rPr>
                <w:bCs/>
              </w:rPr>
            </w:pPr>
            <w:r>
              <w:rPr>
                <w:bCs/>
              </w:rPr>
              <w:t>10,500</w:t>
            </w:r>
            <w:r w:rsidR="00A55501" w:rsidRPr="00795AC3">
              <w:rPr>
                <w:bCs/>
              </w:rPr>
              <w:t xml:space="preserve"> </w:t>
            </w:r>
          </w:p>
        </w:tc>
        <w:tc>
          <w:tcPr>
            <w:tcW w:w="439" w:type="pct"/>
            <w:vAlign w:val="center"/>
          </w:tcPr>
          <w:p w:rsidR="00A55501" w:rsidRPr="00795AC3" w:rsidRDefault="00D06A4F" w:rsidP="000E2DAE">
            <w:pPr>
              <w:widowControl/>
              <w:jc w:val="center"/>
              <w:rPr>
                <w:bCs/>
              </w:rPr>
            </w:pPr>
            <w:r>
              <w:rPr>
                <w:bCs/>
              </w:rPr>
              <w:t>$</w:t>
            </w:r>
            <w:r w:rsidR="000E2DAE">
              <w:rPr>
                <w:bCs/>
              </w:rPr>
              <w:t>1,266,389</w:t>
            </w:r>
          </w:p>
        </w:tc>
      </w:tr>
      <w:tr w:rsidR="000B2130" w:rsidRPr="00A55501" w:rsidTr="005F2634">
        <w:trPr>
          <w:jc w:val="center"/>
        </w:trPr>
        <w:tc>
          <w:tcPr>
            <w:tcW w:w="2491" w:type="pct"/>
          </w:tcPr>
          <w:p w:rsidR="00A55501" w:rsidRPr="00795AC3" w:rsidRDefault="00A55501" w:rsidP="004161CD">
            <w:pPr>
              <w:widowControl/>
              <w:ind w:left="173"/>
              <w:rPr>
                <w:bCs/>
              </w:rPr>
            </w:pPr>
            <w:r w:rsidRPr="00795AC3">
              <w:rPr>
                <w:bCs/>
              </w:rPr>
              <w:t>(e) Model E (LME)</w:t>
            </w:r>
            <w:r w:rsidR="002B568B">
              <w:rPr>
                <w:bCs/>
              </w:rPr>
              <w:t>.</w:t>
            </w:r>
          </w:p>
        </w:tc>
        <w:tc>
          <w:tcPr>
            <w:tcW w:w="188" w:type="pct"/>
            <w:vAlign w:val="center"/>
          </w:tcPr>
          <w:p w:rsidR="00A55501" w:rsidRPr="00795AC3" w:rsidRDefault="000C0149" w:rsidP="002D3113">
            <w:pPr>
              <w:widowControl/>
              <w:tabs>
                <w:tab w:val="right" w:pos="303"/>
              </w:tabs>
              <w:jc w:val="center"/>
              <w:rPr>
                <w:bCs/>
              </w:rPr>
            </w:pPr>
            <w:r>
              <w:rPr>
                <w:bCs/>
              </w:rPr>
              <w:t>-</w:t>
            </w:r>
          </w:p>
        </w:tc>
        <w:tc>
          <w:tcPr>
            <w:tcW w:w="188" w:type="pct"/>
            <w:vAlign w:val="center"/>
          </w:tcPr>
          <w:p w:rsidR="00A55501" w:rsidRPr="00795AC3" w:rsidRDefault="000C0149" w:rsidP="002D3113">
            <w:pPr>
              <w:pStyle w:val="NormalWeb"/>
              <w:tabs>
                <w:tab w:val="right" w:pos="301"/>
              </w:tabs>
              <w:spacing w:before="0" w:beforeAutospacing="0" w:after="0" w:afterAutospacing="0"/>
              <w:jc w:val="center"/>
              <w:rPr>
                <w:bCs/>
                <w:sz w:val="20"/>
                <w:szCs w:val="20"/>
              </w:rPr>
            </w:pPr>
            <w:r>
              <w:rPr>
                <w:bCs/>
                <w:sz w:val="20"/>
                <w:szCs w:val="20"/>
              </w:rPr>
              <w:t>-</w:t>
            </w:r>
          </w:p>
        </w:tc>
        <w:tc>
          <w:tcPr>
            <w:tcW w:w="190" w:type="pct"/>
            <w:vAlign w:val="center"/>
          </w:tcPr>
          <w:p w:rsidR="00A55501" w:rsidRPr="00795AC3" w:rsidRDefault="000C0149" w:rsidP="002D3113">
            <w:pPr>
              <w:widowControl/>
              <w:tabs>
                <w:tab w:val="right" w:pos="299"/>
              </w:tabs>
              <w:jc w:val="center"/>
              <w:rPr>
                <w:bCs/>
              </w:rPr>
            </w:pPr>
            <w:r>
              <w:rPr>
                <w:bCs/>
              </w:rPr>
              <w:t>-</w:t>
            </w:r>
          </w:p>
        </w:tc>
        <w:tc>
          <w:tcPr>
            <w:tcW w:w="282" w:type="pct"/>
            <w:vAlign w:val="center"/>
          </w:tcPr>
          <w:p w:rsidR="00A55501" w:rsidRPr="00795AC3" w:rsidRDefault="000C0149" w:rsidP="002B1959">
            <w:pPr>
              <w:widowControl/>
              <w:tabs>
                <w:tab w:val="right" w:pos="532"/>
              </w:tabs>
              <w:rPr>
                <w:bCs/>
              </w:rPr>
            </w:pPr>
            <w:r>
              <w:rPr>
                <w:bCs/>
              </w:rPr>
              <w:t>$</w:t>
            </w:r>
            <w:r>
              <w:rPr>
                <w:bCs/>
              </w:rPr>
              <w:tab/>
              <w:t>-</w:t>
            </w:r>
          </w:p>
        </w:tc>
        <w:tc>
          <w:tcPr>
            <w:tcW w:w="281" w:type="pct"/>
            <w:vAlign w:val="center"/>
          </w:tcPr>
          <w:p w:rsidR="00A55501" w:rsidRPr="00795AC3" w:rsidRDefault="00CA0DEA" w:rsidP="00CA0DEA">
            <w:pPr>
              <w:widowControl/>
              <w:jc w:val="center"/>
              <w:rPr>
                <w:bCs/>
              </w:rPr>
            </w:pPr>
            <w:r>
              <w:rPr>
                <w:bCs/>
              </w:rPr>
              <w:t>$</w:t>
            </w:r>
            <w:r w:rsidR="00A55501" w:rsidRPr="00795AC3">
              <w:rPr>
                <w:bCs/>
              </w:rPr>
              <w:t xml:space="preserve">1,991 </w:t>
            </w:r>
          </w:p>
        </w:tc>
        <w:tc>
          <w:tcPr>
            <w:tcW w:w="313" w:type="pct"/>
            <w:vAlign w:val="center"/>
          </w:tcPr>
          <w:p w:rsidR="00A55501" w:rsidRPr="00795AC3" w:rsidRDefault="000C0149" w:rsidP="004A7BCE">
            <w:pPr>
              <w:widowControl/>
              <w:tabs>
                <w:tab w:val="right" w:pos="621"/>
                <w:tab w:val="right" w:pos="648"/>
              </w:tabs>
              <w:rPr>
                <w:bCs/>
              </w:rPr>
            </w:pPr>
            <w:r>
              <w:rPr>
                <w:bCs/>
              </w:rPr>
              <w:t>$</w:t>
            </w:r>
            <w:r>
              <w:rPr>
                <w:bCs/>
              </w:rPr>
              <w:tab/>
              <w:t>-</w:t>
            </w:r>
          </w:p>
        </w:tc>
        <w:tc>
          <w:tcPr>
            <w:tcW w:w="281" w:type="pct"/>
            <w:vAlign w:val="center"/>
          </w:tcPr>
          <w:p w:rsidR="00A55501" w:rsidRPr="00795AC3" w:rsidRDefault="00A55501" w:rsidP="00562093">
            <w:pPr>
              <w:widowControl/>
              <w:jc w:val="center"/>
              <w:rPr>
                <w:bCs/>
              </w:rPr>
            </w:pPr>
            <w:r w:rsidRPr="00795AC3">
              <w:rPr>
                <w:bCs/>
              </w:rPr>
              <w:t xml:space="preserve">145 </w:t>
            </w:r>
          </w:p>
        </w:tc>
        <w:tc>
          <w:tcPr>
            <w:tcW w:w="347" w:type="pct"/>
            <w:vAlign w:val="center"/>
          </w:tcPr>
          <w:p w:rsidR="00A55501" w:rsidRPr="00795AC3" w:rsidRDefault="000C0149" w:rsidP="002D3113">
            <w:pPr>
              <w:widowControl/>
              <w:tabs>
                <w:tab w:val="right" w:pos="696"/>
              </w:tabs>
              <w:jc w:val="center"/>
              <w:rPr>
                <w:bCs/>
              </w:rPr>
            </w:pPr>
            <w:r>
              <w:rPr>
                <w:bCs/>
              </w:rPr>
              <w:t>-</w:t>
            </w:r>
          </w:p>
        </w:tc>
        <w:tc>
          <w:tcPr>
            <w:tcW w:w="439" w:type="pct"/>
            <w:vAlign w:val="center"/>
          </w:tcPr>
          <w:p w:rsidR="00A55501" w:rsidRPr="00795AC3" w:rsidRDefault="00F67757" w:rsidP="00CA0DEA">
            <w:pPr>
              <w:widowControl/>
              <w:jc w:val="center"/>
              <w:rPr>
                <w:bCs/>
              </w:rPr>
            </w:pPr>
            <w:r>
              <w:rPr>
                <w:bCs/>
              </w:rPr>
              <w:t>$2</w:t>
            </w:r>
            <w:r w:rsidR="000E2DAE">
              <w:rPr>
                <w:bCs/>
              </w:rPr>
              <w:t>91,595</w:t>
            </w:r>
          </w:p>
        </w:tc>
      </w:tr>
      <w:tr w:rsidR="000B2130" w:rsidRPr="00A55501" w:rsidTr="005F2634">
        <w:trPr>
          <w:jc w:val="center"/>
        </w:trPr>
        <w:tc>
          <w:tcPr>
            <w:tcW w:w="2491" w:type="pct"/>
            <w:tcBorders>
              <w:bottom w:val="single" w:sz="2" w:space="0" w:color="auto"/>
            </w:tcBorders>
          </w:tcPr>
          <w:p w:rsidR="00A55501" w:rsidRPr="00795AC3" w:rsidRDefault="00A55501" w:rsidP="004161CD">
            <w:pPr>
              <w:widowControl/>
              <w:ind w:left="173"/>
              <w:rPr>
                <w:bCs/>
              </w:rPr>
            </w:pPr>
            <w:r w:rsidRPr="00795AC3">
              <w:rPr>
                <w:bCs/>
              </w:rPr>
              <w:t>(f) Model F (H</w:t>
            </w:r>
            <w:r w:rsidRPr="004161CD">
              <w:rPr>
                <w:bCs/>
                <w:vertAlign w:val="subscript"/>
              </w:rPr>
              <w:t>2</w:t>
            </w:r>
            <w:r w:rsidRPr="00795AC3">
              <w:rPr>
                <w:bCs/>
              </w:rPr>
              <w:t>O)</w:t>
            </w:r>
            <w:r w:rsidR="002B568B">
              <w:rPr>
                <w:bCs/>
              </w:rPr>
              <w:t>.</w:t>
            </w:r>
          </w:p>
        </w:tc>
        <w:tc>
          <w:tcPr>
            <w:tcW w:w="188" w:type="pct"/>
            <w:tcBorders>
              <w:bottom w:val="single" w:sz="2" w:space="0" w:color="auto"/>
            </w:tcBorders>
            <w:vAlign w:val="center"/>
          </w:tcPr>
          <w:p w:rsidR="00A55501" w:rsidRPr="00795AC3" w:rsidRDefault="000C0149" w:rsidP="002D3113">
            <w:pPr>
              <w:widowControl/>
              <w:tabs>
                <w:tab w:val="right" w:pos="303"/>
              </w:tabs>
              <w:jc w:val="center"/>
              <w:rPr>
                <w:bCs/>
              </w:rPr>
            </w:pPr>
            <w:r>
              <w:rPr>
                <w:bCs/>
              </w:rPr>
              <w:t>-</w:t>
            </w:r>
          </w:p>
        </w:tc>
        <w:tc>
          <w:tcPr>
            <w:tcW w:w="188" w:type="pct"/>
            <w:tcBorders>
              <w:bottom w:val="single" w:sz="2" w:space="0" w:color="auto"/>
            </w:tcBorders>
            <w:vAlign w:val="center"/>
          </w:tcPr>
          <w:p w:rsidR="00A55501" w:rsidRPr="00795AC3" w:rsidRDefault="00766028" w:rsidP="003217E3">
            <w:pPr>
              <w:pStyle w:val="NormalWeb"/>
              <w:tabs>
                <w:tab w:val="right" w:pos="301"/>
              </w:tabs>
              <w:spacing w:before="0" w:beforeAutospacing="0" w:after="0" w:afterAutospacing="0"/>
              <w:jc w:val="center"/>
              <w:rPr>
                <w:bCs/>
                <w:sz w:val="20"/>
                <w:szCs w:val="20"/>
              </w:rPr>
            </w:pPr>
            <w:r w:rsidRPr="00795AC3">
              <w:rPr>
                <w:bCs/>
                <w:sz w:val="20"/>
                <w:szCs w:val="20"/>
              </w:rPr>
              <w:t>40</w:t>
            </w:r>
          </w:p>
        </w:tc>
        <w:tc>
          <w:tcPr>
            <w:tcW w:w="190" w:type="pct"/>
            <w:tcBorders>
              <w:bottom w:val="single" w:sz="2" w:space="0" w:color="auto"/>
            </w:tcBorders>
            <w:vAlign w:val="center"/>
          </w:tcPr>
          <w:p w:rsidR="00A55501" w:rsidRPr="00795AC3" w:rsidRDefault="00A55501" w:rsidP="003217E3">
            <w:pPr>
              <w:widowControl/>
              <w:tabs>
                <w:tab w:val="right" w:pos="299"/>
              </w:tabs>
              <w:jc w:val="center"/>
              <w:rPr>
                <w:bCs/>
              </w:rPr>
            </w:pPr>
            <w:r w:rsidRPr="00795AC3">
              <w:rPr>
                <w:bCs/>
              </w:rPr>
              <w:t xml:space="preserve">40 </w:t>
            </w:r>
          </w:p>
        </w:tc>
        <w:tc>
          <w:tcPr>
            <w:tcW w:w="282" w:type="pct"/>
            <w:tcBorders>
              <w:bottom w:val="single" w:sz="2" w:space="0" w:color="auto"/>
            </w:tcBorders>
            <w:vAlign w:val="center"/>
          </w:tcPr>
          <w:p w:rsidR="00A55501" w:rsidRPr="00795AC3" w:rsidRDefault="00CA0DEA" w:rsidP="00AE0E7F">
            <w:pPr>
              <w:widowControl/>
              <w:tabs>
                <w:tab w:val="right" w:pos="532"/>
              </w:tabs>
              <w:jc w:val="center"/>
              <w:rPr>
                <w:bCs/>
              </w:rPr>
            </w:pPr>
            <w:r>
              <w:rPr>
                <w:bCs/>
              </w:rPr>
              <w:t>$</w:t>
            </w:r>
            <w:r w:rsidR="00A55501" w:rsidRPr="00795AC3">
              <w:rPr>
                <w:bCs/>
              </w:rPr>
              <w:t>2,</w:t>
            </w:r>
            <w:r w:rsidR="00895D05">
              <w:rPr>
                <w:bCs/>
              </w:rPr>
              <w:t>641</w:t>
            </w:r>
            <w:r w:rsidR="00A55501" w:rsidRPr="00795AC3">
              <w:rPr>
                <w:bCs/>
              </w:rPr>
              <w:t xml:space="preserve"> </w:t>
            </w:r>
          </w:p>
        </w:tc>
        <w:tc>
          <w:tcPr>
            <w:tcW w:w="281" w:type="pct"/>
            <w:tcBorders>
              <w:bottom w:val="single" w:sz="2" w:space="0" w:color="auto"/>
            </w:tcBorders>
            <w:vAlign w:val="center"/>
          </w:tcPr>
          <w:p w:rsidR="00A55501" w:rsidRPr="00795AC3" w:rsidRDefault="00CA0DEA" w:rsidP="00CA0DEA">
            <w:pPr>
              <w:widowControl/>
              <w:jc w:val="center"/>
              <w:rPr>
                <w:bCs/>
              </w:rPr>
            </w:pPr>
            <w:r>
              <w:rPr>
                <w:bCs/>
              </w:rPr>
              <w:t>$</w:t>
            </w:r>
            <w:r w:rsidR="00A55501" w:rsidRPr="00795AC3">
              <w:rPr>
                <w:bCs/>
              </w:rPr>
              <w:t xml:space="preserve">8,192 </w:t>
            </w:r>
          </w:p>
        </w:tc>
        <w:tc>
          <w:tcPr>
            <w:tcW w:w="313" w:type="pct"/>
            <w:tcBorders>
              <w:bottom w:val="single" w:sz="2" w:space="0" w:color="auto"/>
            </w:tcBorders>
            <w:vAlign w:val="center"/>
          </w:tcPr>
          <w:p w:rsidR="00A55501" w:rsidRPr="00795AC3" w:rsidRDefault="00CA0DEA" w:rsidP="00AE0E7F">
            <w:pPr>
              <w:widowControl/>
              <w:tabs>
                <w:tab w:val="right" w:pos="621"/>
                <w:tab w:val="right" w:pos="648"/>
              </w:tabs>
              <w:jc w:val="center"/>
              <w:rPr>
                <w:bCs/>
              </w:rPr>
            </w:pPr>
            <w:r>
              <w:rPr>
                <w:bCs/>
              </w:rPr>
              <w:t>$</w:t>
            </w:r>
            <w:r w:rsidR="00A55501" w:rsidRPr="00795AC3">
              <w:rPr>
                <w:bCs/>
              </w:rPr>
              <w:t>8</w:t>
            </w:r>
            <w:r w:rsidR="00895D05">
              <w:rPr>
                <w:bCs/>
              </w:rPr>
              <w:t>95</w:t>
            </w:r>
            <w:r w:rsidR="00A55501" w:rsidRPr="00795AC3">
              <w:rPr>
                <w:bCs/>
              </w:rPr>
              <w:t xml:space="preserve"> </w:t>
            </w:r>
          </w:p>
        </w:tc>
        <w:tc>
          <w:tcPr>
            <w:tcW w:w="281" w:type="pct"/>
            <w:tcBorders>
              <w:bottom w:val="single" w:sz="2" w:space="0" w:color="auto"/>
            </w:tcBorders>
            <w:vAlign w:val="center"/>
          </w:tcPr>
          <w:p w:rsidR="00A55501" w:rsidRPr="00795AC3" w:rsidRDefault="00895D05" w:rsidP="00CA0DEA">
            <w:pPr>
              <w:widowControl/>
              <w:jc w:val="center"/>
              <w:rPr>
                <w:bCs/>
              </w:rPr>
            </w:pPr>
            <w:r>
              <w:rPr>
                <w:bCs/>
              </w:rPr>
              <w:t>5</w:t>
            </w:r>
            <w:r w:rsidR="00766028" w:rsidRPr="00795AC3">
              <w:rPr>
                <w:bCs/>
              </w:rPr>
              <w:t>2</w:t>
            </w:r>
          </w:p>
        </w:tc>
        <w:tc>
          <w:tcPr>
            <w:tcW w:w="347" w:type="pct"/>
            <w:tcBorders>
              <w:bottom w:val="single" w:sz="2" w:space="0" w:color="auto"/>
            </w:tcBorders>
            <w:vAlign w:val="center"/>
          </w:tcPr>
          <w:p w:rsidR="00A55501" w:rsidRPr="00795AC3" w:rsidRDefault="00895D05" w:rsidP="00AE0E7F">
            <w:pPr>
              <w:widowControl/>
              <w:tabs>
                <w:tab w:val="right" w:pos="696"/>
              </w:tabs>
              <w:jc w:val="center"/>
              <w:rPr>
                <w:bCs/>
              </w:rPr>
            </w:pPr>
            <w:r>
              <w:rPr>
                <w:bCs/>
              </w:rPr>
              <w:t>2,0</w:t>
            </w:r>
            <w:r w:rsidR="00A55501" w:rsidRPr="00795AC3">
              <w:rPr>
                <w:bCs/>
              </w:rPr>
              <w:t xml:space="preserve">80 </w:t>
            </w:r>
          </w:p>
        </w:tc>
        <w:tc>
          <w:tcPr>
            <w:tcW w:w="439" w:type="pct"/>
            <w:tcBorders>
              <w:bottom w:val="single" w:sz="2" w:space="0" w:color="auto"/>
            </w:tcBorders>
            <w:vAlign w:val="center"/>
          </w:tcPr>
          <w:p w:rsidR="00A55501" w:rsidRPr="00795AC3" w:rsidRDefault="00A55501" w:rsidP="00590400">
            <w:pPr>
              <w:widowControl/>
              <w:jc w:val="center"/>
              <w:rPr>
                <w:bCs/>
              </w:rPr>
            </w:pPr>
            <w:r w:rsidRPr="00795AC3">
              <w:rPr>
                <w:bCs/>
              </w:rPr>
              <w:t>$</w:t>
            </w:r>
            <w:r w:rsidR="00895D05">
              <w:rPr>
                <w:bCs/>
              </w:rPr>
              <w:t>609,892</w:t>
            </w:r>
          </w:p>
        </w:tc>
      </w:tr>
      <w:tr w:rsidR="000B2130" w:rsidRPr="00A55501" w:rsidTr="005F2634">
        <w:trPr>
          <w:jc w:val="center"/>
        </w:trPr>
        <w:tc>
          <w:tcPr>
            <w:tcW w:w="2491" w:type="pct"/>
            <w:tcBorders>
              <w:top w:val="single" w:sz="2" w:space="0" w:color="auto"/>
              <w:bottom w:val="single" w:sz="2" w:space="0" w:color="auto"/>
            </w:tcBorders>
          </w:tcPr>
          <w:p w:rsidR="00A55501" w:rsidRPr="00795AC3" w:rsidRDefault="00A55501" w:rsidP="00D06A4F">
            <w:pPr>
              <w:widowControl/>
              <w:rPr>
                <w:bCs/>
              </w:rPr>
            </w:pPr>
            <w:r w:rsidRPr="00795AC3">
              <w:rPr>
                <w:bCs/>
              </w:rPr>
              <w:t>7a</w:t>
            </w:r>
            <w:r w:rsidR="00562093" w:rsidRPr="00795AC3">
              <w:rPr>
                <w:bCs/>
              </w:rPr>
              <w:t xml:space="preserve">.  </w:t>
            </w:r>
            <w:r w:rsidRPr="00795AC3">
              <w:rPr>
                <w:bCs/>
              </w:rPr>
              <w:t>Assure Data Quality, Prepare Reports (inc</w:t>
            </w:r>
            <w:r w:rsidR="00CA0DEA">
              <w:rPr>
                <w:bCs/>
              </w:rPr>
              <w:t xml:space="preserve">. </w:t>
            </w:r>
            <w:r w:rsidRPr="00795AC3">
              <w:rPr>
                <w:bCs/>
              </w:rPr>
              <w:t>monitor plan update), Submit Reports</w:t>
            </w:r>
            <w:r w:rsidR="002B568B">
              <w:rPr>
                <w:bCs/>
              </w:rPr>
              <w:t>.</w:t>
            </w:r>
          </w:p>
        </w:tc>
        <w:tc>
          <w:tcPr>
            <w:tcW w:w="188" w:type="pct"/>
            <w:tcBorders>
              <w:top w:val="single" w:sz="2" w:space="0" w:color="auto"/>
              <w:bottom w:val="single" w:sz="2" w:space="0" w:color="auto"/>
            </w:tcBorders>
            <w:vAlign w:val="center"/>
          </w:tcPr>
          <w:p w:rsidR="00A55501" w:rsidRPr="00795AC3" w:rsidRDefault="00A55501" w:rsidP="003217E3">
            <w:pPr>
              <w:widowControl/>
              <w:tabs>
                <w:tab w:val="right" w:pos="303"/>
              </w:tabs>
              <w:jc w:val="center"/>
              <w:rPr>
                <w:bCs/>
              </w:rPr>
            </w:pPr>
            <w:r w:rsidRPr="00795AC3">
              <w:rPr>
                <w:bCs/>
              </w:rPr>
              <w:t xml:space="preserve">20 </w:t>
            </w:r>
          </w:p>
        </w:tc>
        <w:tc>
          <w:tcPr>
            <w:tcW w:w="188" w:type="pct"/>
            <w:tcBorders>
              <w:top w:val="single" w:sz="2" w:space="0" w:color="auto"/>
              <w:bottom w:val="single" w:sz="2" w:space="0" w:color="auto"/>
            </w:tcBorders>
            <w:vAlign w:val="center"/>
          </w:tcPr>
          <w:p w:rsidR="00A55501" w:rsidRPr="00795AC3" w:rsidRDefault="00A55501" w:rsidP="003217E3">
            <w:pPr>
              <w:pStyle w:val="NormalWeb"/>
              <w:tabs>
                <w:tab w:val="right" w:pos="301"/>
              </w:tabs>
              <w:spacing w:before="0" w:beforeAutospacing="0" w:after="0" w:afterAutospacing="0"/>
              <w:jc w:val="center"/>
              <w:rPr>
                <w:bCs/>
                <w:sz w:val="20"/>
                <w:szCs w:val="20"/>
              </w:rPr>
            </w:pPr>
            <w:r w:rsidRPr="00795AC3">
              <w:rPr>
                <w:bCs/>
                <w:sz w:val="20"/>
                <w:szCs w:val="20"/>
              </w:rPr>
              <w:t xml:space="preserve">82 </w:t>
            </w:r>
          </w:p>
        </w:tc>
        <w:tc>
          <w:tcPr>
            <w:tcW w:w="190" w:type="pct"/>
            <w:tcBorders>
              <w:top w:val="single" w:sz="2" w:space="0" w:color="auto"/>
              <w:bottom w:val="single" w:sz="2" w:space="0" w:color="auto"/>
            </w:tcBorders>
            <w:vAlign w:val="center"/>
          </w:tcPr>
          <w:p w:rsidR="00A55501" w:rsidRPr="00795AC3" w:rsidRDefault="00A55501" w:rsidP="003217E3">
            <w:pPr>
              <w:widowControl/>
              <w:tabs>
                <w:tab w:val="right" w:pos="299"/>
              </w:tabs>
              <w:jc w:val="center"/>
              <w:rPr>
                <w:bCs/>
              </w:rPr>
            </w:pPr>
            <w:r w:rsidRPr="00795AC3">
              <w:rPr>
                <w:bCs/>
              </w:rPr>
              <w:t xml:space="preserve">102 </w:t>
            </w:r>
          </w:p>
        </w:tc>
        <w:tc>
          <w:tcPr>
            <w:tcW w:w="282" w:type="pct"/>
            <w:tcBorders>
              <w:top w:val="single" w:sz="2" w:space="0" w:color="auto"/>
              <w:bottom w:val="single" w:sz="2" w:space="0" w:color="auto"/>
            </w:tcBorders>
            <w:vAlign w:val="center"/>
          </w:tcPr>
          <w:p w:rsidR="00A55501" w:rsidRPr="00795AC3" w:rsidRDefault="00A55501" w:rsidP="00AE0E7F">
            <w:pPr>
              <w:widowControl/>
              <w:tabs>
                <w:tab w:val="right" w:pos="532"/>
              </w:tabs>
              <w:jc w:val="center"/>
              <w:rPr>
                <w:bCs/>
              </w:rPr>
            </w:pPr>
            <w:r w:rsidRPr="00795AC3">
              <w:rPr>
                <w:bCs/>
              </w:rPr>
              <w:t>$7,</w:t>
            </w:r>
            <w:r w:rsidR="00895D05">
              <w:rPr>
                <w:bCs/>
              </w:rPr>
              <w:t>458</w:t>
            </w:r>
            <w:r w:rsidRPr="00795AC3">
              <w:rPr>
                <w:bCs/>
              </w:rPr>
              <w:t xml:space="preserve"> </w:t>
            </w:r>
          </w:p>
        </w:tc>
        <w:tc>
          <w:tcPr>
            <w:tcW w:w="281" w:type="pct"/>
            <w:tcBorders>
              <w:top w:val="single" w:sz="2" w:space="0" w:color="auto"/>
              <w:bottom w:val="single" w:sz="2" w:space="0" w:color="auto"/>
            </w:tcBorders>
            <w:vAlign w:val="center"/>
          </w:tcPr>
          <w:p w:rsidR="00A55501" w:rsidRPr="00795AC3" w:rsidRDefault="002B568B" w:rsidP="002B1959">
            <w:pPr>
              <w:widowControl/>
              <w:tabs>
                <w:tab w:val="right" w:pos="530"/>
              </w:tabs>
              <w:rPr>
                <w:bCs/>
              </w:rPr>
            </w:pPr>
            <w:r>
              <w:rPr>
                <w:bCs/>
              </w:rPr>
              <w:t>$</w:t>
            </w:r>
            <w:r w:rsidR="000C0149">
              <w:rPr>
                <w:bCs/>
              </w:rPr>
              <w:tab/>
              <w:t>-</w:t>
            </w:r>
          </w:p>
        </w:tc>
        <w:tc>
          <w:tcPr>
            <w:tcW w:w="313" w:type="pct"/>
            <w:tcBorders>
              <w:top w:val="single" w:sz="2" w:space="0" w:color="auto"/>
              <w:bottom w:val="single" w:sz="2" w:space="0" w:color="auto"/>
            </w:tcBorders>
            <w:vAlign w:val="center"/>
          </w:tcPr>
          <w:p w:rsidR="00A55501" w:rsidRPr="00795AC3" w:rsidRDefault="002B568B" w:rsidP="004A7BCE">
            <w:pPr>
              <w:widowControl/>
              <w:tabs>
                <w:tab w:val="right" w:pos="621"/>
                <w:tab w:val="right" w:pos="648"/>
              </w:tabs>
              <w:rPr>
                <w:bCs/>
              </w:rPr>
            </w:pPr>
            <w:r>
              <w:rPr>
                <w:bCs/>
              </w:rPr>
              <w:t>$</w:t>
            </w:r>
            <w:r w:rsidR="000C0149">
              <w:rPr>
                <w:bCs/>
              </w:rPr>
              <w:tab/>
              <w:t>-</w:t>
            </w:r>
          </w:p>
        </w:tc>
        <w:tc>
          <w:tcPr>
            <w:tcW w:w="281" w:type="pct"/>
            <w:tcBorders>
              <w:top w:val="single" w:sz="2" w:space="0" w:color="auto"/>
              <w:bottom w:val="single" w:sz="2" w:space="0" w:color="auto"/>
            </w:tcBorders>
            <w:vAlign w:val="center"/>
          </w:tcPr>
          <w:p w:rsidR="00A55501" w:rsidRPr="00795AC3" w:rsidRDefault="00895D05" w:rsidP="00AE0E7F">
            <w:pPr>
              <w:widowControl/>
              <w:jc w:val="center"/>
              <w:rPr>
                <w:bCs/>
              </w:rPr>
            </w:pPr>
            <w:r>
              <w:rPr>
                <w:bCs/>
              </w:rPr>
              <w:t>3,616</w:t>
            </w:r>
            <w:r w:rsidR="00A55501" w:rsidRPr="00795AC3">
              <w:rPr>
                <w:bCs/>
              </w:rPr>
              <w:t xml:space="preserve"> </w:t>
            </w:r>
          </w:p>
        </w:tc>
        <w:tc>
          <w:tcPr>
            <w:tcW w:w="347" w:type="pct"/>
            <w:tcBorders>
              <w:top w:val="single" w:sz="2" w:space="0" w:color="auto"/>
              <w:bottom w:val="single" w:sz="2" w:space="0" w:color="auto"/>
            </w:tcBorders>
            <w:vAlign w:val="center"/>
          </w:tcPr>
          <w:p w:rsidR="00A55501" w:rsidRPr="00795AC3" w:rsidRDefault="00A55501" w:rsidP="00590400">
            <w:pPr>
              <w:widowControl/>
              <w:tabs>
                <w:tab w:val="right" w:pos="696"/>
              </w:tabs>
              <w:jc w:val="center"/>
              <w:rPr>
                <w:bCs/>
              </w:rPr>
            </w:pPr>
            <w:r w:rsidRPr="00795AC3">
              <w:rPr>
                <w:bCs/>
              </w:rPr>
              <w:t>36</w:t>
            </w:r>
            <w:r w:rsidR="00895D05">
              <w:rPr>
                <w:bCs/>
              </w:rPr>
              <w:t>8</w:t>
            </w:r>
            <w:r w:rsidRPr="00795AC3">
              <w:rPr>
                <w:bCs/>
              </w:rPr>
              <w:t>,</w:t>
            </w:r>
            <w:r w:rsidR="00895D05">
              <w:rPr>
                <w:bCs/>
              </w:rPr>
              <w:t>83</w:t>
            </w:r>
            <w:r w:rsidRPr="00795AC3">
              <w:rPr>
                <w:bCs/>
              </w:rPr>
              <w:t xml:space="preserve">2 </w:t>
            </w:r>
          </w:p>
        </w:tc>
        <w:tc>
          <w:tcPr>
            <w:tcW w:w="439" w:type="pct"/>
            <w:tcBorders>
              <w:top w:val="single" w:sz="2" w:space="0" w:color="auto"/>
              <w:bottom w:val="single" w:sz="2" w:space="0" w:color="auto"/>
            </w:tcBorders>
            <w:vAlign w:val="center"/>
          </w:tcPr>
          <w:p w:rsidR="00A55501" w:rsidRPr="00795AC3" w:rsidRDefault="00CA0DEA" w:rsidP="007F15F7">
            <w:pPr>
              <w:widowControl/>
              <w:jc w:val="center"/>
              <w:rPr>
                <w:bCs/>
              </w:rPr>
            </w:pPr>
            <w:r>
              <w:rPr>
                <w:bCs/>
              </w:rPr>
              <w:t>$</w:t>
            </w:r>
            <w:r w:rsidR="00A55501" w:rsidRPr="00795AC3">
              <w:rPr>
                <w:bCs/>
              </w:rPr>
              <w:t>2</w:t>
            </w:r>
            <w:r w:rsidR="00895D05">
              <w:rPr>
                <w:bCs/>
              </w:rPr>
              <w:t>6,967,622</w:t>
            </w:r>
          </w:p>
        </w:tc>
      </w:tr>
      <w:tr w:rsidR="000B2130" w:rsidRPr="00A55501" w:rsidTr="005F2634">
        <w:trPr>
          <w:jc w:val="center"/>
        </w:trPr>
        <w:tc>
          <w:tcPr>
            <w:tcW w:w="2491" w:type="pct"/>
            <w:tcBorders>
              <w:top w:val="single" w:sz="2" w:space="0" w:color="auto"/>
              <w:bottom w:val="single" w:sz="2" w:space="0" w:color="auto"/>
            </w:tcBorders>
          </w:tcPr>
          <w:p w:rsidR="00A55501" w:rsidRPr="00795AC3" w:rsidRDefault="00A55501" w:rsidP="00D06A4F">
            <w:pPr>
              <w:widowControl/>
              <w:rPr>
                <w:bCs/>
              </w:rPr>
            </w:pPr>
            <w:r w:rsidRPr="00795AC3">
              <w:rPr>
                <w:bCs/>
              </w:rPr>
              <w:t>7b</w:t>
            </w:r>
            <w:r w:rsidR="00562093" w:rsidRPr="00795AC3">
              <w:rPr>
                <w:bCs/>
              </w:rPr>
              <w:t xml:space="preserve">.  </w:t>
            </w:r>
            <w:r w:rsidRPr="00795AC3">
              <w:rPr>
                <w:bCs/>
              </w:rPr>
              <w:t>LME Reporting</w:t>
            </w:r>
            <w:r w:rsidR="002B568B">
              <w:rPr>
                <w:bCs/>
              </w:rPr>
              <w:t>.</w:t>
            </w:r>
          </w:p>
        </w:tc>
        <w:tc>
          <w:tcPr>
            <w:tcW w:w="188" w:type="pct"/>
            <w:tcBorders>
              <w:top w:val="single" w:sz="2" w:space="0" w:color="auto"/>
              <w:bottom w:val="single" w:sz="2" w:space="0" w:color="auto"/>
            </w:tcBorders>
            <w:vAlign w:val="center"/>
          </w:tcPr>
          <w:p w:rsidR="00A55501" w:rsidRPr="00795AC3" w:rsidRDefault="00A55501" w:rsidP="003217E3">
            <w:pPr>
              <w:widowControl/>
              <w:tabs>
                <w:tab w:val="right" w:pos="303"/>
              </w:tabs>
              <w:jc w:val="center"/>
              <w:rPr>
                <w:bCs/>
              </w:rPr>
            </w:pPr>
            <w:r w:rsidRPr="00795AC3">
              <w:rPr>
                <w:bCs/>
              </w:rPr>
              <w:t xml:space="preserve">4 </w:t>
            </w:r>
          </w:p>
        </w:tc>
        <w:tc>
          <w:tcPr>
            <w:tcW w:w="188" w:type="pct"/>
            <w:tcBorders>
              <w:top w:val="single" w:sz="2" w:space="0" w:color="auto"/>
              <w:bottom w:val="single" w:sz="2" w:space="0" w:color="auto"/>
            </w:tcBorders>
            <w:vAlign w:val="center"/>
          </w:tcPr>
          <w:p w:rsidR="00A55501" w:rsidRPr="00795AC3" w:rsidRDefault="00A55501" w:rsidP="003217E3">
            <w:pPr>
              <w:pStyle w:val="NormalWeb"/>
              <w:tabs>
                <w:tab w:val="right" w:pos="301"/>
              </w:tabs>
              <w:spacing w:before="0" w:beforeAutospacing="0" w:after="0" w:afterAutospacing="0"/>
              <w:jc w:val="center"/>
              <w:rPr>
                <w:bCs/>
                <w:sz w:val="20"/>
                <w:szCs w:val="20"/>
              </w:rPr>
            </w:pPr>
            <w:r w:rsidRPr="00795AC3">
              <w:rPr>
                <w:bCs/>
                <w:sz w:val="20"/>
                <w:szCs w:val="20"/>
              </w:rPr>
              <w:t xml:space="preserve">12 </w:t>
            </w:r>
          </w:p>
        </w:tc>
        <w:tc>
          <w:tcPr>
            <w:tcW w:w="190" w:type="pct"/>
            <w:tcBorders>
              <w:top w:val="single" w:sz="2" w:space="0" w:color="auto"/>
              <w:bottom w:val="single" w:sz="2" w:space="0" w:color="auto"/>
            </w:tcBorders>
            <w:vAlign w:val="center"/>
          </w:tcPr>
          <w:p w:rsidR="00A55501" w:rsidRPr="00795AC3" w:rsidRDefault="00A55501" w:rsidP="003217E3">
            <w:pPr>
              <w:widowControl/>
              <w:tabs>
                <w:tab w:val="right" w:pos="299"/>
              </w:tabs>
              <w:jc w:val="center"/>
              <w:rPr>
                <w:bCs/>
              </w:rPr>
            </w:pPr>
            <w:r w:rsidRPr="00795AC3">
              <w:rPr>
                <w:bCs/>
              </w:rPr>
              <w:t xml:space="preserve">16 </w:t>
            </w:r>
          </w:p>
        </w:tc>
        <w:tc>
          <w:tcPr>
            <w:tcW w:w="282" w:type="pct"/>
            <w:tcBorders>
              <w:top w:val="single" w:sz="2" w:space="0" w:color="auto"/>
              <w:bottom w:val="single" w:sz="2" w:space="0" w:color="auto"/>
            </w:tcBorders>
            <w:vAlign w:val="center"/>
          </w:tcPr>
          <w:p w:rsidR="00A55501" w:rsidRPr="00795AC3" w:rsidRDefault="00CA0DEA" w:rsidP="00AE0E7F">
            <w:pPr>
              <w:widowControl/>
              <w:tabs>
                <w:tab w:val="right" w:pos="532"/>
              </w:tabs>
              <w:jc w:val="center"/>
              <w:rPr>
                <w:bCs/>
              </w:rPr>
            </w:pPr>
            <w:r>
              <w:rPr>
                <w:bCs/>
              </w:rPr>
              <w:t>$</w:t>
            </w:r>
            <w:r w:rsidR="00895D05">
              <w:rPr>
                <w:bCs/>
              </w:rPr>
              <w:t>1,201</w:t>
            </w:r>
            <w:r w:rsidR="00A55501" w:rsidRPr="00795AC3">
              <w:rPr>
                <w:bCs/>
              </w:rPr>
              <w:t xml:space="preserve"> </w:t>
            </w:r>
          </w:p>
        </w:tc>
        <w:tc>
          <w:tcPr>
            <w:tcW w:w="281" w:type="pct"/>
            <w:tcBorders>
              <w:top w:val="single" w:sz="2" w:space="0" w:color="auto"/>
              <w:bottom w:val="single" w:sz="2" w:space="0" w:color="auto"/>
            </w:tcBorders>
            <w:vAlign w:val="center"/>
          </w:tcPr>
          <w:p w:rsidR="00A55501" w:rsidRPr="00795AC3" w:rsidRDefault="002B568B" w:rsidP="002B1959">
            <w:pPr>
              <w:widowControl/>
              <w:tabs>
                <w:tab w:val="right" w:pos="530"/>
              </w:tabs>
              <w:rPr>
                <w:bCs/>
              </w:rPr>
            </w:pPr>
            <w:r>
              <w:rPr>
                <w:bCs/>
              </w:rPr>
              <w:t>$</w:t>
            </w:r>
            <w:r w:rsidR="000C0149">
              <w:rPr>
                <w:bCs/>
              </w:rPr>
              <w:tab/>
              <w:t>-</w:t>
            </w:r>
          </w:p>
        </w:tc>
        <w:tc>
          <w:tcPr>
            <w:tcW w:w="313" w:type="pct"/>
            <w:tcBorders>
              <w:top w:val="single" w:sz="2" w:space="0" w:color="auto"/>
              <w:bottom w:val="single" w:sz="2" w:space="0" w:color="auto"/>
            </w:tcBorders>
            <w:vAlign w:val="center"/>
          </w:tcPr>
          <w:p w:rsidR="00A55501" w:rsidRPr="00795AC3" w:rsidRDefault="002B568B" w:rsidP="004A7BCE">
            <w:pPr>
              <w:widowControl/>
              <w:tabs>
                <w:tab w:val="right" w:pos="621"/>
                <w:tab w:val="right" w:pos="648"/>
              </w:tabs>
              <w:rPr>
                <w:bCs/>
              </w:rPr>
            </w:pPr>
            <w:r>
              <w:rPr>
                <w:bCs/>
              </w:rPr>
              <w:t>$</w:t>
            </w:r>
            <w:r w:rsidR="000C0149">
              <w:rPr>
                <w:bCs/>
              </w:rPr>
              <w:tab/>
              <w:t>-</w:t>
            </w:r>
          </w:p>
        </w:tc>
        <w:tc>
          <w:tcPr>
            <w:tcW w:w="281" w:type="pct"/>
            <w:tcBorders>
              <w:top w:val="single" w:sz="2" w:space="0" w:color="auto"/>
              <w:bottom w:val="single" w:sz="2" w:space="0" w:color="auto"/>
            </w:tcBorders>
            <w:vAlign w:val="center"/>
          </w:tcPr>
          <w:p w:rsidR="00A55501" w:rsidRPr="00795AC3" w:rsidRDefault="00A55501" w:rsidP="00562093">
            <w:pPr>
              <w:widowControl/>
              <w:jc w:val="center"/>
              <w:rPr>
                <w:bCs/>
              </w:rPr>
            </w:pPr>
            <w:r w:rsidRPr="00795AC3">
              <w:rPr>
                <w:bCs/>
              </w:rPr>
              <w:t xml:space="preserve">145 </w:t>
            </w:r>
          </w:p>
        </w:tc>
        <w:tc>
          <w:tcPr>
            <w:tcW w:w="347" w:type="pct"/>
            <w:tcBorders>
              <w:top w:val="single" w:sz="2" w:space="0" w:color="auto"/>
              <w:bottom w:val="single" w:sz="2" w:space="0" w:color="auto"/>
            </w:tcBorders>
            <w:vAlign w:val="center"/>
          </w:tcPr>
          <w:p w:rsidR="00A55501" w:rsidRPr="00795AC3" w:rsidRDefault="00A55501" w:rsidP="003217E3">
            <w:pPr>
              <w:widowControl/>
              <w:tabs>
                <w:tab w:val="right" w:pos="696"/>
              </w:tabs>
              <w:jc w:val="center"/>
              <w:rPr>
                <w:bCs/>
              </w:rPr>
            </w:pPr>
            <w:r w:rsidRPr="00795AC3">
              <w:rPr>
                <w:bCs/>
              </w:rPr>
              <w:t xml:space="preserve">2,320 </w:t>
            </w:r>
          </w:p>
        </w:tc>
        <w:tc>
          <w:tcPr>
            <w:tcW w:w="439" w:type="pct"/>
            <w:tcBorders>
              <w:top w:val="single" w:sz="2" w:space="0" w:color="auto"/>
              <w:bottom w:val="single" w:sz="2" w:space="0" w:color="auto"/>
            </w:tcBorders>
            <w:vAlign w:val="center"/>
          </w:tcPr>
          <w:p w:rsidR="00A55501" w:rsidRPr="00795AC3" w:rsidRDefault="00CA0DEA" w:rsidP="00AE0E7F">
            <w:pPr>
              <w:widowControl/>
              <w:jc w:val="center"/>
              <w:rPr>
                <w:bCs/>
              </w:rPr>
            </w:pPr>
            <w:r>
              <w:rPr>
                <w:bCs/>
              </w:rPr>
              <w:t>$</w:t>
            </w:r>
            <w:r w:rsidR="00F67757">
              <w:rPr>
                <w:bCs/>
              </w:rPr>
              <w:t>1</w:t>
            </w:r>
            <w:r w:rsidR="00895D05">
              <w:rPr>
                <w:bCs/>
              </w:rPr>
              <w:t>7</w:t>
            </w:r>
            <w:r w:rsidR="00F67757">
              <w:rPr>
                <w:bCs/>
              </w:rPr>
              <w:t>4,</w:t>
            </w:r>
            <w:r w:rsidR="00895D05">
              <w:rPr>
                <w:bCs/>
              </w:rPr>
              <w:t>151</w:t>
            </w:r>
          </w:p>
        </w:tc>
      </w:tr>
      <w:tr w:rsidR="000B2130" w:rsidRPr="00A55501" w:rsidTr="005F2634">
        <w:trPr>
          <w:jc w:val="center"/>
        </w:trPr>
        <w:tc>
          <w:tcPr>
            <w:tcW w:w="2491" w:type="pct"/>
            <w:tcBorders>
              <w:top w:val="single" w:sz="2" w:space="0" w:color="auto"/>
              <w:bottom w:val="double" w:sz="6" w:space="0" w:color="auto"/>
            </w:tcBorders>
          </w:tcPr>
          <w:p w:rsidR="00A55501" w:rsidRPr="00795AC3" w:rsidRDefault="00A55501" w:rsidP="00315B58">
            <w:pPr>
              <w:widowControl/>
              <w:rPr>
                <w:bCs/>
              </w:rPr>
            </w:pPr>
            <w:r w:rsidRPr="00795AC3">
              <w:rPr>
                <w:bCs/>
              </w:rPr>
              <w:t>8</w:t>
            </w:r>
            <w:r w:rsidR="00562093" w:rsidRPr="00795AC3">
              <w:rPr>
                <w:bCs/>
              </w:rPr>
              <w:t xml:space="preserve">.  </w:t>
            </w:r>
            <w:r w:rsidR="00222CED">
              <w:rPr>
                <w:bCs/>
              </w:rPr>
              <w:t xml:space="preserve">PGVP </w:t>
            </w:r>
            <w:r w:rsidR="00315B58">
              <w:rPr>
                <w:bCs/>
              </w:rPr>
              <w:t>cylinder Costs</w:t>
            </w:r>
          </w:p>
        </w:tc>
        <w:tc>
          <w:tcPr>
            <w:tcW w:w="188" w:type="pct"/>
            <w:tcBorders>
              <w:top w:val="single" w:sz="2" w:space="0" w:color="auto"/>
              <w:bottom w:val="double" w:sz="6" w:space="0" w:color="auto"/>
            </w:tcBorders>
            <w:vAlign w:val="center"/>
          </w:tcPr>
          <w:p w:rsidR="00A55501" w:rsidRPr="00795AC3" w:rsidRDefault="000C0149" w:rsidP="002D3113">
            <w:pPr>
              <w:widowControl/>
              <w:tabs>
                <w:tab w:val="right" w:pos="303"/>
              </w:tabs>
              <w:jc w:val="center"/>
              <w:rPr>
                <w:bCs/>
              </w:rPr>
            </w:pPr>
            <w:r>
              <w:rPr>
                <w:bCs/>
              </w:rPr>
              <w:t>-</w:t>
            </w:r>
          </w:p>
        </w:tc>
        <w:tc>
          <w:tcPr>
            <w:tcW w:w="188" w:type="pct"/>
            <w:tcBorders>
              <w:top w:val="single" w:sz="2" w:space="0" w:color="auto"/>
              <w:bottom w:val="double" w:sz="6" w:space="0" w:color="auto"/>
            </w:tcBorders>
            <w:vAlign w:val="center"/>
          </w:tcPr>
          <w:p w:rsidR="00A55501" w:rsidRPr="00795AC3" w:rsidRDefault="00A55501" w:rsidP="002D3113">
            <w:pPr>
              <w:pStyle w:val="NormalWeb"/>
              <w:tabs>
                <w:tab w:val="right" w:pos="301"/>
              </w:tabs>
              <w:spacing w:before="0" w:beforeAutospacing="0" w:after="0" w:afterAutospacing="0"/>
              <w:jc w:val="center"/>
              <w:rPr>
                <w:bCs/>
                <w:sz w:val="20"/>
                <w:szCs w:val="20"/>
              </w:rPr>
            </w:pPr>
            <w:r w:rsidRPr="00795AC3">
              <w:rPr>
                <w:bCs/>
                <w:sz w:val="20"/>
                <w:szCs w:val="20"/>
              </w:rPr>
              <w:t>-</w:t>
            </w:r>
          </w:p>
        </w:tc>
        <w:tc>
          <w:tcPr>
            <w:tcW w:w="190" w:type="pct"/>
            <w:tcBorders>
              <w:top w:val="single" w:sz="2" w:space="0" w:color="auto"/>
              <w:bottom w:val="double" w:sz="6" w:space="0" w:color="auto"/>
            </w:tcBorders>
            <w:vAlign w:val="center"/>
          </w:tcPr>
          <w:p w:rsidR="00A55501" w:rsidRPr="00795AC3" w:rsidRDefault="000C0149" w:rsidP="002D3113">
            <w:pPr>
              <w:widowControl/>
              <w:tabs>
                <w:tab w:val="right" w:pos="299"/>
              </w:tabs>
              <w:jc w:val="center"/>
              <w:rPr>
                <w:bCs/>
              </w:rPr>
            </w:pPr>
            <w:r>
              <w:rPr>
                <w:bCs/>
              </w:rPr>
              <w:t>-</w:t>
            </w:r>
          </w:p>
        </w:tc>
        <w:tc>
          <w:tcPr>
            <w:tcW w:w="282" w:type="pct"/>
            <w:tcBorders>
              <w:top w:val="single" w:sz="2" w:space="0" w:color="auto"/>
              <w:bottom w:val="double" w:sz="6" w:space="0" w:color="auto"/>
            </w:tcBorders>
            <w:vAlign w:val="center"/>
          </w:tcPr>
          <w:p w:rsidR="00A55501" w:rsidRPr="00795AC3" w:rsidRDefault="002B568B" w:rsidP="000C0149">
            <w:pPr>
              <w:widowControl/>
              <w:tabs>
                <w:tab w:val="right" w:pos="532"/>
              </w:tabs>
              <w:rPr>
                <w:bCs/>
              </w:rPr>
            </w:pPr>
            <w:r>
              <w:rPr>
                <w:bCs/>
              </w:rPr>
              <w:t>$</w:t>
            </w:r>
            <w:r w:rsidR="000C0149">
              <w:rPr>
                <w:bCs/>
              </w:rPr>
              <w:tab/>
            </w:r>
            <w:r w:rsidR="00A55501" w:rsidRPr="00795AC3">
              <w:rPr>
                <w:bCs/>
              </w:rPr>
              <w:t>-</w:t>
            </w:r>
          </w:p>
        </w:tc>
        <w:tc>
          <w:tcPr>
            <w:tcW w:w="281" w:type="pct"/>
            <w:tcBorders>
              <w:top w:val="single" w:sz="2" w:space="0" w:color="auto"/>
              <w:bottom w:val="double" w:sz="6" w:space="0" w:color="auto"/>
            </w:tcBorders>
            <w:vAlign w:val="center"/>
          </w:tcPr>
          <w:p w:rsidR="00A55501" w:rsidRPr="00795AC3" w:rsidRDefault="002B568B" w:rsidP="00222CED">
            <w:pPr>
              <w:widowControl/>
              <w:tabs>
                <w:tab w:val="right" w:pos="530"/>
              </w:tabs>
              <w:rPr>
                <w:bCs/>
              </w:rPr>
            </w:pPr>
            <w:r>
              <w:rPr>
                <w:bCs/>
              </w:rPr>
              <w:t>$</w:t>
            </w:r>
            <w:r w:rsidR="000C0149">
              <w:rPr>
                <w:bCs/>
              </w:rPr>
              <w:tab/>
            </w:r>
          </w:p>
        </w:tc>
        <w:tc>
          <w:tcPr>
            <w:tcW w:w="313" w:type="pct"/>
            <w:tcBorders>
              <w:top w:val="single" w:sz="2" w:space="0" w:color="auto"/>
              <w:bottom w:val="double" w:sz="6" w:space="0" w:color="auto"/>
            </w:tcBorders>
            <w:vAlign w:val="center"/>
          </w:tcPr>
          <w:p w:rsidR="00A55501" w:rsidRPr="00795AC3" w:rsidRDefault="002B568B" w:rsidP="004A7BCE">
            <w:pPr>
              <w:widowControl/>
              <w:tabs>
                <w:tab w:val="right" w:pos="621"/>
                <w:tab w:val="right" w:pos="648"/>
              </w:tabs>
              <w:rPr>
                <w:bCs/>
              </w:rPr>
            </w:pPr>
            <w:r>
              <w:rPr>
                <w:bCs/>
              </w:rPr>
              <w:t>$</w:t>
            </w:r>
            <w:r w:rsidR="000C0149">
              <w:rPr>
                <w:bCs/>
              </w:rPr>
              <w:tab/>
              <w:t>-</w:t>
            </w:r>
          </w:p>
        </w:tc>
        <w:tc>
          <w:tcPr>
            <w:tcW w:w="281" w:type="pct"/>
            <w:tcBorders>
              <w:top w:val="single" w:sz="2" w:space="0" w:color="auto"/>
              <w:bottom w:val="double" w:sz="6" w:space="0" w:color="auto"/>
            </w:tcBorders>
            <w:vAlign w:val="center"/>
          </w:tcPr>
          <w:p w:rsidR="00A55501" w:rsidRPr="00795AC3" w:rsidRDefault="000C0149" w:rsidP="002D3113">
            <w:pPr>
              <w:widowControl/>
              <w:tabs>
                <w:tab w:val="left" w:pos="530"/>
              </w:tabs>
              <w:jc w:val="center"/>
              <w:rPr>
                <w:bCs/>
              </w:rPr>
            </w:pPr>
            <w:r>
              <w:rPr>
                <w:bCs/>
              </w:rPr>
              <w:t>-</w:t>
            </w:r>
          </w:p>
        </w:tc>
        <w:tc>
          <w:tcPr>
            <w:tcW w:w="347" w:type="pct"/>
            <w:tcBorders>
              <w:top w:val="single" w:sz="2" w:space="0" w:color="auto"/>
              <w:bottom w:val="double" w:sz="6" w:space="0" w:color="auto"/>
            </w:tcBorders>
            <w:vAlign w:val="center"/>
          </w:tcPr>
          <w:p w:rsidR="00A55501" w:rsidRPr="00795AC3" w:rsidRDefault="000C0149" w:rsidP="002D3113">
            <w:pPr>
              <w:widowControl/>
              <w:tabs>
                <w:tab w:val="right" w:pos="696"/>
              </w:tabs>
              <w:jc w:val="center"/>
              <w:rPr>
                <w:bCs/>
              </w:rPr>
            </w:pPr>
            <w:r>
              <w:rPr>
                <w:bCs/>
              </w:rPr>
              <w:t>-</w:t>
            </w:r>
          </w:p>
        </w:tc>
        <w:tc>
          <w:tcPr>
            <w:tcW w:w="439" w:type="pct"/>
            <w:tcBorders>
              <w:top w:val="single" w:sz="2" w:space="0" w:color="auto"/>
              <w:bottom w:val="double" w:sz="6" w:space="0" w:color="auto"/>
            </w:tcBorders>
            <w:vAlign w:val="center"/>
          </w:tcPr>
          <w:p w:rsidR="00A55501" w:rsidRPr="00795AC3" w:rsidRDefault="000C0149" w:rsidP="004F5049">
            <w:pPr>
              <w:widowControl/>
              <w:jc w:val="center"/>
              <w:rPr>
                <w:bCs/>
              </w:rPr>
            </w:pPr>
            <w:r>
              <w:rPr>
                <w:bCs/>
              </w:rPr>
              <w:t>$</w:t>
            </w:r>
            <w:r w:rsidR="00222CED">
              <w:rPr>
                <w:bCs/>
              </w:rPr>
              <w:t xml:space="preserve"> </w:t>
            </w:r>
            <w:r w:rsidR="00315B58">
              <w:rPr>
                <w:bCs/>
              </w:rPr>
              <w:t>43,392</w:t>
            </w:r>
          </w:p>
        </w:tc>
      </w:tr>
      <w:tr w:rsidR="00143886" w:rsidRPr="00795AC3" w:rsidTr="00143886">
        <w:trPr>
          <w:jc w:val="center"/>
        </w:trPr>
        <w:tc>
          <w:tcPr>
            <w:tcW w:w="4214" w:type="pct"/>
            <w:gridSpan w:val="8"/>
            <w:tcBorders>
              <w:top w:val="double" w:sz="6" w:space="0" w:color="auto"/>
              <w:bottom w:val="double" w:sz="6" w:space="0" w:color="auto"/>
            </w:tcBorders>
          </w:tcPr>
          <w:p w:rsidR="00143886" w:rsidRPr="00795AC3" w:rsidRDefault="00143886" w:rsidP="00143886">
            <w:pPr>
              <w:widowControl/>
              <w:rPr>
                <w:b/>
                <w:bCs/>
              </w:rPr>
            </w:pPr>
            <w:r w:rsidRPr="00795AC3">
              <w:rPr>
                <w:b/>
                <w:bCs/>
              </w:rPr>
              <w:t>Total</w:t>
            </w:r>
          </w:p>
        </w:tc>
        <w:tc>
          <w:tcPr>
            <w:tcW w:w="347" w:type="pct"/>
            <w:tcBorders>
              <w:top w:val="double" w:sz="6" w:space="0" w:color="auto"/>
              <w:bottom w:val="double" w:sz="6" w:space="0" w:color="auto"/>
            </w:tcBorders>
            <w:vAlign w:val="center"/>
          </w:tcPr>
          <w:p w:rsidR="00143886" w:rsidRPr="00795AC3" w:rsidRDefault="00143886" w:rsidP="000E2DAE">
            <w:pPr>
              <w:widowControl/>
              <w:jc w:val="center"/>
              <w:rPr>
                <w:b/>
                <w:bCs/>
              </w:rPr>
            </w:pPr>
            <w:r w:rsidRPr="00795AC3">
              <w:rPr>
                <w:b/>
                <w:bCs/>
              </w:rPr>
              <w:t>2,</w:t>
            </w:r>
            <w:r w:rsidR="000E2DAE">
              <w:rPr>
                <w:b/>
                <w:bCs/>
              </w:rPr>
              <w:t>096,206</w:t>
            </w:r>
          </w:p>
        </w:tc>
        <w:tc>
          <w:tcPr>
            <w:tcW w:w="439" w:type="pct"/>
            <w:tcBorders>
              <w:top w:val="double" w:sz="6" w:space="0" w:color="auto"/>
              <w:bottom w:val="double" w:sz="6" w:space="0" w:color="auto"/>
            </w:tcBorders>
            <w:vAlign w:val="center"/>
          </w:tcPr>
          <w:p w:rsidR="00143886" w:rsidRPr="00795AC3" w:rsidRDefault="00143886" w:rsidP="006E0BFE">
            <w:pPr>
              <w:widowControl/>
              <w:jc w:val="center"/>
              <w:rPr>
                <w:b/>
                <w:bCs/>
              </w:rPr>
            </w:pPr>
            <w:r>
              <w:rPr>
                <w:b/>
                <w:bCs/>
              </w:rPr>
              <w:t>$</w:t>
            </w:r>
            <w:r w:rsidR="006E0BFE">
              <w:rPr>
                <w:b/>
                <w:bCs/>
              </w:rPr>
              <w:t>299,937,634</w:t>
            </w:r>
          </w:p>
        </w:tc>
      </w:tr>
    </w:tbl>
    <w:p w:rsidR="00F31106" w:rsidRDefault="00F31106" w:rsidP="00F31106">
      <w:pPr>
        <w:widowControl/>
      </w:pPr>
    </w:p>
    <w:p w:rsidR="009907D5" w:rsidRDefault="00F31106" w:rsidP="00B25B7B">
      <w:pPr>
        <w:widowControl/>
        <w:ind w:left="-900" w:hanging="180"/>
      </w:pPr>
      <w:r w:rsidRPr="00F31106">
        <w:t xml:space="preserve">Capital cost and O&amp;M cost increase factor equal to 1.024 based on the </w:t>
      </w:r>
      <w:r w:rsidR="00895D05">
        <w:t>2009</w:t>
      </w:r>
      <w:r w:rsidR="00895D05" w:rsidRPr="00F31106">
        <w:t xml:space="preserve"> </w:t>
      </w:r>
      <w:r w:rsidRPr="00F31106">
        <w:t>to 20</w:t>
      </w:r>
      <w:r w:rsidR="00895D05">
        <w:t>12</w:t>
      </w:r>
      <w:r w:rsidRPr="00F31106">
        <w:t xml:space="preserve"> increase in PPI for industrial commodities.</w:t>
      </w:r>
    </w:p>
    <w:p w:rsidR="00F31106" w:rsidRDefault="00F31106" w:rsidP="00B25B7B">
      <w:pPr>
        <w:widowControl/>
        <w:ind w:left="-900" w:hanging="180"/>
      </w:pPr>
      <w:r w:rsidRPr="00F31106">
        <w:t xml:space="preserve">Adding one percent per year for each of three years, an average of </w:t>
      </w:r>
      <w:r w:rsidR="00AE0E7F">
        <w:t>87</w:t>
      </w:r>
      <w:r w:rsidRPr="00F31106">
        <w:t>additional units will report each year</w:t>
      </w:r>
      <w:r w:rsidR="00CE3ABF" w:rsidRPr="00F31106">
        <w:t xml:space="preserve">. </w:t>
      </w:r>
      <w:r w:rsidRPr="00F31106">
        <w:t xml:space="preserve">These additional units were apportioned to the various models based on the percent change in each model from </w:t>
      </w:r>
      <w:r w:rsidR="00AE0E7F">
        <w:t>2010</w:t>
      </w:r>
      <w:r w:rsidR="00315B58">
        <w:t xml:space="preserve"> </w:t>
      </w:r>
      <w:r w:rsidRPr="00F31106">
        <w:t>to 20</w:t>
      </w:r>
      <w:r w:rsidR="00AE0E7F">
        <w:t>12</w:t>
      </w:r>
      <w:r w:rsidRPr="00F31106">
        <w:t>.</w:t>
      </w:r>
    </w:p>
    <w:p w:rsidR="00F31106" w:rsidRDefault="00F31106" w:rsidP="00B25B7B">
      <w:pPr>
        <w:widowControl/>
        <w:ind w:left="-900" w:hanging="180"/>
      </w:pPr>
      <w:r w:rsidRPr="00F31106">
        <w:t>Annualized capital costs for DAHS upgrades were drawn from the proposed DAHS upgrade ICR (EPA Docket EPA-HQ-OAR-2005-0132).</w:t>
      </w:r>
    </w:p>
    <w:p w:rsidR="009907D5" w:rsidRDefault="009907D5" w:rsidP="00562093">
      <w:pPr>
        <w:widowControl/>
        <w:jc w:val="center"/>
        <w:sectPr w:rsidR="009907D5" w:rsidSect="00E309E8">
          <w:headerReference w:type="default" r:id="rId20"/>
          <w:footerReference w:type="default" r:id="rId21"/>
          <w:pgSz w:w="15840" w:h="12240" w:orient="landscape" w:code="1"/>
          <w:pgMar w:top="720" w:right="2045" w:bottom="720" w:left="2045" w:header="720" w:footer="720" w:gutter="0"/>
          <w:cols w:space="720"/>
          <w:noEndnote/>
        </w:sectPr>
      </w:pPr>
    </w:p>
    <w:p w:rsidR="009907D5" w:rsidRDefault="009907D5" w:rsidP="00DD4E47">
      <w:pPr>
        <w:widowControl/>
        <w:jc w:val="center"/>
        <w:rPr>
          <w:b/>
          <w:sz w:val="24"/>
          <w:szCs w:val="24"/>
        </w:rPr>
      </w:pPr>
      <w:r>
        <w:rPr>
          <w:b/>
          <w:sz w:val="24"/>
          <w:szCs w:val="24"/>
        </w:rPr>
        <w:lastRenderedPageBreak/>
        <w:t xml:space="preserve">EXHIBIT </w:t>
      </w:r>
      <w:r w:rsidR="00895D05">
        <w:rPr>
          <w:b/>
          <w:sz w:val="24"/>
          <w:szCs w:val="24"/>
        </w:rPr>
        <w:t>6</w:t>
      </w:r>
    </w:p>
    <w:p w:rsidR="009907D5" w:rsidRDefault="009907D5" w:rsidP="00DD4E47">
      <w:pPr>
        <w:widowControl/>
        <w:jc w:val="center"/>
        <w:rPr>
          <w:b/>
          <w:sz w:val="24"/>
          <w:szCs w:val="24"/>
        </w:rPr>
      </w:pPr>
      <w:r>
        <w:rPr>
          <w:b/>
          <w:sz w:val="24"/>
          <w:szCs w:val="24"/>
        </w:rPr>
        <w:t>ANNUAL AGENCY BURDEN/COST ESTIMATES FOR EMISSIONS REPORTING</w:t>
      </w:r>
    </w:p>
    <w:p w:rsidR="00DD4E47" w:rsidRPr="00DD4E47" w:rsidRDefault="00DD4E47" w:rsidP="00DD4E47">
      <w:pPr>
        <w:widowControl/>
        <w:jc w:val="center"/>
        <w:rPr>
          <w:sz w:val="24"/>
        </w:rPr>
      </w:pPr>
    </w:p>
    <w:tbl>
      <w:tblPr>
        <w:tblW w:w="9450" w:type="dxa"/>
        <w:jc w:val="center"/>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Layout w:type="fixed"/>
        <w:tblCellMar>
          <w:top w:w="72" w:type="dxa"/>
          <w:left w:w="72" w:type="dxa"/>
          <w:bottom w:w="72" w:type="dxa"/>
          <w:right w:w="72" w:type="dxa"/>
        </w:tblCellMar>
        <w:tblLook w:val="0000"/>
      </w:tblPr>
      <w:tblGrid>
        <w:gridCol w:w="2250"/>
        <w:gridCol w:w="1710"/>
        <w:gridCol w:w="1350"/>
        <w:gridCol w:w="1350"/>
        <w:gridCol w:w="1800"/>
        <w:gridCol w:w="990"/>
      </w:tblGrid>
      <w:tr w:rsidR="006E338E" w:rsidRPr="00DD4E47" w:rsidTr="004F5049">
        <w:trPr>
          <w:jc w:val="center"/>
        </w:trPr>
        <w:tc>
          <w:tcPr>
            <w:tcW w:w="2250" w:type="dxa"/>
            <w:shd w:val="pct10" w:color="auto" w:fill="auto"/>
            <w:vAlign w:val="bottom"/>
          </w:tcPr>
          <w:p w:rsidR="009907D5" w:rsidRPr="00DD4E47" w:rsidRDefault="009907D5" w:rsidP="00DD4E47">
            <w:pPr>
              <w:widowControl/>
              <w:jc w:val="center"/>
              <w:rPr>
                <w:sz w:val="22"/>
              </w:rPr>
            </w:pPr>
            <w:r w:rsidRPr="00DD4E47">
              <w:rPr>
                <w:rStyle w:val="Strong"/>
                <w:sz w:val="22"/>
              </w:rPr>
              <w:t>Tasks</w:t>
            </w:r>
          </w:p>
        </w:tc>
        <w:tc>
          <w:tcPr>
            <w:tcW w:w="1710" w:type="dxa"/>
            <w:shd w:val="pct10" w:color="auto" w:fill="auto"/>
            <w:vAlign w:val="bottom"/>
          </w:tcPr>
          <w:p w:rsidR="009907D5" w:rsidRPr="00DD4E47" w:rsidRDefault="00DD4E47" w:rsidP="00DD4E47">
            <w:pPr>
              <w:widowControl/>
              <w:jc w:val="center"/>
              <w:rPr>
                <w:sz w:val="22"/>
              </w:rPr>
            </w:pPr>
            <w:r>
              <w:rPr>
                <w:rStyle w:val="Strong"/>
                <w:sz w:val="22"/>
              </w:rPr>
              <w:t>Hours p</w:t>
            </w:r>
            <w:r w:rsidR="009907D5" w:rsidRPr="00DD4E47">
              <w:rPr>
                <w:rStyle w:val="Strong"/>
                <w:sz w:val="22"/>
              </w:rPr>
              <w:t>er Report</w:t>
            </w:r>
          </w:p>
        </w:tc>
        <w:tc>
          <w:tcPr>
            <w:tcW w:w="1350" w:type="dxa"/>
            <w:shd w:val="pct10" w:color="auto" w:fill="auto"/>
            <w:vAlign w:val="bottom"/>
          </w:tcPr>
          <w:p w:rsidR="009907D5" w:rsidRPr="00DD4E47" w:rsidRDefault="00DD4E47" w:rsidP="00DD4E47">
            <w:pPr>
              <w:widowControl/>
              <w:jc w:val="center"/>
              <w:rPr>
                <w:sz w:val="22"/>
              </w:rPr>
            </w:pPr>
            <w:r>
              <w:rPr>
                <w:rStyle w:val="Strong"/>
                <w:sz w:val="22"/>
              </w:rPr>
              <w:t>Quarterly Cost p</w:t>
            </w:r>
            <w:r w:rsidR="009907D5" w:rsidRPr="00DD4E47">
              <w:rPr>
                <w:rStyle w:val="Strong"/>
                <w:sz w:val="22"/>
              </w:rPr>
              <w:t xml:space="preserve">er </w:t>
            </w:r>
            <w:proofErr w:type="spellStart"/>
            <w:r w:rsidR="009907D5" w:rsidRPr="00DD4E47">
              <w:rPr>
                <w:rStyle w:val="Strong"/>
                <w:sz w:val="22"/>
              </w:rPr>
              <w:t>Report</w:t>
            </w:r>
            <w:r w:rsidR="009907D5" w:rsidRPr="00DD4E47">
              <w:rPr>
                <w:rStyle w:val="Strong"/>
                <w:sz w:val="22"/>
                <w:vertAlign w:val="superscript"/>
              </w:rPr>
              <w:t>a,b</w:t>
            </w:r>
            <w:proofErr w:type="spellEnd"/>
          </w:p>
        </w:tc>
        <w:tc>
          <w:tcPr>
            <w:tcW w:w="1350" w:type="dxa"/>
            <w:shd w:val="pct10" w:color="auto" w:fill="auto"/>
            <w:vAlign w:val="bottom"/>
          </w:tcPr>
          <w:p w:rsidR="009907D5" w:rsidRPr="00DD4E47" w:rsidRDefault="009907D5" w:rsidP="00DD4E47">
            <w:pPr>
              <w:widowControl/>
              <w:jc w:val="center"/>
              <w:rPr>
                <w:sz w:val="22"/>
              </w:rPr>
            </w:pPr>
            <w:r w:rsidRPr="00DD4E47">
              <w:rPr>
                <w:rStyle w:val="Strong"/>
                <w:sz w:val="22"/>
              </w:rPr>
              <w:t xml:space="preserve">Number of </w:t>
            </w:r>
            <w:proofErr w:type="spellStart"/>
            <w:r w:rsidRPr="00DD4E47">
              <w:rPr>
                <w:rStyle w:val="Strong"/>
                <w:sz w:val="22"/>
              </w:rPr>
              <w:t>Reports</w:t>
            </w:r>
            <w:r w:rsidRPr="00DD4E47">
              <w:rPr>
                <w:rStyle w:val="Strong"/>
                <w:sz w:val="22"/>
                <w:vertAlign w:val="superscript"/>
              </w:rPr>
              <w:t>c</w:t>
            </w:r>
            <w:proofErr w:type="spellEnd"/>
          </w:p>
        </w:tc>
        <w:tc>
          <w:tcPr>
            <w:tcW w:w="1800" w:type="dxa"/>
            <w:shd w:val="pct10" w:color="auto" w:fill="auto"/>
            <w:vAlign w:val="bottom"/>
          </w:tcPr>
          <w:p w:rsidR="00DD4E47" w:rsidRDefault="00DD4E47" w:rsidP="00DD4E47">
            <w:pPr>
              <w:widowControl/>
              <w:jc w:val="center"/>
              <w:rPr>
                <w:rStyle w:val="Strong"/>
                <w:sz w:val="22"/>
              </w:rPr>
            </w:pPr>
            <w:r>
              <w:rPr>
                <w:rStyle w:val="Strong"/>
                <w:sz w:val="22"/>
              </w:rPr>
              <w:t>Total Burden p</w:t>
            </w:r>
            <w:r w:rsidR="009907D5" w:rsidRPr="00DD4E47">
              <w:rPr>
                <w:rStyle w:val="Strong"/>
                <w:sz w:val="22"/>
              </w:rPr>
              <w:t xml:space="preserve">er Year (hours) </w:t>
            </w:r>
          </w:p>
          <w:p w:rsidR="009907D5" w:rsidRPr="00DD4E47" w:rsidRDefault="00DD4E47" w:rsidP="00FE62C0">
            <w:pPr>
              <w:widowControl/>
              <w:jc w:val="center"/>
              <w:rPr>
                <w:sz w:val="22"/>
              </w:rPr>
            </w:pPr>
            <w:r>
              <w:rPr>
                <w:rStyle w:val="Strong"/>
                <w:sz w:val="22"/>
              </w:rPr>
              <w:t>(201</w:t>
            </w:r>
            <w:r w:rsidR="00FE62C0">
              <w:rPr>
                <w:rStyle w:val="Strong"/>
                <w:sz w:val="22"/>
              </w:rPr>
              <w:t>3</w:t>
            </w:r>
            <w:r>
              <w:rPr>
                <w:rStyle w:val="Strong"/>
                <w:sz w:val="22"/>
              </w:rPr>
              <w:t xml:space="preserve"> –</w:t>
            </w:r>
            <w:r w:rsidR="009907D5" w:rsidRPr="00DD4E47">
              <w:rPr>
                <w:rStyle w:val="Strong"/>
                <w:sz w:val="22"/>
              </w:rPr>
              <w:t xml:space="preserve"> 201</w:t>
            </w:r>
            <w:r w:rsidR="00FE62C0">
              <w:rPr>
                <w:rStyle w:val="Strong"/>
                <w:sz w:val="22"/>
              </w:rPr>
              <w:t>5</w:t>
            </w:r>
            <w:r w:rsidR="009907D5" w:rsidRPr="00DD4E47">
              <w:rPr>
                <w:rStyle w:val="Strong"/>
                <w:sz w:val="22"/>
              </w:rPr>
              <w:t>)</w:t>
            </w:r>
          </w:p>
        </w:tc>
        <w:tc>
          <w:tcPr>
            <w:tcW w:w="990" w:type="dxa"/>
            <w:shd w:val="pct10" w:color="auto" w:fill="auto"/>
            <w:vAlign w:val="bottom"/>
          </w:tcPr>
          <w:p w:rsidR="009907D5" w:rsidRPr="00DD4E47" w:rsidRDefault="009907D5" w:rsidP="00DD4E47">
            <w:pPr>
              <w:widowControl/>
              <w:jc w:val="center"/>
              <w:rPr>
                <w:sz w:val="22"/>
              </w:rPr>
            </w:pPr>
            <w:r w:rsidRPr="00DD4E47">
              <w:rPr>
                <w:rStyle w:val="Strong"/>
                <w:sz w:val="22"/>
              </w:rPr>
              <w:t>Total Cost</w:t>
            </w:r>
          </w:p>
        </w:tc>
      </w:tr>
      <w:tr w:rsidR="006960BA" w:rsidTr="004F5049">
        <w:trPr>
          <w:jc w:val="center"/>
        </w:trPr>
        <w:tc>
          <w:tcPr>
            <w:tcW w:w="2250" w:type="dxa"/>
          </w:tcPr>
          <w:p w:rsidR="006960BA" w:rsidRDefault="006960BA" w:rsidP="00562093">
            <w:pPr>
              <w:widowControl/>
            </w:pPr>
            <w:r>
              <w:t>Process, review, and evaluate quarterly report and issue feedback letter</w:t>
            </w:r>
            <w:r w:rsidR="007A73C6">
              <w:t>.</w:t>
            </w:r>
          </w:p>
        </w:tc>
        <w:tc>
          <w:tcPr>
            <w:tcW w:w="1710" w:type="dxa"/>
          </w:tcPr>
          <w:p w:rsidR="006960BA" w:rsidRDefault="006960BA" w:rsidP="00572651">
            <w:pPr>
              <w:widowControl/>
              <w:jc w:val="center"/>
            </w:pPr>
            <w:r>
              <w:t>1</w:t>
            </w:r>
          </w:p>
        </w:tc>
        <w:tc>
          <w:tcPr>
            <w:tcW w:w="1350" w:type="dxa"/>
          </w:tcPr>
          <w:p w:rsidR="006960BA" w:rsidRDefault="006960BA" w:rsidP="001A0465">
            <w:pPr>
              <w:widowControl/>
              <w:jc w:val="center"/>
            </w:pPr>
            <w:r>
              <w:t>$</w:t>
            </w:r>
            <w:r w:rsidR="001A0465">
              <w:t>49.49</w:t>
            </w:r>
          </w:p>
        </w:tc>
        <w:tc>
          <w:tcPr>
            <w:tcW w:w="1350" w:type="dxa"/>
          </w:tcPr>
          <w:p w:rsidR="006960BA" w:rsidRPr="006960BA" w:rsidRDefault="001A0465" w:rsidP="00572651">
            <w:pPr>
              <w:widowControl/>
              <w:jc w:val="center"/>
            </w:pPr>
            <w:r>
              <w:t>14,464</w:t>
            </w:r>
          </w:p>
        </w:tc>
        <w:tc>
          <w:tcPr>
            <w:tcW w:w="1800" w:type="dxa"/>
          </w:tcPr>
          <w:p w:rsidR="006960BA" w:rsidRPr="006960BA" w:rsidRDefault="001A0465" w:rsidP="001A0465">
            <w:pPr>
              <w:widowControl/>
              <w:jc w:val="center"/>
            </w:pPr>
            <w:r>
              <w:t>14,464</w:t>
            </w:r>
          </w:p>
        </w:tc>
        <w:tc>
          <w:tcPr>
            <w:tcW w:w="990" w:type="dxa"/>
          </w:tcPr>
          <w:p w:rsidR="006960BA" w:rsidRDefault="006960BA" w:rsidP="001A0465">
            <w:pPr>
              <w:widowControl/>
              <w:jc w:val="center"/>
              <w:rPr>
                <w:highlight w:val="yellow"/>
              </w:rPr>
            </w:pPr>
            <w:r>
              <w:t>$</w:t>
            </w:r>
            <w:r w:rsidR="001A0465">
              <w:t>715,823</w:t>
            </w:r>
          </w:p>
        </w:tc>
      </w:tr>
      <w:tr w:rsidR="00222CED" w:rsidTr="004F5049">
        <w:trPr>
          <w:jc w:val="center"/>
        </w:trPr>
        <w:tc>
          <w:tcPr>
            <w:tcW w:w="2250" w:type="dxa"/>
          </w:tcPr>
          <w:p w:rsidR="00222CED" w:rsidRDefault="00222CED" w:rsidP="00562093">
            <w:pPr>
              <w:widowControl/>
            </w:pPr>
            <w:r>
              <w:t>Conducted and Review EPA Field Audits</w:t>
            </w:r>
          </w:p>
        </w:tc>
        <w:tc>
          <w:tcPr>
            <w:tcW w:w="1710" w:type="dxa"/>
          </w:tcPr>
          <w:p w:rsidR="00222CED" w:rsidRDefault="00633F80" w:rsidP="00572651">
            <w:pPr>
              <w:widowControl/>
              <w:jc w:val="center"/>
            </w:pPr>
            <w:r>
              <w:t>35</w:t>
            </w:r>
          </w:p>
        </w:tc>
        <w:tc>
          <w:tcPr>
            <w:tcW w:w="1350" w:type="dxa"/>
          </w:tcPr>
          <w:p w:rsidR="00222CED" w:rsidRDefault="00222CED" w:rsidP="001A0465">
            <w:pPr>
              <w:widowControl/>
              <w:jc w:val="center"/>
            </w:pPr>
            <w:r>
              <w:t>$49.49</w:t>
            </w:r>
          </w:p>
        </w:tc>
        <w:tc>
          <w:tcPr>
            <w:tcW w:w="1350" w:type="dxa"/>
          </w:tcPr>
          <w:p w:rsidR="00222CED" w:rsidRPr="006960BA" w:rsidDel="001A0465" w:rsidRDefault="00633F80" w:rsidP="00572651">
            <w:pPr>
              <w:widowControl/>
              <w:jc w:val="center"/>
            </w:pPr>
            <w:r>
              <w:t>10</w:t>
            </w:r>
          </w:p>
        </w:tc>
        <w:tc>
          <w:tcPr>
            <w:tcW w:w="1800" w:type="dxa"/>
          </w:tcPr>
          <w:p w:rsidR="00222CED" w:rsidRPr="006960BA" w:rsidDel="001A0465" w:rsidRDefault="00633F80" w:rsidP="001A0465">
            <w:pPr>
              <w:widowControl/>
              <w:jc w:val="center"/>
            </w:pPr>
            <w:r>
              <w:t>350</w:t>
            </w:r>
          </w:p>
        </w:tc>
        <w:tc>
          <w:tcPr>
            <w:tcW w:w="990" w:type="dxa"/>
          </w:tcPr>
          <w:p w:rsidR="00222CED" w:rsidRDefault="00222CED" w:rsidP="00633F80">
            <w:pPr>
              <w:widowControl/>
              <w:jc w:val="center"/>
            </w:pPr>
            <w:r>
              <w:t>$</w:t>
            </w:r>
            <w:r w:rsidR="00633F80">
              <w:t>17,322</w:t>
            </w:r>
          </w:p>
        </w:tc>
      </w:tr>
      <w:tr w:rsidR="00DB3745" w:rsidTr="004F5049">
        <w:trPr>
          <w:jc w:val="center"/>
        </w:trPr>
        <w:tc>
          <w:tcPr>
            <w:tcW w:w="2250" w:type="dxa"/>
          </w:tcPr>
          <w:p w:rsidR="00DB3745" w:rsidRDefault="00DB3745" w:rsidP="00562093">
            <w:pPr>
              <w:widowControl/>
            </w:pPr>
            <w:r w:rsidRPr="00425556">
              <w:t>Independent Contractor CEMS Audits</w:t>
            </w:r>
          </w:p>
        </w:tc>
        <w:tc>
          <w:tcPr>
            <w:tcW w:w="1710" w:type="dxa"/>
          </w:tcPr>
          <w:p w:rsidR="00DB3745" w:rsidRDefault="00DB3745" w:rsidP="00572651">
            <w:pPr>
              <w:widowControl/>
              <w:jc w:val="center"/>
            </w:pPr>
            <w:r w:rsidRPr="00425556">
              <w:t>0</w:t>
            </w:r>
          </w:p>
        </w:tc>
        <w:tc>
          <w:tcPr>
            <w:tcW w:w="1350" w:type="dxa"/>
          </w:tcPr>
          <w:p w:rsidR="00DB3745" w:rsidRDefault="00DB3745" w:rsidP="001A0465">
            <w:pPr>
              <w:widowControl/>
              <w:jc w:val="center"/>
            </w:pPr>
            <w:r w:rsidRPr="00425556">
              <w:t xml:space="preserve">$0.00 </w:t>
            </w:r>
          </w:p>
        </w:tc>
        <w:tc>
          <w:tcPr>
            <w:tcW w:w="1350" w:type="dxa"/>
          </w:tcPr>
          <w:p w:rsidR="00DB3745" w:rsidRDefault="00DB3745" w:rsidP="00572651">
            <w:pPr>
              <w:widowControl/>
              <w:jc w:val="center"/>
            </w:pPr>
            <w:r w:rsidRPr="00425556">
              <w:t>0</w:t>
            </w:r>
          </w:p>
        </w:tc>
        <w:tc>
          <w:tcPr>
            <w:tcW w:w="1800" w:type="dxa"/>
          </w:tcPr>
          <w:p w:rsidR="00DB3745" w:rsidRDefault="00DB3745" w:rsidP="001A0465">
            <w:pPr>
              <w:widowControl/>
              <w:jc w:val="center"/>
            </w:pPr>
            <w:r w:rsidRPr="00425556">
              <w:t>0</w:t>
            </w:r>
          </w:p>
        </w:tc>
        <w:tc>
          <w:tcPr>
            <w:tcW w:w="990" w:type="dxa"/>
          </w:tcPr>
          <w:p w:rsidR="00DB3745" w:rsidRDefault="00DB3745" w:rsidP="00633F80">
            <w:pPr>
              <w:widowControl/>
              <w:jc w:val="center"/>
            </w:pPr>
            <w:r w:rsidRPr="00425556">
              <w:t xml:space="preserve">$50,000 </w:t>
            </w:r>
          </w:p>
        </w:tc>
      </w:tr>
      <w:tr w:rsidR="000E313A" w:rsidTr="004F5049">
        <w:trPr>
          <w:jc w:val="center"/>
        </w:trPr>
        <w:tc>
          <w:tcPr>
            <w:tcW w:w="2250" w:type="dxa"/>
          </w:tcPr>
          <w:p w:rsidR="000E313A" w:rsidRPr="004F5049" w:rsidRDefault="000E313A" w:rsidP="00562093">
            <w:pPr>
              <w:widowControl/>
              <w:rPr>
                <w:vertAlign w:val="superscript"/>
              </w:rPr>
            </w:pPr>
            <w:r>
              <w:t xml:space="preserve">Manage PGVP </w:t>
            </w:r>
            <w:proofErr w:type="spellStart"/>
            <w:r>
              <w:t>AETB</w:t>
            </w:r>
            <w:r w:rsidR="000E2DAE">
              <w:rPr>
                <w:vertAlign w:val="superscript"/>
              </w:rPr>
              <w:t>d</w:t>
            </w:r>
            <w:proofErr w:type="spellEnd"/>
          </w:p>
        </w:tc>
        <w:tc>
          <w:tcPr>
            <w:tcW w:w="1710" w:type="dxa"/>
          </w:tcPr>
          <w:p w:rsidR="000E313A" w:rsidRDefault="000E2DAE" w:rsidP="004F5049">
            <w:pPr>
              <w:widowControl/>
              <w:tabs>
                <w:tab w:val="left" w:pos="634"/>
                <w:tab w:val="center" w:pos="783"/>
              </w:tabs>
              <w:jc w:val="center"/>
            </w:pPr>
            <w:r>
              <w:t>-</w:t>
            </w:r>
          </w:p>
        </w:tc>
        <w:tc>
          <w:tcPr>
            <w:tcW w:w="1350" w:type="dxa"/>
          </w:tcPr>
          <w:p w:rsidR="000E313A" w:rsidRDefault="000E2DAE" w:rsidP="001A0465">
            <w:pPr>
              <w:widowControl/>
              <w:jc w:val="center"/>
            </w:pPr>
            <w:r>
              <w:t>-</w:t>
            </w:r>
          </w:p>
        </w:tc>
        <w:tc>
          <w:tcPr>
            <w:tcW w:w="1350" w:type="dxa"/>
          </w:tcPr>
          <w:p w:rsidR="000E313A" w:rsidRDefault="000E2DAE" w:rsidP="00572651">
            <w:pPr>
              <w:widowControl/>
              <w:jc w:val="center"/>
            </w:pPr>
            <w:r>
              <w:t>-</w:t>
            </w:r>
          </w:p>
        </w:tc>
        <w:tc>
          <w:tcPr>
            <w:tcW w:w="1800" w:type="dxa"/>
          </w:tcPr>
          <w:p w:rsidR="000E313A" w:rsidRDefault="000E2DAE" w:rsidP="001A0465">
            <w:pPr>
              <w:widowControl/>
              <w:jc w:val="center"/>
            </w:pPr>
            <w:r>
              <w:t>140</w:t>
            </w:r>
          </w:p>
        </w:tc>
        <w:tc>
          <w:tcPr>
            <w:tcW w:w="990" w:type="dxa"/>
          </w:tcPr>
          <w:p w:rsidR="000E313A" w:rsidRDefault="000E2DAE" w:rsidP="00633F80">
            <w:pPr>
              <w:widowControl/>
              <w:jc w:val="center"/>
            </w:pPr>
            <w:r>
              <w:t>$6,928.60</w:t>
            </w:r>
          </w:p>
        </w:tc>
      </w:tr>
      <w:tr w:rsidR="000E2DAE" w:rsidTr="004F5049">
        <w:trPr>
          <w:jc w:val="center"/>
        </w:trPr>
        <w:tc>
          <w:tcPr>
            <w:tcW w:w="6660" w:type="dxa"/>
            <w:gridSpan w:val="4"/>
          </w:tcPr>
          <w:p w:rsidR="000E2DAE" w:rsidRDefault="000E2DAE" w:rsidP="004F5049">
            <w:pPr>
              <w:widowControl/>
            </w:pPr>
            <w:r>
              <w:t>Total</w:t>
            </w:r>
          </w:p>
        </w:tc>
        <w:tc>
          <w:tcPr>
            <w:tcW w:w="1800" w:type="dxa"/>
          </w:tcPr>
          <w:p w:rsidR="000E2DAE" w:rsidRDefault="000E2DAE" w:rsidP="001A0465">
            <w:pPr>
              <w:widowControl/>
              <w:jc w:val="center"/>
            </w:pPr>
            <w:r>
              <w:t>14,954</w:t>
            </w:r>
          </w:p>
        </w:tc>
        <w:tc>
          <w:tcPr>
            <w:tcW w:w="990" w:type="dxa"/>
          </w:tcPr>
          <w:p w:rsidR="000E2DAE" w:rsidRDefault="000E2DAE" w:rsidP="00D66F11">
            <w:pPr>
              <w:widowControl/>
              <w:jc w:val="center"/>
            </w:pPr>
            <w:r>
              <w:t>$</w:t>
            </w:r>
            <w:r w:rsidR="00D66F11">
              <w:t>790,073</w:t>
            </w:r>
          </w:p>
        </w:tc>
      </w:tr>
    </w:tbl>
    <w:p w:rsidR="009907D5" w:rsidRDefault="009907D5" w:rsidP="00562093">
      <w:pPr>
        <w:pStyle w:val="NormalWeb"/>
        <w:spacing w:before="0" w:beforeAutospacing="0" w:after="0" w:afterAutospacing="0"/>
      </w:pPr>
    </w:p>
    <w:p w:rsidR="007A73C6" w:rsidRPr="007A73C6" w:rsidRDefault="007A73C6" w:rsidP="007A73C6">
      <w:pPr>
        <w:widowControl/>
        <w:ind w:left="1080" w:hanging="180"/>
      </w:pPr>
      <w:r w:rsidRPr="007A73C6">
        <w:rPr>
          <w:vertAlign w:val="superscript"/>
        </w:rPr>
        <w:t>a</w:t>
      </w:r>
      <w:r w:rsidRPr="007A73C6">
        <w:tab/>
        <w:t>Based on an average total compensation rate of</w:t>
      </w:r>
      <w:r w:rsidRPr="007A73C6">
        <w:rPr>
          <w:rStyle w:val="Strong"/>
        </w:rPr>
        <w:t xml:space="preserve"> </w:t>
      </w:r>
      <w:r w:rsidRPr="007A73C6">
        <w:rPr>
          <w:rStyle w:val="Strong"/>
          <w:b w:val="0"/>
        </w:rPr>
        <w:t>$</w:t>
      </w:r>
      <w:r w:rsidR="00AE0E7F">
        <w:rPr>
          <w:rStyle w:val="Strong"/>
          <w:b w:val="0"/>
        </w:rPr>
        <w:t>49.49</w:t>
      </w:r>
      <w:r>
        <w:t xml:space="preserve"> per hour.</w:t>
      </w:r>
    </w:p>
    <w:p w:rsidR="007A73C6" w:rsidRPr="007A73C6" w:rsidRDefault="007A73C6" w:rsidP="007A73C6">
      <w:pPr>
        <w:pStyle w:val="NormalWeb"/>
        <w:spacing w:before="0" w:beforeAutospacing="0" w:after="0" w:afterAutospacing="0"/>
        <w:ind w:left="1080" w:hanging="180"/>
        <w:rPr>
          <w:sz w:val="20"/>
          <w:szCs w:val="20"/>
        </w:rPr>
      </w:pPr>
      <w:r w:rsidRPr="007A73C6">
        <w:rPr>
          <w:sz w:val="20"/>
          <w:szCs w:val="20"/>
          <w:vertAlign w:val="superscript"/>
        </w:rPr>
        <w:t>b</w:t>
      </w:r>
      <w:r w:rsidRPr="007A73C6">
        <w:rPr>
          <w:sz w:val="20"/>
          <w:szCs w:val="20"/>
          <w:vertAlign w:val="superscript"/>
        </w:rPr>
        <w:tab/>
      </w:r>
      <w:r w:rsidRPr="007A73C6">
        <w:rPr>
          <w:sz w:val="20"/>
          <w:szCs w:val="20"/>
        </w:rPr>
        <w:t xml:space="preserve">Updated </w:t>
      </w:r>
      <w:r w:rsidR="000E313A">
        <w:rPr>
          <w:sz w:val="20"/>
          <w:szCs w:val="20"/>
        </w:rPr>
        <w:t xml:space="preserve">to </w:t>
      </w:r>
      <w:r w:rsidR="00AE0E7F">
        <w:rPr>
          <w:sz w:val="20"/>
          <w:szCs w:val="20"/>
        </w:rPr>
        <w:t>20</w:t>
      </w:r>
      <w:r w:rsidR="000E313A">
        <w:rPr>
          <w:sz w:val="20"/>
          <w:szCs w:val="20"/>
        </w:rPr>
        <w:t>12</w:t>
      </w:r>
      <w:r w:rsidR="001A0465" w:rsidRPr="007A73C6">
        <w:rPr>
          <w:sz w:val="20"/>
          <w:szCs w:val="20"/>
        </w:rPr>
        <w:t xml:space="preserve"> </w:t>
      </w:r>
      <w:r w:rsidRPr="007A73C6">
        <w:rPr>
          <w:sz w:val="20"/>
          <w:szCs w:val="20"/>
        </w:rPr>
        <w:t xml:space="preserve">dollars.  </w:t>
      </w:r>
    </w:p>
    <w:p w:rsidR="007A73C6" w:rsidRDefault="007A73C6" w:rsidP="007A73C6">
      <w:pPr>
        <w:pStyle w:val="NormalWeb"/>
        <w:spacing w:before="0" w:beforeAutospacing="0" w:after="0" w:afterAutospacing="0"/>
        <w:ind w:left="1080" w:hanging="180"/>
        <w:rPr>
          <w:sz w:val="20"/>
          <w:szCs w:val="20"/>
        </w:rPr>
      </w:pPr>
      <w:r w:rsidRPr="007A73C6">
        <w:rPr>
          <w:sz w:val="20"/>
          <w:szCs w:val="20"/>
          <w:vertAlign w:val="superscript"/>
        </w:rPr>
        <w:t>c</w:t>
      </w:r>
      <w:r w:rsidRPr="007A73C6">
        <w:rPr>
          <w:sz w:val="20"/>
          <w:szCs w:val="20"/>
        </w:rPr>
        <w:tab/>
        <w:t>Assumes 3,</w:t>
      </w:r>
      <w:r w:rsidR="001A0465">
        <w:rPr>
          <w:sz w:val="20"/>
          <w:szCs w:val="20"/>
        </w:rPr>
        <w:t>616</w:t>
      </w:r>
      <w:r w:rsidR="001A0465" w:rsidRPr="007A73C6">
        <w:rPr>
          <w:sz w:val="20"/>
          <w:szCs w:val="20"/>
        </w:rPr>
        <w:t xml:space="preserve"> </w:t>
      </w:r>
      <w:r w:rsidRPr="007A73C6">
        <w:rPr>
          <w:sz w:val="20"/>
          <w:szCs w:val="20"/>
        </w:rPr>
        <w:t>emission data reports each quarter</w:t>
      </w:r>
      <w:r w:rsidR="00633F80">
        <w:rPr>
          <w:sz w:val="20"/>
          <w:szCs w:val="20"/>
        </w:rPr>
        <w:t xml:space="preserve"> and an average of 10 CEMS audits per year.</w:t>
      </w:r>
    </w:p>
    <w:p w:rsidR="000E2DAE" w:rsidRPr="000E2DAE" w:rsidRDefault="000E2DAE" w:rsidP="007A73C6">
      <w:pPr>
        <w:pStyle w:val="NormalWeb"/>
        <w:spacing w:before="0" w:beforeAutospacing="0" w:after="0" w:afterAutospacing="0"/>
        <w:ind w:left="1080" w:hanging="180"/>
        <w:rPr>
          <w:sz w:val="20"/>
          <w:szCs w:val="20"/>
        </w:rPr>
      </w:pPr>
      <w:r>
        <w:rPr>
          <w:sz w:val="20"/>
          <w:szCs w:val="20"/>
          <w:vertAlign w:val="superscript"/>
        </w:rPr>
        <w:t xml:space="preserve">d </w:t>
      </w:r>
      <w:r>
        <w:rPr>
          <w:sz w:val="20"/>
          <w:szCs w:val="20"/>
        </w:rPr>
        <w:t xml:space="preserve"> See Appendix B for a background on how this burden was derived.</w:t>
      </w:r>
    </w:p>
    <w:p w:rsidR="007A73C6" w:rsidRDefault="007A73C6" w:rsidP="00562093">
      <w:pPr>
        <w:pStyle w:val="NormalWeb"/>
        <w:spacing w:before="0" w:beforeAutospacing="0" w:after="0" w:afterAutospacing="0"/>
      </w:pPr>
    </w:p>
    <w:p w:rsidR="007A73C6" w:rsidRDefault="007A73C6" w:rsidP="00562093">
      <w:pPr>
        <w:pStyle w:val="NormalWeb"/>
        <w:spacing w:before="0" w:beforeAutospacing="0" w:after="0" w:afterAutospacing="0"/>
      </w:pPr>
    </w:p>
    <w:p w:rsidR="009907D5" w:rsidRDefault="007A73C6" w:rsidP="007A73C6">
      <w:pPr>
        <w:widowControl/>
        <w:numPr>
          <w:ilvl w:val="12"/>
          <w:numId w:val="0"/>
        </w:numPr>
        <w:ind w:left="360"/>
        <w:rPr>
          <w:sz w:val="24"/>
          <w:szCs w:val="24"/>
        </w:rPr>
      </w:pPr>
      <w:r>
        <w:rPr>
          <w:b/>
          <w:bCs/>
          <w:sz w:val="24"/>
          <w:szCs w:val="24"/>
        </w:rPr>
        <w:t xml:space="preserve">6.5  </w:t>
      </w:r>
      <w:r w:rsidR="009907D5">
        <w:rPr>
          <w:b/>
          <w:bCs/>
          <w:sz w:val="24"/>
          <w:szCs w:val="24"/>
        </w:rPr>
        <w:t>Auctions</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7A73C6"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9907D5">
        <w:rPr>
          <w:sz w:val="24"/>
          <w:szCs w:val="24"/>
        </w:rPr>
        <w:t>This part presents estimates of the burden and costs to participants and the Federal government associated with the auction program</w:t>
      </w:r>
      <w:r w:rsidR="00562093">
        <w:rPr>
          <w:sz w:val="24"/>
          <w:szCs w:val="24"/>
        </w:rPr>
        <w:t xml:space="preserve">.  </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7A73C6"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9907D5">
        <w:rPr>
          <w:sz w:val="24"/>
          <w:szCs w:val="24"/>
        </w:rPr>
        <w:t>Auctions are held only once a year</w:t>
      </w:r>
      <w:r w:rsidR="00CE3ABF">
        <w:rPr>
          <w:sz w:val="24"/>
          <w:szCs w:val="24"/>
        </w:rPr>
        <w:t xml:space="preserve">. </w:t>
      </w:r>
      <w:r w:rsidR="009907D5">
        <w:rPr>
          <w:sz w:val="24"/>
          <w:szCs w:val="24"/>
        </w:rPr>
        <w:t>No restrictions are placed on the number of allowances for which a participant may bid</w:t>
      </w:r>
      <w:r w:rsidR="00CE3ABF">
        <w:rPr>
          <w:sz w:val="24"/>
          <w:szCs w:val="24"/>
        </w:rPr>
        <w:t xml:space="preserve">. </w:t>
      </w:r>
      <w:r w:rsidR="009907D5">
        <w:rPr>
          <w:sz w:val="24"/>
          <w:szCs w:val="24"/>
        </w:rPr>
        <w:t xml:space="preserve">Multiple bids from a given participant are permitted, but each bid is treated individually and requires a separate bid </w:t>
      </w:r>
      <w:r w:rsidR="00863F67">
        <w:rPr>
          <w:sz w:val="24"/>
          <w:szCs w:val="24"/>
        </w:rPr>
        <w:t>submission</w:t>
      </w:r>
      <w:r w:rsidR="00CE3ABF">
        <w:rPr>
          <w:sz w:val="24"/>
          <w:szCs w:val="24"/>
        </w:rPr>
        <w:t xml:space="preserve">. </w:t>
      </w:r>
      <w:r w:rsidR="009907D5">
        <w:rPr>
          <w:sz w:val="24"/>
          <w:szCs w:val="24"/>
        </w:rPr>
        <w:t xml:space="preserve">Based on the average number of bids in the past </w:t>
      </w:r>
      <w:r w:rsidR="00863F67">
        <w:rPr>
          <w:sz w:val="24"/>
          <w:szCs w:val="24"/>
        </w:rPr>
        <w:t xml:space="preserve">three </w:t>
      </w:r>
      <w:r w:rsidR="009907D5">
        <w:rPr>
          <w:sz w:val="24"/>
          <w:szCs w:val="24"/>
        </w:rPr>
        <w:t xml:space="preserve">auctions, EPA estimates that </w:t>
      </w:r>
      <w:r w:rsidR="00863F67">
        <w:rPr>
          <w:sz w:val="24"/>
          <w:szCs w:val="24"/>
        </w:rPr>
        <w:t xml:space="preserve">56 </w:t>
      </w:r>
      <w:r w:rsidR="009907D5">
        <w:rPr>
          <w:sz w:val="24"/>
          <w:szCs w:val="24"/>
        </w:rPr>
        <w:t>bids will be received each year.</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7A73C6">
      <w:pPr>
        <w:widowControl/>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Pr>
          <w:b/>
          <w:bCs/>
          <w:sz w:val="24"/>
          <w:szCs w:val="24"/>
        </w:rPr>
        <w:t xml:space="preserve">6.5.1 </w:t>
      </w:r>
      <w:r w:rsidR="007A73C6">
        <w:rPr>
          <w:b/>
          <w:bCs/>
          <w:sz w:val="24"/>
          <w:szCs w:val="24"/>
        </w:rPr>
        <w:t xml:space="preserve"> </w:t>
      </w:r>
      <w:r>
        <w:rPr>
          <w:b/>
          <w:bCs/>
          <w:sz w:val="24"/>
          <w:szCs w:val="24"/>
        </w:rPr>
        <w:t>Estimate of Respondent Burden and Costs</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7A73C6"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9907D5">
        <w:rPr>
          <w:sz w:val="24"/>
          <w:szCs w:val="24"/>
        </w:rPr>
        <w:t xml:space="preserve">Exhibit </w:t>
      </w:r>
      <w:r w:rsidR="00AE0E7F">
        <w:rPr>
          <w:sz w:val="24"/>
          <w:szCs w:val="24"/>
        </w:rPr>
        <w:t xml:space="preserve">7 </w:t>
      </w:r>
      <w:r w:rsidR="009907D5">
        <w:rPr>
          <w:sz w:val="24"/>
          <w:szCs w:val="24"/>
        </w:rPr>
        <w:t>depicts the burden and costs to auction participants</w:t>
      </w:r>
      <w:r w:rsidR="00CE3ABF">
        <w:rPr>
          <w:sz w:val="24"/>
          <w:szCs w:val="24"/>
        </w:rPr>
        <w:t xml:space="preserve">. </w:t>
      </w:r>
      <w:r w:rsidR="009907D5">
        <w:rPr>
          <w:sz w:val="24"/>
          <w:szCs w:val="24"/>
        </w:rPr>
        <w:t xml:space="preserve">Auction participants must complete and submit the </w:t>
      </w:r>
      <w:r w:rsidR="00863F67">
        <w:rPr>
          <w:sz w:val="24"/>
          <w:szCs w:val="24"/>
        </w:rPr>
        <w:t>information electronically</w:t>
      </w:r>
      <w:r w:rsidR="009907D5">
        <w:rPr>
          <w:sz w:val="24"/>
          <w:szCs w:val="24"/>
        </w:rPr>
        <w:t xml:space="preserve"> along with a certified check, letter of credit, or wire transfer</w:t>
      </w:r>
      <w:r w:rsidR="00CE3ABF">
        <w:rPr>
          <w:sz w:val="24"/>
          <w:szCs w:val="24"/>
        </w:rPr>
        <w:t xml:space="preserve">. </w:t>
      </w:r>
      <w:r w:rsidR="009907D5">
        <w:rPr>
          <w:sz w:val="24"/>
          <w:szCs w:val="24"/>
        </w:rPr>
        <w:t xml:space="preserve">EPA estimates that the auction bid </w:t>
      </w:r>
      <w:r w:rsidR="00863F67">
        <w:rPr>
          <w:sz w:val="24"/>
          <w:szCs w:val="24"/>
        </w:rPr>
        <w:t xml:space="preserve">submission </w:t>
      </w:r>
      <w:r w:rsidR="009907D5">
        <w:rPr>
          <w:sz w:val="24"/>
          <w:szCs w:val="24"/>
        </w:rPr>
        <w:t>takes approximately 30 minutes to prepare, and obtaining a means of payment takes approximately one hour</w:t>
      </w:r>
      <w:r w:rsidR="00CE3ABF">
        <w:rPr>
          <w:sz w:val="24"/>
          <w:szCs w:val="24"/>
        </w:rPr>
        <w:t xml:space="preserve">. </w:t>
      </w:r>
      <w:r w:rsidR="009907D5">
        <w:rPr>
          <w:sz w:val="24"/>
          <w:szCs w:val="24"/>
        </w:rPr>
        <w:t xml:space="preserve">This estimate includes time allocated to research the required information, </w:t>
      </w:r>
      <w:r w:rsidR="00863F67">
        <w:rPr>
          <w:sz w:val="24"/>
          <w:szCs w:val="24"/>
        </w:rPr>
        <w:t>enter the information on-line</w:t>
      </w:r>
      <w:r w:rsidR="009907D5">
        <w:rPr>
          <w:sz w:val="24"/>
          <w:szCs w:val="24"/>
        </w:rPr>
        <w:t>, arrange for a certified check, letter of credit, wire transfer, and send the material to EPA</w:t>
      </w:r>
      <w:r w:rsidR="00CE3ABF">
        <w:rPr>
          <w:sz w:val="24"/>
          <w:szCs w:val="24"/>
        </w:rPr>
        <w:t xml:space="preserve">. </w:t>
      </w:r>
      <w:r w:rsidR="009907D5">
        <w:rPr>
          <w:sz w:val="24"/>
          <w:szCs w:val="24"/>
        </w:rPr>
        <w:t xml:space="preserve">The burden and cost to auction participants is estimated to be </w:t>
      </w:r>
      <w:r w:rsidR="005A5313">
        <w:rPr>
          <w:sz w:val="24"/>
          <w:szCs w:val="24"/>
        </w:rPr>
        <w:t>84</w:t>
      </w:r>
      <w:r w:rsidR="005A5313" w:rsidRPr="006960BA">
        <w:rPr>
          <w:sz w:val="24"/>
          <w:szCs w:val="24"/>
        </w:rPr>
        <w:t xml:space="preserve"> </w:t>
      </w:r>
      <w:r w:rsidR="009907D5" w:rsidRPr="006960BA">
        <w:rPr>
          <w:sz w:val="24"/>
          <w:szCs w:val="24"/>
        </w:rPr>
        <w:t>hours and $</w:t>
      </w:r>
      <w:r w:rsidR="005A5313">
        <w:rPr>
          <w:sz w:val="24"/>
          <w:szCs w:val="24"/>
        </w:rPr>
        <w:t>7,974.96</w:t>
      </w:r>
      <w:r w:rsidR="00766028">
        <w:rPr>
          <w:sz w:val="24"/>
          <w:szCs w:val="24"/>
        </w:rPr>
        <w:t xml:space="preserve"> </w:t>
      </w:r>
      <w:r w:rsidR="009907D5" w:rsidRPr="006960BA">
        <w:rPr>
          <w:sz w:val="24"/>
          <w:szCs w:val="24"/>
        </w:rPr>
        <w:t>per</w:t>
      </w:r>
      <w:r w:rsidR="009907D5">
        <w:rPr>
          <w:sz w:val="24"/>
          <w:szCs w:val="24"/>
        </w:rPr>
        <w:t xml:space="preserve"> year respectively.</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62093" w:rsidRDefault="00562093"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Pr="00AB4259" w:rsidRDefault="009907D5" w:rsidP="00562093">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AB4259">
        <w:rPr>
          <w:b/>
          <w:sz w:val="24"/>
          <w:szCs w:val="24"/>
        </w:rPr>
        <w:t xml:space="preserve">EXHIBIT </w:t>
      </w:r>
      <w:r w:rsidR="00AE0E7F">
        <w:rPr>
          <w:b/>
          <w:sz w:val="24"/>
          <w:szCs w:val="24"/>
        </w:rPr>
        <w:t>7</w:t>
      </w:r>
    </w:p>
    <w:p w:rsidR="009907D5" w:rsidRPr="00AB4259" w:rsidRDefault="009907D5" w:rsidP="00562093">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AB4259">
        <w:rPr>
          <w:b/>
          <w:sz w:val="24"/>
          <w:szCs w:val="24"/>
        </w:rPr>
        <w:t>ANNUAL RESPONDENT BURDEN/COST ESTIMATES FOR AUCTIONS</w:t>
      </w:r>
    </w:p>
    <w:p w:rsidR="00AB4259" w:rsidRDefault="00AB4259" w:rsidP="00562093">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tbl>
      <w:tblPr>
        <w:tblW w:w="9360" w:type="dxa"/>
        <w:jc w:val="center"/>
        <w:tblInd w:w="91" w:type="dxa"/>
        <w:tblLayout w:type="fixed"/>
        <w:tblCellMar>
          <w:top w:w="72" w:type="dxa"/>
          <w:left w:w="72" w:type="dxa"/>
          <w:bottom w:w="72" w:type="dxa"/>
          <w:right w:w="72" w:type="dxa"/>
        </w:tblCellMar>
        <w:tblLook w:val="0000"/>
      </w:tblPr>
      <w:tblGrid>
        <w:gridCol w:w="3652"/>
        <w:gridCol w:w="1605"/>
        <w:gridCol w:w="1160"/>
        <w:gridCol w:w="1605"/>
        <w:gridCol w:w="1338"/>
      </w:tblGrid>
      <w:tr w:rsidR="009907D5" w:rsidRPr="00AB4259" w:rsidTr="00AB4259">
        <w:trPr>
          <w:cantSplit/>
          <w:jc w:val="center"/>
        </w:trPr>
        <w:tc>
          <w:tcPr>
            <w:tcW w:w="3690" w:type="dxa"/>
            <w:tcBorders>
              <w:top w:val="double" w:sz="6" w:space="0" w:color="auto"/>
              <w:left w:val="double" w:sz="6" w:space="0" w:color="auto"/>
              <w:bottom w:val="single" w:sz="6" w:space="0" w:color="auto"/>
              <w:right w:val="nil"/>
            </w:tcBorders>
            <w:shd w:val="pct10" w:color="auto" w:fill="auto"/>
            <w:vAlign w:val="bottom"/>
          </w:tcPr>
          <w:p w:rsidR="009907D5" w:rsidRPr="00AB4259" w:rsidRDefault="009907D5" w:rsidP="00AB4259">
            <w:pPr>
              <w:keepNext/>
              <w:widowControl/>
              <w:numPr>
                <w:ilvl w:val="12"/>
                <w:numId w:val="0"/>
              </w:numPr>
              <w:jc w:val="center"/>
              <w:rPr>
                <w:b/>
                <w:sz w:val="24"/>
                <w:szCs w:val="24"/>
              </w:rPr>
            </w:pPr>
            <w:r w:rsidRPr="00AB4259">
              <w:rPr>
                <w:b/>
                <w:sz w:val="22"/>
                <w:szCs w:val="22"/>
              </w:rPr>
              <w:t>Collection Activities</w:t>
            </w:r>
          </w:p>
        </w:tc>
        <w:tc>
          <w:tcPr>
            <w:tcW w:w="1620" w:type="dxa"/>
            <w:tcBorders>
              <w:top w:val="double" w:sz="6" w:space="0" w:color="auto"/>
              <w:left w:val="single" w:sz="6" w:space="0" w:color="auto"/>
              <w:bottom w:val="single" w:sz="6" w:space="0" w:color="auto"/>
              <w:right w:val="nil"/>
            </w:tcBorders>
            <w:shd w:val="pct10" w:color="auto" w:fill="auto"/>
            <w:vAlign w:val="bottom"/>
          </w:tcPr>
          <w:p w:rsidR="009907D5" w:rsidRPr="00AB4259" w:rsidRDefault="009907D5" w:rsidP="00AB4259">
            <w:pPr>
              <w:keepNext/>
              <w:widowControl/>
              <w:numPr>
                <w:ilvl w:val="12"/>
                <w:numId w:val="0"/>
              </w:numPr>
              <w:jc w:val="center"/>
              <w:rPr>
                <w:b/>
                <w:sz w:val="24"/>
                <w:szCs w:val="24"/>
              </w:rPr>
            </w:pPr>
            <w:r w:rsidRPr="00AB4259">
              <w:rPr>
                <w:b/>
                <w:sz w:val="22"/>
                <w:szCs w:val="22"/>
              </w:rPr>
              <w:t>Burden Hours Per Bid</w:t>
            </w:r>
          </w:p>
        </w:tc>
        <w:tc>
          <w:tcPr>
            <w:tcW w:w="1170" w:type="dxa"/>
            <w:tcBorders>
              <w:top w:val="double" w:sz="6" w:space="0" w:color="auto"/>
              <w:left w:val="single" w:sz="6" w:space="0" w:color="auto"/>
              <w:bottom w:val="single" w:sz="6" w:space="0" w:color="auto"/>
              <w:right w:val="nil"/>
            </w:tcBorders>
            <w:shd w:val="pct10" w:color="auto" w:fill="auto"/>
            <w:vAlign w:val="bottom"/>
          </w:tcPr>
          <w:p w:rsidR="009907D5" w:rsidRPr="00AB4259" w:rsidRDefault="009907D5" w:rsidP="00AB4259">
            <w:pPr>
              <w:keepNext/>
              <w:widowControl/>
              <w:numPr>
                <w:ilvl w:val="12"/>
                <w:numId w:val="0"/>
              </w:numPr>
              <w:jc w:val="center"/>
              <w:rPr>
                <w:b/>
                <w:sz w:val="24"/>
                <w:szCs w:val="24"/>
              </w:rPr>
            </w:pPr>
            <w:r w:rsidRPr="00AB4259">
              <w:rPr>
                <w:b/>
                <w:sz w:val="22"/>
                <w:szCs w:val="22"/>
              </w:rPr>
              <w:t xml:space="preserve">Cost Per </w:t>
            </w:r>
            <w:proofErr w:type="spellStart"/>
            <w:r w:rsidRPr="00AB4259">
              <w:rPr>
                <w:b/>
                <w:sz w:val="22"/>
                <w:szCs w:val="22"/>
              </w:rPr>
              <w:t>Bid</w:t>
            </w:r>
            <w:r w:rsidRPr="00AB4259">
              <w:rPr>
                <w:b/>
                <w:sz w:val="22"/>
                <w:szCs w:val="22"/>
                <w:vertAlign w:val="superscript"/>
              </w:rPr>
              <w:t>a</w:t>
            </w:r>
            <w:proofErr w:type="spellEnd"/>
          </w:p>
        </w:tc>
        <w:tc>
          <w:tcPr>
            <w:tcW w:w="1620" w:type="dxa"/>
            <w:tcBorders>
              <w:top w:val="double" w:sz="6" w:space="0" w:color="auto"/>
              <w:left w:val="single" w:sz="6" w:space="0" w:color="auto"/>
              <w:bottom w:val="single" w:sz="6" w:space="0" w:color="auto"/>
              <w:right w:val="nil"/>
            </w:tcBorders>
            <w:shd w:val="pct10" w:color="auto" w:fill="auto"/>
            <w:vAlign w:val="bottom"/>
          </w:tcPr>
          <w:p w:rsidR="009907D5" w:rsidRPr="00AB4259" w:rsidRDefault="009907D5" w:rsidP="00AB4259">
            <w:pPr>
              <w:keepNext/>
              <w:widowControl/>
              <w:numPr>
                <w:ilvl w:val="12"/>
                <w:numId w:val="0"/>
              </w:numPr>
              <w:jc w:val="center"/>
              <w:rPr>
                <w:b/>
                <w:sz w:val="24"/>
                <w:szCs w:val="24"/>
              </w:rPr>
            </w:pPr>
            <w:r w:rsidRPr="00AB4259">
              <w:rPr>
                <w:b/>
                <w:sz w:val="22"/>
                <w:szCs w:val="22"/>
              </w:rPr>
              <w:t>Burden Hours Per Year</w:t>
            </w:r>
          </w:p>
        </w:tc>
        <w:tc>
          <w:tcPr>
            <w:tcW w:w="1350" w:type="dxa"/>
            <w:tcBorders>
              <w:top w:val="double" w:sz="6" w:space="0" w:color="auto"/>
              <w:left w:val="single" w:sz="6" w:space="0" w:color="auto"/>
              <w:bottom w:val="single" w:sz="6" w:space="0" w:color="auto"/>
              <w:right w:val="double" w:sz="6" w:space="0" w:color="auto"/>
            </w:tcBorders>
            <w:shd w:val="pct10" w:color="auto" w:fill="auto"/>
            <w:vAlign w:val="bottom"/>
          </w:tcPr>
          <w:p w:rsidR="009907D5" w:rsidRPr="00AB4259" w:rsidRDefault="009907D5" w:rsidP="00AB4259">
            <w:pPr>
              <w:keepNext/>
              <w:widowControl/>
              <w:numPr>
                <w:ilvl w:val="12"/>
                <w:numId w:val="0"/>
              </w:numPr>
              <w:jc w:val="center"/>
              <w:rPr>
                <w:b/>
                <w:sz w:val="24"/>
                <w:szCs w:val="24"/>
              </w:rPr>
            </w:pPr>
            <w:r w:rsidRPr="00AB4259">
              <w:rPr>
                <w:b/>
                <w:sz w:val="22"/>
                <w:szCs w:val="22"/>
              </w:rPr>
              <w:t>Cost Per Year</w:t>
            </w:r>
          </w:p>
        </w:tc>
      </w:tr>
      <w:tr w:rsidR="006960BA" w:rsidRPr="00AB4259" w:rsidTr="00572651">
        <w:trPr>
          <w:cantSplit/>
          <w:jc w:val="center"/>
        </w:trPr>
        <w:tc>
          <w:tcPr>
            <w:tcW w:w="3690" w:type="dxa"/>
            <w:tcBorders>
              <w:top w:val="single" w:sz="6" w:space="0" w:color="auto"/>
              <w:left w:val="double" w:sz="6" w:space="0" w:color="auto"/>
              <w:bottom w:val="nil"/>
              <w:right w:val="nil"/>
            </w:tcBorders>
            <w:vAlign w:val="bottom"/>
          </w:tcPr>
          <w:p w:rsidR="006960BA" w:rsidRPr="00AB4259" w:rsidRDefault="006960BA" w:rsidP="005A5313">
            <w:pPr>
              <w:keepNext/>
              <w:widowControl/>
              <w:numPr>
                <w:ilvl w:val="12"/>
                <w:numId w:val="0"/>
              </w:numPr>
              <w:rPr>
                <w:szCs w:val="24"/>
              </w:rPr>
            </w:pPr>
            <w:r w:rsidRPr="00AB4259">
              <w:rPr>
                <w:szCs w:val="22"/>
              </w:rPr>
              <w:t>1</w:t>
            </w:r>
            <w:r w:rsidR="00562093" w:rsidRPr="00AB4259">
              <w:rPr>
                <w:szCs w:val="22"/>
              </w:rPr>
              <w:t xml:space="preserve">.  </w:t>
            </w:r>
            <w:r w:rsidR="005A5313">
              <w:rPr>
                <w:szCs w:val="22"/>
              </w:rPr>
              <w:t xml:space="preserve">Submitting bid </w:t>
            </w:r>
            <w:proofErr w:type="spellStart"/>
            <w:r w:rsidR="005A5313">
              <w:rPr>
                <w:szCs w:val="22"/>
              </w:rPr>
              <w:t>information</w:t>
            </w:r>
            <w:r w:rsidR="00AB4259">
              <w:rPr>
                <w:szCs w:val="22"/>
              </w:rPr>
              <w:t>.</w:t>
            </w:r>
            <w:r w:rsidRPr="00AB4259">
              <w:rPr>
                <w:szCs w:val="22"/>
                <w:vertAlign w:val="superscript"/>
              </w:rPr>
              <w:t>b</w:t>
            </w:r>
            <w:proofErr w:type="spellEnd"/>
          </w:p>
        </w:tc>
        <w:tc>
          <w:tcPr>
            <w:tcW w:w="1620" w:type="dxa"/>
            <w:tcBorders>
              <w:top w:val="single" w:sz="6" w:space="0" w:color="auto"/>
              <w:left w:val="single" w:sz="6" w:space="0" w:color="auto"/>
              <w:bottom w:val="nil"/>
              <w:right w:val="nil"/>
            </w:tcBorders>
          </w:tcPr>
          <w:p w:rsidR="006960BA" w:rsidRPr="00AB4259" w:rsidRDefault="006960BA" w:rsidP="00572651">
            <w:pPr>
              <w:keepNext/>
              <w:widowControl/>
              <w:numPr>
                <w:ilvl w:val="12"/>
                <w:numId w:val="0"/>
              </w:numPr>
              <w:jc w:val="center"/>
              <w:rPr>
                <w:szCs w:val="24"/>
              </w:rPr>
            </w:pPr>
            <w:r w:rsidRPr="00AB4259">
              <w:rPr>
                <w:szCs w:val="22"/>
              </w:rPr>
              <w:t>0.5</w:t>
            </w:r>
          </w:p>
        </w:tc>
        <w:tc>
          <w:tcPr>
            <w:tcW w:w="1170" w:type="dxa"/>
            <w:tcBorders>
              <w:top w:val="single" w:sz="6" w:space="0" w:color="auto"/>
              <w:left w:val="single" w:sz="6" w:space="0" w:color="auto"/>
              <w:bottom w:val="nil"/>
              <w:right w:val="nil"/>
            </w:tcBorders>
          </w:tcPr>
          <w:p w:rsidR="006960BA" w:rsidRPr="00AB4259" w:rsidRDefault="006960BA" w:rsidP="00416989">
            <w:pPr>
              <w:keepNext/>
              <w:widowControl/>
              <w:numPr>
                <w:ilvl w:val="12"/>
                <w:numId w:val="0"/>
              </w:numPr>
              <w:jc w:val="center"/>
              <w:rPr>
                <w:szCs w:val="24"/>
              </w:rPr>
            </w:pPr>
            <w:r w:rsidRPr="00AB4259">
              <w:rPr>
                <w:szCs w:val="22"/>
              </w:rPr>
              <w:t>$</w:t>
            </w:r>
            <w:r w:rsidR="00416989">
              <w:rPr>
                <w:szCs w:val="22"/>
              </w:rPr>
              <w:t>47.47</w:t>
            </w:r>
          </w:p>
        </w:tc>
        <w:tc>
          <w:tcPr>
            <w:tcW w:w="1620" w:type="dxa"/>
            <w:tcBorders>
              <w:top w:val="single" w:sz="6" w:space="0" w:color="auto"/>
              <w:left w:val="single" w:sz="6" w:space="0" w:color="auto"/>
              <w:bottom w:val="nil"/>
              <w:right w:val="nil"/>
            </w:tcBorders>
          </w:tcPr>
          <w:p w:rsidR="006960BA" w:rsidRPr="00AB4259" w:rsidRDefault="00863F67" w:rsidP="00572651">
            <w:pPr>
              <w:keepNext/>
              <w:widowControl/>
              <w:numPr>
                <w:ilvl w:val="12"/>
                <w:numId w:val="0"/>
              </w:numPr>
              <w:jc w:val="center"/>
              <w:rPr>
                <w:szCs w:val="24"/>
              </w:rPr>
            </w:pPr>
            <w:r>
              <w:rPr>
                <w:szCs w:val="22"/>
              </w:rPr>
              <w:t>28</w:t>
            </w:r>
          </w:p>
        </w:tc>
        <w:tc>
          <w:tcPr>
            <w:tcW w:w="1350" w:type="dxa"/>
            <w:tcBorders>
              <w:top w:val="single" w:sz="6" w:space="0" w:color="auto"/>
              <w:left w:val="single" w:sz="6" w:space="0" w:color="auto"/>
              <w:bottom w:val="nil"/>
              <w:right w:val="double" w:sz="6" w:space="0" w:color="auto"/>
            </w:tcBorders>
          </w:tcPr>
          <w:p w:rsidR="006960BA" w:rsidRPr="00AB4259" w:rsidRDefault="006960BA" w:rsidP="005A5313">
            <w:pPr>
              <w:keepNext/>
              <w:widowControl/>
              <w:numPr>
                <w:ilvl w:val="12"/>
                <w:numId w:val="0"/>
              </w:numPr>
              <w:jc w:val="center"/>
              <w:rPr>
                <w:szCs w:val="24"/>
              </w:rPr>
            </w:pPr>
            <w:r w:rsidRPr="00AB4259">
              <w:rPr>
                <w:szCs w:val="22"/>
              </w:rPr>
              <w:t>$</w:t>
            </w:r>
            <w:r w:rsidR="005A5313">
              <w:rPr>
                <w:szCs w:val="22"/>
              </w:rPr>
              <w:t>2,658.32</w:t>
            </w:r>
          </w:p>
        </w:tc>
      </w:tr>
      <w:tr w:rsidR="006960BA" w:rsidRPr="00AB4259" w:rsidTr="00572651">
        <w:trPr>
          <w:cantSplit/>
          <w:jc w:val="center"/>
        </w:trPr>
        <w:tc>
          <w:tcPr>
            <w:tcW w:w="3690" w:type="dxa"/>
            <w:tcBorders>
              <w:top w:val="nil"/>
              <w:left w:val="double" w:sz="6" w:space="0" w:color="auto"/>
              <w:bottom w:val="double" w:sz="6" w:space="0" w:color="auto"/>
              <w:right w:val="nil"/>
            </w:tcBorders>
            <w:vAlign w:val="bottom"/>
          </w:tcPr>
          <w:p w:rsidR="006960BA" w:rsidRPr="00AB4259" w:rsidRDefault="006960BA" w:rsidP="00562093">
            <w:pPr>
              <w:keepNext/>
              <w:widowControl/>
              <w:numPr>
                <w:ilvl w:val="12"/>
                <w:numId w:val="0"/>
              </w:numPr>
              <w:rPr>
                <w:szCs w:val="24"/>
              </w:rPr>
            </w:pPr>
            <w:r w:rsidRPr="00AB4259">
              <w:rPr>
                <w:szCs w:val="22"/>
              </w:rPr>
              <w:t>2</w:t>
            </w:r>
            <w:r w:rsidR="00562093" w:rsidRPr="00AB4259">
              <w:rPr>
                <w:szCs w:val="22"/>
              </w:rPr>
              <w:t xml:space="preserve">.  </w:t>
            </w:r>
            <w:r w:rsidRPr="00AB4259">
              <w:rPr>
                <w:szCs w:val="22"/>
              </w:rPr>
              <w:t xml:space="preserve">Obtaining means of </w:t>
            </w:r>
            <w:proofErr w:type="spellStart"/>
            <w:r w:rsidRPr="00AB4259">
              <w:rPr>
                <w:szCs w:val="22"/>
              </w:rPr>
              <w:t>payment</w:t>
            </w:r>
            <w:r w:rsidR="00AB4259">
              <w:rPr>
                <w:szCs w:val="22"/>
              </w:rPr>
              <w:t>.</w:t>
            </w:r>
            <w:r w:rsidRPr="00AB4259">
              <w:rPr>
                <w:szCs w:val="22"/>
                <w:vertAlign w:val="superscript"/>
              </w:rPr>
              <w:t>b</w:t>
            </w:r>
            <w:proofErr w:type="spellEnd"/>
          </w:p>
        </w:tc>
        <w:tc>
          <w:tcPr>
            <w:tcW w:w="1620" w:type="dxa"/>
            <w:tcBorders>
              <w:top w:val="nil"/>
              <w:left w:val="single" w:sz="6" w:space="0" w:color="auto"/>
              <w:bottom w:val="double" w:sz="6" w:space="0" w:color="auto"/>
              <w:right w:val="nil"/>
            </w:tcBorders>
          </w:tcPr>
          <w:p w:rsidR="006960BA" w:rsidRPr="00AB4259" w:rsidRDefault="006960BA" w:rsidP="00572651">
            <w:pPr>
              <w:keepNext/>
              <w:widowControl/>
              <w:numPr>
                <w:ilvl w:val="12"/>
                <w:numId w:val="0"/>
              </w:numPr>
              <w:jc w:val="center"/>
              <w:rPr>
                <w:szCs w:val="24"/>
              </w:rPr>
            </w:pPr>
            <w:r w:rsidRPr="00AB4259">
              <w:rPr>
                <w:szCs w:val="22"/>
              </w:rPr>
              <w:t>1</w:t>
            </w:r>
          </w:p>
        </w:tc>
        <w:tc>
          <w:tcPr>
            <w:tcW w:w="1170" w:type="dxa"/>
            <w:tcBorders>
              <w:top w:val="nil"/>
              <w:left w:val="single" w:sz="6" w:space="0" w:color="auto"/>
              <w:bottom w:val="double" w:sz="6" w:space="0" w:color="auto"/>
              <w:right w:val="nil"/>
            </w:tcBorders>
          </w:tcPr>
          <w:p w:rsidR="006960BA" w:rsidRPr="00AB4259" w:rsidRDefault="006960BA" w:rsidP="00416989">
            <w:pPr>
              <w:keepNext/>
              <w:widowControl/>
              <w:numPr>
                <w:ilvl w:val="12"/>
                <w:numId w:val="0"/>
              </w:numPr>
              <w:jc w:val="center"/>
              <w:rPr>
                <w:szCs w:val="24"/>
              </w:rPr>
            </w:pPr>
            <w:r w:rsidRPr="00AB4259">
              <w:rPr>
                <w:szCs w:val="22"/>
              </w:rPr>
              <w:t>$</w:t>
            </w:r>
            <w:r w:rsidR="00416989">
              <w:rPr>
                <w:szCs w:val="22"/>
              </w:rPr>
              <w:t>94.94</w:t>
            </w:r>
          </w:p>
        </w:tc>
        <w:tc>
          <w:tcPr>
            <w:tcW w:w="1620" w:type="dxa"/>
            <w:tcBorders>
              <w:top w:val="nil"/>
              <w:left w:val="single" w:sz="6" w:space="0" w:color="auto"/>
              <w:bottom w:val="double" w:sz="6" w:space="0" w:color="auto"/>
              <w:right w:val="nil"/>
            </w:tcBorders>
          </w:tcPr>
          <w:p w:rsidR="006960BA" w:rsidRPr="00AB4259" w:rsidRDefault="005A5313" w:rsidP="00572651">
            <w:pPr>
              <w:keepNext/>
              <w:widowControl/>
              <w:numPr>
                <w:ilvl w:val="12"/>
                <w:numId w:val="0"/>
              </w:numPr>
              <w:jc w:val="center"/>
              <w:rPr>
                <w:szCs w:val="24"/>
              </w:rPr>
            </w:pPr>
            <w:r>
              <w:rPr>
                <w:szCs w:val="22"/>
              </w:rPr>
              <w:t>56</w:t>
            </w:r>
          </w:p>
        </w:tc>
        <w:tc>
          <w:tcPr>
            <w:tcW w:w="1350" w:type="dxa"/>
            <w:tcBorders>
              <w:top w:val="nil"/>
              <w:left w:val="single" w:sz="6" w:space="0" w:color="auto"/>
              <w:bottom w:val="double" w:sz="6" w:space="0" w:color="auto"/>
              <w:right w:val="double" w:sz="6" w:space="0" w:color="auto"/>
            </w:tcBorders>
          </w:tcPr>
          <w:p w:rsidR="006960BA" w:rsidRPr="00AB4259" w:rsidRDefault="006960BA" w:rsidP="005A5313">
            <w:pPr>
              <w:keepNext/>
              <w:widowControl/>
              <w:numPr>
                <w:ilvl w:val="12"/>
                <w:numId w:val="0"/>
              </w:numPr>
              <w:jc w:val="center"/>
              <w:rPr>
                <w:szCs w:val="24"/>
              </w:rPr>
            </w:pPr>
            <w:r w:rsidRPr="00AB4259">
              <w:rPr>
                <w:szCs w:val="22"/>
              </w:rPr>
              <w:t>$</w:t>
            </w:r>
            <w:r w:rsidR="005A5313">
              <w:rPr>
                <w:szCs w:val="22"/>
              </w:rPr>
              <w:t>5,316.64</w:t>
            </w:r>
          </w:p>
        </w:tc>
      </w:tr>
      <w:tr w:rsidR="006960BA" w:rsidRPr="00AB4259" w:rsidTr="00572651">
        <w:trPr>
          <w:cantSplit/>
          <w:jc w:val="center"/>
        </w:trPr>
        <w:tc>
          <w:tcPr>
            <w:tcW w:w="3690" w:type="dxa"/>
            <w:tcBorders>
              <w:top w:val="nil"/>
              <w:left w:val="double" w:sz="6" w:space="0" w:color="auto"/>
              <w:bottom w:val="double" w:sz="6" w:space="0" w:color="auto"/>
              <w:right w:val="nil"/>
            </w:tcBorders>
            <w:vAlign w:val="bottom"/>
          </w:tcPr>
          <w:p w:rsidR="006960BA" w:rsidRPr="00AB4259" w:rsidRDefault="006960BA" w:rsidP="00562093">
            <w:pPr>
              <w:keepNext/>
              <w:widowControl/>
              <w:numPr>
                <w:ilvl w:val="12"/>
                <w:numId w:val="0"/>
              </w:numPr>
              <w:rPr>
                <w:b/>
                <w:szCs w:val="24"/>
              </w:rPr>
            </w:pPr>
            <w:r w:rsidRPr="00AB4259">
              <w:rPr>
                <w:b/>
                <w:szCs w:val="22"/>
              </w:rPr>
              <w:t>TOTAL</w:t>
            </w:r>
          </w:p>
        </w:tc>
        <w:tc>
          <w:tcPr>
            <w:tcW w:w="1620" w:type="dxa"/>
            <w:tcBorders>
              <w:top w:val="nil"/>
              <w:left w:val="single" w:sz="6" w:space="0" w:color="auto"/>
              <w:bottom w:val="double" w:sz="6" w:space="0" w:color="auto"/>
              <w:right w:val="nil"/>
            </w:tcBorders>
          </w:tcPr>
          <w:p w:rsidR="006960BA" w:rsidRPr="00AB4259" w:rsidRDefault="006960BA" w:rsidP="00572651">
            <w:pPr>
              <w:keepNext/>
              <w:widowControl/>
              <w:numPr>
                <w:ilvl w:val="12"/>
                <w:numId w:val="0"/>
              </w:numPr>
              <w:jc w:val="center"/>
              <w:rPr>
                <w:b/>
                <w:szCs w:val="24"/>
              </w:rPr>
            </w:pPr>
            <w:r w:rsidRPr="00AB4259">
              <w:rPr>
                <w:b/>
                <w:szCs w:val="22"/>
              </w:rPr>
              <w:t>1.5</w:t>
            </w:r>
          </w:p>
        </w:tc>
        <w:tc>
          <w:tcPr>
            <w:tcW w:w="1170" w:type="dxa"/>
            <w:tcBorders>
              <w:top w:val="nil"/>
              <w:left w:val="single" w:sz="6" w:space="0" w:color="auto"/>
              <w:bottom w:val="double" w:sz="6" w:space="0" w:color="auto"/>
              <w:right w:val="nil"/>
            </w:tcBorders>
          </w:tcPr>
          <w:p w:rsidR="006960BA" w:rsidRPr="00AB4259" w:rsidRDefault="006960BA" w:rsidP="00416989">
            <w:pPr>
              <w:keepNext/>
              <w:widowControl/>
              <w:numPr>
                <w:ilvl w:val="12"/>
                <w:numId w:val="0"/>
              </w:numPr>
              <w:jc w:val="center"/>
              <w:rPr>
                <w:b/>
                <w:szCs w:val="24"/>
              </w:rPr>
            </w:pPr>
            <w:r w:rsidRPr="00AB4259">
              <w:rPr>
                <w:b/>
                <w:szCs w:val="22"/>
              </w:rPr>
              <w:t>$</w:t>
            </w:r>
            <w:r w:rsidR="00416989">
              <w:rPr>
                <w:b/>
                <w:szCs w:val="22"/>
              </w:rPr>
              <w:t>142.41</w:t>
            </w:r>
          </w:p>
        </w:tc>
        <w:tc>
          <w:tcPr>
            <w:tcW w:w="1620" w:type="dxa"/>
            <w:tcBorders>
              <w:top w:val="nil"/>
              <w:left w:val="single" w:sz="6" w:space="0" w:color="auto"/>
              <w:bottom w:val="double" w:sz="6" w:space="0" w:color="auto"/>
              <w:right w:val="nil"/>
            </w:tcBorders>
          </w:tcPr>
          <w:p w:rsidR="006960BA" w:rsidRPr="00AB4259" w:rsidRDefault="005A5313" w:rsidP="00572651">
            <w:pPr>
              <w:keepNext/>
              <w:widowControl/>
              <w:numPr>
                <w:ilvl w:val="12"/>
                <w:numId w:val="0"/>
              </w:numPr>
              <w:jc w:val="center"/>
              <w:rPr>
                <w:b/>
                <w:szCs w:val="24"/>
              </w:rPr>
            </w:pPr>
            <w:r>
              <w:rPr>
                <w:b/>
                <w:szCs w:val="22"/>
              </w:rPr>
              <w:t>84</w:t>
            </w:r>
          </w:p>
        </w:tc>
        <w:tc>
          <w:tcPr>
            <w:tcW w:w="1350" w:type="dxa"/>
            <w:tcBorders>
              <w:top w:val="nil"/>
              <w:left w:val="single" w:sz="6" w:space="0" w:color="auto"/>
              <w:bottom w:val="double" w:sz="6" w:space="0" w:color="auto"/>
              <w:right w:val="double" w:sz="6" w:space="0" w:color="auto"/>
            </w:tcBorders>
          </w:tcPr>
          <w:p w:rsidR="006960BA" w:rsidRPr="00AB4259" w:rsidRDefault="006960BA" w:rsidP="005A5313">
            <w:pPr>
              <w:keepNext/>
              <w:widowControl/>
              <w:numPr>
                <w:ilvl w:val="12"/>
                <w:numId w:val="0"/>
              </w:numPr>
              <w:jc w:val="center"/>
              <w:rPr>
                <w:b/>
                <w:szCs w:val="24"/>
              </w:rPr>
            </w:pPr>
            <w:r w:rsidRPr="00AB4259">
              <w:rPr>
                <w:b/>
                <w:szCs w:val="22"/>
              </w:rPr>
              <w:t>$</w:t>
            </w:r>
            <w:r w:rsidR="005A5313">
              <w:rPr>
                <w:b/>
                <w:szCs w:val="22"/>
              </w:rPr>
              <w:t>7,974.96</w:t>
            </w:r>
          </w:p>
        </w:tc>
      </w:tr>
    </w:tbl>
    <w:p w:rsidR="00AB4259" w:rsidRPr="00AB4259" w:rsidRDefault="00AB4259" w:rsidP="00562093">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907D5" w:rsidRPr="00AB4259" w:rsidRDefault="009907D5" w:rsidP="00AB4259">
      <w:pPr>
        <w:keepNext/>
        <w:widowControl/>
        <w:numPr>
          <w:ilvl w:val="12"/>
          <w:numId w:val="0"/>
        </w:numPr>
        <w:ind w:left="1080" w:hanging="180"/>
      </w:pPr>
      <w:r w:rsidRPr="00AB4259">
        <w:rPr>
          <w:vertAlign w:val="superscript"/>
        </w:rPr>
        <w:t>a</w:t>
      </w:r>
      <w:r w:rsidR="00AB4259" w:rsidRPr="00AB4259">
        <w:tab/>
      </w:r>
      <w:r w:rsidRPr="00AB4259">
        <w:t>Based on an average rate of $</w:t>
      </w:r>
      <w:r w:rsidR="00416989">
        <w:t>94.94</w:t>
      </w:r>
      <w:r w:rsidRPr="00AB4259">
        <w:t xml:space="preserve"> per hour (</w:t>
      </w:r>
      <w:r w:rsidR="00AB4259">
        <w:t>f</w:t>
      </w:r>
      <w:r w:rsidRPr="00AB4259">
        <w:t>or costing purposes, it is assumed that 80 percent of the total ho</w:t>
      </w:r>
      <w:r w:rsidR="00AB4259">
        <w:t>urs will be Managerial ($</w:t>
      </w:r>
      <w:r w:rsidR="00416989">
        <w:t>102.17</w:t>
      </w:r>
      <w:r w:rsidR="00AB4259">
        <w:t xml:space="preserve"> per hour</w:t>
      </w:r>
      <w:r w:rsidRPr="00AB4259">
        <w:t>) and 20 perc</w:t>
      </w:r>
      <w:r w:rsidR="00AB4259">
        <w:t>ent will be Technical ($</w:t>
      </w:r>
      <w:r w:rsidR="00416989">
        <w:t>66.03</w:t>
      </w:r>
      <w:r w:rsidR="00AB4259">
        <w:t xml:space="preserve"> per hour</w:t>
      </w:r>
      <w:r w:rsidRPr="00AB4259">
        <w:t>)</w:t>
      </w:r>
      <w:r w:rsidR="00CE3ABF" w:rsidRPr="00AB4259">
        <w:t xml:space="preserve">. </w:t>
      </w:r>
      <w:r w:rsidRPr="00AB4259">
        <w:t xml:space="preserve">These estimates are based on </w:t>
      </w:r>
      <w:r w:rsidR="00416989" w:rsidRPr="00AB4259">
        <w:t>20</w:t>
      </w:r>
      <w:r w:rsidR="00416989">
        <w:t>12</w:t>
      </w:r>
      <w:r w:rsidR="00416989" w:rsidRPr="00AB4259">
        <w:t xml:space="preserve"> </w:t>
      </w:r>
      <w:r w:rsidRPr="00AB4259">
        <w:t>dollars.</w:t>
      </w:r>
    </w:p>
    <w:p w:rsidR="009907D5" w:rsidRPr="00AB4259" w:rsidRDefault="009907D5" w:rsidP="00AB4259">
      <w:pPr>
        <w:keepNext/>
        <w:widowControl/>
        <w:numPr>
          <w:ilvl w:val="12"/>
          <w:numId w:val="0"/>
        </w:numPr>
        <w:ind w:left="1080" w:hanging="180"/>
      </w:pPr>
      <w:r w:rsidRPr="00AB4259">
        <w:rPr>
          <w:vertAlign w:val="superscript"/>
        </w:rPr>
        <w:t>b</w:t>
      </w:r>
      <w:r w:rsidR="00AB4259" w:rsidRPr="00AB4259">
        <w:tab/>
      </w:r>
      <w:r w:rsidRPr="00AB4259">
        <w:t xml:space="preserve">The </w:t>
      </w:r>
      <w:r w:rsidR="00863F67">
        <w:t>56</w:t>
      </w:r>
      <w:r w:rsidRPr="00AB4259">
        <w:t xml:space="preserve">bids represents an average number of bids over the past </w:t>
      </w:r>
      <w:r w:rsidR="00863F67">
        <w:t>three</w:t>
      </w:r>
      <w:r w:rsidR="00863F67" w:rsidRPr="00AB4259">
        <w:t xml:space="preserve"> </w:t>
      </w:r>
      <w:r w:rsidRPr="00AB4259">
        <w:t>EPA auctions</w:t>
      </w:r>
      <w:r w:rsidR="00562093" w:rsidRPr="00AB4259">
        <w:t xml:space="preserve">.  </w:t>
      </w:r>
    </w:p>
    <w:p w:rsidR="009907D5" w:rsidRPr="00AB4259" w:rsidRDefault="009907D5" w:rsidP="00562093">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62093" w:rsidRPr="00AB4259" w:rsidRDefault="00562093" w:rsidP="00562093">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AB4259">
      <w:pPr>
        <w:widowControl/>
        <w:numPr>
          <w:ilvl w:val="12"/>
          <w:numId w:val="0"/>
        </w:numPr>
        <w:ind w:left="720"/>
        <w:rPr>
          <w:sz w:val="24"/>
          <w:szCs w:val="24"/>
        </w:rPr>
      </w:pPr>
      <w:r>
        <w:rPr>
          <w:b/>
          <w:bCs/>
          <w:sz w:val="24"/>
          <w:szCs w:val="24"/>
        </w:rPr>
        <w:t>6.5.2  Estimate of Agency Burden and Costs</w:t>
      </w:r>
    </w:p>
    <w:p w:rsidR="009907D5" w:rsidRDefault="009907D5" w:rsidP="00AB4259">
      <w:pPr>
        <w:widowControl/>
        <w:numPr>
          <w:ilvl w:val="12"/>
          <w:numId w:val="0"/>
        </w:numPr>
        <w:rPr>
          <w:sz w:val="24"/>
          <w:szCs w:val="24"/>
        </w:rPr>
      </w:pPr>
    </w:p>
    <w:p w:rsidR="009907D5" w:rsidRDefault="009907D5" w:rsidP="00AB4259">
      <w:pPr>
        <w:widowControl/>
        <w:numPr>
          <w:ilvl w:val="12"/>
          <w:numId w:val="0"/>
        </w:numPr>
        <w:rPr>
          <w:sz w:val="24"/>
          <w:szCs w:val="24"/>
        </w:rPr>
      </w:pPr>
      <w:r>
        <w:rPr>
          <w:sz w:val="24"/>
          <w:szCs w:val="24"/>
        </w:rPr>
        <w:tab/>
        <w:t xml:space="preserve">Exhibit </w:t>
      </w:r>
      <w:r w:rsidR="00AE0E7F">
        <w:rPr>
          <w:sz w:val="24"/>
          <w:szCs w:val="24"/>
        </w:rPr>
        <w:t xml:space="preserve">8 </w:t>
      </w:r>
      <w:r>
        <w:rPr>
          <w:sz w:val="24"/>
          <w:szCs w:val="24"/>
        </w:rPr>
        <w:t>depicts the burden and cost to EPA for the auction program</w:t>
      </w:r>
      <w:r w:rsidR="00CE3ABF">
        <w:rPr>
          <w:sz w:val="24"/>
          <w:szCs w:val="24"/>
        </w:rPr>
        <w:t xml:space="preserve">. </w:t>
      </w:r>
      <w:r>
        <w:rPr>
          <w:sz w:val="24"/>
          <w:szCs w:val="24"/>
        </w:rPr>
        <w:t>Based on past experience, the burden and cost to the Agency will be about the same each year</w:t>
      </w:r>
      <w:r w:rsidR="00CE3ABF">
        <w:rPr>
          <w:sz w:val="24"/>
          <w:szCs w:val="24"/>
        </w:rPr>
        <w:t xml:space="preserve">. </w:t>
      </w:r>
      <w:r>
        <w:rPr>
          <w:sz w:val="24"/>
          <w:szCs w:val="24"/>
        </w:rPr>
        <w:t>Setting up and revising allowance tracking system accounts for auction part</w:t>
      </w:r>
      <w:r w:rsidR="00AB4259">
        <w:rPr>
          <w:sz w:val="24"/>
          <w:szCs w:val="24"/>
        </w:rPr>
        <w:t>icipants is estimated to take ten</w:t>
      </w:r>
      <w:r>
        <w:rPr>
          <w:sz w:val="24"/>
          <w:szCs w:val="24"/>
        </w:rPr>
        <w:t xml:space="preserve"> hours, the handling of </w:t>
      </w:r>
      <w:r w:rsidR="005A5313">
        <w:rPr>
          <w:sz w:val="24"/>
          <w:szCs w:val="24"/>
        </w:rPr>
        <w:t xml:space="preserve">bid information </w:t>
      </w:r>
      <w:r>
        <w:rPr>
          <w:sz w:val="24"/>
          <w:szCs w:val="24"/>
        </w:rPr>
        <w:t>and checks is estimated to take 20 hours, tabulation, checking, and announcing the auction</w:t>
      </w:r>
      <w:r w:rsidR="00AB4259">
        <w:rPr>
          <w:sz w:val="24"/>
          <w:szCs w:val="24"/>
        </w:rPr>
        <w:t xml:space="preserve"> results is estimated to take fifteen</w:t>
      </w:r>
      <w:r>
        <w:rPr>
          <w:sz w:val="24"/>
          <w:szCs w:val="24"/>
        </w:rPr>
        <w:t xml:space="preserve"> hours, and transferring allowances and proceeds is expected to require 40 hours per year</w:t>
      </w:r>
      <w:r w:rsidR="00CE3ABF">
        <w:rPr>
          <w:sz w:val="24"/>
          <w:szCs w:val="24"/>
        </w:rPr>
        <w:t xml:space="preserve">. </w:t>
      </w:r>
      <w:r>
        <w:rPr>
          <w:sz w:val="24"/>
          <w:szCs w:val="24"/>
        </w:rPr>
        <w:t xml:space="preserve">As Exhibit </w:t>
      </w:r>
      <w:r w:rsidR="00AE0E7F">
        <w:rPr>
          <w:sz w:val="24"/>
          <w:szCs w:val="24"/>
        </w:rPr>
        <w:t xml:space="preserve">8 </w:t>
      </w:r>
      <w:r>
        <w:rPr>
          <w:sz w:val="24"/>
          <w:szCs w:val="24"/>
        </w:rPr>
        <w:t>shows, the total burden to EPA for auction activities is 85 hours at a cost of $</w:t>
      </w:r>
      <w:r w:rsidR="00416989">
        <w:rPr>
          <w:sz w:val="24"/>
          <w:szCs w:val="24"/>
        </w:rPr>
        <w:t>4,207</w:t>
      </w:r>
      <w:r>
        <w:rPr>
          <w:sz w:val="24"/>
          <w:szCs w:val="24"/>
        </w:rPr>
        <w:t>.</w:t>
      </w:r>
    </w:p>
    <w:p w:rsidR="009907D5" w:rsidRDefault="009907D5" w:rsidP="00AB4259">
      <w:pPr>
        <w:widowControl/>
        <w:numPr>
          <w:ilvl w:val="12"/>
          <w:numId w:val="0"/>
        </w:numPr>
        <w:rPr>
          <w:sz w:val="24"/>
          <w:szCs w:val="24"/>
        </w:rPr>
      </w:pPr>
    </w:p>
    <w:p w:rsidR="00562093" w:rsidRDefault="00562093" w:rsidP="00AB4259">
      <w:pPr>
        <w:widowControl/>
        <w:numPr>
          <w:ilvl w:val="12"/>
          <w:numId w:val="0"/>
        </w:numPr>
        <w:rPr>
          <w:sz w:val="24"/>
          <w:szCs w:val="24"/>
        </w:rPr>
      </w:pPr>
    </w:p>
    <w:p w:rsidR="009907D5" w:rsidRPr="00AB4259" w:rsidRDefault="009907D5" w:rsidP="00AB4259">
      <w:pPr>
        <w:widowControl/>
        <w:numPr>
          <w:ilvl w:val="12"/>
          <w:numId w:val="0"/>
        </w:numPr>
        <w:jc w:val="center"/>
        <w:rPr>
          <w:b/>
          <w:sz w:val="24"/>
          <w:szCs w:val="24"/>
        </w:rPr>
      </w:pPr>
      <w:r w:rsidRPr="00AB4259">
        <w:rPr>
          <w:b/>
          <w:sz w:val="24"/>
          <w:szCs w:val="24"/>
        </w:rPr>
        <w:t xml:space="preserve">EXHIBIT </w:t>
      </w:r>
      <w:r w:rsidR="00AE0E7F">
        <w:rPr>
          <w:b/>
          <w:sz w:val="24"/>
          <w:szCs w:val="24"/>
        </w:rPr>
        <w:t>8</w:t>
      </w:r>
    </w:p>
    <w:p w:rsidR="009907D5" w:rsidRPr="00AB4259" w:rsidRDefault="009907D5" w:rsidP="00AB4259">
      <w:pPr>
        <w:widowControl/>
        <w:numPr>
          <w:ilvl w:val="12"/>
          <w:numId w:val="0"/>
        </w:numPr>
        <w:jc w:val="center"/>
        <w:rPr>
          <w:b/>
          <w:sz w:val="24"/>
          <w:szCs w:val="24"/>
        </w:rPr>
      </w:pPr>
      <w:r w:rsidRPr="00AB4259">
        <w:rPr>
          <w:b/>
          <w:sz w:val="24"/>
          <w:szCs w:val="24"/>
        </w:rPr>
        <w:t>ANNUAL AGENCY BURDEN/COST ESTIMATES FOR AUCTIONS</w:t>
      </w:r>
    </w:p>
    <w:p w:rsidR="00AB4259" w:rsidRDefault="00AB4259" w:rsidP="00AB4259">
      <w:pPr>
        <w:widowControl/>
        <w:numPr>
          <w:ilvl w:val="12"/>
          <w:numId w:val="0"/>
        </w:numPr>
        <w:jc w:val="center"/>
        <w:rPr>
          <w:sz w:val="24"/>
          <w:szCs w:val="24"/>
        </w:rPr>
      </w:pPr>
    </w:p>
    <w:tbl>
      <w:tblPr>
        <w:tblW w:w="9360" w:type="dxa"/>
        <w:jc w:val="center"/>
        <w:tblLayout w:type="fixed"/>
        <w:tblCellMar>
          <w:top w:w="72" w:type="dxa"/>
          <w:left w:w="72" w:type="dxa"/>
          <w:bottom w:w="72" w:type="dxa"/>
          <w:right w:w="72" w:type="dxa"/>
        </w:tblCellMar>
        <w:tblLook w:val="0000"/>
      </w:tblPr>
      <w:tblGrid>
        <w:gridCol w:w="4398"/>
        <w:gridCol w:w="2508"/>
        <w:gridCol w:w="2454"/>
      </w:tblGrid>
      <w:tr w:rsidR="009907D5" w:rsidRPr="00AB4259" w:rsidTr="0065121C">
        <w:trPr>
          <w:cantSplit/>
          <w:jc w:val="center"/>
        </w:trPr>
        <w:tc>
          <w:tcPr>
            <w:tcW w:w="4356" w:type="dxa"/>
            <w:tcBorders>
              <w:top w:val="double" w:sz="6" w:space="0" w:color="auto"/>
              <w:left w:val="double" w:sz="6" w:space="0" w:color="auto"/>
              <w:bottom w:val="single" w:sz="6" w:space="0" w:color="auto"/>
              <w:right w:val="nil"/>
            </w:tcBorders>
            <w:shd w:val="pct10" w:color="auto" w:fill="auto"/>
            <w:vAlign w:val="bottom"/>
          </w:tcPr>
          <w:p w:rsidR="009907D5" w:rsidRPr="00AB4259" w:rsidRDefault="009907D5" w:rsidP="00AB4259">
            <w:pPr>
              <w:widowControl/>
              <w:numPr>
                <w:ilvl w:val="12"/>
                <w:numId w:val="0"/>
              </w:numPr>
              <w:jc w:val="center"/>
              <w:rPr>
                <w:b/>
                <w:sz w:val="24"/>
                <w:szCs w:val="24"/>
              </w:rPr>
            </w:pPr>
            <w:r w:rsidRPr="00AB4259">
              <w:rPr>
                <w:b/>
                <w:sz w:val="22"/>
                <w:szCs w:val="22"/>
              </w:rPr>
              <w:t>Collection Activities</w:t>
            </w:r>
          </w:p>
        </w:tc>
        <w:tc>
          <w:tcPr>
            <w:tcW w:w="2484" w:type="dxa"/>
            <w:tcBorders>
              <w:top w:val="double" w:sz="6" w:space="0" w:color="auto"/>
              <w:left w:val="single" w:sz="6" w:space="0" w:color="auto"/>
              <w:bottom w:val="single" w:sz="6" w:space="0" w:color="auto"/>
              <w:right w:val="nil"/>
            </w:tcBorders>
            <w:shd w:val="pct10" w:color="auto" w:fill="auto"/>
            <w:vAlign w:val="bottom"/>
          </w:tcPr>
          <w:p w:rsidR="009907D5" w:rsidRPr="00AB4259" w:rsidRDefault="009907D5" w:rsidP="00AB4259">
            <w:pPr>
              <w:widowControl/>
              <w:numPr>
                <w:ilvl w:val="12"/>
                <w:numId w:val="0"/>
              </w:numPr>
              <w:jc w:val="center"/>
              <w:rPr>
                <w:b/>
                <w:sz w:val="24"/>
                <w:szCs w:val="24"/>
              </w:rPr>
            </w:pPr>
            <w:r w:rsidRPr="00AB4259">
              <w:rPr>
                <w:b/>
                <w:sz w:val="22"/>
                <w:szCs w:val="22"/>
              </w:rPr>
              <w:t>Burden Hours Per Year</w:t>
            </w:r>
          </w:p>
        </w:tc>
        <w:tc>
          <w:tcPr>
            <w:tcW w:w="2430" w:type="dxa"/>
            <w:tcBorders>
              <w:top w:val="double" w:sz="6" w:space="0" w:color="auto"/>
              <w:left w:val="single" w:sz="6" w:space="0" w:color="auto"/>
              <w:bottom w:val="single" w:sz="6" w:space="0" w:color="auto"/>
              <w:right w:val="double" w:sz="6" w:space="0" w:color="auto"/>
            </w:tcBorders>
            <w:shd w:val="pct10" w:color="auto" w:fill="auto"/>
            <w:vAlign w:val="bottom"/>
          </w:tcPr>
          <w:p w:rsidR="009907D5" w:rsidRPr="00AB4259" w:rsidRDefault="009907D5" w:rsidP="00AB4259">
            <w:pPr>
              <w:widowControl/>
              <w:numPr>
                <w:ilvl w:val="12"/>
                <w:numId w:val="0"/>
              </w:numPr>
              <w:jc w:val="center"/>
              <w:rPr>
                <w:b/>
                <w:sz w:val="24"/>
                <w:szCs w:val="24"/>
              </w:rPr>
            </w:pPr>
            <w:r w:rsidRPr="00AB4259">
              <w:rPr>
                <w:b/>
                <w:sz w:val="22"/>
                <w:szCs w:val="22"/>
              </w:rPr>
              <w:t xml:space="preserve">Cost Per </w:t>
            </w:r>
            <w:proofErr w:type="spellStart"/>
            <w:r w:rsidRPr="00AB4259">
              <w:rPr>
                <w:b/>
                <w:sz w:val="22"/>
                <w:szCs w:val="22"/>
              </w:rPr>
              <w:t>Year</w:t>
            </w:r>
            <w:r w:rsidRPr="00AB4259">
              <w:rPr>
                <w:b/>
                <w:sz w:val="22"/>
                <w:szCs w:val="22"/>
                <w:vertAlign w:val="superscript"/>
              </w:rPr>
              <w:t>a</w:t>
            </w:r>
            <w:proofErr w:type="spellEnd"/>
          </w:p>
        </w:tc>
      </w:tr>
      <w:tr w:rsidR="009907D5" w:rsidRPr="00AB4259" w:rsidTr="0065121C">
        <w:trPr>
          <w:cantSplit/>
          <w:jc w:val="center"/>
        </w:trPr>
        <w:tc>
          <w:tcPr>
            <w:tcW w:w="4356" w:type="dxa"/>
            <w:tcBorders>
              <w:top w:val="nil"/>
              <w:left w:val="double" w:sz="6" w:space="0" w:color="auto"/>
              <w:bottom w:val="nil"/>
              <w:right w:val="nil"/>
            </w:tcBorders>
            <w:vAlign w:val="bottom"/>
          </w:tcPr>
          <w:p w:rsidR="009907D5" w:rsidRPr="00AB4259" w:rsidRDefault="009907D5" w:rsidP="00AB4259">
            <w:pPr>
              <w:widowControl/>
              <w:numPr>
                <w:ilvl w:val="12"/>
                <w:numId w:val="0"/>
              </w:numPr>
              <w:rPr>
                <w:szCs w:val="24"/>
              </w:rPr>
            </w:pPr>
            <w:r w:rsidRPr="00AB4259">
              <w:rPr>
                <w:szCs w:val="22"/>
              </w:rPr>
              <w:t>1</w:t>
            </w:r>
            <w:r w:rsidR="00562093" w:rsidRPr="00AB4259">
              <w:rPr>
                <w:szCs w:val="22"/>
              </w:rPr>
              <w:t xml:space="preserve">.  </w:t>
            </w:r>
            <w:r w:rsidRPr="00AB4259">
              <w:rPr>
                <w:szCs w:val="22"/>
              </w:rPr>
              <w:t>Setup allowance tracking system accounts</w:t>
            </w:r>
            <w:r w:rsidR="00AB4259">
              <w:rPr>
                <w:szCs w:val="22"/>
              </w:rPr>
              <w:t>.</w:t>
            </w:r>
          </w:p>
        </w:tc>
        <w:tc>
          <w:tcPr>
            <w:tcW w:w="2484" w:type="dxa"/>
            <w:tcBorders>
              <w:top w:val="nil"/>
              <w:left w:val="single" w:sz="6" w:space="0" w:color="auto"/>
              <w:bottom w:val="nil"/>
              <w:right w:val="nil"/>
            </w:tcBorders>
          </w:tcPr>
          <w:p w:rsidR="009907D5" w:rsidRPr="00AB4259" w:rsidRDefault="009907D5" w:rsidP="00572651">
            <w:pPr>
              <w:widowControl/>
              <w:numPr>
                <w:ilvl w:val="12"/>
                <w:numId w:val="0"/>
              </w:numPr>
              <w:jc w:val="center"/>
              <w:rPr>
                <w:szCs w:val="24"/>
              </w:rPr>
            </w:pPr>
            <w:r w:rsidRPr="00AB4259">
              <w:rPr>
                <w:szCs w:val="22"/>
              </w:rPr>
              <w:t>10</w:t>
            </w:r>
          </w:p>
        </w:tc>
        <w:tc>
          <w:tcPr>
            <w:tcW w:w="2430" w:type="dxa"/>
            <w:tcBorders>
              <w:top w:val="nil"/>
              <w:left w:val="single" w:sz="6" w:space="0" w:color="auto"/>
              <w:bottom w:val="nil"/>
              <w:right w:val="double" w:sz="6" w:space="0" w:color="auto"/>
            </w:tcBorders>
          </w:tcPr>
          <w:p w:rsidR="009907D5" w:rsidRPr="00AB4259" w:rsidRDefault="009907D5" w:rsidP="000E2DAE">
            <w:pPr>
              <w:widowControl/>
              <w:numPr>
                <w:ilvl w:val="12"/>
                <w:numId w:val="0"/>
              </w:numPr>
              <w:jc w:val="center"/>
              <w:rPr>
                <w:szCs w:val="22"/>
              </w:rPr>
            </w:pPr>
            <w:r w:rsidRPr="00AB4259">
              <w:rPr>
                <w:szCs w:val="22"/>
              </w:rPr>
              <w:t>$</w:t>
            </w:r>
            <w:r w:rsidR="000E2DAE">
              <w:rPr>
                <w:szCs w:val="22"/>
              </w:rPr>
              <w:t>494.90</w:t>
            </w:r>
          </w:p>
        </w:tc>
      </w:tr>
      <w:tr w:rsidR="009907D5" w:rsidRPr="00AB4259" w:rsidTr="0065121C">
        <w:trPr>
          <w:cantSplit/>
          <w:jc w:val="center"/>
        </w:trPr>
        <w:tc>
          <w:tcPr>
            <w:tcW w:w="4356" w:type="dxa"/>
            <w:tcBorders>
              <w:top w:val="nil"/>
              <w:left w:val="double" w:sz="6" w:space="0" w:color="auto"/>
              <w:bottom w:val="nil"/>
              <w:right w:val="nil"/>
            </w:tcBorders>
            <w:vAlign w:val="bottom"/>
          </w:tcPr>
          <w:p w:rsidR="009907D5" w:rsidRPr="00AB4259" w:rsidRDefault="009907D5" w:rsidP="00AB4259">
            <w:pPr>
              <w:widowControl/>
              <w:numPr>
                <w:ilvl w:val="12"/>
                <w:numId w:val="0"/>
              </w:numPr>
              <w:rPr>
                <w:szCs w:val="24"/>
              </w:rPr>
            </w:pPr>
            <w:r w:rsidRPr="00AB4259">
              <w:rPr>
                <w:szCs w:val="22"/>
              </w:rPr>
              <w:t>2</w:t>
            </w:r>
            <w:r w:rsidR="00562093" w:rsidRPr="00AB4259">
              <w:rPr>
                <w:szCs w:val="22"/>
              </w:rPr>
              <w:t xml:space="preserve">.  </w:t>
            </w:r>
            <w:r w:rsidRPr="00AB4259">
              <w:rPr>
                <w:szCs w:val="22"/>
              </w:rPr>
              <w:t>Handle bids and checks</w:t>
            </w:r>
            <w:r w:rsidR="00AB4259">
              <w:rPr>
                <w:szCs w:val="22"/>
              </w:rPr>
              <w:t>.</w:t>
            </w:r>
          </w:p>
        </w:tc>
        <w:tc>
          <w:tcPr>
            <w:tcW w:w="2484" w:type="dxa"/>
            <w:tcBorders>
              <w:top w:val="nil"/>
              <w:left w:val="single" w:sz="6" w:space="0" w:color="auto"/>
              <w:bottom w:val="nil"/>
              <w:right w:val="nil"/>
            </w:tcBorders>
          </w:tcPr>
          <w:p w:rsidR="009907D5" w:rsidRPr="00AB4259" w:rsidRDefault="009907D5" w:rsidP="00572651">
            <w:pPr>
              <w:widowControl/>
              <w:numPr>
                <w:ilvl w:val="12"/>
                <w:numId w:val="0"/>
              </w:numPr>
              <w:jc w:val="center"/>
              <w:rPr>
                <w:szCs w:val="22"/>
              </w:rPr>
            </w:pPr>
            <w:r w:rsidRPr="00AB4259">
              <w:rPr>
                <w:szCs w:val="22"/>
              </w:rPr>
              <w:t>20</w:t>
            </w:r>
          </w:p>
        </w:tc>
        <w:tc>
          <w:tcPr>
            <w:tcW w:w="2430" w:type="dxa"/>
            <w:tcBorders>
              <w:top w:val="nil"/>
              <w:left w:val="single" w:sz="6" w:space="0" w:color="auto"/>
              <w:bottom w:val="nil"/>
              <w:right w:val="double" w:sz="6" w:space="0" w:color="auto"/>
            </w:tcBorders>
          </w:tcPr>
          <w:p w:rsidR="009907D5" w:rsidRPr="00AB4259" w:rsidRDefault="009907D5" w:rsidP="00572651">
            <w:pPr>
              <w:widowControl/>
              <w:numPr>
                <w:ilvl w:val="12"/>
                <w:numId w:val="0"/>
              </w:numPr>
              <w:jc w:val="center"/>
              <w:rPr>
                <w:szCs w:val="22"/>
              </w:rPr>
            </w:pPr>
            <w:r w:rsidRPr="00AB4259">
              <w:rPr>
                <w:szCs w:val="22"/>
              </w:rPr>
              <w:t>$</w:t>
            </w:r>
            <w:r w:rsidR="000E2DAE">
              <w:rPr>
                <w:szCs w:val="22"/>
              </w:rPr>
              <w:t>989.80</w:t>
            </w:r>
          </w:p>
        </w:tc>
      </w:tr>
      <w:tr w:rsidR="009907D5" w:rsidRPr="00AB4259" w:rsidTr="0065121C">
        <w:trPr>
          <w:cantSplit/>
          <w:jc w:val="center"/>
        </w:trPr>
        <w:tc>
          <w:tcPr>
            <w:tcW w:w="4356" w:type="dxa"/>
            <w:tcBorders>
              <w:top w:val="nil"/>
              <w:left w:val="double" w:sz="6" w:space="0" w:color="auto"/>
              <w:bottom w:val="nil"/>
              <w:right w:val="nil"/>
            </w:tcBorders>
          </w:tcPr>
          <w:p w:rsidR="009907D5" w:rsidRPr="00AB4259" w:rsidRDefault="009907D5" w:rsidP="0065121C">
            <w:pPr>
              <w:widowControl/>
              <w:numPr>
                <w:ilvl w:val="12"/>
                <w:numId w:val="0"/>
              </w:numPr>
              <w:rPr>
                <w:szCs w:val="24"/>
              </w:rPr>
            </w:pPr>
            <w:r w:rsidRPr="00AB4259">
              <w:rPr>
                <w:szCs w:val="22"/>
              </w:rPr>
              <w:t>3</w:t>
            </w:r>
            <w:r w:rsidR="00562093" w:rsidRPr="00AB4259">
              <w:rPr>
                <w:szCs w:val="22"/>
              </w:rPr>
              <w:t xml:space="preserve">.  </w:t>
            </w:r>
            <w:r w:rsidRPr="00AB4259">
              <w:rPr>
                <w:szCs w:val="22"/>
              </w:rPr>
              <w:t>Tabulate, check, and announce results</w:t>
            </w:r>
            <w:r w:rsidR="00AB4259">
              <w:rPr>
                <w:szCs w:val="22"/>
              </w:rPr>
              <w:t>.</w:t>
            </w:r>
          </w:p>
        </w:tc>
        <w:tc>
          <w:tcPr>
            <w:tcW w:w="2484" w:type="dxa"/>
            <w:tcBorders>
              <w:top w:val="nil"/>
              <w:left w:val="single" w:sz="6" w:space="0" w:color="auto"/>
              <w:bottom w:val="nil"/>
              <w:right w:val="nil"/>
            </w:tcBorders>
          </w:tcPr>
          <w:p w:rsidR="009907D5" w:rsidRPr="00AB4259" w:rsidRDefault="009907D5" w:rsidP="00572651">
            <w:pPr>
              <w:widowControl/>
              <w:numPr>
                <w:ilvl w:val="12"/>
                <w:numId w:val="0"/>
              </w:numPr>
              <w:jc w:val="center"/>
              <w:rPr>
                <w:szCs w:val="24"/>
              </w:rPr>
            </w:pPr>
            <w:r w:rsidRPr="00AB4259">
              <w:rPr>
                <w:szCs w:val="22"/>
              </w:rPr>
              <w:t>15</w:t>
            </w:r>
          </w:p>
        </w:tc>
        <w:tc>
          <w:tcPr>
            <w:tcW w:w="2430" w:type="dxa"/>
            <w:tcBorders>
              <w:top w:val="nil"/>
              <w:left w:val="single" w:sz="6" w:space="0" w:color="auto"/>
              <w:bottom w:val="nil"/>
              <w:right w:val="double" w:sz="6" w:space="0" w:color="auto"/>
            </w:tcBorders>
          </w:tcPr>
          <w:p w:rsidR="009907D5" w:rsidRPr="00AB4259" w:rsidRDefault="009907D5" w:rsidP="00572651">
            <w:pPr>
              <w:widowControl/>
              <w:numPr>
                <w:ilvl w:val="12"/>
                <w:numId w:val="0"/>
              </w:numPr>
              <w:jc w:val="center"/>
              <w:rPr>
                <w:szCs w:val="22"/>
              </w:rPr>
            </w:pPr>
            <w:r w:rsidRPr="00AB4259">
              <w:rPr>
                <w:szCs w:val="22"/>
              </w:rPr>
              <w:t>$</w:t>
            </w:r>
            <w:r w:rsidR="000E2DAE">
              <w:rPr>
                <w:szCs w:val="22"/>
              </w:rPr>
              <w:t>742.35</w:t>
            </w:r>
          </w:p>
        </w:tc>
      </w:tr>
      <w:tr w:rsidR="009907D5" w:rsidRPr="00AB4259" w:rsidTr="0065121C">
        <w:trPr>
          <w:cantSplit/>
          <w:jc w:val="center"/>
        </w:trPr>
        <w:tc>
          <w:tcPr>
            <w:tcW w:w="4356" w:type="dxa"/>
            <w:tcBorders>
              <w:top w:val="nil"/>
              <w:left w:val="double" w:sz="6" w:space="0" w:color="auto"/>
              <w:bottom w:val="double" w:sz="6" w:space="0" w:color="auto"/>
              <w:right w:val="nil"/>
            </w:tcBorders>
            <w:vAlign w:val="bottom"/>
          </w:tcPr>
          <w:p w:rsidR="009907D5" w:rsidRPr="00AB4259" w:rsidRDefault="009907D5" w:rsidP="00AB4259">
            <w:pPr>
              <w:widowControl/>
              <w:numPr>
                <w:ilvl w:val="12"/>
                <w:numId w:val="0"/>
              </w:numPr>
              <w:rPr>
                <w:szCs w:val="24"/>
              </w:rPr>
            </w:pPr>
            <w:r w:rsidRPr="00AB4259">
              <w:rPr>
                <w:szCs w:val="22"/>
              </w:rPr>
              <w:t>4</w:t>
            </w:r>
            <w:r w:rsidR="00562093" w:rsidRPr="00AB4259">
              <w:rPr>
                <w:szCs w:val="22"/>
              </w:rPr>
              <w:t xml:space="preserve">.  </w:t>
            </w:r>
            <w:r w:rsidRPr="00AB4259">
              <w:rPr>
                <w:szCs w:val="22"/>
              </w:rPr>
              <w:t>Transfer of allowances and proceeds</w:t>
            </w:r>
            <w:r w:rsidR="00AB4259">
              <w:rPr>
                <w:szCs w:val="22"/>
              </w:rPr>
              <w:t>.</w:t>
            </w:r>
          </w:p>
        </w:tc>
        <w:tc>
          <w:tcPr>
            <w:tcW w:w="2484" w:type="dxa"/>
            <w:tcBorders>
              <w:top w:val="nil"/>
              <w:left w:val="single" w:sz="6" w:space="0" w:color="auto"/>
              <w:bottom w:val="double" w:sz="6" w:space="0" w:color="auto"/>
              <w:right w:val="nil"/>
            </w:tcBorders>
          </w:tcPr>
          <w:p w:rsidR="009907D5" w:rsidRPr="00AB4259" w:rsidRDefault="009907D5" w:rsidP="00572651">
            <w:pPr>
              <w:widowControl/>
              <w:numPr>
                <w:ilvl w:val="12"/>
                <w:numId w:val="0"/>
              </w:numPr>
              <w:jc w:val="center"/>
              <w:rPr>
                <w:szCs w:val="24"/>
              </w:rPr>
            </w:pPr>
            <w:r w:rsidRPr="00AB4259">
              <w:rPr>
                <w:szCs w:val="22"/>
              </w:rPr>
              <w:t>40</w:t>
            </w:r>
          </w:p>
        </w:tc>
        <w:tc>
          <w:tcPr>
            <w:tcW w:w="2430" w:type="dxa"/>
            <w:tcBorders>
              <w:top w:val="nil"/>
              <w:left w:val="single" w:sz="6" w:space="0" w:color="auto"/>
              <w:bottom w:val="double" w:sz="6" w:space="0" w:color="auto"/>
              <w:right w:val="double" w:sz="6" w:space="0" w:color="auto"/>
            </w:tcBorders>
          </w:tcPr>
          <w:p w:rsidR="009907D5" w:rsidRPr="00AB4259" w:rsidRDefault="009907D5" w:rsidP="00572651">
            <w:pPr>
              <w:widowControl/>
              <w:numPr>
                <w:ilvl w:val="12"/>
                <w:numId w:val="0"/>
              </w:numPr>
              <w:jc w:val="center"/>
              <w:rPr>
                <w:szCs w:val="22"/>
              </w:rPr>
            </w:pPr>
            <w:r w:rsidRPr="00AB4259">
              <w:rPr>
                <w:szCs w:val="22"/>
              </w:rPr>
              <w:t>$</w:t>
            </w:r>
            <w:r w:rsidR="000E2DAE">
              <w:rPr>
                <w:szCs w:val="22"/>
              </w:rPr>
              <w:t>1,979.60</w:t>
            </w:r>
          </w:p>
        </w:tc>
      </w:tr>
      <w:tr w:rsidR="009907D5" w:rsidRPr="00AB4259" w:rsidTr="0065121C">
        <w:trPr>
          <w:cantSplit/>
          <w:jc w:val="center"/>
        </w:trPr>
        <w:tc>
          <w:tcPr>
            <w:tcW w:w="4356" w:type="dxa"/>
            <w:tcBorders>
              <w:top w:val="nil"/>
              <w:left w:val="double" w:sz="6" w:space="0" w:color="auto"/>
              <w:bottom w:val="double" w:sz="6" w:space="0" w:color="auto"/>
              <w:right w:val="nil"/>
            </w:tcBorders>
            <w:vAlign w:val="bottom"/>
          </w:tcPr>
          <w:p w:rsidR="009907D5" w:rsidRPr="00AB4259" w:rsidRDefault="009907D5" w:rsidP="00AB4259">
            <w:pPr>
              <w:widowControl/>
              <w:numPr>
                <w:ilvl w:val="12"/>
                <w:numId w:val="0"/>
              </w:numPr>
              <w:rPr>
                <w:b/>
                <w:szCs w:val="24"/>
              </w:rPr>
            </w:pPr>
            <w:r w:rsidRPr="00AB4259">
              <w:rPr>
                <w:b/>
                <w:szCs w:val="22"/>
              </w:rPr>
              <w:t>TOTAL</w:t>
            </w:r>
          </w:p>
        </w:tc>
        <w:tc>
          <w:tcPr>
            <w:tcW w:w="2484" w:type="dxa"/>
            <w:tcBorders>
              <w:top w:val="nil"/>
              <w:left w:val="single" w:sz="6" w:space="0" w:color="auto"/>
              <w:bottom w:val="double" w:sz="6" w:space="0" w:color="auto"/>
              <w:right w:val="nil"/>
            </w:tcBorders>
          </w:tcPr>
          <w:p w:rsidR="009907D5" w:rsidRPr="00AB4259" w:rsidRDefault="009907D5" w:rsidP="00572651">
            <w:pPr>
              <w:widowControl/>
              <w:numPr>
                <w:ilvl w:val="12"/>
                <w:numId w:val="0"/>
              </w:numPr>
              <w:jc w:val="center"/>
              <w:rPr>
                <w:b/>
                <w:szCs w:val="24"/>
              </w:rPr>
            </w:pPr>
            <w:r w:rsidRPr="00AB4259">
              <w:rPr>
                <w:b/>
                <w:szCs w:val="22"/>
              </w:rPr>
              <w:t>85</w:t>
            </w:r>
          </w:p>
        </w:tc>
        <w:tc>
          <w:tcPr>
            <w:tcW w:w="2430" w:type="dxa"/>
            <w:tcBorders>
              <w:top w:val="nil"/>
              <w:left w:val="single" w:sz="6" w:space="0" w:color="auto"/>
              <w:bottom w:val="double" w:sz="6" w:space="0" w:color="auto"/>
              <w:right w:val="double" w:sz="6" w:space="0" w:color="auto"/>
            </w:tcBorders>
          </w:tcPr>
          <w:p w:rsidR="009907D5" w:rsidRPr="00AB4259" w:rsidRDefault="009907D5" w:rsidP="00416989">
            <w:pPr>
              <w:widowControl/>
              <w:numPr>
                <w:ilvl w:val="12"/>
                <w:numId w:val="0"/>
              </w:numPr>
              <w:jc w:val="center"/>
              <w:rPr>
                <w:b/>
                <w:szCs w:val="24"/>
              </w:rPr>
            </w:pPr>
            <w:r w:rsidRPr="00AB4259">
              <w:rPr>
                <w:b/>
                <w:szCs w:val="22"/>
              </w:rPr>
              <w:t>$</w:t>
            </w:r>
            <w:r w:rsidR="00416989">
              <w:rPr>
                <w:b/>
                <w:szCs w:val="22"/>
              </w:rPr>
              <w:t>4,206.65</w:t>
            </w:r>
          </w:p>
        </w:tc>
      </w:tr>
    </w:tbl>
    <w:p w:rsidR="00AB4259" w:rsidRPr="00AB4259" w:rsidRDefault="00AB4259" w:rsidP="00AB4259">
      <w:pPr>
        <w:widowControl/>
        <w:numPr>
          <w:ilvl w:val="12"/>
          <w:numId w:val="0"/>
        </w:numPr>
        <w:rPr>
          <w:sz w:val="24"/>
          <w:szCs w:val="22"/>
        </w:rPr>
      </w:pPr>
    </w:p>
    <w:p w:rsidR="009907D5" w:rsidRDefault="009907D5" w:rsidP="00AB4259">
      <w:pPr>
        <w:widowControl/>
        <w:numPr>
          <w:ilvl w:val="12"/>
          <w:numId w:val="0"/>
        </w:numPr>
        <w:ind w:left="1080" w:hanging="180"/>
        <w:rPr>
          <w:sz w:val="24"/>
          <w:szCs w:val="24"/>
        </w:rPr>
      </w:pPr>
      <w:r>
        <w:rPr>
          <w:sz w:val="22"/>
          <w:szCs w:val="22"/>
          <w:vertAlign w:val="superscript"/>
        </w:rPr>
        <w:t>a</w:t>
      </w:r>
      <w:r w:rsidR="00AB4259">
        <w:rPr>
          <w:sz w:val="22"/>
          <w:szCs w:val="22"/>
        </w:rPr>
        <w:tab/>
      </w:r>
      <w:r w:rsidR="00416989">
        <w:rPr>
          <w:sz w:val="22"/>
          <w:szCs w:val="22"/>
        </w:rPr>
        <w:t xml:space="preserve">2012 </w:t>
      </w:r>
      <w:r>
        <w:rPr>
          <w:sz w:val="22"/>
          <w:szCs w:val="22"/>
        </w:rPr>
        <w:t>dollars.</w:t>
      </w:r>
    </w:p>
    <w:p w:rsidR="009907D5" w:rsidRDefault="009907D5" w:rsidP="00AB4259">
      <w:pPr>
        <w:widowControl/>
        <w:numPr>
          <w:ilvl w:val="12"/>
          <w:numId w:val="0"/>
        </w:numPr>
        <w:rPr>
          <w:sz w:val="24"/>
          <w:szCs w:val="24"/>
        </w:rPr>
      </w:pPr>
    </w:p>
    <w:p w:rsidR="00562093" w:rsidRDefault="00562093" w:rsidP="00AB4259">
      <w:pPr>
        <w:widowControl/>
        <w:numPr>
          <w:ilvl w:val="12"/>
          <w:numId w:val="0"/>
        </w:numPr>
        <w:rPr>
          <w:sz w:val="24"/>
          <w:szCs w:val="24"/>
        </w:rPr>
      </w:pPr>
    </w:p>
    <w:p w:rsidR="009907D5" w:rsidRDefault="00A04BE0" w:rsidP="005D7A67">
      <w:pPr>
        <w:keepNext/>
        <w:widowControl/>
        <w:numPr>
          <w:ilvl w:val="12"/>
          <w:numId w:val="0"/>
        </w:numPr>
        <w:ind w:left="360"/>
        <w:rPr>
          <w:sz w:val="24"/>
          <w:szCs w:val="24"/>
        </w:rPr>
      </w:pPr>
      <w:r>
        <w:rPr>
          <w:b/>
          <w:bCs/>
          <w:sz w:val="24"/>
          <w:szCs w:val="24"/>
        </w:rPr>
        <w:t xml:space="preserve">6.6  </w:t>
      </w:r>
      <w:r w:rsidR="009907D5">
        <w:rPr>
          <w:b/>
          <w:bCs/>
          <w:sz w:val="24"/>
          <w:szCs w:val="24"/>
        </w:rPr>
        <w:t xml:space="preserve">The Opt-in Program </w:t>
      </w:r>
    </w:p>
    <w:p w:rsidR="009907D5" w:rsidRDefault="009907D5" w:rsidP="00AB4259">
      <w:pPr>
        <w:widowControl/>
        <w:numPr>
          <w:ilvl w:val="12"/>
          <w:numId w:val="0"/>
        </w:numPr>
        <w:rPr>
          <w:sz w:val="24"/>
          <w:szCs w:val="24"/>
        </w:rPr>
      </w:pPr>
    </w:p>
    <w:p w:rsidR="009907D5" w:rsidRDefault="009907D5" w:rsidP="00AB4259">
      <w:pPr>
        <w:widowControl/>
        <w:numPr>
          <w:ilvl w:val="12"/>
          <w:numId w:val="0"/>
        </w:numPr>
        <w:rPr>
          <w:sz w:val="24"/>
          <w:szCs w:val="24"/>
        </w:rPr>
      </w:pPr>
      <w:r>
        <w:rPr>
          <w:sz w:val="24"/>
          <w:szCs w:val="24"/>
        </w:rPr>
        <w:tab/>
        <w:t>This subsection describes projections for (1) the number and types of sources that elect to participate in the opt-in program for the time period covered by this ICR, (2) the paperwork burden hours for both respondents and EPA associated with the program, and (3) the total costs of the tasks required by the opt-in program.</w:t>
      </w:r>
    </w:p>
    <w:p w:rsidR="009907D5" w:rsidRDefault="009907D5" w:rsidP="00AB4259">
      <w:pPr>
        <w:widowControl/>
        <w:numPr>
          <w:ilvl w:val="12"/>
          <w:numId w:val="0"/>
        </w:numPr>
        <w:rPr>
          <w:sz w:val="24"/>
          <w:szCs w:val="24"/>
        </w:rPr>
      </w:pPr>
    </w:p>
    <w:p w:rsidR="009907D5" w:rsidRDefault="009907D5" w:rsidP="00AB4259">
      <w:pPr>
        <w:widowControl/>
        <w:numPr>
          <w:ilvl w:val="12"/>
          <w:numId w:val="0"/>
        </w:numPr>
        <w:rPr>
          <w:sz w:val="24"/>
          <w:szCs w:val="24"/>
        </w:rPr>
      </w:pPr>
      <w:r>
        <w:rPr>
          <w:sz w:val="24"/>
          <w:szCs w:val="24"/>
        </w:rPr>
        <w:tab/>
      </w:r>
      <w:r w:rsidR="00AE0E7F">
        <w:rPr>
          <w:sz w:val="24"/>
          <w:szCs w:val="24"/>
        </w:rPr>
        <w:t>As a result of changes to CAIR and the current price of allowances there a</w:t>
      </w:r>
      <w:r w:rsidR="00C26EE4">
        <w:rPr>
          <w:sz w:val="24"/>
          <w:szCs w:val="24"/>
        </w:rPr>
        <w:t>re as</w:t>
      </w:r>
      <w:r w:rsidR="00AE0E7F">
        <w:rPr>
          <w:sz w:val="24"/>
          <w:szCs w:val="24"/>
        </w:rPr>
        <w:t xml:space="preserve"> of 2012 no ongoing applications for opt-in facilities and EPA does not anticipate receiving any applications during the 201</w:t>
      </w:r>
      <w:r w:rsidR="00910278">
        <w:rPr>
          <w:sz w:val="24"/>
          <w:szCs w:val="24"/>
        </w:rPr>
        <w:t>3</w:t>
      </w:r>
      <w:r w:rsidR="00AE0E7F">
        <w:rPr>
          <w:sz w:val="24"/>
          <w:szCs w:val="24"/>
        </w:rPr>
        <w:t>-2015 time frame.</w:t>
      </w:r>
      <w:r w:rsidR="00BD4809">
        <w:rPr>
          <w:sz w:val="24"/>
          <w:szCs w:val="24"/>
        </w:rPr>
        <w:t xml:space="preserve"> The following section is retained with actual estimates </w:t>
      </w:r>
      <w:r w:rsidR="001509B5">
        <w:rPr>
          <w:sz w:val="24"/>
          <w:szCs w:val="24"/>
        </w:rPr>
        <w:t xml:space="preserve">for new applications </w:t>
      </w:r>
      <w:r w:rsidR="00BD4809">
        <w:rPr>
          <w:sz w:val="24"/>
          <w:szCs w:val="24"/>
        </w:rPr>
        <w:t>set to zero.</w:t>
      </w:r>
      <w:r w:rsidR="001509B5">
        <w:rPr>
          <w:sz w:val="24"/>
          <w:szCs w:val="24"/>
        </w:rPr>
        <w:t xml:space="preserve"> Based on 2012 counts, 20 units at 5 facilities will continue to report </w:t>
      </w:r>
      <w:r w:rsidR="00B95545">
        <w:rPr>
          <w:sz w:val="24"/>
          <w:szCs w:val="24"/>
        </w:rPr>
        <w:t xml:space="preserve">under the Opt-in program and will continue incur Opt-in utilization form and thermal energy compliance reporting burdens.  </w:t>
      </w:r>
    </w:p>
    <w:p w:rsidR="009907D5" w:rsidRDefault="009907D5" w:rsidP="00AB4259">
      <w:pPr>
        <w:widowControl/>
        <w:numPr>
          <w:ilvl w:val="12"/>
          <w:numId w:val="0"/>
        </w:numPr>
        <w:rPr>
          <w:sz w:val="24"/>
          <w:szCs w:val="24"/>
        </w:rPr>
      </w:pPr>
    </w:p>
    <w:p w:rsidR="009907D5" w:rsidRDefault="00A04BE0" w:rsidP="00AB4259">
      <w:pPr>
        <w:widowControl/>
        <w:numPr>
          <w:ilvl w:val="12"/>
          <w:numId w:val="0"/>
        </w:numPr>
        <w:rPr>
          <w:sz w:val="24"/>
          <w:szCs w:val="24"/>
        </w:rPr>
      </w:pPr>
      <w:r>
        <w:rPr>
          <w:sz w:val="24"/>
          <w:szCs w:val="24"/>
        </w:rPr>
        <w:tab/>
      </w:r>
      <w:r w:rsidR="009907D5">
        <w:rPr>
          <w:sz w:val="24"/>
          <w:szCs w:val="24"/>
        </w:rPr>
        <w:tab/>
      </w:r>
    </w:p>
    <w:p w:rsidR="009907D5" w:rsidRDefault="009907D5" w:rsidP="00A04BE0">
      <w:pPr>
        <w:widowControl/>
        <w:numPr>
          <w:ilvl w:val="12"/>
          <w:numId w:val="0"/>
        </w:numPr>
        <w:ind w:left="720"/>
        <w:rPr>
          <w:sz w:val="24"/>
          <w:szCs w:val="24"/>
        </w:rPr>
      </w:pPr>
      <w:r>
        <w:rPr>
          <w:b/>
          <w:bCs/>
          <w:sz w:val="24"/>
          <w:szCs w:val="24"/>
        </w:rPr>
        <w:t xml:space="preserve">6.6.1 </w:t>
      </w:r>
      <w:r w:rsidR="00A04BE0">
        <w:rPr>
          <w:b/>
          <w:bCs/>
          <w:sz w:val="24"/>
          <w:szCs w:val="24"/>
        </w:rPr>
        <w:t xml:space="preserve"> </w:t>
      </w:r>
      <w:r>
        <w:rPr>
          <w:b/>
          <w:bCs/>
          <w:sz w:val="24"/>
          <w:szCs w:val="24"/>
        </w:rPr>
        <w:t>Respon</w:t>
      </w:r>
      <w:r w:rsidR="00A04BE0">
        <w:rPr>
          <w:b/>
          <w:bCs/>
          <w:sz w:val="24"/>
          <w:szCs w:val="24"/>
        </w:rPr>
        <w:t>dent Burden/Cost Estimates for t</w:t>
      </w:r>
      <w:r>
        <w:rPr>
          <w:b/>
          <w:bCs/>
          <w:sz w:val="24"/>
          <w:szCs w:val="24"/>
        </w:rPr>
        <w:t>he Opt-in Program</w:t>
      </w:r>
    </w:p>
    <w:p w:rsidR="009907D5" w:rsidRDefault="009907D5" w:rsidP="00AB4259">
      <w:pPr>
        <w:widowControl/>
        <w:numPr>
          <w:ilvl w:val="12"/>
          <w:numId w:val="0"/>
        </w:numPr>
        <w:rPr>
          <w:sz w:val="24"/>
          <w:szCs w:val="24"/>
        </w:rPr>
      </w:pPr>
    </w:p>
    <w:p w:rsidR="009907D5" w:rsidRDefault="009907D5" w:rsidP="00AB4259">
      <w:pPr>
        <w:widowControl/>
        <w:numPr>
          <w:ilvl w:val="12"/>
          <w:numId w:val="0"/>
        </w:numPr>
        <w:rPr>
          <w:sz w:val="24"/>
          <w:szCs w:val="24"/>
        </w:rPr>
      </w:pPr>
      <w:r>
        <w:rPr>
          <w:sz w:val="24"/>
          <w:szCs w:val="24"/>
        </w:rPr>
        <w:tab/>
        <w:t>The tasks under this program are divided into the major categories of reporting -- permitting, emissions monitoring, and annual compliance certification</w:t>
      </w:r>
      <w:r w:rsidR="00CE3ABF">
        <w:rPr>
          <w:sz w:val="24"/>
          <w:szCs w:val="24"/>
        </w:rPr>
        <w:t xml:space="preserve">. </w:t>
      </w:r>
      <w:r>
        <w:rPr>
          <w:sz w:val="24"/>
          <w:szCs w:val="24"/>
        </w:rPr>
        <w:t>This section includes only the burden for these task categories for opt-in sources</w:t>
      </w:r>
      <w:r w:rsidR="00CE3ABF">
        <w:rPr>
          <w:sz w:val="24"/>
          <w:szCs w:val="24"/>
        </w:rPr>
        <w:t xml:space="preserve">. </w:t>
      </w:r>
      <w:r>
        <w:rPr>
          <w:sz w:val="24"/>
          <w:szCs w:val="24"/>
        </w:rPr>
        <w:t>Those affected sources covered by the mandatory requirements of the Acid Rain Program are covered in previous sections</w:t>
      </w:r>
      <w:r w:rsidR="00562093">
        <w:rPr>
          <w:sz w:val="24"/>
          <w:szCs w:val="24"/>
        </w:rPr>
        <w:t xml:space="preserve">.  </w:t>
      </w:r>
    </w:p>
    <w:p w:rsidR="009907D5" w:rsidRDefault="009907D5" w:rsidP="00AB4259">
      <w:pPr>
        <w:widowControl/>
        <w:numPr>
          <w:ilvl w:val="12"/>
          <w:numId w:val="0"/>
        </w:numPr>
        <w:rPr>
          <w:sz w:val="24"/>
          <w:szCs w:val="24"/>
        </w:rPr>
      </w:pPr>
    </w:p>
    <w:p w:rsidR="009907D5" w:rsidRDefault="009907D5" w:rsidP="00010350">
      <w:pPr>
        <w:widowControl/>
        <w:numPr>
          <w:ilvl w:val="12"/>
          <w:numId w:val="0"/>
        </w:numPr>
        <w:ind w:left="1080"/>
        <w:rPr>
          <w:b/>
          <w:bCs/>
          <w:sz w:val="24"/>
          <w:szCs w:val="24"/>
        </w:rPr>
      </w:pPr>
      <w:r>
        <w:rPr>
          <w:b/>
          <w:bCs/>
          <w:sz w:val="24"/>
          <w:szCs w:val="24"/>
        </w:rPr>
        <w:t>A</w:t>
      </w:r>
      <w:r w:rsidR="00562093">
        <w:rPr>
          <w:b/>
          <w:bCs/>
          <w:sz w:val="24"/>
          <w:szCs w:val="24"/>
        </w:rPr>
        <w:t xml:space="preserve">.  </w:t>
      </w:r>
      <w:r>
        <w:rPr>
          <w:b/>
          <w:bCs/>
          <w:sz w:val="24"/>
          <w:szCs w:val="24"/>
        </w:rPr>
        <w:t>Opt-in Permit Applications</w:t>
      </w:r>
    </w:p>
    <w:p w:rsidR="009907D5" w:rsidRDefault="009907D5" w:rsidP="00AB4259">
      <w:pPr>
        <w:widowControl/>
        <w:numPr>
          <w:ilvl w:val="12"/>
          <w:numId w:val="0"/>
        </w:numPr>
        <w:rPr>
          <w:b/>
          <w:bCs/>
          <w:sz w:val="24"/>
          <w:szCs w:val="24"/>
        </w:rPr>
      </w:pPr>
    </w:p>
    <w:p w:rsidR="009907D5" w:rsidRDefault="009907D5" w:rsidP="00AB4259">
      <w:pPr>
        <w:widowControl/>
        <w:numPr>
          <w:ilvl w:val="12"/>
          <w:numId w:val="0"/>
        </w:numPr>
        <w:rPr>
          <w:sz w:val="24"/>
          <w:szCs w:val="24"/>
        </w:rPr>
      </w:pPr>
      <w:r>
        <w:rPr>
          <w:sz w:val="24"/>
          <w:szCs w:val="24"/>
        </w:rPr>
        <w:tab/>
        <w:t xml:space="preserve">EPA estimates </w:t>
      </w:r>
      <w:r w:rsidR="00FE62C0">
        <w:rPr>
          <w:sz w:val="24"/>
          <w:szCs w:val="24"/>
        </w:rPr>
        <w:t>that no sources</w:t>
      </w:r>
      <w:r>
        <w:rPr>
          <w:sz w:val="24"/>
          <w:szCs w:val="24"/>
        </w:rPr>
        <w:t xml:space="preserve"> will submit opt-in permit applications in the years covered by this ICR</w:t>
      </w:r>
      <w:r w:rsidR="00CE3ABF">
        <w:rPr>
          <w:sz w:val="24"/>
          <w:szCs w:val="24"/>
        </w:rPr>
        <w:t xml:space="preserve">. </w:t>
      </w:r>
      <w:r>
        <w:rPr>
          <w:sz w:val="24"/>
          <w:szCs w:val="24"/>
        </w:rPr>
        <w:t>Sources that file an application must select a designated representative, report operating and fuel consumption data from past years, and report the actual and allowable emissions rates for 1985 (or their first year of operations, if after 1985) as well as the current allowable emission rate</w:t>
      </w:r>
      <w:r w:rsidR="00CE3ABF">
        <w:rPr>
          <w:sz w:val="24"/>
          <w:szCs w:val="24"/>
        </w:rPr>
        <w:t xml:space="preserve">. </w:t>
      </w:r>
      <w:r>
        <w:rPr>
          <w:sz w:val="24"/>
          <w:szCs w:val="24"/>
        </w:rPr>
        <w:t xml:space="preserve">As shown below in Exhibit </w:t>
      </w:r>
      <w:r w:rsidR="006E6F66">
        <w:rPr>
          <w:sz w:val="24"/>
          <w:szCs w:val="24"/>
        </w:rPr>
        <w:t>9</w:t>
      </w:r>
      <w:r>
        <w:rPr>
          <w:sz w:val="24"/>
          <w:szCs w:val="24"/>
        </w:rPr>
        <w:t xml:space="preserve">, EPA estimates a burden </w:t>
      </w:r>
      <w:r w:rsidRPr="00E84628">
        <w:rPr>
          <w:sz w:val="24"/>
          <w:szCs w:val="24"/>
        </w:rPr>
        <w:t xml:space="preserve">of </w:t>
      </w:r>
      <w:r w:rsidR="00BD4809">
        <w:rPr>
          <w:sz w:val="24"/>
          <w:szCs w:val="24"/>
        </w:rPr>
        <w:t>zero</w:t>
      </w:r>
      <w:r w:rsidR="00BD4809" w:rsidRPr="00E84628">
        <w:rPr>
          <w:sz w:val="24"/>
          <w:szCs w:val="24"/>
        </w:rPr>
        <w:t xml:space="preserve"> </w:t>
      </w:r>
      <w:r w:rsidRPr="00E84628">
        <w:rPr>
          <w:sz w:val="24"/>
          <w:szCs w:val="24"/>
        </w:rPr>
        <w:t>hours and a</w:t>
      </w:r>
      <w:r w:rsidR="00BD4809">
        <w:rPr>
          <w:sz w:val="24"/>
          <w:szCs w:val="24"/>
        </w:rPr>
        <w:t xml:space="preserve"> no additional </w:t>
      </w:r>
      <w:r w:rsidRPr="00E84628">
        <w:rPr>
          <w:sz w:val="24"/>
          <w:szCs w:val="24"/>
        </w:rPr>
        <w:t xml:space="preserve">cost </w:t>
      </w:r>
      <w:r>
        <w:rPr>
          <w:sz w:val="24"/>
          <w:szCs w:val="24"/>
        </w:rPr>
        <w:t>for this activity.</w:t>
      </w:r>
    </w:p>
    <w:p w:rsidR="009907D5" w:rsidRDefault="009907D5" w:rsidP="00AB4259">
      <w:pPr>
        <w:widowControl/>
        <w:numPr>
          <w:ilvl w:val="12"/>
          <w:numId w:val="0"/>
        </w:numPr>
        <w:rPr>
          <w:sz w:val="24"/>
          <w:szCs w:val="24"/>
        </w:rPr>
      </w:pPr>
    </w:p>
    <w:p w:rsidR="009907D5" w:rsidRDefault="009907D5" w:rsidP="00010350">
      <w:pPr>
        <w:widowControl/>
        <w:numPr>
          <w:ilvl w:val="12"/>
          <w:numId w:val="0"/>
        </w:numPr>
        <w:ind w:left="1080"/>
        <w:rPr>
          <w:sz w:val="24"/>
          <w:szCs w:val="24"/>
        </w:rPr>
      </w:pPr>
      <w:r>
        <w:rPr>
          <w:b/>
          <w:bCs/>
          <w:sz w:val="24"/>
          <w:szCs w:val="24"/>
        </w:rPr>
        <w:t>B</w:t>
      </w:r>
      <w:r w:rsidR="00562093">
        <w:rPr>
          <w:b/>
          <w:bCs/>
          <w:sz w:val="24"/>
          <w:szCs w:val="24"/>
        </w:rPr>
        <w:t xml:space="preserve">.  </w:t>
      </w:r>
      <w:r>
        <w:rPr>
          <w:b/>
          <w:bCs/>
          <w:sz w:val="24"/>
          <w:szCs w:val="24"/>
        </w:rPr>
        <w:t>Emissions Data Reporting</w:t>
      </w:r>
    </w:p>
    <w:p w:rsidR="009907D5" w:rsidRDefault="009907D5" w:rsidP="00AB4259">
      <w:pPr>
        <w:widowControl/>
        <w:numPr>
          <w:ilvl w:val="12"/>
          <w:numId w:val="0"/>
        </w:numPr>
        <w:rPr>
          <w:sz w:val="24"/>
          <w:szCs w:val="24"/>
        </w:rPr>
      </w:pPr>
    </w:p>
    <w:p w:rsidR="009907D5" w:rsidRDefault="009907D5" w:rsidP="00AB4259">
      <w:pPr>
        <w:widowControl/>
        <w:numPr>
          <w:ilvl w:val="12"/>
          <w:numId w:val="0"/>
        </w:numPr>
        <w:rPr>
          <w:sz w:val="24"/>
          <w:szCs w:val="24"/>
        </w:rPr>
      </w:pPr>
      <w:r>
        <w:rPr>
          <w:sz w:val="24"/>
          <w:szCs w:val="24"/>
        </w:rPr>
        <w:tab/>
        <w:t>Emissions reporting is performed only by operating sources</w:t>
      </w:r>
      <w:r w:rsidR="00CE3ABF">
        <w:rPr>
          <w:sz w:val="24"/>
          <w:szCs w:val="24"/>
        </w:rPr>
        <w:t xml:space="preserve">. </w:t>
      </w:r>
      <w:r>
        <w:rPr>
          <w:sz w:val="24"/>
          <w:szCs w:val="24"/>
        </w:rPr>
        <w:t xml:space="preserve">The tasks for opt-in sources are identical to other affected sources and are listed in Exhibit </w:t>
      </w:r>
      <w:r w:rsidR="00BD4809">
        <w:rPr>
          <w:sz w:val="24"/>
          <w:szCs w:val="24"/>
        </w:rPr>
        <w:t>5</w:t>
      </w:r>
      <w:r w:rsidR="00CE3ABF">
        <w:rPr>
          <w:sz w:val="24"/>
          <w:szCs w:val="24"/>
        </w:rPr>
        <w:t xml:space="preserve">. </w:t>
      </w:r>
      <w:r>
        <w:rPr>
          <w:sz w:val="24"/>
          <w:szCs w:val="24"/>
        </w:rPr>
        <w:t xml:space="preserve">The burden and costs for emissions reporting from opt-in sources are included in the total in Exhibit </w:t>
      </w:r>
      <w:r w:rsidR="00BD4809">
        <w:rPr>
          <w:sz w:val="24"/>
          <w:szCs w:val="24"/>
        </w:rPr>
        <w:t>5</w:t>
      </w:r>
      <w:r>
        <w:rPr>
          <w:sz w:val="24"/>
          <w:szCs w:val="24"/>
        </w:rPr>
        <w:t>.</w:t>
      </w:r>
    </w:p>
    <w:p w:rsidR="00910278" w:rsidRDefault="00910278" w:rsidP="00AB4259">
      <w:pPr>
        <w:widowControl/>
        <w:numPr>
          <w:ilvl w:val="12"/>
          <w:numId w:val="0"/>
        </w:numPr>
        <w:rPr>
          <w:sz w:val="24"/>
          <w:szCs w:val="24"/>
        </w:rPr>
      </w:pPr>
    </w:p>
    <w:p w:rsidR="009907D5" w:rsidRDefault="009907D5" w:rsidP="00010350">
      <w:pPr>
        <w:widowControl/>
        <w:numPr>
          <w:ilvl w:val="12"/>
          <w:numId w:val="0"/>
        </w:numPr>
        <w:ind w:left="1080"/>
        <w:rPr>
          <w:sz w:val="24"/>
          <w:szCs w:val="24"/>
        </w:rPr>
      </w:pPr>
      <w:r>
        <w:rPr>
          <w:b/>
          <w:bCs/>
          <w:sz w:val="24"/>
          <w:szCs w:val="24"/>
        </w:rPr>
        <w:t>C</w:t>
      </w:r>
      <w:r w:rsidR="00562093">
        <w:rPr>
          <w:b/>
          <w:bCs/>
          <w:sz w:val="24"/>
          <w:szCs w:val="24"/>
        </w:rPr>
        <w:t xml:space="preserve">.  </w:t>
      </w:r>
      <w:r>
        <w:rPr>
          <w:b/>
          <w:bCs/>
          <w:sz w:val="24"/>
          <w:szCs w:val="24"/>
        </w:rPr>
        <w:t>Annual Reconciliation</w:t>
      </w:r>
    </w:p>
    <w:p w:rsidR="009907D5" w:rsidRDefault="009907D5" w:rsidP="00AB4259">
      <w:pPr>
        <w:widowControl/>
        <w:numPr>
          <w:ilvl w:val="12"/>
          <w:numId w:val="0"/>
        </w:numPr>
        <w:rPr>
          <w:sz w:val="24"/>
          <w:szCs w:val="24"/>
        </w:rPr>
      </w:pPr>
    </w:p>
    <w:p w:rsidR="009907D5" w:rsidRDefault="009907D5" w:rsidP="00AB4259">
      <w:pPr>
        <w:widowControl/>
        <w:numPr>
          <w:ilvl w:val="12"/>
          <w:numId w:val="0"/>
        </w:numPr>
        <w:rPr>
          <w:sz w:val="24"/>
          <w:szCs w:val="24"/>
        </w:rPr>
      </w:pPr>
      <w:r>
        <w:rPr>
          <w:sz w:val="24"/>
          <w:szCs w:val="24"/>
        </w:rPr>
        <w:tab/>
        <w:t>Annual reconciliation is performed by all opt-in sources</w:t>
      </w:r>
      <w:r w:rsidR="00CE3ABF">
        <w:rPr>
          <w:sz w:val="24"/>
          <w:szCs w:val="24"/>
        </w:rPr>
        <w:t xml:space="preserve">. </w:t>
      </w:r>
      <w:r>
        <w:rPr>
          <w:sz w:val="24"/>
          <w:szCs w:val="24"/>
        </w:rPr>
        <w:t>Each unit at an opt-in source is required to submit an opt-in utilization form</w:t>
      </w:r>
      <w:r w:rsidR="00CE3ABF">
        <w:rPr>
          <w:sz w:val="24"/>
          <w:szCs w:val="24"/>
        </w:rPr>
        <w:t xml:space="preserve">. </w:t>
      </w:r>
      <w:r>
        <w:rPr>
          <w:sz w:val="24"/>
          <w:szCs w:val="24"/>
        </w:rPr>
        <w:t>Additionally, if the source is covered by a thermal energy compliance plan, it must submit a thermal energy compliance report</w:t>
      </w:r>
      <w:r w:rsidR="00CE3ABF">
        <w:rPr>
          <w:sz w:val="24"/>
          <w:szCs w:val="24"/>
        </w:rPr>
        <w:t xml:space="preserve">. </w:t>
      </w:r>
      <w:r>
        <w:rPr>
          <w:sz w:val="24"/>
          <w:szCs w:val="24"/>
        </w:rPr>
        <w:t xml:space="preserve">If an opt-in source has reduced utilization due to energy conservation or improved unit efficiency measures, it has the option of submitting an energy confirmation and </w:t>
      </w:r>
      <w:r>
        <w:rPr>
          <w:sz w:val="24"/>
          <w:szCs w:val="24"/>
        </w:rPr>
        <w:lastRenderedPageBreak/>
        <w:t>improved unit efficiency confirmation report to verify the savings and offset the corresponding reduced utilization</w:t>
      </w:r>
      <w:r w:rsidR="00CE3ABF">
        <w:rPr>
          <w:sz w:val="24"/>
          <w:szCs w:val="24"/>
        </w:rPr>
        <w:t xml:space="preserve">. </w:t>
      </w:r>
      <w:r>
        <w:rPr>
          <w:sz w:val="24"/>
          <w:szCs w:val="24"/>
        </w:rPr>
        <w:t>To date none of the opt-in sources have verified energy conservation or improved unit efficiency measures, so EPA is assuming no sources will do so during the three years covered by this ICR</w:t>
      </w:r>
      <w:r w:rsidR="00CE3ABF">
        <w:rPr>
          <w:sz w:val="24"/>
          <w:szCs w:val="24"/>
        </w:rPr>
        <w:t xml:space="preserve">. </w:t>
      </w:r>
      <w:r>
        <w:rPr>
          <w:sz w:val="24"/>
          <w:szCs w:val="24"/>
        </w:rPr>
        <w:t>Finally, EPA assumes that half of the opt-in units will submit an optional allowance deduction form, which specifies the serial numbered allowances for deduction</w:t>
      </w:r>
      <w:r w:rsidR="00562093">
        <w:rPr>
          <w:sz w:val="24"/>
          <w:szCs w:val="24"/>
        </w:rPr>
        <w:t xml:space="preserve">.  </w:t>
      </w:r>
    </w:p>
    <w:p w:rsidR="009907D5" w:rsidRDefault="009907D5" w:rsidP="00AB4259">
      <w:pPr>
        <w:widowControl/>
        <w:numPr>
          <w:ilvl w:val="12"/>
          <w:numId w:val="0"/>
        </w:numPr>
        <w:rPr>
          <w:sz w:val="24"/>
          <w:szCs w:val="24"/>
        </w:rPr>
      </w:pPr>
    </w:p>
    <w:p w:rsidR="009907D5" w:rsidRDefault="009907D5" w:rsidP="00AB4259">
      <w:pPr>
        <w:widowControl/>
        <w:numPr>
          <w:ilvl w:val="12"/>
          <w:numId w:val="0"/>
        </w:numPr>
        <w:rPr>
          <w:sz w:val="24"/>
          <w:szCs w:val="24"/>
        </w:rPr>
      </w:pPr>
      <w:r>
        <w:rPr>
          <w:sz w:val="24"/>
          <w:szCs w:val="24"/>
        </w:rPr>
        <w:tab/>
        <w:t xml:space="preserve">Total respondent burden and costs for annual compliance certification by opt-in sources are an estimated </w:t>
      </w:r>
      <w:r w:rsidR="00B95545">
        <w:rPr>
          <w:sz w:val="24"/>
          <w:szCs w:val="24"/>
        </w:rPr>
        <w:t>484</w:t>
      </w:r>
      <w:r w:rsidR="006E6F66">
        <w:rPr>
          <w:sz w:val="24"/>
          <w:szCs w:val="24"/>
        </w:rPr>
        <w:t xml:space="preserve"> </w:t>
      </w:r>
      <w:r w:rsidRPr="009907D5">
        <w:rPr>
          <w:sz w:val="24"/>
          <w:szCs w:val="24"/>
        </w:rPr>
        <w:t>hours and $</w:t>
      </w:r>
      <w:r w:rsidR="00B95545">
        <w:rPr>
          <w:sz w:val="24"/>
          <w:szCs w:val="24"/>
        </w:rPr>
        <w:t>34,450</w:t>
      </w:r>
      <w:r w:rsidRPr="009907D5">
        <w:rPr>
          <w:sz w:val="24"/>
          <w:szCs w:val="24"/>
        </w:rPr>
        <w:t xml:space="preserve">, </w:t>
      </w:r>
      <w:r>
        <w:rPr>
          <w:sz w:val="24"/>
          <w:szCs w:val="24"/>
        </w:rPr>
        <w:t>respectively</w:t>
      </w:r>
      <w:r w:rsidR="00CE3ABF">
        <w:rPr>
          <w:sz w:val="24"/>
          <w:szCs w:val="24"/>
        </w:rPr>
        <w:t xml:space="preserve">. </w:t>
      </w:r>
      <w:r>
        <w:rPr>
          <w:sz w:val="24"/>
          <w:szCs w:val="24"/>
        </w:rPr>
        <w:t xml:space="preserve">Exhibit </w:t>
      </w:r>
      <w:r w:rsidR="00BD4809">
        <w:rPr>
          <w:sz w:val="24"/>
          <w:szCs w:val="24"/>
        </w:rPr>
        <w:t xml:space="preserve">10 </w:t>
      </w:r>
      <w:r>
        <w:rPr>
          <w:sz w:val="24"/>
          <w:szCs w:val="24"/>
        </w:rPr>
        <w:t>presents respondent burden and costs for annual reconciliation by opt-in sources.</w:t>
      </w:r>
    </w:p>
    <w:p w:rsidR="009907D5" w:rsidRDefault="009907D5" w:rsidP="00AB4259">
      <w:pPr>
        <w:widowControl/>
        <w:numPr>
          <w:ilvl w:val="12"/>
          <w:numId w:val="0"/>
        </w:numPr>
        <w:rPr>
          <w:sz w:val="24"/>
          <w:szCs w:val="24"/>
        </w:rPr>
      </w:pPr>
    </w:p>
    <w:p w:rsidR="009907D5" w:rsidRDefault="009907D5" w:rsidP="00010350">
      <w:pPr>
        <w:widowControl/>
        <w:numPr>
          <w:ilvl w:val="12"/>
          <w:numId w:val="0"/>
        </w:numPr>
        <w:ind w:left="720"/>
        <w:rPr>
          <w:sz w:val="24"/>
          <w:szCs w:val="24"/>
        </w:rPr>
      </w:pPr>
      <w:r>
        <w:rPr>
          <w:b/>
          <w:bCs/>
          <w:sz w:val="24"/>
          <w:szCs w:val="24"/>
        </w:rPr>
        <w:t>6.6.2</w:t>
      </w:r>
      <w:r w:rsidR="00562093">
        <w:rPr>
          <w:b/>
          <w:bCs/>
          <w:sz w:val="24"/>
          <w:szCs w:val="24"/>
        </w:rPr>
        <w:t xml:space="preserve"> </w:t>
      </w:r>
      <w:r w:rsidR="00010350">
        <w:rPr>
          <w:b/>
          <w:bCs/>
          <w:sz w:val="24"/>
          <w:szCs w:val="24"/>
        </w:rPr>
        <w:t xml:space="preserve"> </w:t>
      </w:r>
      <w:r>
        <w:rPr>
          <w:b/>
          <w:bCs/>
          <w:sz w:val="24"/>
          <w:szCs w:val="24"/>
        </w:rPr>
        <w:t>Agency Burden/Cost Estimates for the Opt-in Program</w:t>
      </w:r>
    </w:p>
    <w:p w:rsidR="009907D5" w:rsidRDefault="009907D5" w:rsidP="00AB4259">
      <w:pPr>
        <w:widowControl/>
        <w:numPr>
          <w:ilvl w:val="12"/>
          <w:numId w:val="0"/>
        </w:numPr>
        <w:rPr>
          <w:sz w:val="24"/>
          <w:szCs w:val="24"/>
        </w:rPr>
      </w:pPr>
    </w:p>
    <w:p w:rsidR="009907D5" w:rsidRDefault="009907D5" w:rsidP="00AB4259">
      <w:pPr>
        <w:widowControl/>
        <w:numPr>
          <w:ilvl w:val="12"/>
          <w:numId w:val="0"/>
        </w:numPr>
        <w:rPr>
          <w:sz w:val="24"/>
          <w:szCs w:val="24"/>
        </w:rPr>
      </w:pPr>
      <w:r>
        <w:rPr>
          <w:sz w:val="24"/>
          <w:szCs w:val="24"/>
        </w:rPr>
        <w:tab/>
        <w:t>In 201</w:t>
      </w:r>
      <w:r w:rsidR="00416989">
        <w:rPr>
          <w:sz w:val="24"/>
          <w:szCs w:val="24"/>
        </w:rPr>
        <w:t>3</w:t>
      </w:r>
      <w:r>
        <w:rPr>
          <w:sz w:val="24"/>
          <w:szCs w:val="24"/>
        </w:rPr>
        <w:t xml:space="preserve"> through 201</w:t>
      </w:r>
      <w:r w:rsidR="00416989">
        <w:rPr>
          <w:sz w:val="24"/>
          <w:szCs w:val="24"/>
        </w:rPr>
        <w:t>5</w:t>
      </w:r>
      <w:r>
        <w:rPr>
          <w:sz w:val="24"/>
          <w:szCs w:val="24"/>
        </w:rPr>
        <w:t>, the Agency</w:t>
      </w:r>
      <w:r w:rsidR="00A90381">
        <w:rPr>
          <w:sz w:val="24"/>
          <w:szCs w:val="24"/>
        </w:rPr>
        <w:t>'</w:t>
      </w:r>
      <w:r>
        <w:rPr>
          <w:sz w:val="24"/>
          <w:szCs w:val="24"/>
        </w:rPr>
        <w:t>s burden includes; processing opt-in applications, processing quarterly emissions reports (which is included in Exhibit 8), and processing annual reconciliation reports</w:t>
      </w:r>
      <w:r w:rsidR="00CE3ABF">
        <w:rPr>
          <w:sz w:val="24"/>
          <w:szCs w:val="24"/>
        </w:rPr>
        <w:t xml:space="preserve">. </w:t>
      </w:r>
      <w:r>
        <w:rPr>
          <w:sz w:val="24"/>
          <w:szCs w:val="24"/>
        </w:rPr>
        <w:t>The Agency</w:t>
      </w:r>
      <w:r w:rsidR="00A90381">
        <w:rPr>
          <w:sz w:val="24"/>
          <w:szCs w:val="24"/>
        </w:rPr>
        <w:t>'</w:t>
      </w:r>
      <w:r>
        <w:rPr>
          <w:sz w:val="24"/>
          <w:szCs w:val="24"/>
        </w:rPr>
        <w:t xml:space="preserve">s total annual estimated burden and cost related to the opt-in program are </w:t>
      </w:r>
      <w:r w:rsidR="00B95545">
        <w:rPr>
          <w:sz w:val="24"/>
          <w:szCs w:val="24"/>
        </w:rPr>
        <w:t>45</w:t>
      </w:r>
      <w:r w:rsidR="00BD4809" w:rsidRPr="009907D5">
        <w:rPr>
          <w:sz w:val="24"/>
          <w:szCs w:val="24"/>
        </w:rPr>
        <w:t xml:space="preserve"> </w:t>
      </w:r>
      <w:r w:rsidRPr="009907D5">
        <w:rPr>
          <w:sz w:val="24"/>
          <w:szCs w:val="24"/>
        </w:rPr>
        <w:t>hours and</w:t>
      </w:r>
      <w:r w:rsidR="00BD4809">
        <w:rPr>
          <w:sz w:val="24"/>
          <w:szCs w:val="24"/>
        </w:rPr>
        <w:t xml:space="preserve"> </w:t>
      </w:r>
      <w:r w:rsidR="00B95545">
        <w:rPr>
          <w:sz w:val="24"/>
          <w:szCs w:val="24"/>
        </w:rPr>
        <w:t>$2,227</w:t>
      </w:r>
      <w:r w:rsidRPr="009907D5">
        <w:rPr>
          <w:sz w:val="24"/>
          <w:szCs w:val="24"/>
        </w:rPr>
        <w:t xml:space="preserve"> respectively</w:t>
      </w:r>
      <w:r w:rsidR="00CE3ABF">
        <w:rPr>
          <w:sz w:val="24"/>
          <w:szCs w:val="24"/>
        </w:rPr>
        <w:t xml:space="preserve">. </w:t>
      </w:r>
      <w:r w:rsidRPr="009907D5">
        <w:rPr>
          <w:sz w:val="24"/>
          <w:szCs w:val="24"/>
        </w:rPr>
        <w:t>Exhibit 1</w:t>
      </w:r>
      <w:r w:rsidR="00B95545">
        <w:rPr>
          <w:sz w:val="24"/>
          <w:szCs w:val="24"/>
        </w:rPr>
        <w:t>1</w:t>
      </w:r>
      <w:r w:rsidRPr="009907D5">
        <w:rPr>
          <w:sz w:val="24"/>
          <w:szCs w:val="24"/>
        </w:rPr>
        <w:t xml:space="preserve"> presents the Agency</w:t>
      </w:r>
      <w:r w:rsidR="00A90381">
        <w:rPr>
          <w:sz w:val="24"/>
          <w:szCs w:val="24"/>
        </w:rPr>
        <w:t>'</w:t>
      </w:r>
      <w:r w:rsidRPr="009907D5">
        <w:rPr>
          <w:sz w:val="24"/>
          <w:szCs w:val="24"/>
        </w:rPr>
        <w:t>s burden and costs for opt-in program</w:t>
      </w:r>
      <w:r>
        <w:rPr>
          <w:sz w:val="24"/>
          <w:szCs w:val="24"/>
        </w:rPr>
        <w:t>.</w:t>
      </w:r>
    </w:p>
    <w:p w:rsidR="009907D5" w:rsidRDefault="009907D5" w:rsidP="00AB4259">
      <w:pPr>
        <w:widowControl/>
        <w:numPr>
          <w:ilvl w:val="12"/>
          <w:numId w:val="0"/>
        </w:numPr>
        <w:rPr>
          <w:sz w:val="24"/>
          <w:szCs w:val="24"/>
        </w:rPr>
      </w:pPr>
    </w:p>
    <w:p w:rsidR="009907D5" w:rsidRPr="00010350" w:rsidRDefault="009907D5" w:rsidP="006831BE">
      <w:pPr>
        <w:keepNext/>
        <w:keepLines/>
        <w:widowControl/>
        <w:numPr>
          <w:ilvl w:val="12"/>
          <w:numId w:val="0"/>
        </w:numPr>
        <w:jc w:val="center"/>
        <w:rPr>
          <w:b/>
          <w:sz w:val="24"/>
          <w:szCs w:val="24"/>
        </w:rPr>
      </w:pPr>
      <w:r w:rsidRPr="00010350">
        <w:rPr>
          <w:b/>
          <w:sz w:val="24"/>
          <w:szCs w:val="24"/>
        </w:rPr>
        <w:t xml:space="preserve">EXHIBIT </w:t>
      </w:r>
      <w:r w:rsidR="00BD4809">
        <w:rPr>
          <w:b/>
          <w:sz w:val="24"/>
          <w:szCs w:val="24"/>
        </w:rPr>
        <w:t>9</w:t>
      </w:r>
    </w:p>
    <w:p w:rsidR="009907D5" w:rsidRPr="00010350" w:rsidRDefault="009907D5" w:rsidP="006831BE">
      <w:pPr>
        <w:keepNext/>
        <w:keepLines/>
        <w:widowControl/>
        <w:numPr>
          <w:ilvl w:val="12"/>
          <w:numId w:val="0"/>
        </w:numPr>
        <w:jc w:val="center"/>
        <w:rPr>
          <w:b/>
          <w:sz w:val="24"/>
          <w:szCs w:val="24"/>
        </w:rPr>
      </w:pPr>
      <w:r w:rsidRPr="00010350">
        <w:rPr>
          <w:b/>
          <w:sz w:val="24"/>
          <w:szCs w:val="24"/>
        </w:rPr>
        <w:t>RESPONDENT BURDEN/COST ESTIMATES FOR OPT-IN PERMIT APPLICATIONS</w:t>
      </w:r>
    </w:p>
    <w:p w:rsidR="00010350" w:rsidRDefault="00010350" w:rsidP="006831BE">
      <w:pPr>
        <w:keepNext/>
        <w:keepLines/>
        <w:widowControl/>
        <w:numPr>
          <w:ilvl w:val="12"/>
          <w:numId w:val="0"/>
        </w:numPr>
        <w:jc w:val="center"/>
        <w:rPr>
          <w:sz w:val="24"/>
          <w:szCs w:val="24"/>
        </w:rPr>
      </w:pPr>
    </w:p>
    <w:tbl>
      <w:tblPr>
        <w:tblW w:w="9360" w:type="dxa"/>
        <w:jc w:val="center"/>
        <w:tblLayout w:type="fixed"/>
        <w:tblCellMar>
          <w:top w:w="72" w:type="dxa"/>
          <w:left w:w="72" w:type="dxa"/>
          <w:bottom w:w="72" w:type="dxa"/>
          <w:right w:w="72" w:type="dxa"/>
        </w:tblCellMar>
        <w:tblLook w:val="0000"/>
      </w:tblPr>
      <w:tblGrid>
        <w:gridCol w:w="3235"/>
        <w:gridCol w:w="1711"/>
        <w:gridCol w:w="1438"/>
        <w:gridCol w:w="1624"/>
        <w:gridCol w:w="1352"/>
      </w:tblGrid>
      <w:tr w:rsidR="009907D5" w:rsidRPr="00A45B03" w:rsidTr="008D10C9">
        <w:trPr>
          <w:cantSplit/>
          <w:jc w:val="center"/>
        </w:trPr>
        <w:tc>
          <w:tcPr>
            <w:tcW w:w="3240" w:type="dxa"/>
            <w:tcBorders>
              <w:top w:val="double" w:sz="6" w:space="0" w:color="auto"/>
              <w:left w:val="double" w:sz="6" w:space="0" w:color="auto"/>
              <w:bottom w:val="single" w:sz="6" w:space="0" w:color="auto"/>
              <w:right w:val="nil"/>
            </w:tcBorders>
            <w:shd w:val="pct10" w:color="auto" w:fill="auto"/>
            <w:vAlign w:val="bottom"/>
          </w:tcPr>
          <w:p w:rsidR="009907D5" w:rsidRPr="00A45B03" w:rsidRDefault="009907D5" w:rsidP="006831BE">
            <w:pPr>
              <w:keepNext/>
              <w:keepLines/>
              <w:widowControl/>
              <w:numPr>
                <w:ilvl w:val="12"/>
                <w:numId w:val="0"/>
              </w:numPr>
              <w:jc w:val="center"/>
              <w:rPr>
                <w:b/>
                <w:sz w:val="22"/>
                <w:szCs w:val="22"/>
              </w:rPr>
            </w:pPr>
            <w:r w:rsidRPr="00A45B03">
              <w:rPr>
                <w:b/>
                <w:sz w:val="22"/>
                <w:szCs w:val="22"/>
              </w:rPr>
              <w:t>Tasks</w:t>
            </w:r>
          </w:p>
        </w:tc>
        <w:tc>
          <w:tcPr>
            <w:tcW w:w="1714" w:type="dxa"/>
            <w:tcBorders>
              <w:top w:val="double" w:sz="6" w:space="0" w:color="auto"/>
              <w:left w:val="single" w:sz="6" w:space="0" w:color="auto"/>
              <w:bottom w:val="single" w:sz="6" w:space="0" w:color="auto"/>
              <w:right w:val="nil"/>
            </w:tcBorders>
            <w:shd w:val="pct10" w:color="auto" w:fill="auto"/>
            <w:vAlign w:val="bottom"/>
          </w:tcPr>
          <w:p w:rsidR="009907D5" w:rsidRPr="00A45B03" w:rsidRDefault="009907D5" w:rsidP="006831BE">
            <w:pPr>
              <w:keepNext/>
              <w:keepLines/>
              <w:widowControl/>
              <w:numPr>
                <w:ilvl w:val="12"/>
                <w:numId w:val="0"/>
              </w:numPr>
              <w:jc w:val="center"/>
              <w:rPr>
                <w:b/>
                <w:sz w:val="22"/>
                <w:szCs w:val="22"/>
              </w:rPr>
            </w:pPr>
            <w:r w:rsidRPr="00A45B03">
              <w:rPr>
                <w:b/>
                <w:sz w:val="22"/>
                <w:szCs w:val="22"/>
              </w:rPr>
              <w:t>Burden Hours per Occurrence</w:t>
            </w:r>
          </w:p>
        </w:tc>
        <w:tc>
          <w:tcPr>
            <w:tcW w:w="1440" w:type="dxa"/>
            <w:tcBorders>
              <w:top w:val="double" w:sz="6" w:space="0" w:color="auto"/>
              <w:left w:val="single" w:sz="6" w:space="0" w:color="auto"/>
              <w:bottom w:val="single" w:sz="6" w:space="0" w:color="auto"/>
              <w:right w:val="nil"/>
            </w:tcBorders>
            <w:shd w:val="pct10" w:color="auto" w:fill="auto"/>
            <w:vAlign w:val="bottom"/>
          </w:tcPr>
          <w:p w:rsidR="009907D5" w:rsidRPr="00A45B03" w:rsidRDefault="009907D5" w:rsidP="006831BE">
            <w:pPr>
              <w:keepNext/>
              <w:keepLines/>
              <w:widowControl/>
              <w:numPr>
                <w:ilvl w:val="12"/>
                <w:numId w:val="0"/>
              </w:numPr>
              <w:jc w:val="center"/>
              <w:rPr>
                <w:b/>
                <w:sz w:val="22"/>
                <w:szCs w:val="22"/>
              </w:rPr>
            </w:pPr>
            <w:r w:rsidRPr="00A45B03">
              <w:rPr>
                <w:b/>
                <w:sz w:val="22"/>
                <w:szCs w:val="22"/>
              </w:rPr>
              <w:t xml:space="preserve">Cost per </w:t>
            </w:r>
            <w:proofErr w:type="spellStart"/>
            <w:r w:rsidRPr="00A45B03">
              <w:rPr>
                <w:b/>
                <w:sz w:val="22"/>
                <w:szCs w:val="22"/>
              </w:rPr>
              <w:t>Occurrence</w:t>
            </w:r>
            <w:r w:rsidRPr="00A45B03">
              <w:rPr>
                <w:b/>
                <w:sz w:val="22"/>
                <w:szCs w:val="22"/>
                <w:vertAlign w:val="superscript"/>
              </w:rPr>
              <w:t>a</w:t>
            </w:r>
            <w:proofErr w:type="spellEnd"/>
          </w:p>
        </w:tc>
        <w:tc>
          <w:tcPr>
            <w:tcW w:w="1627" w:type="dxa"/>
            <w:tcBorders>
              <w:top w:val="double" w:sz="6" w:space="0" w:color="auto"/>
              <w:left w:val="single" w:sz="6" w:space="0" w:color="auto"/>
              <w:bottom w:val="single" w:sz="6" w:space="0" w:color="auto"/>
              <w:right w:val="nil"/>
            </w:tcBorders>
            <w:shd w:val="pct10" w:color="auto" w:fill="auto"/>
            <w:vAlign w:val="bottom"/>
          </w:tcPr>
          <w:p w:rsidR="009907D5" w:rsidRPr="00A45B03" w:rsidRDefault="009907D5" w:rsidP="006831BE">
            <w:pPr>
              <w:keepNext/>
              <w:keepLines/>
              <w:widowControl/>
              <w:numPr>
                <w:ilvl w:val="12"/>
                <w:numId w:val="0"/>
              </w:numPr>
              <w:jc w:val="center"/>
              <w:rPr>
                <w:b/>
                <w:sz w:val="22"/>
                <w:szCs w:val="22"/>
              </w:rPr>
            </w:pPr>
            <w:r w:rsidRPr="00A45B03">
              <w:rPr>
                <w:b/>
                <w:sz w:val="22"/>
                <w:szCs w:val="22"/>
              </w:rPr>
              <w:t>Total Burden (hours)</w:t>
            </w:r>
          </w:p>
        </w:tc>
        <w:tc>
          <w:tcPr>
            <w:tcW w:w="1354" w:type="dxa"/>
            <w:tcBorders>
              <w:top w:val="double" w:sz="6" w:space="0" w:color="auto"/>
              <w:left w:val="single" w:sz="6" w:space="0" w:color="auto"/>
              <w:bottom w:val="single" w:sz="6" w:space="0" w:color="auto"/>
              <w:right w:val="double" w:sz="6" w:space="0" w:color="auto"/>
            </w:tcBorders>
            <w:shd w:val="pct10" w:color="auto" w:fill="auto"/>
            <w:vAlign w:val="bottom"/>
          </w:tcPr>
          <w:p w:rsidR="009907D5" w:rsidRPr="00A45B03" w:rsidRDefault="009907D5" w:rsidP="006831BE">
            <w:pPr>
              <w:keepNext/>
              <w:keepLines/>
              <w:widowControl/>
              <w:numPr>
                <w:ilvl w:val="12"/>
                <w:numId w:val="0"/>
              </w:numPr>
              <w:jc w:val="center"/>
              <w:rPr>
                <w:b/>
                <w:sz w:val="22"/>
                <w:szCs w:val="22"/>
              </w:rPr>
            </w:pPr>
            <w:r w:rsidRPr="00A45B03">
              <w:rPr>
                <w:b/>
                <w:sz w:val="22"/>
                <w:szCs w:val="22"/>
              </w:rPr>
              <w:t>Total Cost</w:t>
            </w:r>
          </w:p>
        </w:tc>
      </w:tr>
      <w:tr w:rsidR="009907D5" w:rsidTr="008D10C9">
        <w:trPr>
          <w:cantSplit/>
          <w:jc w:val="center"/>
        </w:trPr>
        <w:tc>
          <w:tcPr>
            <w:tcW w:w="3240" w:type="dxa"/>
            <w:tcBorders>
              <w:top w:val="single" w:sz="6" w:space="0" w:color="auto"/>
              <w:left w:val="double" w:sz="6" w:space="0" w:color="auto"/>
              <w:right w:val="nil"/>
            </w:tcBorders>
          </w:tcPr>
          <w:p w:rsidR="005F7566" w:rsidRPr="00B53071" w:rsidRDefault="009907D5" w:rsidP="006831BE">
            <w:pPr>
              <w:keepNext/>
              <w:keepLines/>
              <w:widowControl/>
              <w:numPr>
                <w:ilvl w:val="12"/>
                <w:numId w:val="0"/>
              </w:numPr>
            </w:pPr>
            <w:r w:rsidRPr="00B53071">
              <w:t xml:space="preserve">Select a designated </w:t>
            </w:r>
            <w:proofErr w:type="spellStart"/>
            <w:r w:rsidRPr="00B53071">
              <w:t>representative</w:t>
            </w:r>
            <w:r w:rsidR="00433A55">
              <w:t>.</w:t>
            </w:r>
            <w:r w:rsidRPr="00B53071">
              <w:rPr>
                <w:vertAlign w:val="superscript"/>
              </w:rPr>
              <w:t>b</w:t>
            </w:r>
            <w:proofErr w:type="spellEnd"/>
          </w:p>
        </w:tc>
        <w:tc>
          <w:tcPr>
            <w:tcW w:w="1714" w:type="dxa"/>
            <w:tcBorders>
              <w:top w:val="single" w:sz="6" w:space="0" w:color="auto"/>
              <w:left w:val="single" w:sz="6" w:space="0" w:color="auto"/>
              <w:right w:val="nil"/>
            </w:tcBorders>
          </w:tcPr>
          <w:p w:rsidR="005F7566" w:rsidRPr="00B53071" w:rsidRDefault="005F7566" w:rsidP="006831BE">
            <w:pPr>
              <w:keepNext/>
              <w:keepLines/>
              <w:widowControl/>
              <w:numPr>
                <w:ilvl w:val="12"/>
                <w:numId w:val="0"/>
              </w:numPr>
              <w:jc w:val="center"/>
            </w:pPr>
          </w:p>
        </w:tc>
        <w:tc>
          <w:tcPr>
            <w:tcW w:w="1440" w:type="dxa"/>
            <w:tcBorders>
              <w:top w:val="single" w:sz="6" w:space="0" w:color="auto"/>
              <w:left w:val="single" w:sz="6" w:space="0" w:color="auto"/>
              <w:right w:val="nil"/>
            </w:tcBorders>
          </w:tcPr>
          <w:p w:rsidR="005F7566" w:rsidRPr="00B53071" w:rsidRDefault="005F7566" w:rsidP="006831BE">
            <w:pPr>
              <w:keepNext/>
              <w:keepLines/>
              <w:widowControl/>
              <w:numPr>
                <w:ilvl w:val="12"/>
                <w:numId w:val="0"/>
              </w:numPr>
              <w:jc w:val="center"/>
            </w:pPr>
          </w:p>
        </w:tc>
        <w:tc>
          <w:tcPr>
            <w:tcW w:w="1627" w:type="dxa"/>
            <w:tcBorders>
              <w:top w:val="single" w:sz="6" w:space="0" w:color="auto"/>
              <w:left w:val="single" w:sz="6" w:space="0" w:color="auto"/>
              <w:right w:val="nil"/>
            </w:tcBorders>
          </w:tcPr>
          <w:p w:rsidR="005F7566" w:rsidRPr="00B53071" w:rsidRDefault="005F7566" w:rsidP="006831BE">
            <w:pPr>
              <w:keepNext/>
              <w:keepLines/>
              <w:widowControl/>
              <w:numPr>
                <w:ilvl w:val="12"/>
                <w:numId w:val="0"/>
              </w:numPr>
              <w:jc w:val="center"/>
            </w:pPr>
          </w:p>
        </w:tc>
        <w:tc>
          <w:tcPr>
            <w:tcW w:w="1354" w:type="dxa"/>
            <w:tcBorders>
              <w:top w:val="single" w:sz="6" w:space="0" w:color="auto"/>
              <w:left w:val="single" w:sz="6" w:space="0" w:color="auto"/>
              <w:right w:val="double" w:sz="6" w:space="0" w:color="auto"/>
            </w:tcBorders>
          </w:tcPr>
          <w:p w:rsidR="009907D5" w:rsidRPr="00B53071" w:rsidRDefault="009907D5" w:rsidP="006831BE">
            <w:pPr>
              <w:keepNext/>
              <w:keepLines/>
              <w:widowControl/>
              <w:numPr>
                <w:ilvl w:val="12"/>
                <w:numId w:val="0"/>
              </w:numPr>
              <w:jc w:val="center"/>
            </w:pPr>
          </w:p>
        </w:tc>
      </w:tr>
      <w:tr w:rsidR="00CC4C51" w:rsidTr="008D10C9">
        <w:trPr>
          <w:cantSplit/>
          <w:jc w:val="center"/>
        </w:trPr>
        <w:tc>
          <w:tcPr>
            <w:tcW w:w="3240" w:type="dxa"/>
            <w:tcBorders>
              <w:left w:val="double" w:sz="6" w:space="0" w:color="auto"/>
              <w:right w:val="single" w:sz="6" w:space="0" w:color="auto"/>
            </w:tcBorders>
            <w:vAlign w:val="bottom"/>
          </w:tcPr>
          <w:p w:rsidR="00CC4C51" w:rsidRPr="00B53071" w:rsidRDefault="00CC4C51" w:rsidP="006831BE">
            <w:pPr>
              <w:keepNext/>
              <w:keepLines/>
              <w:widowControl/>
              <w:numPr>
                <w:ilvl w:val="12"/>
                <w:numId w:val="0"/>
              </w:numPr>
              <w:ind w:left="378"/>
            </w:pPr>
            <w:r>
              <w:t>Managerial</w:t>
            </w:r>
            <w:r w:rsidR="00B63804">
              <w:t>.</w:t>
            </w:r>
          </w:p>
        </w:tc>
        <w:tc>
          <w:tcPr>
            <w:tcW w:w="1714" w:type="dxa"/>
            <w:tcBorders>
              <w:left w:val="single" w:sz="6" w:space="0" w:color="auto"/>
              <w:right w:val="single" w:sz="6" w:space="0" w:color="auto"/>
            </w:tcBorders>
          </w:tcPr>
          <w:p w:rsidR="00CC4C51" w:rsidRPr="00B53071" w:rsidRDefault="0091751D" w:rsidP="006831BE">
            <w:pPr>
              <w:keepNext/>
              <w:keepLines/>
              <w:widowControl/>
              <w:numPr>
                <w:ilvl w:val="12"/>
                <w:numId w:val="0"/>
              </w:numPr>
              <w:jc w:val="center"/>
            </w:pPr>
            <w:r>
              <w:t>20</w:t>
            </w:r>
          </w:p>
        </w:tc>
        <w:tc>
          <w:tcPr>
            <w:tcW w:w="1440" w:type="dxa"/>
            <w:tcBorders>
              <w:left w:val="single" w:sz="6" w:space="0" w:color="auto"/>
              <w:right w:val="nil"/>
            </w:tcBorders>
          </w:tcPr>
          <w:p w:rsidR="00CC4C51" w:rsidRPr="00B53071" w:rsidRDefault="00476621" w:rsidP="006831BE">
            <w:pPr>
              <w:keepNext/>
              <w:keepLines/>
              <w:widowControl/>
              <w:numPr>
                <w:ilvl w:val="12"/>
                <w:numId w:val="0"/>
              </w:numPr>
              <w:jc w:val="center"/>
            </w:pPr>
            <w:r w:rsidRPr="00B53071">
              <w:t>$1,838.80</w:t>
            </w:r>
          </w:p>
        </w:tc>
        <w:tc>
          <w:tcPr>
            <w:tcW w:w="1627" w:type="dxa"/>
            <w:tcBorders>
              <w:left w:val="single" w:sz="6" w:space="0" w:color="auto"/>
              <w:right w:val="nil"/>
            </w:tcBorders>
          </w:tcPr>
          <w:p w:rsidR="00CC4C51" w:rsidRPr="00B53071" w:rsidRDefault="00BD4809" w:rsidP="006831BE">
            <w:pPr>
              <w:keepNext/>
              <w:keepLines/>
              <w:widowControl/>
              <w:numPr>
                <w:ilvl w:val="12"/>
                <w:numId w:val="0"/>
              </w:numPr>
              <w:jc w:val="center"/>
            </w:pPr>
            <w:r>
              <w:t>0</w:t>
            </w:r>
          </w:p>
        </w:tc>
        <w:tc>
          <w:tcPr>
            <w:tcW w:w="1354" w:type="dxa"/>
            <w:tcBorders>
              <w:left w:val="single" w:sz="6" w:space="0" w:color="auto"/>
              <w:right w:val="double" w:sz="6" w:space="0" w:color="auto"/>
            </w:tcBorders>
          </w:tcPr>
          <w:p w:rsidR="00CC4C51" w:rsidRPr="00B53071" w:rsidRDefault="008A6C6F" w:rsidP="00A23159">
            <w:pPr>
              <w:keepNext/>
              <w:keepLines/>
              <w:widowControl/>
              <w:numPr>
                <w:ilvl w:val="12"/>
                <w:numId w:val="0"/>
              </w:numPr>
              <w:jc w:val="center"/>
            </w:pPr>
            <w:r w:rsidRPr="00B53071">
              <w:t>$</w:t>
            </w:r>
            <w:r w:rsidR="00BD4809">
              <w:t>0</w:t>
            </w:r>
          </w:p>
        </w:tc>
      </w:tr>
      <w:tr w:rsidR="00CC4C51" w:rsidTr="008D10C9">
        <w:trPr>
          <w:cantSplit/>
          <w:jc w:val="center"/>
        </w:trPr>
        <w:tc>
          <w:tcPr>
            <w:tcW w:w="3240" w:type="dxa"/>
            <w:tcBorders>
              <w:left w:val="double" w:sz="6" w:space="0" w:color="auto"/>
              <w:right w:val="single" w:sz="6" w:space="0" w:color="auto"/>
            </w:tcBorders>
            <w:vAlign w:val="bottom"/>
          </w:tcPr>
          <w:p w:rsidR="00CC4C51" w:rsidRPr="00B53071" w:rsidRDefault="00CC4C51" w:rsidP="006831BE">
            <w:pPr>
              <w:keepNext/>
              <w:keepLines/>
              <w:widowControl/>
              <w:numPr>
                <w:ilvl w:val="12"/>
                <w:numId w:val="0"/>
              </w:numPr>
              <w:ind w:left="378"/>
            </w:pPr>
            <w:r>
              <w:t>Technical</w:t>
            </w:r>
            <w:r w:rsidR="00B63804">
              <w:t>.</w:t>
            </w:r>
          </w:p>
        </w:tc>
        <w:tc>
          <w:tcPr>
            <w:tcW w:w="1714" w:type="dxa"/>
            <w:tcBorders>
              <w:left w:val="single" w:sz="6" w:space="0" w:color="auto"/>
              <w:right w:val="single" w:sz="6" w:space="0" w:color="auto"/>
            </w:tcBorders>
          </w:tcPr>
          <w:p w:rsidR="00CC4C51" w:rsidRPr="00B53071" w:rsidRDefault="0091751D" w:rsidP="006831BE">
            <w:pPr>
              <w:keepNext/>
              <w:keepLines/>
              <w:widowControl/>
              <w:numPr>
                <w:ilvl w:val="12"/>
                <w:numId w:val="0"/>
              </w:numPr>
              <w:jc w:val="center"/>
            </w:pPr>
            <w:r>
              <w:t>7</w:t>
            </w:r>
          </w:p>
        </w:tc>
        <w:tc>
          <w:tcPr>
            <w:tcW w:w="1440" w:type="dxa"/>
            <w:tcBorders>
              <w:left w:val="single" w:sz="6" w:space="0" w:color="auto"/>
              <w:right w:val="nil"/>
            </w:tcBorders>
          </w:tcPr>
          <w:p w:rsidR="00CC4C51" w:rsidRPr="00B53071" w:rsidRDefault="00476621" w:rsidP="006831BE">
            <w:pPr>
              <w:keepNext/>
              <w:keepLines/>
              <w:widowControl/>
              <w:numPr>
                <w:ilvl w:val="12"/>
                <w:numId w:val="0"/>
              </w:numPr>
              <w:jc w:val="center"/>
            </w:pPr>
            <w:r w:rsidRPr="00B53071">
              <w:t>$446.18</w:t>
            </w:r>
          </w:p>
        </w:tc>
        <w:tc>
          <w:tcPr>
            <w:tcW w:w="1627" w:type="dxa"/>
            <w:tcBorders>
              <w:left w:val="single" w:sz="6" w:space="0" w:color="auto"/>
              <w:right w:val="nil"/>
            </w:tcBorders>
          </w:tcPr>
          <w:p w:rsidR="00CC4C51" w:rsidRPr="00B53071" w:rsidRDefault="00BD4809" w:rsidP="00A23159">
            <w:pPr>
              <w:keepNext/>
              <w:keepLines/>
              <w:widowControl/>
              <w:numPr>
                <w:ilvl w:val="12"/>
                <w:numId w:val="0"/>
              </w:numPr>
              <w:jc w:val="center"/>
            </w:pPr>
            <w:r>
              <w:t>0</w:t>
            </w:r>
          </w:p>
        </w:tc>
        <w:tc>
          <w:tcPr>
            <w:tcW w:w="1354" w:type="dxa"/>
            <w:tcBorders>
              <w:left w:val="single" w:sz="6" w:space="0" w:color="auto"/>
              <w:right w:val="double" w:sz="6" w:space="0" w:color="auto"/>
            </w:tcBorders>
          </w:tcPr>
          <w:p w:rsidR="00CC4C51" w:rsidRPr="00B53071" w:rsidRDefault="008A6C6F" w:rsidP="00590400">
            <w:pPr>
              <w:keepNext/>
              <w:keepLines/>
              <w:widowControl/>
              <w:numPr>
                <w:ilvl w:val="12"/>
                <w:numId w:val="0"/>
              </w:numPr>
              <w:jc w:val="center"/>
            </w:pPr>
            <w:r w:rsidRPr="00B53071">
              <w:t>$</w:t>
            </w:r>
            <w:r w:rsidR="00BD4809">
              <w:t>0</w:t>
            </w:r>
          </w:p>
        </w:tc>
      </w:tr>
      <w:tr w:rsidR="00CC4C51" w:rsidTr="008D10C9">
        <w:trPr>
          <w:cantSplit/>
          <w:jc w:val="center"/>
        </w:trPr>
        <w:tc>
          <w:tcPr>
            <w:tcW w:w="3240" w:type="dxa"/>
            <w:tcBorders>
              <w:left w:val="double" w:sz="6" w:space="0" w:color="auto"/>
              <w:right w:val="single" w:sz="6" w:space="0" w:color="auto"/>
            </w:tcBorders>
            <w:vAlign w:val="bottom"/>
          </w:tcPr>
          <w:p w:rsidR="00CC4C51" w:rsidRPr="00B53071" w:rsidRDefault="00CC4C51" w:rsidP="006831BE">
            <w:pPr>
              <w:keepNext/>
              <w:keepLines/>
              <w:widowControl/>
              <w:numPr>
                <w:ilvl w:val="12"/>
                <w:numId w:val="0"/>
              </w:numPr>
            </w:pPr>
            <w:r w:rsidRPr="00B53071">
              <w:t xml:space="preserve">Prepare opt-in permit </w:t>
            </w:r>
            <w:proofErr w:type="spellStart"/>
            <w:r w:rsidRPr="00B53071">
              <w:t>application</w:t>
            </w:r>
            <w:r>
              <w:t>.</w:t>
            </w:r>
            <w:r w:rsidRPr="00B53071">
              <w:rPr>
                <w:vertAlign w:val="superscript"/>
              </w:rPr>
              <w:t>b</w:t>
            </w:r>
            <w:proofErr w:type="spellEnd"/>
          </w:p>
        </w:tc>
        <w:tc>
          <w:tcPr>
            <w:tcW w:w="1714" w:type="dxa"/>
            <w:tcBorders>
              <w:left w:val="single" w:sz="6" w:space="0" w:color="auto"/>
              <w:right w:val="single" w:sz="6" w:space="0" w:color="auto"/>
            </w:tcBorders>
          </w:tcPr>
          <w:p w:rsidR="00CC4C51" w:rsidRPr="00B53071" w:rsidRDefault="00CC4C51" w:rsidP="006831BE">
            <w:pPr>
              <w:keepNext/>
              <w:keepLines/>
              <w:widowControl/>
              <w:numPr>
                <w:ilvl w:val="12"/>
                <w:numId w:val="0"/>
              </w:numPr>
              <w:jc w:val="center"/>
            </w:pPr>
          </w:p>
        </w:tc>
        <w:tc>
          <w:tcPr>
            <w:tcW w:w="1440" w:type="dxa"/>
            <w:tcBorders>
              <w:left w:val="single" w:sz="6" w:space="0" w:color="auto"/>
              <w:right w:val="nil"/>
            </w:tcBorders>
          </w:tcPr>
          <w:p w:rsidR="00CC4C51" w:rsidRPr="00B53071" w:rsidRDefault="00CC4C51" w:rsidP="006831BE">
            <w:pPr>
              <w:keepNext/>
              <w:keepLines/>
              <w:widowControl/>
              <w:numPr>
                <w:ilvl w:val="12"/>
                <w:numId w:val="0"/>
              </w:numPr>
              <w:jc w:val="center"/>
            </w:pPr>
          </w:p>
        </w:tc>
        <w:tc>
          <w:tcPr>
            <w:tcW w:w="1627" w:type="dxa"/>
            <w:tcBorders>
              <w:left w:val="single" w:sz="6" w:space="0" w:color="auto"/>
              <w:right w:val="nil"/>
            </w:tcBorders>
          </w:tcPr>
          <w:p w:rsidR="00CC4C51" w:rsidRPr="00B53071" w:rsidRDefault="00CC4C51" w:rsidP="006831BE">
            <w:pPr>
              <w:keepNext/>
              <w:keepLines/>
              <w:widowControl/>
              <w:numPr>
                <w:ilvl w:val="12"/>
                <w:numId w:val="0"/>
              </w:numPr>
              <w:jc w:val="center"/>
            </w:pPr>
          </w:p>
        </w:tc>
        <w:tc>
          <w:tcPr>
            <w:tcW w:w="1354" w:type="dxa"/>
            <w:tcBorders>
              <w:left w:val="single" w:sz="6" w:space="0" w:color="auto"/>
              <w:right w:val="double" w:sz="6" w:space="0" w:color="auto"/>
            </w:tcBorders>
          </w:tcPr>
          <w:p w:rsidR="00CC4C51" w:rsidRPr="00B53071" w:rsidRDefault="00CC4C51" w:rsidP="006831BE">
            <w:pPr>
              <w:keepNext/>
              <w:keepLines/>
              <w:widowControl/>
              <w:numPr>
                <w:ilvl w:val="12"/>
                <w:numId w:val="0"/>
              </w:numPr>
              <w:jc w:val="center"/>
            </w:pPr>
          </w:p>
        </w:tc>
      </w:tr>
      <w:tr w:rsidR="00CC4C51" w:rsidTr="008D10C9">
        <w:trPr>
          <w:cantSplit/>
          <w:jc w:val="center"/>
        </w:trPr>
        <w:tc>
          <w:tcPr>
            <w:tcW w:w="3240" w:type="dxa"/>
            <w:tcBorders>
              <w:left w:val="double" w:sz="6" w:space="0" w:color="auto"/>
              <w:right w:val="single" w:sz="6" w:space="0" w:color="auto"/>
            </w:tcBorders>
            <w:vAlign w:val="bottom"/>
          </w:tcPr>
          <w:p w:rsidR="00CC4C51" w:rsidRPr="00B53071" w:rsidRDefault="00CC4C51" w:rsidP="006831BE">
            <w:pPr>
              <w:keepNext/>
              <w:keepLines/>
              <w:widowControl/>
              <w:numPr>
                <w:ilvl w:val="12"/>
                <w:numId w:val="0"/>
              </w:numPr>
              <w:ind w:left="378"/>
            </w:pPr>
            <w:r>
              <w:t>Managerial</w:t>
            </w:r>
            <w:r w:rsidR="00B63804">
              <w:t>.</w:t>
            </w:r>
          </w:p>
        </w:tc>
        <w:tc>
          <w:tcPr>
            <w:tcW w:w="1714" w:type="dxa"/>
            <w:tcBorders>
              <w:left w:val="single" w:sz="6" w:space="0" w:color="auto"/>
              <w:right w:val="single" w:sz="6" w:space="0" w:color="auto"/>
            </w:tcBorders>
          </w:tcPr>
          <w:p w:rsidR="00CC4C51" w:rsidRPr="00B53071" w:rsidRDefault="00476621" w:rsidP="006831BE">
            <w:pPr>
              <w:keepNext/>
              <w:keepLines/>
              <w:widowControl/>
              <w:numPr>
                <w:ilvl w:val="12"/>
                <w:numId w:val="0"/>
              </w:numPr>
              <w:jc w:val="center"/>
            </w:pPr>
            <w:r>
              <w:t>20</w:t>
            </w:r>
          </w:p>
        </w:tc>
        <w:tc>
          <w:tcPr>
            <w:tcW w:w="1440" w:type="dxa"/>
            <w:tcBorders>
              <w:left w:val="single" w:sz="6" w:space="0" w:color="auto"/>
              <w:right w:val="nil"/>
            </w:tcBorders>
          </w:tcPr>
          <w:p w:rsidR="00CC4C51" w:rsidRPr="00B53071" w:rsidRDefault="00476621" w:rsidP="006831BE">
            <w:pPr>
              <w:keepNext/>
              <w:keepLines/>
              <w:widowControl/>
              <w:numPr>
                <w:ilvl w:val="12"/>
                <w:numId w:val="0"/>
              </w:numPr>
              <w:jc w:val="center"/>
            </w:pPr>
            <w:r w:rsidRPr="00B53071">
              <w:t>$1,838.80</w:t>
            </w:r>
          </w:p>
        </w:tc>
        <w:tc>
          <w:tcPr>
            <w:tcW w:w="1627" w:type="dxa"/>
            <w:tcBorders>
              <w:left w:val="single" w:sz="6" w:space="0" w:color="auto"/>
              <w:right w:val="nil"/>
            </w:tcBorders>
          </w:tcPr>
          <w:p w:rsidR="00CC4C51" w:rsidRPr="00B53071" w:rsidRDefault="00BD4809" w:rsidP="00A23159">
            <w:pPr>
              <w:keepNext/>
              <w:keepLines/>
              <w:widowControl/>
              <w:numPr>
                <w:ilvl w:val="12"/>
                <w:numId w:val="0"/>
              </w:numPr>
              <w:jc w:val="center"/>
            </w:pPr>
            <w:r>
              <w:t>0</w:t>
            </w:r>
          </w:p>
        </w:tc>
        <w:tc>
          <w:tcPr>
            <w:tcW w:w="1354" w:type="dxa"/>
            <w:tcBorders>
              <w:left w:val="single" w:sz="6" w:space="0" w:color="auto"/>
              <w:right w:val="double" w:sz="6" w:space="0" w:color="auto"/>
            </w:tcBorders>
          </w:tcPr>
          <w:p w:rsidR="00CC4C51" w:rsidRPr="00B53071" w:rsidRDefault="008A6C6F" w:rsidP="00590400">
            <w:pPr>
              <w:keepNext/>
              <w:keepLines/>
              <w:widowControl/>
              <w:numPr>
                <w:ilvl w:val="12"/>
                <w:numId w:val="0"/>
              </w:numPr>
              <w:jc w:val="center"/>
            </w:pPr>
            <w:r w:rsidRPr="00B53071">
              <w:t>$</w:t>
            </w:r>
            <w:r w:rsidR="00BD4809">
              <w:t>0</w:t>
            </w:r>
          </w:p>
        </w:tc>
      </w:tr>
      <w:tr w:rsidR="00CC4C51" w:rsidTr="008D10C9">
        <w:trPr>
          <w:cantSplit/>
          <w:jc w:val="center"/>
        </w:trPr>
        <w:tc>
          <w:tcPr>
            <w:tcW w:w="3240" w:type="dxa"/>
            <w:tcBorders>
              <w:left w:val="double" w:sz="6" w:space="0" w:color="auto"/>
              <w:right w:val="single" w:sz="6" w:space="0" w:color="auto"/>
            </w:tcBorders>
            <w:vAlign w:val="bottom"/>
          </w:tcPr>
          <w:p w:rsidR="00CC4C51" w:rsidRPr="00B53071" w:rsidRDefault="00CC4C51" w:rsidP="006831BE">
            <w:pPr>
              <w:keepNext/>
              <w:keepLines/>
              <w:widowControl/>
              <w:numPr>
                <w:ilvl w:val="12"/>
                <w:numId w:val="0"/>
              </w:numPr>
              <w:ind w:left="378"/>
            </w:pPr>
            <w:r>
              <w:t>Technical</w:t>
            </w:r>
            <w:r w:rsidR="00B63804">
              <w:t>.</w:t>
            </w:r>
          </w:p>
        </w:tc>
        <w:tc>
          <w:tcPr>
            <w:tcW w:w="1714" w:type="dxa"/>
            <w:tcBorders>
              <w:left w:val="single" w:sz="6" w:space="0" w:color="auto"/>
              <w:right w:val="single" w:sz="6" w:space="0" w:color="auto"/>
            </w:tcBorders>
          </w:tcPr>
          <w:p w:rsidR="00CC4C51" w:rsidRPr="00B53071" w:rsidRDefault="00476621" w:rsidP="006831BE">
            <w:pPr>
              <w:keepNext/>
              <w:keepLines/>
              <w:widowControl/>
              <w:numPr>
                <w:ilvl w:val="12"/>
                <w:numId w:val="0"/>
              </w:numPr>
              <w:jc w:val="center"/>
            </w:pPr>
            <w:r>
              <w:t>85</w:t>
            </w:r>
          </w:p>
        </w:tc>
        <w:tc>
          <w:tcPr>
            <w:tcW w:w="1440" w:type="dxa"/>
            <w:tcBorders>
              <w:left w:val="single" w:sz="6" w:space="0" w:color="auto"/>
              <w:right w:val="nil"/>
            </w:tcBorders>
          </w:tcPr>
          <w:p w:rsidR="00CC4C51" w:rsidRPr="00B53071" w:rsidRDefault="00476621" w:rsidP="006831BE">
            <w:pPr>
              <w:keepNext/>
              <w:keepLines/>
              <w:widowControl/>
              <w:numPr>
                <w:ilvl w:val="12"/>
                <w:numId w:val="0"/>
              </w:numPr>
              <w:jc w:val="center"/>
            </w:pPr>
            <w:r w:rsidRPr="00B53071">
              <w:t>$5,417.90</w:t>
            </w:r>
          </w:p>
        </w:tc>
        <w:tc>
          <w:tcPr>
            <w:tcW w:w="1627" w:type="dxa"/>
            <w:tcBorders>
              <w:left w:val="single" w:sz="6" w:space="0" w:color="auto"/>
              <w:right w:val="nil"/>
            </w:tcBorders>
          </w:tcPr>
          <w:p w:rsidR="00CC4C51" w:rsidRPr="00B53071" w:rsidRDefault="00BD4809" w:rsidP="00A23159">
            <w:pPr>
              <w:keepNext/>
              <w:keepLines/>
              <w:widowControl/>
              <w:numPr>
                <w:ilvl w:val="12"/>
                <w:numId w:val="0"/>
              </w:numPr>
              <w:jc w:val="center"/>
            </w:pPr>
            <w:r>
              <w:t>0</w:t>
            </w:r>
          </w:p>
        </w:tc>
        <w:tc>
          <w:tcPr>
            <w:tcW w:w="1354" w:type="dxa"/>
            <w:tcBorders>
              <w:left w:val="single" w:sz="6" w:space="0" w:color="auto"/>
              <w:right w:val="double" w:sz="6" w:space="0" w:color="auto"/>
            </w:tcBorders>
          </w:tcPr>
          <w:p w:rsidR="00CC4C51" w:rsidRPr="00B53071" w:rsidRDefault="008A6C6F" w:rsidP="00590400">
            <w:pPr>
              <w:keepNext/>
              <w:keepLines/>
              <w:widowControl/>
              <w:numPr>
                <w:ilvl w:val="12"/>
                <w:numId w:val="0"/>
              </w:numPr>
              <w:jc w:val="center"/>
            </w:pPr>
            <w:r w:rsidRPr="00B53071">
              <w:t>$</w:t>
            </w:r>
            <w:r w:rsidR="00BD4809">
              <w:t>0</w:t>
            </w:r>
          </w:p>
        </w:tc>
      </w:tr>
      <w:tr w:rsidR="00CC4C51" w:rsidTr="008D10C9">
        <w:trPr>
          <w:cantSplit/>
          <w:jc w:val="center"/>
        </w:trPr>
        <w:tc>
          <w:tcPr>
            <w:tcW w:w="3240" w:type="dxa"/>
            <w:tcBorders>
              <w:left w:val="double" w:sz="6" w:space="0" w:color="auto"/>
              <w:right w:val="single" w:sz="6" w:space="0" w:color="auto"/>
            </w:tcBorders>
            <w:vAlign w:val="bottom"/>
          </w:tcPr>
          <w:p w:rsidR="00CC4C51" w:rsidRPr="00B53071" w:rsidRDefault="00CC4C51" w:rsidP="006831BE">
            <w:pPr>
              <w:keepNext/>
              <w:keepLines/>
              <w:widowControl/>
              <w:numPr>
                <w:ilvl w:val="12"/>
                <w:numId w:val="0"/>
              </w:numPr>
            </w:pPr>
            <w:r w:rsidRPr="00B53071">
              <w:t>Prepare thermal energy compliance plan</w:t>
            </w:r>
            <w:r>
              <w:t>.</w:t>
            </w:r>
          </w:p>
        </w:tc>
        <w:tc>
          <w:tcPr>
            <w:tcW w:w="1714" w:type="dxa"/>
            <w:tcBorders>
              <w:left w:val="single" w:sz="6" w:space="0" w:color="auto"/>
              <w:right w:val="single" w:sz="6" w:space="0" w:color="auto"/>
            </w:tcBorders>
          </w:tcPr>
          <w:p w:rsidR="00CC4C51" w:rsidRPr="00B53071" w:rsidRDefault="00CC4C51" w:rsidP="006831BE">
            <w:pPr>
              <w:keepNext/>
              <w:keepLines/>
              <w:widowControl/>
              <w:numPr>
                <w:ilvl w:val="12"/>
                <w:numId w:val="0"/>
              </w:numPr>
              <w:jc w:val="center"/>
            </w:pPr>
          </w:p>
        </w:tc>
        <w:tc>
          <w:tcPr>
            <w:tcW w:w="1440" w:type="dxa"/>
            <w:tcBorders>
              <w:left w:val="single" w:sz="6" w:space="0" w:color="auto"/>
              <w:right w:val="nil"/>
            </w:tcBorders>
          </w:tcPr>
          <w:p w:rsidR="00CC4C51" w:rsidRPr="00B53071" w:rsidRDefault="00CC4C51" w:rsidP="006831BE">
            <w:pPr>
              <w:keepNext/>
              <w:keepLines/>
              <w:widowControl/>
              <w:numPr>
                <w:ilvl w:val="12"/>
                <w:numId w:val="0"/>
              </w:numPr>
              <w:jc w:val="center"/>
            </w:pPr>
          </w:p>
        </w:tc>
        <w:tc>
          <w:tcPr>
            <w:tcW w:w="1627" w:type="dxa"/>
            <w:tcBorders>
              <w:left w:val="single" w:sz="6" w:space="0" w:color="auto"/>
              <w:right w:val="nil"/>
            </w:tcBorders>
          </w:tcPr>
          <w:p w:rsidR="00CC4C51" w:rsidRPr="00B53071" w:rsidRDefault="00CC4C51" w:rsidP="006831BE">
            <w:pPr>
              <w:keepNext/>
              <w:keepLines/>
              <w:widowControl/>
              <w:numPr>
                <w:ilvl w:val="12"/>
                <w:numId w:val="0"/>
              </w:numPr>
              <w:jc w:val="center"/>
            </w:pPr>
          </w:p>
        </w:tc>
        <w:tc>
          <w:tcPr>
            <w:tcW w:w="1354" w:type="dxa"/>
            <w:tcBorders>
              <w:left w:val="single" w:sz="6" w:space="0" w:color="auto"/>
              <w:right w:val="double" w:sz="6" w:space="0" w:color="auto"/>
            </w:tcBorders>
          </w:tcPr>
          <w:p w:rsidR="00CC4C51" w:rsidRPr="00B53071" w:rsidRDefault="00CC4C51" w:rsidP="006831BE">
            <w:pPr>
              <w:keepNext/>
              <w:keepLines/>
              <w:widowControl/>
              <w:numPr>
                <w:ilvl w:val="12"/>
                <w:numId w:val="0"/>
              </w:numPr>
              <w:jc w:val="center"/>
            </w:pPr>
          </w:p>
        </w:tc>
      </w:tr>
      <w:tr w:rsidR="00CC4C51" w:rsidTr="008D10C9">
        <w:trPr>
          <w:cantSplit/>
          <w:jc w:val="center"/>
        </w:trPr>
        <w:tc>
          <w:tcPr>
            <w:tcW w:w="3240" w:type="dxa"/>
            <w:tcBorders>
              <w:left w:val="double" w:sz="6" w:space="0" w:color="auto"/>
              <w:right w:val="single" w:sz="6" w:space="0" w:color="auto"/>
            </w:tcBorders>
            <w:vAlign w:val="bottom"/>
          </w:tcPr>
          <w:p w:rsidR="00CC4C51" w:rsidRPr="00B53071" w:rsidRDefault="00CC4C51" w:rsidP="006831BE">
            <w:pPr>
              <w:keepNext/>
              <w:keepLines/>
              <w:widowControl/>
              <w:numPr>
                <w:ilvl w:val="12"/>
                <w:numId w:val="0"/>
              </w:numPr>
              <w:ind w:left="378"/>
            </w:pPr>
            <w:r>
              <w:t>Managerial</w:t>
            </w:r>
            <w:r w:rsidR="00B63804">
              <w:t>.</w:t>
            </w:r>
          </w:p>
        </w:tc>
        <w:tc>
          <w:tcPr>
            <w:tcW w:w="1714" w:type="dxa"/>
            <w:tcBorders>
              <w:left w:val="single" w:sz="6" w:space="0" w:color="auto"/>
              <w:right w:val="single" w:sz="6" w:space="0" w:color="auto"/>
            </w:tcBorders>
          </w:tcPr>
          <w:p w:rsidR="00CC4C51" w:rsidRPr="00B53071" w:rsidRDefault="00476621" w:rsidP="006831BE">
            <w:pPr>
              <w:keepNext/>
              <w:keepLines/>
              <w:widowControl/>
              <w:numPr>
                <w:ilvl w:val="12"/>
                <w:numId w:val="0"/>
              </w:numPr>
              <w:jc w:val="center"/>
            </w:pPr>
            <w:r>
              <w:t>15</w:t>
            </w:r>
          </w:p>
        </w:tc>
        <w:tc>
          <w:tcPr>
            <w:tcW w:w="1440" w:type="dxa"/>
            <w:tcBorders>
              <w:left w:val="single" w:sz="6" w:space="0" w:color="auto"/>
              <w:right w:val="nil"/>
            </w:tcBorders>
          </w:tcPr>
          <w:p w:rsidR="00CC4C51" w:rsidRPr="00B53071" w:rsidRDefault="00476621" w:rsidP="006831BE">
            <w:pPr>
              <w:keepNext/>
              <w:keepLines/>
              <w:widowControl/>
              <w:numPr>
                <w:ilvl w:val="12"/>
                <w:numId w:val="0"/>
              </w:numPr>
              <w:jc w:val="center"/>
            </w:pPr>
            <w:r w:rsidRPr="00B53071">
              <w:t>$1,379.10</w:t>
            </w:r>
          </w:p>
        </w:tc>
        <w:tc>
          <w:tcPr>
            <w:tcW w:w="1627" w:type="dxa"/>
            <w:tcBorders>
              <w:left w:val="single" w:sz="6" w:space="0" w:color="auto"/>
              <w:right w:val="nil"/>
            </w:tcBorders>
          </w:tcPr>
          <w:p w:rsidR="00CC4C51" w:rsidRPr="00B53071" w:rsidRDefault="00BD4809" w:rsidP="00A23159">
            <w:pPr>
              <w:keepNext/>
              <w:keepLines/>
              <w:widowControl/>
              <w:numPr>
                <w:ilvl w:val="12"/>
                <w:numId w:val="0"/>
              </w:numPr>
              <w:jc w:val="center"/>
            </w:pPr>
            <w:r>
              <w:t>0</w:t>
            </w:r>
          </w:p>
        </w:tc>
        <w:tc>
          <w:tcPr>
            <w:tcW w:w="1354" w:type="dxa"/>
            <w:tcBorders>
              <w:left w:val="single" w:sz="6" w:space="0" w:color="auto"/>
              <w:right w:val="double" w:sz="6" w:space="0" w:color="auto"/>
            </w:tcBorders>
          </w:tcPr>
          <w:p w:rsidR="00CC4C51" w:rsidRPr="00B53071" w:rsidRDefault="008A6C6F" w:rsidP="00590400">
            <w:pPr>
              <w:keepNext/>
              <w:keepLines/>
              <w:widowControl/>
              <w:numPr>
                <w:ilvl w:val="12"/>
                <w:numId w:val="0"/>
              </w:numPr>
              <w:jc w:val="center"/>
            </w:pPr>
            <w:r w:rsidRPr="00B53071">
              <w:t>$</w:t>
            </w:r>
            <w:r w:rsidR="00BD4809">
              <w:t>0</w:t>
            </w:r>
          </w:p>
        </w:tc>
      </w:tr>
      <w:tr w:rsidR="00CC4C51" w:rsidTr="008D10C9">
        <w:trPr>
          <w:cantSplit/>
          <w:jc w:val="center"/>
        </w:trPr>
        <w:tc>
          <w:tcPr>
            <w:tcW w:w="3240" w:type="dxa"/>
            <w:tcBorders>
              <w:left w:val="double" w:sz="6" w:space="0" w:color="auto"/>
              <w:right w:val="single" w:sz="6" w:space="0" w:color="auto"/>
            </w:tcBorders>
            <w:vAlign w:val="bottom"/>
          </w:tcPr>
          <w:p w:rsidR="00CC4C51" w:rsidRPr="00B53071" w:rsidRDefault="00CC4C51" w:rsidP="00CC4C51">
            <w:pPr>
              <w:widowControl/>
              <w:numPr>
                <w:ilvl w:val="12"/>
                <w:numId w:val="0"/>
              </w:numPr>
              <w:ind w:left="378"/>
            </w:pPr>
            <w:r>
              <w:t>Technical</w:t>
            </w:r>
            <w:r w:rsidR="00B63804">
              <w:t>.</w:t>
            </w:r>
          </w:p>
        </w:tc>
        <w:tc>
          <w:tcPr>
            <w:tcW w:w="1714" w:type="dxa"/>
            <w:tcBorders>
              <w:left w:val="single" w:sz="6" w:space="0" w:color="auto"/>
              <w:right w:val="single" w:sz="6" w:space="0" w:color="auto"/>
            </w:tcBorders>
          </w:tcPr>
          <w:p w:rsidR="00CC4C51" w:rsidRPr="00B53071" w:rsidRDefault="00476621" w:rsidP="00476621">
            <w:pPr>
              <w:widowControl/>
              <w:numPr>
                <w:ilvl w:val="12"/>
                <w:numId w:val="0"/>
              </w:numPr>
              <w:jc w:val="center"/>
            </w:pPr>
            <w:r>
              <w:t>55</w:t>
            </w:r>
          </w:p>
        </w:tc>
        <w:tc>
          <w:tcPr>
            <w:tcW w:w="1440" w:type="dxa"/>
            <w:tcBorders>
              <w:left w:val="single" w:sz="6" w:space="0" w:color="auto"/>
              <w:right w:val="nil"/>
            </w:tcBorders>
          </w:tcPr>
          <w:p w:rsidR="00CC4C51" w:rsidRPr="00B53071" w:rsidRDefault="00476621" w:rsidP="00792A9F">
            <w:pPr>
              <w:widowControl/>
              <w:numPr>
                <w:ilvl w:val="12"/>
                <w:numId w:val="0"/>
              </w:numPr>
              <w:jc w:val="center"/>
            </w:pPr>
            <w:r w:rsidRPr="00B53071">
              <w:t>$3,505.70</w:t>
            </w:r>
          </w:p>
        </w:tc>
        <w:tc>
          <w:tcPr>
            <w:tcW w:w="1627" w:type="dxa"/>
            <w:tcBorders>
              <w:left w:val="single" w:sz="6" w:space="0" w:color="auto"/>
              <w:right w:val="nil"/>
            </w:tcBorders>
          </w:tcPr>
          <w:p w:rsidR="00CC4C51" w:rsidRPr="00B53071" w:rsidRDefault="00BD4809" w:rsidP="00A23159">
            <w:pPr>
              <w:widowControl/>
              <w:numPr>
                <w:ilvl w:val="12"/>
                <w:numId w:val="0"/>
              </w:numPr>
              <w:jc w:val="center"/>
            </w:pPr>
            <w:r>
              <w:t>0</w:t>
            </w:r>
          </w:p>
        </w:tc>
        <w:tc>
          <w:tcPr>
            <w:tcW w:w="1354" w:type="dxa"/>
            <w:tcBorders>
              <w:left w:val="single" w:sz="6" w:space="0" w:color="auto"/>
              <w:right w:val="double" w:sz="6" w:space="0" w:color="auto"/>
            </w:tcBorders>
          </w:tcPr>
          <w:p w:rsidR="00CC4C51" w:rsidRPr="00B53071" w:rsidRDefault="008A6C6F" w:rsidP="00590400">
            <w:pPr>
              <w:widowControl/>
              <w:numPr>
                <w:ilvl w:val="12"/>
                <w:numId w:val="0"/>
              </w:numPr>
              <w:jc w:val="center"/>
            </w:pPr>
            <w:r w:rsidRPr="00B53071">
              <w:t>$</w:t>
            </w:r>
            <w:r w:rsidR="00BD4809">
              <w:t>0</w:t>
            </w:r>
          </w:p>
        </w:tc>
      </w:tr>
      <w:tr w:rsidR="00CC4C51" w:rsidTr="008D10C9">
        <w:trPr>
          <w:cantSplit/>
          <w:jc w:val="center"/>
        </w:trPr>
        <w:tc>
          <w:tcPr>
            <w:tcW w:w="3240" w:type="dxa"/>
            <w:tcBorders>
              <w:left w:val="double" w:sz="6" w:space="0" w:color="auto"/>
              <w:right w:val="single" w:sz="6" w:space="0" w:color="auto"/>
            </w:tcBorders>
            <w:vAlign w:val="bottom"/>
          </w:tcPr>
          <w:p w:rsidR="00CC4C51" w:rsidRPr="00B53071" w:rsidRDefault="00CC4C51" w:rsidP="00AB4259">
            <w:pPr>
              <w:widowControl/>
              <w:numPr>
                <w:ilvl w:val="12"/>
                <w:numId w:val="0"/>
              </w:numPr>
            </w:pPr>
            <w:r w:rsidRPr="00B53071">
              <w:t xml:space="preserve">Complete withdrawal </w:t>
            </w:r>
            <w:proofErr w:type="spellStart"/>
            <w:r w:rsidRPr="00B53071">
              <w:t>notification</w:t>
            </w:r>
            <w:r>
              <w:t>.</w:t>
            </w:r>
            <w:r w:rsidRPr="00B53071">
              <w:rPr>
                <w:vertAlign w:val="superscript"/>
              </w:rPr>
              <w:t>d</w:t>
            </w:r>
            <w:proofErr w:type="spellEnd"/>
          </w:p>
        </w:tc>
        <w:tc>
          <w:tcPr>
            <w:tcW w:w="1714" w:type="dxa"/>
            <w:tcBorders>
              <w:left w:val="single" w:sz="6" w:space="0" w:color="auto"/>
              <w:right w:val="single" w:sz="6" w:space="0" w:color="auto"/>
            </w:tcBorders>
          </w:tcPr>
          <w:p w:rsidR="00CC4C51" w:rsidRPr="00B53071" w:rsidRDefault="00CC4C51" w:rsidP="00476621">
            <w:pPr>
              <w:widowControl/>
              <w:numPr>
                <w:ilvl w:val="12"/>
                <w:numId w:val="0"/>
              </w:numPr>
              <w:jc w:val="center"/>
            </w:pPr>
          </w:p>
        </w:tc>
        <w:tc>
          <w:tcPr>
            <w:tcW w:w="1440" w:type="dxa"/>
            <w:tcBorders>
              <w:left w:val="single" w:sz="6" w:space="0" w:color="auto"/>
              <w:right w:val="nil"/>
            </w:tcBorders>
          </w:tcPr>
          <w:p w:rsidR="00CC4C51" w:rsidRPr="00B53071" w:rsidRDefault="00CC4C51" w:rsidP="00792A9F">
            <w:pPr>
              <w:widowControl/>
              <w:numPr>
                <w:ilvl w:val="12"/>
                <w:numId w:val="0"/>
              </w:numPr>
              <w:jc w:val="center"/>
            </w:pPr>
          </w:p>
        </w:tc>
        <w:tc>
          <w:tcPr>
            <w:tcW w:w="1627" w:type="dxa"/>
            <w:tcBorders>
              <w:left w:val="single" w:sz="6" w:space="0" w:color="auto"/>
              <w:right w:val="nil"/>
            </w:tcBorders>
          </w:tcPr>
          <w:p w:rsidR="00CC4C51" w:rsidRPr="00B53071" w:rsidRDefault="00CC4C51" w:rsidP="00792A9F">
            <w:pPr>
              <w:widowControl/>
              <w:numPr>
                <w:ilvl w:val="12"/>
                <w:numId w:val="0"/>
              </w:numPr>
              <w:jc w:val="center"/>
            </w:pPr>
          </w:p>
        </w:tc>
        <w:tc>
          <w:tcPr>
            <w:tcW w:w="1354" w:type="dxa"/>
            <w:tcBorders>
              <w:left w:val="single" w:sz="6" w:space="0" w:color="auto"/>
              <w:right w:val="double" w:sz="6" w:space="0" w:color="auto"/>
            </w:tcBorders>
          </w:tcPr>
          <w:p w:rsidR="00CC4C51" w:rsidRPr="00B53071" w:rsidRDefault="00CC4C51" w:rsidP="00792A9F">
            <w:pPr>
              <w:widowControl/>
              <w:numPr>
                <w:ilvl w:val="12"/>
                <w:numId w:val="0"/>
              </w:numPr>
              <w:jc w:val="center"/>
            </w:pPr>
          </w:p>
        </w:tc>
      </w:tr>
      <w:tr w:rsidR="00CC4C51" w:rsidTr="008D10C9">
        <w:trPr>
          <w:cantSplit/>
          <w:jc w:val="center"/>
        </w:trPr>
        <w:tc>
          <w:tcPr>
            <w:tcW w:w="3240" w:type="dxa"/>
            <w:tcBorders>
              <w:left w:val="double" w:sz="6" w:space="0" w:color="auto"/>
              <w:right w:val="single" w:sz="6" w:space="0" w:color="auto"/>
            </w:tcBorders>
            <w:vAlign w:val="bottom"/>
          </w:tcPr>
          <w:p w:rsidR="00CC4C51" w:rsidRPr="00B53071" w:rsidRDefault="00CC4C51" w:rsidP="00CC4C51">
            <w:pPr>
              <w:widowControl/>
              <w:numPr>
                <w:ilvl w:val="12"/>
                <w:numId w:val="0"/>
              </w:numPr>
              <w:ind w:left="378"/>
            </w:pPr>
            <w:r>
              <w:t>Managerial</w:t>
            </w:r>
            <w:r w:rsidR="00B63804">
              <w:t>.</w:t>
            </w:r>
          </w:p>
        </w:tc>
        <w:tc>
          <w:tcPr>
            <w:tcW w:w="1714" w:type="dxa"/>
            <w:tcBorders>
              <w:left w:val="single" w:sz="6" w:space="0" w:color="auto"/>
              <w:right w:val="single" w:sz="6" w:space="0" w:color="auto"/>
            </w:tcBorders>
          </w:tcPr>
          <w:p w:rsidR="00CC4C51" w:rsidRPr="00B53071" w:rsidRDefault="00476621" w:rsidP="00476621">
            <w:pPr>
              <w:widowControl/>
              <w:numPr>
                <w:ilvl w:val="12"/>
                <w:numId w:val="0"/>
              </w:numPr>
              <w:jc w:val="center"/>
            </w:pPr>
            <w:r>
              <w:t>2</w:t>
            </w:r>
          </w:p>
        </w:tc>
        <w:tc>
          <w:tcPr>
            <w:tcW w:w="1440" w:type="dxa"/>
            <w:tcBorders>
              <w:left w:val="single" w:sz="6" w:space="0" w:color="auto"/>
              <w:right w:val="nil"/>
            </w:tcBorders>
          </w:tcPr>
          <w:p w:rsidR="00CC4C51" w:rsidRPr="00B53071" w:rsidRDefault="00476621" w:rsidP="00792A9F">
            <w:pPr>
              <w:widowControl/>
              <w:numPr>
                <w:ilvl w:val="12"/>
                <w:numId w:val="0"/>
              </w:numPr>
              <w:jc w:val="center"/>
            </w:pPr>
            <w:r w:rsidRPr="00B53071">
              <w:t>$183.88</w:t>
            </w:r>
          </w:p>
        </w:tc>
        <w:tc>
          <w:tcPr>
            <w:tcW w:w="1627" w:type="dxa"/>
            <w:tcBorders>
              <w:left w:val="single" w:sz="6" w:space="0" w:color="auto"/>
              <w:right w:val="nil"/>
            </w:tcBorders>
          </w:tcPr>
          <w:p w:rsidR="00CC4C51" w:rsidRPr="00B53071" w:rsidRDefault="00BD4809" w:rsidP="00792A9F">
            <w:pPr>
              <w:widowControl/>
              <w:numPr>
                <w:ilvl w:val="12"/>
                <w:numId w:val="0"/>
              </w:numPr>
              <w:jc w:val="center"/>
            </w:pPr>
            <w:r>
              <w:t>0</w:t>
            </w:r>
          </w:p>
        </w:tc>
        <w:tc>
          <w:tcPr>
            <w:tcW w:w="1354" w:type="dxa"/>
            <w:tcBorders>
              <w:left w:val="single" w:sz="6" w:space="0" w:color="auto"/>
              <w:right w:val="double" w:sz="6" w:space="0" w:color="auto"/>
            </w:tcBorders>
          </w:tcPr>
          <w:p w:rsidR="00CC4C51" w:rsidRPr="00B53071" w:rsidRDefault="008A6C6F" w:rsidP="00A23159">
            <w:pPr>
              <w:widowControl/>
              <w:numPr>
                <w:ilvl w:val="12"/>
                <w:numId w:val="0"/>
              </w:numPr>
              <w:jc w:val="center"/>
            </w:pPr>
            <w:r w:rsidRPr="00B53071">
              <w:t>$</w:t>
            </w:r>
            <w:r w:rsidR="00BD4809">
              <w:t>0</w:t>
            </w:r>
          </w:p>
        </w:tc>
      </w:tr>
      <w:tr w:rsidR="00CC4C51" w:rsidTr="008D10C9">
        <w:trPr>
          <w:cantSplit/>
          <w:jc w:val="center"/>
        </w:trPr>
        <w:tc>
          <w:tcPr>
            <w:tcW w:w="3240" w:type="dxa"/>
            <w:tcBorders>
              <w:left w:val="double" w:sz="6" w:space="0" w:color="auto"/>
              <w:bottom w:val="double" w:sz="6" w:space="0" w:color="auto"/>
              <w:right w:val="single" w:sz="6" w:space="0" w:color="auto"/>
            </w:tcBorders>
            <w:vAlign w:val="bottom"/>
          </w:tcPr>
          <w:p w:rsidR="00CC4C51" w:rsidRPr="00B53071" w:rsidRDefault="00CC4C51" w:rsidP="00CC4C51">
            <w:pPr>
              <w:widowControl/>
              <w:numPr>
                <w:ilvl w:val="12"/>
                <w:numId w:val="0"/>
              </w:numPr>
              <w:ind w:left="378"/>
            </w:pPr>
            <w:r>
              <w:t>Technical</w:t>
            </w:r>
            <w:r w:rsidR="00B63804">
              <w:t>.</w:t>
            </w:r>
          </w:p>
        </w:tc>
        <w:tc>
          <w:tcPr>
            <w:tcW w:w="1714" w:type="dxa"/>
            <w:tcBorders>
              <w:left w:val="single" w:sz="6" w:space="0" w:color="auto"/>
              <w:bottom w:val="double" w:sz="6" w:space="0" w:color="auto"/>
              <w:right w:val="single" w:sz="6" w:space="0" w:color="auto"/>
            </w:tcBorders>
          </w:tcPr>
          <w:p w:rsidR="00CC4C51" w:rsidRPr="00B53071" w:rsidRDefault="00476621" w:rsidP="00476621">
            <w:pPr>
              <w:widowControl/>
              <w:numPr>
                <w:ilvl w:val="12"/>
                <w:numId w:val="0"/>
              </w:numPr>
              <w:jc w:val="center"/>
            </w:pPr>
            <w:r>
              <w:t>3</w:t>
            </w:r>
          </w:p>
        </w:tc>
        <w:tc>
          <w:tcPr>
            <w:tcW w:w="1440" w:type="dxa"/>
            <w:tcBorders>
              <w:left w:val="single" w:sz="6" w:space="0" w:color="auto"/>
              <w:bottom w:val="double" w:sz="6" w:space="0" w:color="auto"/>
              <w:right w:val="nil"/>
            </w:tcBorders>
          </w:tcPr>
          <w:p w:rsidR="00CC4C51" w:rsidRPr="00B53071" w:rsidRDefault="00476621" w:rsidP="00792A9F">
            <w:pPr>
              <w:widowControl/>
              <w:numPr>
                <w:ilvl w:val="12"/>
                <w:numId w:val="0"/>
              </w:numPr>
              <w:jc w:val="center"/>
            </w:pPr>
            <w:r w:rsidRPr="00B53071">
              <w:t>$191.22</w:t>
            </w:r>
          </w:p>
        </w:tc>
        <w:tc>
          <w:tcPr>
            <w:tcW w:w="1627" w:type="dxa"/>
            <w:tcBorders>
              <w:left w:val="single" w:sz="6" w:space="0" w:color="auto"/>
              <w:bottom w:val="double" w:sz="6" w:space="0" w:color="auto"/>
              <w:right w:val="nil"/>
            </w:tcBorders>
          </w:tcPr>
          <w:p w:rsidR="00CC4C51" w:rsidRPr="00B53071" w:rsidRDefault="00BD4809" w:rsidP="00A23159">
            <w:pPr>
              <w:widowControl/>
              <w:numPr>
                <w:ilvl w:val="12"/>
                <w:numId w:val="0"/>
              </w:numPr>
              <w:jc w:val="center"/>
            </w:pPr>
            <w:r>
              <w:t>0</w:t>
            </w:r>
          </w:p>
        </w:tc>
        <w:tc>
          <w:tcPr>
            <w:tcW w:w="1354" w:type="dxa"/>
            <w:tcBorders>
              <w:left w:val="single" w:sz="6" w:space="0" w:color="auto"/>
              <w:bottom w:val="double" w:sz="6" w:space="0" w:color="auto"/>
              <w:right w:val="double" w:sz="6" w:space="0" w:color="auto"/>
            </w:tcBorders>
          </w:tcPr>
          <w:p w:rsidR="00CC4C51" w:rsidRPr="00B53071" w:rsidRDefault="008A6C6F" w:rsidP="00590400">
            <w:pPr>
              <w:widowControl/>
              <w:numPr>
                <w:ilvl w:val="12"/>
                <w:numId w:val="0"/>
              </w:numPr>
              <w:jc w:val="center"/>
            </w:pPr>
            <w:r w:rsidRPr="00B53071">
              <w:t>$</w:t>
            </w:r>
            <w:r w:rsidR="00BD4809">
              <w:t>0</w:t>
            </w:r>
          </w:p>
        </w:tc>
      </w:tr>
      <w:tr w:rsidR="009907D5" w:rsidRPr="00CC4C51" w:rsidTr="00D7028D">
        <w:trPr>
          <w:cantSplit/>
          <w:jc w:val="center"/>
        </w:trPr>
        <w:tc>
          <w:tcPr>
            <w:tcW w:w="1440" w:type="dxa"/>
            <w:gridSpan w:val="3"/>
            <w:tcBorders>
              <w:top w:val="double" w:sz="6" w:space="0" w:color="auto"/>
              <w:left w:val="double" w:sz="6" w:space="0" w:color="auto"/>
              <w:bottom w:val="double" w:sz="6" w:space="0" w:color="auto"/>
              <w:right w:val="nil"/>
            </w:tcBorders>
            <w:vAlign w:val="bottom"/>
          </w:tcPr>
          <w:p w:rsidR="009907D5" w:rsidRPr="00CC4C51" w:rsidRDefault="009907D5" w:rsidP="00AB4259">
            <w:pPr>
              <w:widowControl/>
              <w:numPr>
                <w:ilvl w:val="12"/>
                <w:numId w:val="0"/>
              </w:numPr>
              <w:rPr>
                <w:b/>
              </w:rPr>
            </w:pPr>
            <w:r w:rsidRPr="00CC4C51">
              <w:rPr>
                <w:b/>
              </w:rPr>
              <w:t>TOTAL</w:t>
            </w:r>
          </w:p>
        </w:tc>
        <w:tc>
          <w:tcPr>
            <w:tcW w:w="1627" w:type="dxa"/>
            <w:tcBorders>
              <w:top w:val="double" w:sz="6" w:space="0" w:color="auto"/>
              <w:left w:val="single" w:sz="6" w:space="0" w:color="auto"/>
              <w:bottom w:val="double" w:sz="6" w:space="0" w:color="auto"/>
              <w:right w:val="nil"/>
            </w:tcBorders>
            <w:vAlign w:val="bottom"/>
          </w:tcPr>
          <w:p w:rsidR="009907D5" w:rsidRPr="00CC4C51" w:rsidRDefault="00BD4809" w:rsidP="00A23159">
            <w:pPr>
              <w:widowControl/>
              <w:numPr>
                <w:ilvl w:val="12"/>
                <w:numId w:val="0"/>
              </w:numPr>
              <w:jc w:val="center"/>
              <w:rPr>
                <w:b/>
              </w:rPr>
            </w:pPr>
            <w:r>
              <w:rPr>
                <w:b/>
              </w:rPr>
              <w:t>0</w:t>
            </w:r>
          </w:p>
        </w:tc>
        <w:tc>
          <w:tcPr>
            <w:tcW w:w="1354" w:type="dxa"/>
            <w:tcBorders>
              <w:top w:val="double" w:sz="6" w:space="0" w:color="auto"/>
              <w:left w:val="single" w:sz="6" w:space="0" w:color="auto"/>
              <w:bottom w:val="double" w:sz="6" w:space="0" w:color="auto"/>
              <w:right w:val="double" w:sz="6" w:space="0" w:color="auto"/>
            </w:tcBorders>
          </w:tcPr>
          <w:p w:rsidR="009907D5" w:rsidRPr="00CC4C51" w:rsidRDefault="009907D5" w:rsidP="00A23159">
            <w:pPr>
              <w:widowControl/>
              <w:numPr>
                <w:ilvl w:val="12"/>
                <w:numId w:val="0"/>
              </w:numPr>
              <w:jc w:val="center"/>
              <w:rPr>
                <w:b/>
              </w:rPr>
            </w:pPr>
            <w:r w:rsidRPr="00CC4C51">
              <w:rPr>
                <w:b/>
              </w:rPr>
              <w:t>$</w:t>
            </w:r>
            <w:r w:rsidR="00BD4809">
              <w:rPr>
                <w:b/>
              </w:rPr>
              <w:t>0</w:t>
            </w:r>
          </w:p>
        </w:tc>
      </w:tr>
    </w:tbl>
    <w:p w:rsidR="00010350" w:rsidRPr="00010350" w:rsidRDefault="00010350" w:rsidP="00AB4259">
      <w:pPr>
        <w:widowControl/>
        <w:numPr>
          <w:ilvl w:val="12"/>
          <w:numId w:val="0"/>
        </w:numPr>
        <w:rPr>
          <w:sz w:val="24"/>
          <w:szCs w:val="22"/>
        </w:rPr>
      </w:pPr>
    </w:p>
    <w:p w:rsidR="009907D5" w:rsidRPr="00C91D67" w:rsidRDefault="009907D5" w:rsidP="004202A3">
      <w:pPr>
        <w:widowControl/>
        <w:numPr>
          <w:ilvl w:val="12"/>
          <w:numId w:val="0"/>
        </w:numPr>
        <w:ind w:left="1080" w:hanging="180"/>
        <w:rPr>
          <w:szCs w:val="22"/>
        </w:rPr>
      </w:pPr>
      <w:r w:rsidRPr="00C91D67">
        <w:rPr>
          <w:szCs w:val="22"/>
          <w:vertAlign w:val="superscript"/>
        </w:rPr>
        <w:lastRenderedPageBreak/>
        <w:t>a</w:t>
      </w:r>
      <w:r w:rsidR="00C91D67">
        <w:rPr>
          <w:szCs w:val="22"/>
        </w:rPr>
        <w:tab/>
      </w:r>
      <w:r w:rsidR="00416989" w:rsidRPr="00C91D67">
        <w:rPr>
          <w:szCs w:val="22"/>
        </w:rPr>
        <w:t>20</w:t>
      </w:r>
      <w:r w:rsidR="00416989">
        <w:rPr>
          <w:szCs w:val="22"/>
        </w:rPr>
        <w:t>12</w:t>
      </w:r>
      <w:r w:rsidR="00416989" w:rsidRPr="00C91D67">
        <w:rPr>
          <w:szCs w:val="22"/>
        </w:rPr>
        <w:t xml:space="preserve"> </w:t>
      </w:r>
      <w:r w:rsidRPr="00C91D67">
        <w:rPr>
          <w:szCs w:val="22"/>
        </w:rPr>
        <w:t>dollars.</w:t>
      </w:r>
    </w:p>
    <w:p w:rsidR="009907D5" w:rsidRPr="00C91D67" w:rsidRDefault="00C91D67" w:rsidP="004202A3">
      <w:pPr>
        <w:widowControl/>
        <w:numPr>
          <w:ilvl w:val="12"/>
          <w:numId w:val="0"/>
        </w:numPr>
        <w:ind w:left="1080" w:hanging="180"/>
        <w:rPr>
          <w:szCs w:val="22"/>
        </w:rPr>
      </w:pPr>
      <w:r>
        <w:rPr>
          <w:szCs w:val="22"/>
          <w:vertAlign w:val="superscript"/>
        </w:rPr>
        <w:t>b</w:t>
      </w:r>
      <w:r>
        <w:rPr>
          <w:szCs w:val="22"/>
        </w:rPr>
        <w:tab/>
        <w:t xml:space="preserve">Assumes </w:t>
      </w:r>
      <w:r w:rsidR="00BD4809">
        <w:rPr>
          <w:szCs w:val="22"/>
        </w:rPr>
        <w:t>zero</w:t>
      </w:r>
      <w:r w:rsidR="009907D5" w:rsidRPr="00C91D67">
        <w:rPr>
          <w:szCs w:val="22"/>
        </w:rPr>
        <w:t xml:space="preserve"> opt-in sources submit applications.</w:t>
      </w:r>
    </w:p>
    <w:p w:rsidR="009907D5" w:rsidRPr="00C91D67" w:rsidRDefault="009907D5" w:rsidP="004202A3">
      <w:pPr>
        <w:widowControl/>
        <w:numPr>
          <w:ilvl w:val="12"/>
          <w:numId w:val="0"/>
        </w:numPr>
        <w:ind w:left="1080" w:hanging="180"/>
        <w:rPr>
          <w:szCs w:val="22"/>
        </w:rPr>
      </w:pPr>
      <w:r w:rsidRPr="00C91D67">
        <w:rPr>
          <w:szCs w:val="22"/>
          <w:vertAlign w:val="superscript"/>
        </w:rPr>
        <w:t>c</w:t>
      </w:r>
      <w:r w:rsidR="00C91D67">
        <w:rPr>
          <w:szCs w:val="22"/>
        </w:rPr>
        <w:tab/>
      </w:r>
      <w:r w:rsidRPr="00C91D67">
        <w:rPr>
          <w:szCs w:val="22"/>
        </w:rPr>
        <w:t>Assumes no sources file a thermal energy compliance plan.</w:t>
      </w:r>
    </w:p>
    <w:p w:rsidR="009907D5" w:rsidRPr="00C91D67" w:rsidRDefault="009907D5" w:rsidP="004202A3">
      <w:pPr>
        <w:widowControl/>
        <w:numPr>
          <w:ilvl w:val="12"/>
          <w:numId w:val="0"/>
        </w:numPr>
        <w:ind w:left="1080" w:hanging="180"/>
        <w:rPr>
          <w:sz w:val="22"/>
          <w:szCs w:val="24"/>
        </w:rPr>
      </w:pPr>
      <w:r w:rsidRPr="00C91D67">
        <w:rPr>
          <w:szCs w:val="22"/>
          <w:vertAlign w:val="superscript"/>
        </w:rPr>
        <w:t>d</w:t>
      </w:r>
      <w:r w:rsidR="00C91D67">
        <w:rPr>
          <w:szCs w:val="22"/>
        </w:rPr>
        <w:tab/>
      </w:r>
      <w:r w:rsidRPr="00C91D67">
        <w:rPr>
          <w:szCs w:val="22"/>
        </w:rPr>
        <w:t>Assumes that sources that have made the investment to opt-in will not withdraw.</w:t>
      </w:r>
    </w:p>
    <w:p w:rsidR="009907D5" w:rsidRDefault="009907D5" w:rsidP="00AB4259">
      <w:pPr>
        <w:widowControl/>
        <w:numPr>
          <w:ilvl w:val="12"/>
          <w:numId w:val="0"/>
        </w:numPr>
        <w:jc w:val="right"/>
        <w:rPr>
          <w:sz w:val="24"/>
          <w:szCs w:val="24"/>
        </w:rPr>
      </w:pPr>
    </w:p>
    <w:p w:rsidR="00010350" w:rsidRDefault="00010350" w:rsidP="00AB4259">
      <w:pPr>
        <w:widowControl/>
        <w:numPr>
          <w:ilvl w:val="12"/>
          <w:numId w:val="0"/>
        </w:numPr>
        <w:jc w:val="right"/>
        <w:rPr>
          <w:sz w:val="24"/>
          <w:szCs w:val="24"/>
        </w:rPr>
      </w:pPr>
    </w:p>
    <w:p w:rsidR="00010350" w:rsidRPr="00010350" w:rsidRDefault="00010350" w:rsidP="00010350">
      <w:pPr>
        <w:keepNext/>
        <w:keepLines/>
        <w:widowControl/>
        <w:numPr>
          <w:ilvl w:val="12"/>
          <w:numId w:val="0"/>
        </w:numPr>
        <w:jc w:val="center"/>
        <w:rPr>
          <w:b/>
          <w:sz w:val="24"/>
          <w:szCs w:val="24"/>
        </w:rPr>
      </w:pPr>
      <w:r w:rsidRPr="00010350">
        <w:rPr>
          <w:b/>
          <w:sz w:val="24"/>
          <w:szCs w:val="24"/>
        </w:rPr>
        <w:t xml:space="preserve">EXHIBIT </w:t>
      </w:r>
      <w:r w:rsidR="00BD4809" w:rsidRPr="00010350">
        <w:rPr>
          <w:b/>
          <w:sz w:val="24"/>
          <w:szCs w:val="24"/>
        </w:rPr>
        <w:t>1</w:t>
      </w:r>
      <w:r w:rsidR="00BD4809">
        <w:rPr>
          <w:b/>
          <w:sz w:val="24"/>
          <w:szCs w:val="24"/>
        </w:rPr>
        <w:t>0</w:t>
      </w:r>
    </w:p>
    <w:p w:rsidR="005F3BFB" w:rsidRDefault="00010350" w:rsidP="00010350">
      <w:pPr>
        <w:keepNext/>
        <w:keepLines/>
        <w:widowControl/>
        <w:autoSpaceDE/>
        <w:autoSpaceDN/>
        <w:adjustRightInd/>
        <w:jc w:val="center"/>
        <w:rPr>
          <w:b/>
          <w:sz w:val="24"/>
          <w:szCs w:val="24"/>
        </w:rPr>
      </w:pPr>
      <w:r w:rsidRPr="00010350">
        <w:rPr>
          <w:b/>
          <w:sz w:val="24"/>
          <w:szCs w:val="24"/>
        </w:rPr>
        <w:t xml:space="preserve">ANNUAL RESPONDENT BURDEN/COST ESTIMATES FOR </w:t>
      </w:r>
    </w:p>
    <w:p w:rsidR="00010350" w:rsidRPr="00010350" w:rsidRDefault="00010350" w:rsidP="00010350">
      <w:pPr>
        <w:keepNext/>
        <w:keepLines/>
        <w:widowControl/>
        <w:autoSpaceDE/>
        <w:autoSpaceDN/>
        <w:adjustRightInd/>
        <w:jc w:val="center"/>
        <w:rPr>
          <w:b/>
          <w:sz w:val="24"/>
          <w:szCs w:val="24"/>
        </w:rPr>
      </w:pPr>
      <w:r w:rsidRPr="00010350">
        <w:rPr>
          <w:b/>
          <w:sz w:val="24"/>
          <w:szCs w:val="24"/>
        </w:rPr>
        <w:t>OPT-IN ANNUAL COMPLIANCE CERTIFICATION</w:t>
      </w:r>
    </w:p>
    <w:p w:rsidR="00010350" w:rsidRDefault="00010350" w:rsidP="00010350">
      <w:pPr>
        <w:keepNext/>
        <w:keepLines/>
        <w:widowControl/>
        <w:numPr>
          <w:ilvl w:val="12"/>
          <w:numId w:val="0"/>
        </w:numPr>
        <w:jc w:val="right"/>
        <w:rPr>
          <w:sz w:val="24"/>
          <w:szCs w:val="24"/>
        </w:rPr>
      </w:pPr>
    </w:p>
    <w:tbl>
      <w:tblPr>
        <w:tblW w:w="9360" w:type="dxa"/>
        <w:jc w:val="center"/>
        <w:tblLayout w:type="fixed"/>
        <w:tblCellMar>
          <w:top w:w="72" w:type="dxa"/>
          <w:left w:w="72" w:type="dxa"/>
          <w:bottom w:w="72" w:type="dxa"/>
          <w:right w:w="72" w:type="dxa"/>
        </w:tblCellMar>
        <w:tblLook w:val="0000"/>
      </w:tblPr>
      <w:tblGrid>
        <w:gridCol w:w="3239"/>
        <w:gridCol w:w="1713"/>
        <w:gridCol w:w="1439"/>
        <w:gridCol w:w="1626"/>
        <w:gridCol w:w="1343"/>
      </w:tblGrid>
      <w:tr w:rsidR="009907D5" w:rsidRPr="00B07325" w:rsidTr="004E4779">
        <w:trPr>
          <w:trHeight w:val="484"/>
          <w:jc w:val="center"/>
        </w:trPr>
        <w:tc>
          <w:tcPr>
            <w:tcW w:w="3240" w:type="dxa"/>
            <w:tcBorders>
              <w:top w:val="double" w:sz="6" w:space="0" w:color="auto"/>
              <w:left w:val="double" w:sz="6" w:space="0" w:color="auto"/>
              <w:bottom w:val="double" w:sz="6" w:space="0" w:color="auto"/>
              <w:right w:val="nil"/>
            </w:tcBorders>
            <w:shd w:val="pct10" w:color="auto" w:fill="auto"/>
            <w:vAlign w:val="bottom"/>
          </w:tcPr>
          <w:p w:rsidR="009907D5" w:rsidRPr="00B07325" w:rsidRDefault="009907D5" w:rsidP="00B07325">
            <w:pPr>
              <w:keepNext/>
              <w:keepLines/>
              <w:widowControl/>
              <w:autoSpaceDE/>
              <w:autoSpaceDN/>
              <w:adjustRightInd/>
              <w:jc w:val="center"/>
              <w:rPr>
                <w:b/>
                <w:sz w:val="22"/>
                <w:szCs w:val="22"/>
              </w:rPr>
            </w:pPr>
            <w:r w:rsidRPr="00B07325">
              <w:rPr>
                <w:b/>
                <w:sz w:val="22"/>
                <w:szCs w:val="22"/>
              </w:rPr>
              <w:t>Tasks</w:t>
            </w:r>
          </w:p>
        </w:tc>
        <w:tc>
          <w:tcPr>
            <w:tcW w:w="1714" w:type="dxa"/>
            <w:tcBorders>
              <w:top w:val="double" w:sz="6" w:space="0" w:color="auto"/>
              <w:left w:val="single" w:sz="8" w:space="0" w:color="auto"/>
              <w:bottom w:val="double" w:sz="6" w:space="0" w:color="auto"/>
              <w:right w:val="nil"/>
            </w:tcBorders>
            <w:shd w:val="pct10" w:color="auto" w:fill="auto"/>
            <w:vAlign w:val="bottom"/>
          </w:tcPr>
          <w:p w:rsidR="009907D5" w:rsidRPr="00B07325" w:rsidRDefault="004E4779" w:rsidP="00B07325">
            <w:pPr>
              <w:keepNext/>
              <w:keepLines/>
              <w:widowControl/>
              <w:autoSpaceDE/>
              <w:autoSpaceDN/>
              <w:adjustRightInd/>
              <w:jc w:val="center"/>
              <w:rPr>
                <w:b/>
                <w:sz w:val="22"/>
                <w:szCs w:val="22"/>
              </w:rPr>
            </w:pPr>
            <w:r>
              <w:rPr>
                <w:b/>
                <w:sz w:val="22"/>
                <w:szCs w:val="22"/>
              </w:rPr>
              <w:t>Burden Hours p</w:t>
            </w:r>
            <w:r w:rsidR="009907D5" w:rsidRPr="00B07325">
              <w:rPr>
                <w:b/>
                <w:sz w:val="22"/>
                <w:szCs w:val="22"/>
              </w:rPr>
              <w:t>er Occurrence</w:t>
            </w:r>
          </w:p>
        </w:tc>
        <w:tc>
          <w:tcPr>
            <w:tcW w:w="1440" w:type="dxa"/>
            <w:tcBorders>
              <w:top w:val="double" w:sz="6" w:space="0" w:color="auto"/>
              <w:left w:val="single" w:sz="8" w:space="0" w:color="auto"/>
              <w:bottom w:val="double" w:sz="6" w:space="0" w:color="auto"/>
              <w:right w:val="nil"/>
            </w:tcBorders>
            <w:shd w:val="pct10" w:color="auto" w:fill="auto"/>
            <w:vAlign w:val="bottom"/>
          </w:tcPr>
          <w:p w:rsidR="009907D5" w:rsidRPr="00B07325" w:rsidRDefault="004E4779" w:rsidP="00B07325">
            <w:pPr>
              <w:keepNext/>
              <w:keepLines/>
              <w:widowControl/>
              <w:autoSpaceDE/>
              <w:autoSpaceDN/>
              <w:adjustRightInd/>
              <w:jc w:val="center"/>
              <w:rPr>
                <w:b/>
                <w:sz w:val="22"/>
                <w:szCs w:val="22"/>
              </w:rPr>
            </w:pPr>
            <w:r>
              <w:rPr>
                <w:b/>
                <w:sz w:val="22"/>
                <w:szCs w:val="22"/>
              </w:rPr>
              <w:t>Cost p</w:t>
            </w:r>
            <w:r w:rsidR="009907D5" w:rsidRPr="00B07325">
              <w:rPr>
                <w:b/>
                <w:sz w:val="22"/>
                <w:szCs w:val="22"/>
              </w:rPr>
              <w:t xml:space="preserve">er </w:t>
            </w:r>
            <w:proofErr w:type="spellStart"/>
            <w:r w:rsidR="009907D5" w:rsidRPr="00B07325">
              <w:rPr>
                <w:b/>
                <w:sz w:val="22"/>
                <w:szCs w:val="22"/>
              </w:rPr>
              <w:t>Occurrence</w:t>
            </w:r>
            <w:r w:rsidR="009907D5" w:rsidRPr="00B07325">
              <w:rPr>
                <w:b/>
                <w:sz w:val="22"/>
                <w:szCs w:val="22"/>
                <w:vertAlign w:val="superscript"/>
              </w:rPr>
              <w:t>a</w:t>
            </w:r>
            <w:proofErr w:type="spellEnd"/>
          </w:p>
        </w:tc>
        <w:tc>
          <w:tcPr>
            <w:tcW w:w="1627" w:type="dxa"/>
            <w:tcBorders>
              <w:top w:val="double" w:sz="6" w:space="0" w:color="auto"/>
              <w:left w:val="single" w:sz="8" w:space="0" w:color="auto"/>
              <w:bottom w:val="double" w:sz="6" w:space="0" w:color="auto"/>
              <w:right w:val="nil"/>
            </w:tcBorders>
            <w:shd w:val="pct10" w:color="auto" w:fill="auto"/>
            <w:vAlign w:val="bottom"/>
          </w:tcPr>
          <w:p w:rsidR="009907D5" w:rsidRPr="00B07325" w:rsidRDefault="004E4779" w:rsidP="00B07325">
            <w:pPr>
              <w:keepNext/>
              <w:keepLines/>
              <w:widowControl/>
              <w:autoSpaceDE/>
              <w:autoSpaceDN/>
              <w:adjustRightInd/>
              <w:jc w:val="center"/>
              <w:rPr>
                <w:b/>
                <w:sz w:val="22"/>
                <w:szCs w:val="22"/>
              </w:rPr>
            </w:pPr>
            <w:r>
              <w:rPr>
                <w:b/>
                <w:sz w:val="22"/>
                <w:szCs w:val="22"/>
              </w:rPr>
              <w:t>Total Burden (h</w:t>
            </w:r>
            <w:r w:rsidR="009907D5" w:rsidRPr="00B07325">
              <w:rPr>
                <w:b/>
                <w:sz w:val="22"/>
                <w:szCs w:val="22"/>
              </w:rPr>
              <w:t>ours)</w:t>
            </w:r>
          </w:p>
        </w:tc>
        <w:tc>
          <w:tcPr>
            <w:tcW w:w="1344" w:type="dxa"/>
            <w:tcBorders>
              <w:top w:val="double" w:sz="6" w:space="0" w:color="auto"/>
              <w:left w:val="single" w:sz="8" w:space="0" w:color="auto"/>
              <w:bottom w:val="double" w:sz="6" w:space="0" w:color="auto"/>
              <w:right w:val="double" w:sz="6" w:space="0" w:color="auto"/>
            </w:tcBorders>
            <w:shd w:val="pct10" w:color="auto" w:fill="auto"/>
            <w:vAlign w:val="bottom"/>
          </w:tcPr>
          <w:p w:rsidR="009907D5" w:rsidRPr="00B07325" w:rsidRDefault="009907D5" w:rsidP="00B07325">
            <w:pPr>
              <w:keepNext/>
              <w:keepLines/>
              <w:widowControl/>
              <w:autoSpaceDE/>
              <w:autoSpaceDN/>
              <w:adjustRightInd/>
              <w:jc w:val="center"/>
              <w:rPr>
                <w:b/>
                <w:sz w:val="22"/>
                <w:szCs w:val="22"/>
              </w:rPr>
            </w:pPr>
            <w:r w:rsidRPr="00B07325">
              <w:rPr>
                <w:b/>
                <w:sz w:val="22"/>
                <w:szCs w:val="22"/>
              </w:rPr>
              <w:t>Total Cost</w:t>
            </w:r>
          </w:p>
        </w:tc>
      </w:tr>
      <w:tr w:rsidR="009907D5" w:rsidTr="007F06A9">
        <w:trPr>
          <w:trHeight w:val="259"/>
          <w:jc w:val="center"/>
        </w:trPr>
        <w:tc>
          <w:tcPr>
            <w:tcW w:w="3240" w:type="dxa"/>
            <w:tcBorders>
              <w:top w:val="double" w:sz="6" w:space="0" w:color="auto"/>
              <w:left w:val="double" w:sz="6" w:space="0" w:color="auto"/>
              <w:bottom w:val="nil"/>
              <w:right w:val="nil"/>
            </w:tcBorders>
            <w:shd w:val="clear" w:color="auto" w:fill="auto"/>
          </w:tcPr>
          <w:p w:rsidR="009907D5" w:rsidRPr="00B07325" w:rsidRDefault="009907D5" w:rsidP="00B07325">
            <w:pPr>
              <w:keepNext/>
              <w:keepLines/>
              <w:widowControl/>
              <w:autoSpaceDE/>
              <w:autoSpaceDN/>
              <w:adjustRightInd/>
            </w:pPr>
            <w:r w:rsidRPr="00B07325">
              <w:t xml:space="preserve">Opt-in Utilization </w:t>
            </w:r>
            <w:proofErr w:type="spellStart"/>
            <w:r w:rsidRPr="00B07325">
              <w:t>form</w:t>
            </w:r>
            <w:r w:rsidR="00B07325">
              <w:t>.</w:t>
            </w:r>
            <w:r w:rsidRPr="00B07325">
              <w:rPr>
                <w:vertAlign w:val="superscript"/>
              </w:rPr>
              <w:t>b</w:t>
            </w:r>
            <w:proofErr w:type="spellEnd"/>
          </w:p>
        </w:tc>
        <w:tc>
          <w:tcPr>
            <w:tcW w:w="1714" w:type="dxa"/>
            <w:tcBorders>
              <w:top w:val="double" w:sz="6" w:space="0" w:color="auto"/>
              <w:left w:val="single" w:sz="8" w:space="0" w:color="auto"/>
              <w:bottom w:val="nil"/>
              <w:right w:val="nil"/>
            </w:tcBorders>
            <w:shd w:val="clear" w:color="auto" w:fill="auto"/>
          </w:tcPr>
          <w:p w:rsidR="009907D5" w:rsidRPr="00B07325" w:rsidRDefault="009907D5" w:rsidP="00B07325">
            <w:pPr>
              <w:keepNext/>
              <w:keepLines/>
              <w:widowControl/>
              <w:autoSpaceDE/>
              <w:autoSpaceDN/>
              <w:adjustRightInd/>
              <w:jc w:val="center"/>
            </w:pPr>
          </w:p>
        </w:tc>
        <w:tc>
          <w:tcPr>
            <w:tcW w:w="1440" w:type="dxa"/>
            <w:tcBorders>
              <w:top w:val="double" w:sz="6" w:space="0" w:color="auto"/>
              <w:left w:val="single" w:sz="8" w:space="0" w:color="auto"/>
              <w:bottom w:val="nil"/>
              <w:right w:val="nil"/>
            </w:tcBorders>
            <w:shd w:val="clear" w:color="auto" w:fill="auto"/>
          </w:tcPr>
          <w:p w:rsidR="009907D5" w:rsidRPr="00B07325" w:rsidRDefault="009907D5" w:rsidP="00B07325">
            <w:pPr>
              <w:keepNext/>
              <w:keepLines/>
              <w:widowControl/>
              <w:autoSpaceDE/>
              <w:autoSpaceDN/>
              <w:adjustRightInd/>
              <w:jc w:val="center"/>
            </w:pPr>
          </w:p>
        </w:tc>
        <w:tc>
          <w:tcPr>
            <w:tcW w:w="1627" w:type="dxa"/>
            <w:tcBorders>
              <w:top w:val="double" w:sz="6" w:space="0" w:color="auto"/>
              <w:left w:val="single" w:sz="8" w:space="0" w:color="auto"/>
              <w:bottom w:val="nil"/>
              <w:right w:val="nil"/>
            </w:tcBorders>
            <w:shd w:val="clear" w:color="auto" w:fill="auto"/>
          </w:tcPr>
          <w:p w:rsidR="009907D5" w:rsidRPr="00B07325" w:rsidRDefault="009907D5" w:rsidP="00B07325">
            <w:pPr>
              <w:keepNext/>
              <w:keepLines/>
              <w:widowControl/>
              <w:autoSpaceDE/>
              <w:autoSpaceDN/>
              <w:adjustRightInd/>
              <w:jc w:val="center"/>
            </w:pPr>
          </w:p>
        </w:tc>
        <w:tc>
          <w:tcPr>
            <w:tcW w:w="1344" w:type="dxa"/>
            <w:tcBorders>
              <w:top w:val="double" w:sz="6" w:space="0" w:color="auto"/>
              <w:left w:val="single" w:sz="8" w:space="0" w:color="auto"/>
              <w:bottom w:val="nil"/>
              <w:right w:val="double" w:sz="6" w:space="0" w:color="auto"/>
            </w:tcBorders>
            <w:shd w:val="clear" w:color="auto" w:fill="auto"/>
          </w:tcPr>
          <w:p w:rsidR="009907D5" w:rsidRPr="00B07325" w:rsidRDefault="009907D5" w:rsidP="00B07325">
            <w:pPr>
              <w:keepNext/>
              <w:keepLines/>
              <w:widowControl/>
              <w:autoSpaceDE/>
              <w:autoSpaceDN/>
              <w:adjustRightInd/>
              <w:jc w:val="center"/>
            </w:pPr>
          </w:p>
        </w:tc>
      </w:tr>
      <w:tr w:rsidR="009907D5" w:rsidTr="007F06A9">
        <w:trPr>
          <w:trHeight w:val="232"/>
          <w:jc w:val="center"/>
        </w:trPr>
        <w:tc>
          <w:tcPr>
            <w:tcW w:w="3240" w:type="dxa"/>
            <w:tcBorders>
              <w:top w:val="nil"/>
              <w:left w:val="double" w:sz="6" w:space="0" w:color="auto"/>
              <w:bottom w:val="nil"/>
              <w:right w:val="nil"/>
            </w:tcBorders>
            <w:shd w:val="clear" w:color="auto" w:fill="auto"/>
          </w:tcPr>
          <w:p w:rsidR="009907D5" w:rsidRPr="00B07325" w:rsidRDefault="009907D5" w:rsidP="006F325A">
            <w:pPr>
              <w:keepNext/>
              <w:keepLines/>
              <w:widowControl/>
              <w:autoSpaceDE/>
              <w:autoSpaceDN/>
              <w:adjustRightInd/>
              <w:ind w:left="378"/>
            </w:pPr>
            <w:r w:rsidRPr="00B07325">
              <w:t>Managerial</w:t>
            </w:r>
            <w:r w:rsidR="00B63804">
              <w:t>.</w:t>
            </w:r>
          </w:p>
        </w:tc>
        <w:tc>
          <w:tcPr>
            <w:tcW w:w="1714" w:type="dxa"/>
            <w:tcBorders>
              <w:top w:val="nil"/>
              <w:left w:val="single" w:sz="8" w:space="0" w:color="auto"/>
              <w:bottom w:val="nil"/>
              <w:right w:val="nil"/>
            </w:tcBorders>
            <w:shd w:val="clear" w:color="auto" w:fill="auto"/>
          </w:tcPr>
          <w:p w:rsidR="009907D5" w:rsidRPr="00B07325" w:rsidRDefault="009907D5" w:rsidP="00B07325">
            <w:pPr>
              <w:keepNext/>
              <w:keepLines/>
              <w:widowControl/>
              <w:autoSpaceDE/>
              <w:autoSpaceDN/>
              <w:adjustRightInd/>
              <w:jc w:val="center"/>
            </w:pPr>
            <w:r w:rsidRPr="00B07325">
              <w:t>2</w:t>
            </w:r>
          </w:p>
        </w:tc>
        <w:tc>
          <w:tcPr>
            <w:tcW w:w="1440" w:type="dxa"/>
            <w:tcBorders>
              <w:top w:val="nil"/>
              <w:left w:val="single" w:sz="8" w:space="0" w:color="auto"/>
              <w:bottom w:val="nil"/>
              <w:right w:val="nil"/>
            </w:tcBorders>
            <w:shd w:val="clear" w:color="auto" w:fill="auto"/>
          </w:tcPr>
          <w:p w:rsidR="009907D5" w:rsidRPr="00B07325" w:rsidRDefault="009907D5" w:rsidP="007A678E">
            <w:pPr>
              <w:keepNext/>
              <w:keepLines/>
              <w:widowControl/>
              <w:autoSpaceDE/>
              <w:autoSpaceDN/>
              <w:adjustRightInd/>
              <w:jc w:val="center"/>
            </w:pPr>
            <w:r w:rsidRPr="00B07325">
              <w:t>$</w:t>
            </w:r>
            <w:r w:rsidR="007A678E">
              <w:t>204.34</w:t>
            </w:r>
          </w:p>
        </w:tc>
        <w:tc>
          <w:tcPr>
            <w:tcW w:w="1627" w:type="dxa"/>
            <w:tcBorders>
              <w:top w:val="nil"/>
              <w:left w:val="single" w:sz="8" w:space="0" w:color="auto"/>
              <w:bottom w:val="nil"/>
              <w:right w:val="nil"/>
            </w:tcBorders>
            <w:shd w:val="clear" w:color="auto" w:fill="auto"/>
          </w:tcPr>
          <w:p w:rsidR="009907D5" w:rsidRPr="00B07325" w:rsidRDefault="00B95545" w:rsidP="00B95545">
            <w:pPr>
              <w:keepNext/>
              <w:keepLines/>
              <w:widowControl/>
              <w:autoSpaceDE/>
              <w:autoSpaceDN/>
              <w:adjustRightInd/>
              <w:jc w:val="center"/>
            </w:pPr>
            <w:r>
              <w:t>40</w:t>
            </w:r>
          </w:p>
        </w:tc>
        <w:tc>
          <w:tcPr>
            <w:tcW w:w="1344" w:type="dxa"/>
            <w:tcBorders>
              <w:top w:val="nil"/>
              <w:left w:val="single" w:sz="8" w:space="0" w:color="auto"/>
              <w:bottom w:val="nil"/>
              <w:right w:val="double" w:sz="6" w:space="0" w:color="auto"/>
            </w:tcBorders>
            <w:shd w:val="clear" w:color="auto" w:fill="auto"/>
          </w:tcPr>
          <w:p w:rsidR="009907D5" w:rsidRPr="00B07325" w:rsidRDefault="009907D5" w:rsidP="00A23159">
            <w:pPr>
              <w:keepNext/>
              <w:keepLines/>
              <w:widowControl/>
              <w:autoSpaceDE/>
              <w:autoSpaceDN/>
              <w:adjustRightInd/>
              <w:jc w:val="center"/>
            </w:pPr>
            <w:r w:rsidRPr="00B07325">
              <w:t>$</w:t>
            </w:r>
            <w:r w:rsidR="007A678E">
              <w:t>4,086.80</w:t>
            </w:r>
          </w:p>
        </w:tc>
      </w:tr>
      <w:tr w:rsidR="009907D5" w:rsidTr="007F06A9">
        <w:trPr>
          <w:trHeight w:val="232"/>
          <w:jc w:val="center"/>
        </w:trPr>
        <w:tc>
          <w:tcPr>
            <w:tcW w:w="3240" w:type="dxa"/>
            <w:tcBorders>
              <w:top w:val="nil"/>
              <w:left w:val="double" w:sz="6" w:space="0" w:color="auto"/>
              <w:bottom w:val="nil"/>
              <w:right w:val="nil"/>
            </w:tcBorders>
            <w:shd w:val="clear" w:color="auto" w:fill="auto"/>
          </w:tcPr>
          <w:p w:rsidR="009907D5" w:rsidRPr="00B07325" w:rsidRDefault="009907D5" w:rsidP="006F325A">
            <w:pPr>
              <w:keepNext/>
              <w:keepLines/>
              <w:widowControl/>
              <w:autoSpaceDE/>
              <w:autoSpaceDN/>
              <w:adjustRightInd/>
              <w:ind w:left="378"/>
            </w:pPr>
            <w:r w:rsidRPr="00B07325">
              <w:t>Technical</w:t>
            </w:r>
            <w:r w:rsidR="00B63804">
              <w:t>.</w:t>
            </w:r>
          </w:p>
        </w:tc>
        <w:tc>
          <w:tcPr>
            <w:tcW w:w="1714" w:type="dxa"/>
            <w:tcBorders>
              <w:top w:val="nil"/>
              <w:left w:val="single" w:sz="8" w:space="0" w:color="auto"/>
              <w:bottom w:val="nil"/>
              <w:right w:val="nil"/>
            </w:tcBorders>
            <w:shd w:val="clear" w:color="auto" w:fill="auto"/>
          </w:tcPr>
          <w:p w:rsidR="009907D5" w:rsidRPr="00B07325" w:rsidRDefault="009907D5" w:rsidP="00B07325">
            <w:pPr>
              <w:keepNext/>
              <w:keepLines/>
              <w:widowControl/>
              <w:autoSpaceDE/>
              <w:autoSpaceDN/>
              <w:adjustRightInd/>
              <w:jc w:val="center"/>
            </w:pPr>
            <w:r w:rsidRPr="00B07325">
              <w:t>16</w:t>
            </w:r>
          </w:p>
        </w:tc>
        <w:tc>
          <w:tcPr>
            <w:tcW w:w="1440" w:type="dxa"/>
            <w:tcBorders>
              <w:top w:val="nil"/>
              <w:left w:val="single" w:sz="8" w:space="0" w:color="auto"/>
              <w:bottom w:val="nil"/>
              <w:right w:val="nil"/>
            </w:tcBorders>
            <w:shd w:val="clear" w:color="auto" w:fill="auto"/>
          </w:tcPr>
          <w:p w:rsidR="009907D5" w:rsidRPr="00B07325" w:rsidRDefault="009907D5" w:rsidP="00B07325">
            <w:pPr>
              <w:keepNext/>
              <w:keepLines/>
              <w:widowControl/>
              <w:autoSpaceDE/>
              <w:autoSpaceDN/>
              <w:adjustRightInd/>
              <w:jc w:val="center"/>
            </w:pPr>
            <w:r w:rsidRPr="00B07325">
              <w:t>$</w:t>
            </w:r>
            <w:r w:rsidR="007A678E">
              <w:t>1,056.48</w:t>
            </w:r>
          </w:p>
        </w:tc>
        <w:tc>
          <w:tcPr>
            <w:tcW w:w="1627" w:type="dxa"/>
            <w:tcBorders>
              <w:top w:val="nil"/>
              <w:left w:val="single" w:sz="8" w:space="0" w:color="auto"/>
              <w:bottom w:val="nil"/>
              <w:right w:val="nil"/>
            </w:tcBorders>
            <w:shd w:val="clear" w:color="auto" w:fill="auto"/>
          </w:tcPr>
          <w:p w:rsidR="009907D5" w:rsidRPr="00B07325" w:rsidRDefault="00B95545" w:rsidP="00B95545">
            <w:pPr>
              <w:keepNext/>
              <w:keepLines/>
              <w:widowControl/>
              <w:autoSpaceDE/>
              <w:autoSpaceDN/>
              <w:adjustRightInd/>
              <w:jc w:val="center"/>
            </w:pPr>
            <w:r>
              <w:t>320</w:t>
            </w:r>
          </w:p>
        </w:tc>
        <w:tc>
          <w:tcPr>
            <w:tcW w:w="1344" w:type="dxa"/>
            <w:tcBorders>
              <w:top w:val="nil"/>
              <w:left w:val="single" w:sz="8" w:space="0" w:color="auto"/>
              <w:bottom w:val="nil"/>
              <w:right w:val="double" w:sz="6" w:space="0" w:color="auto"/>
            </w:tcBorders>
            <w:shd w:val="clear" w:color="auto" w:fill="auto"/>
          </w:tcPr>
          <w:p w:rsidR="009907D5" w:rsidRPr="00B07325" w:rsidRDefault="009907D5" w:rsidP="00A23159">
            <w:pPr>
              <w:keepNext/>
              <w:keepLines/>
              <w:widowControl/>
              <w:autoSpaceDE/>
              <w:autoSpaceDN/>
              <w:adjustRightInd/>
              <w:jc w:val="center"/>
            </w:pPr>
            <w:r w:rsidRPr="00B07325">
              <w:t>$</w:t>
            </w:r>
            <w:r w:rsidR="007A678E">
              <w:t>21,129.60</w:t>
            </w:r>
          </w:p>
        </w:tc>
      </w:tr>
      <w:tr w:rsidR="009907D5" w:rsidTr="007F06A9">
        <w:trPr>
          <w:trHeight w:val="502"/>
          <w:jc w:val="center"/>
        </w:trPr>
        <w:tc>
          <w:tcPr>
            <w:tcW w:w="3240" w:type="dxa"/>
            <w:tcBorders>
              <w:top w:val="nil"/>
              <w:left w:val="double" w:sz="6" w:space="0" w:color="auto"/>
              <w:bottom w:val="nil"/>
              <w:right w:val="nil"/>
            </w:tcBorders>
            <w:shd w:val="clear" w:color="auto" w:fill="auto"/>
          </w:tcPr>
          <w:p w:rsidR="009907D5" w:rsidRPr="00B07325" w:rsidRDefault="009907D5" w:rsidP="00B07325">
            <w:pPr>
              <w:widowControl/>
              <w:autoSpaceDE/>
              <w:autoSpaceDN/>
              <w:adjustRightInd/>
            </w:pPr>
            <w:r w:rsidRPr="00B07325">
              <w:t>Thermal energy compliance report (shutdown opt-in sources and replacement units)</w:t>
            </w:r>
            <w:r w:rsidR="00B07325">
              <w:t>.</w:t>
            </w:r>
            <w:r w:rsidRPr="00B07325">
              <w:rPr>
                <w:vertAlign w:val="superscript"/>
              </w:rPr>
              <w:t>c</w:t>
            </w:r>
          </w:p>
        </w:tc>
        <w:tc>
          <w:tcPr>
            <w:tcW w:w="1714" w:type="dxa"/>
            <w:tcBorders>
              <w:top w:val="nil"/>
              <w:left w:val="single" w:sz="8" w:space="0" w:color="auto"/>
              <w:bottom w:val="nil"/>
              <w:right w:val="nil"/>
            </w:tcBorders>
            <w:shd w:val="clear" w:color="auto" w:fill="auto"/>
          </w:tcPr>
          <w:p w:rsidR="009907D5" w:rsidRPr="00B07325" w:rsidRDefault="009907D5" w:rsidP="00B07325">
            <w:pPr>
              <w:widowControl/>
              <w:autoSpaceDE/>
              <w:autoSpaceDN/>
              <w:adjustRightInd/>
              <w:jc w:val="center"/>
            </w:pPr>
          </w:p>
        </w:tc>
        <w:tc>
          <w:tcPr>
            <w:tcW w:w="1440" w:type="dxa"/>
            <w:tcBorders>
              <w:top w:val="nil"/>
              <w:left w:val="single" w:sz="8" w:space="0" w:color="auto"/>
              <w:bottom w:val="nil"/>
              <w:right w:val="nil"/>
            </w:tcBorders>
            <w:shd w:val="clear" w:color="auto" w:fill="auto"/>
          </w:tcPr>
          <w:p w:rsidR="009907D5" w:rsidRPr="00B07325" w:rsidRDefault="009907D5" w:rsidP="00B07325">
            <w:pPr>
              <w:widowControl/>
              <w:autoSpaceDE/>
              <w:autoSpaceDN/>
              <w:adjustRightInd/>
              <w:jc w:val="center"/>
            </w:pPr>
          </w:p>
        </w:tc>
        <w:tc>
          <w:tcPr>
            <w:tcW w:w="1627" w:type="dxa"/>
            <w:tcBorders>
              <w:top w:val="nil"/>
              <w:left w:val="single" w:sz="8" w:space="0" w:color="auto"/>
              <w:bottom w:val="nil"/>
              <w:right w:val="nil"/>
            </w:tcBorders>
            <w:shd w:val="clear" w:color="auto" w:fill="auto"/>
          </w:tcPr>
          <w:p w:rsidR="009907D5" w:rsidRPr="00B07325" w:rsidRDefault="009907D5" w:rsidP="00B07325">
            <w:pPr>
              <w:widowControl/>
              <w:autoSpaceDE/>
              <w:autoSpaceDN/>
              <w:adjustRightInd/>
              <w:jc w:val="center"/>
            </w:pPr>
          </w:p>
        </w:tc>
        <w:tc>
          <w:tcPr>
            <w:tcW w:w="1344" w:type="dxa"/>
            <w:tcBorders>
              <w:top w:val="nil"/>
              <w:left w:val="single" w:sz="8" w:space="0" w:color="auto"/>
              <w:bottom w:val="nil"/>
              <w:right w:val="double" w:sz="6" w:space="0" w:color="auto"/>
            </w:tcBorders>
            <w:shd w:val="clear" w:color="auto" w:fill="auto"/>
          </w:tcPr>
          <w:p w:rsidR="009907D5" w:rsidRPr="00B07325" w:rsidRDefault="009907D5" w:rsidP="00B07325">
            <w:pPr>
              <w:widowControl/>
              <w:autoSpaceDE/>
              <w:autoSpaceDN/>
              <w:adjustRightInd/>
              <w:jc w:val="center"/>
            </w:pPr>
          </w:p>
        </w:tc>
      </w:tr>
      <w:tr w:rsidR="00FA2173" w:rsidTr="007F06A9">
        <w:trPr>
          <w:trHeight w:val="259"/>
          <w:jc w:val="center"/>
        </w:trPr>
        <w:tc>
          <w:tcPr>
            <w:tcW w:w="3240" w:type="dxa"/>
            <w:tcBorders>
              <w:top w:val="nil"/>
              <w:left w:val="double" w:sz="6" w:space="0" w:color="auto"/>
              <w:bottom w:val="nil"/>
              <w:right w:val="nil"/>
            </w:tcBorders>
            <w:shd w:val="clear" w:color="auto" w:fill="auto"/>
          </w:tcPr>
          <w:p w:rsidR="00FA2173" w:rsidRPr="00B07325" w:rsidRDefault="00FA2173" w:rsidP="006F325A">
            <w:pPr>
              <w:widowControl/>
              <w:autoSpaceDE/>
              <w:autoSpaceDN/>
              <w:adjustRightInd/>
              <w:ind w:left="378"/>
            </w:pPr>
            <w:r w:rsidRPr="00B07325">
              <w:t>Managerial</w:t>
            </w:r>
            <w:r w:rsidR="00B63804">
              <w:t>.</w:t>
            </w:r>
          </w:p>
        </w:tc>
        <w:tc>
          <w:tcPr>
            <w:tcW w:w="1714" w:type="dxa"/>
            <w:tcBorders>
              <w:top w:val="nil"/>
              <w:left w:val="single" w:sz="8" w:space="0" w:color="auto"/>
              <w:bottom w:val="nil"/>
              <w:right w:val="nil"/>
            </w:tcBorders>
            <w:shd w:val="clear" w:color="auto" w:fill="auto"/>
          </w:tcPr>
          <w:p w:rsidR="00FA2173" w:rsidRPr="00B07325" w:rsidRDefault="00FA2173" w:rsidP="004161CD">
            <w:pPr>
              <w:widowControl/>
              <w:autoSpaceDE/>
              <w:autoSpaceDN/>
              <w:adjustRightInd/>
              <w:jc w:val="center"/>
            </w:pPr>
            <w:r w:rsidRPr="00B07325">
              <w:t>10</w:t>
            </w:r>
          </w:p>
        </w:tc>
        <w:tc>
          <w:tcPr>
            <w:tcW w:w="1440" w:type="dxa"/>
            <w:tcBorders>
              <w:top w:val="nil"/>
              <w:left w:val="single" w:sz="8" w:space="0" w:color="auto"/>
              <w:bottom w:val="nil"/>
              <w:right w:val="nil"/>
            </w:tcBorders>
            <w:shd w:val="clear" w:color="auto" w:fill="auto"/>
          </w:tcPr>
          <w:p w:rsidR="00FA2173" w:rsidRPr="00B07325" w:rsidRDefault="00FA2173" w:rsidP="007A678E">
            <w:pPr>
              <w:widowControl/>
              <w:autoSpaceDE/>
              <w:autoSpaceDN/>
              <w:adjustRightInd/>
              <w:jc w:val="center"/>
            </w:pPr>
            <w:r w:rsidRPr="00B07325">
              <w:t>$</w:t>
            </w:r>
            <w:r w:rsidR="007A678E">
              <w:t>1,021.70</w:t>
            </w:r>
          </w:p>
        </w:tc>
        <w:tc>
          <w:tcPr>
            <w:tcW w:w="1627" w:type="dxa"/>
            <w:tcBorders>
              <w:top w:val="nil"/>
              <w:left w:val="single" w:sz="8" w:space="0" w:color="auto"/>
              <w:bottom w:val="nil"/>
              <w:right w:val="nil"/>
            </w:tcBorders>
            <w:shd w:val="clear" w:color="auto" w:fill="auto"/>
          </w:tcPr>
          <w:p w:rsidR="00FA2173" w:rsidRPr="00B07325" w:rsidRDefault="00B95545" w:rsidP="00B95545">
            <w:pPr>
              <w:widowControl/>
              <w:autoSpaceDE/>
              <w:autoSpaceDN/>
              <w:adjustRightInd/>
              <w:jc w:val="center"/>
            </w:pPr>
            <w:r>
              <w:t>40</w:t>
            </w:r>
          </w:p>
        </w:tc>
        <w:tc>
          <w:tcPr>
            <w:tcW w:w="1344" w:type="dxa"/>
            <w:tcBorders>
              <w:top w:val="nil"/>
              <w:left w:val="single" w:sz="8" w:space="0" w:color="auto"/>
              <w:bottom w:val="nil"/>
              <w:right w:val="double" w:sz="6" w:space="0" w:color="auto"/>
            </w:tcBorders>
            <w:shd w:val="clear" w:color="auto" w:fill="auto"/>
          </w:tcPr>
          <w:p w:rsidR="00FA2173" w:rsidRPr="00B07325" w:rsidRDefault="00FA2173" w:rsidP="00A23159">
            <w:pPr>
              <w:widowControl/>
              <w:autoSpaceDE/>
              <w:autoSpaceDN/>
              <w:adjustRightInd/>
              <w:jc w:val="center"/>
            </w:pPr>
            <w:r w:rsidRPr="00B07325">
              <w:t>$</w:t>
            </w:r>
            <w:r w:rsidR="007A678E">
              <w:t>4,086.80</w:t>
            </w:r>
          </w:p>
        </w:tc>
      </w:tr>
      <w:tr w:rsidR="00FA2173" w:rsidTr="007F06A9">
        <w:trPr>
          <w:trHeight w:val="232"/>
          <w:jc w:val="center"/>
        </w:trPr>
        <w:tc>
          <w:tcPr>
            <w:tcW w:w="3240" w:type="dxa"/>
            <w:tcBorders>
              <w:top w:val="nil"/>
              <w:left w:val="double" w:sz="6" w:space="0" w:color="auto"/>
              <w:bottom w:val="nil"/>
              <w:right w:val="nil"/>
            </w:tcBorders>
            <w:shd w:val="clear" w:color="auto" w:fill="auto"/>
          </w:tcPr>
          <w:p w:rsidR="00FA2173" w:rsidRPr="00B07325" w:rsidRDefault="00FA2173" w:rsidP="006F325A">
            <w:pPr>
              <w:widowControl/>
              <w:autoSpaceDE/>
              <w:autoSpaceDN/>
              <w:adjustRightInd/>
              <w:ind w:left="378"/>
            </w:pPr>
            <w:r w:rsidRPr="00B07325">
              <w:t>Technical</w:t>
            </w:r>
            <w:r w:rsidR="00B63804">
              <w:t>.</w:t>
            </w:r>
          </w:p>
        </w:tc>
        <w:tc>
          <w:tcPr>
            <w:tcW w:w="1714" w:type="dxa"/>
            <w:tcBorders>
              <w:top w:val="nil"/>
              <w:left w:val="single" w:sz="8" w:space="0" w:color="auto"/>
              <w:bottom w:val="nil"/>
              <w:right w:val="nil"/>
            </w:tcBorders>
            <w:shd w:val="clear" w:color="auto" w:fill="auto"/>
          </w:tcPr>
          <w:p w:rsidR="00FA2173" w:rsidRPr="00B07325" w:rsidRDefault="00FA2173" w:rsidP="004161CD">
            <w:pPr>
              <w:widowControl/>
              <w:autoSpaceDE/>
              <w:autoSpaceDN/>
              <w:adjustRightInd/>
              <w:jc w:val="center"/>
            </w:pPr>
            <w:r w:rsidRPr="00B07325">
              <w:t>21</w:t>
            </w:r>
          </w:p>
        </w:tc>
        <w:tc>
          <w:tcPr>
            <w:tcW w:w="1440" w:type="dxa"/>
            <w:tcBorders>
              <w:top w:val="nil"/>
              <w:left w:val="single" w:sz="8" w:space="0" w:color="auto"/>
              <w:bottom w:val="nil"/>
              <w:right w:val="nil"/>
            </w:tcBorders>
            <w:shd w:val="clear" w:color="auto" w:fill="auto"/>
          </w:tcPr>
          <w:p w:rsidR="00FA2173" w:rsidRPr="00B07325" w:rsidRDefault="00FA2173" w:rsidP="004161CD">
            <w:pPr>
              <w:widowControl/>
              <w:autoSpaceDE/>
              <w:autoSpaceDN/>
              <w:adjustRightInd/>
              <w:jc w:val="center"/>
            </w:pPr>
            <w:r w:rsidRPr="00B07325">
              <w:t>$</w:t>
            </w:r>
            <w:r w:rsidR="007A678E">
              <w:t>1.386.63</w:t>
            </w:r>
          </w:p>
        </w:tc>
        <w:tc>
          <w:tcPr>
            <w:tcW w:w="1627" w:type="dxa"/>
            <w:tcBorders>
              <w:top w:val="nil"/>
              <w:left w:val="single" w:sz="8" w:space="0" w:color="auto"/>
              <w:bottom w:val="nil"/>
              <w:right w:val="nil"/>
            </w:tcBorders>
            <w:shd w:val="clear" w:color="auto" w:fill="auto"/>
          </w:tcPr>
          <w:p w:rsidR="00FA2173" w:rsidRPr="00B07325" w:rsidRDefault="00B95545" w:rsidP="00B95545">
            <w:pPr>
              <w:widowControl/>
              <w:autoSpaceDE/>
              <w:autoSpaceDN/>
              <w:adjustRightInd/>
              <w:jc w:val="center"/>
            </w:pPr>
            <w:r>
              <w:t>84</w:t>
            </w:r>
          </w:p>
        </w:tc>
        <w:tc>
          <w:tcPr>
            <w:tcW w:w="1344" w:type="dxa"/>
            <w:tcBorders>
              <w:top w:val="nil"/>
              <w:left w:val="single" w:sz="8" w:space="0" w:color="auto"/>
              <w:bottom w:val="nil"/>
              <w:right w:val="double" w:sz="6" w:space="0" w:color="auto"/>
            </w:tcBorders>
            <w:shd w:val="clear" w:color="auto" w:fill="auto"/>
          </w:tcPr>
          <w:p w:rsidR="00FA2173" w:rsidRPr="00B07325" w:rsidRDefault="00FA2173" w:rsidP="00A23159">
            <w:pPr>
              <w:widowControl/>
              <w:autoSpaceDE/>
              <w:autoSpaceDN/>
              <w:adjustRightInd/>
              <w:jc w:val="center"/>
            </w:pPr>
            <w:r w:rsidRPr="00B07325">
              <w:t>$</w:t>
            </w:r>
            <w:r w:rsidR="007A678E">
              <w:t>5,546.52</w:t>
            </w:r>
          </w:p>
        </w:tc>
      </w:tr>
      <w:tr w:rsidR="009907D5" w:rsidTr="007F06A9">
        <w:trPr>
          <w:trHeight w:val="205"/>
          <w:jc w:val="center"/>
        </w:trPr>
        <w:tc>
          <w:tcPr>
            <w:tcW w:w="3240" w:type="dxa"/>
            <w:tcBorders>
              <w:top w:val="nil"/>
              <w:left w:val="double" w:sz="6" w:space="0" w:color="auto"/>
              <w:bottom w:val="nil"/>
              <w:right w:val="nil"/>
            </w:tcBorders>
            <w:shd w:val="clear" w:color="auto" w:fill="auto"/>
          </w:tcPr>
          <w:p w:rsidR="009907D5" w:rsidRPr="00B07325" w:rsidRDefault="009907D5" w:rsidP="00B07325">
            <w:pPr>
              <w:widowControl/>
              <w:autoSpaceDE/>
              <w:autoSpaceDN/>
              <w:adjustRightInd/>
            </w:pPr>
            <w:r w:rsidRPr="00B07325">
              <w:t>Allowance deduction form (optional)</w:t>
            </w:r>
            <w:r w:rsidR="00B07325">
              <w:t>.</w:t>
            </w:r>
            <w:r w:rsidRPr="00B07325">
              <w:rPr>
                <w:vertAlign w:val="superscript"/>
              </w:rPr>
              <w:t>d</w:t>
            </w:r>
          </w:p>
        </w:tc>
        <w:tc>
          <w:tcPr>
            <w:tcW w:w="1714" w:type="dxa"/>
            <w:tcBorders>
              <w:top w:val="nil"/>
              <w:left w:val="single" w:sz="8" w:space="0" w:color="auto"/>
              <w:bottom w:val="nil"/>
              <w:right w:val="nil"/>
            </w:tcBorders>
            <w:shd w:val="clear" w:color="auto" w:fill="auto"/>
          </w:tcPr>
          <w:p w:rsidR="009907D5" w:rsidRPr="00B07325" w:rsidRDefault="009907D5" w:rsidP="00B07325">
            <w:pPr>
              <w:widowControl/>
              <w:autoSpaceDE/>
              <w:autoSpaceDN/>
              <w:adjustRightInd/>
              <w:jc w:val="center"/>
            </w:pPr>
          </w:p>
        </w:tc>
        <w:tc>
          <w:tcPr>
            <w:tcW w:w="1440" w:type="dxa"/>
            <w:tcBorders>
              <w:top w:val="nil"/>
              <w:left w:val="single" w:sz="8" w:space="0" w:color="auto"/>
              <w:bottom w:val="nil"/>
              <w:right w:val="nil"/>
            </w:tcBorders>
            <w:shd w:val="clear" w:color="auto" w:fill="auto"/>
          </w:tcPr>
          <w:p w:rsidR="009907D5" w:rsidRPr="00B07325" w:rsidRDefault="009907D5" w:rsidP="00B07325">
            <w:pPr>
              <w:widowControl/>
              <w:autoSpaceDE/>
              <w:autoSpaceDN/>
              <w:adjustRightInd/>
              <w:jc w:val="center"/>
            </w:pPr>
          </w:p>
        </w:tc>
        <w:tc>
          <w:tcPr>
            <w:tcW w:w="1627" w:type="dxa"/>
            <w:tcBorders>
              <w:top w:val="nil"/>
              <w:left w:val="single" w:sz="8" w:space="0" w:color="auto"/>
              <w:bottom w:val="nil"/>
              <w:right w:val="nil"/>
            </w:tcBorders>
            <w:shd w:val="clear" w:color="auto" w:fill="auto"/>
          </w:tcPr>
          <w:p w:rsidR="009907D5" w:rsidRPr="00B07325" w:rsidRDefault="009907D5" w:rsidP="00B07325">
            <w:pPr>
              <w:widowControl/>
              <w:autoSpaceDE/>
              <w:autoSpaceDN/>
              <w:adjustRightInd/>
              <w:jc w:val="center"/>
            </w:pPr>
          </w:p>
        </w:tc>
        <w:tc>
          <w:tcPr>
            <w:tcW w:w="1344" w:type="dxa"/>
            <w:tcBorders>
              <w:top w:val="nil"/>
              <w:left w:val="single" w:sz="8" w:space="0" w:color="auto"/>
              <w:bottom w:val="nil"/>
              <w:right w:val="double" w:sz="6" w:space="0" w:color="auto"/>
            </w:tcBorders>
            <w:shd w:val="clear" w:color="auto" w:fill="auto"/>
          </w:tcPr>
          <w:p w:rsidR="009907D5" w:rsidRPr="00B07325" w:rsidRDefault="009907D5" w:rsidP="00B07325">
            <w:pPr>
              <w:widowControl/>
              <w:autoSpaceDE/>
              <w:autoSpaceDN/>
              <w:adjustRightInd/>
              <w:jc w:val="center"/>
            </w:pPr>
          </w:p>
        </w:tc>
      </w:tr>
      <w:tr w:rsidR="00FA2173" w:rsidTr="007F06A9">
        <w:trPr>
          <w:trHeight w:val="214"/>
          <w:jc w:val="center"/>
        </w:trPr>
        <w:tc>
          <w:tcPr>
            <w:tcW w:w="3240" w:type="dxa"/>
            <w:tcBorders>
              <w:top w:val="nil"/>
              <w:left w:val="double" w:sz="6" w:space="0" w:color="auto"/>
              <w:bottom w:val="nil"/>
              <w:right w:val="nil"/>
            </w:tcBorders>
            <w:shd w:val="clear" w:color="auto" w:fill="auto"/>
          </w:tcPr>
          <w:p w:rsidR="00FA2173" w:rsidRPr="00B07325" w:rsidRDefault="00FA2173" w:rsidP="006F325A">
            <w:pPr>
              <w:widowControl/>
              <w:autoSpaceDE/>
              <w:autoSpaceDN/>
              <w:adjustRightInd/>
              <w:ind w:left="378"/>
            </w:pPr>
            <w:r w:rsidRPr="00B07325">
              <w:t>Managerial</w:t>
            </w:r>
            <w:r w:rsidR="00B63804">
              <w:t>.</w:t>
            </w:r>
          </w:p>
        </w:tc>
        <w:tc>
          <w:tcPr>
            <w:tcW w:w="1714" w:type="dxa"/>
            <w:tcBorders>
              <w:top w:val="nil"/>
              <w:left w:val="single" w:sz="8" w:space="0" w:color="auto"/>
              <w:bottom w:val="nil"/>
              <w:right w:val="nil"/>
            </w:tcBorders>
            <w:shd w:val="clear" w:color="auto" w:fill="auto"/>
          </w:tcPr>
          <w:p w:rsidR="00FA2173" w:rsidRPr="00B07325" w:rsidRDefault="00FA2173" w:rsidP="004161CD">
            <w:pPr>
              <w:widowControl/>
              <w:autoSpaceDE/>
              <w:autoSpaceDN/>
              <w:adjustRightInd/>
              <w:jc w:val="center"/>
            </w:pPr>
            <w:r w:rsidRPr="00B07325">
              <w:t>1</w:t>
            </w:r>
          </w:p>
        </w:tc>
        <w:tc>
          <w:tcPr>
            <w:tcW w:w="1440" w:type="dxa"/>
            <w:tcBorders>
              <w:top w:val="nil"/>
              <w:left w:val="single" w:sz="8" w:space="0" w:color="auto"/>
              <w:bottom w:val="nil"/>
              <w:right w:val="nil"/>
            </w:tcBorders>
            <w:shd w:val="clear" w:color="auto" w:fill="auto"/>
          </w:tcPr>
          <w:p w:rsidR="00FA2173" w:rsidRPr="00B07325" w:rsidRDefault="00FA2173" w:rsidP="004161CD">
            <w:pPr>
              <w:widowControl/>
              <w:autoSpaceDE/>
              <w:autoSpaceDN/>
              <w:adjustRightInd/>
              <w:jc w:val="center"/>
            </w:pPr>
            <w:r w:rsidRPr="00B07325">
              <w:t>$91.94</w:t>
            </w:r>
          </w:p>
        </w:tc>
        <w:tc>
          <w:tcPr>
            <w:tcW w:w="1627" w:type="dxa"/>
            <w:tcBorders>
              <w:top w:val="nil"/>
              <w:left w:val="single" w:sz="8" w:space="0" w:color="auto"/>
              <w:bottom w:val="nil"/>
              <w:right w:val="nil"/>
            </w:tcBorders>
            <w:shd w:val="clear" w:color="auto" w:fill="auto"/>
          </w:tcPr>
          <w:p w:rsidR="00FA2173" w:rsidRPr="00B07325" w:rsidRDefault="00BD4809" w:rsidP="00B07325">
            <w:pPr>
              <w:widowControl/>
              <w:autoSpaceDE/>
              <w:autoSpaceDN/>
              <w:adjustRightInd/>
              <w:jc w:val="center"/>
            </w:pPr>
            <w:r>
              <w:t>0</w:t>
            </w:r>
          </w:p>
        </w:tc>
        <w:tc>
          <w:tcPr>
            <w:tcW w:w="1344" w:type="dxa"/>
            <w:tcBorders>
              <w:top w:val="nil"/>
              <w:left w:val="single" w:sz="8" w:space="0" w:color="auto"/>
              <w:bottom w:val="nil"/>
              <w:right w:val="double" w:sz="6" w:space="0" w:color="auto"/>
            </w:tcBorders>
            <w:shd w:val="clear" w:color="auto" w:fill="auto"/>
          </w:tcPr>
          <w:p w:rsidR="00FA2173" w:rsidRPr="00B07325" w:rsidRDefault="00FA2173" w:rsidP="00A23159">
            <w:pPr>
              <w:widowControl/>
              <w:autoSpaceDE/>
              <w:autoSpaceDN/>
              <w:adjustRightInd/>
              <w:jc w:val="center"/>
            </w:pPr>
            <w:r w:rsidRPr="00B07325">
              <w:t>$</w:t>
            </w:r>
            <w:r w:rsidR="00BD4809">
              <w:t>0</w:t>
            </w:r>
          </w:p>
        </w:tc>
      </w:tr>
      <w:tr w:rsidR="00FA2173" w:rsidTr="007F06A9">
        <w:trPr>
          <w:trHeight w:val="187"/>
          <w:jc w:val="center"/>
        </w:trPr>
        <w:tc>
          <w:tcPr>
            <w:tcW w:w="3240" w:type="dxa"/>
            <w:tcBorders>
              <w:top w:val="nil"/>
              <w:left w:val="double" w:sz="6" w:space="0" w:color="auto"/>
              <w:bottom w:val="nil"/>
              <w:right w:val="nil"/>
            </w:tcBorders>
            <w:shd w:val="clear" w:color="auto" w:fill="auto"/>
          </w:tcPr>
          <w:p w:rsidR="00FA2173" w:rsidRPr="00B07325" w:rsidRDefault="00FA2173" w:rsidP="006F325A">
            <w:pPr>
              <w:widowControl/>
              <w:autoSpaceDE/>
              <w:autoSpaceDN/>
              <w:adjustRightInd/>
              <w:ind w:left="378"/>
            </w:pPr>
            <w:r w:rsidRPr="00B07325">
              <w:t>Technical</w:t>
            </w:r>
            <w:r w:rsidR="00B63804">
              <w:t>.</w:t>
            </w:r>
          </w:p>
        </w:tc>
        <w:tc>
          <w:tcPr>
            <w:tcW w:w="1714" w:type="dxa"/>
            <w:tcBorders>
              <w:top w:val="nil"/>
              <w:left w:val="single" w:sz="8" w:space="0" w:color="auto"/>
              <w:bottom w:val="nil"/>
              <w:right w:val="nil"/>
            </w:tcBorders>
            <w:shd w:val="clear" w:color="auto" w:fill="auto"/>
          </w:tcPr>
          <w:p w:rsidR="00FA2173" w:rsidRPr="00B07325" w:rsidRDefault="00FA2173" w:rsidP="004161CD">
            <w:pPr>
              <w:widowControl/>
              <w:autoSpaceDE/>
              <w:autoSpaceDN/>
              <w:adjustRightInd/>
              <w:jc w:val="center"/>
            </w:pPr>
            <w:r w:rsidRPr="00B07325">
              <w:t>2</w:t>
            </w:r>
          </w:p>
        </w:tc>
        <w:tc>
          <w:tcPr>
            <w:tcW w:w="1440" w:type="dxa"/>
            <w:tcBorders>
              <w:top w:val="nil"/>
              <w:left w:val="single" w:sz="8" w:space="0" w:color="auto"/>
              <w:bottom w:val="nil"/>
              <w:right w:val="nil"/>
            </w:tcBorders>
            <w:shd w:val="clear" w:color="auto" w:fill="auto"/>
          </w:tcPr>
          <w:p w:rsidR="00FA2173" w:rsidRPr="00B07325" w:rsidRDefault="00FA2173" w:rsidP="004161CD">
            <w:pPr>
              <w:widowControl/>
              <w:autoSpaceDE/>
              <w:autoSpaceDN/>
              <w:adjustRightInd/>
              <w:jc w:val="center"/>
            </w:pPr>
            <w:r w:rsidRPr="00B07325">
              <w:t>$127.48</w:t>
            </w:r>
          </w:p>
        </w:tc>
        <w:tc>
          <w:tcPr>
            <w:tcW w:w="1627" w:type="dxa"/>
            <w:tcBorders>
              <w:top w:val="nil"/>
              <w:left w:val="single" w:sz="8" w:space="0" w:color="auto"/>
              <w:bottom w:val="nil"/>
              <w:right w:val="nil"/>
            </w:tcBorders>
            <w:shd w:val="clear" w:color="auto" w:fill="auto"/>
          </w:tcPr>
          <w:p w:rsidR="00FA2173" w:rsidRPr="00B07325" w:rsidRDefault="00BD4809" w:rsidP="00A23159">
            <w:pPr>
              <w:widowControl/>
              <w:autoSpaceDE/>
              <w:autoSpaceDN/>
              <w:adjustRightInd/>
              <w:jc w:val="center"/>
            </w:pPr>
            <w:r>
              <w:t>0</w:t>
            </w:r>
          </w:p>
        </w:tc>
        <w:tc>
          <w:tcPr>
            <w:tcW w:w="1344" w:type="dxa"/>
            <w:tcBorders>
              <w:top w:val="nil"/>
              <w:left w:val="single" w:sz="8" w:space="0" w:color="auto"/>
              <w:bottom w:val="nil"/>
              <w:right w:val="double" w:sz="6" w:space="0" w:color="auto"/>
            </w:tcBorders>
            <w:shd w:val="clear" w:color="auto" w:fill="auto"/>
          </w:tcPr>
          <w:p w:rsidR="00FA2173" w:rsidRPr="00B07325" w:rsidRDefault="00FA2173" w:rsidP="00590400">
            <w:pPr>
              <w:widowControl/>
              <w:autoSpaceDE/>
              <w:autoSpaceDN/>
              <w:adjustRightInd/>
              <w:jc w:val="center"/>
            </w:pPr>
            <w:r w:rsidRPr="00B07325">
              <w:t>$</w:t>
            </w:r>
            <w:r w:rsidR="00BD4809">
              <w:t>0</w:t>
            </w:r>
          </w:p>
        </w:tc>
      </w:tr>
      <w:tr w:rsidR="009907D5" w:rsidTr="007F06A9">
        <w:trPr>
          <w:trHeight w:val="484"/>
          <w:jc w:val="center"/>
        </w:trPr>
        <w:tc>
          <w:tcPr>
            <w:tcW w:w="3240" w:type="dxa"/>
            <w:tcBorders>
              <w:top w:val="nil"/>
              <w:left w:val="double" w:sz="6" w:space="0" w:color="auto"/>
              <w:bottom w:val="nil"/>
              <w:right w:val="nil"/>
            </w:tcBorders>
            <w:shd w:val="clear" w:color="auto" w:fill="auto"/>
          </w:tcPr>
          <w:p w:rsidR="009907D5" w:rsidRPr="00B07325" w:rsidRDefault="009E5883" w:rsidP="00B07325">
            <w:pPr>
              <w:widowControl/>
              <w:autoSpaceDE/>
              <w:autoSpaceDN/>
              <w:adjustRightInd/>
            </w:pPr>
            <w:r>
              <w:t>Energy conservation/i</w:t>
            </w:r>
            <w:r w:rsidR="009907D5" w:rsidRPr="00B07325">
              <w:t xml:space="preserve">mproved unit efficiency confirmation </w:t>
            </w:r>
            <w:proofErr w:type="spellStart"/>
            <w:r w:rsidR="009907D5" w:rsidRPr="00B07325">
              <w:t>report</w:t>
            </w:r>
            <w:r w:rsidR="00B07325">
              <w:t>.</w:t>
            </w:r>
            <w:r w:rsidR="009907D5" w:rsidRPr="00B07325">
              <w:rPr>
                <w:vertAlign w:val="superscript"/>
              </w:rPr>
              <w:t>e</w:t>
            </w:r>
            <w:proofErr w:type="spellEnd"/>
          </w:p>
        </w:tc>
        <w:tc>
          <w:tcPr>
            <w:tcW w:w="1714" w:type="dxa"/>
            <w:tcBorders>
              <w:top w:val="nil"/>
              <w:left w:val="single" w:sz="8" w:space="0" w:color="auto"/>
              <w:bottom w:val="nil"/>
              <w:right w:val="nil"/>
            </w:tcBorders>
            <w:shd w:val="clear" w:color="auto" w:fill="auto"/>
          </w:tcPr>
          <w:p w:rsidR="009907D5" w:rsidRPr="00B07325" w:rsidRDefault="009907D5" w:rsidP="00B07325">
            <w:pPr>
              <w:widowControl/>
              <w:autoSpaceDE/>
              <w:autoSpaceDN/>
              <w:adjustRightInd/>
              <w:jc w:val="center"/>
            </w:pPr>
          </w:p>
        </w:tc>
        <w:tc>
          <w:tcPr>
            <w:tcW w:w="1440" w:type="dxa"/>
            <w:tcBorders>
              <w:top w:val="nil"/>
              <w:left w:val="single" w:sz="8" w:space="0" w:color="auto"/>
              <w:bottom w:val="nil"/>
              <w:right w:val="nil"/>
            </w:tcBorders>
            <w:shd w:val="clear" w:color="auto" w:fill="auto"/>
          </w:tcPr>
          <w:p w:rsidR="009907D5" w:rsidRPr="00B07325" w:rsidRDefault="009907D5" w:rsidP="00B07325">
            <w:pPr>
              <w:widowControl/>
              <w:autoSpaceDE/>
              <w:autoSpaceDN/>
              <w:adjustRightInd/>
              <w:jc w:val="center"/>
            </w:pPr>
          </w:p>
        </w:tc>
        <w:tc>
          <w:tcPr>
            <w:tcW w:w="1627" w:type="dxa"/>
            <w:tcBorders>
              <w:top w:val="nil"/>
              <w:left w:val="single" w:sz="8" w:space="0" w:color="auto"/>
              <w:bottom w:val="nil"/>
              <w:right w:val="nil"/>
            </w:tcBorders>
            <w:shd w:val="clear" w:color="auto" w:fill="auto"/>
          </w:tcPr>
          <w:p w:rsidR="009907D5" w:rsidRPr="00B07325" w:rsidRDefault="009907D5" w:rsidP="00B07325">
            <w:pPr>
              <w:widowControl/>
              <w:autoSpaceDE/>
              <w:autoSpaceDN/>
              <w:adjustRightInd/>
              <w:jc w:val="center"/>
            </w:pPr>
          </w:p>
        </w:tc>
        <w:tc>
          <w:tcPr>
            <w:tcW w:w="1344" w:type="dxa"/>
            <w:tcBorders>
              <w:top w:val="nil"/>
              <w:left w:val="single" w:sz="8" w:space="0" w:color="auto"/>
              <w:bottom w:val="nil"/>
              <w:right w:val="double" w:sz="6" w:space="0" w:color="auto"/>
            </w:tcBorders>
            <w:shd w:val="clear" w:color="auto" w:fill="auto"/>
          </w:tcPr>
          <w:p w:rsidR="009907D5" w:rsidRPr="00B07325" w:rsidRDefault="009907D5" w:rsidP="00B07325">
            <w:pPr>
              <w:widowControl/>
              <w:autoSpaceDE/>
              <w:autoSpaceDN/>
              <w:adjustRightInd/>
              <w:jc w:val="center"/>
            </w:pPr>
          </w:p>
        </w:tc>
      </w:tr>
      <w:tr w:rsidR="00FA2173" w:rsidTr="007F06A9">
        <w:trPr>
          <w:trHeight w:val="214"/>
          <w:jc w:val="center"/>
        </w:trPr>
        <w:tc>
          <w:tcPr>
            <w:tcW w:w="3240" w:type="dxa"/>
            <w:tcBorders>
              <w:top w:val="nil"/>
              <w:left w:val="double" w:sz="6" w:space="0" w:color="auto"/>
              <w:bottom w:val="nil"/>
              <w:right w:val="nil"/>
            </w:tcBorders>
            <w:shd w:val="clear" w:color="auto" w:fill="auto"/>
          </w:tcPr>
          <w:p w:rsidR="00FA2173" w:rsidRPr="00B07325" w:rsidRDefault="00FA2173" w:rsidP="006F325A">
            <w:pPr>
              <w:widowControl/>
              <w:autoSpaceDE/>
              <w:autoSpaceDN/>
              <w:adjustRightInd/>
              <w:ind w:left="378"/>
            </w:pPr>
            <w:r w:rsidRPr="00B07325">
              <w:t>Managerial</w:t>
            </w:r>
            <w:r w:rsidR="00B63804">
              <w:t>.</w:t>
            </w:r>
          </w:p>
        </w:tc>
        <w:tc>
          <w:tcPr>
            <w:tcW w:w="1714" w:type="dxa"/>
            <w:tcBorders>
              <w:top w:val="nil"/>
              <w:left w:val="single" w:sz="8" w:space="0" w:color="auto"/>
              <w:bottom w:val="nil"/>
              <w:right w:val="nil"/>
            </w:tcBorders>
            <w:shd w:val="clear" w:color="auto" w:fill="auto"/>
          </w:tcPr>
          <w:p w:rsidR="00FA2173" w:rsidRPr="00B07325" w:rsidRDefault="00FA2173" w:rsidP="004161CD">
            <w:pPr>
              <w:widowControl/>
              <w:autoSpaceDE/>
              <w:autoSpaceDN/>
              <w:adjustRightInd/>
              <w:jc w:val="center"/>
            </w:pPr>
            <w:r w:rsidRPr="00B07325">
              <w:t>5</w:t>
            </w:r>
          </w:p>
        </w:tc>
        <w:tc>
          <w:tcPr>
            <w:tcW w:w="1440" w:type="dxa"/>
            <w:tcBorders>
              <w:top w:val="nil"/>
              <w:left w:val="single" w:sz="8" w:space="0" w:color="auto"/>
              <w:bottom w:val="nil"/>
              <w:right w:val="nil"/>
            </w:tcBorders>
            <w:shd w:val="clear" w:color="auto" w:fill="auto"/>
          </w:tcPr>
          <w:p w:rsidR="00FA2173" w:rsidRPr="00B07325" w:rsidRDefault="00FA2173" w:rsidP="004161CD">
            <w:pPr>
              <w:widowControl/>
              <w:autoSpaceDE/>
              <w:autoSpaceDN/>
              <w:adjustRightInd/>
              <w:jc w:val="center"/>
            </w:pPr>
            <w:r w:rsidRPr="00B07325">
              <w:t>$459.70</w:t>
            </w:r>
          </w:p>
        </w:tc>
        <w:tc>
          <w:tcPr>
            <w:tcW w:w="1627" w:type="dxa"/>
            <w:tcBorders>
              <w:top w:val="nil"/>
              <w:left w:val="single" w:sz="8" w:space="0" w:color="auto"/>
              <w:bottom w:val="nil"/>
              <w:right w:val="nil"/>
            </w:tcBorders>
            <w:shd w:val="clear" w:color="auto" w:fill="auto"/>
          </w:tcPr>
          <w:p w:rsidR="00FA2173" w:rsidRPr="00B07325" w:rsidRDefault="00FA2173" w:rsidP="004161CD">
            <w:pPr>
              <w:widowControl/>
              <w:autoSpaceDE/>
              <w:autoSpaceDN/>
              <w:adjustRightInd/>
              <w:jc w:val="center"/>
            </w:pPr>
            <w:r w:rsidRPr="00B07325">
              <w:t>0</w:t>
            </w:r>
          </w:p>
        </w:tc>
        <w:tc>
          <w:tcPr>
            <w:tcW w:w="1344" w:type="dxa"/>
            <w:tcBorders>
              <w:top w:val="nil"/>
              <w:left w:val="single" w:sz="8" w:space="0" w:color="auto"/>
              <w:bottom w:val="nil"/>
              <w:right w:val="double" w:sz="6" w:space="0" w:color="auto"/>
            </w:tcBorders>
            <w:shd w:val="clear" w:color="auto" w:fill="auto"/>
          </w:tcPr>
          <w:p w:rsidR="00FA2173" w:rsidRPr="00B07325" w:rsidRDefault="00FA2173" w:rsidP="004161CD">
            <w:pPr>
              <w:widowControl/>
              <w:autoSpaceDE/>
              <w:autoSpaceDN/>
              <w:adjustRightInd/>
              <w:jc w:val="center"/>
            </w:pPr>
            <w:r w:rsidRPr="00B07325">
              <w:t>0</w:t>
            </w:r>
          </w:p>
        </w:tc>
      </w:tr>
      <w:tr w:rsidR="00FA2173" w:rsidTr="007F06A9">
        <w:trPr>
          <w:trHeight w:val="205"/>
          <w:jc w:val="center"/>
        </w:trPr>
        <w:tc>
          <w:tcPr>
            <w:tcW w:w="3240" w:type="dxa"/>
            <w:tcBorders>
              <w:top w:val="nil"/>
              <w:left w:val="double" w:sz="6" w:space="0" w:color="auto"/>
              <w:bottom w:val="nil"/>
              <w:right w:val="nil"/>
            </w:tcBorders>
            <w:shd w:val="clear" w:color="auto" w:fill="auto"/>
          </w:tcPr>
          <w:p w:rsidR="00FA2173" w:rsidRPr="00B07325" w:rsidRDefault="00FA2173" w:rsidP="006F325A">
            <w:pPr>
              <w:widowControl/>
              <w:autoSpaceDE/>
              <w:autoSpaceDN/>
              <w:adjustRightInd/>
              <w:ind w:left="378"/>
            </w:pPr>
            <w:r w:rsidRPr="00B07325">
              <w:t>Technical</w:t>
            </w:r>
            <w:r w:rsidR="00B63804">
              <w:t>.</w:t>
            </w:r>
          </w:p>
        </w:tc>
        <w:tc>
          <w:tcPr>
            <w:tcW w:w="1714" w:type="dxa"/>
            <w:tcBorders>
              <w:top w:val="nil"/>
              <w:left w:val="single" w:sz="8" w:space="0" w:color="auto"/>
              <w:bottom w:val="nil"/>
              <w:right w:val="nil"/>
            </w:tcBorders>
            <w:shd w:val="clear" w:color="auto" w:fill="auto"/>
          </w:tcPr>
          <w:p w:rsidR="00FA2173" w:rsidRPr="00B07325" w:rsidRDefault="00FA2173" w:rsidP="004161CD">
            <w:pPr>
              <w:widowControl/>
              <w:autoSpaceDE/>
              <w:autoSpaceDN/>
              <w:adjustRightInd/>
              <w:jc w:val="center"/>
            </w:pPr>
            <w:r w:rsidRPr="00B07325">
              <w:t>25</w:t>
            </w:r>
          </w:p>
        </w:tc>
        <w:tc>
          <w:tcPr>
            <w:tcW w:w="1440" w:type="dxa"/>
            <w:tcBorders>
              <w:top w:val="nil"/>
              <w:left w:val="single" w:sz="8" w:space="0" w:color="auto"/>
              <w:bottom w:val="nil"/>
              <w:right w:val="nil"/>
            </w:tcBorders>
            <w:shd w:val="clear" w:color="auto" w:fill="auto"/>
          </w:tcPr>
          <w:p w:rsidR="00FA2173" w:rsidRPr="00B07325" w:rsidRDefault="00FA2173" w:rsidP="004161CD">
            <w:pPr>
              <w:widowControl/>
              <w:autoSpaceDE/>
              <w:autoSpaceDN/>
              <w:adjustRightInd/>
              <w:jc w:val="center"/>
            </w:pPr>
            <w:r w:rsidRPr="00B07325">
              <w:t>$1,593.50</w:t>
            </w:r>
          </w:p>
        </w:tc>
        <w:tc>
          <w:tcPr>
            <w:tcW w:w="1627" w:type="dxa"/>
            <w:tcBorders>
              <w:top w:val="nil"/>
              <w:left w:val="single" w:sz="8" w:space="0" w:color="auto"/>
              <w:bottom w:val="nil"/>
              <w:right w:val="nil"/>
            </w:tcBorders>
            <w:shd w:val="clear" w:color="auto" w:fill="auto"/>
          </w:tcPr>
          <w:p w:rsidR="00FA2173" w:rsidRPr="00B07325" w:rsidRDefault="00FA2173" w:rsidP="004161CD">
            <w:pPr>
              <w:widowControl/>
              <w:autoSpaceDE/>
              <w:autoSpaceDN/>
              <w:adjustRightInd/>
              <w:jc w:val="center"/>
            </w:pPr>
            <w:r w:rsidRPr="00B07325">
              <w:t>0</w:t>
            </w:r>
          </w:p>
        </w:tc>
        <w:tc>
          <w:tcPr>
            <w:tcW w:w="1344" w:type="dxa"/>
            <w:tcBorders>
              <w:top w:val="nil"/>
              <w:left w:val="single" w:sz="8" w:space="0" w:color="auto"/>
              <w:bottom w:val="nil"/>
              <w:right w:val="double" w:sz="6" w:space="0" w:color="auto"/>
            </w:tcBorders>
            <w:shd w:val="clear" w:color="auto" w:fill="auto"/>
          </w:tcPr>
          <w:p w:rsidR="00FA2173" w:rsidRPr="00B07325" w:rsidRDefault="00FA2173" w:rsidP="004161CD">
            <w:pPr>
              <w:widowControl/>
              <w:autoSpaceDE/>
              <w:autoSpaceDN/>
              <w:adjustRightInd/>
              <w:jc w:val="center"/>
            </w:pPr>
            <w:r w:rsidRPr="00B07325">
              <w:t>0</w:t>
            </w:r>
          </w:p>
        </w:tc>
      </w:tr>
      <w:tr w:rsidR="009907D5" w:rsidTr="007F06A9">
        <w:trPr>
          <w:trHeight w:val="205"/>
          <w:jc w:val="center"/>
        </w:trPr>
        <w:tc>
          <w:tcPr>
            <w:tcW w:w="3240" w:type="dxa"/>
            <w:tcBorders>
              <w:top w:val="nil"/>
              <w:left w:val="double" w:sz="6" w:space="0" w:color="auto"/>
              <w:bottom w:val="nil"/>
              <w:right w:val="nil"/>
            </w:tcBorders>
            <w:shd w:val="clear" w:color="auto" w:fill="auto"/>
          </w:tcPr>
          <w:p w:rsidR="009907D5" w:rsidRPr="00B07325" w:rsidRDefault="009907D5" w:rsidP="00B07325">
            <w:pPr>
              <w:widowControl/>
              <w:autoSpaceDE/>
              <w:autoSpaceDN/>
              <w:adjustRightInd/>
            </w:pPr>
            <w:r w:rsidRPr="00B07325">
              <w:t xml:space="preserve">Excess emissions penalty </w:t>
            </w:r>
            <w:proofErr w:type="spellStart"/>
            <w:r w:rsidRPr="00B07325">
              <w:t>payment</w:t>
            </w:r>
            <w:r w:rsidR="00B07325">
              <w:t>.</w:t>
            </w:r>
            <w:r w:rsidRPr="00B07325">
              <w:rPr>
                <w:vertAlign w:val="superscript"/>
              </w:rPr>
              <w:t>e</w:t>
            </w:r>
            <w:proofErr w:type="spellEnd"/>
          </w:p>
        </w:tc>
        <w:tc>
          <w:tcPr>
            <w:tcW w:w="1714" w:type="dxa"/>
            <w:tcBorders>
              <w:top w:val="nil"/>
              <w:left w:val="single" w:sz="8" w:space="0" w:color="auto"/>
              <w:bottom w:val="nil"/>
              <w:right w:val="nil"/>
            </w:tcBorders>
            <w:shd w:val="clear" w:color="auto" w:fill="auto"/>
          </w:tcPr>
          <w:p w:rsidR="009907D5" w:rsidRPr="00B07325" w:rsidRDefault="009907D5" w:rsidP="00B07325">
            <w:pPr>
              <w:widowControl/>
              <w:autoSpaceDE/>
              <w:autoSpaceDN/>
              <w:adjustRightInd/>
              <w:jc w:val="center"/>
            </w:pPr>
          </w:p>
        </w:tc>
        <w:tc>
          <w:tcPr>
            <w:tcW w:w="1440" w:type="dxa"/>
            <w:tcBorders>
              <w:top w:val="nil"/>
              <w:left w:val="single" w:sz="8" w:space="0" w:color="auto"/>
              <w:bottom w:val="nil"/>
              <w:right w:val="nil"/>
            </w:tcBorders>
            <w:shd w:val="clear" w:color="auto" w:fill="auto"/>
          </w:tcPr>
          <w:p w:rsidR="009907D5" w:rsidRPr="00B07325" w:rsidRDefault="009907D5" w:rsidP="00B07325">
            <w:pPr>
              <w:widowControl/>
              <w:autoSpaceDE/>
              <w:autoSpaceDN/>
              <w:adjustRightInd/>
              <w:jc w:val="center"/>
            </w:pPr>
          </w:p>
        </w:tc>
        <w:tc>
          <w:tcPr>
            <w:tcW w:w="1627" w:type="dxa"/>
            <w:tcBorders>
              <w:top w:val="nil"/>
              <w:left w:val="single" w:sz="8" w:space="0" w:color="auto"/>
              <w:bottom w:val="nil"/>
              <w:right w:val="nil"/>
            </w:tcBorders>
            <w:shd w:val="clear" w:color="auto" w:fill="auto"/>
          </w:tcPr>
          <w:p w:rsidR="009907D5" w:rsidRPr="00B07325" w:rsidRDefault="009907D5" w:rsidP="00B07325">
            <w:pPr>
              <w:widowControl/>
              <w:autoSpaceDE/>
              <w:autoSpaceDN/>
              <w:adjustRightInd/>
              <w:jc w:val="center"/>
            </w:pPr>
          </w:p>
        </w:tc>
        <w:tc>
          <w:tcPr>
            <w:tcW w:w="1344" w:type="dxa"/>
            <w:tcBorders>
              <w:top w:val="nil"/>
              <w:left w:val="single" w:sz="8" w:space="0" w:color="auto"/>
              <w:bottom w:val="nil"/>
              <w:right w:val="double" w:sz="6" w:space="0" w:color="auto"/>
            </w:tcBorders>
            <w:shd w:val="clear" w:color="auto" w:fill="auto"/>
          </w:tcPr>
          <w:p w:rsidR="009907D5" w:rsidRPr="00B07325" w:rsidRDefault="009907D5" w:rsidP="00B07325">
            <w:pPr>
              <w:widowControl/>
              <w:autoSpaceDE/>
              <w:autoSpaceDN/>
              <w:adjustRightInd/>
              <w:jc w:val="center"/>
            </w:pPr>
          </w:p>
        </w:tc>
      </w:tr>
      <w:tr w:rsidR="00FA2173" w:rsidTr="007F06A9">
        <w:trPr>
          <w:trHeight w:val="187"/>
          <w:jc w:val="center"/>
        </w:trPr>
        <w:tc>
          <w:tcPr>
            <w:tcW w:w="3240" w:type="dxa"/>
            <w:tcBorders>
              <w:top w:val="nil"/>
              <w:left w:val="double" w:sz="6" w:space="0" w:color="auto"/>
              <w:bottom w:val="nil"/>
              <w:right w:val="nil"/>
            </w:tcBorders>
            <w:shd w:val="clear" w:color="auto" w:fill="auto"/>
          </w:tcPr>
          <w:p w:rsidR="00FA2173" w:rsidRPr="00B07325" w:rsidRDefault="00FA2173" w:rsidP="006F325A">
            <w:pPr>
              <w:widowControl/>
              <w:autoSpaceDE/>
              <w:autoSpaceDN/>
              <w:adjustRightInd/>
              <w:ind w:left="378"/>
            </w:pPr>
            <w:r w:rsidRPr="00B07325">
              <w:t>Managerial</w:t>
            </w:r>
            <w:r w:rsidR="00B63804">
              <w:t>.</w:t>
            </w:r>
          </w:p>
        </w:tc>
        <w:tc>
          <w:tcPr>
            <w:tcW w:w="1714" w:type="dxa"/>
            <w:tcBorders>
              <w:top w:val="nil"/>
              <w:left w:val="single" w:sz="8" w:space="0" w:color="auto"/>
              <w:bottom w:val="nil"/>
              <w:right w:val="nil"/>
            </w:tcBorders>
            <w:shd w:val="clear" w:color="auto" w:fill="auto"/>
          </w:tcPr>
          <w:p w:rsidR="00FA2173" w:rsidRPr="00B07325" w:rsidRDefault="00FA2173" w:rsidP="004161CD">
            <w:pPr>
              <w:widowControl/>
              <w:autoSpaceDE/>
              <w:autoSpaceDN/>
              <w:adjustRightInd/>
              <w:jc w:val="center"/>
            </w:pPr>
            <w:r w:rsidRPr="00B07325">
              <w:t>4</w:t>
            </w:r>
          </w:p>
        </w:tc>
        <w:tc>
          <w:tcPr>
            <w:tcW w:w="1440" w:type="dxa"/>
            <w:tcBorders>
              <w:top w:val="nil"/>
              <w:left w:val="single" w:sz="8" w:space="0" w:color="auto"/>
              <w:bottom w:val="nil"/>
              <w:right w:val="nil"/>
            </w:tcBorders>
            <w:shd w:val="clear" w:color="auto" w:fill="auto"/>
          </w:tcPr>
          <w:p w:rsidR="00FA2173" w:rsidRPr="00B07325" w:rsidRDefault="00FA2173" w:rsidP="004161CD">
            <w:pPr>
              <w:widowControl/>
              <w:autoSpaceDE/>
              <w:autoSpaceDN/>
              <w:adjustRightInd/>
              <w:jc w:val="center"/>
            </w:pPr>
            <w:r w:rsidRPr="00B07325">
              <w:t>$367.76</w:t>
            </w:r>
          </w:p>
        </w:tc>
        <w:tc>
          <w:tcPr>
            <w:tcW w:w="1627" w:type="dxa"/>
            <w:tcBorders>
              <w:top w:val="nil"/>
              <w:left w:val="single" w:sz="8" w:space="0" w:color="auto"/>
              <w:bottom w:val="nil"/>
              <w:right w:val="nil"/>
            </w:tcBorders>
            <w:shd w:val="clear" w:color="auto" w:fill="auto"/>
          </w:tcPr>
          <w:p w:rsidR="00FA2173" w:rsidRPr="00B07325" w:rsidRDefault="00FA2173" w:rsidP="004161CD">
            <w:pPr>
              <w:widowControl/>
              <w:autoSpaceDE/>
              <w:autoSpaceDN/>
              <w:adjustRightInd/>
              <w:jc w:val="center"/>
            </w:pPr>
            <w:r w:rsidRPr="00B07325">
              <w:t>0</w:t>
            </w:r>
          </w:p>
        </w:tc>
        <w:tc>
          <w:tcPr>
            <w:tcW w:w="1344" w:type="dxa"/>
            <w:tcBorders>
              <w:top w:val="nil"/>
              <w:left w:val="single" w:sz="8" w:space="0" w:color="auto"/>
              <w:bottom w:val="nil"/>
              <w:right w:val="double" w:sz="6" w:space="0" w:color="auto"/>
            </w:tcBorders>
            <w:shd w:val="clear" w:color="auto" w:fill="auto"/>
          </w:tcPr>
          <w:p w:rsidR="00FA2173" w:rsidRPr="00B07325" w:rsidRDefault="00FA2173" w:rsidP="004161CD">
            <w:pPr>
              <w:widowControl/>
              <w:autoSpaceDE/>
              <w:autoSpaceDN/>
              <w:adjustRightInd/>
              <w:jc w:val="center"/>
            </w:pPr>
            <w:r w:rsidRPr="00B07325">
              <w:t>0</w:t>
            </w:r>
          </w:p>
        </w:tc>
      </w:tr>
      <w:tr w:rsidR="00FA2173" w:rsidTr="003A78BC">
        <w:trPr>
          <w:trHeight w:val="232"/>
          <w:jc w:val="center"/>
        </w:trPr>
        <w:tc>
          <w:tcPr>
            <w:tcW w:w="3240" w:type="dxa"/>
            <w:tcBorders>
              <w:top w:val="nil"/>
              <w:left w:val="double" w:sz="6" w:space="0" w:color="auto"/>
              <w:bottom w:val="nil"/>
              <w:right w:val="nil"/>
            </w:tcBorders>
            <w:shd w:val="clear" w:color="auto" w:fill="auto"/>
          </w:tcPr>
          <w:p w:rsidR="00FA2173" w:rsidRPr="00B07325" w:rsidRDefault="00FA2173" w:rsidP="006F325A">
            <w:pPr>
              <w:widowControl/>
              <w:autoSpaceDE/>
              <w:autoSpaceDN/>
              <w:adjustRightInd/>
              <w:ind w:left="378"/>
            </w:pPr>
            <w:r w:rsidRPr="00B07325">
              <w:t>Technical</w:t>
            </w:r>
            <w:r w:rsidR="00B63804">
              <w:t>.</w:t>
            </w:r>
          </w:p>
        </w:tc>
        <w:tc>
          <w:tcPr>
            <w:tcW w:w="1714" w:type="dxa"/>
            <w:tcBorders>
              <w:top w:val="nil"/>
              <w:left w:val="single" w:sz="8" w:space="0" w:color="auto"/>
              <w:bottom w:val="nil"/>
              <w:right w:val="nil"/>
            </w:tcBorders>
            <w:shd w:val="clear" w:color="auto" w:fill="auto"/>
          </w:tcPr>
          <w:p w:rsidR="00FA2173" w:rsidRPr="00B07325" w:rsidRDefault="00FA2173" w:rsidP="004161CD">
            <w:pPr>
              <w:widowControl/>
              <w:autoSpaceDE/>
              <w:autoSpaceDN/>
              <w:adjustRightInd/>
              <w:jc w:val="center"/>
            </w:pPr>
            <w:r w:rsidRPr="00B07325">
              <w:t>5</w:t>
            </w:r>
          </w:p>
        </w:tc>
        <w:tc>
          <w:tcPr>
            <w:tcW w:w="1440" w:type="dxa"/>
            <w:tcBorders>
              <w:top w:val="nil"/>
              <w:left w:val="single" w:sz="8" w:space="0" w:color="auto"/>
              <w:bottom w:val="nil"/>
              <w:right w:val="nil"/>
            </w:tcBorders>
            <w:shd w:val="clear" w:color="auto" w:fill="auto"/>
          </w:tcPr>
          <w:p w:rsidR="00FA2173" w:rsidRPr="00B07325" w:rsidRDefault="00FA2173" w:rsidP="004161CD">
            <w:pPr>
              <w:widowControl/>
              <w:autoSpaceDE/>
              <w:autoSpaceDN/>
              <w:adjustRightInd/>
              <w:jc w:val="center"/>
            </w:pPr>
            <w:r w:rsidRPr="00B07325">
              <w:t>$318.70</w:t>
            </w:r>
          </w:p>
        </w:tc>
        <w:tc>
          <w:tcPr>
            <w:tcW w:w="1627" w:type="dxa"/>
            <w:tcBorders>
              <w:top w:val="nil"/>
              <w:left w:val="single" w:sz="8" w:space="0" w:color="auto"/>
              <w:bottom w:val="nil"/>
              <w:right w:val="nil"/>
            </w:tcBorders>
            <w:shd w:val="clear" w:color="auto" w:fill="auto"/>
          </w:tcPr>
          <w:p w:rsidR="00FA2173" w:rsidRPr="00B07325" w:rsidRDefault="00FA2173" w:rsidP="004161CD">
            <w:pPr>
              <w:widowControl/>
              <w:autoSpaceDE/>
              <w:autoSpaceDN/>
              <w:adjustRightInd/>
              <w:jc w:val="center"/>
            </w:pPr>
            <w:r w:rsidRPr="00B07325">
              <w:t>0</w:t>
            </w:r>
          </w:p>
        </w:tc>
        <w:tc>
          <w:tcPr>
            <w:tcW w:w="1344" w:type="dxa"/>
            <w:tcBorders>
              <w:top w:val="nil"/>
              <w:left w:val="single" w:sz="8" w:space="0" w:color="auto"/>
              <w:bottom w:val="nil"/>
              <w:right w:val="double" w:sz="6" w:space="0" w:color="auto"/>
            </w:tcBorders>
            <w:shd w:val="clear" w:color="auto" w:fill="auto"/>
          </w:tcPr>
          <w:p w:rsidR="00FA2173" w:rsidRPr="00B07325" w:rsidRDefault="00FA2173" w:rsidP="004161CD">
            <w:pPr>
              <w:widowControl/>
              <w:autoSpaceDE/>
              <w:autoSpaceDN/>
              <w:adjustRightInd/>
              <w:jc w:val="center"/>
            </w:pPr>
            <w:r w:rsidRPr="00B07325">
              <w:t>0</w:t>
            </w:r>
          </w:p>
        </w:tc>
      </w:tr>
      <w:tr w:rsidR="009907D5" w:rsidRPr="00B07325" w:rsidTr="007F06A9">
        <w:trPr>
          <w:trHeight w:val="169"/>
          <w:jc w:val="center"/>
        </w:trPr>
        <w:tc>
          <w:tcPr>
            <w:tcW w:w="3240" w:type="dxa"/>
            <w:tcBorders>
              <w:top w:val="double" w:sz="6" w:space="0" w:color="auto"/>
              <w:left w:val="double" w:sz="6" w:space="0" w:color="auto"/>
              <w:bottom w:val="double" w:sz="6" w:space="0" w:color="auto"/>
              <w:right w:val="nil"/>
            </w:tcBorders>
            <w:shd w:val="clear" w:color="auto" w:fill="auto"/>
          </w:tcPr>
          <w:p w:rsidR="009907D5" w:rsidRPr="00B07325" w:rsidRDefault="009907D5" w:rsidP="00B07325">
            <w:pPr>
              <w:widowControl/>
              <w:autoSpaceDE/>
              <w:autoSpaceDN/>
              <w:adjustRightInd/>
              <w:rPr>
                <w:b/>
              </w:rPr>
            </w:pPr>
            <w:r w:rsidRPr="00B07325">
              <w:rPr>
                <w:b/>
              </w:rPr>
              <w:t>TOTAL</w:t>
            </w:r>
          </w:p>
        </w:tc>
        <w:tc>
          <w:tcPr>
            <w:tcW w:w="1714" w:type="dxa"/>
            <w:tcBorders>
              <w:top w:val="double" w:sz="6" w:space="0" w:color="auto"/>
              <w:left w:val="single" w:sz="8" w:space="0" w:color="auto"/>
              <w:bottom w:val="double" w:sz="6" w:space="0" w:color="auto"/>
              <w:right w:val="nil"/>
            </w:tcBorders>
            <w:shd w:val="clear" w:color="auto" w:fill="auto"/>
          </w:tcPr>
          <w:p w:rsidR="009907D5" w:rsidRPr="00B07325" w:rsidRDefault="009907D5" w:rsidP="00B07325">
            <w:pPr>
              <w:widowControl/>
              <w:autoSpaceDE/>
              <w:autoSpaceDN/>
              <w:adjustRightInd/>
              <w:jc w:val="center"/>
              <w:rPr>
                <w:b/>
              </w:rPr>
            </w:pPr>
          </w:p>
        </w:tc>
        <w:tc>
          <w:tcPr>
            <w:tcW w:w="1440" w:type="dxa"/>
            <w:tcBorders>
              <w:top w:val="double" w:sz="6" w:space="0" w:color="auto"/>
              <w:left w:val="single" w:sz="8" w:space="0" w:color="auto"/>
              <w:bottom w:val="double" w:sz="6" w:space="0" w:color="auto"/>
              <w:right w:val="nil"/>
            </w:tcBorders>
            <w:shd w:val="clear" w:color="auto" w:fill="auto"/>
          </w:tcPr>
          <w:p w:rsidR="009907D5" w:rsidRPr="00B07325" w:rsidRDefault="009907D5" w:rsidP="00B07325">
            <w:pPr>
              <w:widowControl/>
              <w:autoSpaceDE/>
              <w:autoSpaceDN/>
              <w:adjustRightInd/>
              <w:jc w:val="center"/>
              <w:rPr>
                <w:b/>
              </w:rPr>
            </w:pPr>
          </w:p>
        </w:tc>
        <w:tc>
          <w:tcPr>
            <w:tcW w:w="1627" w:type="dxa"/>
            <w:tcBorders>
              <w:top w:val="double" w:sz="6" w:space="0" w:color="auto"/>
              <w:left w:val="single" w:sz="8" w:space="0" w:color="auto"/>
              <w:bottom w:val="double" w:sz="6" w:space="0" w:color="auto"/>
              <w:right w:val="nil"/>
            </w:tcBorders>
            <w:shd w:val="clear" w:color="auto" w:fill="auto"/>
          </w:tcPr>
          <w:p w:rsidR="009907D5" w:rsidRPr="00B07325" w:rsidRDefault="007A678E" w:rsidP="007A678E">
            <w:pPr>
              <w:widowControl/>
              <w:autoSpaceDE/>
              <w:autoSpaceDN/>
              <w:adjustRightInd/>
              <w:jc w:val="center"/>
              <w:rPr>
                <w:b/>
              </w:rPr>
            </w:pPr>
            <w:r>
              <w:rPr>
                <w:b/>
              </w:rPr>
              <w:t>484</w:t>
            </w:r>
          </w:p>
        </w:tc>
        <w:tc>
          <w:tcPr>
            <w:tcW w:w="1344" w:type="dxa"/>
            <w:tcBorders>
              <w:top w:val="double" w:sz="6" w:space="0" w:color="auto"/>
              <w:left w:val="single" w:sz="8" w:space="0" w:color="auto"/>
              <w:bottom w:val="double" w:sz="6" w:space="0" w:color="auto"/>
              <w:right w:val="double" w:sz="6" w:space="0" w:color="auto"/>
            </w:tcBorders>
            <w:shd w:val="clear" w:color="auto" w:fill="auto"/>
          </w:tcPr>
          <w:p w:rsidR="009907D5" w:rsidRPr="00B07325" w:rsidRDefault="00BD4809" w:rsidP="007A678E">
            <w:pPr>
              <w:widowControl/>
              <w:autoSpaceDE/>
              <w:autoSpaceDN/>
              <w:adjustRightInd/>
              <w:jc w:val="center"/>
              <w:rPr>
                <w:b/>
              </w:rPr>
            </w:pPr>
            <w:r>
              <w:rPr>
                <w:b/>
              </w:rPr>
              <w:t>$</w:t>
            </w:r>
            <w:r w:rsidR="007A678E">
              <w:rPr>
                <w:b/>
              </w:rPr>
              <w:t>34,849.72</w:t>
            </w:r>
          </w:p>
        </w:tc>
      </w:tr>
    </w:tbl>
    <w:p w:rsidR="009907D5" w:rsidRPr="005F3BFB" w:rsidRDefault="009907D5" w:rsidP="00AB4259">
      <w:pPr>
        <w:widowControl/>
        <w:numPr>
          <w:ilvl w:val="12"/>
          <w:numId w:val="0"/>
        </w:numPr>
        <w:rPr>
          <w:sz w:val="24"/>
          <w:szCs w:val="22"/>
        </w:rPr>
      </w:pPr>
    </w:p>
    <w:p w:rsidR="009907D5" w:rsidRPr="005C19C4" w:rsidRDefault="009907D5" w:rsidP="005C19C4">
      <w:pPr>
        <w:widowControl/>
        <w:numPr>
          <w:ilvl w:val="12"/>
          <w:numId w:val="0"/>
        </w:numPr>
        <w:ind w:left="1080" w:hanging="180"/>
      </w:pPr>
      <w:r w:rsidRPr="005C19C4">
        <w:rPr>
          <w:vertAlign w:val="superscript"/>
        </w:rPr>
        <w:t>a</w:t>
      </w:r>
      <w:r w:rsidR="005C19C4" w:rsidRPr="005C19C4">
        <w:tab/>
      </w:r>
      <w:r w:rsidR="00416989" w:rsidRPr="005C19C4">
        <w:t>20</w:t>
      </w:r>
      <w:r w:rsidR="00416989">
        <w:t>12</w:t>
      </w:r>
      <w:r w:rsidR="00416989" w:rsidRPr="005C19C4">
        <w:t xml:space="preserve"> </w:t>
      </w:r>
      <w:r w:rsidRPr="005C19C4">
        <w:t>dollars.</w:t>
      </w:r>
    </w:p>
    <w:p w:rsidR="009907D5" w:rsidRPr="005C19C4" w:rsidRDefault="009907D5" w:rsidP="005C19C4">
      <w:pPr>
        <w:widowControl/>
        <w:numPr>
          <w:ilvl w:val="12"/>
          <w:numId w:val="0"/>
        </w:numPr>
        <w:ind w:left="1080" w:hanging="180"/>
      </w:pPr>
      <w:r w:rsidRPr="005C19C4">
        <w:rPr>
          <w:vertAlign w:val="superscript"/>
        </w:rPr>
        <w:t>b</w:t>
      </w:r>
      <w:r w:rsidR="005C19C4" w:rsidRPr="005C19C4">
        <w:tab/>
      </w:r>
      <w:r w:rsidRPr="005C19C4">
        <w:t xml:space="preserve">Assumes </w:t>
      </w:r>
      <w:r w:rsidR="007A678E">
        <w:t>5</w:t>
      </w:r>
      <w:r w:rsidR="00BD4809" w:rsidRPr="005C19C4">
        <w:t xml:space="preserve"> </w:t>
      </w:r>
      <w:r w:rsidRPr="005C19C4">
        <w:t xml:space="preserve">opt-in sources and </w:t>
      </w:r>
      <w:r w:rsidR="007A678E">
        <w:t>20</w:t>
      </w:r>
      <w:r w:rsidRPr="005C19C4">
        <w:t xml:space="preserve"> opt-in units.</w:t>
      </w:r>
    </w:p>
    <w:p w:rsidR="009907D5" w:rsidRPr="005C19C4" w:rsidRDefault="009907D5" w:rsidP="005C19C4">
      <w:pPr>
        <w:widowControl/>
        <w:numPr>
          <w:ilvl w:val="12"/>
          <w:numId w:val="0"/>
        </w:numPr>
        <w:ind w:left="1080" w:hanging="180"/>
      </w:pPr>
      <w:r w:rsidRPr="005C19C4">
        <w:rPr>
          <w:vertAlign w:val="superscript"/>
        </w:rPr>
        <w:t>c</w:t>
      </w:r>
      <w:r w:rsidR="005C19C4" w:rsidRPr="005C19C4">
        <w:tab/>
      </w:r>
      <w:r w:rsidRPr="005C19C4">
        <w:t xml:space="preserve">Assumes </w:t>
      </w:r>
      <w:r w:rsidR="007A678E">
        <w:t>5</w:t>
      </w:r>
      <w:r w:rsidRPr="005C19C4">
        <w:t>sources file reports.</w:t>
      </w:r>
    </w:p>
    <w:p w:rsidR="009907D5" w:rsidRPr="005C19C4" w:rsidRDefault="009907D5" w:rsidP="005C19C4">
      <w:pPr>
        <w:widowControl/>
        <w:numPr>
          <w:ilvl w:val="12"/>
          <w:numId w:val="0"/>
        </w:numPr>
        <w:ind w:left="1080" w:hanging="180"/>
      </w:pPr>
      <w:r w:rsidRPr="005C19C4">
        <w:rPr>
          <w:vertAlign w:val="superscript"/>
        </w:rPr>
        <w:t>d</w:t>
      </w:r>
      <w:r w:rsidR="005C19C4" w:rsidRPr="005C19C4">
        <w:tab/>
      </w:r>
      <w:r w:rsidRPr="005C19C4">
        <w:t xml:space="preserve">Assumes </w:t>
      </w:r>
      <w:r w:rsidR="00BD4809">
        <w:t>zero</w:t>
      </w:r>
      <w:r w:rsidRPr="005C19C4">
        <w:t xml:space="preserve"> opt-in units submit allowance deduction forms.</w:t>
      </w:r>
    </w:p>
    <w:p w:rsidR="009907D5" w:rsidRPr="005C19C4" w:rsidRDefault="009907D5" w:rsidP="005C19C4">
      <w:pPr>
        <w:widowControl/>
        <w:numPr>
          <w:ilvl w:val="12"/>
          <w:numId w:val="0"/>
        </w:numPr>
        <w:ind w:left="1080" w:hanging="180"/>
      </w:pPr>
      <w:r w:rsidRPr="005C19C4">
        <w:rPr>
          <w:vertAlign w:val="superscript"/>
        </w:rPr>
        <w:lastRenderedPageBreak/>
        <w:t>e</w:t>
      </w:r>
      <w:r w:rsidR="005C19C4" w:rsidRPr="005C19C4">
        <w:tab/>
      </w:r>
      <w:r w:rsidRPr="005C19C4">
        <w:t>EPA assumes no sources will claim savings from energy conservation or improved unit efficiency or have excess emissions.</w:t>
      </w:r>
    </w:p>
    <w:p w:rsidR="009907D5" w:rsidRPr="006831BE" w:rsidRDefault="009907D5" w:rsidP="00AB4259">
      <w:pPr>
        <w:keepNext/>
        <w:widowControl/>
        <w:numPr>
          <w:ilvl w:val="12"/>
          <w:numId w:val="0"/>
        </w:numPr>
        <w:jc w:val="center"/>
        <w:rPr>
          <w:b/>
          <w:sz w:val="24"/>
          <w:szCs w:val="24"/>
        </w:rPr>
      </w:pPr>
      <w:r w:rsidRPr="006831BE">
        <w:rPr>
          <w:b/>
          <w:sz w:val="24"/>
          <w:szCs w:val="24"/>
        </w:rPr>
        <w:t xml:space="preserve">EXHIBIT </w:t>
      </w:r>
      <w:r w:rsidR="00BD4809" w:rsidRPr="006831BE">
        <w:rPr>
          <w:b/>
          <w:sz w:val="24"/>
          <w:szCs w:val="24"/>
        </w:rPr>
        <w:t>1</w:t>
      </w:r>
      <w:r w:rsidR="00BD4809">
        <w:rPr>
          <w:b/>
          <w:sz w:val="24"/>
          <w:szCs w:val="24"/>
        </w:rPr>
        <w:t>1</w:t>
      </w:r>
    </w:p>
    <w:p w:rsidR="009907D5" w:rsidRPr="006831BE" w:rsidRDefault="009907D5" w:rsidP="00AB4259">
      <w:pPr>
        <w:keepNext/>
        <w:widowControl/>
        <w:numPr>
          <w:ilvl w:val="12"/>
          <w:numId w:val="0"/>
        </w:numPr>
        <w:jc w:val="center"/>
        <w:rPr>
          <w:b/>
          <w:sz w:val="24"/>
          <w:szCs w:val="24"/>
        </w:rPr>
      </w:pPr>
      <w:r w:rsidRPr="006831BE">
        <w:rPr>
          <w:b/>
          <w:sz w:val="24"/>
          <w:szCs w:val="24"/>
        </w:rPr>
        <w:t>ANNUAL AGENCY BURDEN/COSTS FOR THE OPT-IN PROGRAM</w:t>
      </w:r>
    </w:p>
    <w:p w:rsidR="006831BE" w:rsidRDefault="006831BE" w:rsidP="00AB4259">
      <w:pPr>
        <w:keepNext/>
        <w:widowControl/>
        <w:numPr>
          <w:ilvl w:val="12"/>
          <w:numId w:val="0"/>
        </w:numPr>
        <w:jc w:val="center"/>
        <w:rPr>
          <w:sz w:val="24"/>
          <w:szCs w:val="24"/>
        </w:rPr>
      </w:pPr>
    </w:p>
    <w:tbl>
      <w:tblPr>
        <w:tblW w:w="9360" w:type="dxa"/>
        <w:jc w:val="center"/>
        <w:tblLayout w:type="fixed"/>
        <w:tblCellMar>
          <w:top w:w="72" w:type="dxa"/>
          <w:left w:w="72" w:type="dxa"/>
          <w:bottom w:w="72" w:type="dxa"/>
          <w:right w:w="72" w:type="dxa"/>
        </w:tblCellMar>
        <w:tblLook w:val="0000"/>
      </w:tblPr>
      <w:tblGrid>
        <w:gridCol w:w="3235"/>
        <w:gridCol w:w="1711"/>
        <w:gridCol w:w="1438"/>
        <w:gridCol w:w="1624"/>
        <w:gridCol w:w="1352"/>
      </w:tblGrid>
      <w:tr w:rsidR="006831BE" w:rsidTr="0038763D">
        <w:trPr>
          <w:cantSplit/>
          <w:jc w:val="center"/>
        </w:trPr>
        <w:tc>
          <w:tcPr>
            <w:tcW w:w="3240" w:type="dxa"/>
            <w:tcBorders>
              <w:top w:val="double" w:sz="6" w:space="0" w:color="auto"/>
              <w:left w:val="double" w:sz="6" w:space="0" w:color="auto"/>
              <w:bottom w:val="single" w:sz="6" w:space="0" w:color="auto"/>
              <w:right w:val="nil"/>
            </w:tcBorders>
            <w:shd w:val="pct10" w:color="auto" w:fill="auto"/>
            <w:vAlign w:val="bottom"/>
          </w:tcPr>
          <w:p w:rsidR="006831BE" w:rsidRPr="00B07325" w:rsidRDefault="006831BE" w:rsidP="004161CD">
            <w:pPr>
              <w:keepNext/>
              <w:keepLines/>
              <w:widowControl/>
              <w:autoSpaceDE/>
              <w:autoSpaceDN/>
              <w:adjustRightInd/>
              <w:jc w:val="center"/>
              <w:rPr>
                <w:b/>
                <w:sz w:val="22"/>
                <w:szCs w:val="22"/>
              </w:rPr>
            </w:pPr>
            <w:r w:rsidRPr="00B07325">
              <w:rPr>
                <w:b/>
                <w:sz w:val="22"/>
                <w:szCs w:val="22"/>
              </w:rPr>
              <w:t>Tasks</w:t>
            </w:r>
          </w:p>
        </w:tc>
        <w:tc>
          <w:tcPr>
            <w:tcW w:w="1714" w:type="dxa"/>
            <w:tcBorders>
              <w:top w:val="double" w:sz="6" w:space="0" w:color="auto"/>
              <w:left w:val="single" w:sz="6" w:space="0" w:color="auto"/>
              <w:bottom w:val="single" w:sz="6" w:space="0" w:color="auto"/>
              <w:right w:val="nil"/>
            </w:tcBorders>
            <w:shd w:val="pct10" w:color="auto" w:fill="auto"/>
            <w:vAlign w:val="bottom"/>
          </w:tcPr>
          <w:p w:rsidR="006831BE" w:rsidRPr="00B07325" w:rsidRDefault="006831BE" w:rsidP="004161CD">
            <w:pPr>
              <w:keepNext/>
              <w:keepLines/>
              <w:widowControl/>
              <w:autoSpaceDE/>
              <w:autoSpaceDN/>
              <w:adjustRightInd/>
              <w:jc w:val="center"/>
              <w:rPr>
                <w:b/>
                <w:sz w:val="22"/>
                <w:szCs w:val="22"/>
              </w:rPr>
            </w:pPr>
            <w:r>
              <w:rPr>
                <w:b/>
                <w:sz w:val="22"/>
                <w:szCs w:val="22"/>
              </w:rPr>
              <w:t>Burden Hours p</w:t>
            </w:r>
            <w:r w:rsidRPr="00B07325">
              <w:rPr>
                <w:b/>
                <w:sz w:val="22"/>
                <w:szCs w:val="22"/>
              </w:rPr>
              <w:t>er Occurrence</w:t>
            </w:r>
          </w:p>
        </w:tc>
        <w:tc>
          <w:tcPr>
            <w:tcW w:w="1440" w:type="dxa"/>
            <w:tcBorders>
              <w:top w:val="double" w:sz="6" w:space="0" w:color="auto"/>
              <w:left w:val="single" w:sz="6" w:space="0" w:color="auto"/>
              <w:bottom w:val="single" w:sz="6" w:space="0" w:color="auto"/>
              <w:right w:val="nil"/>
            </w:tcBorders>
            <w:shd w:val="pct10" w:color="auto" w:fill="auto"/>
            <w:vAlign w:val="bottom"/>
          </w:tcPr>
          <w:p w:rsidR="006831BE" w:rsidRPr="00B07325" w:rsidRDefault="006831BE" w:rsidP="004161CD">
            <w:pPr>
              <w:keepNext/>
              <w:keepLines/>
              <w:widowControl/>
              <w:autoSpaceDE/>
              <w:autoSpaceDN/>
              <w:adjustRightInd/>
              <w:jc w:val="center"/>
              <w:rPr>
                <w:b/>
                <w:sz w:val="22"/>
                <w:szCs w:val="22"/>
              </w:rPr>
            </w:pPr>
            <w:r>
              <w:rPr>
                <w:b/>
                <w:sz w:val="22"/>
                <w:szCs w:val="22"/>
              </w:rPr>
              <w:t>Cost p</w:t>
            </w:r>
            <w:r w:rsidRPr="00B07325">
              <w:rPr>
                <w:b/>
                <w:sz w:val="22"/>
                <w:szCs w:val="22"/>
              </w:rPr>
              <w:t xml:space="preserve">er </w:t>
            </w:r>
            <w:proofErr w:type="spellStart"/>
            <w:r w:rsidRPr="00B07325">
              <w:rPr>
                <w:b/>
                <w:sz w:val="22"/>
                <w:szCs w:val="22"/>
              </w:rPr>
              <w:t>Occurrence</w:t>
            </w:r>
            <w:r w:rsidRPr="00B07325">
              <w:rPr>
                <w:b/>
                <w:sz w:val="22"/>
                <w:szCs w:val="22"/>
                <w:vertAlign w:val="superscript"/>
              </w:rPr>
              <w:t>a</w:t>
            </w:r>
            <w:proofErr w:type="spellEnd"/>
          </w:p>
        </w:tc>
        <w:tc>
          <w:tcPr>
            <w:tcW w:w="1627" w:type="dxa"/>
            <w:tcBorders>
              <w:top w:val="double" w:sz="6" w:space="0" w:color="auto"/>
              <w:left w:val="single" w:sz="6" w:space="0" w:color="auto"/>
              <w:bottom w:val="single" w:sz="6" w:space="0" w:color="auto"/>
              <w:right w:val="nil"/>
            </w:tcBorders>
            <w:shd w:val="pct10" w:color="auto" w:fill="auto"/>
            <w:vAlign w:val="bottom"/>
          </w:tcPr>
          <w:p w:rsidR="006831BE" w:rsidRPr="00B07325" w:rsidRDefault="006831BE" w:rsidP="004161CD">
            <w:pPr>
              <w:keepNext/>
              <w:keepLines/>
              <w:widowControl/>
              <w:autoSpaceDE/>
              <w:autoSpaceDN/>
              <w:adjustRightInd/>
              <w:jc w:val="center"/>
              <w:rPr>
                <w:b/>
                <w:sz w:val="22"/>
                <w:szCs w:val="22"/>
              </w:rPr>
            </w:pPr>
            <w:r>
              <w:rPr>
                <w:b/>
                <w:sz w:val="22"/>
                <w:szCs w:val="22"/>
              </w:rPr>
              <w:t>Total Burden (h</w:t>
            </w:r>
            <w:r w:rsidRPr="00B07325">
              <w:rPr>
                <w:b/>
                <w:sz w:val="22"/>
                <w:szCs w:val="22"/>
              </w:rPr>
              <w:t>ours)</w:t>
            </w:r>
          </w:p>
        </w:tc>
        <w:tc>
          <w:tcPr>
            <w:tcW w:w="1354" w:type="dxa"/>
            <w:tcBorders>
              <w:top w:val="double" w:sz="6" w:space="0" w:color="auto"/>
              <w:left w:val="single" w:sz="6" w:space="0" w:color="auto"/>
              <w:bottom w:val="single" w:sz="6" w:space="0" w:color="auto"/>
              <w:right w:val="double" w:sz="6" w:space="0" w:color="auto"/>
            </w:tcBorders>
            <w:shd w:val="pct10" w:color="auto" w:fill="auto"/>
            <w:vAlign w:val="bottom"/>
          </w:tcPr>
          <w:p w:rsidR="006831BE" w:rsidRPr="00B07325" w:rsidRDefault="006831BE" w:rsidP="004161CD">
            <w:pPr>
              <w:keepNext/>
              <w:keepLines/>
              <w:widowControl/>
              <w:autoSpaceDE/>
              <w:autoSpaceDN/>
              <w:adjustRightInd/>
              <w:jc w:val="center"/>
              <w:rPr>
                <w:b/>
                <w:sz w:val="22"/>
                <w:szCs w:val="22"/>
              </w:rPr>
            </w:pPr>
            <w:r w:rsidRPr="00B07325">
              <w:rPr>
                <w:b/>
                <w:sz w:val="22"/>
                <w:szCs w:val="22"/>
              </w:rPr>
              <w:t>Total Cost</w:t>
            </w:r>
          </w:p>
        </w:tc>
      </w:tr>
      <w:tr w:rsidR="009907D5" w:rsidRPr="006831BE" w:rsidTr="0038763D">
        <w:trPr>
          <w:cantSplit/>
          <w:jc w:val="center"/>
        </w:trPr>
        <w:tc>
          <w:tcPr>
            <w:tcW w:w="3240" w:type="dxa"/>
            <w:tcBorders>
              <w:top w:val="single" w:sz="6" w:space="0" w:color="auto"/>
              <w:left w:val="double" w:sz="6" w:space="0" w:color="auto"/>
              <w:bottom w:val="nil"/>
              <w:right w:val="nil"/>
            </w:tcBorders>
          </w:tcPr>
          <w:p w:rsidR="009907D5" w:rsidRPr="006831BE" w:rsidRDefault="009907D5" w:rsidP="00AB4259">
            <w:pPr>
              <w:widowControl/>
              <w:numPr>
                <w:ilvl w:val="12"/>
                <w:numId w:val="0"/>
              </w:numPr>
              <w:rPr>
                <w:szCs w:val="24"/>
              </w:rPr>
            </w:pPr>
            <w:r w:rsidRPr="006831BE">
              <w:rPr>
                <w:szCs w:val="22"/>
              </w:rPr>
              <w:t xml:space="preserve">Review certificates of representation and record </w:t>
            </w:r>
            <w:proofErr w:type="spellStart"/>
            <w:r w:rsidRPr="006831BE">
              <w:rPr>
                <w:szCs w:val="22"/>
              </w:rPr>
              <w:t>information</w:t>
            </w:r>
            <w:r w:rsidR="006831BE">
              <w:rPr>
                <w:szCs w:val="22"/>
              </w:rPr>
              <w:t>.</w:t>
            </w:r>
            <w:r w:rsidRPr="006831BE">
              <w:rPr>
                <w:szCs w:val="22"/>
                <w:vertAlign w:val="superscript"/>
              </w:rPr>
              <w:t>b</w:t>
            </w:r>
            <w:proofErr w:type="spellEnd"/>
          </w:p>
        </w:tc>
        <w:tc>
          <w:tcPr>
            <w:tcW w:w="1714" w:type="dxa"/>
            <w:tcBorders>
              <w:top w:val="single" w:sz="6" w:space="0" w:color="auto"/>
              <w:left w:val="single" w:sz="6" w:space="0" w:color="auto"/>
              <w:bottom w:val="nil"/>
              <w:right w:val="nil"/>
            </w:tcBorders>
            <w:vAlign w:val="bottom"/>
          </w:tcPr>
          <w:p w:rsidR="009907D5" w:rsidRPr="006831BE" w:rsidRDefault="009907D5" w:rsidP="00AB4259">
            <w:pPr>
              <w:widowControl/>
              <w:numPr>
                <w:ilvl w:val="12"/>
                <w:numId w:val="0"/>
              </w:numPr>
              <w:jc w:val="center"/>
              <w:rPr>
                <w:szCs w:val="24"/>
              </w:rPr>
            </w:pPr>
            <w:r w:rsidRPr="006831BE">
              <w:rPr>
                <w:szCs w:val="22"/>
              </w:rPr>
              <w:t>1</w:t>
            </w:r>
          </w:p>
        </w:tc>
        <w:tc>
          <w:tcPr>
            <w:tcW w:w="1440" w:type="dxa"/>
            <w:tcBorders>
              <w:top w:val="single" w:sz="6" w:space="0" w:color="auto"/>
              <w:left w:val="single" w:sz="6" w:space="0" w:color="auto"/>
              <w:bottom w:val="nil"/>
              <w:right w:val="nil"/>
            </w:tcBorders>
            <w:vAlign w:val="bottom"/>
          </w:tcPr>
          <w:p w:rsidR="009907D5" w:rsidRPr="006831BE" w:rsidRDefault="009907D5" w:rsidP="00A23159">
            <w:pPr>
              <w:widowControl/>
              <w:numPr>
                <w:ilvl w:val="12"/>
                <w:numId w:val="0"/>
              </w:numPr>
              <w:jc w:val="center"/>
              <w:rPr>
                <w:szCs w:val="24"/>
              </w:rPr>
            </w:pPr>
            <w:r w:rsidRPr="006831BE">
              <w:rPr>
                <w:szCs w:val="22"/>
              </w:rPr>
              <w:t>$</w:t>
            </w:r>
            <w:r w:rsidR="00910278">
              <w:rPr>
                <w:szCs w:val="22"/>
              </w:rPr>
              <w:t>49.49</w:t>
            </w:r>
          </w:p>
        </w:tc>
        <w:tc>
          <w:tcPr>
            <w:tcW w:w="1627" w:type="dxa"/>
            <w:tcBorders>
              <w:top w:val="single" w:sz="6" w:space="0" w:color="auto"/>
              <w:left w:val="single" w:sz="6" w:space="0" w:color="auto"/>
              <w:bottom w:val="nil"/>
              <w:right w:val="nil"/>
            </w:tcBorders>
            <w:vAlign w:val="bottom"/>
          </w:tcPr>
          <w:p w:rsidR="009907D5" w:rsidRPr="006831BE" w:rsidRDefault="00BD4809" w:rsidP="00AB4259">
            <w:pPr>
              <w:widowControl/>
              <w:numPr>
                <w:ilvl w:val="12"/>
                <w:numId w:val="0"/>
              </w:numPr>
              <w:jc w:val="center"/>
              <w:rPr>
                <w:szCs w:val="24"/>
              </w:rPr>
            </w:pPr>
            <w:r>
              <w:rPr>
                <w:szCs w:val="22"/>
              </w:rPr>
              <w:t>0</w:t>
            </w:r>
          </w:p>
        </w:tc>
        <w:tc>
          <w:tcPr>
            <w:tcW w:w="1354" w:type="dxa"/>
            <w:tcBorders>
              <w:top w:val="single" w:sz="6" w:space="0" w:color="auto"/>
              <w:left w:val="single" w:sz="6" w:space="0" w:color="auto"/>
              <w:bottom w:val="nil"/>
              <w:right w:val="double" w:sz="6" w:space="0" w:color="auto"/>
            </w:tcBorders>
            <w:vAlign w:val="bottom"/>
          </w:tcPr>
          <w:p w:rsidR="009907D5" w:rsidRPr="006831BE" w:rsidRDefault="009907D5" w:rsidP="00A23159">
            <w:pPr>
              <w:widowControl/>
              <w:numPr>
                <w:ilvl w:val="12"/>
                <w:numId w:val="0"/>
              </w:numPr>
              <w:jc w:val="center"/>
              <w:rPr>
                <w:szCs w:val="24"/>
              </w:rPr>
            </w:pPr>
            <w:r w:rsidRPr="006831BE">
              <w:rPr>
                <w:szCs w:val="22"/>
              </w:rPr>
              <w:t>$</w:t>
            </w:r>
            <w:r w:rsidR="00BD4809">
              <w:rPr>
                <w:szCs w:val="22"/>
              </w:rPr>
              <w:t>0</w:t>
            </w:r>
          </w:p>
        </w:tc>
      </w:tr>
      <w:tr w:rsidR="009907D5" w:rsidRPr="006831BE" w:rsidTr="0038763D">
        <w:trPr>
          <w:cantSplit/>
          <w:jc w:val="center"/>
        </w:trPr>
        <w:tc>
          <w:tcPr>
            <w:tcW w:w="3240" w:type="dxa"/>
            <w:tcBorders>
              <w:top w:val="nil"/>
              <w:left w:val="double" w:sz="6" w:space="0" w:color="auto"/>
              <w:bottom w:val="nil"/>
              <w:right w:val="nil"/>
            </w:tcBorders>
          </w:tcPr>
          <w:p w:rsidR="009907D5" w:rsidRPr="006831BE" w:rsidRDefault="009907D5" w:rsidP="00AB4259">
            <w:pPr>
              <w:widowControl/>
              <w:numPr>
                <w:ilvl w:val="12"/>
                <w:numId w:val="0"/>
              </w:numPr>
              <w:rPr>
                <w:szCs w:val="24"/>
              </w:rPr>
            </w:pPr>
            <w:r w:rsidRPr="006831BE">
              <w:rPr>
                <w:szCs w:val="22"/>
              </w:rPr>
              <w:t xml:space="preserve">Review permit application, issue proposed and final permit, and assign </w:t>
            </w:r>
            <w:proofErr w:type="spellStart"/>
            <w:r w:rsidRPr="006831BE">
              <w:rPr>
                <w:szCs w:val="22"/>
              </w:rPr>
              <w:t>allowances</w:t>
            </w:r>
            <w:r w:rsidR="006831BE">
              <w:rPr>
                <w:szCs w:val="22"/>
              </w:rPr>
              <w:t>.</w:t>
            </w:r>
            <w:r w:rsidRPr="006831BE">
              <w:rPr>
                <w:szCs w:val="22"/>
                <w:vertAlign w:val="superscript"/>
              </w:rPr>
              <w:t>b</w:t>
            </w:r>
            <w:proofErr w:type="spellEnd"/>
          </w:p>
        </w:tc>
        <w:tc>
          <w:tcPr>
            <w:tcW w:w="1714" w:type="dxa"/>
            <w:tcBorders>
              <w:top w:val="nil"/>
              <w:left w:val="single" w:sz="6" w:space="0" w:color="auto"/>
              <w:bottom w:val="nil"/>
              <w:right w:val="nil"/>
            </w:tcBorders>
            <w:vAlign w:val="bottom"/>
          </w:tcPr>
          <w:p w:rsidR="009907D5" w:rsidRPr="006831BE" w:rsidRDefault="009907D5" w:rsidP="00AB4259">
            <w:pPr>
              <w:widowControl/>
              <w:numPr>
                <w:ilvl w:val="12"/>
                <w:numId w:val="0"/>
              </w:numPr>
              <w:jc w:val="center"/>
              <w:rPr>
                <w:szCs w:val="24"/>
              </w:rPr>
            </w:pPr>
            <w:r w:rsidRPr="006831BE">
              <w:rPr>
                <w:szCs w:val="22"/>
              </w:rPr>
              <w:t>80</w:t>
            </w:r>
          </w:p>
        </w:tc>
        <w:tc>
          <w:tcPr>
            <w:tcW w:w="1440" w:type="dxa"/>
            <w:tcBorders>
              <w:top w:val="nil"/>
              <w:left w:val="single" w:sz="6" w:space="0" w:color="auto"/>
              <w:bottom w:val="nil"/>
              <w:right w:val="nil"/>
            </w:tcBorders>
            <w:vAlign w:val="bottom"/>
          </w:tcPr>
          <w:p w:rsidR="009907D5" w:rsidRPr="006831BE" w:rsidRDefault="009907D5" w:rsidP="00A23159">
            <w:pPr>
              <w:widowControl/>
              <w:numPr>
                <w:ilvl w:val="12"/>
                <w:numId w:val="0"/>
              </w:numPr>
              <w:jc w:val="center"/>
              <w:rPr>
                <w:szCs w:val="24"/>
              </w:rPr>
            </w:pPr>
            <w:r w:rsidRPr="006831BE">
              <w:rPr>
                <w:szCs w:val="22"/>
              </w:rPr>
              <w:t>$</w:t>
            </w:r>
            <w:r w:rsidR="00910278">
              <w:rPr>
                <w:szCs w:val="22"/>
              </w:rPr>
              <w:t>3,959.20</w:t>
            </w:r>
          </w:p>
        </w:tc>
        <w:tc>
          <w:tcPr>
            <w:tcW w:w="1627" w:type="dxa"/>
            <w:tcBorders>
              <w:top w:val="nil"/>
              <w:left w:val="single" w:sz="6" w:space="0" w:color="auto"/>
              <w:bottom w:val="nil"/>
              <w:right w:val="nil"/>
            </w:tcBorders>
            <w:vAlign w:val="bottom"/>
          </w:tcPr>
          <w:p w:rsidR="009907D5" w:rsidRPr="006831BE" w:rsidRDefault="00BD4809" w:rsidP="00AB4259">
            <w:pPr>
              <w:widowControl/>
              <w:numPr>
                <w:ilvl w:val="12"/>
                <w:numId w:val="0"/>
              </w:numPr>
              <w:jc w:val="center"/>
              <w:rPr>
                <w:szCs w:val="24"/>
              </w:rPr>
            </w:pPr>
            <w:r>
              <w:rPr>
                <w:szCs w:val="22"/>
              </w:rPr>
              <w:t>0</w:t>
            </w:r>
          </w:p>
        </w:tc>
        <w:tc>
          <w:tcPr>
            <w:tcW w:w="1354" w:type="dxa"/>
            <w:tcBorders>
              <w:top w:val="nil"/>
              <w:left w:val="single" w:sz="6" w:space="0" w:color="auto"/>
              <w:bottom w:val="nil"/>
              <w:right w:val="double" w:sz="6" w:space="0" w:color="auto"/>
            </w:tcBorders>
            <w:vAlign w:val="bottom"/>
          </w:tcPr>
          <w:p w:rsidR="009907D5" w:rsidRPr="006831BE" w:rsidRDefault="009907D5" w:rsidP="00A23159">
            <w:pPr>
              <w:widowControl/>
              <w:numPr>
                <w:ilvl w:val="12"/>
                <w:numId w:val="0"/>
              </w:numPr>
              <w:jc w:val="center"/>
              <w:rPr>
                <w:szCs w:val="24"/>
              </w:rPr>
            </w:pPr>
            <w:r w:rsidRPr="006831BE">
              <w:rPr>
                <w:szCs w:val="22"/>
              </w:rPr>
              <w:t>$</w:t>
            </w:r>
            <w:r w:rsidR="00BD4809">
              <w:rPr>
                <w:szCs w:val="22"/>
              </w:rPr>
              <w:t>0</w:t>
            </w:r>
          </w:p>
        </w:tc>
      </w:tr>
      <w:tr w:rsidR="009907D5" w:rsidRPr="006831BE" w:rsidTr="0038763D">
        <w:trPr>
          <w:cantSplit/>
          <w:jc w:val="center"/>
        </w:trPr>
        <w:tc>
          <w:tcPr>
            <w:tcW w:w="3240" w:type="dxa"/>
            <w:tcBorders>
              <w:top w:val="nil"/>
              <w:left w:val="double" w:sz="6" w:space="0" w:color="auto"/>
              <w:bottom w:val="nil"/>
              <w:right w:val="nil"/>
            </w:tcBorders>
          </w:tcPr>
          <w:p w:rsidR="009907D5" w:rsidRPr="006831BE" w:rsidRDefault="009907D5" w:rsidP="00AB4259">
            <w:pPr>
              <w:widowControl/>
              <w:numPr>
                <w:ilvl w:val="12"/>
                <w:numId w:val="0"/>
              </w:numPr>
              <w:rPr>
                <w:szCs w:val="24"/>
              </w:rPr>
            </w:pPr>
            <w:r w:rsidRPr="006831BE">
              <w:rPr>
                <w:szCs w:val="22"/>
              </w:rPr>
              <w:t xml:space="preserve">Review and process annual reconciliation </w:t>
            </w:r>
            <w:proofErr w:type="spellStart"/>
            <w:r w:rsidRPr="006831BE">
              <w:rPr>
                <w:szCs w:val="22"/>
              </w:rPr>
              <w:t>submissions</w:t>
            </w:r>
            <w:r w:rsidR="006831BE">
              <w:rPr>
                <w:szCs w:val="22"/>
              </w:rPr>
              <w:t>.</w:t>
            </w:r>
            <w:r w:rsidRPr="006831BE">
              <w:rPr>
                <w:szCs w:val="22"/>
                <w:vertAlign w:val="superscript"/>
              </w:rPr>
              <w:t>c</w:t>
            </w:r>
            <w:proofErr w:type="spellEnd"/>
          </w:p>
        </w:tc>
        <w:tc>
          <w:tcPr>
            <w:tcW w:w="1714" w:type="dxa"/>
            <w:tcBorders>
              <w:top w:val="nil"/>
              <w:left w:val="single" w:sz="6" w:space="0" w:color="auto"/>
              <w:bottom w:val="nil"/>
              <w:right w:val="nil"/>
            </w:tcBorders>
            <w:vAlign w:val="bottom"/>
          </w:tcPr>
          <w:p w:rsidR="009907D5" w:rsidRPr="006831BE" w:rsidRDefault="009907D5" w:rsidP="00AB4259">
            <w:pPr>
              <w:widowControl/>
              <w:numPr>
                <w:ilvl w:val="12"/>
                <w:numId w:val="0"/>
              </w:numPr>
              <w:jc w:val="center"/>
              <w:rPr>
                <w:szCs w:val="24"/>
              </w:rPr>
            </w:pPr>
            <w:r w:rsidRPr="006831BE">
              <w:rPr>
                <w:szCs w:val="22"/>
              </w:rPr>
              <w:t>2</w:t>
            </w:r>
          </w:p>
        </w:tc>
        <w:tc>
          <w:tcPr>
            <w:tcW w:w="1440" w:type="dxa"/>
            <w:tcBorders>
              <w:top w:val="nil"/>
              <w:left w:val="single" w:sz="6" w:space="0" w:color="auto"/>
              <w:bottom w:val="nil"/>
              <w:right w:val="nil"/>
            </w:tcBorders>
            <w:vAlign w:val="bottom"/>
          </w:tcPr>
          <w:p w:rsidR="009907D5" w:rsidRPr="006831BE" w:rsidRDefault="009907D5" w:rsidP="00A23159">
            <w:pPr>
              <w:widowControl/>
              <w:numPr>
                <w:ilvl w:val="12"/>
                <w:numId w:val="0"/>
              </w:numPr>
              <w:jc w:val="center"/>
              <w:rPr>
                <w:szCs w:val="24"/>
              </w:rPr>
            </w:pPr>
            <w:r w:rsidRPr="006831BE">
              <w:rPr>
                <w:szCs w:val="22"/>
              </w:rPr>
              <w:t>$</w:t>
            </w:r>
            <w:r w:rsidR="00910278">
              <w:rPr>
                <w:szCs w:val="22"/>
              </w:rPr>
              <w:t>98.98</w:t>
            </w:r>
          </w:p>
        </w:tc>
        <w:tc>
          <w:tcPr>
            <w:tcW w:w="1627" w:type="dxa"/>
            <w:tcBorders>
              <w:top w:val="nil"/>
              <w:left w:val="single" w:sz="6" w:space="0" w:color="auto"/>
              <w:bottom w:val="nil"/>
              <w:right w:val="nil"/>
            </w:tcBorders>
            <w:vAlign w:val="bottom"/>
          </w:tcPr>
          <w:p w:rsidR="009907D5" w:rsidRPr="006831BE" w:rsidRDefault="007A678E" w:rsidP="00AB4259">
            <w:pPr>
              <w:widowControl/>
              <w:numPr>
                <w:ilvl w:val="12"/>
                <w:numId w:val="0"/>
              </w:numPr>
              <w:jc w:val="center"/>
              <w:rPr>
                <w:szCs w:val="24"/>
              </w:rPr>
            </w:pPr>
            <w:r>
              <w:rPr>
                <w:szCs w:val="22"/>
              </w:rPr>
              <w:t>40</w:t>
            </w:r>
          </w:p>
        </w:tc>
        <w:tc>
          <w:tcPr>
            <w:tcW w:w="1354" w:type="dxa"/>
            <w:tcBorders>
              <w:top w:val="nil"/>
              <w:left w:val="single" w:sz="6" w:space="0" w:color="auto"/>
              <w:bottom w:val="nil"/>
              <w:right w:val="double" w:sz="6" w:space="0" w:color="auto"/>
            </w:tcBorders>
            <w:vAlign w:val="bottom"/>
          </w:tcPr>
          <w:p w:rsidR="009907D5" w:rsidRPr="006831BE" w:rsidRDefault="009907D5" w:rsidP="007A678E">
            <w:pPr>
              <w:widowControl/>
              <w:numPr>
                <w:ilvl w:val="12"/>
                <w:numId w:val="0"/>
              </w:numPr>
              <w:jc w:val="center"/>
              <w:rPr>
                <w:szCs w:val="24"/>
              </w:rPr>
            </w:pPr>
            <w:r w:rsidRPr="006831BE">
              <w:rPr>
                <w:szCs w:val="22"/>
              </w:rPr>
              <w:t>$</w:t>
            </w:r>
            <w:r w:rsidR="007A678E">
              <w:rPr>
                <w:szCs w:val="22"/>
              </w:rPr>
              <w:t>1,979.60</w:t>
            </w:r>
          </w:p>
        </w:tc>
      </w:tr>
      <w:tr w:rsidR="009907D5" w:rsidRPr="006831BE" w:rsidTr="0038763D">
        <w:trPr>
          <w:cantSplit/>
          <w:jc w:val="center"/>
        </w:trPr>
        <w:tc>
          <w:tcPr>
            <w:tcW w:w="3240" w:type="dxa"/>
            <w:tcBorders>
              <w:top w:val="nil"/>
              <w:left w:val="double" w:sz="6" w:space="0" w:color="auto"/>
              <w:bottom w:val="double" w:sz="6" w:space="0" w:color="auto"/>
              <w:right w:val="nil"/>
            </w:tcBorders>
          </w:tcPr>
          <w:p w:rsidR="009907D5" w:rsidRPr="006831BE" w:rsidRDefault="009907D5" w:rsidP="00AB4259">
            <w:pPr>
              <w:widowControl/>
              <w:numPr>
                <w:ilvl w:val="12"/>
                <w:numId w:val="0"/>
              </w:numPr>
              <w:rPr>
                <w:szCs w:val="24"/>
              </w:rPr>
            </w:pPr>
            <w:r w:rsidRPr="006831BE">
              <w:rPr>
                <w:szCs w:val="22"/>
              </w:rPr>
              <w:t xml:space="preserve">Deduct allowances and send reconciliation </w:t>
            </w:r>
            <w:proofErr w:type="spellStart"/>
            <w:r w:rsidRPr="006831BE">
              <w:rPr>
                <w:szCs w:val="22"/>
              </w:rPr>
              <w:t>reports</w:t>
            </w:r>
            <w:r w:rsidR="006831BE">
              <w:rPr>
                <w:szCs w:val="22"/>
              </w:rPr>
              <w:t>.</w:t>
            </w:r>
            <w:r w:rsidRPr="006831BE">
              <w:rPr>
                <w:szCs w:val="22"/>
                <w:vertAlign w:val="superscript"/>
              </w:rPr>
              <w:t>c</w:t>
            </w:r>
            <w:proofErr w:type="spellEnd"/>
          </w:p>
        </w:tc>
        <w:tc>
          <w:tcPr>
            <w:tcW w:w="1714" w:type="dxa"/>
            <w:tcBorders>
              <w:top w:val="nil"/>
              <w:left w:val="single" w:sz="6" w:space="0" w:color="auto"/>
              <w:bottom w:val="double" w:sz="6" w:space="0" w:color="auto"/>
              <w:right w:val="nil"/>
            </w:tcBorders>
            <w:vAlign w:val="bottom"/>
          </w:tcPr>
          <w:p w:rsidR="009907D5" w:rsidRPr="006831BE" w:rsidRDefault="009907D5" w:rsidP="00AB4259">
            <w:pPr>
              <w:widowControl/>
              <w:numPr>
                <w:ilvl w:val="12"/>
                <w:numId w:val="0"/>
              </w:numPr>
              <w:jc w:val="center"/>
              <w:rPr>
                <w:szCs w:val="24"/>
              </w:rPr>
            </w:pPr>
            <w:r w:rsidRPr="006831BE">
              <w:rPr>
                <w:szCs w:val="22"/>
              </w:rPr>
              <w:t>1</w:t>
            </w:r>
          </w:p>
        </w:tc>
        <w:tc>
          <w:tcPr>
            <w:tcW w:w="1440" w:type="dxa"/>
            <w:tcBorders>
              <w:top w:val="nil"/>
              <w:left w:val="single" w:sz="6" w:space="0" w:color="auto"/>
              <w:bottom w:val="double" w:sz="6" w:space="0" w:color="auto"/>
              <w:right w:val="nil"/>
            </w:tcBorders>
            <w:vAlign w:val="bottom"/>
          </w:tcPr>
          <w:p w:rsidR="009907D5" w:rsidRPr="006831BE" w:rsidRDefault="009907D5" w:rsidP="00A23159">
            <w:pPr>
              <w:widowControl/>
              <w:numPr>
                <w:ilvl w:val="12"/>
                <w:numId w:val="0"/>
              </w:numPr>
              <w:jc w:val="center"/>
              <w:rPr>
                <w:szCs w:val="24"/>
              </w:rPr>
            </w:pPr>
            <w:r w:rsidRPr="006831BE">
              <w:rPr>
                <w:szCs w:val="22"/>
              </w:rPr>
              <w:t>$</w:t>
            </w:r>
            <w:r w:rsidR="00910278">
              <w:rPr>
                <w:szCs w:val="22"/>
              </w:rPr>
              <w:t>49.49</w:t>
            </w:r>
          </w:p>
        </w:tc>
        <w:tc>
          <w:tcPr>
            <w:tcW w:w="1627" w:type="dxa"/>
            <w:tcBorders>
              <w:top w:val="nil"/>
              <w:left w:val="single" w:sz="6" w:space="0" w:color="auto"/>
              <w:bottom w:val="double" w:sz="6" w:space="0" w:color="auto"/>
              <w:right w:val="nil"/>
            </w:tcBorders>
            <w:vAlign w:val="bottom"/>
          </w:tcPr>
          <w:p w:rsidR="009907D5" w:rsidRPr="006831BE" w:rsidRDefault="007A678E" w:rsidP="00AB4259">
            <w:pPr>
              <w:widowControl/>
              <w:numPr>
                <w:ilvl w:val="12"/>
                <w:numId w:val="0"/>
              </w:numPr>
              <w:jc w:val="center"/>
              <w:rPr>
                <w:szCs w:val="24"/>
              </w:rPr>
            </w:pPr>
            <w:r>
              <w:rPr>
                <w:szCs w:val="22"/>
              </w:rPr>
              <w:t>5</w:t>
            </w:r>
          </w:p>
        </w:tc>
        <w:tc>
          <w:tcPr>
            <w:tcW w:w="1354" w:type="dxa"/>
            <w:tcBorders>
              <w:top w:val="nil"/>
              <w:left w:val="single" w:sz="6" w:space="0" w:color="auto"/>
              <w:bottom w:val="double" w:sz="6" w:space="0" w:color="auto"/>
              <w:right w:val="double" w:sz="6" w:space="0" w:color="auto"/>
            </w:tcBorders>
            <w:vAlign w:val="bottom"/>
          </w:tcPr>
          <w:p w:rsidR="009907D5" w:rsidRPr="006831BE" w:rsidRDefault="009907D5" w:rsidP="00A23159">
            <w:pPr>
              <w:widowControl/>
              <w:numPr>
                <w:ilvl w:val="12"/>
                <w:numId w:val="0"/>
              </w:numPr>
              <w:jc w:val="center"/>
              <w:rPr>
                <w:szCs w:val="24"/>
              </w:rPr>
            </w:pPr>
            <w:r w:rsidRPr="006831BE">
              <w:rPr>
                <w:szCs w:val="22"/>
              </w:rPr>
              <w:t>$</w:t>
            </w:r>
            <w:r w:rsidR="007A678E">
              <w:rPr>
                <w:szCs w:val="22"/>
              </w:rPr>
              <w:t>247.45</w:t>
            </w:r>
          </w:p>
        </w:tc>
      </w:tr>
      <w:tr w:rsidR="009907D5" w:rsidRPr="006831BE" w:rsidTr="0038763D">
        <w:trPr>
          <w:cantSplit/>
          <w:jc w:val="center"/>
        </w:trPr>
        <w:tc>
          <w:tcPr>
            <w:tcW w:w="1440" w:type="dxa"/>
            <w:gridSpan w:val="3"/>
            <w:tcBorders>
              <w:top w:val="double" w:sz="6" w:space="0" w:color="auto"/>
              <w:left w:val="double" w:sz="6" w:space="0" w:color="auto"/>
              <w:bottom w:val="double" w:sz="6" w:space="0" w:color="auto"/>
              <w:right w:val="nil"/>
            </w:tcBorders>
          </w:tcPr>
          <w:p w:rsidR="009907D5" w:rsidRPr="006831BE" w:rsidRDefault="009907D5" w:rsidP="006831BE">
            <w:pPr>
              <w:widowControl/>
              <w:numPr>
                <w:ilvl w:val="12"/>
                <w:numId w:val="0"/>
              </w:numPr>
              <w:rPr>
                <w:b/>
                <w:szCs w:val="24"/>
              </w:rPr>
            </w:pPr>
            <w:r w:rsidRPr="006831BE">
              <w:rPr>
                <w:b/>
                <w:szCs w:val="22"/>
              </w:rPr>
              <w:t>T</w:t>
            </w:r>
            <w:r w:rsidR="006831BE">
              <w:rPr>
                <w:b/>
                <w:szCs w:val="22"/>
              </w:rPr>
              <w:t>OTAL</w:t>
            </w:r>
          </w:p>
        </w:tc>
        <w:tc>
          <w:tcPr>
            <w:tcW w:w="1627" w:type="dxa"/>
            <w:tcBorders>
              <w:top w:val="double" w:sz="6" w:space="0" w:color="auto"/>
              <w:left w:val="single" w:sz="6" w:space="0" w:color="auto"/>
              <w:bottom w:val="double" w:sz="6" w:space="0" w:color="auto"/>
              <w:right w:val="nil"/>
            </w:tcBorders>
            <w:vAlign w:val="bottom"/>
          </w:tcPr>
          <w:p w:rsidR="009907D5" w:rsidRPr="006831BE" w:rsidRDefault="007A678E" w:rsidP="00AB4259">
            <w:pPr>
              <w:widowControl/>
              <w:numPr>
                <w:ilvl w:val="12"/>
                <w:numId w:val="0"/>
              </w:numPr>
              <w:jc w:val="center"/>
              <w:rPr>
                <w:b/>
                <w:szCs w:val="24"/>
              </w:rPr>
            </w:pPr>
            <w:r>
              <w:rPr>
                <w:b/>
                <w:szCs w:val="22"/>
              </w:rPr>
              <w:t>45</w:t>
            </w:r>
          </w:p>
        </w:tc>
        <w:tc>
          <w:tcPr>
            <w:tcW w:w="1354" w:type="dxa"/>
            <w:tcBorders>
              <w:top w:val="double" w:sz="6" w:space="0" w:color="auto"/>
              <w:left w:val="single" w:sz="6" w:space="0" w:color="auto"/>
              <w:bottom w:val="double" w:sz="6" w:space="0" w:color="auto"/>
              <w:right w:val="double" w:sz="6" w:space="0" w:color="auto"/>
            </w:tcBorders>
            <w:vAlign w:val="bottom"/>
          </w:tcPr>
          <w:p w:rsidR="009907D5" w:rsidRPr="006831BE" w:rsidRDefault="00BD4809" w:rsidP="00AB4259">
            <w:pPr>
              <w:widowControl/>
              <w:numPr>
                <w:ilvl w:val="12"/>
                <w:numId w:val="0"/>
              </w:numPr>
              <w:jc w:val="center"/>
              <w:rPr>
                <w:b/>
                <w:szCs w:val="24"/>
              </w:rPr>
            </w:pPr>
            <w:r>
              <w:rPr>
                <w:b/>
                <w:szCs w:val="22"/>
              </w:rPr>
              <w:t>$</w:t>
            </w:r>
            <w:r w:rsidR="007A678E">
              <w:rPr>
                <w:b/>
                <w:szCs w:val="22"/>
              </w:rPr>
              <w:t>2,227.05</w:t>
            </w:r>
          </w:p>
        </w:tc>
      </w:tr>
    </w:tbl>
    <w:p w:rsidR="006831BE" w:rsidRPr="006831BE" w:rsidRDefault="006831BE" w:rsidP="00AB4259">
      <w:pPr>
        <w:widowControl/>
        <w:numPr>
          <w:ilvl w:val="12"/>
          <w:numId w:val="0"/>
        </w:numPr>
        <w:rPr>
          <w:sz w:val="24"/>
          <w:szCs w:val="22"/>
        </w:rPr>
      </w:pPr>
    </w:p>
    <w:p w:rsidR="009907D5" w:rsidRPr="006831BE" w:rsidRDefault="009907D5" w:rsidP="009E5883">
      <w:pPr>
        <w:widowControl/>
        <w:numPr>
          <w:ilvl w:val="12"/>
          <w:numId w:val="0"/>
        </w:numPr>
        <w:ind w:left="1080" w:hanging="180"/>
        <w:rPr>
          <w:szCs w:val="22"/>
        </w:rPr>
      </w:pPr>
      <w:r w:rsidRPr="006831BE">
        <w:rPr>
          <w:szCs w:val="22"/>
          <w:vertAlign w:val="superscript"/>
        </w:rPr>
        <w:t>a</w:t>
      </w:r>
      <w:r w:rsidR="006831BE" w:rsidRPr="006831BE">
        <w:rPr>
          <w:szCs w:val="22"/>
        </w:rPr>
        <w:tab/>
      </w:r>
      <w:r w:rsidR="00416989" w:rsidRPr="006831BE">
        <w:rPr>
          <w:szCs w:val="22"/>
        </w:rPr>
        <w:t>20</w:t>
      </w:r>
      <w:r w:rsidR="00416989">
        <w:rPr>
          <w:szCs w:val="22"/>
        </w:rPr>
        <w:t>12</w:t>
      </w:r>
      <w:r w:rsidR="00416989" w:rsidRPr="006831BE">
        <w:rPr>
          <w:szCs w:val="22"/>
        </w:rPr>
        <w:t xml:space="preserve"> </w:t>
      </w:r>
      <w:r w:rsidRPr="006831BE">
        <w:rPr>
          <w:szCs w:val="22"/>
        </w:rPr>
        <w:t>dollars.</w:t>
      </w:r>
    </w:p>
    <w:p w:rsidR="009907D5" w:rsidRPr="006831BE" w:rsidRDefault="009907D5" w:rsidP="009E5883">
      <w:pPr>
        <w:widowControl/>
        <w:numPr>
          <w:ilvl w:val="12"/>
          <w:numId w:val="0"/>
        </w:numPr>
        <w:ind w:left="1080" w:hanging="180"/>
        <w:rPr>
          <w:szCs w:val="22"/>
        </w:rPr>
      </w:pPr>
      <w:r w:rsidRPr="006831BE">
        <w:rPr>
          <w:szCs w:val="22"/>
          <w:vertAlign w:val="superscript"/>
        </w:rPr>
        <w:t>b</w:t>
      </w:r>
      <w:r w:rsidR="006831BE" w:rsidRPr="006831BE">
        <w:rPr>
          <w:szCs w:val="22"/>
        </w:rPr>
        <w:tab/>
      </w:r>
      <w:r w:rsidR="009E5883">
        <w:rPr>
          <w:szCs w:val="22"/>
        </w:rPr>
        <w:t xml:space="preserve">Assumes </w:t>
      </w:r>
      <w:r w:rsidR="00DD0BDD">
        <w:rPr>
          <w:szCs w:val="22"/>
        </w:rPr>
        <w:t xml:space="preserve">zero </w:t>
      </w:r>
      <w:r w:rsidR="00DD0BDD" w:rsidRPr="006831BE">
        <w:rPr>
          <w:szCs w:val="22"/>
        </w:rPr>
        <w:t>opt</w:t>
      </w:r>
      <w:r w:rsidRPr="006831BE">
        <w:rPr>
          <w:szCs w:val="22"/>
        </w:rPr>
        <w:t>-in sources submit a permit application.</w:t>
      </w:r>
    </w:p>
    <w:p w:rsidR="009907D5" w:rsidRPr="006831BE" w:rsidRDefault="009907D5" w:rsidP="009E5883">
      <w:pPr>
        <w:widowControl/>
        <w:numPr>
          <w:ilvl w:val="12"/>
          <w:numId w:val="0"/>
        </w:numPr>
        <w:ind w:left="1080" w:hanging="180"/>
        <w:rPr>
          <w:szCs w:val="22"/>
        </w:rPr>
      </w:pPr>
      <w:r w:rsidRPr="006831BE">
        <w:rPr>
          <w:szCs w:val="22"/>
          <w:vertAlign w:val="superscript"/>
        </w:rPr>
        <w:t>c</w:t>
      </w:r>
      <w:r w:rsidR="006831BE" w:rsidRPr="006831BE">
        <w:rPr>
          <w:szCs w:val="22"/>
        </w:rPr>
        <w:tab/>
      </w:r>
      <w:r w:rsidRPr="006831BE">
        <w:rPr>
          <w:szCs w:val="22"/>
        </w:rPr>
        <w:t xml:space="preserve">Assumes </w:t>
      </w:r>
      <w:r w:rsidR="007A678E">
        <w:rPr>
          <w:szCs w:val="22"/>
        </w:rPr>
        <w:t>five</w:t>
      </w:r>
      <w:r w:rsidR="00BD4809" w:rsidRPr="006831BE">
        <w:rPr>
          <w:szCs w:val="22"/>
        </w:rPr>
        <w:t xml:space="preserve"> </w:t>
      </w:r>
      <w:r w:rsidRPr="006831BE">
        <w:rPr>
          <w:szCs w:val="22"/>
        </w:rPr>
        <w:t xml:space="preserve">opt-in sources and </w:t>
      </w:r>
      <w:r w:rsidR="007A678E">
        <w:rPr>
          <w:szCs w:val="22"/>
        </w:rPr>
        <w:t>20</w:t>
      </w:r>
      <w:r w:rsidR="00BD4809" w:rsidRPr="006831BE">
        <w:rPr>
          <w:szCs w:val="22"/>
        </w:rPr>
        <w:t xml:space="preserve"> </w:t>
      </w:r>
      <w:r w:rsidRPr="006831BE">
        <w:rPr>
          <w:szCs w:val="22"/>
        </w:rPr>
        <w:t>opt-in units each year.</w:t>
      </w:r>
    </w:p>
    <w:p w:rsidR="009907D5" w:rsidRDefault="009907D5" w:rsidP="00AB4259">
      <w:pPr>
        <w:widowControl/>
        <w:numPr>
          <w:ilvl w:val="12"/>
          <w:numId w:val="0"/>
        </w:numPr>
        <w:rPr>
          <w:sz w:val="24"/>
          <w:szCs w:val="24"/>
        </w:rPr>
      </w:pPr>
    </w:p>
    <w:p w:rsidR="00562093" w:rsidRDefault="00562093" w:rsidP="00AB4259">
      <w:pPr>
        <w:widowControl/>
        <w:numPr>
          <w:ilvl w:val="12"/>
          <w:numId w:val="0"/>
        </w:numPr>
        <w:rPr>
          <w:sz w:val="24"/>
          <w:szCs w:val="24"/>
        </w:rPr>
      </w:pPr>
    </w:p>
    <w:p w:rsidR="009907D5" w:rsidRDefault="009907D5" w:rsidP="00820420">
      <w:pPr>
        <w:widowControl/>
        <w:numPr>
          <w:ilvl w:val="12"/>
          <w:numId w:val="0"/>
        </w:numPr>
        <w:ind w:left="360"/>
        <w:rPr>
          <w:sz w:val="24"/>
          <w:szCs w:val="24"/>
        </w:rPr>
      </w:pPr>
      <w:r>
        <w:rPr>
          <w:b/>
          <w:bCs/>
          <w:sz w:val="24"/>
          <w:szCs w:val="24"/>
        </w:rPr>
        <w:t>6.7</w:t>
      </w:r>
      <w:r w:rsidR="00820420">
        <w:rPr>
          <w:b/>
          <w:bCs/>
          <w:sz w:val="24"/>
          <w:szCs w:val="24"/>
        </w:rPr>
        <w:t xml:space="preserve">  </w:t>
      </w:r>
      <w:proofErr w:type="spellStart"/>
      <w:r>
        <w:rPr>
          <w:b/>
          <w:bCs/>
          <w:sz w:val="24"/>
          <w:szCs w:val="24"/>
        </w:rPr>
        <w:t>NO</w:t>
      </w:r>
      <w:r w:rsidR="00562093">
        <w:rPr>
          <w:b/>
          <w:bCs/>
          <w:sz w:val="24"/>
          <w:szCs w:val="24"/>
          <w:vertAlign w:val="subscript"/>
        </w:rPr>
        <w:t>x</w:t>
      </w:r>
      <w:proofErr w:type="spellEnd"/>
      <w:r>
        <w:rPr>
          <w:b/>
          <w:bCs/>
          <w:sz w:val="24"/>
          <w:szCs w:val="24"/>
        </w:rPr>
        <w:t xml:space="preserve"> Permitting</w:t>
      </w:r>
    </w:p>
    <w:p w:rsidR="009907D5" w:rsidRDefault="009907D5" w:rsidP="00AB4259">
      <w:pPr>
        <w:widowControl/>
        <w:numPr>
          <w:ilvl w:val="12"/>
          <w:numId w:val="0"/>
        </w:numPr>
        <w:rPr>
          <w:sz w:val="24"/>
          <w:szCs w:val="24"/>
        </w:rPr>
      </w:pPr>
    </w:p>
    <w:p w:rsidR="009907D5" w:rsidRDefault="009907D5" w:rsidP="00AB4259">
      <w:pPr>
        <w:widowControl/>
        <w:numPr>
          <w:ilvl w:val="12"/>
          <w:numId w:val="0"/>
        </w:numPr>
        <w:rPr>
          <w:b/>
          <w:bCs/>
          <w:sz w:val="24"/>
          <w:szCs w:val="24"/>
        </w:rPr>
      </w:pPr>
      <w:r>
        <w:rPr>
          <w:sz w:val="24"/>
          <w:szCs w:val="24"/>
        </w:rPr>
        <w:tab/>
        <w:t xml:space="preserve">This section estimates the burden and cost of renewing and revising Phase II </w:t>
      </w:r>
      <w:proofErr w:type="spellStart"/>
      <w:r>
        <w:rPr>
          <w:sz w:val="24"/>
          <w:szCs w:val="24"/>
        </w:rPr>
        <w:t>NO</w:t>
      </w:r>
      <w:r w:rsidR="00562093">
        <w:rPr>
          <w:sz w:val="24"/>
          <w:szCs w:val="24"/>
          <w:vertAlign w:val="subscript"/>
        </w:rPr>
        <w:t>x</w:t>
      </w:r>
      <w:proofErr w:type="spellEnd"/>
      <w:r>
        <w:rPr>
          <w:sz w:val="24"/>
          <w:szCs w:val="24"/>
        </w:rPr>
        <w:t xml:space="preserve"> compliance plans</w:t>
      </w:r>
      <w:r w:rsidR="00562093">
        <w:rPr>
          <w:sz w:val="24"/>
          <w:szCs w:val="24"/>
        </w:rPr>
        <w:t xml:space="preserve">.  </w:t>
      </w:r>
    </w:p>
    <w:p w:rsidR="009907D5" w:rsidRDefault="009907D5" w:rsidP="00AB4259">
      <w:pPr>
        <w:widowControl/>
        <w:numPr>
          <w:ilvl w:val="12"/>
          <w:numId w:val="0"/>
        </w:numPr>
        <w:rPr>
          <w:b/>
          <w:bCs/>
          <w:sz w:val="24"/>
          <w:szCs w:val="24"/>
        </w:rPr>
      </w:pPr>
    </w:p>
    <w:p w:rsidR="009907D5" w:rsidRDefault="009907D5" w:rsidP="00820420">
      <w:pPr>
        <w:widowControl/>
        <w:numPr>
          <w:ilvl w:val="12"/>
          <w:numId w:val="0"/>
        </w:numPr>
        <w:ind w:left="720"/>
        <w:rPr>
          <w:sz w:val="24"/>
          <w:szCs w:val="24"/>
        </w:rPr>
      </w:pPr>
      <w:r>
        <w:rPr>
          <w:b/>
          <w:bCs/>
          <w:sz w:val="24"/>
          <w:szCs w:val="24"/>
        </w:rPr>
        <w:t>6.7.1</w:t>
      </w:r>
      <w:r w:rsidR="00562093">
        <w:rPr>
          <w:b/>
          <w:bCs/>
          <w:sz w:val="24"/>
          <w:szCs w:val="24"/>
        </w:rPr>
        <w:t xml:space="preserve"> </w:t>
      </w:r>
      <w:r w:rsidR="00820420">
        <w:rPr>
          <w:b/>
          <w:bCs/>
          <w:sz w:val="24"/>
          <w:szCs w:val="24"/>
        </w:rPr>
        <w:t xml:space="preserve"> </w:t>
      </w:r>
      <w:r>
        <w:rPr>
          <w:b/>
          <w:bCs/>
          <w:sz w:val="24"/>
          <w:szCs w:val="24"/>
        </w:rPr>
        <w:t>Estimate of Respondent Burden and Costs</w:t>
      </w:r>
    </w:p>
    <w:p w:rsidR="009907D5" w:rsidRDefault="009907D5" w:rsidP="00AB4259">
      <w:pPr>
        <w:widowControl/>
        <w:numPr>
          <w:ilvl w:val="12"/>
          <w:numId w:val="0"/>
        </w:numPr>
        <w:rPr>
          <w:sz w:val="24"/>
          <w:szCs w:val="24"/>
        </w:rPr>
      </w:pPr>
    </w:p>
    <w:p w:rsidR="009907D5" w:rsidRDefault="009907D5" w:rsidP="00AB4259">
      <w:pPr>
        <w:widowControl/>
        <w:numPr>
          <w:ilvl w:val="12"/>
          <w:numId w:val="0"/>
        </w:numPr>
        <w:rPr>
          <w:sz w:val="24"/>
          <w:szCs w:val="24"/>
        </w:rPr>
      </w:pPr>
      <w:r>
        <w:rPr>
          <w:sz w:val="24"/>
          <w:szCs w:val="24"/>
        </w:rPr>
        <w:tab/>
        <w:t>Exhibit 1</w:t>
      </w:r>
      <w:r w:rsidR="00BD4809">
        <w:rPr>
          <w:sz w:val="24"/>
          <w:szCs w:val="24"/>
        </w:rPr>
        <w:t>2</w:t>
      </w:r>
      <w:r>
        <w:rPr>
          <w:sz w:val="24"/>
          <w:szCs w:val="24"/>
        </w:rPr>
        <w:t xml:space="preserve"> presents the burden and costs to applicants for preparing and submitting </w:t>
      </w:r>
      <w:proofErr w:type="spellStart"/>
      <w:r>
        <w:rPr>
          <w:sz w:val="24"/>
          <w:szCs w:val="24"/>
        </w:rPr>
        <w:t>NO</w:t>
      </w:r>
      <w:r w:rsidR="00562093">
        <w:rPr>
          <w:sz w:val="24"/>
          <w:szCs w:val="24"/>
          <w:vertAlign w:val="subscript"/>
        </w:rPr>
        <w:t>x</w:t>
      </w:r>
      <w:proofErr w:type="spellEnd"/>
      <w:r>
        <w:rPr>
          <w:sz w:val="24"/>
          <w:szCs w:val="24"/>
        </w:rPr>
        <w:t xml:space="preserve"> Compliance Plan renewal applications and revising </w:t>
      </w:r>
      <w:proofErr w:type="spellStart"/>
      <w:r>
        <w:rPr>
          <w:sz w:val="24"/>
          <w:szCs w:val="24"/>
        </w:rPr>
        <w:t>NO</w:t>
      </w:r>
      <w:r w:rsidR="00562093">
        <w:rPr>
          <w:sz w:val="24"/>
          <w:szCs w:val="24"/>
          <w:vertAlign w:val="subscript"/>
        </w:rPr>
        <w:t>x</w:t>
      </w:r>
      <w:proofErr w:type="spellEnd"/>
      <w:r>
        <w:rPr>
          <w:sz w:val="24"/>
          <w:szCs w:val="24"/>
        </w:rPr>
        <w:t xml:space="preserve"> compliance plans</w:t>
      </w:r>
      <w:r w:rsidR="00CE3ABF">
        <w:rPr>
          <w:sz w:val="24"/>
          <w:szCs w:val="24"/>
        </w:rPr>
        <w:t xml:space="preserve">. </w:t>
      </w:r>
      <w:r>
        <w:rPr>
          <w:sz w:val="24"/>
          <w:szCs w:val="24"/>
        </w:rPr>
        <w:t xml:space="preserve">Permits, including </w:t>
      </w:r>
      <w:proofErr w:type="spellStart"/>
      <w:r>
        <w:rPr>
          <w:sz w:val="24"/>
          <w:szCs w:val="24"/>
        </w:rPr>
        <w:t>NO</w:t>
      </w:r>
      <w:r w:rsidR="00562093">
        <w:rPr>
          <w:sz w:val="24"/>
          <w:szCs w:val="24"/>
          <w:vertAlign w:val="subscript"/>
        </w:rPr>
        <w:t>x</w:t>
      </w:r>
      <w:proofErr w:type="spellEnd"/>
      <w:r>
        <w:rPr>
          <w:sz w:val="24"/>
          <w:szCs w:val="24"/>
        </w:rPr>
        <w:t xml:space="preserve"> Compliance Plans for units affected for </w:t>
      </w:r>
      <w:proofErr w:type="spellStart"/>
      <w:r>
        <w:rPr>
          <w:sz w:val="24"/>
          <w:szCs w:val="24"/>
        </w:rPr>
        <w:t>NO</w:t>
      </w:r>
      <w:r w:rsidR="00562093">
        <w:rPr>
          <w:sz w:val="24"/>
          <w:szCs w:val="24"/>
          <w:vertAlign w:val="subscript"/>
        </w:rPr>
        <w:t>x</w:t>
      </w:r>
      <w:proofErr w:type="spellEnd"/>
      <w:r>
        <w:rPr>
          <w:sz w:val="24"/>
          <w:szCs w:val="24"/>
        </w:rPr>
        <w:t>, must be renewed every five years</w:t>
      </w:r>
      <w:r w:rsidR="00CE3ABF">
        <w:rPr>
          <w:sz w:val="24"/>
          <w:szCs w:val="24"/>
        </w:rPr>
        <w:t xml:space="preserve">. </w:t>
      </w:r>
      <w:r>
        <w:rPr>
          <w:sz w:val="24"/>
          <w:szCs w:val="24"/>
        </w:rPr>
        <w:t>Therefore, EPA assume</w:t>
      </w:r>
      <w:r w:rsidR="00820420">
        <w:rPr>
          <w:sz w:val="24"/>
          <w:szCs w:val="24"/>
        </w:rPr>
        <w:t>s 20 percent</w:t>
      </w:r>
      <w:r>
        <w:rPr>
          <w:sz w:val="24"/>
          <w:szCs w:val="24"/>
        </w:rPr>
        <w:t xml:space="preserve"> of all units affected for </w:t>
      </w:r>
      <w:proofErr w:type="spellStart"/>
      <w:r>
        <w:rPr>
          <w:sz w:val="24"/>
          <w:szCs w:val="24"/>
        </w:rPr>
        <w:t>NO</w:t>
      </w:r>
      <w:r w:rsidR="00562093">
        <w:rPr>
          <w:sz w:val="24"/>
          <w:szCs w:val="24"/>
          <w:vertAlign w:val="subscript"/>
        </w:rPr>
        <w:t>x</w:t>
      </w:r>
      <w:proofErr w:type="spellEnd"/>
      <w:r>
        <w:rPr>
          <w:sz w:val="24"/>
          <w:szCs w:val="24"/>
          <w:vertAlign w:val="subscript"/>
        </w:rPr>
        <w:t xml:space="preserve"> </w:t>
      </w:r>
      <w:r>
        <w:rPr>
          <w:sz w:val="24"/>
          <w:szCs w:val="24"/>
        </w:rPr>
        <w:t xml:space="preserve"> (i.e., 200 units) will submit </w:t>
      </w:r>
      <w:proofErr w:type="spellStart"/>
      <w:r>
        <w:rPr>
          <w:sz w:val="24"/>
          <w:szCs w:val="24"/>
        </w:rPr>
        <w:t>NO</w:t>
      </w:r>
      <w:r w:rsidR="00562093">
        <w:rPr>
          <w:sz w:val="24"/>
          <w:szCs w:val="24"/>
          <w:vertAlign w:val="subscript"/>
        </w:rPr>
        <w:t>x</w:t>
      </w:r>
      <w:proofErr w:type="spellEnd"/>
      <w:r>
        <w:rPr>
          <w:sz w:val="24"/>
          <w:szCs w:val="24"/>
        </w:rPr>
        <w:t xml:space="preserve"> Compliance Plan renewal applications each year</w:t>
      </w:r>
      <w:r w:rsidR="00CE3ABF">
        <w:rPr>
          <w:sz w:val="24"/>
          <w:szCs w:val="24"/>
        </w:rPr>
        <w:t xml:space="preserve">. </w:t>
      </w:r>
      <w:r>
        <w:rPr>
          <w:sz w:val="24"/>
          <w:szCs w:val="24"/>
        </w:rPr>
        <w:t xml:space="preserve">Based on </w:t>
      </w:r>
      <w:r w:rsidR="00EE6A34">
        <w:rPr>
          <w:sz w:val="24"/>
          <w:szCs w:val="24"/>
        </w:rPr>
        <w:t>previous</w:t>
      </w:r>
      <w:r>
        <w:rPr>
          <w:sz w:val="24"/>
          <w:szCs w:val="24"/>
        </w:rPr>
        <w:t xml:space="preserve"> years of the program, EPA expects to receive </w:t>
      </w:r>
      <w:r w:rsidRPr="00EE6A34">
        <w:rPr>
          <w:sz w:val="24"/>
          <w:szCs w:val="24"/>
        </w:rPr>
        <w:t>27</w:t>
      </w:r>
      <w:r>
        <w:rPr>
          <w:sz w:val="24"/>
          <w:szCs w:val="24"/>
        </w:rPr>
        <w:t xml:space="preserve"> </w:t>
      </w:r>
      <w:proofErr w:type="spellStart"/>
      <w:r>
        <w:rPr>
          <w:sz w:val="24"/>
          <w:szCs w:val="24"/>
        </w:rPr>
        <w:t>NO</w:t>
      </w:r>
      <w:r w:rsidR="00562093">
        <w:rPr>
          <w:sz w:val="24"/>
          <w:szCs w:val="24"/>
          <w:vertAlign w:val="subscript"/>
        </w:rPr>
        <w:t>x</w:t>
      </w:r>
      <w:proofErr w:type="spellEnd"/>
      <w:r>
        <w:rPr>
          <w:sz w:val="24"/>
          <w:szCs w:val="24"/>
        </w:rPr>
        <w:t xml:space="preserve"> compliance plan revisions each year</w:t>
      </w:r>
      <w:r w:rsidR="00562093">
        <w:rPr>
          <w:sz w:val="24"/>
          <w:szCs w:val="24"/>
        </w:rPr>
        <w:t xml:space="preserve">.  </w:t>
      </w:r>
    </w:p>
    <w:p w:rsidR="009907D5" w:rsidRDefault="009907D5" w:rsidP="00AB4259">
      <w:pPr>
        <w:widowControl/>
        <w:numPr>
          <w:ilvl w:val="12"/>
          <w:numId w:val="0"/>
        </w:numPr>
        <w:rPr>
          <w:sz w:val="24"/>
          <w:szCs w:val="24"/>
        </w:rPr>
      </w:pPr>
    </w:p>
    <w:p w:rsidR="009907D5" w:rsidRDefault="009907D5" w:rsidP="00AB4259">
      <w:pPr>
        <w:widowControl/>
        <w:numPr>
          <w:ilvl w:val="12"/>
          <w:numId w:val="0"/>
        </w:numPr>
        <w:rPr>
          <w:sz w:val="24"/>
          <w:szCs w:val="24"/>
        </w:rPr>
      </w:pPr>
      <w:r>
        <w:rPr>
          <w:sz w:val="24"/>
          <w:szCs w:val="24"/>
        </w:rPr>
        <w:tab/>
      </w:r>
      <w:r w:rsidRPr="009907D5">
        <w:rPr>
          <w:sz w:val="24"/>
          <w:szCs w:val="24"/>
        </w:rPr>
        <w:t>For each compliance plan renewal, EPA estimates that th</w:t>
      </w:r>
      <w:r w:rsidR="00820420">
        <w:rPr>
          <w:sz w:val="24"/>
          <w:szCs w:val="24"/>
        </w:rPr>
        <w:t>e applicant will require about five</w:t>
      </w:r>
      <w:r w:rsidRPr="009907D5">
        <w:rPr>
          <w:sz w:val="24"/>
          <w:szCs w:val="24"/>
        </w:rPr>
        <w:t xml:space="preserve"> hours, while compliance plan</w:t>
      </w:r>
      <w:r w:rsidR="00820420">
        <w:rPr>
          <w:sz w:val="24"/>
          <w:szCs w:val="24"/>
        </w:rPr>
        <w:t xml:space="preserve"> revisions will require about ten</w:t>
      </w:r>
      <w:r w:rsidRPr="009907D5">
        <w:rPr>
          <w:sz w:val="24"/>
          <w:szCs w:val="24"/>
        </w:rPr>
        <w:t xml:space="preserve"> hours</w:t>
      </w:r>
      <w:r w:rsidR="00CE3ABF">
        <w:rPr>
          <w:sz w:val="24"/>
          <w:szCs w:val="24"/>
        </w:rPr>
        <w:t xml:space="preserve">. </w:t>
      </w:r>
      <w:r>
        <w:rPr>
          <w:sz w:val="24"/>
          <w:szCs w:val="24"/>
        </w:rPr>
        <w:t xml:space="preserve">The total respondent burden for </w:t>
      </w:r>
      <w:proofErr w:type="spellStart"/>
      <w:r>
        <w:rPr>
          <w:sz w:val="24"/>
          <w:szCs w:val="24"/>
        </w:rPr>
        <w:t>NO</w:t>
      </w:r>
      <w:r w:rsidR="00562093">
        <w:rPr>
          <w:sz w:val="24"/>
          <w:szCs w:val="24"/>
          <w:vertAlign w:val="subscript"/>
        </w:rPr>
        <w:t>x</w:t>
      </w:r>
      <w:proofErr w:type="spellEnd"/>
      <w:r>
        <w:rPr>
          <w:sz w:val="24"/>
          <w:szCs w:val="24"/>
        </w:rPr>
        <w:t xml:space="preserve"> permitting, as shown in Exhibit 14, is estimated to be </w:t>
      </w:r>
      <w:r w:rsidRPr="009907D5">
        <w:rPr>
          <w:sz w:val="24"/>
          <w:szCs w:val="24"/>
        </w:rPr>
        <w:t>1,270</w:t>
      </w:r>
      <w:r>
        <w:rPr>
          <w:sz w:val="24"/>
          <w:szCs w:val="24"/>
        </w:rPr>
        <w:t xml:space="preserve"> hours each year</w:t>
      </w:r>
      <w:r w:rsidR="00CE3ABF">
        <w:rPr>
          <w:sz w:val="24"/>
          <w:szCs w:val="24"/>
        </w:rPr>
        <w:t xml:space="preserve">. </w:t>
      </w:r>
      <w:r>
        <w:rPr>
          <w:sz w:val="24"/>
          <w:szCs w:val="24"/>
        </w:rPr>
        <w:t xml:space="preserve">The costs associated with </w:t>
      </w:r>
      <w:proofErr w:type="spellStart"/>
      <w:r>
        <w:rPr>
          <w:sz w:val="24"/>
          <w:szCs w:val="24"/>
        </w:rPr>
        <w:t>NO</w:t>
      </w:r>
      <w:r w:rsidR="00562093">
        <w:rPr>
          <w:sz w:val="24"/>
          <w:szCs w:val="24"/>
          <w:vertAlign w:val="subscript"/>
        </w:rPr>
        <w:t>x</w:t>
      </w:r>
      <w:proofErr w:type="spellEnd"/>
      <w:r>
        <w:rPr>
          <w:sz w:val="24"/>
          <w:szCs w:val="24"/>
        </w:rPr>
        <w:t xml:space="preserve"> permitting are estimated at $</w:t>
      </w:r>
      <w:r w:rsidR="00A23159">
        <w:rPr>
          <w:sz w:val="24"/>
          <w:szCs w:val="24"/>
        </w:rPr>
        <w:t>103,193</w:t>
      </w:r>
      <w:r>
        <w:rPr>
          <w:sz w:val="24"/>
          <w:szCs w:val="24"/>
        </w:rPr>
        <w:t xml:space="preserve"> per year.</w:t>
      </w:r>
    </w:p>
    <w:p w:rsidR="009907D5" w:rsidRDefault="009907D5" w:rsidP="00AB4259">
      <w:pPr>
        <w:widowControl/>
        <w:numPr>
          <w:ilvl w:val="12"/>
          <w:numId w:val="0"/>
        </w:numPr>
        <w:rPr>
          <w:sz w:val="24"/>
          <w:szCs w:val="24"/>
        </w:rPr>
      </w:pPr>
    </w:p>
    <w:p w:rsidR="009907D5" w:rsidRDefault="009907D5" w:rsidP="00AB4259">
      <w:pPr>
        <w:widowControl/>
        <w:numPr>
          <w:ilvl w:val="12"/>
          <w:numId w:val="0"/>
        </w:numPr>
        <w:rPr>
          <w:sz w:val="24"/>
          <w:szCs w:val="24"/>
        </w:rPr>
      </w:pPr>
    </w:p>
    <w:p w:rsidR="009907D5" w:rsidRPr="001B352F" w:rsidRDefault="009907D5" w:rsidP="00AB4259">
      <w:pPr>
        <w:keepNext/>
        <w:widowControl/>
        <w:numPr>
          <w:ilvl w:val="12"/>
          <w:numId w:val="0"/>
        </w:numPr>
        <w:jc w:val="center"/>
        <w:rPr>
          <w:b/>
          <w:sz w:val="24"/>
          <w:szCs w:val="24"/>
        </w:rPr>
      </w:pPr>
      <w:r w:rsidRPr="001B352F">
        <w:rPr>
          <w:b/>
          <w:sz w:val="24"/>
          <w:szCs w:val="24"/>
        </w:rPr>
        <w:lastRenderedPageBreak/>
        <w:t xml:space="preserve">EXHIBIT </w:t>
      </w:r>
      <w:r w:rsidR="00BD4809" w:rsidRPr="001B352F">
        <w:rPr>
          <w:b/>
          <w:sz w:val="24"/>
          <w:szCs w:val="24"/>
        </w:rPr>
        <w:t>1</w:t>
      </w:r>
      <w:r w:rsidR="00BD4809">
        <w:rPr>
          <w:b/>
          <w:sz w:val="24"/>
          <w:szCs w:val="24"/>
        </w:rPr>
        <w:t>2</w:t>
      </w:r>
    </w:p>
    <w:p w:rsidR="009907D5" w:rsidRPr="001B352F" w:rsidRDefault="009907D5" w:rsidP="00AB4259">
      <w:pPr>
        <w:keepNext/>
        <w:widowControl/>
        <w:numPr>
          <w:ilvl w:val="12"/>
          <w:numId w:val="0"/>
        </w:numPr>
        <w:jc w:val="center"/>
        <w:rPr>
          <w:b/>
          <w:sz w:val="24"/>
          <w:szCs w:val="24"/>
        </w:rPr>
      </w:pPr>
      <w:r w:rsidRPr="001B352F">
        <w:rPr>
          <w:b/>
          <w:sz w:val="24"/>
          <w:szCs w:val="24"/>
        </w:rPr>
        <w:t xml:space="preserve">RESPONDENT BURDEN/COST ESTIMATES FOR </w:t>
      </w:r>
      <w:proofErr w:type="spellStart"/>
      <w:r w:rsidRPr="001B352F">
        <w:rPr>
          <w:b/>
          <w:sz w:val="24"/>
          <w:szCs w:val="24"/>
        </w:rPr>
        <w:t>NO</w:t>
      </w:r>
      <w:r w:rsidR="00562093" w:rsidRPr="001B352F">
        <w:rPr>
          <w:b/>
          <w:sz w:val="24"/>
          <w:szCs w:val="24"/>
          <w:vertAlign w:val="subscript"/>
        </w:rPr>
        <w:t>x</w:t>
      </w:r>
      <w:proofErr w:type="spellEnd"/>
      <w:r w:rsidRPr="001B352F">
        <w:rPr>
          <w:b/>
          <w:sz w:val="24"/>
          <w:szCs w:val="24"/>
        </w:rPr>
        <w:t xml:space="preserve"> PERMITTING</w:t>
      </w:r>
    </w:p>
    <w:p w:rsidR="001B352F" w:rsidRDefault="001B352F" w:rsidP="00AB4259">
      <w:pPr>
        <w:keepNext/>
        <w:widowControl/>
        <w:numPr>
          <w:ilvl w:val="12"/>
          <w:numId w:val="0"/>
        </w:numPr>
        <w:jc w:val="center"/>
        <w:rPr>
          <w:sz w:val="24"/>
          <w:szCs w:val="24"/>
        </w:rPr>
      </w:pPr>
    </w:p>
    <w:tbl>
      <w:tblPr>
        <w:tblW w:w="9360" w:type="dxa"/>
        <w:jc w:val="center"/>
        <w:tblBorders>
          <w:top w:val="double" w:sz="6" w:space="0" w:color="auto"/>
          <w:left w:val="double" w:sz="6" w:space="0" w:color="auto"/>
          <w:bottom w:val="double" w:sz="6" w:space="0" w:color="auto"/>
          <w:right w:val="double" w:sz="6" w:space="0" w:color="auto"/>
          <w:insideV w:val="single" w:sz="4" w:space="0" w:color="auto"/>
        </w:tblBorders>
        <w:tblLayout w:type="fixed"/>
        <w:tblCellMar>
          <w:top w:w="72" w:type="dxa"/>
          <w:left w:w="72" w:type="dxa"/>
          <w:bottom w:w="72" w:type="dxa"/>
          <w:right w:w="72" w:type="dxa"/>
        </w:tblCellMar>
        <w:tblLook w:val="0000"/>
      </w:tblPr>
      <w:tblGrid>
        <w:gridCol w:w="3235"/>
        <w:gridCol w:w="1711"/>
        <w:gridCol w:w="1438"/>
        <w:gridCol w:w="1624"/>
        <w:gridCol w:w="1352"/>
      </w:tblGrid>
      <w:tr w:rsidR="00203950" w:rsidTr="00203950">
        <w:trPr>
          <w:trHeight w:val="754"/>
          <w:jc w:val="center"/>
        </w:trPr>
        <w:tc>
          <w:tcPr>
            <w:tcW w:w="3240" w:type="dxa"/>
            <w:tcBorders>
              <w:top w:val="double" w:sz="6" w:space="0" w:color="auto"/>
              <w:bottom w:val="single" w:sz="2" w:space="0" w:color="auto"/>
            </w:tcBorders>
            <w:shd w:val="pct10" w:color="auto" w:fill="auto"/>
            <w:vAlign w:val="bottom"/>
          </w:tcPr>
          <w:p w:rsidR="00203950" w:rsidRPr="00B07325" w:rsidRDefault="00203950" w:rsidP="004161CD">
            <w:pPr>
              <w:keepNext/>
              <w:keepLines/>
              <w:widowControl/>
              <w:autoSpaceDE/>
              <w:autoSpaceDN/>
              <w:adjustRightInd/>
              <w:jc w:val="center"/>
              <w:rPr>
                <w:b/>
                <w:sz w:val="22"/>
                <w:szCs w:val="22"/>
              </w:rPr>
            </w:pPr>
            <w:r w:rsidRPr="00B07325">
              <w:rPr>
                <w:b/>
                <w:sz w:val="22"/>
                <w:szCs w:val="22"/>
              </w:rPr>
              <w:t>Tasks</w:t>
            </w:r>
          </w:p>
        </w:tc>
        <w:tc>
          <w:tcPr>
            <w:tcW w:w="1714" w:type="dxa"/>
            <w:tcBorders>
              <w:top w:val="double" w:sz="6" w:space="0" w:color="auto"/>
              <w:bottom w:val="single" w:sz="2" w:space="0" w:color="auto"/>
            </w:tcBorders>
            <w:shd w:val="pct10" w:color="auto" w:fill="auto"/>
            <w:vAlign w:val="bottom"/>
          </w:tcPr>
          <w:p w:rsidR="00203950" w:rsidRPr="00B07325" w:rsidRDefault="00203950" w:rsidP="004161CD">
            <w:pPr>
              <w:keepNext/>
              <w:keepLines/>
              <w:widowControl/>
              <w:autoSpaceDE/>
              <w:autoSpaceDN/>
              <w:adjustRightInd/>
              <w:jc w:val="center"/>
              <w:rPr>
                <w:b/>
                <w:sz w:val="22"/>
                <w:szCs w:val="22"/>
              </w:rPr>
            </w:pPr>
            <w:r>
              <w:rPr>
                <w:b/>
                <w:sz w:val="22"/>
                <w:szCs w:val="22"/>
              </w:rPr>
              <w:t>Burden Hours p</w:t>
            </w:r>
            <w:r w:rsidRPr="00B07325">
              <w:rPr>
                <w:b/>
                <w:sz w:val="22"/>
                <w:szCs w:val="22"/>
              </w:rPr>
              <w:t>er Occurrence</w:t>
            </w:r>
          </w:p>
        </w:tc>
        <w:tc>
          <w:tcPr>
            <w:tcW w:w="1440" w:type="dxa"/>
            <w:tcBorders>
              <w:top w:val="double" w:sz="6" w:space="0" w:color="auto"/>
              <w:bottom w:val="single" w:sz="2" w:space="0" w:color="auto"/>
            </w:tcBorders>
            <w:shd w:val="pct10" w:color="auto" w:fill="auto"/>
            <w:vAlign w:val="bottom"/>
          </w:tcPr>
          <w:p w:rsidR="00203950" w:rsidRPr="00B07325" w:rsidRDefault="00203950" w:rsidP="004161CD">
            <w:pPr>
              <w:keepNext/>
              <w:keepLines/>
              <w:widowControl/>
              <w:autoSpaceDE/>
              <w:autoSpaceDN/>
              <w:adjustRightInd/>
              <w:jc w:val="center"/>
              <w:rPr>
                <w:b/>
                <w:sz w:val="22"/>
                <w:szCs w:val="22"/>
              </w:rPr>
            </w:pPr>
            <w:r>
              <w:rPr>
                <w:b/>
                <w:sz w:val="22"/>
                <w:szCs w:val="22"/>
              </w:rPr>
              <w:t>Cost p</w:t>
            </w:r>
            <w:r w:rsidRPr="00B07325">
              <w:rPr>
                <w:b/>
                <w:sz w:val="22"/>
                <w:szCs w:val="22"/>
              </w:rPr>
              <w:t xml:space="preserve">er </w:t>
            </w:r>
            <w:proofErr w:type="spellStart"/>
            <w:r w:rsidRPr="00B07325">
              <w:rPr>
                <w:b/>
                <w:sz w:val="22"/>
                <w:szCs w:val="22"/>
              </w:rPr>
              <w:t>Occurrence</w:t>
            </w:r>
            <w:r w:rsidRPr="00B07325">
              <w:rPr>
                <w:b/>
                <w:sz w:val="22"/>
                <w:szCs w:val="22"/>
                <w:vertAlign w:val="superscript"/>
              </w:rPr>
              <w:t>a</w:t>
            </w:r>
            <w:proofErr w:type="spellEnd"/>
          </w:p>
        </w:tc>
        <w:tc>
          <w:tcPr>
            <w:tcW w:w="1627" w:type="dxa"/>
            <w:tcBorders>
              <w:top w:val="double" w:sz="6" w:space="0" w:color="auto"/>
              <w:bottom w:val="single" w:sz="2" w:space="0" w:color="auto"/>
            </w:tcBorders>
            <w:shd w:val="pct10" w:color="auto" w:fill="auto"/>
            <w:vAlign w:val="bottom"/>
          </w:tcPr>
          <w:p w:rsidR="00203950" w:rsidRPr="00B07325" w:rsidRDefault="00203950" w:rsidP="004161CD">
            <w:pPr>
              <w:keepNext/>
              <w:keepLines/>
              <w:widowControl/>
              <w:autoSpaceDE/>
              <w:autoSpaceDN/>
              <w:adjustRightInd/>
              <w:jc w:val="center"/>
              <w:rPr>
                <w:b/>
                <w:sz w:val="22"/>
                <w:szCs w:val="22"/>
              </w:rPr>
            </w:pPr>
            <w:r>
              <w:rPr>
                <w:b/>
                <w:sz w:val="22"/>
                <w:szCs w:val="22"/>
              </w:rPr>
              <w:t>Total Burden (h</w:t>
            </w:r>
            <w:r w:rsidRPr="00B07325">
              <w:rPr>
                <w:b/>
                <w:sz w:val="22"/>
                <w:szCs w:val="22"/>
              </w:rPr>
              <w:t>ours)</w:t>
            </w:r>
          </w:p>
        </w:tc>
        <w:tc>
          <w:tcPr>
            <w:tcW w:w="1354" w:type="dxa"/>
            <w:tcBorders>
              <w:top w:val="double" w:sz="6" w:space="0" w:color="auto"/>
              <w:bottom w:val="single" w:sz="2" w:space="0" w:color="auto"/>
            </w:tcBorders>
            <w:shd w:val="pct10" w:color="auto" w:fill="auto"/>
            <w:vAlign w:val="bottom"/>
          </w:tcPr>
          <w:p w:rsidR="00203950" w:rsidRPr="00B07325" w:rsidRDefault="00203950" w:rsidP="004161CD">
            <w:pPr>
              <w:keepNext/>
              <w:keepLines/>
              <w:widowControl/>
              <w:autoSpaceDE/>
              <w:autoSpaceDN/>
              <w:adjustRightInd/>
              <w:jc w:val="center"/>
              <w:rPr>
                <w:b/>
                <w:sz w:val="22"/>
                <w:szCs w:val="22"/>
              </w:rPr>
            </w:pPr>
            <w:r w:rsidRPr="00B07325">
              <w:rPr>
                <w:b/>
                <w:sz w:val="22"/>
                <w:szCs w:val="22"/>
              </w:rPr>
              <w:t>Total Cost</w:t>
            </w:r>
          </w:p>
        </w:tc>
      </w:tr>
      <w:tr w:rsidR="00CD7372" w:rsidRPr="00A64839" w:rsidTr="00203950">
        <w:trPr>
          <w:trHeight w:val="434"/>
          <w:jc w:val="center"/>
        </w:trPr>
        <w:tc>
          <w:tcPr>
            <w:tcW w:w="3240" w:type="dxa"/>
            <w:tcBorders>
              <w:top w:val="single" w:sz="2" w:space="0" w:color="auto"/>
            </w:tcBorders>
            <w:shd w:val="clear" w:color="auto" w:fill="auto"/>
          </w:tcPr>
          <w:p w:rsidR="00CD7372" w:rsidRPr="00A64839" w:rsidRDefault="00CD7372" w:rsidP="00A64839">
            <w:pPr>
              <w:keepNext/>
              <w:widowControl/>
              <w:autoSpaceDE/>
              <w:autoSpaceDN/>
              <w:adjustRightInd/>
            </w:pPr>
            <w:r w:rsidRPr="00A64839">
              <w:t xml:space="preserve">Prepare </w:t>
            </w:r>
            <w:proofErr w:type="spellStart"/>
            <w:r w:rsidRPr="00A64839">
              <w:t>NO</w:t>
            </w:r>
            <w:r w:rsidR="00562093" w:rsidRPr="00A64839">
              <w:rPr>
                <w:vertAlign w:val="subscript"/>
              </w:rPr>
              <w:t>x</w:t>
            </w:r>
            <w:proofErr w:type="spellEnd"/>
            <w:r w:rsidRPr="00A64839">
              <w:t xml:space="preserve"> Compliance Plan renewal </w:t>
            </w:r>
            <w:proofErr w:type="spellStart"/>
            <w:r w:rsidRPr="00A64839">
              <w:t>applications</w:t>
            </w:r>
            <w:r w:rsidR="00A64839">
              <w:t>.</w:t>
            </w:r>
            <w:r w:rsidRPr="00A64839">
              <w:rPr>
                <w:vertAlign w:val="superscript"/>
              </w:rPr>
              <w:t>b</w:t>
            </w:r>
            <w:proofErr w:type="spellEnd"/>
          </w:p>
        </w:tc>
        <w:tc>
          <w:tcPr>
            <w:tcW w:w="1714" w:type="dxa"/>
            <w:tcBorders>
              <w:top w:val="single" w:sz="2" w:space="0" w:color="auto"/>
            </w:tcBorders>
            <w:shd w:val="clear" w:color="auto" w:fill="auto"/>
          </w:tcPr>
          <w:p w:rsidR="00CD7372" w:rsidRPr="00A64839" w:rsidRDefault="00CD7372" w:rsidP="00A64839">
            <w:pPr>
              <w:keepNext/>
              <w:widowControl/>
              <w:autoSpaceDE/>
              <w:autoSpaceDN/>
              <w:adjustRightInd/>
              <w:jc w:val="center"/>
            </w:pPr>
          </w:p>
        </w:tc>
        <w:tc>
          <w:tcPr>
            <w:tcW w:w="1440" w:type="dxa"/>
            <w:tcBorders>
              <w:top w:val="single" w:sz="2" w:space="0" w:color="auto"/>
            </w:tcBorders>
            <w:shd w:val="clear" w:color="auto" w:fill="auto"/>
          </w:tcPr>
          <w:p w:rsidR="00CD7372" w:rsidRPr="00A64839" w:rsidRDefault="00CD7372" w:rsidP="00A64839">
            <w:pPr>
              <w:keepNext/>
              <w:widowControl/>
              <w:autoSpaceDE/>
              <w:autoSpaceDN/>
              <w:adjustRightInd/>
              <w:jc w:val="center"/>
            </w:pPr>
          </w:p>
        </w:tc>
        <w:tc>
          <w:tcPr>
            <w:tcW w:w="1627" w:type="dxa"/>
            <w:tcBorders>
              <w:top w:val="single" w:sz="2" w:space="0" w:color="auto"/>
            </w:tcBorders>
            <w:shd w:val="clear" w:color="auto" w:fill="auto"/>
          </w:tcPr>
          <w:p w:rsidR="00CD7372" w:rsidRPr="00A64839" w:rsidRDefault="00CD7372" w:rsidP="00A64839">
            <w:pPr>
              <w:keepNext/>
              <w:widowControl/>
              <w:autoSpaceDE/>
              <w:autoSpaceDN/>
              <w:adjustRightInd/>
              <w:jc w:val="center"/>
            </w:pPr>
          </w:p>
        </w:tc>
        <w:tc>
          <w:tcPr>
            <w:tcW w:w="1354" w:type="dxa"/>
            <w:tcBorders>
              <w:top w:val="single" w:sz="2" w:space="0" w:color="auto"/>
            </w:tcBorders>
            <w:shd w:val="clear" w:color="auto" w:fill="auto"/>
          </w:tcPr>
          <w:p w:rsidR="00CD7372" w:rsidRPr="00A64839" w:rsidRDefault="00CD7372" w:rsidP="00A64839">
            <w:pPr>
              <w:keepNext/>
              <w:widowControl/>
              <w:autoSpaceDE/>
              <w:autoSpaceDN/>
              <w:adjustRightInd/>
              <w:jc w:val="center"/>
            </w:pPr>
          </w:p>
        </w:tc>
      </w:tr>
      <w:tr w:rsidR="00A64839" w:rsidRPr="00A64839" w:rsidTr="00203950">
        <w:trPr>
          <w:trHeight w:val="277"/>
          <w:jc w:val="center"/>
        </w:trPr>
        <w:tc>
          <w:tcPr>
            <w:tcW w:w="3240" w:type="dxa"/>
            <w:shd w:val="clear" w:color="auto" w:fill="auto"/>
          </w:tcPr>
          <w:p w:rsidR="00A64839" w:rsidRPr="00A64839" w:rsidRDefault="00A64839" w:rsidP="00A64839">
            <w:pPr>
              <w:widowControl/>
              <w:autoSpaceDE/>
              <w:autoSpaceDN/>
              <w:adjustRightInd/>
              <w:ind w:left="378"/>
            </w:pPr>
            <w:r w:rsidRPr="00A64839">
              <w:t>Managerial</w:t>
            </w:r>
            <w:r w:rsidR="00B63804">
              <w:t>.</w:t>
            </w:r>
          </w:p>
        </w:tc>
        <w:tc>
          <w:tcPr>
            <w:tcW w:w="1714" w:type="dxa"/>
            <w:shd w:val="clear" w:color="auto" w:fill="auto"/>
          </w:tcPr>
          <w:p w:rsidR="00A64839" w:rsidRPr="00A64839" w:rsidRDefault="00A64839" w:rsidP="004161CD">
            <w:pPr>
              <w:widowControl/>
              <w:autoSpaceDE/>
              <w:autoSpaceDN/>
              <w:adjustRightInd/>
              <w:jc w:val="center"/>
            </w:pPr>
            <w:r w:rsidRPr="00A64839">
              <w:t>2</w:t>
            </w:r>
          </w:p>
        </w:tc>
        <w:tc>
          <w:tcPr>
            <w:tcW w:w="1440" w:type="dxa"/>
            <w:shd w:val="clear" w:color="auto" w:fill="auto"/>
          </w:tcPr>
          <w:p w:rsidR="00A64839" w:rsidRPr="00A64839" w:rsidRDefault="00A64839" w:rsidP="00A23159">
            <w:pPr>
              <w:widowControl/>
              <w:autoSpaceDE/>
              <w:autoSpaceDN/>
              <w:adjustRightInd/>
              <w:jc w:val="center"/>
            </w:pPr>
            <w:r w:rsidRPr="00A64839">
              <w:t>$</w:t>
            </w:r>
            <w:r w:rsidR="00A23159">
              <w:t>204.34</w:t>
            </w:r>
          </w:p>
        </w:tc>
        <w:tc>
          <w:tcPr>
            <w:tcW w:w="1627" w:type="dxa"/>
            <w:shd w:val="clear" w:color="auto" w:fill="auto"/>
          </w:tcPr>
          <w:p w:rsidR="00A64839" w:rsidRPr="00A64839" w:rsidRDefault="00A64839" w:rsidP="004161CD">
            <w:pPr>
              <w:widowControl/>
              <w:autoSpaceDE/>
              <w:autoSpaceDN/>
              <w:adjustRightInd/>
              <w:jc w:val="center"/>
            </w:pPr>
            <w:r w:rsidRPr="00A64839">
              <w:t>400</w:t>
            </w:r>
          </w:p>
        </w:tc>
        <w:tc>
          <w:tcPr>
            <w:tcW w:w="1354" w:type="dxa"/>
            <w:shd w:val="clear" w:color="auto" w:fill="auto"/>
          </w:tcPr>
          <w:p w:rsidR="00A64839" w:rsidRPr="00A64839" w:rsidRDefault="00A64839" w:rsidP="00A23159">
            <w:pPr>
              <w:widowControl/>
              <w:autoSpaceDE/>
              <w:autoSpaceDN/>
              <w:adjustRightInd/>
              <w:jc w:val="center"/>
            </w:pPr>
            <w:r w:rsidRPr="00A64839">
              <w:t>$</w:t>
            </w:r>
            <w:r w:rsidR="00A23159">
              <w:t>40,868.00</w:t>
            </w:r>
          </w:p>
        </w:tc>
      </w:tr>
      <w:tr w:rsidR="00A64839" w:rsidRPr="00A64839" w:rsidTr="00203950">
        <w:trPr>
          <w:trHeight w:val="205"/>
          <w:jc w:val="center"/>
        </w:trPr>
        <w:tc>
          <w:tcPr>
            <w:tcW w:w="3240" w:type="dxa"/>
            <w:shd w:val="clear" w:color="auto" w:fill="auto"/>
          </w:tcPr>
          <w:p w:rsidR="00A64839" w:rsidRPr="00A64839" w:rsidRDefault="00A64839" w:rsidP="00A64839">
            <w:pPr>
              <w:widowControl/>
              <w:autoSpaceDE/>
              <w:autoSpaceDN/>
              <w:adjustRightInd/>
              <w:ind w:left="378"/>
            </w:pPr>
            <w:r w:rsidRPr="00A64839">
              <w:t>Technical</w:t>
            </w:r>
            <w:r w:rsidR="00B63804">
              <w:t>.</w:t>
            </w:r>
          </w:p>
        </w:tc>
        <w:tc>
          <w:tcPr>
            <w:tcW w:w="1714" w:type="dxa"/>
            <w:shd w:val="clear" w:color="auto" w:fill="auto"/>
          </w:tcPr>
          <w:p w:rsidR="00A64839" w:rsidRPr="00A64839" w:rsidRDefault="00A64839" w:rsidP="004161CD">
            <w:pPr>
              <w:widowControl/>
              <w:autoSpaceDE/>
              <w:autoSpaceDN/>
              <w:adjustRightInd/>
              <w:jc w:val="center"/>
            </w:pPr>
            <w:r w:rsidRPr="00A64839">
              <w:t>3</w:t>
            </w:r>
          </w:p>
        </w:tc>
        <w:tc>
          <w:tcPr>
            <w:tcW w:w="1440" w:type="dxa"/>
            <w:shd w:val="clear" w:color="auto" w:fill="auto"/>
          </w:tcPr>
          <w:p w:rsidR="00A64839" w:rsidRPr="00A64839" w:rsidRDefault="00A64839" w:rsidP="004161CD">
            <w:pPr>
              <w:widowControl/>
              <w:autoSpaceDE/>
              <w:autoSpaceDN/>
              <w:adjustRightInd/>
              <w:jc w:val="center"/>
            </w:pPr>
            <w:r>
              <w:t>$</w:t>
            </w:r>
            <w:r w:rsidRPr="00A64839">
              <w:t>19</w:t>
            </w:r>
            <w:r w:rsidR="00A23159">
              <w:t>8.09</w:t>
            </w:r>
          </w:p>
        </w:tc>
        <w:tc>
          <w:tcPr>
            <w:tcW w:w="1627" w:type="dxa"/>
            <w:shd w:val="clear" w:color="auto" w:fill="auto"/>
          </w:tcPr>
          <w:p w:rsidR="00A64839" w:rsidRPr="00A64839" w:rsidRDefault="00A64839" w:rsidP="004161CD">
            <w:pPr>
              <w:widowControl/>
              <w:autoSpaceDE/>
              <w:autoSpaceDN/>
              <w:adjustRightInd/>
              <w:jc w:val="center"/>
            </w:pPr>
            <w:r w:rsidRPr="00A64839">
              <w:t>600</w:t>
            </w:r>
          </w:p>
        </w:tc>
        <w:tc>
          <w:tcPr>
            <w:tcW w:w="1354" w:type="dxa"/>
            <w:shd w:val="clear" w:color="auto" w:fill="auto"/>
          </w:tcPr>
          <w:p w:rsidR="00A64839" w:rsidRPr="00A64839" w:rsidRDefault="00A64839" w:rsidP="00A23159">
            <w:pPr>
              <w:widowControl/>
              <w:autoSpaceDE/>
              <w:autoSpaceDN/>
              <w:adjustRightInd/>
              <w:jc w:val="center"/>
            </w:pPr>
            <w:r w:rsidRPr="00A64839">
              <w:t>$</w:t>
            </w:r>
            <w:r w:rsidR="00A23159">
              <w:t>39,618.00</w:t>
            </w:r>
          </w:p>
        </w:tc>
      </w:tr>
      <w:tr w:rsidR="00CD7372" w:rsidRPr="00A64839" w:rsidTr="00203950">
        <w:trPr>
          <w:trHeight w:val="385"/>
          <w:jc w:val="center"/>
        </w:trPr>
        <w:tc>
          <w:tcPr>
            <w:tcW w:w="3240" w:type="dxa"/>
            <w:shd w:val="clear" w:color="auto" w:fill="auto"/>
          </w:tcPr>
          <w:p w:rsidR="00CD7372" w:rsidRPr="00A64839" w:rsidRDefault="00CD7372" w:rsidP="00A64839">
            <w:pPr>
              <w:widowControl/>
              <w:autoSpaceDE/>
              <w:autoSpaceDN/>
              <w:adjustRightInd/>
            </w:pPr>
            <w:r w:rsidRPr="00A64839">
              <w:t xml:space="preserve">Revise </w:t>
            </w:r>
            <w:proofErr w:type="spellStart"/>
            <w:r w:rsidRPr="00A64839">
              <w:t>NO</w:t>
            </w:r>
            <w:r w:rsidR="00562093" w:rsidRPr="00A64839">
              <w:rPr>
                <w:vertAlign w:val="subscript"/>
              </w:rPr>
              <w:t>x</w:t>
            </w:r>
            <w:proofErr w:type="spellEnd"/>
            <w:r w:rsidRPr="00A64839">
              <w:t xml:space="preserve"> Compliance Plan (e.g., emissions averaging plans)</w:t>
            </w:r>
            <w:r w:rsidR="00A64839">
              <w:t>.</w:t>
            </w:r>
            <w:r w:rsidRPr="00A64839">
              <w:rPr>
                <w:vertAlign w:val="superscript"/>
              </w:rPr>
              <w:t>c</w:t>
            </w:r>
          </w:p>
        </w:tc>
        <w:tc>
          <w:tcPr>
            <w:tcW w:w="1714" w:type="dxa"/>
            <w:shd w:val="clear" w:color="auto" w:fill="auto"/>
          </w:tcPr>
          <w:p w:rsidR="00CD7372" w:rsidRPr="00A64839" w:rsidRDefault="00CD7372" w:rsidP="00A64839">
            <w:pPr>
              <w:widowControl/>
              <w:autoSpaceDE/>
              <w:autoSpaceDN/>
              <w:adjustRightInd/>
              <w:jc w:val="center"/>
            </w:pPr>
          </w:p>
        </w:tc>
        <w:tc>
          <w:tcPr>
            <w:tcW w:w="1440" w:type="dxa"/>
            <w:shd w:val="clear" w:color="auto" w:fill="auto"/>
          </w:tcPr>
          <w:p w:rsidR="00CD7372" w:rsidRPr="00A64839" w:rsidRDefault="00CD7372" w:rsidP="00A64839">
            <w:pPr>
              <w:widowControl/>
              <w:autoSpaceDE/>
              <w:autoSpaceDN/>
              <w:adjustRightInd/>
              <w:jc w:val="center"/>
            </w:pPr>
          </w:p>
        </w:tc>
        <w:tc>
          <w:tcPr>
            <w:tcW w:w="1627" w:type="dxa"/>
            <w:shd w:val="clear" w:color="auto" w:fill="auto"/>
          </w:tcPr>
          <w:p w:rsidR="00CD7372" w:rsidRPr="00A64839" w:rsidRDefault="00CD7372" w:rsidP="00A64839">
            <w:pPr>
              <w:widowControl/>
              <w:autoSpaceDE/>
              <w:autoSpaceDN/>
              <w:adjustRightInd/>
              <w:jc w:val="center"/>
            </w:pPr>
          </w:p>
        </w:tc>
        <w:tc>
          <w:tcPr>
            <w:tcW w:w="1354" w:type="dxa"/>
            <w:shd w:val="clear" w:color="auto" w:fill="auto"/>
          </w:tcPr>
          <w:p w:rsidR="00CD7372" w:rsidRPr="00A64839" w:rsidRDefault="00CD7372" w:rsidP="00A64839">
            <w:pPr>
              <w:widowControl/>
              <w:autoSpaceDE/>
              <w:autoSpaceDN/>
              <w:adjustRightInd/>
              <w:jc w:val="center"/>
            </w:pPr>
          </w:p>
        </w:tc>
      </w:tr>
      <w:tr w:rsidR="00CD7372" w:rsidRPr="00A64839" w:rsidTr="00203950">
        <w:trPr>
          <w:trHeight w:val="232"/>
          <w:jc w:val="center"/>
        </w:trPr>
        <w:tc>
          <w:tcPr>
            <w:tcW w:w="3240" w:type="dxa"/>
            <w:shd w:val="clear" w:color="auto" w:fill="auto"/>
          </w:tcPr>
          <w:p w:rsidR="00CD7372" w:rsidRPr="00A64839" w:rsidRDefault="00CD7372" w:rsidP="00A64839">
            <w:pPr>
              <w:widowControl/>
              <w:autoSpaceDE/>
              <w:autoSpaceDN/>
              <w:adjustRightInd/>
              <w:ind w:left="378"/>
            </w:pPr>
            <w:r w:rsidRPr="00A64839">
              <w:t>Managerial</w:t>
            </w:r>
            <w:r w:rsidR="00B63804">
              <w:t>.</w:t>
            </w:r>
          </w:p>
        </w:tc>
        <w:tc>
          <w:tcPr>
            <w:tcW w:w="1714" w:type="dxa"/>
            <w:shd w:val="clear" w:color="auto" w:fill="auto"/>
          </w:tcPr>
          <w:p w:rsidR="00CD7372" w:rsidRPr="00A64839" w:rsidRDefault="00CD7372" w:rsidP="00A64839">
            <w:pPr>
              <w:widowControl/>
              <w:autoSpaceDE/>
              <w:autoSpaceDN/>
              <w:adjustRightInd/>
              <w:jc w:val="center"/>
            </w:pPr>
            <w:r w:rsidRPr="00A64839">
              <w:t>5</w:t>
            </w:r>
          </w:p>
        </w:tc>
        <w:tc>
          <w:tcPr>
            <w:tcW w:w="1440" w:type="dxa"/>
            <w:shd w:val="clear" w:color="auto" w:fill="auto"/>
          </w:tcPr>
          <w:p w:rsidR="00CD7372" w:rsidRPr="00A64839" w:rsidRDefault="00CD7372" w:rsidP="00A23159">
            <w:pPr>
              <w:widowControl/>
              <w:autoSpaceDE/>
              <w:autoSpaceDN/>
              <w:adjustRightInd/>
              <w:jc w:val="center"/>
            </w:pPr>
            <w:r w:rsidRPr="00A64839">
              <w:t>$</w:t>
            </w:r>
            <w:r w:rsidR="00A23159">
              <w:t>510.85</w:t>
            </w:r>
          </w:p>
        </w:tc>
        <w:tc>
          <w:tcPr>
            <w:tcW w:w="1627" w:type="dxa"/>
            <w:shd w:val="clear" w:color="auto" w:fill="auto"/>
          </w:tcPr>
          <w:p w:rsidR="00CD7372" w:rsidRPr="00A64839" w:rsidRDefault="00CD7372" w:rsidP="00A64839">
            <w:pPr>
              <w:widowControl/>
              <w:autoSpaceDE/>
              <w:autoSpaceDN/>
              <w:adjustRightInd/>
              <w:jc w:val="center"/>
            </w:pPr>
            <w:r w:rsidRPr="00A64839">
              <w:t>135</w:t>
            </w:r>
          </w:p>
        </w:tc>
        <w:tc>
          <w:tcPr>
            <w:tcW w:w="1354" w:type="dxa"/>
            <w:shd w:val="clear" w:color="auto" w:fill="auto"/>
          </w:tcPr>
          <w:p w:rsidR="00CD7372" w:rsidRPr="00A64839" w:rsidRDefault="00CD7372" w:rsidP="00A23159">
            <w:pPr>
              <w:widowControl/>
              <w:autoSpaceDE/>
              <w:autoSpaceDN/>
              <w:adjustRightInd/>
              <w:jc w:val="center"/>
            </w:pPr>
            <w:r w:rsidRPr="00A64839">
              <w:t>$</w:t>
            </w:r>
            <w:r w:rsidR="00A23159">
              <w:t>13,792.95</w:t>
            </w:r>
          </w:p>
        </w:tc>
      </w:tr>
      <w:tr w:rsidR="00CD7372" w:rsidRPr="00A64839" w:rsidTr="00203950">
        <w:trPr>
          <w:trHeight w:val="214"/>
          <w:jc w:val="center"/>
        </w:trPr>
        <w:tc>
          <w:tcPr>
            <w:tcW w:w="3240" w:type="dxa"/>
            <w:shd w:val="clear" w:color="auto" w:fill="auto"/>
          </w:tcPr>
          <w:p w:rsidR="00CD7372" w:rsidRPr="00A64839" w:rsidRDefault="00CD7372" w:rsidP="00A64839">
            <w:pPr>
              <w:widowControl/>
              <w:autoSpaceDE/>
              <w:autoSpaceDN/>
              <w:adjustRightInd/>
              <w:ind w:left="378"/>
            </w:pPr>
            <w:r w:rsidRPr="00A64839">
              <w:t>Technical</w:t>
            </w:r>
            <w:r w:rsidR="00B63804">
              <w:t>.</w:t>
            </w:r>
          </w:p>
        </w:tc>
        <w:tc>
          <w:tcPr>
            <w:tcW w:w="1714" w:type="dxa"/>
            <w:shd w:val="clear" w:color="auto" w:fill="auto"/>
          </w:tcPr>
          <w:p w:rsidR="00CD7372" w:rsidRPr="00A64839" w:rsidRDefault="00CD7372" w:rsidP="00A64839">
            <w:pPr>
              <w:widowControl/>
              <w:autoSpaceDE/>
              <w:autoSpaceDN/>
              <w:adjustRightInd/>
              <w:jc w:val="center"/>
            </w:pPr>
            <w:r w:rsidRPr="00A64839">
              <w:t>5</w:t>
            </w:r>
          </w:p>
        </w:tc>
        <w:tc>
          <w:tcPr>
            <w:tcW w:w="1440" w:type="dxa"/>
            <w:shd w:val="clear" w:color="auto" w:fill="auto"/>
          </w:tcPr>
          <w:p w:rsidR="00CD7372" w:rsidRPr="00A64839" w:rsidRDefault="00A64839" w:rsidP="00A23159">
            <w:pPr>
              <w:widowControl/>
              <w:autoSpaceDE/>
              <w:autoSpaceDN/>
              <w:adjustRightInd/>
              <w:jc w:val="center"/>
            </w:pPr>
            <w:r>
              <w:t>$</w:t>
            </w:r>
            <w:r w:rsidR="00CD7372" w:rsidRPr="00A64839">
              <w:t>3</w:t>
            </w:r>
            <w:r w:rsidR="00A23159">
              <w:t>30.15</w:t>
            </w:r>
          </w:p>
        </w:tc>
        <w:tc>
          <w:tcPr>
            <w:tcW w:w="1627" w:type="dxa"/>
            <w:shd w:val="clear" w:color="auto" w:fill="auto"/>
          </w:tcPr>
          <w:p w:rsidR="00CD7372" w:rsidRPr="00A64839" w:rsidRDefault="00CD7372" w:rsidP="00A64839">
            <w:pPr>
              <w:widowControl/>
              <w:autoSpaceDE/>
              <w:autoSpaceDN/>
              <w:adjustRightInd/>
              <w:jc w:val="center"/>
            </w:pPr>
            <w:r w:rsidRPr="00A64839">
              <w:t>135</w:t>
            </w:r>
          </w:p>
        </w:tc>
        <w:tc>
          <w:tcPr>
            <w:tcW w:w="1354" w:type="dxa"/>
            <w:shd w:val="clear" w:color="auto" w:fill="auto"/>
          </w:tcPr>
          <w:p w:rsidR="00CD7372" w:rsidRPr="00A64839" w:rsidRDefault="00CD7372" w:rsidP="00A23159">
            <w:pPr>
              <w:widowControl/>
              <w:autoSpaceDE/>
              <w:autoSpaceDN/>
              <w:adjustRightInd/>
              <w:jc w:val="center"/>
            </w:pPr>
            <w:r w:rsidRPr="00A64839">
              <w:t>$8,</w:t>
            </w:r>
            <w:r w:rsidR="00A23159">
              <w:t>914.05</w:t>
            </w:r>
          </w:p>
        </w:tc>
      </w:tr>
      <w:tr w:rsidR="00CD7372" w:rsidRPr="00A64839" w:rsidTr="00203950">
        <w:trPr>
          <w:trHeight w:val="250"/>
          <w:jc w:val="center"/>
        </w:trPr>
        <w:tc>
          <w:tcPr>
            <w:tcW w:w="3240" w:type="dxa"/>
            <w:gridSpan w:val="3"/>
            <w:tcBorders>
              <w:top w:val="double" w:sz="6" w:space="0" w:color="auto"/>
              <w:bottom w:val="double" w:sz="6" w:space="0" w:color="auto"/>
            </w:tcBorders>
            <w:shd w:val="clear" w:color="auto" w:fill="auto"/>
          </w:tcPr>
          <w:p w:rsidR="00CD7372" w:rsidRPr="00A64839" w:rsidRDefault="00CD7372" w:rsidP="00A64839">
            <w:pPr>
              <w:widowControl/>
              <w:autoSpaceDE/>
              <w:autoSpaceDN/>
              <w:adjustRightInd/>
              <w:rPr>
                <w:b/>
              </w:rPr>
            </w:pPr>
            <w:r w:rsidRPr="00A64839">
              <w:rPr>
                <w:b/>
              </w:rPr>
              <w:t>T</w:t>
            </w:r>
            <w:r w:rsidR="0002067E">
              <w:rPr>
                <w:b/>
              </w:rPr>
              <w:t>OTAL</w:t>
            </w:r>
          </w:p>
        </w:tc>
        <w:tc>
          <w:tcPr>
            <w:tcW w:w="1627" w:type="dxa"/>
            <w:tcBorders>
              <w:top w:val="double" w:sz="6" w:space="0" w:color="auto"/>
              <w:bottom w:val="double" w:sz="6" w:space="0" w:color="auto"/>
            </w:tcBorders>
            <w:shd w:val="clear" w:color="auto" w:fill="auto"/>
          </w:tcPr>
          <w:p w:rsidR="00CD7372" w:rsidRPr="00A64839" w:rsidRDefault="00CD7372" w:rsidP="00A64839">
            <w:pPr>
              <w:widowControl/>
              <w:autoSpaceDE/>
              <w:autoSpaceDN/>
              <w:adjustRightInd/>
              <w:jc w:val="center"/>
              <w:rPr>
                <w:b/>
              </w:rPr>
            </w:pPr>
            <w:r w:rsidRPr="00A64839">
              <w:rPr>
                <w:b/>
              </w:rPr>
              <w:t>1,270</w:t>
            </w:r>
          </w:p>
        </w:tc>
        <w:tc>
          <w:tcPr>
            <w:tcW w:w="1354" w:type="dxa"/>
            <w:tcBorders>
              <w:top w:val="double" w:sz="6" w:space="0" w:color="auto"/>
              <w:bottom w:val="double" w:sz="6" w:space="0" w:color="auto"/>
            </w:tcBorders>
            <w:shd w:val="clear" w:color="auto" w:fill="auto"/>
          </w:tcPr>
          <w:p w:rsidR="00CD7372" w:rsidRPr="00A64839" w:rsidRDefault="00CD7372" w:rsidP="00A23159">
            <w:pPr>
              <w:widowControl/>
              <w:autoSpaceDE/>
              <w:autoSpaceDN/>
              <w:adjustRightInd/>
              <w:jc w:val="center"/>
              <w:rPr>
                <w:b/>
              </w:rPr>
            </w:pPr>
            <w:r w:rsidRPr="00A64839">
              <w:rPr>
                <w:b/>
              </w:rPr>
              <w:t>$</w:t>
            </w:r>
            <w:r w:rsidR="00A23159">
              <w:rPr>
                <w:b/>
              </w:rPr>
              <w:t>103,193.00</w:t>
            </w:r>
          </w:p>
        </w:tc>
      </w:tr>
    </w:tbl>
    <w:p w:rsidR="001B352F" w:rsidRPr="001B352F" w:rsidRDefault="001B352F" w:rsidP="00AB4259">
      <w:pPr>
        <w:widowControl/>
        <w:numPr>
          <w:ilvl w:val="12"/>
          <w:numId w:val="0"/>
        </w:numPr>
        <w:rPr>
          <w:sz w:val="24"/>
          <w:szCs w:val="22"/>
        </w:rPr>
      </w:pPr>
    </w:p>
    <w:p w:rsidR="00CD7372" w:rsidRPr="00A64839" w:rsidRDefault="00CD7372" w:rsidP="00E25569">
      <w:pPr>
        <w:widowControl/>
        <w:numPr>
          <w:ilvl w:val="12"/>
          <w:numId w:val="0"/>
        </w:numPr>
        <w:ind w:left="1080" w:hanging="180"/>
        <w:rPr>
          <w:szCs w:val="22"/>
        </w:rPr>
      </w:pPr>
      <w:r w:rsidRPr="00A64839">
        <w:rPr>
          <w:szCs w:val="22"/>
          <w:vertAlign w:val="superscript"/>
        </w:rPr>
        <w:t>a</w:t>
      </w:r>
      <w:r w:rsidR="001B352F" w:rsidRPr="00A64839">
        <w:rPr>
          <w:szCs w:val="22"/>
        </w:rPr>
        <w:tab/>
      </w:r>
      <w:r w:rsidR="00A23159" w:rsidRPr="00A64839">
        <w:rPr>
          <w:szCs w:val="22"/>
        </w:rPr>
        <w:t>20</w:t>
      </w:r>
      <w:r w:rsidR="00A23159">
        <w:rPr>
          <w:szCs w:val="22"/>
        </w:rPr>
        <w:t>12</w:t>
      </w:r>
      <w:r w:rsidR="00A23159" w:rsidRPr="00A64839">
        <w:rPr>
          <w:szCs w:val="22"/>
        </w:rPr>
        <w:t xml:space="preserve"> </w:t>
      </w:r>
      <w:r w:rsidRPr="00A64839">
        <w:rPr>
          <w:szCs w:val="22"/>
        </w:rPr>
        <w:t>dollars</w:t>
      </w:r>
      <w:r w:rsidR="001B352F" w:rsidRPr="00A64839">
        <w:rPr>
          <w:szCs w:val="22"/>
        </w:rPr>
        <w:t>.</w:t>
      </w:r>
    </w:p>
    <w:p w:rsidR="009907D5" w:rsidRPr="00A64839" w:rsidRDefault="009907D5" w:rsidP="00E25569">
      <w:pPr>
        <w:widowControl/>
        <w:numPr>
          <w:ilvl w:val="12"/>
          <w:numId w:val="0"/>
        </w:numPr>
        <w:ind w:left="1080" w:hanging="180"/>
        <w:rPr>
          <w:szCs w:val="22"/>
        </w:rPr>
      </w:pPr>
      <w:r w:rsidRPr="00A64839">
        <w:rPr>
          <w:szCs w:val="22"/>
          <w:vertAlign w:val="superscript"/>
        </w:rPr>
        <w:t>b</w:t>
      </w:r>
      <w:r w:rsidR="001B352F" w:rsidRPr="00A64839">
        <w:rPr>
          <w:szCs w:val="22"/>
        </w:rPr>
        <w:tab/>
        <w:t>Assumes 200 units (20 percent</w:t>
      </w:r>
      <w:r w:rsidRPr="00A64839">
        <w:rPr>
          <w:szCs w:val="22"/>
        </w:rPr>
        <w:t xml:space="preserve"> of all </w:t>
      </w:r>
      <w:proofErr w:type="spellStart"/>
      <w:r w:rsidRPr="00A64839">
        <w:rPr>
          <w:szCs w:val="22"/>
        </w:rPr>
        <w:t>NO</w:t>
      </w:r>
      <w:r w:rsidR="00562093" w:rsidRPr="00A64839">
        <w:rPr>
          <w:szCs w:val="22"/>
          <w:vertAlign w:val="subscript"/>
        </w:rPr>
        <w:t>x</w:t>
      </w:r>
      <w:proofErr w:type="spellEnd"/>
      <w:r w:rsidRPr="00A64839">
        <w:rPr>
          <w:szCs w:val="22"/>
        </w:rPr>
        <w:t xml:space="preserve"> affected units) submit </w:t>
      </w:r>
      <w:proofErr w:type="spellStart"/>
      <w:r w:rsidRPr="00A64839">
        <w:rPr>
          <w:szCs w:val="22"/>
        </w:rPr>
        <w:t>NO</w:t>
      </w:r>
      <w:r w:rsidR="00562093" w:rsidRPr="00A64839">
        <w:rPr>
          <w:szCs w:val="22"/>
          <w:vertAlign w:val="subscript"/>
        </w:rPr>
        <w:t>x</w:t>
      </w:r>
      <w:proofErr w:type="spellEnd"/>
      <w:r w:rsidRPr="00A64839">
        <w:rPr>
          <w:szCs w:val="22"/>
        </w:rPr>
        <w:t xml:space="preserve"> compliance plan renewals each year</w:t>
      </w:r>
      <w:r w:rsidR="00562093" w:rsidRPr="00A64839">
        <w:rPr>
          <w:szCs w:val="22"/>
        </w:rPr>
        <w:t xml:space="preserve">.  </w:t>
      </w:r>
    </w:p>
    <w:p w:rsidR="009907D5" w:rsidRPr="00A64839" w:rsidRDefault="001B352F" w:rsidP="00E25569">
      <w:pPr>
        <w:widowControl/>
        <w:numPr>
          <w:ilvl w:val="12"/>
          <w:numId w:val="0"/>
        </w:numPr>
        <w:ind w:left="1080" w:hanging="180"/>
        <w:rPr>
          <w:szCs w:val="22"/>
        </w:rPr>
      </w:pPr>
      <w:r w:rsidRPr="00A64839">
        <w:rPr>
          <w:szCs w:val="22"/>
          <w:vertAlign w:val="superscript"/>
        </w:rPr>
        <w:t>c</w:t>
      </w:r>
      <w:r w:rsidRPr="00A64839">
        <w:rPr>
          <w:szCs w:val="22"/>
          <w:vertAlign w:val="superscript"/>
        </w:rPr>
        <w:tab/>
      </w:r>
      <w:r w:rsidR="009907D5" w:rsidRPr="00A64839">
        <w:rPr>
          <w:szCs w:val="22"/>
        </w:rPr>
        <w:t>Assumes 27 respondents revise emissions averaging plans each year.</w:t>
      </w:r>
    </w:p>
    <w:p w:rsidR="009907D5" w:rsidRDefault="009907D5" w:rsidP="00AB4259">
      <w:pPr>
        <w:widowControl/>
        <w:numPr>
          <w:ilvl w:val="12"/>
          <w:numId w:val="0"/>
        </w:numPr>
        <w:rPr>
          <w:sz w:val="24"/>
          <w:szCs w:val="24"/>
        </w:rPr>
      </w:pPr>
    </w:p>
    <w:p w:rsidR="00562093" w:rsidRDefault="00562093" w:rsidP="00AB4259">
      <w:pPr>
        <w:widowControl/>
        <w:numPr>
          <w:ilvl w:val="12"/>
          <w:numId w:val="0"/>
        </w:numPr>
        <w:rPr>
          <w:sz w:val="24"/>
          <w:szCs w:val="24"/>
        </w:rPr>
      </w:pPr>
    </w:p>
    <w:p w:rsidR="009907D5" w:rsidRDefault="009907D5" w:rsidP="00E25569">
      <w:pPr>
        <w:widowControl/>
        <w:numPr>
          <w:ilvl w:val="12"/>
          <w:numId w:val="0"/>
        </w:numPr>
        <w:ind w:left="720"/>
        <w:rPr>
          <w:sz w:val="24"/>
          <w:szCs w:val="24"/>
        </w:rPr>
      </w:pPr>
      <w:r>
        <w:rPr>
          <w:b/>
          <w:bCs/>
          <w:sz w:val="24"/>
          <w:szCs w:val="24"/>
        </w:rPr>
        <w:t>6.7.2.</w:t>
      </w:r>
      <w:r w:rsidR="00E25569">
        <w:rPr>
          <w:b/>
          <w:bCs/>
          <w:sz w:val="24"/>
          <w:szCs w:val="24"/>
        </w:rPr>
        <w:t xml:space="preserve">  </w:t>
      </w:r>
      <w:r>
        <w:rPr>
          <w:b/>
          <w:bCs/>
          <w:sz w:val="24"/>
          <w:szCs w:val="24"/>
        </w:rPr>
        <w:t xml:space="preserve">Estimate of Agency/Permitting Authority Burden and Costs for </w:t>
      </w:r>
      <w:proofErr w:type="spellStart"/>
      <w:r>
        <w:rPr>
          <w:b/>
          <w:bCs/>
          <w:sz w:val="24"/>
          <w:szCs w:val="24"/>
        </w:rPr>
        <w:t>NO</w:t>
      </w:r>
      <w:r w:rsidR="00562093">
        <w:rPr>
          <w:b/>
          <w:bCs/>
          <w:sz w:val="24"/>
          <w:szCs w:val="24"/>
          <w:vertAlign w:val="subscript"/>
        </w:rPr>
        <w:t>x</w:t>
      </w:r>
      <w:proofErr w:type="spellEnd"/>
    </w:p>
    <w:p w:rsidR="009907D5" w:rsidRDefault="009907D5" w:rsidP="00AB4259">
      <w:pPr>
        <w:widowControl/>
        <w:numPr>
          <w:ilvl w:val="12"/>
          <w:numId w:val="0"/>
        </w:numPr>
        <w:rPr>
          <w:sz w:val="24"/>
          <w:szCs w:val="24"/>
        </w:rPr>
      </w:pPr>
    </w:p>
    <w:p w:rsidR="009907D5" w:rsidRDefault="009907D5" w:rsidP="00AB4259">
      <w:pPr>
        <w:widowControl/>
        <w:numPr>
          <w:ilvl w:val="12"/>
          <w:numId w:val="0"/>
        </w:numPr>
        <w:rPr>
          <w:sz w:val="24"/>
          <w:szCs w:val="24"/>
        </w:rPr>
      </w:pPr>
      <w:r>
        <w:rPr>
          <w:sz w:val="24"/>
          <w:szCs w:val="24"/>
        </w:rPr>
        <w:tab/>
        <w:t xml:space="preserve">Exhibit 15 presents the burden and costs to EPA for </w:t>
      </w:r>
      <w:proofErr w:type="spellStart"/>
      <w:r>
        <w:rPr>
          <w:sz w:val="24"/>
          <w:szCs w:val="24"/>
        </w:rPr>
        <w:t>NO</w:t>
      </w:r>
      <w:r w:rsidR="00562093">
        <w:rPr>
          <w:sz w:val="24"/>
          <w:szCs w:val="24"/>
          <w:vertAlign w:val="subscript"/>
        </w:rPr>
        <w:t>x</w:t>
      </w:r>
      <w:proofErr w:type="spellEnd"/>
      <w:r>
        <w:rPr>
          <w:sz w:val="24"/>
          <w:szCs w:val="24"/>
        </w:rPr>
        <w:t xml:space="preserve"> permitting</w:t>
      </w:r>
      <w:r w:rsidR="00CE3ABF">
        <w:rPr>
          <w:sz w:val="24"/>
          <w:szCs w:val="24"/>
        </w:rPr>
        <w:t xml:space="preserve">. </w:t>
      </w:r>
      <w:r>
        <w:rPr>
          <w:sz w:val="24"/>
          <w:szCs w:val="24"/>
        </w:rPr>
        <w:t xml:space="preserve">The total annual burden and cost for renewing and revising </w:t>
      </w:r>
      <w:proofErr w:type="spellStart"/>
      <w:r>
        <w:rPr>
          <w:sz w:val="24"/>
          <w:szCs w:val="24"/>
        </w:rPr>
        <w:t>NO</w:t>
      </w:r>
      <w:r w:rsidR="00562093">
        <w:rPr>
          <w:sz w:val="24"/>
          <w:szCs w:val="24"/>
          <w:vertAlign w:val="subscript"/>
        </w:rPr>
        <w:t>x</w:t>
      </w:r>
      <w:proofErr w:type="spellEnd"/>
      <w:r>
        <w:rPr>
          <w:sz w:val="24"/>
          <w:szCs w:val="24"/>
        </w:rPr>
        <w:t xml:space="preserve"> compliance plans is estimated at </w:t>
      </w:r>
      <w:r w:rsidRPr="00CD7372">
        <w:rPr>
          <w:sz w:val="24"/>
          <w:szCs w:val="24"/>
        </w:rPr>
        <w:t>127 hours and $</w:t>
      </w:r>
      <w:r w:rsidR="00DA6A47">
        <w:rPr>
          <w:sz w:val="24"/>
          <w:szCs w:val="24"/>
        </w:rPr>
        <w:t>6,285.23</w:t>
      </w:r>
      <w:r w:rsidRPr="00CD7372">
        <w:rPr>
          <w:sz w:val="24"/>
          <w:szCs w:val="24"/>
        </w:rPr>
        <w:t>,</w:t>
      </w:r>
      <w:r>
        <w:rPr>
          <w:sz w:val="24"/>
          <w:szCs w:val="24"/>
        </w:rPr>
        <w:t xml:space="preserve"> respectively.</w:t>
      </w:r>
    </w:p>
    <w:p w:rsidR="009907D5" w:rsidRDefault="009907D5" w:rsidP="00AB4259">
      <w:pPr>
        <w:widowControl/>
        <w:numPr>
          <w:ilvl w:val="12"/>
          <w:numId w:val="0"/>
        </w:numPr>
        <w:rPr>
          <w:sz w:val="24"/>
          <w:szCs w:val="24"/>
        </w:rPr>
      </w:pPr>
    </w:p>
    <w:p w:rsidR="009907D5" w:rsidRDefault="009907D5" w:rsidP="00AB4259">
      <w:pPr>
        <w:widowControl/>
        <w:numPr>
          <w:ilvl w:val="12"/>
          <w:numId w:val="0"/>
        </w:numPr>
        <w:rPr>
          <w:sz w:val="24"/>
          <w:szCs w:val="24"/>
        </w:rPr>
      </w:pPr>
      <w:r>
        <w:rPr>
          <w:sz w:val="24"/>
          <w:szCs w:val="24"/>
        </w:rPr>
        <w:tab/>
        <w:t xml:space="preserve">The tasks involved in reviewing applications will include reviewing forms for completeness and entering the revised data from the plans into a </w:t>
      </w:r>
      <w:proofErr w:type="spellStart"/>
      <w:r>
        <w:rPr>
          <w:sz w:val="24"/>
          <w:szCs w:val="24"/>
        </w:rPr>
        <w:t>NO</w:t>
      </w:r>
      <w:r w:rsidR="00562093">
        <w:rPr>
          <w:sz w:val="24"/>
          <w:szCs w:val="24"/>
          <w:vertAlign w:val="subscript"/>
        </w:rPr>
        <w:t>x</w:t>
      </w:r>
      <w:proofErr w:type="spellEnd"/>
      <w:r>
        <w:rPr>
          <w:sz w:val="24"/>
          <w:szCs w:val="24"/>
        </w:rPr>
        <w:t xml:space="preserve"> compliance database.</w:t>
      </w:r>
    </w:p>
    <w:p w:rsidR="009907D5" w:rsidRDefault="009907D5" w:rsidP="00AB4259">
      <w:pPr>
        <w:widowControl/>
        <w:numPr>
          <w:ilvl w:val="12"/>
          <w:numId w:val="0"/>
        </w:numPr>
        <w:jc w:val="center"/>
        <w:rPr>
          <w:sz w:val="24"/>
          <w:szCs w:val="24"/>
        </w:rPr>
      </w:pPr>
    </w:p>
    <w:p w:rsidR="00E25569" w:rsidRPr="00E25569" w:rsidRDefault="00E25569" w:rsidP="00E25569">
      <w:pPr>
        <w:keepNext/>
        <w:keepLines/>
        <w:widowControl/>
        <w:numPr>
          <w:ilvl w:val="12"/>
          <w:numId w:val="0"/>
        </w:numPr>
        <w:jc w:val="center"/>
        <w:rPr>
          <w:b/>
          <w:sz w:val="24"/>
          <w:szCs w:val="24"/>
        </w:rPr>
      </w:pPr>
      <w:r w:rsidRPr="00E25569">
        <w:rPr>
          <w:b/>
          <w:sz w:val="24"/>
          <w:szCs w:val="24"/>
        </w:rPr>
        <w:lastRenderedPageBreak/>
        <w:t>EXHIBIT 1</w:t>
      </w:r>
      <w:r w:rsidR="00DA6A47">
        <w:rPr>
          <w:b/>
          <w:sz w:val="24"/>
          <w:szCs w:val="24"/>
        </w:rPr>
        <w:t>3</w:t>
      </w:r>
    </w:p>
    <w:p w:rsidR="00E25569" w:rsidRPr="00E25569" w:rsidRDefault="00E25569" w:rsidP="00E25569">
      <w:pPr>
        <w:keepNext/>
        <w:keepLines/>
        <w:widowControl/>
        <w:numPr>
          <w:ilvl w:val="12"/>
          <w:numId w:val="0"/>
        </w:numPr>
        <w:jc w:val="center"/>
        <w:rPr>
          <w:b/>
          <w:sz w:val="24"/>
          <w:szCs w:val="24"/>
        </w:rPr>
      </w:pPr>
      <w:r w:rsidRPr="00E25569">
        <w:rPr>
          <w:b/>
          <w:sz w:val="24"/>
          <w:szCs w:val="24"/>
        </w:rPr>
        <w:t>AGENCY BURDEN/COST ESTIMATES</w:t>
      </w:r>
      <w:r>
        <w:rPr>
          <w:b/>
          <w:sz w:val="24"/>
          <w:szCs w:val="24"/>
        </w:rPr>
        <w:t xml:space="preserve"> </w:t>
      </w:r>
      <w:r w:rsidRPr="00E25569">
        <w:rPr>
          <w:b/>
          <w:sz w:val="24"/>
          <w:szCs w:val="24"/>
        </w:rPr>
        <w:t xml:space="preserve">FOR </w:t>
      </w:r>
      <w:proofErr w:type="spellStart"/>
      <w:r w:rsidRPr="00E25569">
        <w:rPr>
          <w:b/>
          <w:sz w:val="24"/>
          <w:szCs w:val="24"/>
        </w:rPr>
        <w:t>NO</w:t>
      </w:r>
      <w:r w:rsidRPr="00E25569">
        <w:rPr>
          <w:b/>
          <w:sz w:val="24"/>
          <w:szCs w:val="24"/>
          <w:vertAlign w:val="subscript"/>
        </w:rPr>
        <w:t>x</w:t>
      </w:r>
      <w:proofErr w:type="spellEnd"/>
      <w:r w:rsidRPr="00E25569">
        <w:rPr>
          <w:b/>
          <w:sz w:val="24"/>
          <w:szCs w:val="24"/>
        </w:rPr>
        <w:t xml:space="preserve"> PERMITTING</w:t>
      </w:r>
    </w:p>
    <w:p w:rsidR="00E25569" w:rsidRDefault="00E25569" w:rsidP="00E25569">
      <w:pPr>
        <w:keepNext/>
        <w:widowControl/>
        <w:numPr>
          <w:ilvl w:val="12"/>
          <w:numId w:val="0"/>
        </w:numPr>
        <w:jc w:val="center"/>
        <w:rPr>
          <w:sz w:val="24"/>
          <w:szCs w:val="24"/>
        </w:rPr>
      </w:pPr>
    </w:p>
    <w:tbl>
      <w:tblPr>
        <w:tblW w:w="9360" w:type="dxa"/>
        <w:jc w:val="center"/>
        <w:tblLayout w:type="fixed"/>
        <w:tblCellMar>
          <w:top w:w="72" w:type="dxa"/>
          <w:left w:w="72" w:type="dxa"/>
          <w:bottom w:w="72" w:type="dxa"/>
          <w:right w:w="72" w:type="dxa"/>
        </w:tblCellMar>
        <w:tblLook w:val="0000"/>
      </w:tblPr>
      <w:tblGrid>
        <w:gridCol w:w="3235"/>
        <w:gridCol w:w="1711"/>
        <w:gridCol w:w="1438"/>
        <w:gridCol w:w="1624"/>
        <w:gridCol w:w="1352"/>
      </w:tblGrid>
      <w:tr w:rsidR="00E25569" w:rsidTr="00D751D7">
        <w:trPr>
          <w:cantSplit/>
          <w:jc w:val="center"/>
        </w:trPr>
        <w:tc>
          <w:tcPr>
            <w:tcW w:w="3240" w:type="dxa"/>
            <w:tcBorders>
              <w:top w:val="double" w:sz="6" w:space="0" w:color="auto"/>
              <w:left w:val="double" w:sz="6" w:space="0" w:color="auto"/>
              <w:bottom w:val="single" w:sz="6" w:space="0" w:color="auto"/>
              <w:right w:val="nil"/>
            </w:tcBorders>
            <w:shd w:val="pct10" w:color="auto" w:fill="auto"/>
            <w:vAlign w:val="bottom"/>
          </w:tcPr>
          <w:p w:rsidR="00E25569" w:rsidRPr="00B07325" w:rsidRDefault="00E25569" w:rsidP="004161CD">
            <w:pPr>
              <w:keepNext/>
              <w:keepLines/>
              <w:widowControl/>
              <w:autoSpaceDE/>
              <w:autoSpaceDN/>
              <w:adjustRightInd/>
              <w:jc w:val="center"/>
              <w:rPr>
                <w:b/>
                <w:sz w:val="22"/>
                <w:szCs w:val="22"/>
              </w:rPr>
            </w:pPr>
            <w:r w:rsidRPr="00B07325">
              <w:rPr>
                <w:b/>
                <w:sz w:val="22"/>
                <w:szCs w:val="22"/>
              </w:rPr>
              <w:t>Tasks</w:t>
            </w:r>
          </w:p>
        </w:tc>
        <w:tc>
          <w:tcPr>
            <w:tcW w:w="1714" w:type="dxa"/>
            <w:tcBorders>
              <w:top w:val="double" w:sz="6" w:space="0" w:color="auto"/>
              <w:left w:val="single" w:sz="6" w:space="0" w:color="auto"/>
              <w:bottom w:val="single" w:sz="6" w:space="0" w:color="auto"/>
              <w:right w:val="nil"/>
            </w:tcBorders>
            <w:shd w:val="pct10" w:color="auto" w:fill="auto"/>
            <w:vAlign w:val="bottom"/>
          </w:tcPr>
          <w:p w:rsidR="00E25569" w:rsidRPr="00B07325" w:rsidRDefault="00E25569" w:rsidP="004161CD">
            <w:pPr>
              <w:keepNext/>
              <w:keepLines/>
              <w:widowControl/>
              <w:autoSpaceDE/>
              <w:autoSpaceDN/>
              <w:adjustRightInd/>
              <w:jc w:val="center"/>
              <w:rPr>
                <w:b/>
                <w:sz w:val="22"/>
                <w:szCs w:val="22"/>
              </w:rPr>
            </w:pPr>
            <w:r>
              <w:rPr>
                <w:b/>
                <w:sz w:val="22"/>
                <w:szCs w:val="22"/>
              </w:rPr>
              <w:t>Burden Hours p</w:t>
            </w:r>
            <w:r w:rsidRPr="00B07325">
              <w:rPr>
                <w:b/>
                <w:sz w:val="22"/>
                <w:szCs w:val="22"/>
              </w:rPr>
              <w:t>er Occurrence</w:t>
            </w:r>
          </w:p>
        </w:tc>
        <w:tc>
          <w:tcPr>
            <w:tcW w:w="1440" w:type="dxa"/>
            <w:tcBorders>
              <w:top w:val="double" w:sz="6" w:space="0" w:color="auto"/>
              <w:left w:val="single" w:sz="6" w:space="0" w:color="auto"/>
              <w:bottom w:val="single" w:sz="6" w:space="0" w:color="auto"/>
              <w:right w:val="nil"/>
            </w:tcBorders>
            <w:shd w:val="pct10" w:color="auto" w:fill="auto"/>
            <w:vAlign w:val="bottom"/>
          </w:tcPr>
          <w:p w:rsidR="00E25569" w:rsidRPr="00B07325" w:rsidRDefault="00E25569" w:rsidP="004161CD">
            <w:pPr>
              <w:keepNext/>
              <w:keepLines/>
              <w:widowControl/>
              <w:autoSpaceDE/>
              <w:autoSpaceDN/>
              <w:adjustRightInd/>
              <w:jc w:val="center"/>
              <w:rPr>
                <w:b/>
                <w:sz w:val="22"/>
                <w:szCs w:val="22"/>
              </w:rPr>
            </w:pPr>
            <w:r>
              <w:rPr>
                <w:b/>
                <w:sz w:val="22"/>
                <w:szCs w:val="22"/>
              </w:rPr>
              <w:t>Cost p</w:t>
            </w:r>
            <w:r w:rsidRPr="00B07325">
              <w:rPr>
                <w:b/>
                <w:sz w:val="22"/>
                <w:szCs w:val="22"/>
              </w:rPr>
              <w:t xml:space="preserve">er </w:t>
            </w:r>
            <w:proofErr w:type="spellStart"/>
            <w:r w:rsidRPr="00B07325">
              <w:rPr>
                <w:b/>
                <w:sz w:val="22"/>
                <w:szCs w:val="22"/>
              </w:rPr>
              <w:t>Occurrence</w:t>
            </w:r>
            <w:r w:rsidRPr="00B07325">
              <w:rPr>
                <w:b/>
                <w:sz w:val="22"/>
                <w:szCs w:val="22"/>
                <w:vertAlign w:val="superscript"/>
              </w:rPr>
              <w:t>a</w:t>
            </w:r>
            <w:proofErr w:type="spellEnd"/>
          </w:p>
        </w:tc>
        <w:tc>
          <w:tcPr>
            <w:tcW w:w="1627" w:type="dxa"/>
            <w:tcBorders>
              <w:top w:val="double" w:sz="6" w:space="0" w:color="auto"/>
              <w:left w:val="single" w:sz="6" w:space="0" w:color="auto"/>
              <w:bottom w:val="single" w:sz="6" w:space="0" w:color="auto"/>
              <w:right w:val="nil"/>
            </w:tcBorders>
            <w:shd w:val="pct10" w:color="auto" w:fill="auto"/>
            <w:vAlign w:val="bottom"/>
          </w:tcPr>
          <w:p w:rsidR="00E25569" w:rsidRPr="00B07325" w:rsidRDefault="00E25569" w:rsidP="004161CD">
            <w:pPr>
              <w:keepNext/>
              <w:keepLines/>
              <w:widowControl/>
              <w:autoSpaceDE/>
              <w:autoSpaceDN/>
              <w:adjustRightInd/>
              <w:jc w:val="center"/>
              <w:rPr>
                <w:b/>
                <w:sz w:val="22"/>
                <w:szCs w:val="22"/>
              </w:rPr>
            </w:pPr>
            <w:r>
              <w:rPr>
                <w:b/>
                <w:sz w:val="22"/>
                <w:szCs w:val="22"/>
              </w:rPr>
              <w:t>Total Burden (h</w:t>
            </w:r>
            <w:r w:rsidRPr="00B07325">
              <w:rPr>
                <w:b/>
                <w:sz w:val="22"/>
                <w:szCs w:val="22"/>
              </w:rPr>
              <w:t>ours)</w:t>
            </w:r>
          </w:p>
        </w:tc>
        <w:tc>
          <w:tcPr>
            <w:tcW w:w="1354" w:type="dxa"/>
            <w:tcBorders>
              <w:top w:val="double" w:sz="6" w:space="0" w:color="auto"/>
              <w:left w:val="single" w:sz="6" w:space="0" w:color="auto"/>
              <w:bottom w:val="single" w:sz="6" w:space="0" w:color="auto"/>
              <w:right w:val="double" w:sz="6" w:space="0" w:color="auto"/>
            </w:tcBorders>
            <w:shd w:val="pct10" w:color="auto" w:fill="auto"/>
            <w:vAlign w:val="bottom"/>
          </w:tcPr>
          <w:p w:rsidR="00E25569" w:rsidRPr="00B07325" w:rsidRDefault="00E25569" w:rsidP="004161CD">
            <w:pPr>
              <w:keepNext/>
              <w:keepLines/>
              <w:widowControl/>
              <w:autoSpaceDE/>
              <w:autoSpaceDN/>
              <w:adjustRightInd/>
              <w:jc w:val="center"/>
              <w:rPr>
                <w:b/>
                <w:sz w:val="22"/>
                <w:szCs w:val="22"/>
              </w:rPr>
            </w:pPr>
            <w:r w:rsidRPr="00B07325">
              <w:rPr>
                <w:b/>
                <w:sz w:val="22"/>
                <w:szCs w:val="22"/>
              </w:rPr>
              <w:t>Total Cost</w:t>
            </w:r>
          </w:p>
        </w:tc>
      </w:tr>
      <w:tr w:rsidR="009907D5" w:rsidRPr="00E25569" w:rsidTr="00D751D7">
        <w:trPr>
          <w:cantSplit/>
          <w:jc w:val="center"/>
        </w:trPr>
        <w:tc>
          <w:tcPr>
            <w:tcW w:w="3240" w:type="dxa"/>
            <w:tcBorders>
              <w:top w:val="single" w:sz="6" w:space="0" w:color="auto"/>
              <w:left w:val="double" w:sz="6" w:space="0" w:color="auto"/>
              <w:bottom w:val="nil"/>
              <w:right w:val="nil"/>
            </w:tcBorders>
          </w:tcPr>
          <w:p w:rsidR="009907D5" w:rsidRPr="00E25569" w:rsidRDefault="009907D5" w:rsidP="00AB4259">
            <w:pPr>
              <w:keepNext/>
              <w:keepLines/>
              <w:widowControl/>
              <w:numPr>
                <w:ilvl w:val="12"/>
                <w:numId w:val="0"/>
              </w:numPr>
              <w:rPr>
                <w:szCs w:val="24"/>
              </w:rPr>
            </w:pPr>
            <w:r w:rsidRPr="00E25569">
              <w:rPr>
                <w:szCs w:val="22"/>
              </w:rPr>
              <w:t xml:space="preserve">Renew </w:t>
            </w:r>
            <w:proofErr w:type="spellStart"/>
            <w:r w:rsidRPr="00E25569">
              <w:rPr>
                <w:szCs w:val="22"/>
              </w:rPr>
              <w:t>NO</w:t>
            </w:r>
            <w:r w:rsidR="00562093" w:rsidRPr="00E25569">
              <w:rPr>
                <w:szCs w:val="22"/>
                <w:vertAlign w:val="subscript"/>
              </w:rPr>
              <w:t>x</w:t>
            </w:r>
            <w:proofErr w:type="spellEnd"/>
            <w:r w:rsidRPr="00E25569">
              <w:rPr>
                <w:szCs w:val="22"/>
              </w:rPr>
              <w:t xml:space="preserve"> compliance </w:t>
            </w:r>
            <w:proofErr w:type="spellStart"/>
            <w:r w:rsidRPr="00E25569">
              <w:rPr>
                <w:szCs w:val="22"/>
              </w:rPr>
              <w:t>plans</w:t>
            </w:r>
            <w:r w:rsidR="00B63804">
              <w:rPr>
                <w:szCs w:val="22"/>
              </w:rPr>
              <w:t>.</w:t>
            </w:r>
            <w:r w:rsidRPr="00E25569">
              <w:rPr>
                <w:szCs w:val="22"/>
                <w:vertAlign w:val="superscript"/>
              </w:rPr>
              <w:t>b</w:t>
            </w:r>
            <w:proofErr w:type="spellEnd"/>
          </w:p>
        </w:tc>
        <w:tc>
          <w:tcPr>
            <w:tcW w:w="1714" w:type="dxa"/>
            <w:tcBorders>
              <w:top w:val="single" w:sz="6" w:space="0" w:color="auto"/>
              <w:left w:val="single" w:sz="6" w:space="0" w:color="auto"/>
              <w:bottom w:val="nil"/>
              <w:right w:val="nil"/>
            </w:tcBorders>
            <w:vAlign w:val="bottom"/>
          </w:tcPr>
          <w:p w:rsidR="009907D5" w:rsidRPr="00E25569" w:rsidRDefault="009907D5" w:rsidP="00AB4259">
            <w:pPr>
              <w:keepNext/>
              <w:keepLines/>
              <w:widowControl/>
              <w:numPr>
                <w:ilvl w:val="12"/>
                <w:numId w:val="0"/>
              </w:numPr>
              <w:jc w:val="center"/>
              <w:rPr>
                <w:szCs w:val="24"/>
                <w:highlight w:val="yellow"/>
              </w:rPr>
            </w:pPr>
            <w:r w:rsidRPr="00E25569">
              <w:rPr>
                <w:szCs w:val="22"/>
              </w:rPr>
              <w:t>0.5</w:t>
            </w:r>
          </w:p>
        </w:tc>
        <w:tc>
          <w:tcPr>
            <w:tcW w:w="1440" w:type="dxa"/>
            <w:tcBorders>
              <w:top w:val="single" w:sz="6" w:space="0" w:color="auto"/>
              <w:left w:val="single" w:sz="6" w:space="0" w:color="auto"/>
              <w:bottom w:val="nil"/>
              <w:right w:val="nil"/>
            </w:tcBorders>
            <w:vAlign w:val="bottom"/>
          </w:tcPr>
          <w:p w:rsidR="009907D5" w:rsidRPr="00E25569" w:rsidRDefault="009907D5" w:rsidP="00DA6A47">
            <w:pPr>
              <w:keepNext/>
              <w:keepLines/>
              <w:widowControl/>
              <w:numPr>
                <w:ilvl w:val="12"/>
                <w:numId w:val="0"/>
              </w:numPr>
              <w:jc w:val="center"/>
              <w:rPr>
                <w:szCs w:val="24"/>
              </w:rPr>
            </w:pPr>
            <w:r w:rsidRPr="00E25569">
              <w:rPr>
                <w:szCs w:val="22"/>
              </w:rPr>
              <w:t>$</w:t>
            </w:r>
            <w:r w:rsidR="00DA6A47">
              <w:rPr>
                <w:szCs w:val="22"/>
              </w:rPr>
              <w:t>24.75</w:t>
            </w:r>
          </w:p>
        </w:tc>
        <w:tc>
          <w:tcPr>
            <w:tcW w:w="1627" w:type="dxa"/>
            <w:tcBorders>
              <w:top w:val="single" w:sz="6" w:space="0" w:color="auto"/>
              <w:left w:val="single" w:sz="6" w:space="0" w:color="auto"/>
              <w:bottom w:val="nil"/>
              <w:right w:val="nil"/>
            </w:tcBorders>
            <w:vAlign w:val="bottom"/>
          </w:tcPr>
          <w:p w:rsidR="009907D5" w:rsidRPr="00E25569" w:rsidRDefault="009907D5" w:rsidP="00AB4259">
            <w:pPr>
              <w:keepNext/>
              <w:keepLines/>
              <w:widowControl/>
              <w:numPr>
                <w:ilvl w:val="12"/>
                <w:numId w:val="0"/>
              </w:numPr>
              <w:jc w:val="center"/>
              <w:rPr>
                <w:szCs w:val="24"/>
              </w:rPr>
            </w:pPr>
            <w:r w:rsidRPr="00E25569">
              <w:rPr>
                <w:szCs w:val="22"/>
              </w:rPr>
              <w:t>100</w:t>
            </w:r>
          </w:p>
        </w:tc>
        <w:tc>
          <w:tcPr>
            <w:tcW w:w="1354" w:type="dxa"/>
            <w:tcBorders>
              <w:top w:val="single" w:sz="6" w:space="0" w:color="auto"/>
              <w:left w:val="single" w:sz="6" w:space="0" w:color="auto"/>
              <w:bottom w:val="nil"/>
              <w:right w:val="double" w:sz="6" w:space="0" w:color="auto"/>
            </w:tcBorders>
          </w:tcPr>
          <w:p w:rsidR="009907D5" w:rsidRPr="00E25569" w:rsidRDefault="009907D5" w:rsidP="00DA6A47">
            <w:pPr>
              <w:keepNext/>
              <w:keepLines/>
              <w:widowControl/>
              <w:numPr>
                <w:ilvl w:val="12"/>
                <w:numId w:val="0"/>
              </w:numPr>
              <w:jc w:val="center"/>
              <w:rPr>
                <w:szCs w:val="24"/>
              </w:rPr>
            </w:pPr>
            <w:r w:rsidRPr="00E25569">
              <w:rPr>
                <w:szCs w:val="22"/>
              </w:rPr>
              <w:t>$</w:t>
            </w:r>
            <w:r w:rsidR="00DA6A47">
              <w:rPr>
                <w:szCs w:val="22"/>
              </w:rPr>
              <w:t>4,949.00</w:t>
            </w:r>
          </w:p>
        </w:tc>
      </w:tr>
      <w:tr w:rsidR="009907D5" w:rsidRPr="00E25569" w:rsidTr="00D751D7">
        <w:trPr>
          <w:cantSplit/>
          <w:jc w:val="center"/>
        </w:trPr>
        <w:tc>
          <w:tcPr>
            <w:tcW w:w="3240" w:type="dxa"/>
            <w:tcBorders>
              <w:left w:val="double" w:sz="6" w:space="0" w:color="auto"/>
              <w:bottom w:val="double" w:sz="6" w:space="0" w:color="auto"/>
              <w:right w:val="nil"/>
            </w:tcBorders>
          </w:tcPr>
          <w:p w:rsidR="009907D5" w:rsidRPr="00E25569" w:rsidRDefault="009907D5" w:rsidP="00AB4259">
            <w:pPr>
              <w:keepNext/>
              <w:keepLines/>
              <w:widowControl/>
              <w:numPr>
                <w:ilvl w:val="12"/>
                <w:numId w:val="0"/>
              </w:numPr>
              <w:rPr>
                <w:szCs w:val="24"/>
              </w:rPr>
            </w:pPr>
            <w:r w:rsidRPr="00E25569">
              <w:rPr>
                <w:szCs w:val="22"/>
              </w:rPr>
              <w:t xml:space="preserve">Revise </w:t>
            </w:r>
            <w:proofErr w:type="spellStart"/>
            <w:r w:rsidRPr="00E25569">
              <w:rPr>
                <w:szCs w:val="22"/>
              </w:rPr>
              <w:t>NO</w:t>
            </w:r>
            <w:r w:rsidR="00562093" w:rsidRPr="00E25569">
              <w:rPr>
                <w:szCs w:val="22"/>
                <w:vertAlign w:val="subscript"/>
              </w:rPr>
              <w:t>x</w:t>
            </w:r>
            <w:proofErr w:type="spellEnd"/>
            <w:r w:rsidRPr="00E25569">
              <w:rPr>
                <w:szCs w:val="22"/>
              </w:rPr>
              <w:t xml:space="preserve"> emissions averaging </w:t>
            </w:r>
            <w:proofErr w:type="spellStart"/>
            <w:r w:rsidRPr="00E25569">
              <w:rPr>
                <w:szCs w:val="22"/>
              </w:rPr>
              <w:t>plans</w:t>
            </w:r>
            <w:r w:rsidR="00B63804">
              <w:rPr>
                <w:szCs w:val="22"/>
              </w:rPr>
              <w:t>.</w:t>
            </w:r>
            <w:r w:rsidRPr="00E25569">
              <w:rPr>
                <w:szCs w:val="22"/>
                <w:vertAlign w:val="superscript"/>
              </w:rPr>
              <w:t>c</w:t>
            </w:r>
            <w:proofErr w:type="spellEnd"/>
          </w:p>
        </w:tc>
        <w:tc>
          <w:tcPr>
            <w:tcW w:w="1714" w:type="dxa"/>
            <w:tcBorders>
              <w:left w:val="single" w:sz="6" w:space="0" w:color="auto"/>
              <w:bottom w:val="double" w:sz="6" w:space="0" w:color="auto"/>
              <w:right w:val="nil"/>
            </w:tcBorders>
            <w:vAlign w:val="bottom"/>
          </w:tcPr>
          <w:p w:rsidR="009907D5" w:rsidRPr="00E25569" w:rsidRDefault="009907D5" w:rsidP="00AB4259">
            <w:pPr>
              <w:keepNext/>
              <w:keepLines/>
              <w:widowControl/>
              <w:numPr>
                <w:ilvl w:val="12"/>
                <w:numId w:val="0"/>
              </w:numPr>
              <w:jc w:val="center"/>
              <w:rPr>
                <w:szCs w:val="24"/>
                <w:highlight w:val="yellow"/>
              </w:rPr>
            </w:pPr>
            <w:r w:rsidRPr="00E25569">
              <w:rPr>
                <w:szCs w:val="22"/>
              </w:rPr>
              <w:t xml:space="preserve">1 </w:t>
            </w:r>
          </w:p>
        </w:tc>
        <w:tc>
          <w:tcPr>
            <w:tcW w:w="1440" w:type="dxa"/>
            <w:tcBorders>
              <w:left w:val="single" w:sz="6" w:space="0" w:color="auto"/>
              <w:bottom w:val="double" w:sz="6" w:space="0" w:color="auto"/>
              <w:right w:val="nil"/>
            </w:tcBorders>
            <w:vAlign w:val="bottom"/>
          </w:tcPr>
          <w:p w:rsidR="009907D5" w:rsidRPr="00E25569" w:rsidRDefault="009907D5" w:rsidP="00DA6A47">
            <w:pPr>
              <w:keepNext/>
              <w:keepLines/>
              <w:widowControl/>
              <w:numPr>
                <w:ilvl w:val="12"/>
                <w:numId w:val="0"/>
              </w:numPr>
              <w:jc w:val="center"/>
              <w:rPr>
                <w:szCs w:val="24"/>
              </w:rPr>
            </w:pPr>
            <w:r w:rsidRPr="00E25569">
              <w:rPr>
                <w:szCs w:val="22"/>
              </w:rPr>
              <w:t>$</w:t>
            </w:r>
            <w:r w:rsidR="00DA6A47">
              <w:rPr>
                <w:szCs w:val="22"/>
              </w:rPr>
              <w:t>49.49</w:t>
            </w:r>
            <w:r w:rsidRPr="00E25569">
              <w:rPr>
                <w:szCs w:val="22"/>
              </w:rPr>
              <w:t xml:space="preserve"> </w:t>
            </w:r>
          </w:p>
        </w:tc>
        <w:tc>
          <w:tcPr>
            <w:tcW w:w="1627" w:type="dxa"/>
            <w:tcBorders>
              <w:left w:val="single" w:sz="6" w:space="0" w:color="auto"/>
              <w:bottom w:val="double" w:sz="6" w:space="0" w:color="auto"/>
              <w:right w:val="nil"/>
            </w:tcBorders>
            <w:vAlign w:val="bottom"/>
          </w:tcPr>
          <w:p w:rsidR="009907D5" w:rsidRPr="00E25569" w:rsidRDefault="009907D5" w:rsidP="00AB4259">
            <w:pPr>
              <w:keepNext/>
              <w:keepLines/>
              <w:widowControl/>
              <w:numPr>
                <w:ilvl w:val="12"/>
                <w:numId w:val="0"/>
              </w:numPr>
              <w:jc w:val="center"/>
              <w:rPr>
                <w:szCs w:val="24"/>
              </w:rPr>
            </w:pPr>
            <w:r w:rsidRPr="00E25569">
              <w:rPr>
                <w:szCs w:val="22"/>
              </w:rPr>
              <w:t>27</w:t>
            </w:r>
          </w:p>
        </w:tc>
        <w:tc>
          <w:tcPr>
            <w:tcW w:w="1354" w:type="dxa"/>
            <w:tcBorders>
              <w:left w:val="single" w:sz="6" w:space="0" w:color="auto"/>
              <w:bottom w:val="double" w:sz="6" w:space="0" w:color="auto"/>
              <w:right w:val="double" w:sz="6" w:space="0" w:color="auto"/>
            </w:tcBorders>
          </w:tcPr>
          <w:p w:rsidR="009907D5" w:rsidRPr="00E25569" w:rsidRDefault="009907D5" w:rsidP="00DA6A47">
            <w:pPr>
              <w:keepNext/>
              <w:keepLines/>
              <w:widowControl/>
              <w:numPr>
                <w:ilvl w:val="12"/>
                <w:numId w:val="0"/>
              </w:numPr>
              <w:jc w:val="center"/>
              <w:rPr>
                <w:szCs w:val="24"/>
              </w:rPr>
            </w:pPr>
            <w:r w:rsidRPr="00E25569">
              <w:rPr>
                <w:szCs w:val="22"/>
              </w:rPr>
              <w:t>$</w:t>
            </w:r>
            <w:r w:rsidR="00DA6A47">
              <w:rPr>
                <w:szCs w:val="22"/>
              </w:rPr>
              <w:t>1,336.23</w:t>
            </w:r>
            <w:r w:rsidRPr="00E25569">
              <w:rPr>
                <w:szCs w:val="22"/>
              </w:rPr>
              <w:t xml:space="preserve"> </w:t>
            </w:r>
          </w:p>
        </w:tc>
      </w:tr>
      <w:tr w:rsidR="009907D5" w:rsidRPr="00D751D7" w:rsidTr="00D751D7">
        <w:trPr>
          <w:cantSplit/>
          <w:jc w:val="center"/>
        </w:trPr>
        <w:tc>
          <w:tcPr>
            <w:tcW w:w="1440" w:type="dxa"/>
            <w:gridSpan w:val="3"/>
            <w:tcBorders>
              <w:top w:val="double" w:sz="6" w:space="0" w:color="auto"/>
              <w:left w:val="double" w:sz="6" w:space="0" w:color="auto"/>
              <w:bottom w:val="double" w:sz="6" w:space="0" w:color="auto"/>
              <w:right w:val="nil"/>
            </w:tcBorders>
          </w:tcPr>
          <w:p w:rsidR="009907D5" w:rsidRPr="00D751D7" w:rsidRDefault="009907D5" w:rsidP="00AB4259">
            <w:pPr>
              <w:keepNext/>
              <w:keepLines/>
              <w:widowControl/>
              <w:numPr>
                <w:ilvl w:val="12"/>
                <w:numId w:val="0"/>
              </w:numPr>
              <w:rPr>
                <w:b/>
                <w:szCs w:val="24"/>
              </w:rPr>
            </w:pPr>
            <w:r w:rsidRPr="00D751D7">
              <w:rPr>
                <w:b/>
                <w:szCs w:val="22"/>
              </w:rPr>
              <w:t>T</w:t>
            </w:r>
            <w:r w:rsidR="005D7A67">
              <w:rPr>
                <w:b/>
                <w:szCs w:val="22"/>
              </w:rPr>
              <w:t>OTAL</w:t>
            </w:r>
          </w:p>
        </w:tc>
        <w:tc>
          <w:tcPr>
            <w:tcW w:w="1627" w:type="dxa"/>
            <w:tcBorders>
              <w:top w:val="double" w:sz="6" w:space="0" w:color="auto"/>
              <w:left w:val="single" w:sz="6" w:space="0" w:color="auto"/>
              <w:bottom w:val="double" w:sz="6" w:space="0" w:color="auto"/>
              <w:right w:val="nil"/>
            </w:tcBorders>
            <w:vAlign w:val="bottom"/>
          </w:tcPr>
          <w:p w:rsidR="009907D5" w:rsidRPr="00D751D7" w:rsidRDefault="009907D5" w:rsidP="00AB4259">
            <w:pPr>
              <w:keepNext/>
              <w:keepLines/>
              <w:widowControl/>
              <w:numPr>
                <w:ilvl w:val="12"/>
                <w:numId w:val="0"/>
              </w:numPr>
              <w:jc w:val="center"/>
              <w:rPr>
                <w:b/>
                <w:szCs w:val="24"/>
              </w:rPr>
            </w:pPr>
            <w:r w:rsidRPr="00D751D7">
              <w:rPr>
                <w:b/>
                <w:szCs w:val="22"/>
              </w:rPr>
              <w:t>127</w:t>
            </w:r>
          </w:p>
        </w:tc>
        <w:tc>
          <w:tcPr>
            <w:tcW w:w="1354" w:type="dxa"/>
            <w:tcBorders>
              <w:top w:val="double" w:sz="6" w:space="0" w:color="auto"/>
              <w:left w:val="single" w:sz="6" w:space="0" w:color="auto"/>
              <w:bottom w:val="double" w:sz="6" w:space="0" w:color="auto"/>
              <w:right w:val="double" w:sz="6" w:space="0" w:color="auto"/>
            </w:tcBorders>
          </w:tcPr>
          <w:p w:rsidR="009907D5" w:rsidRPr="00D751D7" w:rsidRDefault="009907D5" w:rsidP="00DA6A47">
            <w:pPr>
              <w:keepNext/>
              <w:keepLines/>
              <w:widowControl/>
              <w:numPr>
                <w:ilvl w:val="12"/>
                <w:numId w:val="0"/>
              </w:numPr>
              <w:jc w:val="center"/>
              <w:rPr>
                <w:b/>
                <w:szCs w:val="24"/>
              </w:rPr>
            </w:pPr>
            <w:r w:rsidRPr="00D751D7">
              <w:rPr>
                <w:b/>
                <w:szCs w:val="22"/>
              </w:rPr>
              <w:t>$</w:t>
            </w:r>
            <w:r w:rsidR="00DA6A47">
              <w:rPr>
                <w:b/>
                <w:szCs w:val="22"/>
              </w:rPr>
              <w:t>6,285.23</w:t>
            </w:r>
          </w:p>
        </w:tc>
      </w:tr>
    </w:tbl>
    <w:p w:rsidR="009907D5" w:rsidRDefault="009907D5" w:rsidP="00AB4259">
      <w:pPr>
        <w:widowControl/>
        <w:numPr>
          <w:ilvl w:val="12"/>
          <w:numId w:val="0"/>
        </w:numPr>
        <w:tabs>
          <w:tab w:val="left" w:pos="-1440"/>
          <w:tab w:val="left" w:pos="-720"/>
        </w:tabs>
        <w:jc w:val="center"/>
        <w:rPr>
          <w:b/>
          <w:bCs/>
          <w:sz w:val="24"/>
          <w:szCs w:val="24"/>
        </w:rPr>
      </w:pPr>
    </w:p>
    <w:p w:rsidR="00E25569" w:rsidRPr="00E25569" w:rsidRDefault="00E25569" w:rsidP="005F04C7">
      <w:pPr>
        <w:keepNext/>
        <w:keepLines/>
        <w:widowControl/>
        <w:numPr>
          <w:ilvl w:val="12"/>
          <w:numId w:val="0"/>
        </w:numPr>
        <w:ind w:left="1080" w:hanging="180"/>
        <w:rPr>
          <w:szCs w:val="22"/>
        </w:rPr>
      </w:pPr>
      <w:r w:rsidRPr="00E25569">
        <w:rPr>
          <w:szCs w:val="22"/>
          <w:vertAlign w:val="superscript"/>
        </w:rPr>
        <w:t>a</w:t>
      </w:r>
      <w:r w:rsidRPr="00E25569">
        <w:rPr>
          <w:szCs w:val="22"/>
        </w:rPr>
        <w:tab/>
      </w:r>
      <w:r w:rsidR="00DA6A47" w:rsidRPr="00E25569">
        <w:rPr>
          <w:szCs w:val="22"/>
        </w:rPr>
        <w:t>20</w:t>
      </w:r>
      <w:r w:rsidR="00DA6A47">
        <w:rPr>
          <w:szCs w:val="22"/>
        </w:rPr>
        <w:t>12</w:t>
      </w:r>
      <w:r w:rsidR="00DA6A47" w:rsidRPr="00E25569">
        <w:rPr>
          <w:szCs w:val="22"/>
        </w:rPr>
        <w:t xml:space="preserve"> </w:t>
      </w:r>
      <w:r w:rsidRPr="00E25569">
        <w:rPr>
          <w:szCs w:val="22"/>
        </w:rPr>
        <w:t>dollars.</w:t>
      </w:r>
    </w:p>
    <w:p w:rsidR="00E25569" w:rsidRPr="00E25569" w:rsidRDefault="00E25569" w:rsidP="005F04C7">
      <w:pPr>
        <w:keepNext/>
        <w:keepLines/>
        <w:widowControl/>
        <w:numPr>
          <w:ilvl w:val="12"/>
          <w:numId w:val="0"/>
        </w:numPr>
        <w:ind w:left="1080" w:hanging="180"/>
        <w:rPr>
          <w:szCs w:val="22"/>
        </w:rPr>
      </w:pPr>
      <w:r w:rsidRPr="00E25569">
        <w:rPr>
          <w:szCs w:val="22"/>
          <w:vertAlign w:val="superscript"/>
        </w:rPr>
        <w:t>b</w:t>
      </w:r>
      <w:r w:rsidRPr="00E25569">
        <w:rPr>
          <w:szCs w:val="22"/>
        </w:rPr>
        <w:tab/>
      </w:r>
      <w:r>
        <w:rPr>
          <w:szCs w:val="22"/>
        </w:rPr>
        <w:t>Assumes 200 units (20 percent</w:t>
      </w:r>
      <w:r w:rsidRPr="00E25569">
        <w:rPr>
          <w:szCs w:val="22"/>
        </w:rPr>
        <w:t xml:space="preserve"> of all </w:t>
      </w:r>
      <w:proofErr w:type="spellStart"/>
      <w:r w:rsidRPr="00E25569">
        <w:rPr>
          <w:szCs w:val="22"/>
        </w:rPr>
        <w:t>NO</w:t>
      </w:r>
      <w:r w:rsidRPr="00E25569">
        <w:rPr>
          <w:szCs w:val="22"/>
          <w:vertAlign w:val="subscript"/>
        </w:rPr>
        <w:t>x</w:t>
      </w:r>
      <w:proofErr w:type="spellEnd"/>
      <w:r w:rsidRPr="00E25569">
        <w:rPr>
          <w:szCs w:val="22"/>
        </w:rPr>
        <w:t xml:space="preserve"> affected units) submit </w:t>
      </w:r>
      <w:proofErr w:type="spellStart"/>
      <w:r w:rsidRPr="00E25569">
        <w:rPr>
          <w:szCs w:val="22"/>
        </w:rPr>
        <w:t>NO</w:t>
      </w:r>
      <w:r w:rsidRPr="00E25569">
        <w:rPr>
          <w:szCs w:val="22"/>
          <w:vertAlign w:val="subscript"/>
        </w:rPr>
        <w:t>x</w:t>
      </w:r>
      <w:proofErr w:type="spellEnd"/>
      <w:r w:rsidRPr="00E25569">
        <w:rPr>
          <w:szCs w:val="22"/>
        </w:rPr>
        <w:t xml:space="preserve"> compliance plan renewals each year.  </w:t>
      </w:r>
    </w:p>
    <w:p w:rsidR="00E25569" w:rsidRPr="00E25569" w:rsidRDefault="00E25569" w:rsidP="005F04C7">
      <w:pPr>
        <w:widowControl/>
        <w:numPr>
          <w:ilvl w:val="12"/>
          <w:numId w:val="0"/>
        </w:numPr>
        <w:tabs>
          <w:tab w:val="left" w:pos="-1440"/>
          <w:tab w:val="left" w:pos="-720"/>
        </w:tabs>
        <w:ind w:left="1080" w:hanging="180"/>
        <w:rPr>
          <w:b/>
          <w:bCs/>
          <w:sz w:val="22"/>
          <w:szCs w:val="24"/>
        </w:rPr>
      </w:pPr>
      <w:r w:rsidRPr="00E25569">
        <w:rPr>
          <w:szCs w:val="22"/>
          <w:vertAlign w:val="superscript"/>
        </w:rPr>
        <w:t>c</w:t>
      </w:r>
      <w:r w:rsidRPr="00E25569">
        <w:rPr>
          <w:szCs w:val="22"/>
          <w:vertAlign w:val="superscript"/>
        </w:rPr>
        <w:tab/>
      </w:r>
      <w:r w:rsidRPr="00E25569">
        <w:rPr>
          <w:szCs w:val="22"/>
        </w:rPr>
        <w:t>Assumes 27 respondents revise emissions averaging plans each year.</w:t>
      </w:r>
    </w:p>
    <w:p w:rsidR="00E25569" w:rsidRDefault="00E25569" w:rsidP="00E25569">
      <w:pPr>
        <w:widowControl/>
        <w:numPr>
          <w:ilvl w:val="12"/>
          <w:numId w:val="0"/>
        </w:numPr>
        <w:tabs>
          <w:tab w:val="left" w:pos="-1440"/>
          <w:tab w:val="left" w:pos="-720"/>
        </w:tabs>
        <w:rPr>
          <w:b/>
          <w:bCs/>
          <w:sz w:val="24"/>
          <w:szCs w:val="24"/>
        </w:rPr>
      </w:pPr>
    </w:p>
    <w:p w:rsidR="00E25569" w:rsidRDefault="00E25569" w:rsidP="00E25569">
      <w:pPr>
        <w:widowControl/>
        <w:numPr>
          <w:ilvl w:val="12"/>
          <w:numId w:val="0"/>
        </w:numPr>
        <w:tabs>
          <w:tab w:val="left" w:pos="-1440"/>
          <w:tab w:val="left" w:pos="-720"/>
        </w:tabs>
        <w:rPr>
          <w:b/>
          <w:bCs/>
          <w:sz w:val="24"/>
          <w:szCs w:val="24"/>
        </w:rPr>
      </w:pPr>
    </w:p>
    <w:p w:rsidR="009907D5" w:rsidRDefault="005F04C7" w:rsidP="005F04C7">
      <w:pPr>
        <w:widowControl/>
        <w:numPr>
          <w:ilvl w:val="12"/>
          <w:numId w:val="0"/>
        </w:numPr>
        <w:tabs>
          <w:tab w:val="left" w:pos="-1440"/>
          <w:tab w:val="left" w:pos="-720"/>
        </w:tabs>
        <w:ind w:left="360"/>
        <w:rPr>
          <w:sz w:val="24"/>
          <w:szCs w:val="24"/>
        </w:rPr>
      </w:pPr>
      <w:r>
        <w:rPr>
          <w:b/>
          <w:bCs/>
          <w:sz w:val="24"/>
          <w:szCs w:val="24"/>
        </w:rPr>
        <w:t xml:space="preserve">6.8  </w:t>
      </w:r>
      <w:r w:rsidR="009907D5">
        <w:rPr>
          <w:b/>
          <w:bCs/>
          <w:sz w:val="24"/>
          <w:szCs w:val="24"/>
        </w:rPr>
        <w:t>Summary of Burden Hours and Costs</w:t>
      </w:r>
    </w:p>
    <w:p w:rsidR="009907D5" w:rsidRDefault="009907D5" w:rsidP="00AB4259">
      <w:pPr>
        <w:widowControl/>
        <w:numPr>
          <w:ilvl w:val="12"/>
          <w:numId w:val="0"/>
        </w:numPr>
        <w:tabs>
          <w:tab w:val="left" w:pos="-1440"/>
          <w:tab w:val="left" w:pos="-720"/>
        </w:tabs>
        <w:jc w:val="center"/>
        <w:rPr>
          <w:sz w:val="24"/>
          <w:szCs w:val="24"/>
        </w:rPr>
      </w:pPr>
      <w:r>
        <w:rPr>
          <w:sz w:val="24"/>
          <w:szCs w:val="24"/>
        </w:rPr>
        <w:t xml:space="preserve"> </w:t>
      </w:r>
    </w:p>
    <w:p w:rsidR="009907D5" w:rsidRDefault="009907D5" w:rsidP="00AB4259">
      <w:pPr>
        <w:widowControl/>
        <w:numPr>
          <w:ilvl w:val="12"/>
          <w:numId w:val="0"/>
        </w:numPr>
        <w:tabs>
          <w:tab w:val="left" w:pos="-1440"/>
          <w:tab w:val="left" w:pos="-720"/>
        </w:tabs>
        <w:rPr>
          <w:sz w:val="24"/>
          <w:szCs w:val="24"/>
        </w:rPr>
      </w:pPr>
      <w:r>
        <w:rPr>
          <w:sz w:val="24"/>
          <w:szCs w:val="24"/>
        </w:rPr>
        <w:tab/>
        <w:t>Exhibit 1</w:t>
      </w:r>
      <w:r w:rsidR="00DA6A47">
        <w:rPr>
          <w:sz w:val="24"/>
          <w:szCs w:val="24"/>
        </w:rPr>
        <w:t>4</w:t>
      </w:r>
      <w:r>
        <w:rPr>
          <w:sz w:val="24"/>
          <w:szCs w:val="24"/>
        </w:rPr>
        <w:t xml:space="preserve"> summarizes the annual aggregate burden and cost estimates to respondents for the period of </w:t>
      </w:r>
      <w:r w:rsidR="00DA6A47">
        <w:rPr>
          <w:sz w:val="24"/>
          <w:szCs w:val="24"/>
        </w:rPr>
        <w:t>January 2013</w:t>
      </w:r>
      <w:r>
        <w:rPr>
          <w:sz w:val="24"/>
          <w:szCs w:val="24"/>
        </w:rPr>
        <w:t xml:space="preserve"> through </w:t>
      </w:r>
      <w:r w:rsidR="00DA6A47">
        <w:rPr>
          <w:sz w:val="24"/>
          <w:szCs w:val="24"/>
        </w:rPr>
        <w:t xml:space="preserve">December </w:t>
      </w:r>
      <w:r>
        <w:rPr>
          <w:sz w:val="24"/>
          <w:szCs w:val="24"/>
        </w:rPr>
        <w:t xml:space="preserve"> 3</w:t>
      </w:r>
      <w:r w:rsidR="00DA6A47">
        <w:rPr>
          <w:sz w:val="24"/>
          <w:szCs w:val="24"/>
        </w:rPr>
        <w:t>1</w:t>
      </w:r>
      <w:r>
        <w:rPr>
          <w:sz w:val="24"/>
          <w:szCs w:val="24"/>
        </w:rPr>
        <w:t>, 20</w:t>
      </w:r>
      <w:r w:rsidR="00DA6A47">
        <w:rPr>
          <w:sz w:val="24"/>
          <w:szCs w:val="24"/>
        </w:rPr>
        <w:t>15</w:t>
      </w:r>
      <w:r>
        <w:rPr>
          <w:sz w:val="24"/>
          <w:szCs w:val="24"/>
        </w:rPr>
        <w:t xml:space="preserve"> for collections associated with allowance transfers, , permits, emissions</w:t>
      </w:r>
      <w:r w:rsidR="00CD25E9">
        <w:rPr>
          <w:sz w:val="24"/>
          <w:szCs w:val="24"/>
        </w:rPr>
        <w:t xml:space="preserve"> monitoring and</w:t>
      </w:r>
      <w:r>
        <w:rPr>
          <w:sz w:val="24"/>
          <w:szCs w:val="24"/>
        </w:rPr>
        <w:t xml:space="preserve"> reporting, auctions, the opt-in program, and </w:t>
      </w:r>
      <w:proofErr w:type="spellStart"/>
      <w:r>
        <w:rPr>
          <w:sz w:val="24"/>
          <w:szCs w:val="24"/>
        </w:rPr>
        <w:t>NO</w:t>
      </w:r>
      <w:r w:rsidR="00562093">
        <w:rPr>
          <w:sz w:val="24"/>
          <w:szCs w:val="24"/>
          <w:vertAlign w:val="subscript"/>
        </w:rPr>
        <w:t>x</w:t>
      </w:r>
      <w:proofErr w:type="spellEnd"/>
      <w:r>
        <w:rPr>
          <w:sz w:val="24"/>
          <w:szCs w:val="24"/>
        </w:rPr>
        <w:t xml:space="preserve"> permitting</w:t>
      </w:r>
      <w:r w:rsidR="00CE3ABF">
        <w:rPr>
          <w:sz w:val="24"/>
          <w:szCs w:val="24"/>
        </w:rPr>
        <w:t xml:space="preserve">. </w:t>
      </w:r>
      <w:r>
        <w:rPr>
          <w:sz w:val="24"/>
          <w:szCs w:val="24"/>
        </w:rPr>
        <w:t xml:space="preserve">Exhibit </w:t>
      </w:r>
      <w:r w:rsidR="00ED615C">
        <w:rPr>
          <w:sz w:val="24"/>
          <w:szCs w:val="24"/>
        </w:rPr>
        <w:t xml:space="preserve">15 </w:t>
      </w:r>
      <w:r>
        <w:rPr>
          <w:sz w:val="24"/>
          <w:szCs w:val="24"/>
        </w:rPr>
        <w:t>summarizes the aggregate burden and cost estimates to EPA and permitting authorities for these collections.</w:t>
      </w:r>
    </w:p>
    <w:p w:rsidR="009907D5" w:rsidRDefault="009907D5" w:rsidP="00AB4259">
      <w:pPr>
        <w:widowControl/>
        <w:numPr>
          <w:ilvl w:val="12"/>
          <w:numId w:val="0"/>
        </w:numPr>
        <w:tabs>
          <w:tab w:val="left" w:pos="-1440"/>
          <w:tab w:val="left" w:pos="-720"/>
        </w:tabs>
        <w:rPr>
          <w:sz w:val="24"/>
          <w:szCs w:val="24"/>
        </w:rPr>
      </w:pPr>
    </w:p>
    <w:p w:rsidR="009907D5" w:rsidRDefault="009907D5" w:rsidP="005F04C7">
      <w:pPr>
        <w:widowControl/>
        <w:numPr>
          <w:ilvl w:val="12"/>
          <w:numId w:val="0"/>
        </w:numPr>
        <w:tabs>
          <w:tab w:val="left" w:pos="-1440"/>
          <w:tab w:val="left" w:pos="-720"/>
        </w:tabs>
        <w:ind w:left="360"/>
        <w:rPr>
          <w:sz w:val="24"/>
          <w:szCs w:val="24"/>
        </w:rPr>
      </w:pPr>
      <w:r>
        <w:rPr>
          <w:b/>
          <w:bCs/>
          <w:sz w:val="24"/>
          <w:szCs w:val="24"/>
        </w:rPr>
        <w:t>6.9</w:t>
      </w:r>
      <w:r w:rsidR="005F04C7">
        <w:rPr>
          <w:b/>
          <w:bCs/>
          <w:sz w:val="24"/>
          <w:szCs w:val="24"/>
        </w:rPr>
        <w:t xml:space="preserve">  </w:t>
      </w:r>
      <w:r>
        <w:rPr>
          <w:b/>
          <w:bCs/>
          <w:sz w:val="24"/>
          <w:szCs w:val="24"/>
        </w:rPr>
        <w:t>Reasons for Change in Burden</w:t>
      </w:r>
    </w:p>
    <w:p w:rsidR="009907D5" w:rsidRDefault="009907D5" w:rsidP="00AB4259">
      <w:pPr>
        <w:widowControl/>
        <w:numPr>
          <w:ilvl w:val="12"/>
          <w:numId w:val="0"/>
        </w:numPr>
        <w:tabs>
          <w:tab w:val="left" w:pos="-1440"/>
          <w:tab w:val="left" w:pos="-720"/>
        </w:tabs>
        <w:rPr>
          <w:sz w:val="24"/>
          <w:szCs w:val="24"/>
        </w:rPr>
      </w:pPr>
    </w:p>
    <w:p w:rsidR="009907D5" w:rsidRDefault="009907D5" w:rsidP="00AB4259">
      <w:pPr>
        <w:widowControl/>
        <w:numPr>
          <w:ilvl w:val="12"/>
          <w:numId w:val="0"/>
        </w:numPr>
        <w:tabs>
          <w:tab w:val="left" w:pos="-1440"/>
          <w:tab w:val="left" w:pos="-720"/>
        </w:tabs>
        <w:rPr>
          <w:sz w:val="24"/>
          <w:szCs w:val="24"/>
        </w:rPr>
      </w:pPr>
      <w:r>
        <w:rPr>
          <w:sz w:val="24"/>
          <w:szCs w:val="24"/>
        </w:rPr>
        <w:tab/>
        <w:t>This ICR renewal reflects a few differences from the previous ICR</w:t>
      </w:r>
      <w:r w:rsidR="00CE3ABF">
        <w:rPr>
          <w:sz w:val="24"/>
          <w:szCs w:val="24"/>
        </w:rPr>
        <w:t xml:space="preserve">. </w:t>
      </w:r>
      <w:r>
        <w:rPr>
          <w:sz w:val="24"/>
          <w:szCs w:val="24"/>
        </w:rPr>
        <w:t>This section discusses the changes in burden since the last clearance</w:t>
      </w:r>
      <w:r w:rsidR="00562093">
        <w:rPr>
          <w:sz w:val="24"/>
          <w:szCs w:val="24"/>
        </w:rPr>
        <w:t xml:space="preserve">.  </w:t>
      </w:r>
    </w:p>
    <w:p w:rsidR="009907D5" w:rsidRDefault="009907D5" w:rsidP="00AB4259">
      <w:pPr>
        <w:widowControl/>
        <w:numPr>
          <w:ilvl w:val="12"/>
          <w:numId w:val="0"/>
        </w:numPr>
        <w:tabs>
          <w:tab w:val="left" w:pos="-1440"/>
          <w:tab w:val="left" w:pos="-720"/>
        </w:tabs>
        <w:rPr>
          <w:sz w:val="24"/>
          <w:szCs w:val="24"/>
        </w:rPr>
      </w:pPr>
    </w:p>
    <w:p w:rsidR="009907D5" w:rsidRPr="00F15243" w:rsidRDefault="009907D5" w:rsidP="00AB4259">
      <w:pPr>
        <w:widowControl/>
        <w:numPr>
          <w:ilvl w:val="12"/>
          <w:numId w:val="0"/>
        </w:numPr>
        <w:tabs>
          <w:tab w:val="left" w:pos="-1440"/>
          <w:tab w:val="left" w:pos="-720"/>
        </w:tabs>
        <w:rPr>
          <w:sz w:val="24"/>
          <w:szCs w:val="24"/>
        </w:rPr>
      </w:pPr>
      <w:r>
        <w:rPr>
          <w:sz w:val="24"/>
          <w:szCs w:val="24"/>
        </w:rPr>
        <w:tab/>
      </w:r>
      <w:r w:rsidRPr="00F15243">
        <w:rPr>
          <w:sz w:val="24"/>
          <w:szCs w:val="24"/>
        </w:rPr>
        <w:t>Overall, the estimated annual burden in 20</w:t>
      </w:r>
      <w:r w:rsidR="00830E8D">
        <w:rPr>
          <w:sz w:val="24"/>
          <w:szCs w:val="24"/>
        </w:rPr>
        <w:t>12</w:t>
      </w:r>
      <w:r w:rsidRPr="00F15243">
        <w:rPr>
          <w:sz w:val="24"/>
          <w:szCs w:val="24"/>
        </w:rPr>
        <w:t xml:space="preserve"> from the last clearance was </w:t>
      </w:r>
      <w:r w:rsidR="00305049">
        <w:rPr>
          <w:sz w:val="24"/>
          <w:szCs w:val="24"/>
        </w:rPr>
        <w:t>2,056,946</w:t>
      </w:r>
      <w:r w:rsidRPr="00F15243">
        <w:rPr>
          <w:sz w:val="24"/>
          <w:szCs w:val="24"/>
        </w:rPr>
        <w:t xml:space="preserve"> hours</w:t>
      </w:r>
      <w:r w:rsidR="00CE3ABF">
        <w:rPr>
          <w:sz w:val="24"/>
          <w:szCs w:val="24"/>
        </w:rPr>
        <w:t xml:space="preserve">. </w:t>
      </w:r>
      <w:r w:rsidRPr="00F15243">
        <w:rPr>
          <w:sz w:val="24"/>
          <w:szCs w:val="24"/>
        </w:rPr>
        <w:t>This ICR estimates the annual burden in 20</w:t>
      </w:r>
      <w:r w:rsidR="00305049">
        <w:rPr>
          <w:sz w:val="24"/>
          <w:szCs w:val="24"/>
        </w:rPr>
        <w:t>13</w:t>
      </w:r>
      <w:r w:rsidRPr="00F15243">
        <w:rPr>
          <w:sz w:val="24"/>
          <w:szCs w:val="24"/>
        </w:rPr>
        <w:t xml:space="preserve"> will be </w:t>
      </w:r>
      <w:r w:rsidR="00B53A3F">
        <w:rPr>
          <w:sz w:val="24"/>
          <w:szCs w:val="24"/>
        </w:rPr>
        <w:t>2,</w:t>
      </w:r>
      <w:r w:rsidR="00AE66CB">
        <w:rPr>
          <w:sz w:val="24"/>
          <w:szCs w:val="24"/>
        </w:rPr>
        <w:t>123,405</w:t>
      </w:r>
      <w:r w:rsidR="00830E8D">
        <w:rPr>
          <w:sz w:val="24"/>
          <w:szCs w:val="24"/>
        </w:rPr>
        <w:t xml:space="preserve"> </w:t>
      </w:r>
      <w:r w:rsidRPr="00F15243">
        <w:rPr>
          <w:sz w:val="24"/>
          <w:szCs w:val="24"/>
        </w:rPr>
        <w:t xml:space="preserve">hours, which increases the burden by </w:t>
      </w:r>
      <w:r w:rsidR="00AE66CB">
        <w:rPr>
          <w:sz w:val="24"/>
          <w:szCs w:val="24"/>
        </w:rPr>
        <w:t>66,459</w:t>
      </w:r>
      <w:r w:rsidR="00B53A3F">
        <w:rPr>
          <w:sz w:val="24"/>
          <w:szCs w:val="24"/>
        </w:rPr>
        <w:t xml:space="preserve"> </w:t>
      </w:r>
      <w:r w:rsidRPr="00F15243">
        <w:rPr>
          <w:sz w:val="24"/>
          <w:szCs w:val="24"/>
        </w:rPr>
        <w:t>hours</w:t>
      </w:r>
      <w:r w:rsidR="00F15243" w:rsidRPr="00F15243">
        <w:rPr>
          <w:sz w:val="24"/>
          <w:szCs w:val="24"/>
        </w:rPr>
        <w:t xml:space="preserve">, about </w:t>
      </w:r>
      <w:r w:rsidR="00830E8D">
        <w:rPr>
          <w:sz w:val="24"/>
          <w:szCs w:val="24"/>
        </w:rPr>
        <w:t xml:space="preserve">three </w:t>
      </w:r>
      <w:r w:rsidR="005F04C7">
        <w:rPr>
          <w:sz w:val="24"/>
          <w:szCs w:val="24"/>
        </w:rPr>
        <w:t>percent</w:t>
      </w:r>
      <w:r w:rsidR="00CE3ABF">
        <w:rPr>
          <w:sz w:val="24"/>
          <w:szCs w:val="24"/>
        </w:rPr>
        <w:t xml:space="preserve">. </w:t>
      </w:r>
      <w:r w:rsidRPr="00F15243">
        <w:rPr>
          <w:sz w:val="24"/>
          <w:szCs w:val="24"/>
        </w:rPr>
        <w:t>The reasons for this burden increase are explained below.</w:t>
      </w:r>
    </w:p>
    <w:p w:rsidR="009907D5" w:rsidRPr="00F15243" w:rsidRDefault="009907D5" w:rsidP="00AB4259">
      <w:pPr>
        <w:widowControl/>
        <w:numPr>
          <w:ilvl w:val="12"/>
          <w:numId w:val="0"/>
        </w:numPr>
        <w:tabs>
          <w:tab w:val="left" w:pos="-1440"/>
          <w:tab w:val="left" w:pos="-720"/>
        </w:tabs>
        <w:rPr>
          <w:sz w:val="24"/>
          <w:szCs w:val="24"/>
        </w:rPr>
      </w:pPr>
    </w:p>
    <w:p w:rsidR="009907D5" w:rsidRDefault="009907D5" w:rsidP="002D7426">
      <w:pPr>
        <w:keepNext/>
        <w:widowControl/>
        <w:numPr>
          <w:ilvl w:val="12"/>
          <w:numId w:val="0"/>
        </w:numPr>
        <w:tabs>
          <w:tab w:val="left" w:pos="-1440"/>
          <w:tab w:val="left" w:pos="-720"/>
        </w:tabs>
        <w:rPr>
          <w:sz w:val="24"/>
          <w:szCs w:val="24"/>
        </w:rPr>
      </w:pPr>
      <w:r>
        <w:rPr>
          <w:sz w:val="24"/>
          <w:szCs w:val="24"/>
        </w:rPr>
        <w:lastRenderedPageBreak/>
        <w:tab/>
        <w:t>Most of the change in burden for this collection is due to adjustments</w:t>
      </w:r>
      <w:r w:rsidR="00CE3ABF">
        <w:rPr>
          <w:sz w:val="24"/>
          <w:szCs w:val="24"/>
        </w:rPr>
        <w:t xml:space="preserve">. </w:t>
      </w:r>
      <w:r>
        <w:rPr>
          <w:sz w:val="24"/>
          <w:szCs w:val="24"/>
        </w:rPr>
        <w:t>Adjustments stem from actions outside the Agency</w:t>
      </w:r>
      <w:r w:rsidR="00A90381">
        <w:rPr>
          <w:sz w:val="24"/>
          <w:szCs w:val="24"/>
        </w:rPr>
        <w:t>'</w:t>
      </w:r>
      <w:r>
        <w:rPr>
          <w:sz w:val="24"/>
          <w:szCs w:val="24"/>
        </w:rPr>
        <w:t>s control</w:t>
      </w:r>
      <w:r w:rsidR="00CE3ABF">
        <w:rPr>
          <w:sz w:val="24"/>
          <w:szCs w:val="24"/>
        </w:rPr>
        <w:t xml:space="preserve">. </w:t>
      </w:r>
      <w:r>
        <w:rPr>
          <w:sz w:val="24"/>
          <w:szCs w:val="24"/>
        </w:rPr>
        <w:t>Adjustment</w:t>
      </w:r>
      <w:r w:rsidR="002F073C">
        <w:rPr>
          <w:sz w:val="24"/>
          <w:szCs w:val="24"/>
        </w:rPr>
        <w:t>s</w:t>
      </w:r>
      <w:r>
        <w:rPr>
          <w:sz w:val="24"/>
          <w:szCs w:val="24"/>
        </w:rPr>
        <w:t xml:space="preserve"> include changes to the number of responses and the time it takes to respond to a particular activity</w:t>
      </w:r>
      <w:r w:rsidR="00562093">
        <w:rPr>
          <w:sz w:val="24"/>
          <w:szCs w:val="24"/>
        </w:rPr>
        <w:t xml:space="preserve">. </w:t>
      </w:r>
      <w:r>
        <w:rPr>
          <w:sz w:val="24"/>
          <w:szCs w:val="24"/>
        </w:rPr>
        <w:t>Some new estimates for the number of responses are based on queries of EPA databases for activities reported in recent year</w:t>
      </w:r>
      <w:r w:rsidR="002F073C">
        <w:rPr>
          <w:sz w:val="24"/>
          <w:szCs w:val="24"/>
        </w:rPr>
        <w:t>s</w:t>
      </w:r>
      <w:r w:rsidR="00CE3ABF">
        <w:rPr>
          <w:sz w:val="24"/>
          <w:szCs w:val="24"/>
        </w:rPr>
        <w:t xml:space="preserve">. </w:t>
      </w:r>
      <w:r w:rsidR="002F073C">
        <w:rPr>
          <w:sz w:val="24"/>
          <w:szCs w:val="24"/>
        </w:rPr>
        <w:t>A</w:t>
      </w:r>
      <w:r w:rsidR="007A47EA">
        <w:rPr>
          <w:sz w:val="24"/>
          <w:szCs w:val="24"/>
        </w:rPr>
        <w:t>t this time, EPA does not believe any changes in burden are warranted as a result of the change to ECMPS</w:t>
      </w:r>
      <w:r w:rsidR="00CE3ABF">
        <w:rPr>
          <w:sz w:val="24"/>
          <w:szCs w:val="24"/>
        </w:rPr>
        <w:t xml:space="preserve">. </w:t>
      </w:r>
      <w:r w:rsidR="007A47EA">
        <w:rPr>
          <w:sz w:val="24"/>
          <w:szCs w:val="24"/>
        </w:rPr>
        <w:t>Although the process may impact average burden, the basic information being requested remain basically the same, and it is too early at this juncture to determine if the new process will significantly impact a source</w:t>
      </w:r>
      <w:r w:rsidR="00A90381">
        <w:rPr>
          <w:sz w:val="24"/>
          <w:szCs w:val="24"/>
        </w:rPr>
        <w:t>'</w:t>
      </w:r>
      <w:r w:rsidR="007A47EA">
        <w:rPr>
          <w:sz w:val="24"/>
          <w:szCs w:val="24"/>
        </w:rPr>
        <w:t>s reporting burden</w:t>
      </w:r>
      <w:r w:rsidR="00CE3ABF">
        <w:rPr>
          <w:sz w:val="24"/>
          <w:szCs w:val="24"/>
        </w:rPr>
        <w:t xml:space="preserve">. </w:t>
      </w:r>
      <w:r>
        <w:rPr>
          <w:sz w:val="24"/>
          <w:szCs w:val="24"/>
        </w:rPr>
        <w:t xml:space="preserve">The adjustments and corresponding </w:t>
      </w:r>
      <w:r w:rsidR="002D7426">
        <w:rPr>
          <w:sz w:val="24"/>
          <w:szCs w:val="24"/>
        </w:rPr>
        <w:t>change in burden are as follows:</w:t>
      </w:r>
    </w:p>
    <w:p w:rsidR="009907D5" w:rsidRDefault="009907D5" w:rsidP="002D7426">
      <w:pPr>
        <w:keepNext/>
        <w:widowControl/>
        <w:numPr>
          <w:ilvl w:val="12"/>
          <w:numId w:val="0"/>
        </w:numPr>
        <w:tabs>
          <w:tab w:val="left" w:pos="-1440"/>
          <w:tab w:val="left" w:pos="-720"/>
        </w:tabs>
        <w:rPr>
          <w:sz w:val="24"/>
          <w:szCs w:val="24"/>
        </w:rPr>
      </w:pPr>
    </w:p>
    <w:p w:rsidR="009907D5" w:rsidRPr="00A713FE" w:rsidRDefault="00A72C70" w:rsidP="00A72C70">
      <w:pPr>
        <w:pStyle w:val="Level1"/>
        <w:keepNext/>
        <w:keepLines/>
        <w:widowControl/>
        <w:tabs>
          <w:tab w:val="left" w:pos="-1440"/>
          <w:tab w:val="left" w:pos="-720"/>
        </w:tabs>
        <w:ind w:hanging="360"/>
        <w:jc w:val="left"/>
      </w:pPr>
      <w:r>
        <w:t>●</w:t>
      </w:r>
      <w:r>
        <w:tab/>
      </w:r>
      <w:r w:rsidR="00830E8D">
        <w:t xml:space="preserve">Increased numbers of units and different mix reporting and monitoring methodology.  Overall the number of ARP affected respondents increased from 2009 to 2012. Additionally the number of CEMs, COMs, etc. has changed since the </w:t>
      </w:r>
      <w:r w:rsidR="00B315F5">
        <w:t>previous iteration of this ICR.</w:t>
      </w:r>
    </w:p>
    <w:p w:rsidR="009907D5" w:rsidRDefault="009907D5" w:rsidP="00AB4259">
      <w:pPr>
        <w:keepNext/>
        <w:keepLines/>
        <w:widowControl/>
        <w:numPr>
          <w:ilvl w:val="12"/>
          <w:numId w:val="0"/>
        </w:numPr>
        <w:tabs>
          <w:tab w:val="left" w:pos="-1440"/>
          <w:tab w:val="left" w:pos="-720"/>
        </w:tabs>
        <w:rPr>
          <w:sz w:val="24"/>
          <w:szCs w:val="24"/>
        </w:rPr>
      </w:pPr>
    </w:p>
    <w:p w:rsidR="009907D5" w:rsidRDefault="00A72C70" w:rsidP="00A72C70">
      <w:pPr>
        <w:pStyle w:val="Level1"/>
        <w:widowControl/>
        <w:tabs>
          <w:tab w:val="left" w:pos="-1440"/>
          <w:tab w:val="left" w:pos="-720"/>
        </w:tabs>
        <w:ind w:hanging="360"/>
        <w:jc w:val="left"/>
        <w:rPr>
          <w:rFonts w:ascii="TimesNewRoman,Bold" w:hAnsi="TimesNewRoman,Bold" w:cs="TimesNewRoman,Bold"/>
          <w:b/>
          <w:bCs/>
        </w:rPr>
      </w:pPr>
      <w:r>
        <w:t>●</w:t>
      </w:r>
      <w:r>
        <w:tab/>
      </w:r>
      <w:r w:rsidR="00B315F5">
        <w:t xml:space="preserve">Incorporation of the Protocol Gas Verification Program and Air Emissions Protocol Testing Body ICR requirements from the </w:t>
      </w:r>
      <w:r w:rsidR="00B315F5" w:rsidRPr="004F5049">
        <w:rPr>
          <w:rFonts w:ascii="TimesNewRoman,Bold" w:hAnsi="TimesNewRoman,Bold" w:cs="TimesNewRoman,Bold"/>
          <w:bCs/>
        </w:rPr>
        <w:t>EPA ICR Number 2203.04, OMB Control Number 2060-0626</w:t>
      </w:r>
      <w:r w:rsidR="00B315F5">
        <w:rPr>
          <w:rFonts w:ascii="TimesNewRoman,Bold" w:hAnsi="TimesNewRoman,Bold" w:cs="TimesNewRoman,Bold"/>
          <w:b/>
          <w:bCs/>
        </w:rPr>
        <w:t xml:space="preserve">.  </w:t>
      </w:r>
    </w:p>
    <w:p w:rsidR="00B315F5" w:rsidRDefault="00B315F5" w:rsidP="00A72C70">
      <w:pPr>
        <w:pStyle w:val="Level1"/>
        <w:widowControl/>
        <w:tabs>
          <w:tab w:val="left" w:pos="-1440"/>
          <w:tab w:val="left" w:pos="-720"/>
        </w:tabs>
        <w:ind w:hanging="360"/>
        <w:jc w:val="left"/>
        <w:rPr>
          <w:rFonts w:ascii="TimesNewRoman,Bold" w:hAnsi="TimesNewRoman,Bold" w:cs="TimesNewRoman,Bold"/>
          <w:b/>
          <w:bCs/>
        </w:rPr>
      </w:pPr>
    </w:p>
    <w:p w:rsidR="00B315F5" w:rsidRDefault="00B315F5" w:rsidP="00B315F5">
      <w:pPr>
        <w:pStyle w:val="Level1"/>
        <w:widowControl/>
        <w:tabs>
          <w:tab w:val="left" w:pos="-1440"/>
          <w:tab w:val="left" w:pos="-720"/>
        </w:tabs>
        <w:ind w:hanging="360"/>
        <w:jc w:val="left"/>
      </w:pPr>
      <w:r>
        <w:t>●</w:t>
      </w:r>
      <w:r>
        <w:tab/>
        <w:t xml:space="preserve">Conclusion of the Conservation and Renewable Energy Allowances program. </w:t>
      </w:r>
    </w:p>
    <w:p w:rsidR="00B315F5" w:rsidRDefault="00B315F5" w:rsidP="004F5049">
      <w:pPr>
        <w:pStyle w:val="Level1"/>
        <w:widowControl/>
        <w:tabs>
          <w:tab w:val="left" w:pos="-1440"/>
          <w:tab w:val="left" w:pos="-720"/>
        </w:tabs>
        <w:ind w:left="360"/>
        <w:jc w:val="left"/>
      </w:pPr>
    </w:p>
    <w:p w:rsidR="00B315F5" w:rsidRDefault="00B315F5" w:rsidP="004F5049">
      <w:pPr>
        <w:pStyle w:val="Level1"/>
        <w:widowControl/>
        <w:tabs>
          <w:tab w:val="left" w:pos="-1440"/>
          <w:tab w:val="left" w:pos="-720"/>
        </w:tabs>
        <w:ind w:left="360"/>
        <w:jc w:val="left"/>
        <w:rPr>
          <w:rFonts w:ascii="TimesNewRoman,Bold" w:hAnsi="TimesNewRoman,Bold" w:cs="TimesNewRoman,Bold"/>
          <w:b/>
          <w:bCs/>
        </w:rPr>
      </w:pPr>
      <w:r>
        <w:t>●</w:t>
      </w:r>
      <w:r>
        <w:tab/>
        <w:t>Reduction is the number of expected Opt-in Units</w:t>
      </w:r>
    </w:p>
    <w:p w:rsidR="00B315F5" w:rsidRDefault="00B315F5" w:rsidP="00A72C70">
      <w:pPr>
        <w:pStyle w:val="Level1"/>
        <w:widowControl/>
        <w:tabs>
          <w:tab w:val="left" w:pos="-1440"/>
          <w:tab w:val="left" w:pos="-720"/>
        </w:tabs>
        <w:ind w:hanging="360"/>
        <w:jc w:val="left"/>
        <w:rPr>
          <w:rFonts w:ascii="TimesNewRoman,Bold" w:hAnsi="TimesNewRoman,Bold" w:cs="TimesNewRoman,Bold"/>
          <w:b/>
          <w:bCs/>
        </w:rPr>
      </w:pPr>
    </w:p>
    <w:p w:rsidR="00B315F5" w:rsidRPr="00A713FE" w:rsidRDefault="00B315F5" w:rsidP="00A72C70">
      <w:pPr>
        <w:pStyle w:val="Level1"/>
        <w:widowControl/>
        <w:tabs>
          <w:tab w:val="left" w:pos="-1440"/>
          <w:tab w:val="left" w:pos="-720"/>
        </w:tabs>
        <w:ind w:hanging="360"/>
        <w:jc w:val="left"/>
      </w:pPr>
    </w:p>
    <w:p w:rsidR="009907D5" w:rsidRDefault="009907D5" w:rsidP="00A72C70">
      <w:pPr>
        <w:widowControl/>
        <w:numPr>
          <w:ilvl w:val="12"/>
          <w:numId w:val="0"/>
        </w:numPr>
        <w:tabs>
          <w:tab w:val="left" w:pos="-1440"/>
          <w:tab w:val="left" w:pos="-720"/>
        </w:tabs>
        <w:ind w:left="360"/>
        <w:rPr>
          <w:sz w:val="24"/>
          <w:szCs w:val="24"/>
        </w:rPr>
      </w:pPr>
      <w:r>
        <w:rPr>
          <w:b/>
          <w:bCs/>
          <w:sz w:val="24"/>
          <w:szCs w:val="24"/>
        </w:rPr>
        <w:t>6.10</w:t>
      </w:r>
      <w:r w:rsidR="00A72C70">
        <w:rPr>
          <w:b/>
          <w:bCs/>
          <w:sz w:val="24"/>
          <w:szCs w:val="24"/>
        </w:rPr>
        <w:t xml:space="preserve">  </w:t>
      </w:r>
      <w:r>
        <w:rPr>
          <w:b/>
          <w:bCs/>
          <w:sz w:val="24"/>
          <w:szCs w:val="24"/>
        </w:rPr>
        <w:t>Burden Statement</w:t>
      </w:r>
    </w:p>
    <w:p w:rsidR="009907D5" w:rsidRDefault="009907D5" w:rsidP="00AB4259">
      <w:pPr>
        <w:widowControl/>
        <w:numPr>
          <w:ilvl w:val="12"/>
          <w:numId w:val="0"/>
        </w:numPr>
        <w:tabs>
          <w:tab w:val="left" w:pos="-1440"/>
          <w:tab w:val="left" w:pos="-720"/>
        </w:tabs>
        <w:rPr>
          <w:sz w:val="24"/>
          <w:szCs w:val="24"/>
        </w:rPr>
      </w:pPr>
    </w:p>
    <w:p w:rsidR="009907D5" w:rsidRDefault="009907D5" w:rsidP="00AB4259">
      <w:pPr>
        <w:widowControl/>
        <w:numPr>
          <w:ilvl w:val="12"/>
          <w:numId w:val="0"/>
        </w:numPr>
        <w:tabs>
          <w:tab w:val="left" w:pos="-1440"/>
          <w:tab w:val="left" w:pos="-720"/>
        </w:tabs>
        <w:rPr>
          <w:sz w:val="24"/>
          <w:szCs w:val="24"/>
        </w:rPr>
      </w:pPr>
      <w:r>
        <w:rPr>
          <w:i/>
          <w:iCs/>
          <w:sz w:val="24"/>
          <w:szCs w:val="24"/>
        </w:rPr>
        <w:tab/>
      </w:r>
      <w:r>
        <w:rPr>
          <w:sz w:val="24"/>
          <w:szCs w:val="24"/>
        </w:rPr>
        <w:t xml:space="preserve">The respondent reporting burden for this collection of information is estimated to be </w:t>
      </w:r>
      <w:r w:rsidR="00037255">
        <w:rPr>
          <w:sz w:val="24"/>
          <w:szCs w:val="24"/>
        </w:rPr>
        <w:t>2,</w:t>
      </w:r>
      <w:r w:rsidR="00DD7EE8">
        <w:rPr>
          <w:sz w:val="24"/>
          <w:szCs w:val="24"/>
        </w:rPr>
        <w:t>123,405</w:t>
      </w:r>
      <w:r w:rsidR="00FD1527" w:rsidRPr="00712E0E">
        <w:rPr>
          <w:sz w:val="24"/>
          <w:szCs w:val="24"/>
        </w:rPr>
        <w:t xml:space="preserve"> </w:t>
      </w:r>
      <w:r w:rsidRPr="00712E0E">
        <w:rPr>
          <w:sz w:val="24"/>
          <w:szCs w:val="24"/>
        </w:rPr>
        <w:t>hours each year for the years 201</w:t>
      </w:r>
      <w:r w:rsidR="00037255">
        <w:rPr>
          <w:sz w:val="24"/>
          <w:szCs w:val="24"/>
        </w:rPr>
        <w:t>3</w:t>
      </w:r>
      <w:r w:rsidR="00DD0BDD">
        <w:rPr>
          <w:sz w:val="24"/>
          <w:szCs w:val="24"/>
        </w:rPr>
        <w:t xml:space="preserve"> </w:t>
      </w:r>
      <w:r w:rsidRPr="00712E0E">
        <w:rPr>
          <w:sz w:val="24"/>
          <w:szCs w:val="24"/>
        </w:rPr>
        <w:t>through 201</w:t>
      </w:r>
      <w:r w:rsidR="00037255">
        <w:rPr>
          <w:sz w:val="24"/>
          <w:szCs w:val="24"/>
        </w:rPr>
        <w:t>5</w:t>
      </w:r>
      <w:r w:rsidR="00CE3ABF">
        <w:rPr>
          <w:sz w:val="24"/>
          <w:szCs w:val="24"/>
        </w:rPr>
        <w:t xml:space="preserve">. </w:t>
      </w:r>
      <w:r w:rsidRPr="00712E0E">
        <w:rPr>
          <w:sz w:val="24"/>
          <w:szCs w:val="24"/>
        </w:rPr>
        <w:t xml:space="preserve">The burden to EPA is estimated to be </w:t>
      </w:r>
      <w:r w:rsidR="00DD7EE8">
        <w:rPr>
          <w:sz w:val="24"/>
          <w:szCs w:val="24"/>
        </w:rPr>
        <w:t>18,303</w:t>
      </w:r>
      <w:r w:rsidR="00830E8D" w:rsidRPr="00FD1527">
        <w:rPr>
          <w:sz w:val="24"/>
          <w:szCs w:val="24"/>
        </w:rPr>
        <w:t xml:space="preserve"> </w:t>
      </w:r>
      <w:r w:rsidRPr="00FD1527">
        <w:rPr>
          <w:sz w:val="24"/>
          <w:szCs w:val="24"/>
        </w:rPr>
        <w:t>hours in</w:t>
      </w:r>
      <w:r>
        <w:rPr>
          <w:sz w:val="24"/>
          <w:szCs w:val="24"/>
        </w:rPr>
        <w:t xml:space="preserve"> each year for the years 201</w:t>
      </w:r>
      <w:r w:rsidR="00037255">
        <w:rPr>
          <w:sz w:val="24"/>
          <w:szCs w:val="24"/>
        </w:rPr>
        <w:t>3</w:t>
      </w:r>
      <w:r>
        <w:rPr>
          <w:sz w:val="24"/>
          <w:szCs w:val="24"/>
        </w:rPr>
        <w:t xml:space="preserve"> through 201</w:t>
      </w:r>
      <w:r w:rsidR="00037255">
        <w:rPr>
          <w:sz w:val="24"/>
          <w:szCs w:val="24"/>
        </w:rPr>
        <w:t>5</w:t>
      </w:r>
      <w:r>
        <w:rPr>
          <w:sz w:val="24"/>
          <w:szCs w:val="24"/>
        </w:rPr>
        <w:t>.</w:t>
      </w:r>
    </w:p>
    <w:p w:rsidR="009907D5" w:rsidRDefault="009907D5" w:rsidP="00AB4259">
      <w:pPr>
        <w:widowControl/>
        <w:numPr>
          <w:ilvl w:val="12"/>
          <w:numId w:val="0"/>
        </w:numPr>
        <w:tabs>
          <w:tab w:val="left" w:pos="-1440"/>
          <w:tab w:val="left" w:pos="-720"/>
        </w:tabs>
        <w:rPr>
          <w:sz w:val="24"/>
          <w:szCs w:val="24"/>
        </w:rPr>
      </w:pPr>
    </w:p>
    <w:p w:rsidR="009907D5" w:rsidRDefault="00A72C70" w:rsidP="00E1074A">
      <w:pPr>
        <w:widowControl/>
        <w:rPr>
          <w:color w:val="000000"/>
          <w:sz w:val="24"/>
          <w:szCs w:val="24"/>
        </w:rPr>
      </w:pPr>
      <w:r>
        <w:rPr>
          <w:sz w:val="24"/>
          <w:szCs w:val="24"/>
        </w:rPr>
        <w:tab/>
      </w:r>
      <w:r w:rsidR="009907D5">
        <w:rPr>
          <w:sz w:val="24"/>
          <w:szCs w:val="24"/>
        </w:rPr>
        <w:t xml:space="preserve">The annual public reporting and recordkeeping burden for this collection of information is estimated to average </w:t>
      </w:r>
      <w:r w:rsidR="00DF4498">
        <w:rPr>
          <w:sz w:val="24"/>
          <w:szCs w:val="24"/>
        </w:rPr>
        <w:t>83</w:t>
      </w:r>
      <w:r w:rsidR="00D90847">
        <w:rPr>
          <w:sz w:val="24"/>
          <w:szCs w:val="24"/>
        </w:rPr>
        <w:t xml:space="preserve"> </w:t>
      </w:r>
      <w:r w:rsidR="009907D5">
        <w:rPr>
          <w:color w:val="000000"/>
          <w:sz w:val="24"/>
          <w:szCs w:val="24"/>
        </w:rPr>
        <w:t>hours per response</w:t>
      </w:r>
      <w:r w:rsidR="00CE3ABF">
        <w:rPr>
          <w:color w:val="000000"/>
          <w:sz w:val="24"/>
          <w:szCs w:val="24"/>
        </w:rPr>
        <w:t xml:space="preserve">. </w:t>
      </w:r>
      <w:r w:rsidR="009907D5">
        <w:rPr>
          <w:color w:val="000000"/>
          <w:sz w:val="24"/>
          <w:szCs w:val="24"/>
        </w:rPr>
        <w:t>Burden means the total time, effort, or financial resources expended by persons to generate, maintain, retain, or disclose or provide information to or for a Federal agency</w:t>
      </w:r>
      <w:r w:rsidR="00CE3ABF">
        <w:rPr>
          <w:color w:val="000000"/>
          <w:sz w:val="24"/>
          <w:szCs w:val="24"/>
        </w:rPr>
        <w:t xml:space="preserve">. </w:t>
      </w:r>
      <w:r w:rsidR="009907D5">
        <w:rPr>
          <w:color w:val="000000"/>
          <w:sz w:val="24"/>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562093">
        <w:rPr>
          <w:color w:val="000000"/>
          <w:sz w:val="24"/>
          <w:szCs w:val="24"/>
        </w:rPr>
        <w:t xml:space="preserve">.  </w:t>
      </w:r>
      <w:r w:rsidR="009907D5">
        <w:rPr>
          <w:color w:val="000000"/>
          <w:sz w:val="24"/>
          <w:szCs w:val="24"/>
        </w:rPr>
        <w:t>An agency may not conduct or sponsor, and a person is not required to respond to, a collection of information unless it displays a currently valid OMB control number</w:t>
      </w:r>
      <w:r w:rsidR="00CE3ABF">
        <w:rPr>
          <w:color w:val="000000"/>
          <w:sz w:val="24"/>
          <w:szCs w:val="24"/>
        </w:rPr>
        <w:t xml:space="preserve">. </w:t>
      </w:r>
      <w:r w:rsidR="009907D5">
        <w:rPr>
          <w:color w:val="000000"/>
          <w:sz w:val="24"/>
          <w:szCs w:val="24"/>
        </w:rPr>
        <w:t>The OMB control numbers for EPA</w:t>
      </w:r>
      <w:r w:rsidR="00A90381">
        <w:rPr>
          <w:color w:val="000000"/>
          <w:sz w:val="24"/>
          <w:szCs w:val="24"/>
        </w:rPr>
        <w:t>'</w:t>
      </w:r>
      <w:r w:rsidR="009907D5">
        <w:rPr>
          <w:color w:val="000000"/>
          <w:sz w:val="24"/>
          <w:szCs w:val="24"/>
        </w:rPr>
        <w:t>s regulations are listed in 40 CFR part 9 and 48 CFR chapter 15</w:t>
      </w:r>
      <w:r w:rsidR="00562093">
        <w:rPr>
          <w:color w:val="000000"/>
          <w:sz w:val="24"/>
          <w:szCs w:val="24"/>
        </w:rPr>
        <w:t xml:space="preserve">.  </w:t>
      </w:r>
    </w:p>
    <w:p w:rsidR="009907D5" w:rsidRDefault="009907D5" w:rsidP="00E1074A">
      <w:pPr>
        <w:widowControl/>
        <w:rPr>
          <w:color w:val="000000"/>
          <w:sz w:val="24"/>
          <w:szCs w:val="24"/>
        </w:rPr>
      </w:pPr>
    </w:p>
    <w:p w:rsidR="009907D5" w:rsidRDefault="009907D5" w:rsidP="00E1074A">
      <w:pPr>
        <w:widowControl/>
        <w:numPr>
          <w:ilvl w:val="12"/>
          <w:numId w:val="0"/>
        </w:numPr>
        <w:rPr>
          <w:sz w:val="24"/>
          <w:szCs w:val="24"/>
        </w:rPr>
      </w:pPr>
      <w:r>
        <w:rPr>
          <w:color w:val="000000"/>
          <w:sz w:val="24"/>
          <w:szCs w:val="24"/>
        </w:rPr>
        <w:tab/>
      </w:r>
      <w:r>
        <w:rPr>
          <w:color w:val="0F0F0F"/>
          <w:sz w:val="24"/>
          <w:szCs w:val="24"/>
        </w:rPr>
        <w:t>To comment on the Agency</w:t>
      </w:r>
      <w:r w:rsidR="00A90381">
        <w:rPr>
          <w:color w:val="0F0F0F"/>
          <w:sz w:val="24"/>
          <w:szCs w:val="24"/>
        </w:rPr>
        <w:t>'</w:t>
      </w:r>
      <w:r>
        <w:rPr>
          <w:color w:val="0F0F0F"/>
          <w:sz w:val="24"/>
          <w:szCs w:val="24"/>
        </w:rPr>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Pr>
          <w:sz w:val="24"/>
          <w:szCs w:val="24"/>
        </w:rPr>
        <w:t>EPA-HQ-OAR-2009-</w:t>
      </w:r>
      <w:r>
        <w:rPr>
          <w:sz w:val="24"/>
          <w:szCs w:val="24"/>
        </w:rPr>
        <w:lastRenderedPageBreak/>
        <w:t>0022</w:t>
      </w:r>
      <w:r>
        <w:rPr>
          <w:color w:val="0F0F0F"/>
          <w:sz w:val="24"/>
          <w:szCs w:val="24"/>
        </w:rPr>
        <w:t xml:space="preserve">, which is available for online viewing at </w:t>
      </w:r>
      <w:hyperlink r:id="rId22" w:history="1">
        <w:r w:rsidRPr="00A72C70">
          <w:rPr>
            <w:rStyle w:val="Hyperlink"/>
            <w:sz w:val="24"/>
            <w:szCs w:val="24"/>
          </w:rPr>
          <w:t>www.regulations.gov</w:t>
        </w:r>
      </w:hyperlink>
      <w:r>
        <w:rPr>
          <w:color w:val="0F0F0F"/>
          <w:sz w:val="24"/>
          <w:szCs w:val="24"/>
        </w:rPr>
        <w:t xml:space="preserve">, or in person viewing at the Air and Radiation docket in the EPA Docket Center (EPA/DC), EPA West, Room </w:t>
      </w:r>
      <w:r w:rsidR="00DA534F">
        <w:rPr>
          <w:color w:val="0F0F0F"/>
          <w:sz w:val="24"/>
          <w:szCs w:val="24"/>
        </w:rPr>
        <w:t>3334</w:t>
      </w:r>
      <w:r>
        <w:rPr>
          <w:color w:val="0F0F0F"/>
          <w:sz w:val="24"/>
          <w:szCs w:val="24"/>
        </w:rPr>
        <w:t>, 1301 Constitution Avenue, NW, Washington, D.C</w:t>
      </w:r>
      <w:r w:rsidR="00562093">
        <w:rPr>
          <w:color w:val="0F0F0F"/>
          <w:sz w:val="24"/>
          <w:szCs w:val="24"/>
        </w:rPr>
        <w:t xml:space="preserve">.  </w:t>
      </w:r>
      <w:r>
        <w:rPr>
          <w:color w:val="0F0F0F"/>
          <w:sz w:val="24"/>
          <w:szCs w:val="24"/>
        </w:rPr>
        <w:t>The EPA Docket Center Public Reading Room is open from 8:30 a.m</w:t>
      </w:r>
      <w:r w:rsidR="00562093">
        <w:rPr>
          <w:color w:val="0F0F0F"/>
          <w:sz w:val="24"/>
          <w:szCs w:val="24"/>
        </w:rPr>
        <w:t xml:space="preserve">. </w:t>
      </w:r>
      <w:r>
        <w:rPr>
          <w:color w:val="0F0F0F"/>
          <w:sz w:val="24"/>
          <w:szCs w:val="24"/>
        </w:rPr>
        <w:t>to 4:30 p.m., Monday through Friday, excluding legal holidays</w:t>
      </w:r>
      <w:r w:rsidR="00CE3ABF">
        <w:rPr>
          <w:color w:val="0F0F0F"/>
          <w:sz w:val="24"/>
          <w:szCs w:val="24"/>
        </w:rPr>
        <w:t xml:space="preserve">. </w:t>
      </w:r>
      <w:r>
        <w:rPr>
          <w:color w:val="0F0F0F"/>
          <w:sz w:val="24"/>
          <w:szCs w:val="24"/>
        </w:rPr>
        <w:t>The telephone number for the Reading Room is (202) 566-1744, and the telephone number for the Air and Radiation docket is (202) 566-1742</w:t>
      </w:r>
      <w:r w:rsidR="00CE3ABF">
        <w:rPr>
          <w:color w:val="0F0F0F"/>
          <w:sz w:val="24"/>
          <w:szCs w:val="24"/>
        </w:rPr>
        <w:t xml:space="preserve">. </w:t>
      </w:r>
      <w:r>
        <w:rPr>
          <w:color w:val="0F0F0F"/>
          <w:sz w:val="24"/>
          <w:szCs w:val="24"/>
        </w:rPr>
        <w:t xml:space="preserve">An electronic version of the public docket is available at </w:t>
      </w:r>
      <w:hyperlink r:id="rId23" w:history="1">
        <w:r w:rsidRPr="00A72C70">
          <w:rPr>
            <w:rStyle w:val="Hyperlink"/>
            <w:sz w:val="24"/>
            <w:szCs w:val="24"/>
          </w:rPr>
          <w:t>www.regulations.gov</w:t>
        </w:r>
      </w:hyperlink>
      <w:r w:rsidR="00CE3ABF">
        <w:rPr>
          <w:color w:val="0F0F0F"/>
          <w:sz w:val="24"/>
          <w:szCs w:val="24"/>
        </w:rPr>
        <w:t xml:space="preserve">. </w:t>
      </w:r>
      <w:r>
        <w:rPr>
          <w:color w:val="0F0F0F"/>
          <w:sz w:val="24"/>
          <w:szCs w:val="24"/>
        </w:rPr>
        <w:t>This site can be used to submit or view public comments, access the index listing of the contents of the public docket, and to access those documents in the public docket that are available electronically</w:t>
      </w:r>
      <w:r w:rsidR="00CE3ABF">
        <w:rPr>
          <w:color w:val="0F0F0F"/>
          <w:sz w:val="24"/>
          <w:szCs w:val="24"/>
        </w:rPr>
        <w:t xml:space="preserve">. </w:t>
      </w:r>
      <w:r>
        <w:rPr>
          <w:color w:val="0F0F0F"/>
          <w:sz w:val="24"/>
          <w:szCs w:val="24"/>
        </w:rPr>
        <w:t xml:space="preserve">When in the system, select </w:t>
      </w:r>
      <w:r w:rsidR="00A90381">
        <w:rPr>
          <w:color w:val="0F0F0F"/>
          <w:sz w:val="24"/>
          <w:szCs w:val="24"/>
        </w:rPr>
        <w:t>"</w:t>
      </w:r>
      <w:r>
        <w:rPr>
          <w:color w:val="0F0F0F"/>
          <w:sz w:val="24"/>
          <w:szCs w:val="24"/>
        </w:rPr>
        <w:t>search,</w:t>
      </w:r>
      <w:r w:rsidR="00A90381">
        <w:rPr>
          <w:color w:val="0F0F0F"/>
          <w:sz w:val="24"/>
          <w:szCs w:val="24"/>
        </w:rPr>
        <w:t>"</w:t>
      </w:r>
      <w:r>
        <w:rPr>
          <w:color w:val="0F0F0F"/>
          <w:sz w:val="24"/>
          <w:szCs w:val="24"/>
        </w:rPr>
        <w:t xml:space="preserve"> then key in the Docket ID Number identified above</w:t>
      </w:r>
      <w:r w:rsidR="00CE3ABF">
        <w:rPr>
          <w:color w:val="0F0F0F"/>
          <w:sz w:val="24"/>
          <w:szCs w:val="24"/>
        </w:rPr>
        <w:t xml:space="preserve">. </w:t>
      </w:r>
      <w:r>
        <w:rPr>
          <w:color w:val="0F0F0F"/>
          <w:sz w:val="24"/>
          <w:szCs w:val="24"/>
        </w:rPr>
        <w:t xml:space="preserve">Also, you can send comments to the Office of Information and Regulatory Affairs, Office of Management and Budget, </w:t>
      </w:r>
      <w:smartTag w:uri="urn:schemas-microsoft-com:office:smarttags" w:element="Street">
        <w:r>
          <w:rPr>
            <w:color w:val="0F0F0F"/>
            <w:sz w:val="24"/>
            <w:szCs w:val="24"/>
          </w:rPr>
          <w:t>725 17th Street, NW</w:t>
        </w:r>
      </w:smartTag>
      <w:r>
        <w:rPr>
          <w:color w:val="0F0F0F"/>
          <w:sz w:val="24"/>
          <w:szCs w:val="24"/>
        </w:rPr>
        <w:t xml:space="preserve">, </w:t>
      </w:r>
      <w:smartTag w:uri="urn:schemas-microsoft-com:office:smarttags" w:element="City">
        <w:r>
          <w:rPr>
            <w:color w:val="0F0F0F"/>
            <w:sz w:val="24"/>
            <w:szCs w:val="24"/>
          </w:rPr>
          <w:t>Washington</w:t>
        </w:r>
      </w:smartTag>
      <w:r>
        <w:rPr>
          <w:color w:val="0F0F0F"/>
          <w:sz w:val="24"/>
          <w:szCs w:val="24"/>
        </w:rPr>
        <w:t>, D.C</w:t>
      </w:r>
      <w:r w:rsidR="00CE3ABF">
        <w:rPr>
          <w:color w:val="0F0F0F"/>
          <w:sz w:val="24"/>
          <w:szCs w:val="24"/>
        </w:rPr>
        <w:t xml:space="preserve">. </w:t>
      </w:r>
      <w:r>
        <w:rPr>
          <w:color w:val="0F0F0F"/>
          <w:sz w:val="24"/>
          <w:szCs w:val="24"/>
        </w:rPr>
        <w:t>20503, Attention</w:t>
      </w:r>
      <w:r w:rsidR="00562093">
        <w:rPr>
          <w:color w:val="0F0F0F"/>
          <w:sz w:val="24"/>
          <w:szCs w:val="24"/>
        </w:rPr>
        <w:t xml:space="preserve">:  </w:t>
      </w:r>
      <w:r>
        <w:rPr>
          <w:color w:val="0F0F0F"/>
          <w:sz w:val="24"/>
          <w:szCs w:val="24"/>
        </w:rPr>
        <w:t>Desk Officer for EPA</w:t>
      </w:r>
      <w:r w:rsidR="00CE3ABF">
        <w:rPr>
          <w:color w:val="0F0F0F"/>
          <w:sz w:val="24"/>
          <w:szCs w:val="24"/>
        </w:rPr>
        <w:t xml:space="preserve">. </w:t>
      </w:r>
      <w:r>
        <w:rPr>
          <w:color w:val="0F0F0F"/>
          <w:sz w:val="24"/>
          <w:szCs w:val="24"/>
        </w:rPr>
        <w:t>Please include the EPA Docket ID</w:t>
      </w:r>
      <w:r>
        <w:rPr>
          <w:rFonts w:ascii="Courier New" w:hAnsi="Courier New" w:cs="Courier New"/>
          <w:color w:val="0F0F0F"/>
          <w:sz w:val="24"/>
          <w:szCs w:val="24"/>
        </w:rPr>
        <w:t xml:space="preserve"> </w:t>
      </w:r>
      <w:r>
        <w:rPr>
          <w:color w:val="0F0F0F"/>
          <w:sz w:val="24"/>
          <w:szCs w:val="24"/>
        </w:rPr>
        <w:t xml:space="preserve">Number </w:t>
      </w:r>
      <w:r>
        <w:rPr>
          <w:sz w:val="24"/>
          <w:szCs w:val="24"/>
        </w:rPr>
        <w:t>EPA-HQ-OAR-2009-0022</w:t>
      </w:r>
      <w:r>
        <w:rPr>
          <w:color w:val="0F0F0F"/>
          <w:sz w:val="24"/>
          <w:szCs w:val="24"/>
        </w:rPr>
        <w:t xml:space="preserve"> and OMB Control Number 2060-0258 any correspondence.</w:t>
      </w:r>
    </w:p>
    <w:p w:rsidR="009907D5" w:rsidRPr="00612A6E" w:rsidRDefault="009907D5" w:rsidP="003E6CAB">
      <w:pPr>
        <w:keepNext/>
        <w:widowControl/>
        <w:numPr>
          <w:ilvl w:val="12"/>
          <w:numId w:val="0"/>
        </w:numPr>
        <w:jc w:val="center"/>
        <w:rPr>
          <w:b/>
          <w:sz w:val="24"/>
          <w:szCs w:val="24"/>
        </w:rPr>
      </w:pPr>
      <w:r w:rsidRPr="00612A6E">
        <w:rPr>
          <w:b/>
          <w:sz w:val="24"/>
          <w:szCs w:val="24"/>
        </w:rPr>
        <w:t>EXHIBIT 1</w:t>
      </w:r>
      <w:r w:rsidR="00DA6A47">
        <w:rPr>
          <w:b/>
          <w:sz w:val="24"/>
          <w:szCs w:val="24"/>
        </w:rPr>
        <w:t>4</w:t>
      </w:r>
    </w:p>
    <w:p w:rsidR="00FD01D2" w:rsidRDefault="009907D5" w:rsidP="003E6CAB">
      <w:pPr>
        <w:keepNext/>
        <w:widowControl/>
        <w:numPr>
          <w:ilvl w:val="12"/>
          <w:numId w:val="0"/>
        </w:numPr>
        <w:tabs>
          <w:tab w:val="left" w:pos="-1440"/>
          <w:tab w:val="left" w:pos="-720"/>
        </w:tabs>
        <w:jc w:val="center"/>
        <w:rPr>
          <w:b/>
          <w:sz w:val="24"/>
          <w:szCs w:val="24"/>
        </w:rPr>
      </w:pPr>
      <w:r w:rsidRPr="00612A6E">
        <w:rPr>
          <w:b/>
          <w:sz w:val="24"/>
          <w:szCs w:val="24"/>
        </w:rPr>
        <w:t xml:space="preserve">AGGREGATE ANNUAL RESPONDENT BURDEN AND </w:t>
      </w:r>
    </w:p>
    <w:p w:rsidR="009907D5" w:rsidRPr="00612A6E" w:rsidRDefault="009907D5" w:rsidP="003E6CAB">
      <w:pPr>
        <w:keepNext/>
        <w:widowControl/>
        <w:numPr>
          <w:ilvl w:val="12"/>
          <w:numId w:val="0"/>
        </w:numPr>
        <w:tabs>
          <w:tab w:val="left" w:pos="-1440"/>
          <w:tab w:val="left" w:pos="-720"/>
        </w:tabs>
        <w:jc w:val="center"/>
        <w:rPr>
          <w:b/>
          <w:sz w:val="24"/>
          <w:szCs w:val="24"/>
        </w:rPr>
      </w:pPr>
      <w:r w:rsidRPr="00612A6E">
        <w:rPr>
          <w:b/>
          <w:sz w:val="24"/>
          <w:szCs w:val="24"/>
        </w:rPr>
        <w:t>COST OF COLLECTIONS</w:t>
      </w:r>
    </w:p>
    <w:p w:rsidR="00612A6E" w:rsidRDefault="00612A6E" w:rsidP="003E6CAB">
      <w:pPr>
        <w:keepNext/>
        <w:widowControl/>
        <w:numPr>
          <w:ilvl w:val="12"/>
          <w:numId w:val="0"/>
        </w:numPr>
        <w:tabs>
          <w:tab w:val="left" w:pos="-1440"/>
          <w:tab w:val="left" w:pos="-720"/>
        </w:tabs>
        <w:jc w:val="center"/>
        <w:rPr>
          <w:sz w:val="24"/>
          <w:szCs w:val="24"/>
        </w:rPr>
      </w:pPr>
    </w:p>
    <w:tbl>
      <w:tblPr>
        <w:tblW w:w="9360" w:type="dxa"/>
        <w:jc w:val="center"/>
        <w:tblLayout w:type="fixed"/>
        <w:tblCellMar>
          <w:top w:w="72" w:type="dxa"/>
          <w:left w:w="72" w:type="dxa"/>
          <w:bottom w:w="72" w:type="dxa"/>
          <w:right w:w="72" w:type="dxa"/>
        </w:tblCellMar>
        <w:tblLook w:val="0000"/>
      </w:tblPr>
      <w:tblGrid>
        <w:gridCol w:w="4157"/>
        <w:gridCol w:w="2693"/>
        <w:gridCol w:w="2510"/>
      </w:tblGrid>
      <w:tr w:rsidR="00FD01D2" w:rsidRPr="00FD01D2" w:rsidTr="00FD01D2">
        <w:trPr>
          <w:cantSplit/>
          <w:jc w:val="center"/>
        </w:trPr>
        <w:tc>
          <w:tcPr>
            <w:tcW w:w="4157" w:type="dxa"/>
            <w:tcBorders>
              <w:top w:val="double" w:sz="6" w:space="0" w:color="auto"/>
              <w:left w:val="double" w:sz="6" w:space="0" w:color="auto"/>
              <w:bottom w:val="single" w:sz="6" w:space="0" w:color="auto"/>
              <w:right w:val="nil"/>
            </w:tcBorders>
            <w:shd w:val="pct10" w:color="auto" w:fill="auto"/>
          </w:tcPr>
          <w:p w:rsidR="00FD01D2" w:rsidRPr="00FD01D2" w:rsidRDefault="00FD01D2" w:rsidP="003E6CAB">
            <w:pPr>
              <w:keepNext/>
              <w:widowControl/>
              <w:numPr>
                <w:ilvl w:val="12"/>
                <w:numId w:val="0"/>
              </w:numPr>
              <w:jc w:val="center"/>
              <w:rPr>
                <w:b/>
                <w:sz w:val="22"/>
                <w:szCs w:val="24"/>
              </w:rPr>
            </w:pPr>
            <w:r w:rsidRPr="00FD01D2">
              <w:rPr>
                <w:b/>
                <w:sz w:val="22"/>
                <w:szCs w:val="24"/>
              </w:rPr>
              <w:t>Program</w:t>
            </w:r>
          </w:p>
        </w:tc>
        <w:tc>
          <w:tcPr>
            <w:tcW w:w="2693" w:type="dxa"/>
            <w:tcBorders>
              <w:top w:val="double" w:sz="6" w:space="0" w:color="auto"/>
              <w:left w:val="single" w:sz="6" w:space="0" w:color="auto"/>
              <w:bottom w:val="single" w:sz="6" w:space="0" w:color="auto"/>
              <w:right w:val="nil"/>
            </w:tcBorders>
            <w:shd w:val="pct10" w:color="auto" w:fill="auto"/>
            <w:vAlign w:val="bottom"/>
          </w:tcPr>
          <w:p w:rsidR="00FD01D2" w:rsidRPr="00FD01D2" w:rsidRDefault="00FD01D2" w:rsidP="003E6CAB">
            <w:pPr>
              <w:keepNext/>
              <w:widowControl/>
              <w:numPr>
                <w:ilvl w:val="12"/>
                <w:numId w:val="0"/>
              </w:numPr>
              <w:jc w:val="center"/>
              <w:rPr>
                <w:b/>
                <w:sz w:val="22"/>
                <w:szCs w:val="24"/>
              </w:rPr>
            </w:pPr>
            <w:r w:rsidRPr="00FD01D2">
              <w:rPr>
                <w:b/>
                <w:sz w:val="22"/>
                <w:szCs w:val="24"/>
              </w:rPr>
              <w:t>Total Burden (hours)</w:t>
            </w:r>
          </w:p>
        </w:tc>
        <w:tc>
          <w:tcPr>
            <w:tcW w:w="2510" w:type="dxa"/>
            <w:tcBorders>
              <w:top w:val="double" w:sz="6" w:space="0" w:color="auto"/>
              <w:left w:val="single" w:sz="6" w:space="0" w:color="auto"/>
              <w:bottom w:val="single" w:sz="6" w:space="0" w:color="auto"/>
              <w:right w:val="double" w:sz="6" w:space="0" w:color="auto"/>
            </w:tcBorders>
            <w:shd w:val="pct10" w:color="auto" w:fill="auto"/>
            <w:vAlign w:val="bottom"/>
          </w:tcPr>
          <w:p w:rsidR="00FD01D2" w:rsidRPr="00FD01D2" w:rsidRDefault="00FD01D2" w:rsidP="003E6CAB">
            <w:pPr>
              <w:keepNext/>
              <w:widowControl/>
              <w:numPr>
                <w:ilvl w:val="12"/>
                <w:numId w:val="0"/>
              </w:numPr>
              <w:jc w:val="center"/>
              <w:rPr>
                <w:b/>
                <w:sz w:val="22"/>
                <w:szCs w:val="24"/>
              </w:rPr>
            </w:pPr>
            <w:r w:rsidRPr="00FD01D2">
              <w:rPr>
                <w:b/>
                <w:sz w:val="22"/>
                <w:szCs w:val="24"/>
              </w:rPr>
              <w:t xml:space="preserve">Total </w:t>
            </w:r>
            <w:proofErr w:type="spellStart"/>
            <w:r w:rsidRPr="00FD01D2">
              <w:rPr>
                <w:b/>
                <w:sz w:val="22"/>
                <w:szCs w:val="24"/>
              </w:rPr>
              <w:t>Costs</w:t>
            </w:r>
            <w:r w:rsidRPr="00FD01D2">
              <w:rPr>
                <w:b/>
                <w:sz w:val="22"/>
                <w:szCs w:val="24"/>
                <w:vertAlign w:val="superscript"/>
              </w:rPr>
              <w:t>a</w:t>
            </w:r>
            <w:proofErr w:type="spellEnd"/>
          </w:p>
        </w:tc>
      </w:tr>
      <w:tr w:rsidR="0034433D" w:rsidRPr="00FD01D2" w:rsidTr="00FD01D2">
        <w:trPr>
          <w:cantSplit/>
          <w:jc w:val="center"/>
        </w:trPr>
        <w:tc>
          <w:tcPr>
            <w:tcW w:w="4157" w:type="dxa"/>
            <w:tcBorders>
              <w:top w:val="single" w:sz="6" w:space="0" w:color="auto"/>
              <w:left w:val="double" w:sz="6" w:space="0" w:color="auto"/>
              <w:bottom w:val="nil"/>
              <w:right w:val="nil"/>
            </w:tcBorders>
          </w:tcPr>
          <w:p w:rsidR="0034433D" w:rsidRPr="00FD01D2" w:rsidRDefault="0034433D" w:rsidP="003E6CAB">
            <w:pPr>
              <w:keepNext/>
              <w:widowControl/>
              <w:numPr>
                <w:ilvl w:val="12"/>
                <w:numId w:val="0"/>
              </w:numPr>
              <w:rPr>
                <w:szCs w:val="24"/>
              </w:rPr>
            </w:pPr>
            <w:r w:rsidRPr="00FD01D2">
              <w:rPr>
                <w:szCs w:val="24"/>
              </w:rPr>
              <w:t>Allowance transfers and deductions</w:t>
            </w:r>
            <w:r w:rsidR="00FD01D2">
              <w:rPr>
                <w:szCs w:val="24"/>
              </w:rPr>
              <w:t>.</w:t>
            </w:r>
          </w:p>
        </w:tc>
        <w:tc>
          <w:tcPr>
            <w:tcW w:w="2693" w:type="dxa"/>
            <w:tcBorders>
              <w:top w:val="single" w:sz="6" w:space="0" w:color="auto"/>
              <w:left w:val="single" w:sz="6" w:space="0" w:color="auto"/>
              <w:bottom w:val="nil"/>
              <w:right w:val="nil"/>
            </w:tcBorders>
            <w:vAlign w:val="bottom"/>
          </w:tcPr>
          <w:p w:rsidR="0034433D" w:rsidRPr="00FD01D2" w:rsidRDefault="00B315F5" w:rsidP="00305049">
            <w:pPr>
              <w:keepNext/>
              <w:widowControl/>
              <w:numPr>
                <w:ilvl w:val="12"/>
                <w:numId w:val="0"/>
              </w:numPr>
              <w:jc w:val="center"/>
              <w:rPr>
                <w:szCs w:val="24"/>
              </w:rPr>
            </w:pPr>
            <w:r>
              <w:rPr>
                <w:szCs w:val="24"/>
              </w:rPr>
              <w:t>5,880</w:t>
            </w:r>
          </w:p>
        </w:tc>
        <w:tc>
          <w:tcPr>
            <w:tcW w:w="2510" w:type="dxa"/>
            <w:tcBorders>
              <w:top w:val="single" w:sz="6" w:space="0" w:color="auto"/>
              <w:left w:val="single" w:sz="6" w:space="0" w:color="auto"/>
              <w:bottom w:val="nil"/>
              <w:right w:val="double" w:sz="6" w:space="0" w:color="auto"/>
            </w:tcBorders>
            <w:vAlign w:val="bottom"/>
          </w:tcPr>
          <w:p w:rsidR="0034433D" w:rsidRPr="00FD01D2" w:rsidRDefault="00305049" w:rsidP="003E6CAB">
            <w:pPr>
              <w:keepNext/>
              <w:widowControl/>
              <w:numPr>
                <w:ilvl w:val="12"/>
                <w:numId w:val="0"/>
              </w:numPr>
              <w:jc w:val="center"/>
              <w:rPr>
                <w:szCs w:val="24"/>
              </w:rPr>
            </w:pPr>
            <w:r>
              <w:rPr>
                <w:szCs w:val="24"/>
              </w:rPr>
              <w:t>$5</w:t>
            </w:r>
            <w:r w:rsidR="00B315F5">
              <w:rPr>
                <w:szCs w:val="24"/>
              </w:rPr>
              <w:t>44,455.70</w:t>
            </w:r>
          </w:p>
        </w:tc>
      </w:tr>
      <w:tr w:rsidR="0034433D" w:rsidRPr="00FD01D2" w:rsidTr="00FD01D2">
        <w:trPr>
          <w:cantSplit/>
          <w:jc w:val="center"/>
        </w:trPr>
        <w:tc>
          <w:tcPr>
            <w:tcW w:w="4157" w:type="dxa"/>
            <w:tcBorders>
              <w:top w:val="nil"/>
              <w:left w:val="double" w:sz="6" w:space="0" w:color="auto"/>
              <w:bottom w:val="nil"/>
              <w:right w:val="nil"/>
            </w:tcBorders>
          </w:tcPr>
          <w:p w:rsidR="0034433D" w:rsidRPr="00FD01D2" w:rsidRDefault="0034433D" w:rsidP="003E6CAB">
            <w:pPr>
              <w:keepNext/>
              <w:widowControl/>
              <w:numPr>
                <w:ilvl w:val="12"/>
                <w:numId w:val="0"/>
              </w:numPr>
              <w:rPr>
                <w:szCs w:val="24"/>
              </w:rPr>
            </w:pPr>
            <w:r w:rsidRPr="00FD01D2">
              <w:rPr>
                <w:szCs w:val="24"/>
              </w:rPr>
              <w:t>Permits</w:t>
            </w:r>
          </w:p>
        </w:tc>
        <w:tc>
          <w:tcPr>
            <w:tcW w:w="2693" w:type="dxa"/>
            <w:tcBorders>
              <w:top w:val="nil"/>
              <w:left w:val="single" w:sz="6" w:space="0" w:color="auto"/>
              <w:bottom w:val="nil"/>
              <w:right w:val="nil"/>
            </w:tcBorders>
            <w:vAlign w:val="bottom"/>
          </w:tcPr>
          <w:p w:rsidR="0034433D" w:rsidRPr="00FD01D2" w:rsidRDefault="00305049" w:rsidP="003E6CAB">
            <w:pPr>
              <w:keepNext/>
              <w:widowControl/>
              <w:numPr>
                <w:ilvl w:val="12"/>
                <w:numId w:val="0"/>
              </w:numPr>
              <w:jc w:val="center"/>
              <w:rPr>
                <w:szCs w:val="24"/>
              </w:rPr>
            </w:pPr>
            <w:r>
              <w:rPr>
                <w:szCs w:val="24"/>
              </w:rPr>
              <w:t>19,481</w:t>
            </w:r>
          </w:p>
        </w:tc>
        <w:tc>
          <w:tcPr>
            <w:tcW w:w="2510" w:type="dxa"/>
            <w:tcBorders>
              <w:top w:val="nil"/>
              <w:left w:val="single" w:sz="6" w:space="0" w:color="auto"/>
              <w:bottom w:val="nil"/>
              <w:right w:val="double" w:sz="6" w:space="0" w:color="auto"/>
            </w:tcBorders>
            <w:vAlign w:val="bottom"/>
          </w:tcPr>
          <w:p w:rsidR="0034433D" w:rsidRPr="00FD01D2" w:rsidRDefault="0034433D" w:rsidP="00305049">
            <w:pPr>
              <w:keepNext/>
              <w:widowControl/>
              <w:numPr>
                <w:ilvl w:val="12"/>
                <w:numId w:val="0"/>
              </w:numPr>
              <w:jc w:val="center"/>
              <w:rPr>
                <w:szCs w:val="24"/>
              </w:rPr>
            </w:pPr>
            <w:r w:rsidRPr="00FD01D2">
              <w:rPr>
                <w:szCs w:val="24"/>
              </w:rPr>
              <w:t>$</w:t>
            </w:r>
            <w:r w:rsidR="00D90847" w:rsidRPr="00FD01D2">
              <w:rPr>
                <w:szCs w:val="24"/>
              </w:rPr>
              <w:t>1,</w:t>
            </w:r>
            <w:r w:rsidR="00305049">
              <w:rPr>
                <w:szCs w:val="24"/>
              </w:rPr>
              <w:t>740,465.67</w:t>
            </w:r>
          </w:p>
        </w:tc>
      </w:tr>
      <w:tr w:rsidR="0034433D" w:rsidRPr="00FD01D2" w:rsidTr="00FD01D2">
        <w:trPr>
          <w:cantSplit/>
          <w:jc w:val="center"/>
        </w:trPr>
        <w:tc>
          <w:tcPr>
            <w:tcW w:w="4157" w:type="dxa"/>
            <w:tcBorders>
              <w:top w:val="nil"/>
              <w:left w:val="double" w:sz="6" w:space="0" w:color="auto"/>
              <w:bottom w:val="nil"/>
              <w:right w:val="nil"/>
            </w:tcBorders>
          </w:tcPr>
          <w:p w:rsidR="0034433D" w:rsidRPr="00FD01D2" w:rsidRDefault="0034433D" w:rsidP="003E6CAB">
            <w:pPr>
              <w:keepNext/>
              <w:widowControl/>
              <w:numPr>
                <w:ilvl w:val="12"/>
                <w:numId w:val="0"/>
              </w:numPr>
              <w:rPr>
                <w:szCs w:val="24"/>
              </w:rPr>
            </w:pPr>
            <w:r w:rsidRPr="00FD01D2">
              <w:rPr>
                <w:szCs w:val="24"/>
              </w:rPr>
              <w:t>Emissions reporting</w:t>
            </w:r>
            <w:r w:rsidR="00FD01D2">
              <w:rPr>
                <w:szCs w:val="24"/>
              </w:rPr>
              <w:t>.</w:t>
            </w:r>
          </w:p>
        </w:tc>
        <w:tc>
          <w:tcPr>
            <w:tcW w:w="2693" w:type="dxa"/>
            <w:tcBorders>
              <w:top w:val="nil"/>
              <w:left w:val="single" w:sz="6" w:space="0" w:color="auto"/>
              <w:bottom w:val="nil"/>
              <w:right w:val="nil"/>
            </w:tcBorders>
            <w:vAlign w:val="bottom"/>
          </w:tcPr>
          <w:p w:rsidR="0034433D" w:rsidRPr="00FD01D2" w:rsidRDefault="00E1074A" w:rsidP="00305049">
            <w:pPr>
              <w:keepNext/>
              <w:widowControl/>
              <w:numPr>
                <w:ilvl w:val="12"/>
                <w:numId w:val="0"/>
              </w:numPr>
              <w:jc w:val="center"/>
              <w:rPr>
                <w:szCs w:val="24"/>
              </w:rPr>
            </w:pPr>
            <w:r w:rsidRPr="00FD01D2">
              <w:rPr>
                <w:szCs w:val="24"/>
              </w:rPr>
              <w:t>2</w:t>
            </w:r>
            <w:r w:rsidR="00B53A3F" w:rsidRPr="00FD01D2">
              <w:rPr>
                <w:szCs w:val="24"/>
              </w:rPr>
              <w:t>,</w:t>
            </w:r>
            <w:r w:rsidR="00B315F5">
              <w:rPr>
                <w:szCs w:val="24"/>
              </w:rPr>
              <w:t>096,206</w:t>
            </w:r>
          </w:p>
        </w:tc>
        <w:tc>
          <w:tcPr>
            <w:tcW w:w="2510" w:type="dxa"/>
            <w:tcBorders>
              <w:top w:val="nil"/>
              <w:left w:val="single" w:sz="6" w:space="0" w:color="auto"/>
              <w:bottom w:val="nil"/>
              <w:right w:val="double" w:sz="6" w:space="0" w:color="auto"/>
            </w:tcBorders>
            <w:vAlign w:val="bottom"/>
          </w:tcPr>
          <w:p w:rsidR="0034433D" w:rsidRPr="00FD01D2" w:rsidRDefault="00E714D9" w:rsidP="00305049">
            <w:pPr>
              <w:keepNext/>
              <w:widowControl/>
              <w:numPr>
                <w:ilvl w:val="12"/>
                <w:numId w:val="0"/>
              </w:numPr>
              <w:jc w:val="center"/>
              <w:rPr>
                <w:szCs w:val="24"/>
              </w:rPr>
            </w:pPr>
            <w:r w:rsidRPr="00FD01D2">
              <w:rPr>
                <w:szCs w:val="24"/>
              </w:rPr>
              <w:t>$</w:t>
            </w:r>
            <w:r w:rsidR="006E0BFE">
              <w:rPr>
                <w:szCs w:val="24"/>
              </w:rPr>
              <w:t>299,937,634</w:t>
            </w:r>
          </w:p>
        </w:tc>
      </w:tr>
      <w:tr w:rsidR="0034433D" w:rsidRPr="00FD01D2" w:rsidTr="00FD01D2">
        <w:trPr>
          <w:cantSplit/>
          <w:jc w:val="center"/>
        </w:trPr>
        <w:tc>
          <w:tcPr>
            <w:tcW w:w="4157" w:type="dxa"/>
            <w:tcBorders>
              <w:top w:val="nil"/>
              <w:left w:val="double" w:sz="6" w:space="0" w:color="auto"/>
              <w:bottom w:val="nil"/>
              <w:right w:val="nil"/>
            </w:tcBorders>
          </w:tcPr>
          <w:p w:rsidR="0034433D" w:rsidRPr="00FD01D2" w:rsidRDefault="0034433D" w:rsidP="003E6CAB">
            <w:pPr>
              <w:keepNext/>
              <w:widowControl/>
              <w:numPr>
                <w:ilvl w:val="12"/>
                <w:numId w:val="0"/>
              </w:numPr>
              <w:rPr>
                <w:szCs w:val="24"/>
              </w:rPr>
            </w:pPr>
            <w:r w:rsidRPr="00FD01D2">
              <w:rPr>
                <w:szCs w:val="24"/>
              </w:rPr>
              <w:t>Auctions</w:t>
            </w:r>
            <w:r w:rsidR="00FD01D2">
              <w:rPr>
                <w:szCs w:val="24"/>
              </w:rPr>
              <w:t>.</w:t>
            </w:r>
          </w:p>
        </w:tc>
        <w:tc>
          <w:tcPr>
            <w:tcW w:w="2693" w:type="dxa"/>
            <w:tcBorders>
              <w:top w:val="nil"/>
              <w:left w:val="single" w:sz="6" w:space="0" w:color="auto"/>
              <w:bottom w:val="nil"/>
              <w:right w:val="nil"/>
            </w:tcBorders>
            <w:vAlign w:val="bottom"/>
          </w:tcPr>
          <w:p w:rsidR="0034433D" w:rsidRPr="00FD01D2" w:rsidRDefault="00B315F5" w:rsidP="003E6CAB">
            <w:pPr>
              <w:keepNext/>
              <w:widowControl/>
              <w:numPr>
                <w:ilvl w:val="12"/>
                <w:numId w:val="0"/>
              </w:numPr>
              <w:jc w:val="center"/>
              <w:rPr>
                <w:szCs w:val="24"/>
              </w:rPr>
            </w:pPr>
            <w:r>
              <w:rPr>
                <w:szCs w:val="24"/>
              </w:rPr>
              <w:t>84</w:t>
            </w:r>
          </w:p>
        </w:tc>
        <w:tc>
          <w:tcPr>
            <w:tcW w:w="2510" w:type="dxa"/>
            <w:tcBorders>
              <w:top w:val="nil"/>
              <w:left w:val="single" w:sz="6" w:space="0" w:color="auto"/>
              <w:bottom w:val="nil"/>
              <w:right w:val="double" w:sz="6" w:space="0" w:color="auto"/>
            </w:tcBorders>
            <w:vAlign w:val="bottom"/>
          </w:tcPr>
          <w:p w:rsidR="0034433D" w:rsidRPr="00FD01D2" w:rsidRDefault="0034433D" w:rsidP="00305049">
            <w:pPr>
              <w:keepNext/>
              <w:widowControl/>
              <w:numPr>
                <w:ilvl w:val="12"/>
                <w:numId w:val="0"/>
              </w:numPr>
              <w:jc w:val="center"/>
              <w:rPr>
                <w:szCs w:val="24"/>
              </w:rPr>
            </w:pPr>
            <w:r w:rsidRPr="00FD01D2">
              <w:rPr>
                <w:szCs w:val="24"/>
              </w:rPr>
              <w:t>$</w:t>
            </w:r>
            <w:r w:rsidR="00B315F5">
              <w:rPr>
                <w:szCs w:val="24"/>
              </w:rPr>
              <w:t>7,974.96</w:t>
            </w:r>
          </w:p>
        </w:tc>
      </w:tr>
      <w:tr w:rsidR="0034433D" w:rsidRPr="00FD01D2" w:rsidTr="00FD01D2">
        <w:trPr>
          <w:cantSplit/>
          <w:jc w:val="center"/>
        </w:trPr>
        <w:tc>
          <w:tcPr>
            <w:tcW w:w="4157" w:type="dxa"/>
            <w:tcBorders>
              <w:top w:val="nil"/>
              <w:left w:val="double" w:sz="6" w:space="0" w:color="auto"/>
              <w:bottom w:val="nil"/>
              <w:right w:val="nil"/>
            </w:tcBorders>
          </w:tcPr>
          <w:p w:rsidR="0034433D" w:rsidRPr="00FD01D2" w:rsidRDefault="0034433D" w:rsidP="003E6CAB">
            <w:pPr>
              <w:keepNext/>
              <w:widowControl/>
              <w:numPr>
                <w:ilvl w:val="12"/>
                <w:numId w:val="0"/>
              </w:numPr>
              <w:rPr>
                <w:szCs w:val="24"/>
              </w:rPr>
            </w:pPr>
            <w:r w:rsidRPr="00FD01D2">
              <w:rPr>
                <w:szCs w:val="24"/>
              </w:rPr>
              <w:t>Opt-</w:t>
            </w:r>
            <w:proofErr w:type="spellStart"/>
            <w:r w:rsidRPr="00FD01D2">
              <w:rPr>
                <w:szCs w:val="24"/>
              </w:rPr>
              <w:t>in</w:t>
            </w:r>
            <w:r w:rsidR="00FD01D2">
              <w:rPr>
                <w:szCs w:val="24"/>
              </w:rPr>
              <w:t>.</w:t>
            </w:r>
            <w:r w:rsidRPr="00FD01D2">
              <w:rPr>
                <w:szCs w:val="24"/>
                <w:vertAlign w:val="superscript"/>
              </w:rPr>
              <w:t>b</w:t>
            </w:r>
            <w:proofErr w:type="spellEnd"/>
          </w:p>
        </w:tc>
        <w:tc>
          <w:tcPr>
            <w:tcW w:w="2693" w:type="dxa"/>
            <w:tcBorders>
              <w:top w:val="nil"/>
              <w:left w:val="single" w:sz="6" w:space="0" w:color="auto"/>
              <w:bottom w:val="nil"/>
              <w:right w:val="nil"/>
            </w:tcBorders>
            <w:vAlign w:val="bottom"/>
          </w:tcPr>
          <w:p w:rsidR="0034433D" w:rsidRPr="00FD01D2" w:rsidRDefault="00A908B3" w:rsidP="003E6CAB">
            <w:pPr>
              <w:keepNext/>
              <w:widowControl/>
              <w:numPr>
                <w:ilvl w:val="12"/>
                <w:numId w:val="0"/>
              </w:numPr>
              <w:jc w:val="center"/>
              <w:rPr>
                <w:szCs w:val="24"/>
              </w:rPr>
            </w:pPr>
            <w:r>
              <w:rPr>
                <w:szCs w:val="24"/>
              </w:rPr>
              <w:t>484</w:t>
            </w:r>
          </w:p>
        </w:tc>
        <w:tc>
          <w:tcPr>
            <w:tcW w:w="2510" w:type="dxa"/>
            <w:tcBorders>
              <w:top w:val="nil"/>
              <w:left w:val="single" w:sz="6" w:space="0" w:color="auto"/>
              <w:bottom w:val="nil"/>
              <w:right w:val="double" w:sz="6" w:space="0" w:color="auto"/>
            </w:tcBorders>
            <w:vAlign w:val="bottom"/>
          </w:tcPr>
          <w:p w:rsidR="0034433D" w:rsidRPr="00FD01D2" w:rsidRDefault="00B44BE7" w:rsidP="003E6CAB">
            <w:pPr>
              <w:keepNext/>
              <w:widowControl/>
              <w:numPr>
                <w:ilvl w:val="12"/>
                <w:numId w:val="0"/>
              </w:numPr>
              <w:jc w:val="center"/>
              <w:rPr>
                <w:szCs w:val="24"/>
              </w:rPr>
            </w:pPr>
            <w:r>
              <w:rPr>
                <w:szCs w:val="24"/>
              </w:rPr>
              <w:t>$</w:t>
            </w:r>
            <w:r w:rsidR="00A908B3">
              <w:rPr>
                <w:szCs w:val="24"/>
              </w:rPr>
              <w:t>34,849.72</w:t>
            </w:r>
          </w:p>
        </w:tc>
      </w:tr>
      <w:tr w:rsidR="0034433D" w:rsidRPr="00FD01D2" w:rsidTr="00FD01D2">
        <w:trPr>
          <w:cantSplit/>
          <w:jc w:val="center"/>
        </w:trPr>
        <w:tc>
          <w:tcPr>
            <w:tcW w:w="4157" w:type="dxa"/>
            <w:tcBorders>
              <w:top w:val="nil"/>
              <w:left w:val="double" w:sz="6" w:space="0" w:color="auto"/>
              <w:bottom w:val="nil"/>
              <w:right w:val="nil"/>
            </w:tcBorders>
          </w:tcPr>
          <w:p w:rsidR="0034433D" w:rsidRPr="00FD01D2" w:rsidRDefault="0034433D" w:rsidP="003E6CAB">
            <w:pPr>
              <w:keepNext/>
              <w:widowControl/>
              <w:numPr>
                <w:ilvl w:val="12"/>
                <w:numId w:val="0"/>
              </w:numPr>
              <w:rPr>
                <w:szCs w:val="24"/>
              </w:rPr>
            </w:pPr>
            <w:proofErr w:type="spellStart"/>
            <w:r w:rsidRPr="00FD01D2">
              <w:rPr>
                <w:szCs w:val="24"/>
              </w:rPr>
              <w:t>NO</w:t>
            </w:r>
            <w:r w:rsidRPr="00FD01D2">
              <w:rPr>
                <w:szCs w:val="24"/>
                <w:vertAlign w:val="subscript"/>
              </w:rPr>
              <w:t>x</w:t>
            </w:r>
            <w:proofErr w:type="spellEnd"/>
            <w:r w:rsidRPr="00FD01D2">
              <w:rPr>
                <w:szCs w:val="24"/>
              </w:rPr>
              <w:t xml:space="preserve"> permitting</w:t>
            </w:r>
            <w:r w:rsidR="00FD01D2">
              <w:rPr>
                <w:szCs w:val="24"/>
              </w:rPr>
              <w:t>.</w:t>
            </w:r>
          </w:p>
        </w:tc>
        <w:tc>
          <w:tcPr>
            <w:tcW w:w="2693" w:type="dxa"/>
            <w:tcBorders>
              <w:top w:val="nil"/>
              <w:left w:val="single" w:sz="6" w:space="0" w:color="auto"/>
              <w:bottom w:val="nil"/>
              <w:right w:val="nil"/>
            </w:tcBorders>
            <w:vAlign w:val="bottom"/>
          </w:tcPr>
          <w:p w:rsidR="0034433D" w:rsidRPr="00FD01D2" w:rsidRDefault="0034433D" w:rsidP="003E6CAB">
            <w:pPr>
              <w:keepNext/>
              <w:widowControl/>
              <w:numPr>
                <w:ilvl w:val="12"/>
                <w:numId w:val="0"/>
              </w:numPr>
              <w:jc w:val="center"/>
              <w:rPr>
                <w:szCs w:val="24"/>
              </w:rPr>
            </w:pPr>
            <w:r w:rsidRPr="00FD01D2">
              <w:rPr>
                <w:szCs w:val="24"/>
              </w:rPr>
              <w:t>1,270</w:t>
            </w:r>
          </w:p>
        </w:tc>
        <w:tc>
          <w:tcPr>
            <w:tcW w:w="2510" w:type="dxa"/>
            <w:tcBorders>
              <w:top w:val="nil"/>
              <w:left w:val="single" w:sz="6" w:space="0" w:color="auto"/>
              <w:bottom w:val="nil"/>
              <w:right w:val="double" w:sz="6" w:space="0" w:color="auto"/>
            </w:tcBorders>
            <w:vAlign w:val="bottom"/>
          </w:tcPr>
          <w:p w:rsidR="0034433D" w:rsidRPr="00FD01D2" w:rsidRDefault="0034433D" w:rsidP="00305049">
            <w:pPr>
              <w:keepNext/>
              <w:widowControl/>
              <w:numPr>
                <w:ilvl w:val="12"/>
                <w:numId w:val="0"/>
              </w:numPr>
              <w:jc w:val="center"/>
              <w:rPr>
                <w:szCs w:val="24"/>
              </w:rPr>
            </w:pPr>
            <w:r w:rsidRPr="00FD01D2">
              <w:rPr>
                <w:szCs w:val="24"/>
              </w:rPr>
              <w:t>$</w:t>
            </w:r>
            <w:r w:rsidR="00305049">
              <w:rPr>
                <w:szCs w:val="24"/>
              </w:rPr>
              <w:t>103,193.00</w:t>
            </w:r>
          </w:p>
        </w:tc>
      </w:tr>
      <w:tr w:rsidR="0034433D" w:rsidRPr="00FD01D2" w:rsidTr="00FD01D2">
        <w:trPr>
          <w:cantSplit/>
          <w:jc w:val="center"/>
        </w:trPr>
        <w:tc>
          <w:tcPr>
            <w:tcW w:w="4157" w:type="dxa"/>
            <w:tcBorders>
              <w:top w:val="double" w:sz="6" w:space="0" w:color="auto"/>
              <w:left w:val="double" w:sz="6" w:space="0" w:color="auto"/>
              <w:bottom w:val="double" w:sz="6" w:space="0" w:color="auto"/>
              <w:right w:val="nil"/>
            </w:tcBorders>
          </w:tcPr>
          <w:p w:rsidR="0034433D" w:rsidRPr="00FD01D2" w:rsidRDefault="0034433D" w:rsidP="00E1074A">
            <w:pPr>
              <w:widowControl/>
              <w:numPr>
                <w:ilvl w:val="12"/>
                <w:numId w:val="0"/>
              </w:numPr>
              <w:rPr>
                <w:b/>
                <w:szCs w:val="24"/>
              </w:rPr>
            </w:pPr>
            <w:r w:rsidRPr="00FD01D2">
              <w:rPr>
                <w:b/>
                <w:szCs w:val="24"/>
              </w:rPr>
              <w:t>TOTAL</w:t>
            </w:r>
          </w:p>
        </w:tc>
        <w:tc>
          <w:tcPr>
            <w:tcW w:w="2693" w:type="dxa"/>
            <w:tcBorders>
              <w:top w:val="double" w:sz="6" w:space="0" w:color="auto"/>
              <w:left w:val="single" w:sz="6" w:space="0" w:color="auto"/>
              <w:bottom w:val="double" w:sz="6" w:space="0" w:color="auto"/>
              <w:right w:val="nil"/>
            </w:tcBorders>
            <w:vAlign w:val="bottom"/>
          </w:tcPr>
          <w:p w:rsidR="0034433D" w:rsidRPr="00FD01D2" w:rsidRDefault="00A908B3" w:rsidP="007F6DB4">
            <w:pPr>
              <w:widowControl/>
              <w:numPr>
                <w:ilvl w:val="12"/>
                <w:numId w:val="0"/>
              </w:numPr>
              <w:jc w:val="center"/>
              <w:rPr>
                <w:b/>
                <w:szCs w:val="24"/>
              </w:rPr>
            </w:pPr>
            <w:r>
              <w:rPr>
                <w:b/>
                <w:szCs w:val="24"/>
              </w:rPr>
              <w:t>2,123,</w:t>
            </w:r>
            <w:r w:rsidR="007F6DB4">
              <w:rPr>
                <w:b/>
                <w:szCs w:val="24"/>
              </w:rPr>
              <w:t>4</w:t>
            </w:r>
            <w:r>
              <w:rPr>
                <w:b/>
                <w:szCs w:val="24"/>
              </w:rPr>
              <w:t>05</w:t>
            </w:r>
          </w:p>
        </w:tc>
        <w:tc>
          <w:tcPr>
            <w:tcW w:w="2510" w:type="dxa"/>
            <w:tcBorders>
              <w:top w:val="double" w:sz="6" w:space="0" w:color="auto"/>
              <w:left w:val="single" w:sz="6" w:space="0" w:color="auto"/>
              <w:bottom w:val="double" w:sz="6" w:space="0" w:color="auto"/>
              <w:right w:val="double" w:sz="6" w:space="0" w:color="auto"/>
            </w:tcBorders>
            <w:vAlign w:val="bottom"/>
          </w:tcPr>
          <w:p w:rsidR="0034433D" w:rsidRPr="00FD01D2" w:rsidRDefault="0034433D" w:rsidP="00AE66CB">
            <w:pPr>
              <w:widowControl/>
              <w:numPr>
                <w:ilvl w:val="12"/>
                <w:numId w:val="0"/>
              </w:numPr>
              <w:jc w:val="center"/>
              <w:rPr>
                <w:b/>
                <w:szCs w:val="24"/>
              </w:rPr>
            </w:pPr>
            <w:r w:rsidRPr="00FD01D2">
              <w:rPr>
                <w:b/>
                <w:szCs w:val="24"/>
              </w:rPr>
              <w:t>$</w:t>
            </w:r>
            <w:r w:rsidR="006E0BFE">
              <w:rPr>
                <w:b/>
                <w:szCs w:val="24"/>
              </w:rPr>
              <w:t>302,368,573.05</w:t>
            </w:r>
          </w:p>
        </w:tc>
      </w:tr>
    </w:tbl>
    <w:p w:rsidR="00C62D56" w:rsidRDefault="00C62D56" w:rsidP="00490822">
      <w:pPr>
        <w:widowControl/>
        <w:numPr>
          <w:ilvl w:val="12"/>
          <w:numId w:val="0"/>
        </w:numPr>
        <w:ind w:left="1080" w:hanging="180"/>
        <w:rPr>
          <w:szCs w:val="24"/>
          <w:vertAlign w:val="superscript"/>
        </w:rPr>
      </w:pPr>
    </w:p>
    <w:p w:rsidR="009907D5" w:rsidRPr="00612A6E" w:rsidRDefault="009907D5" w:rsidP="00490822">
      <w:pPr>
        <w:widowControl/>
        <w:numPr>
          <w:ilvl w:val="12"/>
          <w:numId w:val="0"/>
        </w:numPr>
        <w:ind w:left="1080" w:hanging="180"/>
        <w:rPr>
          <w:szCs w:val="24"/>
        </w:rPr>
      </w:pPr>
      <w:r w:rsidRPr="00612A6E">
        <w:rPr>
          <w:szCs w:val="24"/>
          <w:vertAlign w:val="superscript"/>
        </w:rPr>
        <w:t>a</w:t>
      </w:r>
      <w:r w:rsidRPr="00612A6E">
        <w:rPr>
          <w:szCs w:val="24"/>
        </w:rPr>
        <w:tab/>
      </w:r>
      <w:r w:rsidR="00DA6A47" w:rsidRPr="00612A6E">
        <w:rPr>
          <w:szCs w:val="24"/>
        </w:rPr>
        <w:t>20</w:t>
      </w:r>
      <w:r w:rsidR="00DA6A47">
        <w:rPr>
          <w:szCs w:val="24"/>
        </w:rPr>
        <w:t>12</w:t>
      </w:r>
      <w:r w:rsidR="00DA6A47" w:rsidRPr="00612A6E">
        <w:rPr>
          <w:szCs w:val="24"/>
        </w:rPr>
        <w:t xml:space="preserve"> </w:t>
      </w:r>
      <w:r w:rsidRPr="00612A6E">
        <w:rPr>
          <w:szCs w:val="24"/>
        </w:rPr>
        <w:t>dollars.</w:t>
      </w:r>
    </w:p>
    <w:p w:rsidR="009907D5" w:rsidRDefault="009907D5" w:rsidP="00674ADB">
      <w:pPr>
        <w:widowControl/>
        <w:numPr>
          <w:ilvl w:val="12"/>
          <w:numId w:val="0"/>
        </w:numPr>
        <w:ind w:left="1080" w:hanging="180"/>
        <w:rPr>
          <w:sz w:val="24"/>
          <w:szCs w:val="24"/>
        </w:rPr>
      </w:pPr>
      <w:r w:rsidRPr="00612A6E">
        <w:rPr>
          <w:szCs w:val="24"/>
          <w:vertAlign w:val="superscript"/>
        </w:rPr>
        <w:t>b</w:t>
      </w:r>
      <w:r w:rsidRPr="00612A6E">
        <w:rPr>
          <w:szCs w:val="24"/>
        </w:rPr>
        <w:tab/>
        <w:t>Includes permitting and annual reconciliation burdens for opt-in sources.</w:t>
      </w:r>
    </w:p>
    <w:p w:rsidR="009907D5" w:rsidRPr="00490822" w:rsidRDefault="009907D5" w:rsidP="00E1074A">
      <w:pPr>
        <w:widowControl/>
        <w:numPr>
          <w:ilvl w:val="12"/>
          <w:numId w:val="0"/>
        </w:numPr>
        <w:jc w:val="center"/>
        <w:rPr>
          <w:b/>
          <w:sz w:val="24"/>
          <w:szCs w:val="24"/>
        </w:rPr>
      </w:pPr>
      <w:r>
        <w:rPr>
          <w:sz w:val="24"/>
          <w:szCs w:val="24"/>
        </w:rPr>
        <w:br w:type="page"/>
      </w:r>
      <w:r w:rsidRPr="00490822">
        <w:rPr>
          <w:b/>
          <w:sz w:val="24"/>
          <w:szCs w:val="24"/>
        </w:rPr>
        <w:lastRenderedPageBreak/>
        <w:t xml:space="preserve">EXHIBIT </w:t>
      </w:r>
      <w:r w:rsidR="00B44BE7">
        <w:rPr>
          <w:b/>
          <w:sz w:val="24"/>
          <w:szCs w:val="24"/>
        </w:rPr>
        <w:t>15</w:t>
      </w:r>
    </w:p>
    <w:p w:rsidR="009907D5" w:rsidRPr="00490822" w:rsidRDefault="009907D5" w:rsidP="00E1074A">
      <w:pPr>
        <w:widowControl/>
        <w:numPr>
          <w:ilvl w:val="12"/>
          <w:numId w:val="0"/>
        </w:numPr>
        <w:jc w:val="center"/>
        <w:rPr>
          <w:b/>
          <w:sz w:val="24"/>
          <w:szCs w:val="24"/>
        </w:rPr>
      </w:pPr>
      <w:r w:rsidRPr="00490822">
        <w:rPr>
          <w:b/>
          <w:sz w:val="24"/>
          <w:szCs w:val="24"/>
        </w:rPr>
        <w:t>AGGREGATE ANNUAL AGENCY BURDEN AND COST OF COLLECTIONS</w:t>
      </w:r>
    </w:p>
    <w:p w:rsidR="00E1074A" w:rsidRDefault="00E1074A" w:rsidP="00E1074A">
      <w:pPr>
        <w:widowControl/>
        <w:numPr>
          <w:ilvl w:val="12"/>
          <w:numId w:val="0"/>
        </w:numPr>
        <w:jc w:val="center"/>
        <w:rPr>
          <w:sz w:val="24"/>
          <w:szCs w:val="24"/>
        </w:rPr>
      </w:pPr>
    </w:p>
    <w:tbl>
      <w:tblPr>
        <w:tblW w:w="9360" w:type="dxa"/>
        <w:jc w:val="center"/>
        <w:tblInd w:w="91" w:type="dxa"/>
        <w:tblLayout w:type="fixed"/>
        <w:tblCellMar>
          <w:top w:w="72" w:type="dxa"/>
          <w:left w:w="72" w:type="dxa"/>
          <w:bottom w:w="72" w:type="dxa"/>
          <w:right w:w="72" w:type="dxa"/>
        </w:tblCellMar>
        <w:tblLook w:val="0000"/>
      </w:tblPr>
      <w:tblGrid>
        <w:gridCol w:w="4754"/>
        <w:gridCol w:w="2257"/>
        <w:gridCol w:w="2349"/>
      </w:tblGrid>
      <w:tr w:rsidR="00490822" w:rsidTr="00490822">
        <w:trPr>
          <w:cantSplit/>
          <w:trHeight w:val="304"/>
          <w:jc w:val="center"/>
        </w:trPr>
        <w:tc>
          <w:tcPr>
            <w:tcW w:w="4754" w:type="dxa"/>
            <w:tcBorders>
              <w:top w:val="double" w:sz="6" w:space="0" w:color="auto"/>
              <w:left w:val="double" w:sz="6" w:space="0" w:color="auto"/>
              <w:bottom w:val="single" w:sz="6" w:space="0" w:color="auto"/>
              <w:right w:val="nil"/>
            </w:tcBorders>
            <w:shd w:val="pct10" w:color="auto" w:fill="auto"/>
            <w:vAlign w:val="bottom"/>
          </w:tcPr>
          <w:p w:rsidR="00490822" w:rsidRPr="00FD01D2" w:rsidRDefault="00490822" w:rsidP="00490822">
            <w:pPr>
              <w:keepNext/>
              <w:widowControl/>
              <w:numPr>
                <w:ilvl w:val="12"/>
                <w:numId w:val="0"/>
              </w:numPr>
              <w:jc w:val="center"/>
              <w:rPr>
                <w:b/>
                <w:sz w:val="22"/>
                <w:szCs w:val="24"/>
              </w:rPr>
            </w:pPr>
            <w:r w:rsidRPr="00FD01D2">
              <w:rPr>
                <w:b/>
                <w:sz w:val="22"/>
                <w:szCs w:val="24"/>
              </w:rPr>
              <w:t>Program</w:t>
            </w:r>
          </w:p>
        </w:tc>
        <w:tc>
          <w:tcPr>
            <w:tcW w:w="2257" w:type="dxa"/>
            <w:tcBorders>
              <w:top w:val="double" w:sz="6" w:space="0" w:color="auto"/>
              <w:left w:val="single" w:sz="6" w:space="0" w:color="auto"/>
              <w:bottom w:val="single" w:sz="6" w:space="0" w:color="auto"/>
              <w:right w:val="nil"/>
            </w:tcBorders>
            <w:shd w:val="pct10" w:color="auto" w:fill="auto"/>
            <w:vAlign w:val="bottom"/>
          </w:tcPr>
          <w:p w:rsidR="00490822" w:rsidRPr="00FD01D2" w:rsidRDefault="00490822" w:rsidP="00490822">
            <w:pPr>
              <w:keepNext/>
              <w:widowControl/>
              <w:numPr>
                <w:ilvl w:val="12"/>
                <w:numId w:val="0"/>
              </w:numPr>
              <w:jc w:val="center"/>
              <w:rPr>
                <w:b/>
                <w:sz w:val="22"/>
                <w:szCs w:val="24"/>
              </w:rPr>
            </w:pPr>
            <w:r w:rsidRPr="00FD01D2">
              <w:rPr>
                <w:b/>
                <w:sz w:val="22"/>
                <w:szCs w:val="24"/>
              </w:rPr>
              <w:t>Total Burden (hours)</w:t>
            </w:r>
          </w:p>
        </w:tc>
        <w:tc>
          <w:tcPr>
            <w:tcW w:w="2349" w:type="dxa"/>
            <w:tcBorders>
              <w:top w:val="double" w:sz="6" w:space="0" w:color="auto"/>
              <w:left w:val="single" w:sz="6" w:space="0" w:color="auto"/>
              <w:bottom w:val="single" w:sz="6" w:space="0" w:color="auto"/>
              <w:right w:val="double" w:sz="6" w:space="0" w:color="auto"/>
            </w:tcBorders>
            <w:shd w:val="pct10" w:color="auto" w:fill="auto"/>
            <w:vAlign w:val="bottom"/>
          </w:tcPr>
          <w:p w:rsidR="00490822" w:rsidRPr="00FD01D2" w:rsidRDefault="00490822" w:rsidP="00490822">
            <w:pPr>
              <w:keepNext/>
              <w:widowControl/>
              <w:numPr>
                <w:ilvl w:val="12"/>
                <w:numId w:val="0"/>
              </w:numPr>
              <w:jc w:val="center"/>
              <w:rPr>
                <w:b/>
                <w:sz w:val="22"/>
                <w:szCs w:val="24"/>
              </w:rPr>
            </w:pPr>
            <w:r w:rsidRPr="00FD01D2">
              <w:rPr>
                <w:b/>
                <w:sz w:val="22"/>
                <w:szCs w:val="24"/>
              </w:rPr>
              <w:t xml:space="preserve">Total </w:t>
            </w:r>
            <w:proofErr w:type="spellStart"/>
            <w:r w:rsidRPr="00FD01D2">
              <w:rPr>
                <w:b/>
                <w:sz w:val="22"/>
                <w:szCs w:val="24"/>
              </w:rPr>
              <w:t>Costs</w:t>
            </w:r>
            <w:r w:rsidRPr="00FD01D2">
              <w:rPr>
                <w:b/>
                <w:sz w:val="22"/>
                <w:szCs w:val="24"/>
                <w:vertAlign w:val="superscript"/>
              </w:rPr>
              <w:t>a</w:t>
            </w:r>
            <w:proofErr w:type="spellEnd"/>
          </w:p>
        </w:tc>
      </w:tr>
      <w:tr w:rsidR="009907D5" w:rsidRPr="0089112E" w:rsidTr="00B671E2">
        <w:trPr>
          <w:cantSplit/>
          <w:jc w:val="center"/>
        </w:trPr>
        <w:tc>
          <w:tcPr>
            <w:tcW w:w="4754" w:type="dxa"/>
            <w:tcBorders>
              <w:top w:val="single" w:sz="6" w:space="0" w:color="auto"/>
              <w:left w:val="double" w:sz="6" w:space="0" w:color="auto"/>
              <w:bottom w:val="nil"/>
              <w:right w:val="nil"/>
            </w:tcBorders>
          </w:tcPr>
          <w:p w:rsidR="009907D5" w:rsidRPr="0089112E" w:rsidRDefault="009907D5" w:rsidP="00E1074A">
            <w:pPr>
              <w:widowControl/>
              <w:numPr>
                <w:ilvl w:val="12"/>
                <w:numId w:val="0"/>
              </w:numPr>
            </w:pPr>
            <w:r w:rsidRPr="0089112E">
              <w:t>Allowance transfers and deductions</w:t>
            </w:r>
            <w:r w:rsidR="00A466D0">
              <w:t>.</w:t>
            </w:r>
          </w:p>
        </w:tc>
        <w:tc>
          <w:tcPr>
            <w:tcW w:w="2257" w:type="dxa"/>
            <w:tcBorders>
              <w:top w:val="single" w:sz="6" w:space="0" w:color="auto"/>
              <w:left w:val="single" w:sz="6" w:space="0" w:color="auto"/>
              <w:bottom w:val="nil"/>
              <w:right w:val="nil"/>
            </w:tcBorders>
          </w:tcPr>
          <w:p w:rsidR="009907D5" w:rsidRPr="0089112E" w:rsidRDefault="00B315F5" w:rsidP="00B671E2">
            <w:pPr>
              <w:widowControl/>
              <w:numPr>
                <w:ilvl w:val="12"/>
                <w:numId w:val="0"/>
              </w:numPr>
              <w:jc w:val="center"/>
            </w:pPr>
            <w:r>
              <w:t>50</w:t>
            </w:r>
          </w:p>
        </w:tc>
        <w:tc>
          <w:tcPr>
            <w:tcW w:w="2349" w:type="dxa"/>
            <w:tcBorders>
              <w:top w:val="single" w:sz="6" w:space="0" w:color="auto"/>
              <w:left w:val="single" w:sz="6" w:space="0" w:color="auto"/>
              <w:bottom w:val="nil"/>
              <w:right w:val="double" w:sz="6" w:space="0" w:color="auto"/>
            </w:tcBorders>
          </w:tcPr>
          <w:p w:rsidR="009907D5" w:rsidRPr="0089112E" w:rsidRDefault="00FD1527" w:rsidP="00B315F5">
            <w:pPr>
              <w:widowControl/>
              <w:jc w:val="center"/>
            </w:pPr>
            <w:r w:rsidRPr="0089112E">
              <w:t>$</w:t>
            </w:r>
            <w:r w:rsidR="00A908B3">
              <w:t>4,454.60</w:t>
            </w:r>
          </w:p>
        </w:tc>
      </w:tr>
      <w:tr w:rsidR="009907D5" w:rsidRPr="0089112E" w:rsidTr="00B671E2">
        <w:trPr>
          <w:cantSplit/>
          <w:jc w:val="center"/>
        </w:trPr>
        <w:tc>
          <w:tcPr>
            <w:tcW w:w="4754" w:type="dxa"/>
            <w:tcBorders>
              <w:top w:val="nil"/>
              <w:left w:val="double" w:sz="6" w:space="0" w:color="auto"/>
              <w:bottom w:val="nil"/>
              <w:right w:val="nil"/>
            </w:tcBorders>
          </w:tcPr>
          <w:p w:rsidR="009907D5" w:rsidRPr="0089112E" w:rsidRDefault="009907D5" w:rsidP="00E1074A">
            <w:pPr>
              <w:widowControl/>
              <w:numPr>
                <w:ilvl w:val="12"/>
                <w:numId w:val="0"/>
              </w:numPr>
            </w:pPr>
            <w:r w:rsidRPr="0089112E">
              <w:t>Permits</w:t>
            </w:r>
            <w:r w:rsidR="00A466D0">
              <w:t>.</w:t>
            </w:r>
          </w:p>
        </w:tc>
        <w:tc>
          <w:tcPr>
            <w:tcW w:w="2257" w:type="dxa"/>
            <w:tcBorders>
              <w:top w:val="nil"/>
              <w:left w:val="single" w:sz="6" w:space="0" w:color="auto"/>
              <w:bottom w:val="nil"/>
              <w:right w:val="nil"/>
            </w:tcBorders>
          </w:tcPr>
          <w:p w:rsidR="009907D5" w:rsidRPr="0089112E" w:rsidRDefault="009907D5" w:rsidP="00B671E2">
            <w:pPr>
              <w:widowControl/>
              <w:numPr>
                <w:ilvl w:val="12"/>
                <w:numId w:val="0"/>
              </w:numPr>
              <w:jc w:val="center"/>
            </w:pPr>
          </w:p>
        </w:tc>
        <w:tc>
          <w:tcPr>
            <w:tcW w:w="2349" w:type="dxa"/>
            <w:tcBorders>
              <w:top w:val="nil"/>
              <w:left w:val="single" w:sz="6" w:space="0" w:color="auto"/>
              <w:bottom w:val="nil"/>
              <w:right w:val="double" w:sz="6" w:space="0" w:color="auto"/>
            </w:tcBorders>
          </w:tcPr>
          <w:p w:rsidR="009907D5" w:rsidRPr="0089112E" w:rsidRDefault="009907D5" w:rsidP="00B671E2">
            <w:pPr>
              <w:widowControl/>
              <w:numPr>
                <w:ilvl w:val="12"/>
                <w:numId w:val="0"/>
              </w:numPr>
              <w:jc w:val="center"/>
            </w:pPr>
          </w:p>
        </w:tc>
      </w:tr>
      <w:tr w:rsidR="003B2872" w:rsidRPr="0089112E" w:rsidTr="00B671E2">
        <w:trPr>
          <w:cantSplit/>
          <w:jc w:val="center"/>
        </w:trPr>
        <w:tc>
          <w:tcPr>
            <w:tcW w:w="4754" w:type="dxa"/>
            <w:tcBorders>
              <w:top w:val="nil"/>
              <w:left w:val="double" w:sz="6" w:space="0" w:color="auto"/>
              <w:bottom w:val="nil"/>
              <w:right w:val="nil"/>
            </w:tcBorders>
          </w:tcPr>
          <w:p w:rsidR="003B2872" w:rsidRPr="0089112E" w:rsidRDefault="003B2872" w:rsidP="003B2872">
            <w:pPr>
              <w:widowControl/>
              <w:numPr>
                <w:ilvl w:val="12"/>
                <w:numId w:val="0"/>
              </w:numPr>
              <w:ind w:left="378"/>
            </w:pPr>
            <w:r w:rsidRPr="0089112E">
              <w:t>Permitting Authority</w:t>
            </w:r>
            <w:r>
              <w:t>.</w:t>
            </w:r>
          </w:p>
        </w:tc>
        <w:tc>
          <w:tcPr>
            <w:tcW w:w="2257" w:type="dxa"/>
            <w:tcBorders>
              <w:top w:val="nil"/>
              <w:left w:val="single" w:sz="6" w:space="0" w:color="auto"/>
              <w:bottom w:val="nil"/>
              <w:right w:val="nil"/>
            </w:tcBorders>
          </w:tcPr>
          <w:p w:rsidR="003B2872" w:rsidRPr="0089112E" w:rsidRDefault="003B2872" w:rsidP="00B671E2">
            <w:pPr>
              <w:widowControl/>
              <w:numPr>
                <w:ilvl w:val="12"/>
                <w:numId w:val="0"/>
              </w:numPr>
              <w:jc w:val="center"/>
            </w:pPr>
            <w:r w:rsidRPr="0089112E">
              <w:t>2,132</w:t>
            </w:r>
          </w:p>
        </w:tc>
        <w:tc>
          <w:tcPr>
            <w:tcW w:w="2349" w:type="dxa"/>
            <w:tcBorders>
              <w:top w:val="nil"/>
              <w:left w:val="single" w:sz="6" w:space="0" w:color="auto"/>
              <w:bottom w:val="nil"/>
              <w:right w:val="double" w:sz="6" w:space="0" w:color="auto"/>
            </w:tcBorders>
          </w:tcPr>
          <w:p w:rsidR="003B2872" w:rsidRPr="0089112E" w:rsidRDefault="003B2872" w:rsidP="00305049">
            <w:pPr>
              <w:widowControl/>
              <w:numPr>
                <w:ilvl w:val="12"/>
                <w:numId w:val="0"/>
              </w:numPr>
              <w:jc w:val="center"/>
            </w:pPr>
            <w:r w:rsidRPr="0089112E">
              <w:t>$</w:t>
            </w:r>
            <w:r w:rsidR="00305049">
              <w:t>105,512.68</w:t>
            </w:r>
          </w:p>
        </w:tc>
      </w:tr>
      <w:tr w:rsidR="003B2872" w:rsidRPr="0089112E" w:rsidTr="00B671E2">
        <w:trPr>
          <w:cantSplit/>
          <w:jc w:val="center"/>
        </w:trPr>
        <w:tc>
          <w:tcPr>
            <w:tcW w:w="4754" w:type="dxa"/>
            <w:tcBorders>
              <w:top w:val="nil"/>
              <w:left w:val="double" w:sz="6" w:space="0" w:color="auto"/>
              <w:bottom w:val="nil"/>
              <w:right w:val="nil"/>
            </w:tcBorders>
          </w:tcPr>
          <w:p w:rsidR="003B2872" w:rsidRPr="0089112E" w:rsidRDefault="003B2872" w:rsidP="003B2872">
            <w:pPr>
              <w:widowControl/>
              <w:numPr>
                <w:ilvl w:val="12"/>
                <w:numId w:val="0"/>
              </w:numPr>
              <w:ind w:left="378"/>
            </w:pPr>
            <w:r w:rsidRPr="0089112E">
              <w:t>EPA</w:t>
            </w:r>
            <w:r>
              <w:t>.</w:t>
            </w:r>
          </w:p>
        </w:tc>
        <w:tc>
          <w:tcPr>
            <w:tcW w:w="2257" w:type="dxa"/>
            <w:tcBorders>
              <w:top w:val="nil"/>
              <w:left w:val="single" w:sz="6" w:space="0" w:color="auto"/>
              <w:bottom w:val="nil"/>
              <w:right w:val="nil"/>
            </w:tcBorders>
          </w:tcPr>
          <w:p w:rsidR="003B2872" w:rsidRPr="0089112E" w:rsidRDefault="00305049" w:rsidP="00B671E2">
            <w:pPr>
              <w:widowControl/>
              <w:numPr>
                <w:ilvl w:val="12"/>
                <w:numId w:val="0"/>
              </w:numPr>
              <w:jc w:val="center"/>
            </w:pPr>
            <w:r>
              <w:t>870</w:t>
            </w:r>
          </w:p>
        </w:tc>
        <w:tc>
          <w:tcPr>
            <w:tcW w:w="2349" w:type="dxa"/>
            <w:tcBorders>
              <w:top w:val="nil"/>
              <w:left w:val="single" w:sz="6" w:space="0" w:color="auto"/>
              <w:bottom w:val="nil"/>
              <w:right w:val="double" w:sz="6" w:space="0" w:color="auto"/>
            </w:tcBorders>
          </w:tcPr>
          <w:p w:rsidR="003B2872" w:rsidRPr="0089112E" w:rsidRDefault="003B2872" w:rsidP="00305049">
            <w:pPr>
              <w:widowControl/>
              <w:numPr>
                <w:ilvl w:val="12"/>
                <w:numId w:val="0"/>
              </w:numPr>
              <w:jc w:val="center"/>
            </w:pPr>
            <w:r w:rsidRPr="0089112E">
              <w:t>$</w:t>
            </w:r>
            <w:r w:rsidR="00305049">
              <w:t>43,056</w:t>
            </w:r>
          </w:p>
        </w:tc>
      </w:tr>
      <w:tr w:rsidR="003B2872" w:rsidRPr="0089112E" w:rsidTr="00B671E2">
        <w:trPr>
          <w:cantSplit/>
          <w:jc w:val="center"/>
        </w:trPr>
        <w:tc>
          <w:tcPr>
            <w:tcW w:w="4754" w:type="dxa"/>
            <w:tcBorders>
              <w:top w:val="nil"/>
              <w:left w:val="double" w:sz="6" w:space="0" w:color="auto"/>
              <w:bottom w:val="nil"/>
              <w:right w:val="nil"/>
            </w:tcBorders>
          </w:tcPr>
          <w:p w:rsidR="003B2872" w:rsidRPr="0089112E" w:rsidRDefault="003B2872" w:rsidP="00E1074A">
            <w:pPr>
              <w:widowControl/>
              <w:numPr>
                <w:ilvl w:val="12"/>
                <w:numId w:val="0"/>
              </w:numPr>
            </w:pPr>
            <w:r w:rsidRPr="0089112E">
              <w:t>Emissions reporting</w:t>
            </w:r>
            <w:r>
              <w:t>.</w:t>
            </w:r>
          </w:p>
        </w:tc>
        <w:tc>
          <w:tcPr>
            <w:tcW w:w="2257" w:type="dxa"/>
            <w:tcBorders>
              <w:top w:val="nil"/>
              <w:left w:val="single" w:sz="6" w:space="0" w:color="auto"/>
              <w:bottom w:val="nil"/>
              <w:right w:val="nil"/>
            </w:tcBorders>
          </w:tcPr>
          <w:p w:rsidR="003B2872" w:rsidRPr="0089112E" w:rsidRDefault="00A908B3" w:rsidP="00B671E2">
            <w:pPr>
              <w:widowControl/>
              <w:numPr>
                <w:ilvl w:val="12"/>
                <w:numId w:val="0"/>
              </w:numPr>
              <w:jc w:val="center"/>
            </w:pPr>
            <w:r>
              <w:t>14,954</w:t>
            </w:r>
          </w:p>
        </w:tc>
        <w:tc>
          <w:tcPr>
            <w:tcW w:w="2349" w:type="dxa"/>
            <w:tcBorders>
              <w:top w:val="nil"/>
              <w:left w:val="single" w:sz="6" w:space="0" w:color="auto"/>
              <w:bottom w:val="nil"/>
              <w:right w:val="double" w:sz="6" w:space="0" w:color="auto"/>
            </w:tcBorders>
          </w:tcPr>
          <w:p w:rsidR="003B2872" w:rsidRPr="0089112E" w:rsidRDefault="00C17FC3" w:rsidP="00C6351C">
            <w:pPr>
              <w:widowControl/>
              <w:numPr>
                <w:ilvl w:val="12"/>
                <w:numId w:val="0"/>
              </w:numPr>
              <w:jc w:val="center"/>
            </w:pPr>
            <w:r w:rsidRPr="0089112E">
              <w:t>$</w:t>
            </w:r>
            <w:r w:rsidR="00C6351C">
              <w:t>790,073</w:t>
            </w:r>
          </w:p>
        </w:tc>
      </w:tr>
      <w:tr w:rsidR="003B2872" w:rsidRPr="0089112E" w:rsidTr="00B671E2">
        <w:trPr>
          <w:cantSplit/>
          <w:jc w:val="center"/>
        </w:trPr>
        <w:tc>
          <w:tcPr>
            <w:tcW w:w="4754" w:type="dxa"/>
            <w:tcBorders>
              <w:top w:val="nil"/>
              <w:left w:val="double" w:sz="6" w:space="0" w:color="auto"/>
              <w:bottom w:val="nil"/>
              <w:right w:val="nil"/>
            </w:tcBorders>
          </w:tcPr>
          <w:p w:rsidR="003B2872" w:rsidRPr="0089112E" w:rsidRDefault="003B2872" w:rsidP="00E1074A">
            <w:pPr>
              <w:widowControl/>
              <w:numPr>
                <w:ilvl w:val="12"/>
                <w:numId w:val="0"/>
              </w:numPr>
            </w:pPr>
            <w:r w:rsidRPr="0089112E">
              <w:t>Auctions</w:t>
            </w:r>
            <w:r>
              <w:t>.</w:t>
            </w:r>
          </w:p>
        </w:tc>
        <w:tc>
          <w:tcPr>
            <w:tcW w:w="2257" w:type="dxa"/>
            <w:tcBorders>
              <w:top w:val="nil"/>
              <w:left w:val="single" w:sz="6" w:space="0" w:color="auto"/>
              <w:bottom w:val="nil"/>
              <w:right w:val="nil"/>
            </w:tcBorders>
          </w:tcPr>
          <w:p w:rsidR="003B2872" w:rsidRPr="0089112E" w:rsidRDefault="00890491" w:rsidP="00B671E2">
            <w:pPr>
              <w:widowControl/>
              <w:numPr>
                <w:ilvl w:val="12"/>
                <w:numId w:val="0"/>
              </w:numPr>
              <w:jc w:val="center"/>
            </w:pPr>
            <w:r>
              <w:t>85</w:t>
            </w:r>
          </w:p>
        </w:tc>
        <w:tc>
          <w:tcPr>
            <w:tcW w:w="2349" w:type="dxa"/>
            <w:tcBorders>
              <w:top w:val="nil"/>
              <w:left w:val="single" w:sz="6" w:space="0" w:color="auto"/>
              <w:bottom w:val="nil"/>
              <w:right w:val="double" w:sz="6" w:space="0" w:color="auto"/>
            </w:tcBorders>
          </w:tcPr>
          <w:p w:rsidR="003B2872" w:rsidRPr="0089112E" w:rsidRDefault="00C17FC3" w:rsidP="00305049">
            <w:pPr>
              <w:widowControl/>
              <w:numPr>
                <w:ilvl w:val="12"/>
                <w:numId w:val="0"/>
              </w:numPr>
              <w:jc w:val="center"/>
            </w:pPr>
            <w:r w:rsidRPr="0089112E">
              <w:t>$</w:t>
            </w:r>
            <w:r w:rsidR="00305049">
              <w:t>4,206.65</w:t>
            </w:r>
          </w:p>
        </w:tc>
      </w:tr>
      <w:tr w:rsidR="003B2872" w:rsidRPr="0089112E" w:rsidTr="00B671E2">
        <w:trPr>
          <w:cantSplit/>
          <w:jc w:val="center"/>
        </w:trPr>
        <w:tc>
          <w:tcPr>
            <w:tcW w:w="4754" w:type="dxa"/>
            <w:tcBorders>
              <w:top w:val="nil"/>
              <w:left w:val="double" w:sz="6" w:space="0" w:color="auto"/>
              <w:bottom w:val="nil"/>
              <w:right w:val="nil"/>
            </w:tcBorders>
          </w:tcPr>
          <w:p w:rsidR="003B2872" w:rsidRPr="0089112E" w:rsidRDefault="003B2872" w:rsidP="00E1074A">
            <w:pPr>
              <w:widowControl/>
              <w:numPr>
                <w:ilvl w:val="12"/>
                <w:numId w:val="0"/>
              </w:numPr>
            </w:pPr>
            <w:r w:rsidRPr="0089112E">
              <w:t>Opt-in</w:t>
            </w:r>
            <w:r>
              <w:t>.</w:t>
            </w:r>
          </w:p>
        </w:tc>
        <w:tc>
          <w:tcPr>
            <w:tcW w:w="2257" w:type="dxa"/>
            <w:tcBorders>
              <w:top w:val="nil"/>
              <w:left w:val="single" w:sz="6" w:space="0" w:color="auto"/>
              <w:bottom w:val="nil"/>
              <w:right w:val="nil"/>
            </w:tcBorders>
          </w:tcPr>
          <w:p w:rsidR="003B2872" w:rsidRPr="0089112E" w:rsidRDefault="00A908B3" w:rsidP="00B671E2">
            <w:pPr>
              <w:widowControl/>
              <w:numPr>
                <w:ilvl w:val="12"/>
                <w:numId w:val="0"/>
              </w:numPr>
              <w:jc w:val="center"/>
            </w:pPr>
            <w:r>
              <w:t>45</w:t>
            </w:r>
          </w:p>
        </w:tc>
        <w:tc>
          <w:tcPr>
            <w:tcW w:w="2349" w:type="dxa"/>
            <w:tcBorders>
              <w:top w:val="nil"/>
              <w:left w:val="single" w:sz="6" w:space="0" w:color="auto"/>
              <w:bottom w:val="nil"/>
              <w:right w:val="double" w:sz="6" w:space="0" w:color="auto"/>
            </w:tcBorders>
          </w:tcPr>
          <w:p w:rsidR="003B2872" w:rsidRPr="0089112E" w:rsidRDefault="00C17FC3" w:rsidP="00305049">
            <w:pPr>
              <w:widowControl/>
              <w:numPr>
                <w:ilvl w:val="12"/>
                <w:numId w:val="0"/>
              </w:numPr>
              <w:jc w:val="center"/>
            </w:pPr>
            <w:r w:rsidRPr="0089112E">
              <w:t>$</w:t>
            </w:r>
            <w:r w:rsidR="00C6351C">
              <w:t>2227.05</w:t>
            </w:r>
          </w:p>
        </w:tc>
      </w:tr>
      <w:tr w:rsidR="003B2872" w:rsidRPr="0089112E" w:rsidTr="00B671E2">
        <w:trPr>
          <w:cantSplit/>
          <w:jc w:val="center"/>
        </w:trPr>
        <w:tc>
          <w:tcPr>
            <w:tcW w:w="4754" w:type="dxa"/>
            <w:tcBorders>
              <w:top w:val="nil"/>
              <w:left w:val="double" w:sz="6" w:space="0" w:color="auto"/>
              <w:bottom w:val="nil"/>
              <w:right w:val="nil"/>
            </w:tcBorders>
          </w:tcPr>
          <w:p w:rsidR="003B2872" w:rsidRPr="0089112E" w:rsidRDefault="003B2872" w:rsidP="00E1074A">
            <w:pPr>
              <w:widowControl/>
              <w:numPr>
                <w:ilvl w:val="12"/>
                <w:numId w:val="0"/>
              </w:numPr>
            </w:pPr>
            <w:proofErr w:type="spellStart"/>
            <w:r w:rsidRPr="0089112E">
              <w:t>NO</w:t>
            </w:r>
            <w:r w:rsidRPr="0089112E">
              <w:rPr>
                <w:vertAlign w:val="subscript"/>
              </w:rPr>
              <w:t>x</w:t>
            </w:r>
            <w:proofErr w:type="spellEnd"/>
            <w:r w:rsidRPr="0089112E">
              <w:t xml:space="preserve"> permitting</w:t>
            </w:r>
            <w:r>
              <w:t>.</w:t>
            </w:r>
          </w:p>
        </w:tc>
        <w:tc>
          <w:tcPr>
            <w:tcW w:w="2257" w:type="dxa"/>
            <w:tcBorders>
              <w:top w:val="nil"/>
              <w:left w:val="single" w:sz="6" w:space="0" w:color="auto"/>
              <w:bottom w:val="nil"/>
              <w:right w:val="nil"/>
            </w:tcBorders>
          </w:tcPr>
          <w:p w:rsidR="003B2872" w:rsidRPr="0089112E" w:rsidRDefault="00890491" w:rsidP="00B671E2">
            <w:pPr>
              <w:widowControl/>
              <w:numPr>
                <w:ilvl w:val="12"/>
                <w:numId w:val="0"/>
              </w:numPr>
              <w:jc w:val="center"/>
            </w:pPr>
            <w:r>
              <w:t>127</w:t>
            </w:r>
          </w:p>
        </w:tc>
        <w:tc>
          <w:tcPr>
            <w:tcW w:w="2349" w:type="dxa"/>
            <w:tcBorders>
              <w:top w:val="nil"/>
              <w:left w:val="single" w:sz="6" w:space="0" w:color="auto"/>
              <w:bottom w:val="nil"/>
              <w:right w:val="double" w:sz="6" w:space="0" w:color="auto"/>
            </w:tcBorders>
          </w:tcPr>
          <w:p w:rsidR="003B2872" w:rsidRPr="0089112E" w:rsidRDefault="00C17FC3" w:rsidP="00305049">
            <w:pPr>
              <w:widowControl/>
              <w:numPr>
                <w:ilvl w:val="12"/>
                <w:numId w:val="0"/>
              </w:numPr>
              <w:jc w:val="center"/>
            </w:pPr>
            <w:r w:rsidRPr="0089112E">
              <w:t>$</w:t>
            </w:r>
            <w:r w:rsidR="00305049">
              <w:t>6,285.23</w:t>
            </w:r>
          </w:p>
        </w:tc>
      </w:tr>
      <w:tr w:rsidR="009907D5" w:rsidRPr="0089112E" w:rsidTr="00B671E2">
        <w:trPr>
          <w:cantSplit/>
          <w:jc w:val="center"/>
        </w:trPr>
        <w:tc>
          <w:tcPr>
            <w:tcW w:w="4754" w:type="dxa"/>
            <w:tcBorders>
              <w:top w:val="nil"/>
              <w:left w:val="double" w:sz="6" w:space="0" w:color="auto"/>
              <w:bottom w:val="nil"/>
              <w:right w:val="nil"/>
            </w:tcBorders>
          </w:tcPr>
          <w:p w:rsidR="009907D5" w:rsidRPr="0089112E" w:rsidRDefault="009907D5" w:rsidP="00E1074A">
            <w:pPr>
              <w:widowControl/>
              <w:numPr>
                <w:ilvl w:val="12"/>
                <w:numId w:val="0"/>
              </w:numPr>
            </w:pPr>
            <w:r w:rsidRPr="0089112E">
              <w:t xml:space="preserve">Operation &amp; Maintenance of data </w:t>
            </w:r>
            <w:proofErr w:type="spellStart"/>
            <w:r w:rsidRPr="0089112E">
              <w:t>systems</w:t>
            </w:r>
            <w:r w:rsidR="00A466D0">
              <w:t>.</w:t>
            </w:r>
            <w:r w:rsidRPr="0089112E">
              <w:rPr>
                <w:vertAlign w:val="superscript"/>
              </w:rPr>
              <w:t>b</w:t>
            </w:r>
            <w:proofErr w:type="spellEnd"/>
          </w:p>
        </w:tc>
        <w:tc>
          <w:tcPr>
            <w:tcW w:w="2257" w:type="dxa"/>
            <w:tcBorders>
              <w:top w:val="nil"/>
              <w:left w:val="single" w:sz="6" w:space="0" w:color="auto"/>
              <w:bottom w:val="nil"/>
              <w:right w:val="nil"/>
            </w:tcBorders>
          </w:tcPr>
          <w:p w:rsidR="009907D5" w:rsidRPr="0089112E" w:rsidRDefault="009907D5" w:rsidP="00B671E2">
            <w:pPr>
              <w:widowControl/>
              <w:numPr>
                <w:ilvl w:val="12"/>
                <w:numId w:val="0"/>
              </w:numPr>
              <w:jc w:val="center"/>
            </w:pPr>
            <w:r w:rsidRPr="0089112E">
              <w:t>N</w:t>
            </w:r>
            <w:r w:rsidR="003B2872">
              <w:t>/</w:t>
            </w:r>
            <w:r w:rsidRPr="0089112E">
              <w:t>A</w:t>
            </w:r>
          </w:p>
        </w:tc>
        <w:tc>
          <w:tcPr>
            <w:tcW w:w="2349" w:type="dxa"/>
            <w:tcBorders>
              <w:top w:val="nil"/>
              <w:left w:val="single" w:sz="6" w:space="0" w:color="auto"/>
              <w:bottom w:val="nil"/>
              <w:right w:val="double" w:sz="6" w:space="0" w:color="auto"/>
            </w:tcBorders>
          </w:tcPr>
          <w:p w:rsidR="009907D5" w:rsidRPr="0089112E" w:rsidRDefault="009907D5" w:rsidP="00B671E2">
            <w:pPr>
              <w:widowControl/>
              <w:numPr>
                <w:ilvl w:val="12"/>
                <w:numId w:val="0"/>
              </w:numPr>
              <w:jc w:val="center"/>
            </w:pPr>
            <w:r w:rsidRPr="0089112E">
              <w:t>$1,500,000</w:t>
            </w:r>
            <w:r w:rsidR="0089112E">
              <w:t>.00</w:t>
            </w:r>
          </w:p>
        </w:tc>
      </w:tr>
      <w:tr w:rsidR="009907D5" w:rsidRPr="0089112E" w:rsidTr="00B671E2">
        <w:trPr>
          <w:cantSplit/>
          <w:jc w:val="center"/>
        </w:trPr>
        <w:tc>
          <w:tcPr>
            <w:tcW w:w="4754" w:type="dxa"/>
            <w:tcBorders>
              <w:top w:val="double" w:sz="6" w:space="0" w:color="auto"/>
              <w:left w:val="double" w:sz="6" w:space="0" w:color="auto"/>
              <w:bottom w:val="double" w:sz="6" w:space="0" w:color="auto"/>
              <w:right w:val="nil"/>
            </w:tcBorders>
          </w:tcPr>
          <w:p w:rsidR="009907D5" w:rsidRPr="0089112E" w:rsidRDefault="009907D5" w:rsidP="00E1074A">
            <w:pPr>
              <w:widowControl/>
              <w:numPr>
                <w:ilvl w:val="12"/>
                <w:numId w:val="0"/>
              </w:numPr>
              <w:rPr>
                <w:b/>
              </w:rPr>
            </w:pPr>
            <w:r w:rsidRPr="0089112E">
              <w:rPr>
                <w:b/>
              </w:rPr>
              <w:t>TOTAL</w:t>
            </w:r>
          </w:p>
        </w:tc>
        <w:tc>
          <w:tcPr>
            <w:tcW w:w="2257" w:type="dxa"/>
            <w:tcBorders>
              <w:top w:val="double" w:sz="6" w:space="0" w:color="auto"/>
              <w:left w:val="single" w:sz="6" w:space="0" w:color="auto"/>
              <w:bottom w:val="double" w:sz="6" w:space="0" w:color="auto"/>
              <w:right w:val="nil"/>
            </w:tcBorders>
          </w:tcPr>
          <w:p w:rsidR="009907D5" w:rsidRPr="0089112E" w:rsidRDefault="00A833FD" w:rsidP="007F6DB4">
            <w:pPr>
              <w:widowControl/>
              <w:numPr>
                <w:ilvl w:val="12"/>
                <w:numId w:val="0"/>
              </w:numPr>
              <w:jc w:val="center"/>
              <w:rPr>
                <w:b/>
              </w:rPr>
            </w:pPr>
            <w:r>
              <w:rPr>
                <w:b/>
              </w:rPr>
              <w:t>18,</w:t>
            </w:r>
            <w:r w:rsidR="007F6DB4">
              <w:rPr>
                <w:b/>
              </w:rPr>
              <w:t>303</w:t>
            </w:r>
          </w:p>
        </w:tc>
        <w:tc>
          <w:tcPr>
            <w:tcW w:w="2349" w:type="dxa"/>
            <w:tcBorders>
              <w:top w:val="double" w:sz="6" w:space="0" w:color="auto"/>
              <w:left w:val="single" w:sz="6" w:space="0" w:color="auto"/>
              <w:bottom w:val="double" w:sz="6" w:space="0" w:color="auto"/>
              <w:right w:val="double" w:sz="6" w:space="0" w:color="auto"/>
            </w:tcBorders>
          </w:tcPr>
          <w:p w:rsidR="009907D5" w:rsidRPr="0089112E" w:rsidRDefault="00B671E2" w:rsidP="007F6DB4">
            <w:pPr>
              <w:widowControl/>
              <w:numPr>
                <w:ilvl w:val="12"/>
                <w:numId w:val="0"/>
              </w:numPr>
              <w:jc w:val="center"/>
              <w:rPr>
                <w:b/>
              </w:rPr>
            </w:pPr>
            <w:r>
              <w:rPr>
                <w:b/>
              </w:rPr>
              <w:t>$</w:t>
            </w:r>
            <w:r w:rsidR="00C6351C">
              <w:rPr>
                <w:b/>
              </w:rPr>
              <w:t>2,455,815.</w:t>
            </w:r>
            <w:r w:rsidR="007F6DB4">
              <w:rPr>
                <w:b/>
              </w:rPr>
              <w:t>97</w:t>
            </w:r>
          </w:p>
        </w:tc>
      </w:tr>
    </w:tbl>
    <w:p w:rsidR="00E1074A" w:rsidRDefault="00E1074A" w:rsidP="00E1074A">
      <w:pPr>
        <w:widowControl/>
        <w:numPr>
          <w:ilvl w:val="12"/>
          <w:numId w:val="0"/>
        </w:numPr>
        <w:rPr>
          <w:sz w:val="24"/>
          <w:szCs w:val="24"/>
        </w:rPr>
      </w:pPr>
    </w:p>
    <w:p w:rsidR="009907D5" w:rsidRPr="0089112E" w:rsidRDefault="009907D5" w:rsidP="00BE0C20">
      <w:pPr>
        <w:widowControl/>
        <w:numPr>
          <w:ilvl w:val="12"/>
          <w:numId w:val="0"/>
        </w:numPr>
        <w:ind w:left="1080" w:hanging="180"/>
      </w:pPr>
      <w:r w:rsidRPr="0089112E">
        <w:rPr>
          <w:vertAlign w:val="superscript"/>
        </w:rPr>
        <w:t>a</w:t>
      </w:r>
      <w:r w:rsidRPr="0089112E">
        <w:tab/>
        <w:t>20</w:t>
      </w:r>
      <w:r w:rsidR="00305049">
        <w:t>12</w:t>
      </w:r>
      <w:r w:rsidRPr="0089112E">
        <w:t xml:space="preserve"> dollars.</w:t>
      </w:r>
    </w:p>
    <w:p w:rsidR="009907D5" w:rsidRPr="0089112E" w:rsidRDefault="009907D5" w:rsidP="00BE0C20">
      <w:pPr>
        <w:widowControl/>
        <w:numPr>
          <w:ilvl w:val="12"/>
          <w:numId w:val="0"/>
        </w:numPr>
        <w:ind w:left="1080" w:hanging="180"/>
      </w:pPr>
      <w:r w:rsidRPr="0089112E">
        <w:rPr>
          <w:vertAlign w:val="superscript"/>
        </w:rPr>
        <w:t>b</w:t>
      </w:r>
      <w:r w:rsidRPr="0089112E">
        <w:tab/>
        <w:t>Average annual operation and maintenance costs associated with running electronic data systems are assumed to be incurred by an EPA contractor</w:t>
      </w:r>
      <w:r w:rsidR="00CE3ABF" w:rsidRPr="0089112E">
        <w:t xml:space="preserve">. </w:t>
      </w:r>
      <w:r w:rsidRPr="0089112E">
        <w:t>Therefore, EPA will not incur any labor burden for these activities</w:t>
      </w:r>
      <w:r w:rsidR="0089112E">
        <w:t>.</w:t>
      </w:r>
    </w:p>
    <w:p w:rsidR="009907D5" w:rsidRDefault="009907D5" w:rsidP="00AB4259">
      <w:pPr>
        <w:widowControl/>
        <w:numPr>
          <w:ilvl w:val="12"/>
          <w:numId w:val="0"/>
        </w:numPr>
        <w:tabs>
          <w:tab w:val="left" w:pos="0"/>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907D5" w:rsidRDefault="009907D5" w:rsidP="00AB4259">
      <w:pPr>
        <w:widowControl/>
        <w:numPr>
          <w:ilvl w:val="12"/>
          <w:numId w:val="0"/>
        </w:numPr>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9907D5" w:rsidSect="00E13E45">
          <w:headerReference w:type="default" r:id="rId24"/>
          <w:footerReference w:type="default" r:id="rId25"/>
          <w:pgSz w:w="12240" w:h="15840"/>
          <w:pgMar w:top="2045" w:right="720" w:bottom="2045" w:left="720" w:header="1152" w:footer="1440" w:gutter="0"/>
          <w:cols w:space="720"/>
          <w:noEndnote/>
          <w:docGrid w:linePitch="272"/>
        </w:sectPr>
      </w:pPr>
    </w:p>
    <w:p w:rsidR="00455822" w:rsidRDefault="00455822" w:rsidP="00AB4259">
      <w:pPr>
        <w:widowControl/>
        <w:numPr>
          <w:ilvl w:val="12"/>
          <w:numId w:val="0"/>
        </w:numPr>
        <w:tabs>
          <w:tab w:val="left" w:pos="-1440"/>
          <w:tab w:val="left" w:pos="-720"/>
        </w:tabs>
        <w:jc w:val="center"/>
        <w:rPr>
          <w:b/>
          <w:bCs/>
          <w:sz w:val="24"/>
          <w:szCs w:val="24"/>
        </w:rPr>
      </w:pPr>
    </w:p>
    <w:p w:rsidR="0032369C" w:rsidRDefault="009907D5" w:rsidP="00AB4259">
      <w:pPr>
        <w:widowControl/>
        <w:numPr>
          <w:ilvl w:val="12"/>
          <w:numId w:val="0"/>
        </w:numPr>
        <w:tabs>
          <w:tab w:val="left" w:pos="-1440"/>
          <w:tab w:val="left" w:pos="-720"/>
        </w:tabs>
        <w:jc w:val="center"/>
        <w:rPr>
          <w:b/>
          <w:bCs/>
          <w:sz w:val="24"/>
          <w:szCs w:val="24"/>
        </w:rPr>
      </w:pPr>
      <w:r>
        <w:rPr>
          <w:b/>
          <w:bCs/>
          <w:sz w:val="24"/>
          <w:szCs w:val="24"/>
        </w:rPr>
        <w:t>Appendix A</w:t>
      </w:r>
    </w:p>
    <w:p w:rsidR="0032369C" w:rsidRDefault="0032369C" w:rsidP="00AB4259">
      <w:pPr>
        <w:widowControl/>
        <w:numPr>
          <w:ilvl w:val="12"/>
          <w:numId w:val="0"/>
        </w:numPr>
        <w:tabs>
          <w:tab w:val="left" w:pos="-1440"/>
          <w:tab w:val="left" w:pos="-720"/>
        </w:tabs>
        <w:jc w:val="center"/>
        <w:rPr>
          <w:b/>
          <w:bCs/>
          <w:sz w:val="24"/>
          <w:szCs w:val="24"/>
        </w:rPr>
      </w:pPr>
    </w:p>
    <w:p w:rsidR="009907D5" w:rsidRDefault="009907D5" w:rsidP="00AB4259">
      <w:pPr>
        <w:widowControl/>
        <w:numPr>
          <w:ilvl w:val="12"/>
          <w:numId w:val="0"/>
        </w:numPr>
        <w:tabs>
          <w:tab w:val="left" w:pos="-1440"/>
          <w:tab w:val="left" w:pos="-720"/>
        </w:tabs>
        <w:jc w:val="center"/>
        <w:rPr>
          <w:sz w:val="24"/>
          <w:szCs w:val="24"/>
        </w:rPr>
      </w:pPr>
      <w:r>
        <w:rPr>
          <w:b/>
          <w:bCs/>
          <w:sz w:val="24"/>
          <w:szCs w:val="24"/>
        </w:rPr>
        <w:t>Acid Rain Program Forms and Instructions</w:t>
      </w:r>
    </w:p>
    <w:p w:rsidR="009907D5" w:rsidRDefault="009907D5" w:rsidP="00AB4259">
      <w:pPr>
        <w:widowControl/>
        <w:numPr>
          <w:ilvl w:val="12"/>
          <w:numId w:val="0"/>
        </w:numPr>
        <w:tabs>
          <w:tab w:val="left" w:pos="-1440"/>
          <w:tab w:val="left" w:pos="-720"/>
        </w:tabs>
        <w:rPr>
          <w:sz w:val="24"/>
          <w:szCs w:val="24"/>
        </w:rPr>
      </w:pPr>
    </w:p>
    <w:p w:rsidR="00455822" w:rsidRDefault="00455822" w:rsidP="00AB4259">
      <w:pPr>
        <w:widowControl/>
        <w:numPr>
          <w:ilvl w:val="12"/>
          <w:numId w:val="0"/>
        </w:numPr>
        <w:tabs>
          <w:tab w:val="left" w:pos="-1440"/>
          <w:tab w:val="left" w:pos="-720"/>
        </w:tabs>
        <w:rPr>
          <w:sz w:val="24"/>
          <w:szCs w:val="24"/>
        </w:rPr>
      </w:pPr>
    </w:p>
    <w:p w:rsidR="009907D5" w:rsidRPr="000E34FE" w:rsidRDefault="009907D5" w:rsidP="00AB4259">
      <w:pPr>
        <w:widowControl/>
        <w:numPr>
          <w:ilvl w:val="12"/>
          <w:numId w:val="0"/>
        </w:numPr>
        <w:tabs>
          <w:tab w:val="left" w:pos="-1440"/>
          <w:tab w:val="left" w:pos="-720"/>
        </w:tabs>
        <w:rPr>
          <w:sz w:val="24"/>
          <w:szCs w:val="24"/>
        </w:rPr>
      </w:pPr>
      <w:r>
        <w:rPr>
          <w:sz w:val="24"/>
          <w:szCs w:val="24"/>
        </w:rPr>
        <w:tab/>
        <w:t xml:space="preserve">EPA </w:t>
      </w:r>
      <w:r>
        <w:rPr>
          <w:bCs/>
          <w:sz w:val="24"/>
          <w:szCs w:val="24"/>
        </w:rPr>
        <w:t xml:space="preserve">Acid Rain Program Forms and Instructions are shown below, and can be downloaded from the Forms for Clean Air Markets </w:t>
      </w:r>
      <w:r w:rsidRPr="000E34FE">
        <w:rPr>
          <w:bCs/>
          <w:sz w:val="24"/>
          <w:szCs w:val="24"/>
        </w:rPr>
        <w:t xml:space="preserve">Programs website, </w:t>
      </w:r>
      <w:hyperlink r:id="rId26" w:history="1">
        <w:r w:rsidRPr="000E34FE">
          <w:rPr>
            <w:rStyle w:val="Hyperlink"/>
            <w:sz w:val="24"/>
            <w:szCs w:val="24"/>
          </w:rPr>
          <w:t>http://www.epa.gov/airmarkt/business/forms.html</w:t>
        </w:r>
      </w:hyperlink>
      <w:r w:rsidR="00562093" w:rsidRPr="000E34FE">
        <w:rPr>
          <w:sz w:val="24"/>
          <w:szCs w:val="24"/>
        </w:rPr>
        <w:t>.</w:t>
      </w:r>
    </w:p>
    <w:p w:rsidR="009907D5" w:rsidRPr="000E34FE" w:rsidRDefault="009907D5" w:rsidP="00AB4259">
      <w:pPr>
        <w:widowControl/>
        <w:numPr>
          <w:ilvl w:val="12"/>
          <w:numId w:val="0"/>
        </w:numPr>
        <w:tabs>
          <w:tab w:val="left" w:pos="-1440"/>
          <w:tab w:val="left" w:pos="-720"/>
        </w:tabs>
        <w:rPr>
          <w:sz w:val="24"/>
          <w:szCs w:val="24"/>
        </w:rPr>
      </w:pPr>
    </w:p>
    <w:p w:rsidR="009907D5" w:rsidRDefault="009907D5" w:rsidP="000C0515">
      <w:pPr>
        <w:widowControl/>
        <w:rPr>
          <w:sz w:val="24"/>
          <w:szCs w:val="24"/>
        </w:rPr>
      </w:pPr>
      <w:r w:rsidRPr="000E34FE">
        <w:rPr>
          <w:sz w:val="24"/>
          <w:szCs w:val="24"/>
        </w:rPr>
        <w:t>A</w:t>
      </w:r>
      <w:r w:rsidR="000E34FE" w:rsidRPr="000E34FE">
        <w:rPr>
          <w:sz w:val="24"/>
          <w:szCs w:val="24"/>
        </w:rPr>
        <w:t>cid Rain Program and CAIR Forms</w:t>
      </w:r>
      <w:r w:rsidR="000E34FE" w:rsidRPr="000E34FE">
        <w:rPr>
          <w:sz w:val="24"/>
          <w:szCs w:val="24"/>
        </w:rPr>
        <w:tab/>
      </w:r>
    </w:p>
    <w:p w:rsidR="0005644A" w:rsidRDefault="0005644A" w:rsidP="000C0515">
      <w:pPr>
        <w:widowControl/>
        <w:rPr>
          <w:sz w:val="24"/>
          <w:szCs w:val="24"/>
        </w:rPr>
      </w:pPr>
    </w:p>
    <w:p w:rsidR="009907D5" w:rsidRDefault="00F7117F" w:rsidP="001B42AE">
      <w:pPr>
        <w:widowControl/>
        <w:tabs>
          <w:tab w:val="left" w:pos="720"/>
          <w:tab w:val="left" w:pos="1440"/>
          <w:tab w:val="left" w:pos="2160"/>
          <w:tab w:val="left" w:pos="2880"/>
          <w:tab w:val="left" w:pos="3600"/>
          <w:tab w:val="left" w:pos="8196"/>
        </w:tabs>
        <w:rPr>
          <w:sz w:val="24"/>
          <w:szCs w:val="24"/>
        </w:rPr>
      </w:pPr>
      <w:hyperlink r:id="rId27" w:history="1">
        <w:r w:rsidR="009907D5" w:rsidRPr="001B42AE">
          <w:rPr>
            <w:rStyle w:val="Hyperlink"/>
            <w:sz w:val="24"/>
            <w:szCs w:val="24"/>
          </w:rPr>
          <w:t>Certificate of Representation Form</w:t>
        </w:r>
      </w:hyperlink>
      <w:r w:rsidR="000E34FE" w:rsidRPr="000E34FE">
        <w:rPr>
          <w:sz w:val="24"/>
          <w:szCs w:val="24"/>
        </w:rPr>
        <w:tab/>
      </w:r>
      <w:r w:rsidR="007F15F7">
        <w:rPr>
          <w:sz w:val="24"/>
          <w:szCs w:val="24"/>
        </w:rPr>
        <w:tab/>
      </w:r>
    </w:p>
    <w:p w:rsidR="0005644A" w:rsidRDefault="0005644A" w:rsidP="000C0515">
      <w:pPr>
        <w:widowControl/>
        <w:rPr>
          <w:sz w:val="24"/>
          <w:szCs w:val="24"/>
        </w:rPr>
      </w:pPr>
    </w:p>
    <w:p w:rsidR="009907D5" w:rsidRDefault="009907D5" w:rsidP="000C0515">
      <w:pPr>
        <w:widowControl/>
        <w:rPr>
          <w:sz w:val="24"/>
          <w:szCs w:val="24"/>
        </w:rPr>
      </w:pPr>
      <w:r w:rsidRPr="000E34FE">
        <w:rPr>
          <w:sz w:val="24"/>
          <w:szCs w:val="24"/>
        </w:rPr>
        <w:t xml:space="preserve">Certificate of Representation data can also be submitted online using the </w:t>
      </w:r>
      <w:hyperlink r:id="rId28" w:history="1">
        <w:r w:rsidRPr="000E34FE">
          <w:rPr>
            <w:rStyle w:val="Hyperlink"/>
            <w:sz w:val="24"/>
            <w:szCs w:val="24"/>
          </w:rPr>
          <w:t>CAMD Business System (CBS)</w:t>
        </w:r>
      </w:hyperlink>
      <w:r w:rsidR="00562093" w:rsidRPr="000E34FE">
        <w:rPr>
          <w:sz w:val="24"/>
          <w:szCs w:val="24"/>
        </w:rPr>
        <w:t xml:space="preserve"> </w:t>
      </w:r>
    </w:p>
    <w:p w:rsidR="009907D5" w:rsidRDefault="009907D5" w:rsidP="000C0515">
      <w:pPr>
        <w:widowControl/>
        <w:rPr>
          <w:sz w:val="24"/>
          <w:szCs w:val="24"/>
        </w:rPr>
      </w:pPr>
      <w:r w:rsidRPr="000E34FE">
        <w:rPr>
          <w:sz w:val="24"/>
          <w:szCs w:val="24"/>
        </w:rPr>
        <w:t>Allowance Transfer Form (see also</w:t>
      </w:r>
      <w:r w:rsidR="00562093" w:rsidRPr="000E34FE">
        <w:rPr>
          <w:sz w:val="24"/>
          <w:szCs w:val="24"/>
        </w:rPr>
        <w:t xml:space="preserve">:  </w:t>
      </w:r>
      <w:hyperlink r:id="rId29" w:history="1">
        <w:r w:rsidRPr="000E34FE">
          <w:rPr>
            <w:rStyle w:val="Hyperlink"/>
            <w:sz w:val="24"/>
            <w:szCs w:val="24"/>
          </w:rPr>
          <w:t>single signature requirement</w:t>
        </w:r>
      </w:hyperlink>
      <w:r w:rsidR="000E34FE" w:rsidRPr="000E34FE">
        <w:rPr>
          <w:sz w:val="24"/>
          <w:szCs w:val="24"/>
        </w:rPr>
        <w:t>)</w:t>
      </w:r>
    </w:p>
    <w:p w:rsidR="0005644A" w:rsidRDefault="0005644A" w:rsidP="000C0515">
      <w:pPr>
        <w:widowControl/>
        <w:rPr>
          <w:sz w:val="24"/>
          <w:szCs w:val="24"/>
        </w:rPr>
      </w:pPr>
    </w:p>
    <w:p w:rsidR="009907D5" w:rsidRDefault="00F7117F" w:rsidP="000C0515">
      <w:pPr>
        <w:widowControl/>
        <w:rPr>
          <w:sz w:val="24"/>
          <w:szCs w:val="24"/>
        </w:rPr>
      </w:pPr>
      <w:hyperlink r:id="rId30" w:history="1">
        <w:r w:rsidR="000E34FE" w:rsidRPr="001B42AE">
          <w:rPr>
            <w:rStyle w:val="Hyperlink"/>
            <w:sz w:val="24"/>
            <w:szCs w:val="24"/>
          </w:rPr>
          <w:t>General Account Form</w:t>
        </w:r>
      </w:hyperlink>
      <w:r w:rsidR="000E34FE" w:rsidRPr="000E34FE">
        <w:rPr>
          <w:sz w:val="24"/>
          <w:szCs w:val="24"/>
        </w:rPr>
        <w:tab/>
      </w:r>
    </w:p>
    <w:p w:rsidR="0005644A" w:rsidRDefault="0005644A" w:rsidP="000C0515">
      <w:pPr>
        <w:widowControl/>
        <w:rPr>
          <w:sz w:val="24"/>
          <w:szCs w:val="24"/>
        </w:rPr>
      </w:pPr>
    </w:p>
    <w:p w:rsidR="009907D5" w:rsidRDefault="00F7117F" w:rsidP="000C0515">
      <w:pPr>
        <w:widowControl/>
        <w:rPr>
          <w:sz w:val="24"/>
          <w:szCs w:val="24"/>
        </w:rPr>
      </w:pPr>
      <w:hyperlink r:id="rId31" w:history="1">
        <w:r w:rsidR="009907D5" w:rsidRPr="001B42AE">
          <w:rPr>
            <w:rStyle w:val="Hyperlink"/>
            <w:sz w:val="24"/>
            <w:szCs w:val="24"/>
          </w:rPr>
          <w:t>Retired Unit Exemption Form</w:t>
        </w:r>
      </w:hyperlink>
      <w:r w:rsidR="009907D5" w:rsidRPr="000E34FE">
        <w:rPr>
          <w:sz w:val="24"/>
          <w:szCs w:val="24"/>
        </w:rPr>
        <w:tab/>
        <w:t xml:space="preserve"> </w:t>
      </w:r>
    </w:p>
    <w:p w:rsidR="00633F80" w:rsidRDefault="00633F80" w:rsidP="000C0515">
      <w:pPr>
        <w:widowControl/>
        <w:rPr>
          <w:sz w:val="24"/>
          <w:szCs w:val="24"/>
        </w:rPr>
      </w:pPr>
    </w:p>
    <w:p w:rsidR="009907D5" w:rsidRPr="00316E00" w:rsidRDefault="009907D5" w:rsidP="003135F7">
      <w:pPr>
        <w:widowControl/>
        <w:pBdr>
          <w:top w:val="double" w:sz="6" w:space="1" w:color="auto"/>
        </w:pBdr>
        <w:rPr>
          <w:b/>
          <w:sz w:val="24"/>
          <w:szCs w:val="24"/>
        </w:rPr>
      </w:pPr>
      <w:r w:rsidRPr="00316E00">
        <w:rPr>
          <w:b/>
          <w:sz w:val="24"/>
          <w:szCs w:val="24"/>
        </w:rPr>
        <w:t>Acid Rain Program</w:t>
      </w:r>
    </w:p>
    <w:p w:rsidR="009907D5" w:rsidRPr="00316E00" w:rsidRDefault="009907D5" w:rsidP="00AB4259">
      <w:pPr>
        <w:widowControl/>
        <w:rPr>
          <w:b/>
          <w:sz w:val="24"/>
          <w:szCs w:val="24"/>
        </w:rPr>
      </w:pPr>
      <w:r w:rsidRPr="00316E00">
        <w:rPr>
          <w:b/>
          <w:sz w:val="24"/>
          <w:szCs w:val="24"/>
        </w:rPr>
        <w:t>EPA SO</w:t>
      </w:r>
      <w:r w:rsidRPr="00316E00">
        <w:rPr>
          <w:b/>
          <w:sz w:val="24"/>
          <w:szCs w:val="24"/>
          <w:vertAlign w:val="subscript"/>
        </w:rPr>
        <w:t>2</w:t>
      </w:r>
      <w:r w:rsidRPr="00316E00">
        <w:rPr>
          <w:b/>
          <w:sz w:val="24"/>
          <w:szCs w:val="24"/>
        </w:rPr>
        <w:t xml:space="preserve"> Allowance Auction </w:t>
      </w:r>
    </w:p>
    <w:p w:rsidR="009907D5" w:rsidRPr="000E34FE" w:rsidRDefault="009907D5" w:rsidP="00AB4259">
      <w:pPr>
        <w:widowControl/>
        <w:rPr>
          <w:sz w:val="24"/>
          <w:szCs w:val="24"/>
        </w:rPr>
      </w:pPr>
    </w:p>
    <w:p w:rsidR="000E34FE" w:rsidRPr="000E34FE" w:rsidRDefault="00F7117F" w:rsidP="000C0515">
      <w:pPr>
        <w:widowControl/>
        <w:rPr>
          <w:sz w:val="24"/>
          <w:szCs w:val="24"/>
        </w:rPr>
      </w:pPr>
      <w:hyperlink r:id="rId32" w:history="1">
        <w:r w:rsidR="009907D5" w:rsidRPr="000E34FE">
          <w:rPr>
            <w:rStyle w:val="Hyperlink"/>
            <w:sz w:val="24"/>
            <w:szCs w:val="24"/>
          </w:rPr>
          <w:t>20</w:t>
        </w:r>
        <w:r w:rsidR="009525D1">
          <w:rPr>
            <w:rStyle w:val="Hyperlink"/>
            <w:sz w:val="24"/>
            <w:szCs w:val="24"/>
          </w:rPr>
          <w:t>12</w:t>
        </w:r>
        <w:r w:rsidR="009907D5" w:rsidRPr="000E34FE">
          <w:rPr>
            <w:rStyle w:val="Hyperlink"/>
            <w:sz w:val="24"/>
            <w:szCs w:val="24"/>
          </w:rPr>
          <w:t xml:space="preserve"> How to Bid Factsheet</w:t>
        </w:r>
      </w:hyperlink>
      <w:r w:rsidR="009907D5" w:rsidRPr="000E34FE">
        <w:rPr>
          <w:sz w:val="24"/>
          <w:szCs w:val="24"/>
        </w:rPr>
        <w:t xml:space="preserve">  </w:t>
      </w:r>
    </w:p>
    <w:p w:rsidR="000E34FE" w:rsidRPr="000E34FE" w:rsidRDefault="00F7117F" w:rsidP="000C0515">
      <w:pPr>
        <w:widowControl/>
        <w:rPr>
          <w:sz w:val="24"/>
          <w:szCs w:val="24"/>
        </w:rPr>
      </w:pPr>
      <w:hyperlink r:id="rId33" w:history="1">
        <w:r w:rsidR="009525D1" w:rsidRPr="000E34FE">
          <w:rPr>
            <w:rStyle w:val="Hyperlink"/>
            <w:sz w:val="24"/>
            <w:szCs w:val="24"/>
          </w:rPr>
          <w:t>20</w:t>
        </w:r>
        <w:r w:rsidR="009525D1">
          <w:rPr>
            <w:rStyle w:val="Hyperlink"/>
            <w:sz w:val="24"/>
            <w:szCs w:val="24"/>
          </w:rPr>
          <w:t>12</w:t>
        </w:r>
        <w:r w:rsidR="009525D1" w:rsidRPr="000E34FE">
          <w:rPr>
            <w:rStyle w:val="Hyperlink"/>
            <w:sz w:val="24"/>
            <w:szCs w:val="24"/>
          </w:rPr>
          <w:t xml:space="preserve"> Bid Form and Instructions</w:t>
        </w:r>
      </w:hyperlink>
      <w:r w:rsidR="009907D5" w:rsidRPr="000E34FE">
        <w:rPr>
          <w:sz w:val="24"/>
          <w:szCs w:val="24"/>
        </w:rPr>
        <w:t xml:space="preserve"> </w:t>
      </w:r>
    </w:p>
    <w:p w:rsidR="000E34FE" w:rsidRPr="000E34FE" w:rsidRDefault="00F7117F" w:rsidP="000C0515">
      <w:pPr>
        <w:widowControl/>
        <w:rPr>
          <w:sz w:val="24"/>
          <w:szCs w:val="24"/>
        </w:rPr>
      </w:pPr>
      <w:hyperlink r:id="rId34" w:history="1">
        <w:r w:rsidR="009525D1" w:rsidRPr="000E34FE">
          <w:rPr>
            <w:rStyle w:val="Hyperlink"/>
            <w:sz w:val="24"/>
            <w:szCs w:val="24"/>
          </w:rPr>
          <w:t>20</w:t>
        </w:r>
        <w:r w:rsidR="009525D1">
          <w:rPr>
            <w:rStyle w:val="Hyperlink"/>
            <w:sz w:val="24"/>
            <w:szCs w:val="24"/>
          </w:rPr>
          <w:t>12</w:t>
        </w:r>
        <w:r w:rsidR="009525D1" w:rsidRPr="000E34FE">
          <w:rPr>
            <w:rStyle w:val="Hyperlink"/>
            <w:sz w:val="24"/>
            <w:szCs w:val="24"/>
          </w:rPr>
          <w:t xml:space="preserve"> Offer Form and Instructions</w:t>
        </w:r>
      </w:hyperlink>
      <w:r w:rsidR="009907D5" w:rsidRPr="000E34FE">
        <w:rPr>
          <w:sz w:val="24"/>
          <w:szCs w:val="24"/>
        </w:rPr>
        <w:t xml:space="preserve"> </w:t>
      </w:r>
    </w:p>
    <w:p w:rsidR="000E34FE" w:rsidRPr="000E34FE" w:rsidRDefault="00F7117F" w:rsidP="000C0515">
      <w:pPr>
        <w:widowControl/>
        <w:rPr>
          <w:sz w:val="24"/>
          <w:szCs w:val="24"/>
        </w:rPr>
      </w:pPr>
      <w:hyperlink r:id="rId35" w:history="1">
        <w:r w:rsidR="009907D5" w:rsidRPr="000E34FE">
          <w:rPr>
            <w:rStyle w:val="Hyperlink"/>
            <w:sz w:val="24"/>
            <w:szCs w:val="24"/>
          </w:rPr>
          <w:t>Notification for Distribution of Proceeds from EPA Auctions</w:t>
        </w:r>
      </w:hyperlink>
      <w:r w:rsidR="009907D5" w:rsidRPr="000E34FE">
        <w:rPr>
          <w:sz w:val="24"/>
          <w:szCs w:val="24"/>
        </w:rPr>
        <w:t xml:space="preserve"> </w:t>
      </w:r>
      <w:r w:rsidR="009907D5" w:rsidRPr="000E34FE">
        <w:rPr>
          <w:sz w:val="24"/>
          <w:szCs w:val="24"/>
        </w:rPr>
        <w:br/>
      </w:r>
      <w:r w:rsidR="000E34FE">
        <w:rPr>
          <w:sz w:val="24"/>
          <w:szCs w:val="24"/>
        </w:rPr>
        <w:tab/>
      </w:r>
      <w:r w:rsidR="009907D5" w:rsidRPr="000E34FE">
        <w:rPr>
          <w:sz w:val="24"/>
          <w:szCs w:val="24"/>
        </w:rPr>
        <w:t xml:space="preserve">(This document is used for changing a recipient name on proceeds checks.) </w:t>
      </w:r>
    </w:p>
    <w:p w:rsidR="000E34FE" w:rsidRPr="000E34FE" w:rsidRDefault="00F7117F" w:rsidP="00AB4259">
      <w:pPr>
        <w:widowControl/>
        <w:rPr>
          <w:sz w:val="24"/>
          <w:szCs w:val="24"/>
        </w:rPr>
      </w:pPr>
      <w:hyperlink r:id="rId36" w:history="1">
        <w:r w:rsidR="009525D1">
          <w:rPr>
            <w:rStyle w:val="Hyperlink"/>
            <w:sz w:val="24"/>
            <w:szCs w:val="24"/>
          </w:rPr>
          <w:t>2012 Letter of Credit Form and Instructions</w:t>
        </w:r>
      </w:hyperlink>
      <w:r w:rsidR="009907D5" w:rsidRPr="000E34FE">
        <w:rPr>
          <w:sz w:val="24"/>
          <w:szCs w:val="24"/>
        </w:rPr>
        <w:t xml:space="preserve"> </w:t>
      </w:r>
    </w:p>
    <w:p w:rsidR="009907D5" w:rsidRPr="000E34FE" w:rsidRDefault="009907D5" w:rsidP="00AB4259">
      <w:pPr>
        <w:widowControl/>
        <w:rPr>
          <w:sz w:val="24"/>
          <w:szCs w:val="24"/>
        </w:rPr>
      </w:pPr>
      <w:r w:rsidRPr="000E34FE">
        <w:rPr>
          <w:sz w:val="24"/>
          <w:szCs w:val="24"/>
        </w:rPr>
        <w:t xml:space="preserve">For more information, see the </w:t>
      </w:r>
      <w:hyperlink r:id="rId37" w:history="1">
        <w:r w:rsidRPr="000E34FE">
          <w:rPr>
            <w:rStyle w:val="Hyperlink"/>
            <w:sz w:val="24"/>
            <w:szCs w:val="24"/>
          </w:rPr>
          <w:t>Acid Rain Program Allowance Auction Fact Sheet</w:t>
        </w:r>
      </w:hyperlink>
    </w:p>
    <w:p w:rsidR="00316E00" w:rsidRDefault="00316E00" w:rsidP="00AB4259">
      <w:pPr>
        <w:widowControl/>
        <w:rPr>
          <w:sz w:val="24"/>
          <w:szCs w:val="24"/>
        </w:rPr>
      </w:pPr>
    </w:p>
    <w:p w:rsidR="009907D5" w:rsidRPr="00316E00" w:rsidRDefault="009907D5" w:rsidP="003135F7">
      <w:pPr>
        <w:widowControl/>
        <w:pBdr>
          <w:top w:val="double" w:sz="6" w:space="1" w:color="auto"/>
        </w:pBdr>
        <w:rPr>
          <w:b/>
          <w:sz w:val="24"/>
          <w:szCs w:val="24"/>
        </w:rPr>
      </w:pPr>
      <w:r w:rsidRPr="00316E00">
        <w:rPr>
          <w:b/>
          <w:sz w:val="24"/>
          <w:szCs w:val="24"/>
        </w:rPr>
        <w:t xml:space="preserve">Acid Rain Permitting </w:t>
      </w:r>
    </w:p>
    <w:p w:rsidR="009907D5" w:rsidRPr="000E34FE" w:rsidRDefault="009907D5" w:rsidP="00AB4259">
      <w:pPr>
        <w:widowControl/>
        <w:rPr>
          <w:sz w:val="24"/>
          <w:szCs w:val="24"/>
        </w:rPr>
      </w:pPr>
    </w:p>
    <w:p w:rsidR="009907D5" w:rsidRPr="000E34FE" w:rsidRDefault="00F7117F" w:rsidP="000C0515">
      <w:pPr>
        <w:widowControl/>
        <w:rPr>
          <w:sz w:val="24"/>
          <w:szCs w:val="24"/>
        </w:rPr>
      </w:pPr>
      <w:hyperlink r:id="rId38" w:history="1">
        <w:r w:rsidR="000E34FE" w:rsidRPr="001B42AE">
          <w:rPr>
            <w:rStyle w:val="Hyperlink"/>
            <w:sz w:val="24"/>
            <w:szCs w:val="24"/>
          </w:rPr>
          <w:t>Acid Rain Permit Application</w:t>
        </w:r>
      </w:hyperlink>
      <w:r w:rsidR="000E34FE">
        <w:rPr>
          <w:sz w:val="24"/>
          <w:szCs w:val="24"/>
        </w:rPr>
        <w:t xml:space="preserve"> </w:t>
      </w:r>
    </w:p>
    <w:p w:rsidR="009907D5" w:rsidRPr="000E34FE" w:rsidRDefault="00F7117F" w:rsidP="000C0515">
      <w:pPr>
        <w:widowControl/>
        <w:rPr>
          <w:sz w:val="24"/>
          <w:szCs w:val="24"/>
        </w:rPr>
      </w:pPr>
      <w:hyperlink r:id="rId39" w:history="1">
        <w:r w:rsidR="009907D5" w:rsidRPr="001B42AE">
          <w:rPr>
            <w:rStyle w:val="Hyperlink"/>
            <w:sz w:val="24"/>
            <w:szCs w:val="24"/>
          </w:rPr>
          <w:t xml:space="preserve">Acid Rain </w:t>
        </w:r>
        <w:proofErr w:type="spellStart"/>
        <w:r w:rsidR="009907D5" w:rsidRPr="001B42AE">
          <w:rPr>
            <w:rStyle w:val="Hyperlink"/>
            <w:sz w:val="24"/>
            <w:szCs w:val="24"/>
          </w:rPr>
          <w:t>NO</w:t>
        </w:r>
        <w:r w:rsidR="009907D5" w:rsidRPr="001B42AE">
          <w:rPr>
            <w:rStyle w:val="Hyperlink"/>
            <w:sz w:val="24"/>
            <w:szCs w:val="24"/>
            <w:vertAlign w:val="subscript"/>
          </w:rPr>
          <w:t>x</w:t>
        </w:r>
        <w:proofErr w:type="spellEnd"/>
        <w:r w:rsidR="009907D5" w:rsidRPr="001B42AE">
          <w:rPr>
            <w:rStyle w:val="Hyperlink"/>
            <w:sz w:val="24"/>
            <w:szCs w:val="24"/>
          </w:rPr>
          <w:t xml:space="preserve"> Compliance Plan</w:t>
        </w:r>
      </w:hyperlink>
    </w:p>
    <w:p w:rsidR="009907D5" w:rsidRPr="000E34FE" w:rsidRDefault="00F7117F" w:rsidP="000C0515">
      <w:pPr>
        <w:widowControl/>
        <w:rPr>
          <w:sz w:val="24"/>
          <w:szCs w:val="24"/>
        </w:rPr>
      </w:pPr>
      <w:hyperlink r:id="rId40" w:history="1">
        <w:r w:rsidR="009907D5" w:rsidRPr="001B42AE">
          <w:rPr>
            <w:rStyle w:val="Hyperlink"/>
            <w:sz w:val="24"/>
            <w:szCs w:val="24"/>
          </w:rPr>
          <w:t xml:space="preserve">Acid Rain </w:t>
        </w:r>
        <w:proofErr w:type="spellStart"/>
        <w:r w:rsidR="000E34FE" w:rsidRPr="001B42AE">
          <w:rPr>
            <w:rStyle w:val="Hyperlink"/>
            <w:sz w:val="24"/>
            <w:szCs w:val="24"/>
          </w:rPr>
          <w:t>NO</w:t>
        </w:r>
        <w:r w:rsidR="000E34FE" w:rsidRPr="001B42AE">
          <w:rPr>
            <w:rStyle w:val="Hyperlink"/>
            <w:sz w:val="24"/>
            <w:szCs w:val="24"/>
            <w:vertAlign w:val="subscript"/>
          </w:rPr>
          <w:t>x</w:t>
        </w:r>
        <w:proofErr w:type="spellEnd"/>
        <w:r w:rsidR="000E34FE" w:rsidRPr="001B42AE">
          <w:rPr>
            <w:rStyle w:val="Hyperlink"/>
            <w:sz w:val="24"/>
            <w:szCs w:val="24"/>
          </w:rPr>
          <w:t xml:space="preserve"> </w:t>
        </w:r>
        <w:r w:rsidR="009907D5" w:rsidRPr="001B42AE">
          <w:rPr>
            <w:rStyle w:val="Hyperlink"/>
            <w:sz w:val="24"/>
            <w:szCs w:val="24"/>
          </w:rPr>
          <w:t>Averaging Plan</w:t>
        </w:r>
      </w:hyperlink>
      <w:r w:rsidR="009907D5" w:rsidRPr="000E34FE">
        <w:rPr>
          <w:sz w:val="24"/>
          <w:szCs w:val="24"/>
        </w:rPr>
        <w:t xml:space="preserve"> </w:t>
      </w:r>
    </w:p>
    <w:p w:rsidR="009907D5" w:rsidRPr="000E34FE" w:rsidRDefault="00F7117F" w:rsidP="000C0515">
      <w:pPr>
        <w:widowControl/>
        <w:rPr>
          <w:sz w:val="24"/>
          <w:szCs w:val="24"/>
        </w:rPr>
      </w:pPr>
      <w:hyperlink r:id="rId41" w:history="1">
        <w:r w:rsidR="009907D5" w:rsidRPr="001B42AE">
          <w:rPr>
            <w:rStyle w:val="Hyperlink"/>
            <w:sz w:val="24"/>
            <w:szCs w:val="24"/>
          </w:rPr>
          <w:t>Acid Rain New Unit Exemption</w:t>
        </w:r>
      </w:hyperlink>
    </w:p>
    <w:p w:rsidR="009907D5" w:rsidRPr="000E34FE" w:rsidRDefault="009907D5" w:rsidP="00AB4259">
      <w:pPr>
        <w:widowControl/>
        <w:rPr>
          <w:sz w:val="24"/>
          <w:szCs w:val="24"/>
        </w:rPr>
      </w:pPr>
      <w:r w:rsidRPr="000E34FE">
        <w:rPr>
          <w:sz w:val="24"/>
          <w:szCs w:val="24"/>
        </w:rPr>
        <w:t xml:space="preserve">For more information, see </w:t>
      </w:r>
      <w:hyperlink r:id="rId42" w:history="1">
        <w:r w:rsidRPr="000E34FE">
          <w:rPr>
            <w:rStyle w:val="Hyperlink"/>
            <w:sz w:val="24"/>
            <w:szCs w:val="24"/>
          </w:rPr>
          <w:t>Acid Rain Permits and Applicability</w:t>
        </w:r>
      </w:hyperlink>
    </w:p>
    <w:p w:rsidR="009907D5" w:rsidRPr="000E34FE" w:rsidRDefault="009907D5" w:rsidP="00AB4259">
      <w:pPr>
        <w:widowControl/>
        <w:rPr>
          <w:sz w:val="24"/>
          <w:szCs w:val="24"/>
        </w:rPr>
      </w:pPr>
    </w:p>
    <w:p w:rsidR="000E34FE" w:rsidRDefault="009907D5" w:rsidP="00285213">
      <w:pPr>
        <w:keepNext/>
        <w:widowControl/>
        <w:rPr>
          <w:sz w:val="24"/>
          <w:szCs w:val="24"/>
        </w:rPr>
      </w:pPr>
      <w:r w:rsidRPr="000E34FE">
        <w:rPr>
          <w:sz w:val="24"/>
          <w:szCs w:val="24"/>
        </w:rPr>
        <w:lastRenderedPageBreak/>
        <w:t xml:space="preserve">Monitoring </w:t>
      </w:r>
    </w:p>
    <w:p w:rsidR="000E34FE" w:rsidRDefault="000E34FE" w:rsidP="00285213">
      <w:pPr>
        <w:keepNext/>
        <w:widowControl/>
        <w:rPr>
          <w:sz w:val="24"/>
          <w:szCs w:val="24"/>
        </w:rPr>
      </w:pPr>
    </w:p>
    <w:p w:rsidR="009907D5" w:rsidRDefault="009907D5" w:rsidP="00AB4259">
      <w:pPr>
        <w:widowControl/>
        <w:rPr>
          <w:sz w:val="24"/>
          <w:szCs w:val="24"/>
        </w:rPr>
      </w:pPr>
      <w:r w:rsidRPr="000E34FE">
        <w:rPr>
          <w:sz w:val="24"/>
          <w:szCs w:val="24"/>
        </w:rPr>
        <w:t>EPA form 7610-14, Certification Application, is no longer required</w:t>
      </w:r>
      <w:r w:rsidR="00CE3ABF" w:rsidRPr="000E34FE">
        <w:rPr>
          <w:sz w:val="24"/>
          <w:szCs w:val="24"/>
        </w:rPr>
        <w:t xml:space="preserve">. </w:t>
      </w:r>
      <w:r w:rsidRPr="000E34FE">
        <w:rPr>
          <w:sz w:val="24"/>
          <w:szCs w:val="24"/>
        </w:rPr>
        <w:t xml:space="preserve">For information on monitoring, see </w:t>
      </w:r>
      <w:hyperlink r:id="rId43" w:history="1">
        <w:r w:rsidRPr="000E34FE">
          <w:rPr>
            <w:rStyle w:val="Hyperlink"/>
            <w:sz w:val="24"/>
            <w:szCs w:val="24"/>
          </w:rPr>
          <w:t>Emissions Monitoring</w:t>
        </w:r>
      </w:hyperlink>
      <w:r w:rsidRPr="000E34FE">
        <w:rPr>
          <w:sz w:val="24"/>
          <w:szCs w:val="24"/>
        </w:rPr>
        <w:t xml:space="preserve"> and </w:t>
      </w:r>
      <w:hyperlink r:id="rId44" w:history="1">
        <w:r w:rsidRPr="000E34FE">
          <w:rPr>
            <w:rStyle w:val="Hyperlink"/>
            <w:sz w:val="24"/>
            <w:szCs w:val="24"/>
          </w:rPr>
          <w:t>Report Emissions</w:t>
        </w:r>
      </w:hyperlink>
    </w:p>
    <w:p w:rsidR="00633F80" w:rsidRDefault="00633F80" w:rsidP="00AB4259">
      <w:pPr>
        <w:widowControl/>
        <w:rPr>
          <w:sz w:val="24"/>
          <w:szCs w:val="24"/>
        </w:rPr>
      </w:pPr>
    </w:p>
    <w:p w:rsidR="00633F80" w:rsidRPr="000E34FE" w:rsidRDefault="00766D3B" w:rsidP="00AB4259">
      <w:pPr>
        <w:widowControl/>
        <w:rPr>
          <w:sz w:val="24"/>
          <w:szCs w:val="24"/>
        </w:rPr>
      </w:pPr>
      <w:r>
        <w:rPr>
          <w:sz w:val="24"/>
          <w:szCs w:val="24"/>
        </w:rPr>
        <w:t>Monitoring, QA, and Emissions D</w:t>
      </w:r>
      <w:r w:rsidR="00633F80">
        <w:rPr>
          <w:sz w:val="24"/>
          <w:szCs w:val="24"/>
        </w:rPr>
        <w:t xml:space="preserve">ata </w:t>
      </w:r>
      <w:hyperlink r:id="rId45" w:history="1">
        <w:r>
          <w:rPr>
            <w:rStyle w:val="Hyperlink"/>
            <w:sz w:val="24"/>
            <w:szCs w:val="24"/>
          </w:rPr>
          <w:t>Reporting Instructions</w:t>
        </w:r>
      </w:hyperlink>
      <w:r w:rsidR="00633F80">
        <w:rPr>
          <w:sz w:val="24"/>
          <w:szCs w:val="24"/>
        </w:rPr>
        <w:t xml:space="preserve"> (Data Elements)</w:t>
      </w:r>
    </w:p>
    <w:p w:rsidR="009907D5" w:rsidRPr="000E34FE" w:rsidRDefault="009907D5" w:rsidP="00AB4259">
      <w:pPr>
        <w:widowControl/>
        <w:rPr>
          <w:sz w:val="24"/>
          <w:szCs w:val="24"/>
        </w:rPr>
      </w:pPr>
    </w:p>
    <w:p w:rsidR="009907D5" w:rsidRPr="000E34FE" w:rsidRDefault="009907D5" w:rsidP="00AB4259">
      <w:pPr>
        <w:widowControl/>
        <w:rPr>
          <w:sz w:val="24"/>
          <w:szCs w:val="24"/>
        </w:rPr>
      </w:pPr>
      <w:r w:rsidRPr="000E34FE">
        <w:rPr>
          <w:sz w:val="24"/>
          <w:szCs w:val="24"/>
        </w:rPr>
        <w:t>Phase II Annual Reconciliation</w:t>
      </w:r>
    </w:p>
    <w:p w:rsidR="009907D5" w:rsidRPr="000E34FE" w:rsidRDefault="009907D5" w:rsidP="00AB4259">
      <w:pPr>
        <w:widowControl/>
        <w:rPr>
          <w:sz w:val="24"/>
          <w:szCs w:val="24"/>
        </w:rPr>
      </w:pPr>
    </w:p>
    <w:p w:rsidR="009907D5" w:rsidRPr="000E34FE" w:rsidRDefault="009907D5" w:rsidP="00AB4259">
      <w:pPr>
        <w:widowControl/>
        <w:rPr>
          <w:sz w:val="24"/>
          <w:szCs w:val="24"/>
        </w:rPr>
      </w:pPr>
      <w:r w:rsidRPr="000E34FE">
        <w:rPr>
          <w:sz w:val="24"/>
          <w:szCs w:val="24"/>
        </w:rPr>
        <w:t xml:space="preserve">Allowance Deduction Form </w:t>
      </w:r>
    </w:p>
    <w:p w:rsidR="009907D5" w:rsidRPr="000E34FE" w:rsidRDefault="009907D5" w:rsidP="00AB4259">
      <w:pPr>
        <w:widowControl/>
        <w:rPr>
          <w:sz w:val="24"/>
          <w:szCs w:val="24"/>
        </w:rPr>
      </w:pPr>
      <w:r w:rsidRPr="000E34FE">
        <w:rPr>
          <w:sz w:val="24"/>
          <w:szCs w:val="24"/>
        </w:rPr>
        <w:t xml:space="preserve">For more information, see the </w:t>
      </w:r>
      <w:hyperlink r:id="rId46" w:history="1">
        <w:r w:rsidRPr="000E34FE">
          <w:rPr>
            <w:rStyle w:val="Hyperlink"/>
            <w:sz w:val="24"/>
            <w:szCs w:val="24"/>
          </w:rPr>
          <w:t>Acid Rain Program Annual Reconciliation Fact Sheet</w:t>
        </w:r>
      </w:hyperlink>
    </w:p>
    <w:p w:rsidR="009907D5" w:rsidRPr="000E34FE" w:rsidRDefault="009907D5" w:rsidP="00AB4259">
      <w:pPr>
        <w:widowControl/>
        <w:numPr>
          <w:ilvl w:val="12"/>
          <w:numId w:val="0"/>
        </w:numPr>
        <w:tabs>
          <w:tab w:val="left" w:pos="-1440"/>
          <w:tab w:val="left" w:pos="-720"/>
        </w:tabs>
        <w:jc w:val="center"/>
        <w:rPr>
          <w:sz w:val="24"/>
          <w:szCs w:val="24"/>
        </w:rPr>
      </w:pPr>
    </w:p>
    <w:p w:rsidR="009907D5" w:rsidRDefault="009907D5" w:rsidP="00E016AA">
      <w:pPr>
        <w:widowControl/>
        <w:numPr>
          <w:ilvl w:val="12"/>
          <w:numId w:val="0"/>
        </w:numPr>
        <w:tabs>
          <w:tab w:val="left" w:pos="-1440"/>
          <w:tab w:val="left" w:pos="-720"/>
        </w:tabs>
        <w:jc w:val="center"/>
        <w:rPr>
          <w:sz w:val="24"/>
          <w:szCs w:val="24"/>
        </w:rPr>
      </w:pPr>
      <w:r w:rsidRPr="000E34FE">
        <w:rPr>
          <w:sz w:val="24"/>
          <w:szCs w:val="24"/>
        </w:rPr>
        <w:t>For information and forms for opting into the Acid Rain Program, see</w:t>
      </w:r>
      <w:r w:rsidR="000E34FE">
        <w:rPr>
          <w:sz w:val="24"/>
          <w:szCs w:val="24"/>
        </w:rPr>
        <w:t xml:space="preserve">:  </w:t>
      </w:r>
      <w:hyperlink r:id="rId47" w:history="1">
        <w:r w:rsidRPr="000E34FE">
          <w:rPr>
            <w:rStyle w:val="Hyperlink"/>
            <w:sz w:val="24"/>
            <w:szCs w:val="24"/>
          </w:rPr>
          <w:t>http://www.epa.gov/airmarkets/progsregs/arp/opt-in.html#how</w:t>
        </w:r>
      </w:hyperlink>
      <w:r w:rsidR="000E34FE">
        <w:rPr>
          <w:sz w:val="24"/>
          <w:szCs w:val="24"/>
        </w:rPr>
        <w:t>.</w:t>
      </w:r>
    </w:p>
    <w:p w:rsidR="00B13CAD" w:rsidRDefault="00B13CAD" w:rsidP="00E016AA">
      <w:pPr>
        <w:widowControl/>
        <w:numPr>
          <w:ilvl w:val="12"/>
          <w:numId w:val="0"/>
        </w:numPr>
        <w:tabs>
          <w:tab w:val="left" w:pos="-1440"/>
          <w:tab w:val="left" w:pos="-720"/>
        </w:tabs>
        <w:jc w:val="center"/>
        <w:rPr>
          <w:sz w:val="24"/>
          <w:szCs w:val="24"/>
        </w:rPr>
      </w:pPr>
    </w:p>
    <w:p w:rsidR="00B13CAD" w:rsidRDefault="00B13CAD" w:rsidP="00E016AA">
      <w:pPr>
        <w:widowControl/>
        <w:numPr>
          <w:ilvl w:val="12"/>
          <w:numId w:val="0"/>
        </w:numPr>
        <w:tabs>
          <w:tab w:val="left" w:pos="-1440"/>
          <w:tab w:val="left" w:pos="-720"/>
        </w:tabs>
        <w:jc w:val="center"/>
        <w:rPr>
          <w:sz w:val="24"/>
          <w:szCs w:val="24"/>
        </w:rPr>
      </w:pPr>
    </w:p>
    <w:p w:rsidR="00B13CAD" w:rsidRDefault="00B13CAD" w:rsidP="00B13CAD">
      <w:pPr>
        <w:widowControl/>
        <w:numPr>
          <w:ilvl w:val="12"/>
          <w:numId w:val="0"/>
        </w:numPr>
        <w:tabs>
          <w:tab w:val="left" w:pos="-1440"/>
          <w:tab w:val="left" w:pos="-720"/>
        </w:tabs>
        <w:jc w:val="center"/>
        <w:rPr>
          <w:b/>
          <w:bCs/>
          <w:sz w:val="24"/>
          <w:szCs w:val="24"/>
        </w:rPr>
      </w:pPr>
      <w:r>
        <w:rPr>
          <w:sz w:val="24"/>
          <w:szCs w:val="24"/>
        </w:rPr>
        <w:br w:type="page"/>
      </w:r>
      <w:r>
        <w:rPr>
          <w:b/>
          <w:bCs/>
          <w:sz w:val="24"/>
          <w:szCs w:val="24"/>
        </w:rPr>
        <w:lastRenderedPageBreak/>
        <w:t>Appendix B</w:t>
      </w:r>
    </w:p>
    <w:p w:rsidR="00B13CAD" w:rsidRDefault="00B13CAD" w:rsidP="00B13CAD">
      <w:pPr>
        <w:widowControl/>
        <w:numPr>
          <w:ilvl w:val="12"/>
          <w:numId w:val="0"/>
        </w:numPr>
        <w:tabs>
          <w:tab w:val="left" w:pos="-1440"/>
          <w:tab w:val="left" w:pos="-720"/>
        </w:tabs>
        <w:jc w:val="center"/>
        <w:rPr>
          <w:b/>
          <w:bCs/>
          <w:sz w:val="24"/>
          <w:szCs w:val="24"/>
        </w:rPr>
      </w:pPr>
    </w:p>
    <w:p w:rsidR="001C4F92" w:rsidRPr="001C4F92" w:rsidRDefault="001C4F92" w:rsidP="001C4F92">
      <w:pPr>
        <w:jc w:val="center"/>
        <w:rPr>
          <w:rFonts w:ascii="TimesNewRoman,Bold" w:hAnsi="TimesNewRoman,Bold" w:cs="TimesNewRoman,Bold"/>
          <w:b/>
          <w:bCs/>
          <w:sz w:val="24"/>
          <w:szCs w:val="24"/>
        </w:rPr>
      </w:pPr>
      <w:r w:rsidRPr="001C4F92">
        <w:rPr>
          <w:b/>
          <w:bCs/>
          <w:sz w:val="24"/>
          <w:szCs w:val="24"/>
        </w:rPr>
        <w:t xml:space="preserve">Summary of </w:t>
      </w:r>
      <w:r w:rsidR="00B37257">
        <w:rPr>
          <w:b/>
          <w:bCs/>
          <w:sz w:val="24"/>
          <w:szCs w:val="24"/>
        </w:rPr>
        <w:t xml:space="preserve">ARP </w:t>
      </w:r>
      <w:r w:rsidRPr="001C4F92">
        <w:rPr>
          <w:b/>
          <w:bCs/>
          <w:sz w:val="24"/>
          <w:szCs w:val="24"/>
        </w:rPr>
        <w:t xml:space="preserve">Burdens Incorporated from </w:t>
      </w:r>
      <w:r w:rsidRPr="001C4F92">
        <w:rPr>
          <w:rFonts w:ascii="TimesNewRoman,Bold" w:hAnsi="TimesNewRoman,Bold" w:cs="TimesNewRoman,Bold"/>
          <w:b/>
          <w:bCs/>
          <w:sz w:val="24"/>
          <w:szCs w:val="24"/>
        </w:rPr>
        <w:t>Amendments to the Protocol Gas Verification Program and the Minimum Competency Requirements for Air Emission Testing, EPA ICR Number 2203.04, OMB Control Number 2060-0626</w:t>
      </w:r>
    </w:p>
    <w:p w:rsidR="00B13CAD" w:rsidRDefault="00B13CAD" w:rsidP="00B13CAD">
      <w:pPr>
        <w:jc w:val="center"/>
        <w:outlineLvl w:val="0"/>
        <w:rPr>
          <w:rFonts w:ascii="TimesNewRoman,Bold" w:hAnsi="TimesNewRoman,Bold" w:cs="TimesNewRoman,Bold"/>
          <w:b/>
          <w:bCs/>
          <w:sz w:val="24"/>
          <w:szCs w:val="24"/>
        </w:rPr>
      </w:pPr>
    </w:p>
    <w:p w:rsidR="00B13CAD" w:rsidRDefault="00B13CAD" w:rsidP="00B13CAD">
      <w:pPr>
        <w:widowControl/>
        <w:numPr>
          <w:ilvl w:val="12"/>
          <w:numId w:val="0"/>
        </w:numPr>
        <w:tabs>
          <w:tab w:val="left" w:pos="-1440"/>
          <w:tab w:val="left" w:pos="-720"/>
        </w:tabs>
        <w:jc w:val="center"/>
        <w:rPr>
          <w:sz w:val="24"/>
          <w:szCs w:val="24"/>
        </w:rPr>
      </w:pPr>
      <w:r>
        <w:rPr>
          <w:b/>
          <w:bCs/>
          <w:sz w:val="24"/>
          <w:szCs w:val="24"/>
        </w:rPr>
        <w:t xml:space="preserve"> </w:t>
      </w:r>
    </w:p>
    <w:p w:rsidR="00AD0292" w:rsidRDefault="00AD0292" w:rsidP="00AD0292">
      <w:pPr>
        <w:outlineLvl w:val="0"/>
        <w:rPr>
          <w:rFonts w:ascii="TimesNewRoman,Bold" w:hAnsi="TimesNewRoman,Bold" w:cs="TimesNewRoman,Bold"/>
          <w:b/>
          <w:bCs/>
          <w:sz w:val="24"/>
          <w:szCs w:val="24"/>
        </w:rPr>
      </w:pPr>
      <w:r>
        <w:rPr>
          <w:rFonts w:ascii="TimesNewRoman,Bold" w:hAnsi="TimesNewRoman,Bold" w:cs="TimesNewRoman,Bold"/>
          <w:b/>
          <w:bCs/>
          <w:sz w:val="24"/>
          <w:szCs w:val="24"/>
        </w:rPr>
        <w:t>1.0  Identification of the Information Collection</w:t>
      </w:r>
      <w:r w:rsidR="00F518C1">
        <w:rPr>
          <w:rFonts w:ascii="TimesNewRoman,Bold" w:hAnsi="TimesNewRoman,Bold" w:cs="TimesNewRoman,Bold"/>
          <w:b/>
          <w:bCs/>
          <w:sz w:val="24"/>
          <w:szCs w:val="24"/>
        </w:rPr>
        <w:t xml:space="preserve"> (To be Incorporated)</w:t>
      </w:r>
    </w:p>
    <w:p w:rsidR="00AD0292" w:rsidRDefault="00AD0292" w:rsidP="00AD0292">
      <w:pPr>
        <w:rPr>
          <w:rFonts w:ascii="TimesNewRoman,Bold" w:hAnsi="TimesNewRoman,Bold" w:cs="TimesNewRoman,Bold"/>
          <w:b/>
          <w:bCs/>
          <w:sz w:val="24"/>
          <w:szCs w:val="24"/>
        </w:rPr>
      </w:pPr>
    </w:p>
    <w:p w:rsidR="00AD0292" w:rsidRDefault="00AD0292" w:rsidP="00AD0292">
      <w:pPr>
        <w:ind w:left="360"/>
        <w:outlineLvl w:val="0"/>
        <w:rPr>
          <w:rFonts w:ascii="TimesNewRoman,Bold" w:hAnsi="TimesNewRoman,Bold" w:cs="TimesNewRoman,Bold"/>
          <w:b/>
          <w:bCs/>
          <w:sz w:val="24"/>
          <w:szCs w:val="24"/>
        </w:rPr>
      </w:pPr>
      <w:r>
        <w:rPr>
          <w:rFonts w:ascii="TimesNewRoman,Bold" w:hAnsi="TimesNewRoman,Bold" w:cs="TimesNewRoman,Bold"/>
          <w:b/>
          <w:bCs/>
          <w:sz w:val="24"/>
          <w:szCs w:val="24"/>
        </w:rPr>
        <w:t>1.1  Title of the Information Collection</w:t>
      </w:r>
    </w:p>
    <w:p w:rsidR="00AD0292" w:rsidRDefault="00AD0292" w:rsidP="00AD0292">
      <w:pPr>
        <w:rPr>
          <w:rFonts w:ascii="TimesNewRoman,Bold" w:hAnsi="TimesNewRoman,Bold" w:cs="TimesNewRoman,Bold"/>
          <w:b/>
          <w:bCs/>
          <w:sz w:val="24"/>
          <w:szCs w:val="24"/>
        </w:rPr>
      </w:pPr>
    </w:p>
    <w:p w:rsidR="00AD0292" w:rsidRPr="00E34F96" w:rsidRDefault="00AD0292" w:rsidP="00AD0292">
      <w:pPr>
        <w:rPr>
          <w:rFonts w:ascii="TimesNewRoman,Bold" w:hAnsi="TimesNewRoman,Bold" w:cs="TimesNewRoman,Bold"/>
          <w:bCs/>
          <w:sz w:val="24"/>
          <w:szCs w:val="24"/>
        </w:rPr>
      </w:pPr>
      <w:r>
        <w:rPr>
          <w:rFonts w:ascii="TimesNewRoman,Bold" w:hAnsi="TimesNewRoman,Bold" w:cs="TimesNewRoman,Bold"/>
          <w:b/>
          <w:bCs/>
          <w:sz w:val="24"/>
          <w:szCs w:val="24"/>
        </w:rPr>
        <w:tab/>
      </w:r>
      <w:r>
        <w:rPr>
          <w:rFonts w:ascii="TimesNewRoman,Bold" w:hAnsi="TimesNewRoman,Bold" w:cs="TimesNewRoman,Bold"/>
          <w:bCs/>
          <w:sz w:val="24"/>
          <w:szCs w:val="24"/>
        </w:rPr>
        <w:t xml:space="preserve">Revisions to the Emissions Monitoring Rule under the Acid Rain Program, </w:t>
      </w:r>
      <w:proofErr w:type="spellStart"/>
      <w:r>
        <w:rPr>
          <w:rFonts w:ascii="TimesNewRoman" w:hAnsi="TimesNewRoman" w:cs="TimesNewRoman"/>
          <w:sz w:val="24"/>
          <w:szCs w:val="24"/>
        </w:rPr>
        <w:t>NO</w:t>
      </w:r>
      <w:r>
        <w:rPr>
          <w:rFonts w:ascii="TimesNewRoman" w:hAnsi="TimesNewRoman" w:cs="TimesNewRoman"/>
          <w:sz w:val="24"/>
          <w:szCs w:val="24"/>
          <w:vertAlign w:val="subscript"/>
        </w:rPr>
        <w:t>x</w:t>
      </w:r>
      <w:proofErr w:type="spellEnd"/>
      <w:r>
        <w:rPr>
          <w:rFonts w:ascii="TimesNewRoman,Bold" w:hAnsi="TimesNewRoman,Bold" w:cs="TimesNewRoman,Bold"/>
          <w:bCs/>
          <w:sz w:val="24"/>
          <w:szCs w:val="24"/>
        </w:rPr>
        <w:t xml:space="preserve"> Budget Trading Program, Clean Air Interstate Programs; Amendments to the Protocol Gas Verification Program </w:t>
      </w:r>
      <w:r w:rsidR="008F6B8D">
        <w:rPr>
          <w:rFonts w:ascii="TimesNewRoman,Bold" w:hAnsi="TimesNewRoman,Bold" w:cs="TimesNewRoman,Bold"/>
          <w:bCs/>
          <w:sz w:val="24"/>
          <w:szCs w:val="24"/>
        </w:rPr>
        <w:t>(PGVP)</w:t>
      </w:r>
      <w:r>
        <w:rPr>
          <w:rFonts w:ascii="TimesNewRoman,Bold" w:hAnsi="TimesNewRoman,Bold" w:cs="TimesNewRoman,Bold"/>
          <w:bCs/>
          <w:sz w:val="24"/>
          <w:szCs w:val="24"/>
        </w:rPr>
        <w:t>and the Minimum Competency Requirements for Air Emission Testing</w:t>
      </w:r>
      <w:r w:rsidR="008F6B8D">
        <w:rPr>
          <w:rFonts w:ascii="TimesNewRoman,Bold" w:hAnsi="TimesNewRoman,Bold" w:cs="TimesNewRoman,Bold"/>
          <w:bCs/>
          <w:sz w:val="24"/>
          <w:szCs w:val="24"/>
        </w:rPr>
        <w:t xml:space="preserve"> (AETB)</w:t>
      </w:r>
      <w:r>
        <w:rPr>
          <w:rFonts w:ascii="TimesNewRoman,Bold" w:hAnsi="TimesNewRoman,Bold" w:cs="TimesNewRoman,Bold"/>
          <w:bCs/>
          <w:sz w:val="24"/>
          <w:szCs w:val="24"/>
        </w:rPr>
        <w:t>, EPA ICR Number 2203.04, OMB Control Number 2060-0626</w:t>
      </w:r>
    </w:p>
    <w:p w:rsidR="00B13CAD" w:rsidRDefault="00B13CAD" w:rsidP="00AD0292">
      <w:pPr>
        <w:ind w:firstLine="360"/>
        <w:outlineLvl w:val="0"/>
        <w:rPr>
          <w:sz w:val="24"/>
          <w:szCs w:val="24"/>
        </w:rPr>
      </w:pPr>
    </w:p>
    <w:p w:rsidR="00AD0292" w:rsidRDefault="00AD0292" w:rsidP="00AD0292">
      <w:pPr>
        <w:ind w:firstLine="360"/>
        <w:outlineLvl w:val="0"/>
        <w:rPr>
          <w:rFonts w:ascii="TimesNewRoman,Bold" w:hAnsi="TimesNewRoman,Bold" w:cs="TimesNewRoman,Bold"/>
          <w:b/>
          <w:bCs/>
          <w:sz w:val="24"/>
          <w:szCs w:val="24"/>
        </w:rPr>
      </w:pPr>
      <w:r>
        <w:rPr>
          <w:rFonts w:ascii="TimesNewRoman,Bold" w:hAnsi="TimesNewRoman,Bold" w:cs="TimesNewRoman,Bold"/>
          <w:b/>
          <w:bCs/>
          <w:sz w:val="24"/>
          <w:szCs w:val="24"/>
        </w:rPr>
        <w:t>1.2  Background</w:t>
      </w:r>
    </w:p>
    <w:p w:rsidR="00AD0292" w:rsidRDefault="00AD0292" w:rsidP="00AD0292">
      <w:pPr>
        <w:ind w:firstLine="360"/>
        <w:outlineLvl w:val="0"/>
        <w:rPr>
          <w:rFonts w:ascii="TimesNewRoman,Bold" w:hAnsi="TimesNewRoman,Bold" w:cs="TimesNewRoman,Bold"/>
          <w:b/>
          <w:bCs/>
          <w:sz w:val="24"/>
          <w:szCs w:val="24"/>
        </w:rPr>
      </w:pPr>
    </w:p>
    <w:p w:rsidR="00AD0292" w:rsidRDefault="00AD0292" w:rsidP="00AD0292">
      <w:pPr>
        <w:ind w:firstLine="720"/>
        <w:rPr>
          <w:sz w:val="24"/>
          <w:szCs w:val="24"/>
        </w:rPr>
      </w:pPr>
      <w:r w:rsidRPr="00EA7A90">
        <w:rPr>
          <w:sz w:val="24"/>
          <w:szCs w:val="24"/>
        </w:rPr>
        <w:t xml:space="preserve">The </w:t>
      </w:r>
      <w:r w:rsidR="008F6B8D">
        <w:rPr>
          <w:sz w:val="24"/>
          <w:szCs w:val="24"/>
        </w:rPr>
        <w:t>PVGP AETB</w:t>
      </w:r>
      <w:r w:rsidRPr="00EA7A90">
        <w:rPr>
          <w:sz w:val="24"/>
          <w:szCs w:val="24"/>
        </w:rPr>
        <w:t xml:space="preserve"> ICR outlines new, revised reporting</w:t>
      </w:r>
      <w:r>
        <w:rPr>
          <w:sz w:val="24"/>
          <w:szCs w:val="24"/>
        </w:rPr>
        <w:t xml:space="preserve"> and recordkeeping </w:t>
      </w:r>
      <w:r w:rsidRPr="00EA7A90">
        <w:rPr>
          <w:sz w:val="24"/>
          <w:szCs w:val="24"/>
        </w:rPr>
        <w:t xml:space="preserve">requirements for </w:t>
      </w:r>
      <w:r>
        <w:rPr>
          <w:sz w:val="24"/>
          <w:szCs w:val="24"/>
        </w:rPr>
        <w:t>facilities subject to Part 75</w:t>
      </w:r>
      <w:r w:rsidR="00F518C1">
        <w:rPr>
          <w:sz w:val="24"/>
          <w:szCs w:val="24"/>
        </w:rPr>
        <w:t xml:space="preserve">. </w:t>
      </w:r>
      <w:r>
        <w:rPr>
          <w:sz w:val="24"/>
          <w:szCs w:val="24"/>
        </w:rPr>
        <w:t>The final rule requires such facilities to follow requirements that assure that facilities properly use Air Emission Testing Bodies (</w:t>
      </w:r>
      <w:r w:rsidRPr="00EA7A90">
        <w:rPr>
          <w:sz w:val="24"/>
          <w:szCs w:val="24"/>
        </w:rPr>
        <w:t>AETBs</w:t>
      </w:r>
      <w:r>
        <w:rPr>
          <w:sz w:val="24"/>
          <w:szCs w:val="24"/>
        </w:rPr>
        <w:t>) that meet certain standards and obtain EPA Protocol gas from vendors that participate in EPA's Protocol Gas Verification Program (PGVP)</w:t>
      </w:r>
      <w:r w:rsidR="00F518C1">
        <w:rPr>
          <w:sz w:val="24"/>
          <w:szCs w:val="24"/>
        </w:rPr>
        <w:t xml:space="preserve">. </w:t>
      </w:r>
      <w:r>
        <w:rPr>
          <w:sz w:val="24"/>
          <w:szCs w:val="24"/>
        </w:rPr>
        <w:t>The PGVP program requires any participating EPA protocol gas production site to meet certain requirements and notify the Administrator of its intent to participate on an annual basis</w:t>
      </w:r>
      <w:r w:rsidR="00F518C1" w:rsidRPr="00EA7A90">
        <w:rPr>
          <w:sz w:val="24"/>
          <w:szCs w:val="24"/>
        </w:rPr>
        <w:t xml:space="preserve">. </w:t>
      </w:r>
      <w:r w:rsidRPr="00EA7A90">
        <w:rPr>
          <w:sz w:val="24"/>
          <w:szCs w:val="24"/>
        </w:rPr>
        <w:t xml:space="preserve">Under the quality assurance and quality control requirements, </w:t>
      </w:r>
      <w:r>
        <w:rPr>
          <w:sz w:val="24"/>
          <w:szCs w:val="24"/>
        </w:rPr>
        <w:t xml:space="preserve">Part 75 facilities must use </w:t>
      </w:r>
      <w:r w:rsidRPr="00EA7A90">
        <w:rPr>
          <w:sz w:val="24"/>
          <w:szCs w:val="24"/>
        </w:rPr>
        <w:t xml:space="preserve">AETBs </w:t>
      </w:r>
      <w:r>
        <w:rPr>
          <w:sz w:val="24"/>
          <w:szCs w:val="24"/>
        </w:rPr>
        <w:t xml:space="preserve">that </w:t>
      </w:r>
      <w:r w:rsidRPr="00EA7A90">
        <w:rPr>
          <w:sz w:val="24"/>
          <w:szCs w:val="24"/>
        </w:rPr>
        <w:t xml:space="preserve">meet the revised requirements under Appendix A to </w:t>
      </w:r>
      <w:r>
        <w:rPr>
          <w:sz w:val="24"/>
          <w:szCs w:val="24"/>
        </w:rPr>
        <w:t>P</w:t>
      </w:r>
      <w:r w:rsidRPr="00EA7A90">
        <w:rPr>
          <w:sz w:val="24"/>
          <w:szCs w:val="24"/>
        </w:rPr>
        <w:t xml:space="preserve">art 75, Section 6.1.2, which includes a specification that the requirements (e.g., qualification exams) of </w:t>
      </w:r>
      <w:smartTag w:uri="urn:schemas-microsoft-com:office:smarttags" w:element="stockticker">
        <w:r w:rsidRPr="00EA7A90">
          <w:rPr>
            <w:sz w:val="24"/>
            <w:szCs w:val="24"/>
          </w:rPr>
          <w:t>ASTM</w:t>
        </w:r>
      </w:smartTag>
      <w:r w:rsidRPr="00EA7A90">
        <w:rPr>
          <w:sz w:val="24"/>
          <w:szCs w:val="24"/>
        </w:rPr>
        <w:t xml:space="preserve"> D7036-04 apply to RATAs, stack testing</w:t>
      </w:r>
      <w:r>
        <w:rPr>
          <w:sz w:val="24"/>
          <w:szCs w:val="24"/>
        </w:rPr>
        <w:t>,</w:t>
      </w:r>
      <w:r w:rsidRPr="00EA7A90">
        <w:rPr>
          <w:sz w:val="24"/>
          <w:szCs w:val="24"/>
        </w:rPr>
        <w:t xml:space="preserve"> and </w:t>
      </w:r>
      <w:proofErr w:type="spellStart"/>
      <w:r w:rsidRPr="00EA7A90">
        <w:rPr>
          <w:sz w:val="24"/>
          <w:szCs w:val="24"/>
        </w:rPr>
        <w:t>NO</w:t>
      </w:r>
      <w:r w:rsidRPr="00EA7A90">
        <w:rPr>
          <w:sz w:val="24"/>
          <w:szCs w:val="24"/>
          <w:vertAlign w:val="subscript"/>
        </w:rPr>
        <w:t>x</w:t>
      </w:r>
      <w:proofErr w:type="spellEnd"/>
      <w:r w:rsidRPr="00EA7A90">
        <w:rPr>
          <w:sz w:val="24"/>
          <w:szCs w:val="24"/>
        </w:rPr>
        <w:t xml:space="preserve"> emission testing</w:t>
      </w:r>
      <w:r w:rsidR="00F518C1" w:rsidRPr="00EA7A90">
        <w:rPr>
          <w:sz w:val="24"/>
          <w:szCs w:val="24"/>
        </w:rPr>
        <w:t xml:space="preserve">. </w:t>
      </w:r>
      <w:r w:rsidRPr="00EA7A90">
        <w:rPr>
          <w:sz w:val="24"/>
          <w:szCs w:val="24"/>
        </w:rPr>
        <w:t>These new requirements clarify the documentation needed for proof of compliance, including certification, quality assurance</w:t>
      </w:r>
      <w:r>
        <w:rPr>
          <w:sz w:val="24"/>
          <w:szCs w:val="24"/>
        </w:rPr>
        <w:t>,</w:t>
      </w:r>
      <w:r w:rsidRPr="00EA7A90">
        <w:rPr>
          <w:sz w:val="24"/>
          <w:szCs w:val="24"/>
        </w:rPr>
        <w:t xml:space="preserve"> and quality control record provisions</w:t>
      </w:r>
      <w:r w:rsidR="00F518C1" w:rsidRPr="00EA7A90">
        <w:rPr>
          <w:sz w:val="24"/>
          <w:szCs w:val="24"/>
        </w:rPr>
        <w:t xml:space="preserve">. </w:t>
      </w:r>
      <w:r w:rsidRPr="00EA7A90">
        <w:rPr>
          <w:sz w:val="24"/>
          <w:szCs w:val="24"/>
        </w:rPr>
        <w:t xml:space="preserve">Some of these changes may in fact, reduce the burden for sources and AETBs by streamlining the process.  </w:t>
      </w:r>
    </w:p>
    <w:p w:rsidR="00AD0292" w:rsidRDefault="00AD0292" w:rsidP="00AD0292">
      <w:pPr>
        <w:ind w:firstLine="720"/>
        <w:rPr>
          <w:sz w:val="24"/>
          <w:szCs w:val="24"/>
        </w:rPr>
      </w:pPr>
    </w:p>
    <w:p w:rsidR="00AD0292" w:rsidRDefault="00AD0292" w:rsidP="00AD0292">
      <w:pPr>
        <w:ind w:firstLine="720"/>
        <w:rPr>
          <w:sz w:val="24"/>
          <w:szCs w:val="24"/>
        </w:rPr>
      </w:pPr>
      <w:r w:rsidRPr="00EA7A90">
        <w:rPr>
          <w:sz w:val="24"/>
          <w:szCs w:val="24"/>
        </w:rPr>
        <w:t>Th</w:t>
      </w:r>
      <w:r w:rsidR="008F6B8D">
        <w:rPr>
          <w:sz w:val="24"/>
          <w:szCs w:val="24"/>
        </w:rPr>
        <w:t>e</w:t>
      </w:r>
      <w:r w:rsidRPr="00EA7A90">
        <w:rPr>
          <w:sz w:val="24"/>
          <w:szCs w:val="24"/>
        </w:rPr>
        <w:t xml:space="preserve"> </w:t>
      </w:r>
      <w:r w:rsidR="008F6B8D">
        <w:rPr>
          <w:sz w:val="24"/>
          <w:szCs w:val="24"/>
        </w:rPr>
        <w:t>PVGP AETB</w:t>
      </w:r>
      <w:r w:rsidR="008F6B8D" w:rsidRPr="00EA7A90">
        <w:rPr>
          <w:sz w:val="24"/>
          <w:szCs w:val="24"/>
        </w:rPr>
        <w:t xml:space="preserve"> </w:t>
      </w:r>
      <w:r w:rsidRPr="00EA7A90">
        <w:rPr>
          <w:sz w:val="24"/>
          <w:szCs w:val="24"/>
        </w:rPr>
        <w:t xml:space="preserve">ICR covers the specific elements </w:t>
      </w:r>
      <w:r>
        <w:rPr>
          <w:sz w:val="24"/>
          <w:szCs w:val="24"/>
        </w:rPr>
        <w:t xml:space="preserve">and burden </w:t>
      </w:r>
      <w:r w:rsidRPr="00EA7A90">
        <w:rPr>
          <w:sz w:val="24"/>
          <w:szCs w:val="24"/>
        </w:rPr>
        <w:t xml:space="preserve">that will </w:t>
      </w:r>
      <w:r>
        <w:rPr>
          <w:sz w:val="24"/>
          <w:szCs w:val="24"/>
        </w:rPr>
        <w:t>result from the</w:t>
      </w:r>
      <w:r w:rsidRPr="00EA7A90">
        <w:rPr>
          <w:sz w:val="24"/>
          <w:szCs w:val="24"/>
        </w:rPr>
        <w:t xml:space="preserve"> new </w:t>
      </w:r>
      <w:r>
        <w:rPr>
          <w:sz w:val="24"/>
          <w:szCs w:val="24"/>
        </w:rPr>
        <w:t xml:space="preserve">AETB </w:t>
      </w:r>
      <w:r w:rsidRPr="00EA7A90">
        <w:rPr>
          <w:sz w:val="24"/>
          <w:szCs w:val="24"/>
        </w:rPr>
        <w:t>requirements, including passing the Qualified Stack Test Individual (QSTI) competency exam</w:t>
      </w:r>
      <w:r>
        <w:rPr>
          <w:sz w:val="24"/>
          <w:szCs w:val="24"/>
        </w:rPr>
        <w:t xml:space="preserve"> and</w:t>
      </w:r>
      <w:r w:rsidRPr="00EA7A90">
        <w:rPr>
          <w:sz w:val="24"/>
          <w:szCs w:val="24"/>
        </w:rPr>
        <w:t xml:space="preserve"> development of a QA manual by affected stack testing companies</w:t>
      </w:r>
      <w:r>
        <w:rPr>
          <w:sz w:val="24"/>
          <w:szCs w:val="24"/>
        </w:rPr>
        <w:t>, and the new PGVP requirements including annual notifications and re-notifications that include the specialty gas company name;</w:t>
      </w:r>
      <w:r w:rsidRPr="0018404E">
        <w:rPr>
          <w:sz w:val="24"/>
          <w:szCs w:val="24"/>
        </w:rPr>
        <w:t xml:space="preserve"> </w:t>
      </w:r>
      <w:r>
        <w:rPr>
          <w:sz w:val="24"/>
          <w:szCs w:val="24"/>
        </w:rPr>
        <w:t>t</w:t>
      </w:r>
      <w:r w:rsidRPr="0018404E">
        <w:rPr>
          <w:sz w:val="24"/>
          <w:szCs w:val="24"/>
        </w:rPr>
        <w:t>he name, e-mail address, and telephone number of a contact person for that specialty gas company</w:t>
      </w:r>
      <w:r>
        <w:rPr>
          <w:sz w:val="24"/>
          <w:szCs w:val="24"/>
        </w:rPr>
        <w:t>; the name and address of each participating EPA Protocol gas production site owned or operated by the specialty gas company; and the name, email address and phone number of a contact person at each production site.  Th</w:t>
      </w:r>
      <w:r w:rsidR="008F6B8D">
        <w:rPr>
          <w:sz w:val="24"/>
          <w:szCs w:val="24"/>
        </w:rPr>
        <w:t>e PVGP AETB</w:t>
      </w:r>
      <w:r>
        <w:rPr>
          <w:sz w:val="24"/>
          <w:szCs w:val="24"/>
        </w:rPr>
        <w:t xml:space="preserve"> ICR also covers the burden associated with some minor changes to the recordkeeping and reporting requirements under Part 75</w:t>
      </w:r>
      <w:r w:rsidR="00F518C1">
        <w:rPr>
          <w:sz w:val="24"/>
          <w:szCs w:val="24"/>
        </w:rPr>
        <w:t xml:space="preserve">. </w:t>
      </w:r>
      <w:r>
        <w:rPr>
          <w:sz w:val="24"/>
          <w:szCs w:val="24"/>
        </w:rPr>
        <w:t>The cost incurred on affected sources (or respondents) will be in the form of increased fees charged by AETBs and vendors participating in the PGVP, which are expected to pass along the costs necessitated by the new requirements in the final rule as well as the burden associated with ensuring that the minor modifications to the requirements for reporting AETB and PGVP related information to EPA are met on an ongoing basis</w:t>
      </w:r>
      <w:r w:rsidR="00F518C1">
        <w:rPr>
          <w:sz w:val="24"/>
          <w:szCs w:val="24"/>
        </w:rPr>
        <w:t xml:space="preserve">. </w:t>
      </w:r>
      <w:r>
        <w:rPr>
          <w:sz w:val="24"/>
          <w:szCs w:val="24"/>
        </w:rPr>
        <w:t>Th</w:t>
      </w:r>
      <w:r w:rsidR="008F6B8D">
        <w:rPr>
          <w:sz w:val="24"/>
          <w:szCs w:val="24"/>
        </w:rPr>
        <w:t xml:space="preserve">e </w:t>
      </w:r>
      <w:r w:rsidR="008F6B8D">
        <w:rPr>
          <w:sz w:val="24"/>
          <w:szCs w:val="24"/>
        </w:rPr>
        <w:lastRenderedPageBreak/>
        <w:t>PVGP AETB</w:t>
      </w:r>
      <w:r>
        <w:rPr>
          <w:sz w:val="24"/>
          <w:szCs w:val="24"/>
        </w:rPr>
        <w:t xml:space="preserve"> ICR also covers the one time Agency cost to implement the AETB and PGVP changes to EPA reporting software, along with a small increase in Agency burden to manage these programs and track compliance </w:t>
      </w:r>
    </w:p>
    <w:p w:rsidR="00AD0292" w:rsidRDefault="00AD0292" w:rsidP="00AD0292">
      <w:pPr>
        <w:ind w:firstLine="720"/>
        <w:rPr>
          <w:sz w:val="24"/>
          <w:szCs w:val="24"/>
        </w:rPr>
      </w:pPr>
    </w:p>
    <w:p w:rsidR="00AD0292" w:rsidRPr="00E43AF7" w:rsidRDefault="00AD0292" w:rsidP="00AD0292">
      <w:pPr>
        <w:ind w:firstLine="720"/>
        <w:rPr>
          <w:sz w:val="24"/>
          <w:szCs w:val="24"/>
        </w:rPr>
      </w:pPr>
      <w:r>
        <w:rPr>
          <w:sz w:val="24"/>
          <w:szCs w:val="24"/>
        </w:rPr>
        <w:t>In addition to covering the increased fees and burden to Part 75 sources resulting from the revisions to AETB and PGVP requirements, th</w:t>
      </w:r>
      <w:r w:rsidR="008F6B8D">
        <w:rPr>
          <w:sz w:val="24"/>
          <w:szCs w:val="24"/>
        </w:rPr>
        <w:t>e PVGP AETB</w:t>
      </w:r>
      <w:r>
        <w:rPr>
          <w:sz w:val="24"/>
          <w:szCs w:val="24"/>
        </w:rPr>
        <w:t xml:space="preserve"> ICR also covers some additional reporting requirements</w:t>
      </w:r>
      <w:r w:rsidR="00F518C1">
        <w:rPr>
          <w:sz w:val="24"/>
          <w:szCs w:val="24"/>
        </w:rPr>
        <w:t xml:space="preserve">. </w:t>
      </w:r>
      <w:r>
        <w:rPr>
          <w:rFonts w:ascii="TimesNewRoman" w:hAnsi="TimesNewRoman" w:cs="TimesNewRoman"/>
          <w:sz w:val="24"/>
          <w:szCs w:val="24"/>
        </w:rPr>
        <w:t xml:space="preserve">These include revisions to </w:t>
      </w:r>
      <w:r>
        <w:rPr>
          <w:rFonts w:ascii="Calibri" w:hAnsi="Calibri" w:cs="TimesNewRoman"/>
          <w:sz w:val="24"/>
          <w:szCs w:val="24"/>
        </w:rPr>
        <w:t>§§</w:t>
      </w:r>
      <w:r>
        <w:rPr>
          <w:rFonts w:ascii="TimesNewRoman" w:hAnsi="TimesNewRoman" w:cs="TimesNewRoman"/>
          <w:sz w:val="24"/>
          <w:szCs w:val="24"/>
        </w:rPr>
        <w:t>75.53, 75.58, and 75.59, that add various data elements that were inadvertently left out of the August 22, 2006 proposed rule and the January 24, 2008 final rule</w:t>
      </w:r>
      <w:r w:rsidR="00F518C1">
        <w:rPr>
          <w:rFonts w:ascii="TimesNewRoman" w:hAnsi="TimesNewRoman" w:cs="TimesNewRoman"/>
          <w:sz w:val="24"/>
          <w:szCs w:val="24"/>
        </w:rPr>
        <w:t xml:space="preserve">. </w:t>
      </w:r>
      <w:r>
        <w:rPr>
          <w:rFonts w:ascii="TimesNewRoman" w:hAnsi="TimesNewRoman" w:cs="TimesNewRoman"/>
          <w:sz w:val="24"/>
          <w:szCs w:val="24"/>
        </w:rPr>
        <w:t xml:space="preserve">These data elements have already been incorporated in the DAHS of Part 75 affected units and are required to ensure that EPA's new reporting software data requirements are consistent with the regulatory requirements. </w:t>
      </w:r>
      <w:r>
        <w:rPr>
          <w:sz w:val="24"/>
          <w:szCs w:val="24"/>
        </w:rPr>
        <w:t xml:space="preserve">  </w:t>
      </w:r>
    </w:p>
    <w:p w:rsidR="00AD0292" w:rsidRDefault="00AD0292" w:rsidP="00AD0292">
      <w:pPr>
        <w:ind w:firstLine="360"/>
        <w:outlineLvl w:val="0"/>
        <w:rPr>
          <w:sz w:val="24"/>
          <w:szCs w:val="24"/>
        </w:rPr>
      </w:pPr>
    </w:p>
    <w:p w:rsidR="00AD0292" w:rsidRDefault="00AD0292" w:rsidP="00AD0292">
      <w:pPr>
        <w:keepNext/>
        <w:keepLines/>
        <w:numPr>
          <w:ilvl w:val="12"/>
          <w:numId w:val="0"/>
        </w:numPr>
        <w:ind w:firstLine="360"/>
        <w:outlineLvl w:val="0"/>
        <w:rPr>
          <w:rFonts w:ascii="TimesNewRoman,Bold" w:hAnsi="TimesNewRoman,Bold" w:cs="TimesNewRoman,Bold"/>
          <w:b/>
          <w:bCs/>
          <w:sz w:val="24"/>
          <w:szCs w:val="24"/>
        </w:rPr>
      </w:pPr>
      <w:r>
        <w:rPr>
          <w:rFonts w:ascii="TimesNewRoman,Bold" w:hAnsi="TimesNewRoman,Bold" w:cs="TimesNewRoman,Bold"/>
          <w:b/>
          <w:bCs/>
          <w:sz w:val="24"/>
          <w:szCs w:val="24"/>
        </w:rPr>
        <w:t>1.3  Information to Be Collected</w:t>
      </w:r>
    </w:p>
    <w:p w:rsidR="00AD0292" w:rsidRDefault="00AD0292" w:rsidP="00AD0292">
      <w:pPr>
        <w:keepNext/>
        <w:keepLines/>
        <w:numPr>
          <w:ilvl w:val="12"/>
          <w:numId w:val="0"/>
        </w:numPr>
        <w:rPr>
          <w:rFonts w:ascii="TimesNewRoman,Bold" w:hAnsi="TimesNewRoman,Bold" w:cs="TimesNewRoman,Bold"/>
          <w:b/>
          <w:bCs/>
          <w:sz w:val="24"/>
          <w:szCs w:val="24"/>
        </w:rPr>
      </w:pPr>
    </w:p>
    <w:p w:rsidR="00AD0292" w:rsidRDefault="00AD0292" w:rsidP="00AD0292">
      <w:pPr>
        <w:keepNext/>
        <w:keepLines/>
        <w:numPr>
          <w:ilvl w:val="12"/>
          <w:numId w:val="0"/>
        </w:numPr>
        <w:rPr>
          <w:sz w:val="24"/>
          <w:szCs w:val="24"/>
        </w:rPr>
      </w:pPr>
      <w:r>
        <w:rPr>
          <w:sz w:val="24"/>
          <w:szCs w:val="24"/>
        </w:rPr>
        <w:tab/>
        <w:t xml:space="preserve">The existing requirements in 40 </w:t>
      </w:r>
      <w:smartTag w:uri="urn:schemas-microsoft-com:office:smarttags" w:element="stockticker">
        <w:r>
          <w:rPr>
            <w:sz w:val="24"/>
            <w:szCs w:val="24"/>
          </w:rPr>
          <w:t>CFR</w:t>
        </w:r>
      </w:smartTag>
      <w:r>
        <w:rPr>
          <w:sz w:val="24"/>
          <w:szCs w:val="24"/>
        </w:rPr>
        <w:t xml:space="preserve"> Part 75 are mandatory for all sources subject to the Acid Rain Program under Title IV of the Clean Air Act, as well as certain other emissions trading programs administered by EPA</w:t>
      </w:r>
      <w:r w:rsidR="00F518C1">
        <w:rPr>
          <w:sz w:val="24"/>
          <w:szCs w:val="24"/>
        </w:rPr>
        <w:t xml:space="preserve">. </w:t>
      </w:r>
      <w:r>
        <w:rPr>
          <w:sz w:val="24"/>
          <w:szCs w:val="24"/>
        </w:rPr>
        <w:t>These requirements are covered by existing ICRs for the Acid Rain Program (ICR No. 1633.15, OMB Control Number 2060-0258) and the Clean Air Interstate Rule (ICR 2152.03, OMB Control Number 2060-0570)</w:t>
      </w:r>
      <w:r w:rsidR="00F518C1">
        <w:rPr>
          <w:sz w:val="24"/>
          <w:szCs w:val="24"/>
        </w:rPr>
        <w:t xml:space="preserve">. </w:t>
      </w:r>
      <w:r>
        <w:rPr>
          <w:sz w:val="24"/>
          <w:szCs w:val="24"/>
        </w:rPr>
        <w:t>The information requirements in th</w:t>
      </w:r>
      <w:r w:rsidR="008F6B8D">
        <w:rPr>
          <w:sz w:val="24"/>
          <w:szCs w:val="24"/>
        </w:rPr>
        <w:t>e PVGP AETB</w:t>
      </w:r>
      <w:r>
        <w:rPr>
          <w:sz w:val="24"/>
          <w:szCs w:val="24"/>
        </w:rPr>
        <w:t xml:space="preserve"> ICR are based on revisions to the minimum competency requirements for air emission testing, and reflect the increase in costs to sources that need to pay for services provided by stack testers and stack testing companies</w:t>
      </w:r>
      <w:r w:rsidR="00F518C1">
        <w:rPr>
          <w:sz w:val="24"/>
          <w:szCs w:val="24"/>
        </w:rPr>
        <w:t xml:space="preserve">. </w:t>
      </w:r>
      <w:r>
        <w:rPr>
          <w:sz w:val="24"/>
          <w:szCs w:val="24"/>
        </w:rPr>
        <w:t>The final rule contains some minor reporting and recordkeeping provisions related to the AETB and PGVP requirements, and EPA assumes that there will be a small additional burden associated with these requirements</w:t>
      </w:r>
      <w:r w:rsidR="00F518C1">
        <w:rPr>
          <w:sz w:val="24"/>
          <w:szCs w:val="24"/>
        </w:rPr>
        <w:t xml:space="preserve">. </w:t>
      </w:r>
      <w:r>
        <w:rPr>
          <w:sz w:val="24"/>
          <w:szCs w:val="24"/>
        </w:rPr>
        <w:t>Thus, th</w:t>
      </w:r>
      <w:r w:rsidR="008F6B8D">
        <w:rPr>
          <w:sz w:val="24"/>
          <w:szCs w:val="24"/>
        </w:rPr>
        <w:t>e PVGP AETB</w:t>
      </w:r>
      <w:r w:rsidR="008F6B8D" w:rsidRPr="00EA7A90">
        <w:rPr>
          <w:sz w:val="24"/>
          <w:szCs w:val="24"/>
        </w:rPr>
        <w:t xml:space="preserve"> </w:t>
      </w:r>
      <w:r>
        <w:rPr>
          <w:sz w:val="24"/>
          <w:szCs w:val="24"/>
        </w:rPr>
        <w:t>ICR covers:  (1) the incremental increase in testing costs that will be passed along to sources from air emission testing bodies (i.e., stack testers and stack testing companies) due to the increased burden resulting from revisions to the minimum competency requirements for these companies; (2) the incremental increase in the cost of EPA Protocol gas cylinders that will be passed along to sources from vendors participating in PGVP due to the increased burden resulting from revisions to the cylinder analysis, reporting and notification requirements for these companies; (3) the one time</w:t>
      </w:r>
      <w:r>
        <w:rPr>
          <w:rFonts w:ascii="TimesNewRoman" w:hAnsi="TimesNewRoman" w:cs="TimesNewRoman"/>
          <w:sz w:val="24"/>
          <w:szCs w:val="24"/>
        </w:rPr>
        <w:t xml:space="preserve"> labor burden for sources to review the new requirements included in the rule; and (4) the increase in burden to Part 75 affected sources for complying with the modified recordkeeping and reporting requirements associated with the AETB and PGVP provisions.  </w:t>
      </w:r>
    </w:p>
    <w:p w:rsidR="00AD0292" w:rsidRDefault="00AD0292" w:rsidP="00AD0292">
      <w:pPr>
        <w:numPr>
          <w:ilvl w:val="12"/>
          <w:numId w:val="0"/>
        </w:numPr>
        <w:rPr>
          <w:rFonts w:ascii="TimesNewRoman,Bold" w:hAnsi="TimesNewRoman,Bold" w:cs="TimesNewRoman,Bold"/>
          <w:b/>
          <w:bCs/>
          <w:sz w:val="24"/>
          <w:szCs w:val="24"/>
        </w:rPr>
      </w:pPr>
    </w:p>
    <w:p w:rsidR="00AD0292" w:rsidRDefault="00AD0292" w:rsidP="00AD0292">
      <w:pPr>
        <w:numPr>
          <w:ilvl w:val="12"/>
          <w:numId w:val="0"/>
        </w:numPr>
        <w:rPr>
          <w:rFonts w:ascii="TimesNewRoman" w:hAnsi="TimesNewRoman" w:cs="TimesNewRoman"/>
          <w:sz w:val="24"/>
          <w:szCs w:val="24"/>
        </w:rPr>
      </w:pPr>
      <w:r>
        <w:rPr>
          <w:sz w:val="24"/>
          <w:szCs w:val="24"/>
        </w:rPr>
        <w:tab/>
      </w:r>
      <w:r>
        <w:rPr>
          <w:rFonts w:ascii="TimesNewRoman" w:hAnsi="TimesNewRoman" w:cs="TimesNewRoman"/>
          <w:sz w:val="24"/>
          <w:szCs w:val="24"/>
        </w:rPr>
        <w:t xml:space="preserve">.  </w:t>
      </w:r>
    </w:p>
    <w:p w:rsidR="00AD0292" w:rsidRDefault="00AD0292" w:rsidP="00AD0292">
      <w:pPr>
        <w:numPr>
          <w:ilvl w:val="12"/>
          <w:numId w:val="0"/>
        </w:numPr>
        <w:ind w:left="720"/>
        <w:outlineLvl w:val="0"/>
        <w:rPr>
          <w:rFonts w:ascii="TimesNewRoman,Bold" w:hAnsi="TimesNewRoman,Bold" w:cs="TimesNewRoman,Bold"/>
        </w:rPr>
      </w:pPr>
      <w:r>
        <w:rPr>
          <w:rFonts w:ascii="TimesNewRoman,Bold" w:hAnsi="TimesNewRoman,Bold" w:cs="TimesNewRoman,Bold"/>
          <w:b/>
          <w:bCs/>
          <w:sz w:val="24"/>
          <w:szCs w:val="24"/>
        </w:rPr>
        <w:t>4.2.1  Data Items, Including Recordkeeping Requirements</w:t>
      </w:r>
    </w:p>
    <w:p w:rsidR="00AD0292" w:rsidRDefault="00AD0292" w:rsidP="00AD0292">
      <w:pPr>
        <w:numPr>
          <w:ilvl w:val="12"/>
          <w:numId w:val="0"/>
        </w:numPr>
        <w:rPr>
          <w:rFonts w:ascii="TimesNewRoman,Bold" w:hAnsi="TimesNewRoman,Bold" w:cs="TimesNewRoman,Bold"/>
        </w:rPr>
      </w:pPr>
    </w:p>
    <w:p w:rsidR="00AD0292" w:rsidRDefault="00AD0292" w:rsidP="00AD0292">
      <w:pPr>
        <w:numPr>
          <w:ilvl w:val="12"/>
          <w:numId w:val="0"/>
        </w:numPr>
        <w:rPr>
          <w:rFonts w:ascii="TimesNewRoman,Bold" w:hAnsi="TimesNewRoman,Bold" w:cs="TimesNewRoman,Bold"/>
        </w:rPr>
      </w:pPr>
      <w:r>
        <w:rPr>
          <w:rFonts w:ascii="TimesNewRoman" w:hAnsi="TimesNewRoman" w:cs="TimesNewRoman"/>
          <w:sz w:val="24"/>
          <w:szCs w:val="24"/>
        </w:rPr>
        <w:tab/>
        <w:t>There are a small number of new data items requested from respondents under the final rule</w:t>
      </w:r>
      <w:r w:rsidR="00F518C1">
        <w:rPr>
          <w:rFonts w:ascii="TimesNewRoman" w:hAnsi="TimesNewRoman" w:cs="TimesNewRoman"/>
          <w:sz w:val="24"/>
          <w:szCs w:val="24"/>
        </w:rPr>
        <w:t xml:space="preserve">. </w:t>
      </w:r>
      <w:r>
        <w:rPr>
          <w:rFonts w:ascii="TimesNewRoman" w:hAnsi="TimesNewRoman" w:cs="TimesNewRoman"/>
          <w:sz w:val="24"/>
          <w:szCs w:val="24"/>
        </w:rPr>
        <w:t xml:space="preserve">These include revisions to </w:t>
      </w:r>
      <w:r>
        <w:rPr>
          <w:rFonts w:ascii="Calibri" w:hAnsi="Calibri" w:cs="TimesNewRoman"/>
          <w:sz w:val="24"/>
          <w:szCs w:val="24"/>
        </w:rPr>
        <w:t>§§</w:t>
      </w:r>
      <w:r>
        <w:rPr>
          <w:rFonts w:ascii="TimesNewRoman" w:hAnsi="TimesNewRoman" w:cs="TimesNewRoman"/>
          <w:sz w:val="24"/>
          <w:szCs w:val="24"/>
        </w:rPr>
        <w:t>75.53, 75.58, and 75.59, that add various data elements that were inadvertently left out of the August 22, 2006 proposed rule and the January 24, 2008 final rule</w:t>
      </w:r>
      <w:r w:rsidR="00F518C1">
        <w:rPr>
          <w:rFonts w:ascii="TimesNewRoman" w:hAnsi="TimesNewRoman" w:cs="TimesNewRoman"/>
          <w:sz w:val="24"/>
          <w:szCs w:val="24"/>
        </w:rPr>
        <w:t xml:space="preserve">. </w:t>
      </w:r>
      <w:r>
        <w:rPr>
          <w:rFonts w:ascii="TimesNewRoman" w:hAnsi="TimesNewRoman" w:cs="TimesNewRoman"/>
          <w:sz w:val="24"/>
          <w:szCs w:val="24"/>
        </w:rPr>
        <w:t>These data elements have already been incorporated in the DAHS of Part 75 affected units and are required to ensure that EPA's new reporting software data requirements are consistent with the regulatory requirements</w:t>
      </w:r>
      <w:r w:rsidR="00F518C1">
        <w:rPr>
          <w:rFonts w:ascii="TimesNewRoman" w:hAnsi="TimesNewRoman" w:cs="TimesNewRoman"/>
          <w:sz w:val="24"/>
          <w:szCs w:val="24"/>
        </w:rPr>
        <w:t xml:space="preserve">. </w:t>
      </w:r>
      <w:r>
        <w:rPr>
          <w:rFonts w:ascii="TimesNewRoman" w:hAnsi="TimesNewRoman" w:cs="TimesNewRoman"/>
          <w:sz w:val="24"/>
          <w:szCs w:val="24"/>
        </w:rPr>
        <w:t>As such, the incremental changes to the recordkeeping and reporting requirements add only a small additional burden for sources</w:t>
      </w:r>
      <w:r w:rsidR="00F518C1">
        <w:rPr>
          <w:rFonts w:ascii="TimesNewRoman" w:hAnsi="TimesNewRoman" w:cs="TimesNewRoman"/>
          <w:sz w:val="24"/>
          <w:szCs w:val="24"/>
        </w:rPr>
        <w:t xml:space="preserve">. </w:t>
      </w:r>
      <w:r>
        <w:rPr>
          <w:rFonts w:ascii="TimesNewRoman" w:hAnsi="TimesNewRoman" w:cs="TimesNewRoman"/>
          <w:sz w:val="24"/>
          <w:szCs w:val="24"/>
        </w:rPr>
        <w:t>Th</w:t>
      </w:r>
      <w:r w:rsidR="008F6B8D">
        <w:rPr>
          <w:rFonts w:ascii="TimesNewRoman" w:hAnsi="TimesNewRoman" w:cs="TimesNewRoman"/>
          <w:sz w:val="24"/>
          <w:szCs w:val="24"/>
        </w:rPr>
        <w:t xml:space="preserve">e </w:t>
      </w:r>
      <w:r w:rsidR="008F6B8D">
        <w:rPr>
          <w:sz w:val="24"/>
          <w:szCs w:val="24"/>
        </w:rPr>
        <w:t>PVGP AETB</w:t>
      </w:r>
      <w:r>
        <w:rPr>
          <w:rFonts w:ascii="TimesNewRoman" w:hAnsi="TimesNewRoman" w:cs="TimesNewRoman"/>
          <w:sz w:val="24"/>
          <w:szCs w:val="24"/>
        </w:rPr>
        <w:t xml:space="preserve"> ICR covers the small one-time burden associated with the respondents' review of the Part 75 revisions included in the final rule, the small annual burden associated with ensuring compliance with the additional recordkeeping </w:t>
      </w:r>
      <w:r>
        <w:rPr>
          <w:rFonts w:ascii="TimesNewRoman" w:hAnsi="TimesNewRoman" w:cs="TimesNewRoman"/>
          <w:sz w:val="24"/>
          <w:szCs w:val="24"/>
        </w:rPr>
        <w:lastRenderedPageBreak/>
        <w:t xml:space="preserve">and reporting requirements, and the marginal increase in fees charged by AETBs and vendors participating in the PGVP to respondents (i.e., the increase that can be attributed to the new </w:t>
      </w:r>
      <w:r>
        <w:rPr>
          <w:sz w:val="24"/>
          <w:szCs w:val="24"/>
        </w:rPr>
        <w:t xml:space="preserve">testing competency requirements in the rule and the new cylinder analysis, reporting and notification requirements for PGVP vendors). </w:t>
      </w:r>
    </w:p>
    <w:p w:rsidR="00AD0292" w:rsidRDefault="00AD0292" w:rsidP="00AD0292">
      <w:pPr>
        <w:numPr>
          <w:ilvl w:val="12"/>
          <w:numId w:val="0"/>
        </w:numPr>
        <w:rPr>
          <w:rFonts w:ascii="TimesNewRoman,Bold" w:hAnsi="TimesNewRoman,Bold" w:cs="TimesNewRoman,Bold"/>
        </w:rPr>
      </w:pPr>
    </w:p>
    <w:p w:rsidR="00AD0292" w:rsidRDefault="00AD0292" w:rsidP="00AD0292">
      <w:pPr>
        <w:numPr>
          <w:ilvl w:val="12"/>
          <w:numId w:val="0"/>
        </w:numPr>
        <w:rPr>
          <w:rFonts w:ascii="TimesNewRoman" w:hAnsi="TimesNewRoman" w:cs="TimesNewRoman"/>
          <w:sz w:val="24"/>
          <w:szCs w:val="24"/>
        </w:rPr>
      </w:pPr>
      <w:r>
        <w:rPr>
          <w:rFonts w:ascii="TimesNewRoman" w:hAnsi="TimesNewRoman" w:cs="TimesNewRoman"/>
          <w:sz w:val="24"/>
          <w:szCs w:val="24"/>
        </w:rPr>
        <w:tab/>
        <w:t>Emissions monitoring requirements specify that affected sources must:  (1) submit a monitoring plan for each affected unit at a source; (2) submit data for certification of each monitor; and (3) record hourly operational, pollutant monitor, and flow monitor data for each affected unit and submit quarterly reports of their emissions data to EPA</w:t>
      </w:r>
      <w:r w:rsidR="00F518C1">
        <w:rPr>
          <w:rFonts w:ascii="TimesNewRoman" w:hAnsi="TimesNewRoman" w:cs="TimesNewRoman"/>
          <w:sz w:val="24"/>
          <w:szCs w:val="24"/>
        </w:rPr>
        <w:t xml:space="preserve">. </w:t>
      </w:r>
      <w:r>
        <w:rPr>
          <w:rFonts w:ascii="TimesNewRoman" w:hAnsi="TimesNewRoman" w:cs="TimesNewRoman"/>
          <w:sz w:val="24"/>
          <w:szCs w:val="24"/>
        </w:rPr>
        <w:t xml:space="preserve">Respondents are required by 40 </w:t>
      </w:r>
      <w:smartTag w:uri="urn:schemas-microsoft-com:office:smarttags" w:element="stockticker">
        <w:r>
          <w:rPr>
            <w:rFonts w:ascii="TimesNewRoman" w:hAnsi="TimesNewRoman" w:cs="TimesNewRoman"/>
            <w:sz w:val="24"/>
            <w:szCs w:val="24"/>
          </w:rPr>
          <w:t>CFR</w:t>
        </w:r>
      </w:smartTag>
      <w:r>
        <w:rPr>
          <w:rFonts w:ascii="TimesNewRoman" w:hAnsi="TimesNewRoman" w:cs="TimesNewRoman"/>
          <w:sz w:val="24"/>
          <w:szCs w:val="24"/>
        </w:rPr>
        <w:t xml:space="preserve"> 75.64 to submit the quarterly emissions data electronically, by direct electronic submission to EPA, and must also include a certification statement by the designated representative of the unit</w:t>
      </w:r>
      <w:r w:rsidR="00F518C1">
        <w:rPr>
          <w:rFonts w:ascii="TimesNewRoman" w:hAnsi="TimesNewRoman" w:cs="TimesNewRoman"/>
          <w:sz w:val="24"/>
          <w:szCs w:val="24"/>
        </w:rPr>
        <w:t xml:space="preserve">. </w:t>
      </w:r>
      <w:r>
        <w:rPr>
          <w:rFonts w:ascii="TimesNewRoman" w:hAnsi="TimesNewRoman" w:cs="TimesNewRoman"/>
          <w:sz w:val="24"/>
          <w:szCs w:val="24"/>
        </w:rPr>
        <w:t>Under the 2002 rule revisions, EPA requires the certification statement to be submitted electronically unless it approves a hardcopy submission</w:t>
      </w:r>
      <w:r w:rsidR="00F518C1">
        <w:rPr>
          <w:rFonts w:ascii="TimesNewRoman" w:hAnsi="TimesNewRoman" w:cs="TimesNewRoman"/>
          <w:sz w:val="24"/>
          <w:szCs w:val="24"/>
        </w:rPr>
        <w:t xml:space="preserve">. </w:t>
      </w:r>
      <w:r>
        <w:rPr>
          <w:rFonts w:ascii="TimesNewRoman" w:hAnsi="TimesNewRoman" w:cs="TimesNewRoman"/>
          <w:sz w:val="24"/>
          <w:szCs w:val="24"/>
        </w:rPr>
        <w:t>All records are to be kept for three years.</w:t>
      </w:r>
    </w:p>
    <w:p w:rsidR="00AD0292" w:rsidRDefault="00AD0292" w:rsidP="00AD0292">
      <w:pPr>
        <w:ind w:firstLine="360"/>
        <w:outlineLvl w:val="0"/>
        <w:rPr>
          <w:sz w:val="24"/>
          <w:szCs w:val="24"/>
        </w:rPr>
      </w:pPr>
    </w:p>
    <w:p w:rsidR="00AD0292" w:rsidRDefault="00AD0292" w:rsidP="00AD0292">
      <w:pPr>
        <w:numPr>
          <w:ilvl w:val="12"/>
          <w:numId w:val="0"/>
        </w:numPr>
        <w:rPr>
          <w:rFonts w:ascii="TimesNewRoman,Bold" w:hAnsi="TimesNewRoman,Bold" w:cs="TimesNewRoman,Bold"/>
        </w:rPr>
      </w:pPr>
      <w:r>
        <w:rPr>
          <w:rFonts w:ascii="TimesNewRoman,Bold" w:hAnsi="TimesNewRoman,Bold" w:cs="TimesNewRoman,Bold"/>
          <w:b/>
          <w:bCs/>
          <w:sz w:val="24"/>
          <w:szCs w:val="24"/>
        </w:rPr>
        <w:t>4.2.2  Respondent Activities</w:t>
      </w:r>
    </w:p>
    <w:p w:rsidR="00AD0292" w:rsidRDefault="00AD0292" w:rsidP="00AD0292">
      <w:pPr>
        <w:numPr>
          <w:ilvl w:val="12"/>
          <w:numId w:val="0"/>
        </w:numPr>
        <w:rPr>
          <w:rFonts w:ascii="TimesNewRoman,Bold" w:hAnsi="TimesNewRoman,Bold" w:cs="TimesNewRoman,Bold"/>
        </w:rPr>
      </w:pPr>
    </w:p>
    <w:p w:rsidR="00AD0292" w:rsidRDefault="00AD0292" w:rsidP="00AD0292">
      <w:pPr>
        <w:numPr>
          <w:ilvl w:val="12"/>
          <w:numId w:val="0"/>
        </w:numPr>
        <w:rPr>
          <w:rFonts w:ascii="TimesNewRoman" w:hAnsi="TimesNewRoman" w:cs="TimesNewRoman"/>
          <w:sz w:val="24"/>
          <w:szCs w:val="24"/>
        </w:rPr>
      </w:pPr>
      <w:r>
        <w:rPr>
          <w:sz w:val="24"/>
          <w:szCs w:val="24"/>
        </w:rPr>
        <w:tab/>
      </w:r>
      <w:r>
        <w:rPr>
          <w:rFonts w:ascii="TimesNewRoman" w:hAnsi="TimesNewRoman" w:cs="TimesNewRoman"/>
          <w:sz w:val="24"/>
          <w:szCs w:val="24"/>
        </w:rPr>
        <w:t>The primary tasks that are performed by respondents to meet the emissions monitoring requirements are:  (1) completing and submitting appropriate monitoring plan forms for each affected source and each affected unit at a source; (2) conducting tests to certify the operation of</w:t>
      </w:r>
      <w:r>
        <w:rPr>
          <w:rFonts w:ascii="TimesNewRoman,Bold" w:hAnsi="TimesNewRoman,Bold" w:cs="TimesNewRoman,Bold"/>
        </w:rPr>
        <w:t xml:space="preserve"> </w:t>
      </w:r>
      <w:r>
        <w:rPr>
          <w:rFonts w:ascii="TimesNewRoman" w:hAnsi="TimesNewRoman" w:cs="TimesNewRoman"/>
          <w:sz w:val="24"/>
          <w:szCs w:val="24"/>
        </w:rPr>
        <w:t>monitors, and submitting test results to EPA; (3) recording hourly emissions data (this activity generally is performed electronically); (4) operation and maintenance activities associated with the monitoring, including quality assurance activities; (5) assuring data quality, preparing quarterly reports of emissions data and submitting these reports to EPA; and (6) responding to error messages generated by EPA as a part of automated data checks or electronic audits, or to field audits conducted by EPA.  In addition, respondents must purchase the necessary monitoring hardware (or pay for fuel sampling and analysis in some cases) and purchase the electronic data reporting software (or software upgrades).</w:t>
      </w:r>
    </w:p>
    <w:p w:rsidR="00AD0292" w:rsidRDefault="00AD0292" w:rsidP="00AD0292">
      <w:pPr>
        <w:numPr>
          <w:ilvl w:val="12"/>
          <w:numId w:val="0"/>
        </w:numPr>
        <w:rPr>
          <w:rFonts w:ascii="TimesNewRoman" w:hAnsi="TimesNewRoman" w:cs="TimesNewRoman"/>
          <w:sz w:val="24"/>
          <w:szCs w:val="24"/>
        </w:rPr>
      </w:pPr>
    </w:p>
    <w:p w:rsidR="00AD0292" w:rsidRDefault="00AD0292" w:rsidP="00AD0292">
      <w:pPr>
        <w:numPr>
          <w:ilvl w:val="12"/>
          <w:numId w:val="0"/>
        </w:numPr>
        <w:rPr>
          <w:sz w:val="24"/>
          <w:szCs w:val="24"/>
        </w:rPr>
      </w:pPr>
      <w:r>
        <w:rPr>
          <w:rFonts w:ascii="TimesNewRoman" w:hAnsi="TimesNewRoman" w:cs="TimesNewRoman"/>
          <w:sz w:val="24"/>
          <w:szCs w:val="24"/>
        </w:rPr>
        <w:tab/>
        <w:t>Th</w:t>
      </w:r>
      <w:r w:rsidR="008F6B8D">
        <w:rPr>
          <w:rFonts w:ascii="TimesNewRoman" w:hAnsi="TimesNewRoman" w:cs="TimesNewRoman"/>
          <w:sz w:val="24"/>
          <w:szCs w:val="24"/>
        </w:rPr>
        <w:t>e</w:t>
      </w:r>
      <w:r w:rsidR="008F6B8D" w:rsidRPr="008F6B8D">
        <w:rPr>
          <w:sz w:val="24"/>
          <w:szCs w:val="24"/>
        </w:rPr>
        <w:t xml:space="preserve"> </w:t>
      </w:r>
      <w:r w:rsidR="008F6B8D">
        <w:rPr>
          <w:sz w:val="24"/>
          <w:szCs w:val="24"/>
        </w:rPr>
        <w:t>PVGP AETB</w:t>
      </w:r>
      <w:r>
        <w:rPr>
          <w:rFonts w:ascii="TimesNewRoman" w:hAnsi="TimesNewRoman" w:cs="TimesNewRoman"/>
          <w:sz w:val="24"/>
          <w:szCs w:val="24"/>
        </w:rPr>
        <w:t xml:space="preserve"> ICR covers the marginal increase in burden associated with respondents' review of the new requirements in the rule, the marginal increase in burden associated with ensuring compliance with the modified recordkeeping and reporting requirements (i.e., to report AETB and PGVP-related information along with other emissions data), and the marginal increase in fees imposed on respondents by AETBs and PGVP vendors as </w:t>
      </w:r>
      <w:r>
        <w:rPr>
          <w:sz w:val="24"/>
          <w:szCs w:val="24"/>
        </w:rPr>
        <w:t xml:space="preserve">necessitated by changes in EPA's requirements for verification of AETB (including Qualified </w:t>
      </w:r>
      <w:r w:rsidRPr="00286DA5">
        <w:rPr>
          <w:sz w:val="24"/>
          <w:szCs w:val="24"/>
        </w:rPr>
        <w:t>Individuals</w:t>
      </w:r>
      <w:r>
        <w:rPr>
          <w:sz w:val="24"/>
          <w:szCs w:val="24"/>
        </w:rPr>
        <w:t>) and cylinder analysis, notification and re-notification from vendors participating in PGVP</w:t>
      </w:r>
      <w:r w:rsidRPr="00286DA5">
        <w:rPr>
          <w:sz w:val="24"/>
          <w:szCs w:val="24"/>
        </w:rPr>
        <w:t xml:space="preserve">.  </w:t>
      </w:r>
    </w:p>
    <w:p w:rsidR="008F6B8D" w:rsidRPr="00286DA5" w:rsidRDefault="008F6B8D" w:rsidP="00AD0292">
      <w:pPr>
        <w:numPr>
          <w:ilvl w:val="12"/>
          <w:numId w:val="0"/>
        </w:numPr>
        <w:rPr>
          <w:rFonts w:ascii="TimesNewRoman,Bold" w:hAnsi="TimesNewRoman,Bold" w:cs="TimesNewRoman,Bold"/>
          <w:sz w:val="24"/>
          <w:szCs w:val="24"/>
        </w:rPr>
      </w:pPr>
    </w:p>
    <w:p w:rsidR="00AD0292" w:rsidRDefault="00AD0292" w:rsidP="00AD0292">
      <w:pPr>
        <w:keepNext/>
        <w:keepLines/>
        <w:widowControl/>
        <w:numPr>
          <w:ilvl w:val="12"/>
          <w:numId w:val="0"/>
        </w:numPr>
        <w:ind w:left="450" w:hanging="450"/>
        <w:rPr>
          <w:rFonts w:ascii="TimesNewRoman,Bold" w:hAnsi="TimesNewRoman,Bold" w:cs="TimesNewRoman,Bold"/>
        </w:rPr>
      </w:pPr>
      <w:r>
        <w:rPr>
          <w:rFonts w:ascii="TimesNewRoman,Bold" w:hAnsi="TimesNewRoman,Bold" w:cs="TimesNewRoman,Bold"/>
          <w:b/>
          <w:bCs/>
          <w:sz w:val="24"/>
          <w:szCs w:val="24"/>
        </w:rPr>
        <w:t>5.0  The Information Collected -- Agency Activities, Collection Methodology, and Information Management</w:t>
      </w:r>
    </w:p>
    <w:p w:rsidR="00AD0292" w:rsidRDefault="00AD0292" w:rsidP="00AD0292">
      <w:pPr>
        <w:keepNext/>
        <w:keepLines/>
        <w:widowControl/>
        <w:numPr>
          <w:ilvl w:val="12"/>
          <w:numId w:val="0"/>
        </w:numPr>
        <w:rPr>
          <w:sz w:val="24"/>
          <w:szCs w:val="24"/>
        </w:rPr>
      </w:pPr>
    </w:p>
    <w:p w:rsidR="00AD0292" w:rsidRDefault="00AD0292" w:rsidP="00AD0292">
      <w:pPr>
        <w:keepNext/>
        <w:keepLines/>
        <w:widowControl/>
        <w:numPr>
          <w:ilvl w:val="12"/>
          <w:numId w:val="0"/>
        </w:numPr>
        <w:rPr>
          <w:sz w:val="24"/>
          <w:szCs w:val="24"/>
        </w:rPr>
      </w:pPr>
      <w:r>
        <w:rPr>
          <w:sz w:val="24"/>
          <w:szCs w:val="24"/>
        </w:rPr>
        <w:tab/>
        <w:t>The first part of this section describes Agency (EPA) activities related to the acquisition, analysis, storage, and distribution of the information collected from designated representatives of affected sources that are required to submit monitoring and emissions data</w:t>
      </w:r>
      <w:r w:rsidR="00F518C1">
        <w:rPr>
          <w:sz w:val="24"/>
          <w:szCs w:val="24"/>
        </w:rPr>
        <w:t xml:space="preserve">. </w:t>
      </w:r>
      <w:r>
        <w:rPr>
          <w:sz w:val="24"/>
          <w:szCs w:val="24"/>
        </w:rPr>
        <w:t>The second part describes the information management techniques employed to increase the efficiency of collections</w:t>
      </w:r>
      <w:r w:rsidR="00F518C1">
        <w:rPr>
          <w:sz w:val="24"/>
          <w:szCs w:val="24"/>
        </w:rPr>
        <w:t xml:space="preserve">. </w:t>
      </w:r>
      <w:r>
        <w:rPr>
          <w:sz w:val="24"/>
          <w:szCs w:val="24"/>
        </w:rPr>
        <w:t>The third part discusses the burden or benefits of the collection activities described in th</w:t>
      </w:r>
      <w:r w:rsidR="008F6B8D">
        <w:rPr>
          <w:sz w:val="24"/>
          <w:szCs w:val="24"/>
        </w:rPr>
        <w:t>e PVGP AETB</w:t>
      </w:r>
      <w:r>
        <w:rPr>
          <w:sz w:val="24"/>
          <w:szCs w:val="24"/>
        </w:rPr>
        <w:t xml:space="preserve"> ICR to small entities</w:t>
      </w:r>
      <w:r w:rsidR="00F518C1">
        <w:rPr>
          <w:sz w:val="24"/>
          <w:szCs w:val="24"/>
        </w:rPr>
        <w:t xml:space="preserve">. </w:t>
      </w:r>
      <w:r>
        <w:rPr>
          <w:sz w:val="24"/>
          <w:szCs w:val="24"/>
        </w:rPr>
        <w:t>The last part outlines the schedule for collecting information.</w:t>
      </w:r>
    </w:p>
    <w:p w:rsidR="00AD0292" w:rsidRDefault="00AD0292" w:rsidP="00AD0292">
      <w:pPr>
        <w:numPr>
          <w:ilvl w:val="12"/>
          <w:numId w:val="0"/>
        </w:numPr>
        <w:rPr>
          <w:sz w:val="24"/>
          <w:szCs w:val="24"/>
        </w:rPr>
      </w:pPr>
    </w:p>
    <w:p w:rsidR="00AD0292" w:rsidRDefault="00AD0292" w:rsidP="00AD0292">
      <w:pPr>
        <w:keepNext/>
        <w:numPr>
          <w:ilvl w:val="12"/>
          <w:numId w:val="0"/>
        </w:numPr>
        <w:ind w:firstLine="360"/>
        <w:outlineLvl w:val="0"/>
        <w:rPr>
          <w:rFonts w:ascii="TimesNewRoman,Bold" w:hAnsi="TimesNewRoman,Bold" w:cs="TimesNewRoman,Bold"/>
        </w:rPr>
      </w:pPr>
      <w:r>
        <w:rPr>
          <w:rFonts w:ascii="TimesNewRoman,Bold" w:hAnsi="TimesNewRoman,Bold" w:cs="TimesNewRoman,Bold"/>
          <w:b/>
          <w:bCs/>
          <w:sz w:val="24"/>
          <w:szCs w:val="24"/>
        </w:rPr>
        <w:lastRenderedPageBreak/>
        <w:t>5.1  Agency Activities</w:t>
      </w:r>
    </w:p>
    <w:p w:rsidR="00AD0292" w:rsidRDefault="00AD0292" w:rsidP="00AD0292">
      <w:pPr>
        <w:keepNext/>
        <w:numPr>
          <w:ilvl w:val="12"/>
          <w:numId w:val="0"/>
        </w:numPr>
        <w:rPr>
          <w:sz w:val="24"/>
          <w:szCs w:val="24"/>
        </w:rPr>
      </w:pPr>
    </w:p>
    <w:p w:rsidR="00AD0292" w:rsidRDefault="00AD0292" w:rsidP="00AD0292">
      <w:pPr>
        <w:keepNext/>
        <w:numPr>
          <w:ilvl w:val="12"/>
          <w:numId w:val="0"/>
        </w:numPr>
        <w:rPr>
          <w:rFonts w:ascii="TimesNewRoman" w:hAnsi="TimesNewRoman" w:cs="TimesNewRoman"/>
        </w:rPr>
      </w:pPr>
      <w:r>
        <w:rPr>
          <w:sz w:val="24"/>
          <w:szCs w:val="24"/>
        </w:rPr>
        <w:tab/>
      </w:r>
      <w:r>
        <w:rPr>
          <w:rFonts w:ascii="TimesNewRoman" w:hAnsi="TimesNewRoman" w:cs="TimesNewRoman"/>
          <w:sz w:val="24"/>
          <w:szCs w:val="24"/>
        </w:rPr>
        <w:t>The major EPA activities related to emissions monitoring and reporting include:  (1) reviewing monitoring plans and certification applications; and (2) processing, reviewing and evaluating reports of quarterly emissions data from affected units</w:t>
      </w:r>
      <w:r w:rsidR="00F518C1">
        <w:rPr>
          <w:rFonts w:ascii="TimesNewRoman" w:hAnsi="TimesNewRoman" w:cs="TimesNewRoman"/>
          <w:sz w:val="24"/>
          <w:szCs w:val="24"/>
        </w:rPr>
        <w:t xml:space="preserve">. </w:t>
      </w:r>
      <w:r>
        <w:rPr>
          <w:rFonts w:ascii="TimesNewRoman" w:hAnsi="TimesNewRoman" w:cs="TimesNewRoman"/>
          <w:sz w:val="24"/>
          <w:szCs w:val="24"/>
        </w:rPr>
        <w:t>These activities are covered by existing ICRs</w:t>
      </w:r>
      <w:r w:rsidR="00F518C1">
        <w:rPr>
          <w:rFonts w:ascii="TimesNewRoman" w:hAnsi="TimesNewRoman" w:cs="TimesNewRoman"/>
          <w:sz w:val="24"/>
          <w:szCs w:val="24"/>
        </w:rPr>
        <w:t xml:space="preserve">. </w:t>
      </w:r>
      <w:r>
        <w:rPr>
          <w:rFonts w:ascii="TimesNewRoman" w:hAnsi="TimesNewRoman" w:cs="TimesNewRoman"/>
          <w:sz w:val="24"/>
          <w:szCs w:val="24"/>
        </w:rPr>
        <w:t>Th</w:t>
      </w:r>
      <w:r w:rsidR="008F6B8D">
        <w:rPr>
          <w:rFonts w:ascii="TimesNewRoman" w:hAnsi="TimesNewRoman" w:cs="TimesNewRoman"/>
          <w:sz w:val="24"/>
          <w:szCs w:val="24"/>
        </w:rPr>
        <w:t xml:space="preserve">e </w:t>
      </w:r>
      <w:r w:rsidR="008F6B8D">
        <w:rPr>
          <w:sz w:val="24"/>
          <w:szCs w:val="24"/>
        </w:rPr>
        <w:t>PVGP AETB</w:t>
      </w:r>
      <w:r>
        <w:rPr>
          <w:rFonts w:ascii="TimesNewRoman" w:hAnsi="TimesNewRoman" w:cs="TimesNewRoman"/>
          <w:sz w:val="24"/>
          <w:szCs w:val="24"/>
        </w:rPr>
        <w:t xml:space="preserve"> ICR includes the incremental additional burden associated with maintaining and updating the list of vendors that participate in the PGVP, annually posting cylinder analysis results, reviewing the reported EPA Protocol gas production sites, and credentials of Qualified Individuals associated with an AETB</w:t>
      </w:r>
      <w:r w:rsidR="00F518C1">
        <w:rPr>
          <w:rFonts w:ascii="TimesNewRoman" w:hAnsi="TimesNewRoman" w:cs="TimesNewRoman"/>
          <w:sz w:val="24"/>
          <w:szCs w:val="24"/>
        </w:rPr>
        <w:t xml:space="preserve">. </w:t>
      </w:r>
      <w:r>
        <w:rPr>
          <w:rFonts w:ascii="TimesNewRoman" w:hAnsi="TimesNewRoman" w:cs="TimesNewRoman"/>
          <w:sz w:val="24"/>
          <w:szCs w:val="24"/>
        </w:rPr>
        <w:t xml:space="preserve">EPA staff will maintain a list of participating PGVP vendors (and will update that list on an as-needed, ongoing basis) on EPA's website.  </w:t>
      </w:r>
    </w:p>
    <w:p w:rsidR="00AD0292" w:rsidRDefault="00AD0292" w:rsidP="00AD0292">
      <w:pPr>
        <w:numPr>
          <w:ilvl w:val="12"/>
          <w:numId w:val="0"/>
        </w:numPr>
        <w:rPr>
          <w:sz w:val="24"/>
          <w:szCs w:val="24"/>
        </w:rPr>
      </w:pPr>
    </w:p>
    <w:p w:rsidR="00AD0292" w:rsidRDefault="00AD0292" w:rsidP="00AD0292">
      <w:pPr>
        <w:numPr>
          <w:ilvl w:val="12"/>
          <w:numId w:val="0"/>
        </w:numPr>
        <w:ind w:firstLine="720"/>
        <w:rPr>
          <w:sz w:val="24"/>
          <w:szCs w:val="24"/>
        </w:rPr>
      </w:pPr>
      <w:r>
        <w:rPr>
          <w:sz w:val="24"/>
          <w:szCs w:val="24"/>
        </w:rPr>
        <w:t>In addition to the annual costs above EPA, will incur a one-time upfront cost associated with the modification of the agency reporting software to accommodate and validate the new AETB and PGVP data elements.</w:t>
      </w:r>
    </w:p>
    <w:p w:rsidR="00AD0292" w:rsidRDefault="00AD0292" w:rsidP="00AD0292">
      <w:pPr>
        <w:numPr>
          <w:ilvl w:val="12"/>
          <w:numId w:val="0"/>
        </w:numPr>
        <w:rPr>
          <w:sz w:val="24"/>
          <w:szCs w:val="24"/>
        </w:rPr>
      </w:pPr>
    </w:p>
    <w:p w:rsidR="00AD0292" w:rsidRDefault="00AD0292" w:rsidP="00AD0292">
      <w:pPr>
        <w:numPr>
          <w:ilvl w:val="12"/>
          <w:numId w:val="0"/>
        </w:numPr>
        <w:ind w:firstLine="360"/>
        <w:rPr>
          <w:rFonts w:ascii="TimesNewRoman,Bold" w:hAnsi="TimesNewRoman,Bold" w:cs="TimesNewRoman,Bold"/>
        </w:rPr>
      </w:pPr>
      <w:r>
        <w:rPr>
          <w:rFonts w:ascii="TimesNewRoman,Bold" w:hAnsi="TimesNewRoman,Bold" w:cs="TimesNewRoman,Bold"/>
          <w:b/>
          <w:bCs/>
          <w:sz w:val="24"/>
          <w:szCs w:val="24"/>
        </w:rPr>
        <w:t>5.2  Collection Methodology and Management</w:t>
      </w:r>
    </w:p>
    <w:p w:rsidR="00AD0292" w:rsidRDefault="00AD0292" w:rsidP="00AD0292">
      <w:pPr>
        <w:numPr>
          <w:ilvl w:val="12"/>
          <w:numId w:val="0"/>
        </w:numPr>
        <w:rPr>
          <w:sz w:val="24"/>
          <w:szCs w:val="24"/>
        </w:rPr>
      </w:pPr>
    </w:p>
    <w:p w:rsidR="00AD0292" w:rsidRDefault="00AD0292" w:rsidP="00AD0292">
      <w:pPr>
        <w:numPr>
          <w:ilvl w:val="12"/>
          <w:numId w:val="0"/>
        </w:numPr>
        <w:rPr>
          <w:rFonts w:ascii="TimesNewRoman" w:hAnsi="TimesNewRoman" w:cs="TimesNewRoman"/>
        </w:rPr>
      </w:pPr>
      <w:r>
        <w:rPr>
          <w:sz w:val="24"/>
          <w:szCs w:val="24"/>
        </w:rPr>
        <w:tab/>
      </w:r>
      <w:r>
        <w:rPr>
          <w:rFonts w:ascii="TimesNewRoman" w:hAnsi="TimesNewRoman" w:cs="TimesNewRoman"/>
          <w:sz w:val="24"/>
          <w:szCs w:val="24"/>
        </w:rPr>
        <w:t>To ensure consistency nationwide and to expedite (1) data entry, (2) the allocation of allowances, and (3) permit issuance, EPA requires that standard reporting forms or equivalent formats or standard electronic reporting formats be used to submit all information</w:t>
      </w:r>
      <w:r>
        <w:rPr>
          <w:rFonts w:ascii="TimesNewRoman" w:hAnsi="TimesNewRoman" w:cs="TimesNewRoman"/>
        </w:rPr>
        <w:t xml:space="preserve"> </w:t>
      </w:r>
      <w:r>
        <w:rPr>
          <w:rFonts w:ascii="TimesNewRoman" w:hAnsi="TimesNewRoman" w:cs="TimesNewRoman"/>
          <w:sz w:val="24"/>
          <w:szCs w:val="24"/>
        </w:rPr>
        <w:t>to be collected under th</w:t>
      </w:r>
      <w:r w:rsidR="008F6B8D">
        <w:rPr>
          <w:rFonts w:ascii="TimesNewRoman" w:hAnsi="TimesNewRoman" w:cs="TimesNewRoman"/>
          <w:sz w:val="24"/>
          <w:szCs w:val="24"/>
        </w:rPr>
        <w:t xml:space="preserve">e </w:t>
      </w:r>
      <w:r w:rsidR="008F6B8D">
        <w:rPr>
          <w:sz w:val="24"/>
          <w:szCs w:val="24"/>
        </w:rPr>
        <w:t>PVGP AETB</w:t>
      </w:r>
      <w:r>
        <w:rPr>
          <w:rFonts w:ascii="TimesNewRoman" w:hAnsi="TimesNewRoman" w:cs="TimesNewRoman"/>
          <w:sz w:val="24"/>
          <w:szCs w:val="24"/>
        </w:rPr>
        <w:t xml:space="preserve"> ICR</w:t>
      </w:r>
      <w:r w:rsidR="00F518C1">
        <w:rPr>
          <w:rFonts w:ascii="TimesNewRoman" w:hAnsi="TimesNewRoman" w:cs="TimesNewRoman"/>
          <w:sz w:val="24"/>
          <w:szCs w:val="24"/>
        </w:rPr>
        <w:t>.</w:t>
      </w:r>
      <w:r w:rsidR="00F518C1">
        <w:rPr>
          <w:sz w:val="24"/>
          <w:szCs w:val="24"/>
        </w:rPr>
        <w:t xml:space="preserve"> </w:t>
      </w:r>
      <w:r>
        <w:rPr>
          <w:sz w:val="24"/>
          <w:szCs w:val="24"/>
        </w:rPr>
        <w:t xml:space="preserve">In </w:t>
      </w:r>
      <w:r>
        <w:rPr>
          <w:rFonts w:ascii="TimesNewRoman" w:hAnsi="TimesNewRoman" w:cs="TimesNewRoman"/>
          <w:sz w:val="24"/>
          <w:szCs w:val="24"/>
        </w:rPr>
        <w:t>2008, EPA made revisions to Part 75 monitoring, recordkeeping, and reporting requirements to accord with the fundamental changes in EPA's data systems, which are designed to unify and simplify data reporting, as well as to provide flexibility to respondents</w:t>
      </w:r>
      <w:r w:rsidR="00F518C1">
        <w:rPr>
          <w:rFonts w:ascii="TimesNewRoman" w:hAnsi="TimesNewRoman" w:cs="TimesNewRoman"/>
          <w:sz w:val="24"/>
          <w:szCs w:val="24"/>
        </w:rPr>
        <w:t xml:space="preserve">. </w:t>
      </w:r>
      <w:r>
        <w:rPr>
          <w:rFonts w:ascii="TimesNewRoman" w:hAnsi="TimesNewRoman" w:cs="TimesNewRoman"/>
          <w:sz w:val="24"/>
          <w:szCs w:val="24"/>
        </w:rPr>
        <w:t>EPA also has established the Clean Air Markets Home Page on the Internet, which includes detailed information collected from emissions reports</w:t>
      </w:r>
      <w:r w:rsidR="00F518C1">
        <w:rPr>
          <w:rFonts w:ascii="TimesNewRoman" w:hAnsi="TimesNewRoman" w:cs="TimesNewRoman"/>
          <w:sz w:val="24"/>
          <w:szCs w:val="24"/>
        </w:rPr>
        <w:t xml:space="preserve">. </w:t>
      </w:r>
      <w:r>
        <w:rPr>
          <w:rFonts w:ascii="TimesNewRoman" w:hAnsi="TimesNewRoman" w:cs="TimesNewRoman"/>
          <w:sz w:val="24"/>
          <w:szCs w:val="24"/>
        </w:rPr>
        <w:t>Those without access to the Internet may use the Acid Rain Hotline to request information</w:t>
      </w:r>
      <w:r w:rsidR="00F518C1">
        <w:rPr>
          <w:rFonts w:ascii="TimesNewRoman" w:hAnsi="TimesNewRoman" w:cs="TimesNewRoman"/>
          <w:sz w:val="24"/>
          <w:szCs w:val="24"/>
        </w:rPr>
        <w:t xml:space="preserve">. </w:t>
      </w:r>
      <w:r>
        <w:rPr>
          <w:rFonts w:ascii="TimesNewRoman" w:hAnsi="TimesNewRoman" w:cs="TimesNewRoman"/>
          <w:sz w:val="24"/>
          <w:szCs w:val="24"/>
        </w:rPr>
        <w:t>EPA will maintain a current list of PGVP vendors that is posted and maintained on EPA's website</w:t>
      </w:r>
      <w:r w:rsidR="00F518C1">
        <w:rPr>
          <w:rFonts w:ascii="TimesNewRoman" w:hAnsi="TimesNewRoman" w:cs="TimesNewRoman"/>
          <w:sz w:val="24"/>
          <w:szCs w:val="24"/>
        </w:rPr>
        <w:t xml:space="preserve">. </w:t>
      </w:r>
      <w:r>
        <w:rPr>
          <w:rFonts w:ascii="TimesNewRoman" w:hAnsi="TimesNewRoman" w:cs="TimesNewRoman"/>
          <w:sz w:val="24"/>
          <w:szCs w:val="24"/>
        </w:rPr>
        <w:t>Sources may use this list to ensure that they are purchasing EPA Protocol gas cylinders from a participating vendor.</w:t>
      </w:r>
    </w:p>
    <w:p w:rsidR="00AD0292" w:rsidRDefault="00AD0292" w:rsidP="00AD0292">
      <w:pPr>
        <w:ind w:firstLine="360"/>
        <w:outlineLvl w:val="0"/>
        <w:rPr>
          <w:sz w:val="24"/>
          <w:szCs w:val="24"/>
        </w:rPr>
      </w:pPr>
    </w:p>
    <w:p w:rsidR="00AD0292" w:rsidRDefault="00AD0292" w:rsidP="00AD0292">
      <w:pPr>
        <w:numPr>
          <w:ilvl w:val="12"/>
          <w:numId w:val="0"/>
        </w:numPr>
        <w:rPr>
          <w:rFonts w:ascii="TimesNewRoman,Bold" w:hAnsi="TimesNewRoman,Bold" w:cs="TimesNewRoman,Bold"/>
        </w:rPr>
      </w:pPr>
      <w:r>
        <w:rPr>
          <w:b/>
          <w:bCs/>
          <w:sz w:val="24"/>
          <w:szCs w:val="24"/>
        </w:rPr>
        <w:t xml:space="preserve">6.0  </w:t>
      </w:r>
      <w:r>
        <w:rPr>
          <w:rFonts w:ascii="TimesNewRoman,Bold" w:hAnsi="TimesNewRoman,Bold" w:cs="TimesNewRoman,Bold"/>
          <w:b/>
          <w:bCs/>
          <w:sz w:val="24"/>
          <w:szCs w:val="24"/>
        </w:rPr>
        <w:t>Estimating the Burden and Cost of Collections</w:t>
      </w:r>
    </w:p>
    <w:p w:rsidR="00AD0292" w:rsidRDefault="00AD0292" w:rsidP="00AD0292">
      <w:pPr>
        <w:numPr>
          <w:ilvl w:val="12"/>
          <w:numId w:val="0"/>
        </w:numPr>
        <w:rPr>
          <w:sz w:val="24"/>
          <w:szCs w:val="24"/>
        </w:rPr>
      </w:pPr>
    </w:p>
    <w:p w:rsidR="00AD0292" w:rsidRDefault="00AD0292" w:rsidP="00AD0292">
      <w:pPr>
        <w:numPr>
          <w:ilvl w:val="12"/>
          <w:numId w:val="0"/>
        </w:numPr>
        <w:rPr>
          <w:sz w:val="24"/>
          <w:szCs w:val="24"/>
        </w:rPr>
      </w:pPr>
      <w:r>
        <w:rPr>
          <w:sz w:val="24"/>
          <w:szCs w:val="24"/>
        </w:rPr>
        <w:tab/>
        <w:t>This section estimates the annual paperwork burden and cost to sources for adapting their recordkeeping and reporting systems to the revised requirements</w:t>
      </w:r>
      <w:r w:rsidR="00F518C1">
        <w:rPr>
          <w:sz w:val="24"/>
          <w:szCs w:val="24"/>
        </w:rPr>
        <w:t xml:space="preserve">. </w:t>
      </w:r>
      <w:r>
        <w:rPr>
          <w:sz w:val="24"/>
          <w:szCs w:val="24"/>
        </w:rPr>
        <w:t>The information requirements in th</w:t>
      </w:r>
      <w:r w:rsidR="008F6B8D">
        <w:rPr>
          <w:sz w:val="24"/>
          <w:szCs w:val="24"/>
        </w:rPr>
        <w:t>e PVGP AETB</w:t>
      </w:r>
      <w:r>
        <w:rPr>
          <w:sz w:val="24"/>
          <w:szCs w:val="24"/>
        </w:rPr>
        <w:t xml:space="preserve"> ICR are based on the revisions to the AETB and PGVP requirements as well as the minor additions to required reporting data elements</w:t>
      </w:r>
      <w:r w:rsidR="00F518C1">
        <w:rPr>
          <w:sz w:val="24"/>
          <w:szCs w:val="24"/>
        </w:rPr>
        <w:t xml:space="preserve">. </w:t>
      </w:r>
      <w:r>
        <w:rPr>
          <w:sz w:val="24"/>
          <w:szCs w:val="24"/>
        </w:rPr>
        <w:t>The estimates in th</w:t>
      </w:r>
      <w:r w:rsidR="008F6B8D">
        <w:rPr>
          <w:sz w:val="24"/>
          <w:szCs w:val="24"/>
        </w:rPr>
        <w:t>e PVGP AETB</w:t>
      </w:r>
      <w:r w:rsidR="008F6B8D" w:rsidRPr="00EA7A90">
        <w:rPr>
          <w:sz w:val="24"/>
          <w:szCs w:val="24"/>
        </w:rPr>
        <w:t xml:space="preserve"> </w:t>
      </w:r>
      <w:r>
        <w:rPr>
          <w:sz w:val="24"/>
          <w:szCs w:val="24"/>
        </w:rPr>
        <w:t xml:space="preserve">ICR reflect the increase in burden to the AETBs and PGVP vendors that will be necessitated by these new requirements and passed on to Part 75 sources in the form of increased testing fees (i.e., for using AETB’s that meet </w:t>
      </w:r>
      <w:smartTag w:uri="urn:schemas-microsoft-com:office:smarttags" w:element="stockticker">
        <w:r>
          <w:rPr>
            <w:sz w:val="24"/>
            <w:szCs w:val="24"/>
          </w:rPr>
          <w:t>ASTM</w:t>
        </w:r>
      </w:smartTag>
      <w:r>
        <w:rPr>
          <w:sz w:val="24"/>
          <w:szCs w:val="24"/>
        </w:rPr>
        <w:t xml:space="preserve"> D7036-04) and increased costs associated with EPA Protocol gas purchases</w:t>
      </w:r>
      <w:r w:rsidR="00F518C1">
        <w:rPr>
          <w:sz w:val="24"/>
          <w:szCs w:val="24"/>
        </w:rPr>
        <w:t xml:space="preserve">. </w:t>
      </w:r>
      <w:r>
        <w:rPr>
          <w:sz w:val="24"/>
          <w:szCs w:val="24"/>
        </w:rPr>
        <w:t>In addition, the estimates in th</w:t>
      </w:r>
      <w:r w:rsidR="008F6B8D">
        <w:rPr>
          <w:sz w:val="24"/>
          <w:szCs w:val="24"/>
        </w:rPr>
        <w:t>e PVGP AETB</w:t>
      </w:r>
      <w:r>
        <w:rPr>
          <w:sz w:val="24"/>
          <w:szCs w:val="24"/>
        </w:rPr>
        <w:t xml:space="preserve"> ICR reflect a small burden to Part 75 sources for a one-time rule review and an incremental increase in the annual burden associated with minor modifications to the recordkeeping and reporting requirements (i.e., for tracking AETB and PGVP-related information and data).</w:t>
      </w:r>
    </w:p>
    <w:p w:rsidR="00AD0292" w:rsidRDefault="00AD0292" w:rsidP="00AD0292">
      <w:pPr>
        <w:ind w:firstLine="360"/>
        <w:outlineLvl w:val="0"/>
        <w:rPr>
          <w:sz w:val="24"/>
          <w:szCs w:val="24"/>
        </w:rPr>
      </w:pPr>
    </w:p>
    <w:p w:rsidR="00AD0292" w:rsidRDefault="00AD0292" w:rsidP="004F5049">
      <w:pPr>
        <w:keepNext/>
        <w:numPr>
          <w:ilvl w:val="12"/>
          <w:numId w:val="0"/>
        </w:numPr>
        <w:ind w:firstLine="360"/>
        <w:outlineLvl w:val="0"/>
        <w:rPr>
          <w:b/>
          <w:bCs/>
          <w:sz w:val="24"/>
          <w:szCs w:val="24"/>
        </w:rPr>
      </w:pPr>
      <w:r>
        <w:rPr>
          <w:b/>
          <w:bCs/>
          <w:sz w:val="24"/>
          <w:szCs w:val="24"/>
        </w:rPr>
        <w:lastRenderedPageBreak/>
        <w:t>6.3  Estimating Agency Burden and Costs</w:t>
      </w:r>
    </w:p>
    <w:p w:rsidR="00AD0292" w:rsidRDefault="00AD0292" w:rsidP="004F5049">
      <w:pPr>
        <w:keepNext/>
        <w:numPr>
          <w:ilvl w:val="12"/>
          <w:numId w:val="0"/>
        </w:numPr>
        <w:rPr>
          <w:b/>
          <w:bCs/>
          <w:sz w:val="24"/>
          <w:szCs w:val="24"/>
        </w:rPr>
      </w:pPr>
    </w:p>
    <w:p w:rsidR="00AD0292" w:rsidRDefault="00AD0292" w:rsidP="004F5049">
      <w:pPr>
        <w:keepNext/>
        <w:numPr>
          <w:ilvl w:val="12"/>
          <w:numId w:val="0"/>
        </w:numPr>
        <w:rPr>
          <w:bCs/>
          <w:sz w:val="24"/>
          <w:szCs w:val="24"/>
        </w:rPr>
      </w:pPr>
      <w:r>
        <w:rPr>
          <w:bCs/>
          <w:sz w:val="24"/>
          <w:szCs w:val="24"/>
        </w:rPr>
        <w:tab/>
      </w:r>
      <w:r w:rsidRPr="009011E9">
        <w:rPr>
          <w:bCs/>
          <w:sz w:val="24"/>
          <w:szCs w:val="24"/>
        </w:rPr>
        <w:t xml:space="preserve">EPA </w:t>
      </w:r>
      <w:r w:rsidRPr="009011E9">
        <w:rPr>
          <w:sz w:val="24"/>
          <w:szCs w:val="24"/>
        </w:rPr>
        <w:t>estimates that there will be an incremental additional burden associated with maintaining and updating the list of vendors that participate in the PGVP</w:t>
      </w:r>
      <w:r>
        <w:rPr>
          <w:sz w:val="24"/>
          <w:szCs w:val="24"/>
        </w:rPr>
        <w:t xml:space="preserve">, and </w:t>
      </w:r>
      <w:r>
        <w:rPr>
          <w:rFonts w:ascii="TimesNewRoman" w:hAnsi="TimesNewRoman" w:cs="TimesNewRoman"/>
          <w:sz w:val="24"/>
          <w:szCs w:val="24"/>
        </w:rPr>
        <w:t>associated with reviewing the reported credentials of Qualified Individuals associated with an AETB</w:t>
      </w:r>
      <w:r w:rsidR="00F518C1" w:rsidRPr="009011E9">
        <w:rPr>
          <w:sz w:val="24"/>
          <w:szCs w:val="24"/>
        </w:rPr>
        <w:t xml:space="preserve">. </w:t>
      </w:r>
      <w:r w:rsidRPr="009011E9">
        <w:rPr>
          <w:bCs/>
          <w:sz w:val="24"/>
          <w:szCs w:val="24"/>
        </w:rPr>
        <w:t>EPA will</w:t>
      </w:r>
      <w:r>
        <w:rPr>
          <w:bCs/>
          <w:sz w:val="24"/>
          <w:szCs w:val="24"/>
        </w:rPr>
        <w:t xml:space="preserve">:  </w:t>
      </w:r>
    </w:p>
    <w:p w:rsidR="00AD0292" w:rsidRDefault="00AD0292" w:rsidP="00AD0292">
      <w:pPr>
        <w:numPr>
          <w:ilvl w:val="12"/>
          <w:numId w:val="0"/>
        </w:numPr>
        <w:rPr>
          <w:bCs/>
          <w:sz w:val="24"/>
          <w:szCs w:val="24"/>
        </w:rPr>
      </w:pPr>
    </w:p>
    <w:p w:rsidR="00AD0292" w:rsidRDefault="00AD0292" w:rsidP="00AD0292">
      <w:pPr>
        <w:numPr>
          <w:ilvl w:val="12"/>
          <w:numId w:val="0"/>
        </w:numPr>
        <w:ind w:left="720" w:hanging="360"/>
        <w:rPr>
          <w:sz w:val="24"/>
          <w:szCs w:val="24"/>
        </w:rPr>
      </w:pPr>
      <w:r>
        <w:rPr>
          <w:bCs/>
          <w:sz w:val="24"/>
          <w:szCs w:val="24"/>
        </w:rPr>
        <w:t>1.</w:t>
      </w:r>
      <w:r w:rsidRPr="009011E9">
        <w:rPr>
          <w:bCs/>
          <w:sz w:val="24"/>
          <w:szCs w:val="24"/>
        </w:rPr>
        <w:t xml:space="preserve"> </w:t>
      </w:r>
      <w:r>
        <w:rPr>
          <w:bCs/>
          <w:sz w:val="24"/>
          <w:szCs w:val="24"/>
        </w:rPr>
        <w:t xml:space="preserve"> Review PGVP applications, </w:t>
      </w:r>
      <w:r w:rsidRPr="009011E9">
        <w:rPr>
          <w:sz w:val="24"/>
          <w:szCs w:val="24"/>
        </w:rPr>
        <w:t>post the PGVP participants on Agency web sites</w:t>
      </w:r>
      <w:r>
        <w:rPr>
          <w:sz w:val="24"/>
          <w:szCs w:val="24"/>
        </w:rPr>
        <w:t>,</w:t>
      </w:r>
      <w:r w:rsidRPr="009011E9">
        <w:rPr>
          <w:sz w:val="24"/>
          <w:szCs w:val="24"/>
        </w:rPr>
        <w:t xml:space="preserve"> and make adjustments as needed; </w:t>
      </w:r>
    </w:p>
    <w:p w:rsidR="00AD0292" w:rsidRDefault="00AD0292" w:rsidP="00AD0292">
      <w:pPr>
        <w:numPr>
          <w:ilvl w:val="12"/>
          <w:numId w:val="0"/>
        </w:numPr>
        <w:ind w:left="720" w:hanging="360"/>
        <w:rPr>
          <w:sz w:val="24"/>
          <w:szCs w:val="24"/>
        </w:rPr>
      </w:pPr>
    </w:p>
    <w:p w:rsidR="00AD0292" w:rsidRDefault="00AD0292" w:rsidP="00AD0292">
      <w:pPr>
        <w:numPr>
          <w:ilvl w:val="12"/>
          <w:numId w:val="0"/>
        </w:numPr>
        <w:ind w:left="720" w:hanging="360"/>
        <w:rPr>
          <w:sz w:val="24"/>
          <w:szCs w:val="24"/>
        </w:rPr>
      </w:pPr>
      <w:r>
        <w:rPr>
          <w:sz w:val="24"/>
          <w:szCs w:val="24"/>
        </w:rPr>
        <w:t>2.  R</w:t>
      </w:r>
      <w:r w:rsidRPr="009011E9">
        <w:rPr>
          <w:sz w:val="24"/>
          <w:szCs w:val="24"/>
        </w:rPr>
        <w:t>eview</w:t>
      </w:r>
      <w:r>
        <w:rPr>
          <w:sz w:val="24"/>
          <w:szCs w:val="24"/>
        </w:rPr>
        <w:t xml:space="preserve"> </w:t>
      </w:r>
      <w:r w:rsidRPr="009011E9">
        <w:rPr>
          <w:sz w:val="24"/>
          <w:szCs w:val="24"/>
        </w:rPr>
        <w:t xml:space="preserve">and post cylinder analysis results; </w:t>
      </w:r>
      <w:r>
        <w:rPr>
          <w:sz w:val="24"/>
          <w:szCs w:val="24"/>
        </w:rPr>
        <w:t>and</w:t>
      </w:r>
    </w:p>
    <w:p w:rsidR="00AD0292" w:rsidRDefault="00AD0292" w:rsidP="00AD0292">
      <w:pPr>
        <w:numPr>
          <w:ilvl w:val="12"/>
          <w:numId w:val="0"/>
        </w:numPr>
        <w:ind w:left="720" w:hanging="360"/>
        <w:rPr>
          <w:sz w:val="24"/>
          <w:szCs w:val="24"/>
        </w:rPr>
      </w:pPr>
    </w:p>
    <w:p w:rsidR="00AD0292" w:rsidRDefault="00AD0292" w:rsidP="00AD0292">
      <w:pPr>
        <w:numPr>
          <w:ilvl w:val="12"/>
          <w:numId w:val="0"/>
        </w:numPr>
        <w:ind w:left="720" w:hanging="360"/>
        <w:rPr>
          <w:sz w:val="24"/>
          <w:szCs w:val="24"/>
        </w:rPr>
      </w:pPr>
      <w:r>
        <w:rPr>
          <w:sz w:val="24"/>
          <w:szCs w:val="24"/>
        </w:rPr>
        <w:t>3.  D</w:t>
      </w:r>
      <w:r w:rsidRPr="009011E9">
        <w:rPr>
          <w:sz w:val="24"/>
          <w:szCs w:val="24"/>
        </w:rPr>
        <w:t>evelop and implement annual work assignment</w:t>
      </w:r>
      <w:r>
        <w:rPr>
          <w:sz w:val="24"/>
          <w:szCs w:val="24"/>
        </w:rPr>
        <w:t>s</w:t>
      </w:r>
      <w:r w:rsidRPr="009011E9">
        <w:rPr>
          <w:sz w:val="24"/>
          <w:szCs w:val="24"/>
        </w:rPr>
        <w:t xml:space="preserve"> for obtaining cylinders </w:t>
      </w:r>
      <w:r>
        <w:rPr>
          <w:sz w:val="24"/>
          <w:szCs w:val="24"/>
        </w:rPr>
        <w:t xml:space="preserve">for </w:t>
      </w:r>
      <w:r w:rsidRPr="009011E9">
        <w:rPr>
          <w:sz w:val="24"/>
          <w:szCs w:val="24"/>
        </w:rPr>
        <w:t>audit</w:t>
      </w:r>
      <w:r>
        <w:rPr>
          <w:sz w:val="24"/>
          <w:szCs w:val="24"/>
        </w:rPr>
        <w:t xml:space="preserve">ing purposes. </w:t>
      </w:r>
    </w:p>
    <w:p w:rsidR="00AD0292" w:rsidRDefault="00AD0292" w:rsidP="00AD0292">
      <w:pPr>
        <w:numPr>
          <w:ilvl w:val="12"/>
          <w:numId w:val="0"/>
        </w:numPr>
        <w:ind w:left="720" w:hanging="360"/>
        <w:rPr>
          <w:sz w:val="24"/>
          <w:szCs w:val="24"/>
        </w:rPr>
      </w:pPr>
    </w:p>
    <w:p w:rsidR="00AD0292" w:rsidRDefault="00AD0292" w:rsidP="00AD0292">
      <w:pPr>
        <w:numPr>
          <w:ilvl w:val="12"/>
          <w:numId w:val="0"/>
        </w:numPr>
        <w:ind w:left="720" w:hanging="360"/>
        <w:rPr>
          <w:sz w:val="24"/>
          <w:szCs w:val="24"/>
        </w:rPr>
      </w:pPr>
      <w:r>
        <w:rPr>
          <w:sz w:val="24"/>
          <w:szCs w:val="24"/>
        </w:rPr>
        <w:t>4.  One time update to the Agency reporting software.</w:t>
      </w:r>
    </w:p>
    <w:p w:rsidR="00AD0292" w:rsidRDefault="00AD0292" w:rsidP="00AD0292">
      <w:pPr>
        <w:numPr>
          <w:ilvl w:val="12"/>
          <w:numId w:val="0"/>
        </w:numPr>
        <w:ind w:left="720" w:hanging="360"/>
        <w:rPr>
          <w:sz w:val="24"/>
          <w:szCs w:val="24"/>
        </w:rPr>
      </w:pPr>
    </w:p>
    <w:p w:rsidR="00AD0292" w:rsidRDefault="00AD0292" w:rsidP="00AD0292">
      <w:pPr>
        <w:numPr>
          <w:ilvl w:val="12"/>
          <w:numId w:val="0"/>
        </w:numPr>
        <w:ind w:left="720" w:hanging="360"/>
        <w:rPr>
          <w:sz w:val="24"/>
          <w:szCs w:val="24"/>
        </w:rPr>
      </w:pPr>
    </w:p>
    <w:p w:rsidR="00AD0292" w:rsidRDefault="00AD0292" w:rsidP="00AD0292">
      <w:pPr>
        <w:numPr>
          <w:ilvl w:val="12"/>
          <w:numId w:val="0"/>
        </w:numPr>
        <w:ind w:firstLine="720"/>
        <w:rPr>
          <w:sz w:val="24"/>
          <w:szCs w:val="24"/>
        </w:rPr>
      </w:pPr>
      <w:r>
        <w:rPr>
          <w:sz w:val="24"/>
          <w:szCs w:val="24"/>
        </w:rPr>
        <w:t>EPA estimates that one staff person will need to spend a total of 100 hours per year to complete these tasks</w:t>
      </w:r>
      <w:r w:rsidR="00F518C1" w:rsidRPr="004B139E">
        <w:rPr>
          <w:sz w:val="24"/>
          <w:szCs w:val="24"/>
        </w:rPr>
        <w:t xml:space="preserve">. </w:t>
      </w:r>
      <w:r>
        <w:rPr>
          <w:sz w:val="24"/>
          <w:szCs w:val="24"/>
        </w:rPr>
        <w:t>In addition, there will be a one-time burden of 600 hours associated with software programming that will be necessary to ensure that each Part 75 stack test has basic information for the corresponding AETB and Qualified Individual</w:t>
      </w:r>
      <w:r w:rsidR="00F518C1">
        <w:rPr>
          <w:sz w:val="24"/>
          <w:szCs w:val="24"/>
        </w:rPr>
        <w:t xml:space="preserve">. </w:t>
      </w:r>
      <w:r>
        <w:rPr>
          <w:sz w:val="24"/>
          <w:szCs w:val="24"/>
        </w:rPr>
        <w:t xml:space="preserve">EPA estimates a burden of 40 hours per year to review and resolve any issues or problems associated with ensuring that the AETB and Qualified Individual information is both accurate and current.  </w:t>
      </w:r>
    </w:p>
    <w:p w:rsidR="00AD0292" w:rsidRDefault="00AD0292" w:rsidP="00AD0292">
      <w:pPr>
        <w:numPr>
          <w:ilvl w:val="12"/>
          <w:numId w:val="0"/>
        </w:numPr>
        <w:ind w:firstLine="720"/>
        <w:rPr>
          <w:sz w:val="24"/>
          <w:szCs w:val="24"/>
        </w:rPr>
      </w:pPr>
    </w:p>
    <w:p w:rsidR="00AD0292" w:rsidRDefault="00AD0292" w:rsidP="00AD0292">
      <w:pPr>
        <w:numPr>
          <w:ilvl w:val="12"/>
          <w:numId w:val="0"/>
        </w:numPr>
        <w:ind w:firstLine="720"/>
        <w:rPr>
          <w:sz w:val="24"/>
          <w:szCs w:val="24"/>
        </w:rPr>
      </w:pPr>
      <w:r w:rsidRPr="004B139E">
        <w:rPr>
          <w:sz w:val="24"/>
          <w:szCs w:val="24"/>
        </w:rPr>
        <w:t>Government cost is based on GS-13 salary for professional engineers ($</w:t>
      </w:r>
      <w:r>
        <w:rPr>
          <w:sz w:val="24"/>
          <w:szCs w:val="24"/>
        </w:rPr>
        <w:t>43.99</w:t>
      </w:r>
      <w:r w:rsidRPr="004B139E">
        <w:rPr>
          <w:sz w:val="24"/>
          <w:szCs w:val="24"/>
        </w:rPr>
        <w:t>/hr), adjusted by a factor of 1.6 to account for government benefits, resulting in a final rate of $</w:t>
      </w:r>
      <w:r>
        <w:rPr>
          <w:sz w:val="24"/>
          <w:szCs w:val="24"/>
        </w:rPr>
        <w:t>70.38</w:t>
      </w:r>
      <w:r w:rsidRPr="004B139E">
        <w:rPr>
          <w:sz w:val="24"/>
          <w:szCs w:val="24"/>
        </w:rPr>
        <w:t>/hr</w:t>
      </w:r>
      <w:r w:rsidR="00F518C1" w:rsidRPr="004B139E">
        <w:rPr>
          <w:sz w:val="24"/>
          <w:szCs w:val="24"/>
        </w:rPr>
        <w:t xml:space="preserve">. </w:t>
      </w:r>
      <w:r w:rsidRPr="004B139E">
        <w:rPr>
          <w:sz w:val="24"/>
          <w:szCs w:val="24"/>
        </w:rPr>
        <w:t xml:space="preserve">The hourly rate was obtained from the </w:t>
      </w:r>
      <w:r>
        <w:rPr>
          <w:sz w:val="24"/>
          <w:szCs w:val="24"/>
        </w:rPr>
        <w:t xml:space="preserve">U.S. </w:t>
      </w:r>
      <w:r w:rsidRPr="004B139E">
        <w:rPr>
          <w:sz w:val="24"/>
          <w:szCs w:val="24"/>
        </w:rPr>
        <w:t>Office of Person</w:t>
      </w:r>
      <w:r>
        <w:rPr>
          <w:sz w:val="24"/>
          <w:szCs w:val="24"/>
        </w:rPr>
        <w:t>nel</w:t>
      </w:r>
      <w:r w:rsidRPr="004B139E">
        <w:rPr>
          <w:sz w:val="24"/>
          <w:szCs w:val="24"/>
        </w:rPr>
        <w:t xml:space="preserve"> Management, </w:t>
      </w:r>
      <w:r>
        <w:rPr>
          <w:sz w:val="24"/>
          <w:szCs w:val="24"/>
        </w:rPr>
        <w:t>"</w:t>
      </w:r>
      <w:r w:rsidRPr="004B139E">
        <w:rPr>
          <w:sz w:val="24"/>
          <w:szCs w:val="24"/>
        </w:rPr>
        <w:t>Salary Table 200</w:t>
      </w:r>
      <w:r>
        <w:rPr>
          <w:sz w:val="24"/>
          <w:szCs w:val="24"/>
        </w:rPr>
        <w:t>9</w:t>
      </w:r>
      <w:r w:rsidRPr="004B139E">
        <w:rPr>
          <w:sz w:val="24"/>
          <w:szCs w:val="24"/>
        </w:rPr>
        <w:t>-GS</w:t>
      </w:r>
      <w:r>
        <w:rPr>
          <w:sz w:val="24"/>
          <w:szCs w:val="24"/>
        </w:rPr>
        <w:t>"</w:t>
      </w:r>
      <w:r w:rsidRPr="004B139E">
        <w:rPr>
          <w:sz w:val="24"/>
          <w:szCs w:val="24"/>
        </w:rPr>
        <w:t xml:space="preserve"> (http://www.opm.gov/oca/0</w:t>
      </w:r>
      <w:r>
        <w:rPr>
          <w:sz w:val="24"/>
          <w:szCs w:val="24"/>
        </w:rPr>
        <w:t>9</w:t>
      </w:r>
      <w:r w:rsidRPr="004B139E">
        <w:rPr>
          <w:sz w:val="24"/>
          <w:szCs w:val="24"/>
        </w:rPr>
        <w:t>tables/html/gs_h.asp)</w:t>
      </w:r>
      <w:r w:rsidR="00F518C1" w:rsidRPr="004B139E">
        <w:rPr>
          <w:sz w:val="24"/>
          <w:szCs w:val="24"/>
        </w:rPr>
        <w:t xml:space="preserve">. </w:t>
      </w:r>
      <w:r w:rsidRPr="004B139E">
        <w:rPr>
          <w:sz w:val="24"/>
          <w:szCs w:val="24"/>
        </w:rPr>
        <w:t xml:space="preserve">Agency time is </w:t>
      </w:r>
      <w:r>
        <w:rPr>
          <w:sz w:val="24"/>
          <w:szCs w:val="24"/>
        </w:rPr>
        <w:t xml:space="preserve">estimated </w:t>
      </w:r>
      <w:r w:rsidRPr="004B139E">
        <w:rPr>
          <w:sz w:val="24"/>
          <w:szCs w:val="24"/>
        </w:rPr>
        <w:t>for</w:t>
      </w:r>
      <w:r>
        <w:rPr>
          <w:sz w:val="24"/>
          <w:szCs w:val="24"/>
        </w:rPr>
        <w:t xml:space="preserve"> managing the PGVP (which encompass all four activities listed above) in Table 1 below</w:t>
      </w:r>
      <w:r w:rsidR="00F518C1">
        <w:rPr>
          <w:sz w:val="24"/>
          <w:szCs w:val="24"/>
        </w:rPr>
        <w:t xml:space="preserve">. </w:t>
      </w:r>
      <w:r>
        <w:rPr>
          <w:sz w:val="24"/>
          <w:szCs w:val="24"/>
        </w:rPr>
        <w:t xml:space="preserve">Note that there are no capital or operation and maintenance costs associated with the Agency burden.   </w:t>
      </w:r>
    </w:p>
    <w:p w:rsidR="00AD0292" w:rsidRPr="004B139E" w:rsidRDefault="009F3F22" w:rsidP="00AD0292">
      <w:pPr>
        <w:numPr>
          <w:ilvl w:val="12"/>
          <w:numId w:val="0"/>
        </w:numPr>
        <w:rPr>
          <w:b/>
          <w:bCs/>
          <w:sz w:val="24"/>
          <w:szCs w:val="24"/>
        </w:rPr>
      </w:pPr>
      <w:r>
        <w:rPr>
          <w:b/>
          <w:bCs/>
          <w:sz w:val="24"/>
          <w:szCs w:val="24"/>
        </w:rPr>
        <w:br w:type="page"/>
      </w:r>
    </w:p>
    <w:p w:rsidR="00AD0292" w:rsidRPr="004B139E" w:rsidRDefault="00AD0292" w:rsidP="00AD0292">
      <w:pPr>
        <w:keepNext/>
        <w:widowControl/>
        <w:jc w:val="center"/>
        <w:rPr>
          <w:b/>
          <w:sz w:val="24"/>
          <w:szCs w:val="24"/>
        </w:rPr>
      </w:pPr>
      <w:r w:rsidRPr="004B139E">
        <w:rPr>
          <w:b/>
          <w:sz w:val="24"/>
          <w:szCs w:val="24"/>
        </w:rPr>
        <w:lastRenderedPageBreak/>
        <w:t>Table 1</w:t>
      </w:r>
      <w:r>
        <w:rPr>
          <w:b/>
          <w:sz w:val="24"/>
          <w:szCs w:val="24"/>
        </w:rPr>
        <w:br/>
      </w:r>
      <w:r w:rsidRPr="004B139E">
        <w:rPr>
          <w:b/>
          <w:sz w:val="24"/>
          <w:szCs w:val="24"/>
        </w:rPr>
        <w:t>Agency Burden and Cost</w:t>
      </w:r>
    </w:p>
    <w:p w:rsidR="00AD0292" w:rsidRPr="004B139E" w:rsidRDefault="00AD0292" w:rsidP="00AD0292">
      <w:pPr>
        <w:keepNext/>
        <w:widowControl/>
        <w:ind w:right="-450"/>
        <w:rPr>
          <w:sz w:val="24"/>
          <w:szCs w:val="24"/>
        </w:rPr>
      </w:pPr>
    </w:p>
    <w:tbl>
      <w:tblPr>
        <w:tblW w:w="8987" w:type="dxa"/>
        <w:jc w:val="center"/>
        <w:tblLayout w:type="fixed"/>
        <w:tblCellMar>
          <w:top w:w="72" w:type="dxa"/>
          <w:left w:w="72" w:type="dxa"/>
          <w:bottom w:w="72" w:type="dxa"/>
          <w:right w:w="72" w:type="dxa"/>
        </w:tblCellMar>
        <w:tblLook w:val="0000"/>
      </w:tblPr>
      <w:tblGrid>
        <w:gridCol w:w="2799"/>
        <w:gridCol w:w="1245"/>
        <w:gridCol w:w="1530"/>
        <w:gridCol w:w="1170"/>
        <w:gridCol w:w="990"/>
        <w:gridCol w:w="1253"/>
      </w:tblGrid>
      <w:tr w:rsidR="00AD0292" w:rsidRPr="004B139E" w:rsidTr="00AD0292">
        <w:trPr>
          <w:jc w:val="center"/>
        </w:trPr>
        <w:tc>
          <w:tcPr>
            <w:tcW w:w="2799" w:type="dxa"/>
            <w:tcBorders>
              <w:top w:val="single" w:sz="8" w:space="0" w:color="000000"/>
              <w:left w:val="single" w:sz="8" w:space="0" w:color="000000"/>
              <w:bottom w:val="single" w:sz="8" w:space="0" w:color="000000"/>
              <w:right w:val="single" w:sz="8" w:space="0" w:color="000000"/>
            </w:tcBorders>
            <w:shd w:val="pct10" w:color="auto" w:fill="auto"/>
            <w:vAlign w:val="bottom"/>
          </w:tcPr>
          <w:p w:rsidR="00AD0292" w:rsidRPr="004C76BB" w:rsidRDefault="00AD0292" w:rsidP="00AD0292">
            <w:pPr>
              <w:keepNext/>
              <w:widowControl/>
              <w:jc w:val="center"/>
              <w:rPr>
                <w:b/>
                <w:sz w:val="22"/>
                <w:szCs w:val="22"/>
              </w:rPr>
            </w:pPr>
            <w:r w:rsidRPr="004C76BB">
              <w:rPr>
                <w:b/>
                <w:sz w:val="22"/>
                <w:szCs w:val="22"/>
              </w:rPr>
              <w:t>Information</w:t>
            </w:r>
            <w:r>
              <w:rPr>
                <w:b/>
                <w:sz w:val="22"/>
                <w:szCs w:val="22"/>
              </w:rPr>
              <w:t xml:space="preserve"> </w:t>
            </w:r>
            <w:r w:rsidRPr="004C76BB">
              <w:rPr>
                <w:b/>
                <w:sz w:val="22"/>
                <w:szCs w:val="22"/>
              </w:rPr>
              <w:t>Collection</w:t>
            </w:r>
            <w:r>
              <w:rPr>
                <w:b/>
                <w:sz w:val="22"/>
                <w:szCs w:val="22"/>
              </w:rPr>
              <w:t xml:space="preserve"> </w:t>
            </w:r>
            <w:r w:rsidRPr="004C76BB">
              <w:rPr>
                <w:b/>
                <w:sz w:val="22"/>
                <w:szCs w:val="22"/>
              </w:rPr>
              <w:t>Activity</w:t>
            </w:r>
          </w:p>
        </w:tc>
        <w:tc>
          <w:tcPr>
            <w:tcW w:w="1245" w:type="dxa"/>
            <w:tcBorders>
              <w:top w:val="single" w:sz="8" w:space="0" w:color="000000"/>
              <w:left w:val="single" w:sz="8" w:space="0" w:color="000000"/>
              <w:bottom w:val="single" w:sz="8" w:space="0" w:color="000000"/>
              <w:right w:val="single" w:sz="8" w:space="0" w:color="000000"/>
            </w:tcBorders>
            <w:shd w:val="pct10" w:color="auto" w:fill="auto"/>
            <w:vAlign w:val="bottom"/>
          </w:tcPr>
          <w:p w:rsidR="00AD0292" w:rsidRPr="004C76BB" w:rsidRDefault="00AD0292" w:rsidP="00AD0292">
            <w:pPr>
              <w:keepNext/>
              <w:widowControl/>
              <w:jc w:val="center"/>
              <w:rPr>
                <w:b/>
                <w:sz w:val="22"/>
                <w:szCs w:val="22"/>
              </w:rPr>
            </w:pPr>
            <w:r w:rsidRPr="004C76BB">
              <w:rPr>
                <w:b/>
                <w:sz w:val="22"/>
                <w:szCs w:val="22"/>
              </w:rPr>
              <w:t xml:space="preserve">Number of Responses </w:t>
            </w:r>
          </w:p>
        </w:tc>
        <w:tc>
          <w:tcPr>
            <w:tcW w:w="1530" w:type="dxa"/>
            <w:tcBorders>
              <w:top w:val="single" w:sz="8" w:space="0" w:color="000000"/>
              <w:left w:val="single" w:sz="8" w:space="0" w:color="000000"/>
              <w:bottom w:val="single" w:sz="8" w:space="0" w:color="000000"/>
              <w:right w:val="single" w:sz="8" w:space="0" w:color="000000"/>
            </w:tcBorders>
            <w:shd w:val="pct10" w:color="auto" w:fill="auto"/>
            <w:vAlign w:val="bottom"/>
          </w:tcPr>
          <w:p w:rsidR="00AD0292" w:rsidRPr="004C76BB" w:rsidRDefault="00AD0292" w:rsidP="00AD0292">
            <w:pPr>
              <w:keepNext/>
              <w:widowControl/>
              <w:jc w:val="center"/>
              <w:rPr>
                <w:b/>
                <w:sz w:val="22"/>
                <w:szCs w:val="22"/>
              </w:rPr>
            </w:pPr>
            <w:r w:rsidRPr="004C76BB">
              <w:rPr>
                <w:b/>
                <w:sz w:val="22"/>
                <w:szCs w:val="22"/>
              </w:rPr>
              <w:t>Labor</w:t>
            </w:r>
            <w:r>
              <w:rPr>
                <w:b/>
                <w:sz w:val="22"/>
                <w:szCs w:val="22"/>
              </w:rPr>
              <w:t xml:space="preserve"> </w:t>
            </w:r>
            <w:r w:rsidRPr="004C76BB">
              <w:rPr>
                <w:b/>
                <w:sz w:val="22"/>
                <w:szCs w:val="22"/>
              </w:rPr>
              <w:t>Cost</w:t>
            </w:r>
            <w:r>
              <w:rPr>
                <w:b/>
                <w:sz w:val="22"/>
                <w:szCs w:val="22"/>
              </w:rPr>
              <w:t xml:space="preserve"> </w:t>
            </w:r>
            <w:r w:rsidRPr="004C76BB">
              <w:rPr>
                <w:b/>
                <w:sz w:val="22"/>
                <w:szCs w:val="22"/>
              </w:rPr>
              <w:t>Per Response</w:t>
            </w:r>
            <w:r>
              <w:rPr>
                <w:b/>
                <w:sz w:val="22"/>
                <w:szCs w:val="22"/>
              </w:rPr>
              <w:t xml:space="preserve"> </w:t>
            </w:r>
            <w:r w:rsidRPr="004C76BB">
              <w:rPr>
                <w:b/>
                <w:sz w:val="22"/>
                <w:szCs w:val="22"/>
              </w:rPr>
              <w:t>($70.38/hr)</w:t>
            </w:r>
          </w:p>
        </w:tc>
        <w:tc>
          <w:tcPr>
            <w:tcW w:w="1170" w:type="dxa"/>
            <w:tcBorders>
              <w:top w:val="single" w:sz="8" w:space="0" w:color="000000"/>
              <w:left w:val="single" w:sz="8" w:space="0" w:color="000000"/>
              <w:bottom w:val="single" w:sz="8" w:space="0" w:color="000000"/>
              <w:right w:val="single" w:sz="8" w:space="0" w:color="000000"/>
            </w:tcBorders>
            <w:shd w:val="pct10" w:color="auto" w:fill="auto"/>
            <w:vAlign w:val="bottom"/>
          </w:tcPr>
          <w:p w:rsidR="00AD0292" w:rsidRPr="004C76BB" w:rsidRDefault="00AD0292" w:rsidP="00AD0292">
            <w:pPr>
              <w:keepNext/>
              <w:widowControl/>
              <w:jc w:val="center"/>
              <w:rPr>
                <w:b/>
                <w:sz w:val="22"/>
                <w:szCs w:val="22"/>
              </w:rPr>
            </w:pPr>
            <w:r w:rsidRPr="004C76BB">
              <w:rPr>
                <w:b/>
                <w:sz w:val="22"/>
                <w:szCs w:val="22"/>
              </w:rPr>
              <w:t>Hours Per Response</w:t>
            </w:r>
          </w:p>
        </w:tc>
        <w:tc>
          <w:tcPr>
            <w:tcW w:w="990" w:type="dxa"/>
            <w:tcBorders>
              <w:top w:val="single" w:sz="8" w:space="0" w:color="000000"/>
              <w:left w:val="single" w:sz="8" w:space="0" w:color="000000"/>
              <w:bottom w:val="single" w:sz="8" w:space="0" w:color="000000"/>
              <w:right w:val="single" w:sz="8" w:space="0" w:color="000000"/>
            </w:tcBorders>
            <w:shd w:val="pct10" w:color="auto" w:fill="auto"/>
            <w:vAlign w:val="bottom"/>
          </w:tcPr>
          <w:p w:rsidR="00AD0292" w:rsidRPr="004C76BB" w:rsidRDefault="00AD0292" w:rsidP="00AD0292">
            <w:pPr>
              <w:keepNext/>
              <w:widowControl/>
              <w:jc w:val="center"/>
              <w:rPr>
                <w:b/>
                <w:sz w:val="22"/>
                <w:szCs w:val="22"/>
              </w:rPr>
            </w:pPr>
            <w:r w:rsidRPr="004C76BB">
              <w:rPr>
                <w:b/>
                <w:sz w:val="22"/>
                <w:szCs w:val="22"/>
              </w:rPr>
              <w:t>Total</w:t>
            </w:r>
            <w:r>
              <w:rPr>
                <w:b/>
                <w:sz w:val="22"/>
                <w:szCs w:val="22"/>
              </w:rPr>
              <w:t xml:space="preserve"> </w:t>
            </w:r>
            <w:r w:rsidRPr="004C76BB">
              <w:rPr>
                <w:b/>
                <w:sz w:val="22"/>
                <w:szCs w:val="22"/>
              </w:rPr>
              <w:t>Hours Per Year</w:t>
            </w:r>
          </w:p>
        </w:tc>
        <w:tc>
          <w:tcPr>
            <w:tcW w:w="1253" w:type="dxa"/>
            <w:tcBorders>
              <w:top w:val="single" w:sz="8" w:space="0" w:color="000000"/>
              <w:left w:val="single" w:sz="8" w:space="0" w:color="000000"/>
              <w:bottom w:val="single" w:sz="8" w:space="0" w:color="000000"/>
              <w:right w:val="single" w:sz="8" w:space="0" w:color="000000"/>
            </w:tcBorders>
            <w:shd w:val="pct10" w:color="auto" w:fill="auto"/>
            <w:vAlign w:val="bottom"/>
          </w:tcPr>
          <w:p w:rsidR="00AD0292" w:rsidRPr="004C76BB" w:rsidRDefault="00AD0292" w:rsidP="00AD0292">
            <w:pPr>
              <w:keepNext/>
              <w:widowControl/>
              <w:jc w:val="center"/>
              <w:rPr>
                <w:b/>
                <w:sz w:val="22"/>
                <w:szCs w:val="22"/>
              </w:rPr>
            </w:pPr>
            <w:r w:rsidRPr="004C76BB">
              <w:rPr>
                <w:b/>
                <w:sz w:val="22"/>
                <w:szCs w:val="22"/>
              </w:rPr>
              <w:t>Total Cost Per Year</w:t>
            </w:r>
          </w:p>
        </w:tc>
      </w:tr>
      <w:tr w:rsidR="00AD0292" w:rsidRPr="0097454F" w:rsidTr="00AD0292">
        <w:trPr>
          <w:jc w:val="center"/>
        </w:trPr>
        <w:tc>
          <w:tcPr>
            <w:tcW w:w="2799" w:type="dxa"/>
            <w:tcBorders>
              <w:top w:val="single" w:sz="7" w:space="0" w:color="000000"/>
              <w:left w:val="single" w:sz="7" w:space="0" w:color="000000"/>
              <w:bottom w:val="single" w:sz="7" w:space="0" w:color="000000"/>
              <w:right w:val="single" w:sz="7" w:space="0" w:color="000000"/>
            </w:tcBorders>
          </w:tcPr>
          <w:p w:rsidR="00AD0292" w:rsidRPr="0097454F" w:rsidRDefault="00AD0292" w:rsidP="00AD0292">
            <w:pPr>
              <w:widowControl/>
            </w:pPr>
            <w:r w:rsidRPr="0097454F">
              <w:t xml:space="preserve">Manage PGVP </w:t>
            </w:r>
          </w:p>
        </w:tc>
        <w:tc>
          <w:tcPr>
            <w:tcW w:w="1245" w:type="dxa"/>
            <w:tcBorders>
              <w:top w:val="single" w:sz="7" w:space="0" w:color="000000"/>
              <w:left w:val="single" w:sz="7" w:space="0" w:color="000000"/>
              <w:bottom w:val="single" w:sz="7" w:space="0" w:color="000000"/>
              <w:right w:val="single" w:sz="7" w:space="0" w:color="000000"/>
            </w:tcBorders>
            <w:vAlign w:val="center"/>
          </w:tcPr>
          <w:p w:rsidR="00AD0292" w:rsidRPr="0097454F" w:rsidRDefault="00AD0292" w:rsidP="00AD0292">
            <w:pPr>
              <w:widowControl/>
              <w:jc w:val="center"/>
            </w:pPr>
            <w:r w:rsidRPr="0097454F">
              <w:t>50</w:t>
            </w:r>
          </w:p>
        </w:tc>
        <w:tc>
          <w:tcPr>
            <w:tcW w:w="1530" w:type="dxa"/>
            <w:tcBorders>
              <w:top w:val="single" w:sz="7" w:space="0" w:color="000000"/>
              <w:left w:val="single" w:sz="7" w:space="0" w:color="000000"/>
              <w:bottom w:val="single" w:sz="7" w:space="0" w:color="000000"/>
              <w:right w:val="single" w:sz="7" w:space="0" w:color="000000"/>
            </w:tcBorders>
            <w:vAlign w:val="center"/>
          </w:tcPr>
          <w:p w:rsidR="00AD0292" w:rsidRPr="0097454F" w:rsidRDefault="00AD0292" w:rsidP="00AD0292">
            <w:pPr>
              <w:widowControl/>
              <w:jc w:val="center"/>
            </w:pPr>
            <w:r w:rsidRPr="0097454F">
              <w:t>140.76</w:t>
            </w:r>
          </w:p>
        </w:tc>
        <w:tc>
          <w:tcPr>
            <w:tcW w:w="1170" w:type="dxa"/>
            <w:tcBorders>
              <w:top w:val="single" w:sz="7" w:space="0" w:color="000000"/>
              <w:left w:val="single" w:sz="7" w:space="0" w:color="000000"/>
              <w:bottom w:val="single" w:sz="7" w:space="0" w:color="000000"/>
              <w:right w:val="single" w:sz="7" w:space="0" w:color="000000"/>
            </w:tcBorders>
            <w:vAlign w:val="center"/>
          </w:tcPr>
          <w:p w:rsidR="00AD0292" w:rsidRPr="0097454F" w:rsidRDefault="00AD0292" w:rsidP="00AD0292">
            <w:pPr>
              <w:widowControl/>
              <w:jc w:val="center"/>
            </w:pPr>
            <w:r w:rsidRPr="0097454F">
              <w:t>2</w:t>
            </w:r>
          </w:p>
        </w:tc>
        <w:tc>
          <w:tcPr>
            <w:tcW w:w="990" w:type="dxa"/>
            <w:tcBorders>
              <w:top w:val="single" w:sz="7" w:space="0" w:color="000000"/>
              <w:left w:val="single" w:sz="7" w:space="0" w:color="000000"/>
              <w:bottom w:val="single" w:sz="7" w:space="0" w:color="000000"/>
              <w:right w:val="single" w:sz="7" w:space="0" w:color="000000"/>
            </w:tcBorders>
            <w:vAlign w:val="center"/>
          </w:tcPr>
          <w:p w:rsidR="00AD0292" w:rsidRPr="0097454F" w:rsidRDefault="00AD0292" w:rsidP="00AD0292">
            <w:pPr>
              <w:widowControl/>
              <w:jc w:val="center"/>
            </w:pPr>
            <w:r w:rsidRPr="0097454F">
              <w:t>100</w:t>
            </w:r>
          </w:p>
        </w:tc>
        <w:tc>
          <w:tcPr>
            <w:tcW w:w="1253" w:type="dxa"/>
            <w:tcBorders>
              <w:top w:val="single" w:sz="7" w:space="0" w:color="000000"/>
              <w:left w:val="single" w:sz="7" w:space="0" w:color="000000"/>
              <w:bottom w:val="single" w:sz="7" w:space="0" w:color="000000"/>
              <w:right w:val="single" w:sz="7" w:space="0" w:color="000000"/>
            </w:tcBorders>
            <w:vAlign w:val="center"/>
          </w:tcPr>
          <w:p w:rsidR="00AD0292" w:rsidRPr="0097454F" w:rsidRDefault="00AD0292" w:rsidP="00AD0292">
            <w:pPr>
              <w:widowControl/>
              <w:jc w:val="center"/>
            </w:pPr>
            <w:r w:rsidRPr="0097454F">
              <w:t>$7,038</w:t>
            </w:r>
          </w:p>
        </w:tc>
      </w:tr>
      <w:tr w:rsidR="00AD0292" w:rsidRPr="0097454F" w:rsidTr="00AD0292">
        <w:trPr>
          <w:jc w:val="center"/>
        </w:trPr>
        <w:tc>
          <w:tcPr>
            <w:tcW w:w="2799" w:type="dxa"/>
            <w:tcBorders>
              <w:top w:val="single" w:sz="7" w:space="0" w:color="000000"/>
              <w:left w:val="single" w:sz="7" w:space="0" w:color="000000"/>
              <w:bottom w:val="single" w:sz="7" w:space="0" w:color="000000"/>
              <w:right w:val="single" w:sz="7" w:space="0" w:color="000000"/>
            </w:tcBorders>
          </w:tcPr>
          <w:p w:rsidR="00AD0292" w:rsidRPr="0097454F" w:rsidRDefault="00AD0292" w:rsidP="00AD0292">
            <w:pPr>
              <w:widowControl/>
            </w:pPr>
            <w:r>
              <w:t>Software Programming for AETB</w:t>
            </w:r>
          </w:p>
        </w:tc>
        <w:tc>
          <w:tcPr>
            <w:tcW w:w="1245" w:type="dxa"/>
            <w:tcBorders>
              <w:top w:val="single" w:sz="7" w:space="0" w:color="000000"/>
              <w:left w:val="single" w:sz="7" w:space="0" w:color="000000"/>
              <w:bottom w:val="single" w:sz="7" w:space="0" w:color="000000"/>
              <w:right w:val="single" w:sz="7" w:space="0" w:color="000000"/>
            </w:tcBorders>
            <w:vAlign w:val="center"/>
          </w:tcPr>
          <w:p w:rsidR="00AD0292" w:rsidRPr="0097454F" w:rsidRDefault="00AD0292" w:rsidP="00AD0292">
            <w:pPr>
              <w:widowControl/>
              <w:jc w:val="center"/>
            </w:pPr>
            <w:r>
              <w:t>1</w:t>
            </w:r>
          </w:p>
        </w:tc>
        <w:tc>
          <w:tcPr>
            <w:tcW w:w="1530" w:type="dxa"/>
            <w:tcBorders>
              <w:top w:val="single" w:sz="7" w:space="0" w:color="000000"/>
              <w:left w:val="single" w:sz="7" w:space="0" w:color="000000"/>
              <w:bottom w:val="single" w:sz="7" w:space="0" w:color="000000"/>
              <w:right w:val="single" w:sz="7" w:space="0" w:color="000000"/>
            </w:tcBorders>
            <w:vAlign w:val="center"/>
          </w:tcPr>
          <w:p w:rsidR="00AD0292" w:rsidRPr="0097454F" w:rsidRDefault="00AD0292" w:rsidP="00AD0292">
            <w:pPr>
              <w:widowControl/>
              <w:jc w:val="center"/>
            </w:pPr>
            <w:r>
              <w:t>492.66</w:t>
            </w:r>
          </w:p>
        </w:tc>
        <w:tc>
          <w:tcPr>
            <w:tcW w:w="1170" w:type="dxa"/>
            <w:tcBorders>
              <w:top w:val="single" w:sz="7" w:space="0" w:color="000000"/>
              <w:left w:val="single" w:sz="7" w:space="0" w:color="000000"/>
              <w:bottom w:val="single" w:sz="7" w:space="0" w:color="000000"/>
              <w:right w:val="single" w:sz="7" w:space="0" w:color="000000"/>
            </w:tcBorders>
            <w:vAlign w:val="center"/>
          </w:tcPr>
          <w:p w:rsidR="00AD0292" w:rsidRPr="0097454F" w:rsidRDefault="00AD0292" w:rsidP="00AD0292">
            <w:pPr>
              <w:widowControl/>
              <w:jc w:val="center"/>
            </w:pPr>
            <w:r>
              <w:t>200</w:t>
            </w:r>
          </w:p>
        </w:tc>
        <w:tc>
          <w:tcPr>
            <w:tcW w:w="990" w:type="dxa"/>
            <w:tcBorders>
              <w:top w:val="single" w:sz="7" w:space="0" w:color="000000"/>
              <w:left w:val="single" w:sz="7" w:space="0" w:color="000000"/>
              <w:bottom w:val="single" w:sz="7" w:space="0" w:color="000000"/>
              <w:right w:val="single" w:sz="7" w:space="0" w:color="000000"/>
            </w:tcBorders>
            <w:vAlign w:val="center"/>
          </w:tcPr>
          <w:p w:rsidR="00AD0292" w:rsidRPr="0097454F" w:rsidRDefault="00AD0292" w:rsidP="00AD0292">
            <w:pPr>
              <w:widowControl/>
              <w:jc w:val="center"/>
            </w:pPr>
            <w:r>
              <w:t>200</w:t>
            </w:r>
          </w:p>
        </w:tc>
        <w:tc>
          <w:tcPr>
            <w:tcW w:w="1253" w:type="dxa"/>
            <w:tcBorders>
              <w:top w:val="single" w:sz="7" w:space="0" w:color="000000"/>
              <w:left w:val="single" w:sz="7" w:space="0" w:color="000000"/>
              <w:bottom w:val="single" w:sz="7" w:space="0" w:color="000000"/>
              <w:right w:val="single" w:sz="7" w:space="0" w:color="000000"/>
            </w:tcBorders>
            <w:vAlign w:val="center"/>
          </w:tcPr>
          <w:p w:rsidR="00AD0292" w:rsidRPr="0097454F" w:rsidRDefault="00AD0292" w:rsidP="00AD0292">
            <w:pPr>
              <w:widowControl/>
              <w:jc w:val="center"/>
            </w:pPr>
            <w:r>
              <w:t>$14,076</w:t>
            </w:r>
          </w:p>
        </w:tc>
      </w:tr>
      <w:tr w:rsidR="00AD0292" w:rsidRPr="0097454F" w:rsidTr="00AD0292">
        <w:trPr>
          <w:jc w:val="center"/>
        </w:trPr>
        <w:tc>
          <w:tcPr>
            <w:tcW w:w="2799" w:type="dxa"/>
            <w:tcBorders>
              <w:top w:val="single" w:sz="7" w:space="0" w:color="000000"/>
              <w:left w:val="single" w:sz="7" w:space="0" w:color="000000"/>
              <w:bottom w:val="single" w:sz="7" w:space="0" w:color="000000"/>
              <w:right w:val="single" w:sz="7" w:space="0" w:color="000000"/>
            </w:tcBorders>
          </w:tcPr>
          <w:p w:rsidR="00AD0292" w:rsidRPr="0097454F" w:rsidRDefault="00AD0292" w:rsidP="00AD0292">
            <w:pPr>
              <w:widowControl/>
            </w:pPr>
            <w:r>
              <w:t>Quality Assurance for AETB Information</w:t>
            </w:r>
          </w:p>
        </w:tc>
        <w:tc>
          <w:tcPr>
            <w:tcW w:w="1245" w:type="dxa"/>
            <w:tcBorders>
              <w:top w:val="single" w:sz="7" w:space="0" w:color="000000"/>
              <w:left w:val="single" w:sz="7" w:space="0" w:color="000000"/>
              <w:bottom w:val="single" w:sz="7" w:space="0" w:color="000000"/>
              <w:right w:val="single" w:sz="7" w:space="0" w:color="000000"/>
            </w:tcBorders>
            <w:vAlign w:val="center"/>
          </w:tcPr>
          <w:p w:rsidR="00AD0292" w:rsidRPr="0097454F" w:rsidRDefault="00AD0292" w:rsidP="00AD0292">
            <w:pPr>
              <w:widowControl/>
              <w:jc w:val="center"/>
            </w:pPr>
            <w:r>
              <w:t>5</w:t>
            </w:r>
          </w:p>
        </w:tc>
        <w:tc>
          <w:tcPr>
            <w:tcW w:w="1530" w:type="dxa"/>
            <w:tcBorders>
              <w:top w:val="single" w:sz="7" w:space="0" w:color="000000"/>
              <w:left w:val="single" w:sz="7" w:space="0" w:color="000000"/>
              <w:bottom w:val="single" w:sz="7" w:space="0" w:color="000000"/>
              <w:right w:val="single" w:sz="7" w:space="0" w:color="000000"/>
            </w:tcBorders>
            <w:vAlign w:val="center"/>
          </w:tcPr>
          <w:p w:rsidR="00AD0292" w:rsidRPr="0097454F" w:rsidRDefault="00AD0292" w:rsidP="00AD0292">
            <w:pPr>
              <w:widowControl/>
              <w:jc w:val="center"/>
            </w:pPr>
            <w:r>
              <w:t>563.04</w:t>
            </w:r>
          </w:p>
        </w:tc>
        <w:tc>
          <w:tcPr>
            <w:tcW w:w="1170" w:type="dxa"/>
            <w:tcBorders>
              <w:top w:val="single" w:sz="7" w:space="0" w:color="000000"/>
              <w:left w:val="single" w:sz="7" w:space="0" w:color="000000"/>
              <w:bottom w:val="single" w:sz="7" w:space="0" w:color="000000"/>
              <w:right w:val="single" w:sz="7" w:space="0" w:color="000000"/>
            </w:tcBorders>
            <w:vAlign w:val="center"/>
          </w:tcPr>
          <w:p w:rsidR="00AD0292" w:rsidRPr="0097454F" w:rsidRDefault="00AD0292" w:rsidP="00AD0292">
            <w:pPr>
              <w:widowControl/>
              <w:jc w:val="center"/>
            </w:pPr>
            <w:r>
              <w:t>8</w:t>
            </w:r>
          </w:p>
        </w:tc>
        <w:tc>
          <w:tcPr>
            <w:tcW w:w="990" w:type="dxa"/>
            <w:tcBorders>
              <w:top w:val="single" w:sz="7" w:space="0" w:color="000000"/>
              <w:left w:val="single" w:sz="7" w:space="0" w:color="000000"/>
              <w:bottom w:val="single" w:sz="7" w:space="0" w:color="000000"/>
              <w:right w:val="single" w:sz="7" w:space="0" w:color="000000"/>
            </w:tcBorders>
            <w:vAlign w:val="center"/>
          </w:tcPr>
          <w:p w:rsidR="00AD0292" w:rsidRPr="0097454F" w:rsidRDefault="00AD0292" w:rsidP="00AD0292">
            <w:pPr>
              <w:widowControl/>
              <w:jc w:val="center"/>
            </w:pPr>
            <w:r>
              <w:t>40</w:t>
            </w:r>
          </w:p>
        </w:tc>
        <w:tc>
          <w:tcPr>
            <w:tcW w:w="1253" w:type="dxa"/>
            <w:tcBorders>
              <w:top w:val="single" w:sz="7" w:space="0" w:color="000000"/>
              <w:left w:val="single" w:sz="7" w:space="0" w:color="000000"/>
              <w:bottom w:val="single" w:sz="7" w:space="0" w:color="000000"/>
              <w:right w:val="single" w:sz="7" w:space="0" w:color="000000"/>
            </w:tcBorders>
            <w:vAlign w:val="center"/>
          </w:tcPr>
          <w:p w:rsidR="00AD0292" w:rsidRPr="0097454F" w:rsidRDefault="00AD0292" w:rsidP="00AD0292">
            <w:pPr>
              <w:widowControl/>
              <w:jc w:val="center"/>
            </w:pPr>
            <w:r>
              <w:t>$2,815</w:t>
            </w:r>
          </w:p>
        </w:tc>
      </w:tr>
      <w:tr w:rsidR="00AD0292" w:rsidRPr="0097454F" w:rsidTr="00AD0292">
        <w:trPr>
          <w:jc w:val="center"/>
        </w:trPr>
        <w:tc>
          <w:tcPr>
            <w:tcW w:w="6744" w:type="dxa"/>
            <w:gridSpan w:val="4"/>
            <w:tcBorders>
              <w:top w:val="single" w:sz="7" w:space="0" w:color="000000"/>
              <w:left w:val="single" w:sz="7" w:space="0" w:color="000000"/>
              <w:bottom w:val="single" w:sz="7" w:space="0" w:color="000000"/>
              <w:right w:val="single" w:sz="7" w:space="0" w:color="000000"/>
            </w:tcBorders>
          </w:tcPr>
          <w:p w:rsidR="00AD0292" w:rsidRPr="00B56D0F" w:rsidRDefault="00AD0292" w:rsidP="00AD0292">
            <w:pPr>
              <w:widowControl/>
              <w:rPr>
                <w:b/>
              </w:rPr>
            </w:pPr>
            <w:r w:rsidRPr="00B56D0F">
              <w:rPr>
                <w:b/>
              </w:rPr>
              <w:t>TOTAL</w:t>
            </w:r>
          </w:p>
        </w:tc>
        <w:tc>
          <w:tcPr>
            <w:tcW w:w="990" w:type="dxa"/>
            <w:tcBorders>
              <w:top w:val="single" w:sz="7" w:space="0" w:color="000000"/>
              <w:left w:val="single" w:sz="7" w:space="0" w:color="000000"/>
              <w:bottom w:val="single" w:sz="7" w:space="0" w:color="000000"/>
              <w:right w:val="single" w:sz="7" w:space="0" w:color="000000"/>
            </w:tcBorders>
            <w:vAlign w:val="center"/>
          </w:tcPr>
          <w:p w:rsidR="00AD0292" w:rsidRPr="00B56D0F" w:rsidRDefault="00AD0292" w:rsidP="00AD0292">
            <w:pPr>
              <w:widowControl/>
              <w:jc w:val="center"/>
              <w:rPr>
                <w:b/>
              </w:rPr>
            </w:pPr>
            <w:r>
              <w:rPr>
                <w:b/>
              </w:rPr>
              <w:t>340</w:t>
            </w:r>
          </w:p>
        </w:tc>
        <w:tc>
          <w:tcPr>
            <w:tcW w:w="1253" w:type="dxa"/>
            <w:tcBorders>
              <w:top w:val="single" w:sz="7" w:space="0" w:color="000000"/>
              <w:left w:val="single" w:sz="7" w:space="0" w:color="000000"/>
              <w:bottom w:val="single" w:sz="7" w:space="0" w:color="000000"/>
              <w:right w:val="single" w:sz="7" w:space="0" w:color="000000"/>
            </w:tcBorders>
            <w:vAlign w:val="center"/>
          </w:tcPr>
          <w:p w:rsidR="00AD0292" w:rsidRPr="00B56D0F" w:rsidRDefault="00AD0292" w:rsidP="00AD0292">
            <w:pPr>
              <w:widowControl/>
              <w:jc w:val="center"/>
              <w:rPr>
                <w:b/>
              </w:rPr>
            </w:pPr>
            <w:r w:rsidRPr="00B56D0F">
              <w:rPr>
                <w:b/>
              </w:rPr>
              <w:t>$</w:t>
            </w:r>
            <w:r>
              <w:rPr>
                <w:b/>
              </w:rPr>
              <w:t>23,929</w:t>
            </w:r>
          </w:p>
        </w:tc>
      </w:tr>
    </w:tbl>
    <w:p w:rsidR="00AD0292" w:rsidRPr="004B139E" w:rsidRDefault="00AD0292" w:rsidP="00AD0292">
      <w:pPr>
        <w:numPr>
          <w:ilvl w:val="12"/>
          <w:numId w:val="0"/>
        </w:numPr>
        <w:rPr>
          <w:b/>
          <w:bCs/>
          <w:sz w:val="24"/>
          <w:szCs w:val="24"/>
        </w:rPr>
      </w:pPr>
    </w:p>
    <w:p w:rsidR="00AD0292" w:rsidRDefault="00AD0292" w:rsidP="00AD0292">
      <w:pPr>
        <w:numPr>
          <w:ilvl w:val="12"/>
          <w:numId w:val="0"/>
        </w:numPr>
        <w:rPr>
          <w:b/>
          <w:bCs/>
          <w:sz w:val="24"/>
          <w:szCs w:val="24"/>
        </w:rPr>
      </w:pPr>
    </w:p>
    <w:p w:rsidR="00AD0292" w:rsidRDefault="00AD0292" w:rsidP="00AD0292">
      <w:pPr>
        <w:numPr>
          <w:ilvl w:val="12"/>
          <w:numId w:val="0"/>
        </w:numPr>
        <w:ind w:firstLine="720"/>
        <w:rPr>
          <w:sz w:val="24"/>
          <w:szCs w:val="24"/>
        </w:rPr>
      </w:pPr>
      <w:r>
        <w:rPr>
          <w:sz w:val="24"/>
          <w:szCs w:val="24"/>
        </w:rPr>
        <w:t>In addition to the respondent burden associated with rule review and compliance with the modified reporting requirements, EPA estimated the burden associated with increased annual quality-assurance and maintenance for each unit</w:t>
      </w:r>
      <w:r w:rsidR="00F518C1">
        <w:rPr>
          <w:sz w:val="24"/>
          <w:szCs w:val="24"/>
        </w:rPr>
        <w:t xml:space="preserve">. </w:t>
      </w:r>
      <w:r>
        <w:rPr>
          <w:sz w:val="24"/>
          <w:szCs w:val="24"/>
        </w:rPr>
        <w:t>Based on information provided by stack testing firms, a conservative one percent increase was applied to the previously established annual O&amp;M costs per unit at each respondent facility. This is based on the average stack testing industry costs of preparing a QA/QC manual ($6,000), obtaining QSTI certification ($1,200),  and annual operating costs of maintaining the quality control system ($5,000 – $50,000 depending on size)</w:t>
      </w:r>
      <w:r w:rsidR="00F518C1">
        <w:rPr>
          <w:sz w:val="24"/>
          <w:szCs w:val="24"/>
        </w:rPr>
        <w:t xml:space="preserve">. </w:t>
      </w:r>
      <w:r>
        <w:rPr>
          <w:sz w:val="24"/>
          <w:szCs w:val="24"/>
        </w:rPr>
        <w:t xml:space="preserve">The increased stack testing overhead costs translate into an increased performance test cost of $68 to $549 per RATA test depending on the size of the company. The increase cost per test drops even further if applied to all types of tests performed by typical stack testing companies. </w:t>
      </w:r>
    </w:p>
    <w:p w:rsidR="004B6593" w:rsidRDefault="004B6593" w:rsidP="00AD0292">
      <w:pPr>
        <w:numPr>
          <w:ilvl w:val="12"/>
          <w:numId w:val="0"/>
        </w:numPr>
        <w:ind w:firstLine="720"/>
        <w:rPr>
          <w:sz w:val="24"/>
          <w:szCs w:val="24"/>
        </w:rPr>
      </w:pPr>
    </w:p>
    <w:p w:rsidR="00AD0292" w:rsidRDefault="00AD0292" w:rsidP="004B6593">
      <w:pPr>
        <w:numPr>
          <w:ilvl w:val="12"/>
          <w:numId w:val="0"/>
        </w:numPr>
        <w:ind w:firstLine="720"/>
        <w:rPr>
          <w:sz w:val="24"/>
          <w:szCs w:val="24"/>
        </w:rPr>
      </w:pPr>
      <w:r>
        <w:rPr>
          <w:sz w:val="24"/>
          <w:szCs w:val="24"/>
        </w:rPr>
        <w:tab/>
        <w:t>The PGVP vendors that were contacted estimated an increased cost of two dollars or less per cylinder</w:t>
      </w:r>
      <w:r w:rsidR="00F518C1">
        <w:rPr>
          <w:sz w:val="24"/>
          <w:szCs w:val="24"/>
        </w:rPr>
        <w:t xml:space="preserve">. </w:t>
      </w:r>
      <w:r w:rsidRPr="008E3A38">
        <w:rPr>
          <w:sz w:val="24"/>
          <w:szCs w:val="24"/>
        </w:rPr>
        <w:t xml:space="preserve">This estimate was derived from correspondence with both large and small specialty gas companies, who based their estimates on the number of cylinders they sold per year and the </w:t>
      </w:r>
      <w:r>
        <w:rPr>
          <w:sz w:val="24"/>
          <w:szCs w:val="24"/>
        </w:rPr>
        <w:t>following</w:t>
      </w:r>
      <w:r w:rsidRPr="008E3A38">
        <w:rPr>
          <w:sz w:val="24"/>
          <w:szCs w:val="24"/>
        </w:rPr>
        <w:t xml:space="preserve"> cost estimates. </w:t>
      </w:r>
      <w:r>
        <w:rPr>
          <w:sz w:val="24"/>
          <w:szCs w:val="24"/>
        </w:rPr>
        <w:t xml:space="preserve">The estimate assumes that </w:t>
      </w:r>
      <w:r w:rsidRPr="008E3A38">
        <w:rPr>
          <w:sz w:val="24"/>
          <w:szCs w:val="24"/>
        </w:rPr>
        <w:t>NIST analyzes 4 cylinders from each production site, and the total annual cost due to the PGVP would be approximately $7,200 per production site</w:t>
      </w:r>
      <w:r w:rsidR="00F518C1" w:rsidRPr="008E3A38">
        <w:rPr>
          <w:sz w:val="24"/>
          <w:szCs w:val="24"/>
        </w:rPr>
        <w:t xml:space="preserve">. </w:t>
      </w:r>
      <w:r w:rsidRPr="008E3A38">
        <w:rPr>
          <w:sz w:val="24"/>
          <w:szCs w:val="24"/>
        </w:rPr>
        <w:t>The $7200 estimate includes cylinder analysis and report production by NIST ($1,667/cylinder), average one-way shipping costs back to the production site ($91/cylinder), and average rental ($7/cylinder/month)</w:t>
      </w:r>
      <w:r w:rsidR="00F518C1" w:rsidRPr="008E3A38">
        <w:rPr>
          <w:sz w:val="24"/>
          <w:szCs w:val="24"/>
        </w:rPr>
        <w:t xml:space="preserve">. </w:t>
      </w:r>
      <w:r w:rsidRPr="008E3A38">
        <w:rPr>
          <w:sz w:val="24"/>
          <w:szCs w:val="24"/>
        </w:rPr>
        <w:t xml:space="preserve">The total cost of NIST analysis, report production, six months cylinder rental, and shipping back to the production site is approximately $1,800 per </w:t>
      </w:r>
      <w:r w:rsidR="004F5049" w:rsidRPr="008E3A38">
        <w:rPr>
          <w:sz w:val="24"/>
          <w:szCs w:val="24"/>
        </w:rPr>
        <w:t>cylinder.</w:t>
      </w:r>
      <w:r w:rsidR="004F5049">
        <w:rPr>
          <w:sz w:val="24"/>
          <w:szCs w:val="24"/>
        </w:rPr>
        <w:t xml:space="preserve"> EPA</w:t>
      </w:r>
      <w:r>
        <w:rPr>
          <w:sz w:val="24"/>
          <w:szCs w:val="24"/>
        </w:rPr>
        <w:t xml:space="preserve"> assumes that both the AETB and PGVP costs will be passed on to respondents</w:t>
      </w:r>
      <w:r w:rsidR="00F518C1">
        <w:rPr>
          <w:sz w:val="24"/>
          <w:szCs w:val="24"/>
        </w:rPr>
        <w:t xml:space="preserve">. </w:t>
      </w:r>
      <w:r>
        <w:rPr>
          <w:sz w:val="24"/>
          <w:szCs w:val="24"/>
        </w:rPr>
        <w:t>To calculate increased O&amp;M costs per respondent, EPA assumed an average six cylinders per year per unit at an increased cost of two dollars per cylinder</w:t>
      </w:r>
      <w:r w:rsidR="00F518C1">
        <w:rPr>
          <w:sz w:val="24"/>
          <w:szCs w:val="24"/>
        </w:rPr>
        <w:t xml:space="preserve">. </w:t>
      </w:r>
    </w:p>
    <w:p w:rsidR="00AD0292" w:rsidRDefault="00AD0292" w:rsidP="00AD0292">
      <w:pPr>
        <w:keepNext/>
        <w:keepLines/>
        <w:widowControl/>
        <w:numPr>
          <w:ilvl w:val="12"/>
          <w:numId w:val="0"/>
        </w:numPr>
        <w:jc w:val="center"/>
        <w:rPr>
          <w:sz w:val="24"/>
          <w:szCs w:val="24"/>
        </w:rPr>
      </w:pPr>
      <w:r w:rsidRPr="004307F7">
        <w:rPr>
          <w:b/>
          <w:sz w:val="24"/>
          <w:szCs w:val="24"/>
        </w:rPr>
        <w:lastRenderedPageBreak/>
        <w:t xml:space="preserve">Table </w:t>
      </w:r>
      <w:r>
        <w:rPr>
          <w:b/>
          <w:sz w:val="24"/>
          <w:szCs w:val="24"/>
        </w:rPr>
        <w:t>3</w:t>
      </w:r>
      <w:r>
        <w:rPr>
          <w:b/>
          <w:sz w:val="24"/>
          <w:szCs w:val="24"/>
        </w:rPr>
        <w:br/>
        <w:t>Increased Annual QA and Maintenance Costs</w:t>
      </w:r>
      <w:r>
        <w:rPr>
          <w:rStyle w:val="FootnoteReference"/>
          <w:b/>
          <w:sz w:val="24"/>
          <w:szCs w:val="24"/>
        </w:rPr>
        <w:footnoteReference w:id="1"/>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tblPr>
      <w:tblGrid>
        <w:gridCol w:w="3780"/>
        <w:gridCol w:w="1380"/>
        <w:gridCol w:w="1380"/>
        <w:gridCol w:w="1380"/>
        <w:gridCol w:w="1440"/>
      </w:tblGrid>
      <w:tr w:rsidR="00AD0292" w:rsidRPr="0030206A" w:rsidTr="00AD0292">
        <w:trPr>
          <w:trHeight w:val="953"/>
          <w:jc w:val="center"/>
        </w:trPr>
        <w:tc>
          <w:tcPr>
            <w:tcW w:w="3780" w:type="dxa"/>
            <w:tcBorders>
              <w:bottom w:val="single" w:sz="4" w:space="0" w:color="000000"/>
            </w:tcBorders>
            <w:shd w:val="pct10" w:color="auto" w:fill="auto"/>
            <w:vAlign w:val="bottom"/>
          </w:tcPr>
          <w:p w:rsidR="00AD0292" w:rsidRPr="0030206A" w:rsidRDefault="00AD0292" w:rsidP="00AD0292">
            <w:pPr>
              <w:keepNext/>
              <w:keepLines/>
              <w:widowControl/>
              <w:numPr>
                <w:ilvl w:val="12"/>
                <w:numId w:val="0"/>
              </w:numPr>
              <w:jc w:val="center"/>
              <w:rPr>
                <w:b/>
                <w:sz w:val="18"/>
                <w:szCs w:val="18"/>
              </w:rPr>
            </w:pPr>
            <w:r w:rsidRPr="0030206A">
              <w:rPr>
                <w:b/>
                <w:sz w:val="18"/>
                <w:szCs w:val="18"/>
              </w:rPr>
              <w:t>Information Collection Activity</w:t>
            </w:r>
          </w:p>
        </w:tc>
        <w:tc>
          <w:tcPr>
            <w:tcW w:w="1380" w:type="dxa"/>
            <w:tcBorders>
              <w:bottom w:val="single" w:sz="4" w:space="0" w:color="000000"/>
            </w:tcBorders>
            <w:shd w:val="pct10" w:color="auto" w:fill="auto"/>
            <w:vAlign w:val="bottom"/>
          </w:tcPr>
          <w:p w:rsidR="00AD0292" w:rsidRPr="0030206A" w:rsidRDefault="00AD0292" w:rsidP="00AD0292">
            <w:pPr>
              <w:keepNext/>
              <w:keepLines/>
              <w:widowControl/>
              <w:jc w:val="center"/>
              <w:rPr>
                <w:b/>
                <w:bCs/>
                <w:sz w:val="18"/>
                <w:szCs w:val="18"/>
              </w:rPr>
            </w:pPr>
            <w:r w:rsidRPr="0030206A">
              <w:rPr>
                <w:b/>
                <w:bCs/>
                <w:sz w:val="18"/>
                <w:szCs w:val="18"/>
              </w:rPr>
              <w:t>Previously Established Cont./O&amp;M Cost</w:t>
            </w:r>
          </w:p>
        </w:tc>
        <w:tc>
          <w:tcPr>
            <w:tcW w:w="1380" w:type="dxa"/>
            <w:tcBorders>
              <w:bottom w:val="single" w:sz="4" w:space="0" w:color="000000"/>
            </w:tcBorders>
            <w:shd w:val="pct10" w:color="auto" w:fill="auto"/>
            <w:vAlign w:val="bottom"/>
          </w:tcPr>
          <w:p w:rsidR="00AD0292" w:rsidRPr="0030206A" w:rsidRDefault="00AD0292" w:rsidP="00AD0292">
            <w:pPr>
              <w:keepNext/>
              <w:keepLines/>
              <w:widowControl/>
              <w:jc w:val="center"/>
              <w:rPr>
                <w:b/>
                <w:bCs/>
                <w:sz w:val="18"/>
                <w:szCs w:val="18"/>
              </w:rPr>
            </w:pPr>
            <w:r w:rsidRPr="0030206A">
              <w:rPr>
                <w:b/>
                <w:bCs/>
                <w:sz w:val="18"/>
                <w:szCs w:val="18"/>
              </w:rPr>
              <w:t>Increased Cont./O&amp;M Cost per Respondent</w:t>
            </w:r>
          </w:p>
        </w:tc>
        <w:tc>
          <w:tcPr>
            <w:tcW w:w="1380" w:type="dxa"/>
            <w:tcBorders>
              <w:bottom w:val="single" w:sz="4" w:space="0" w:color="000000"/>
            </w:tcBorders>
            <w:shd w:val="pct10" w:color="auto" w:fill="auto"/>
            <w:vAlign w:val="bottom"/>
          </w:tcPr>
          <w:p w:rsidR="00AD0292" w:rsidRPr="0030206A" w:rsidRDefault="00AD0292" w:rsidP="00AD0292">
            <w:pPr>
              <w:keepNext/>
              <w:keepLines/>
              <w:widowControl/>
              <w:jc w:val="center"/>
              <w:rPr>
                <w:b/>
                <w:bCs/>
                <w:sz w:val="18"/>
                <w:szCs w:val="18"/>
              </w:rPr>
            </w:pPr>
            <w:r w:rsidRPr="0030206A">
              <w:rPr>
                <w:b/>
                <w:bCs/>
                <w:sz w:val="18"/>
                <w:szCs w:val="18"/>
              </w:rPr>
              <w:t>Number of Respondents</w:t>
            </w:r>
          </w:p>
          <w:p w:rsidR="00AD0292" w:rsidRPr="0030206A" w:rsidRDefault="00AD0292" w:rsidP="00AD0292">
            <w:pPr>
              <w:keepNext/>
              <w:keepLines/>
              <w:widowControl/>
              <w:jc w:val="center"/>
              <w:rPr>
                <w:b/>
                <w:bCs/>
                <w:sz w:val="18"/>
                <w:szCs w:val="18"/>
              </w:rPr>
            </w:pPr>
            <w:r w:rsidRPr="0030206A">
              <w:rPr>
                <w:b/>
                <w:bCs/>
                <w:sz w:val="18"/>
                <w:szCs w:val="18"/>
              </w:rPr>
              <w:t>(Units)</w:t>
            </w:r>
          </w:p>
        </w:tc>
        <w:tc>
          <w:tcPr>
            <w:tcW w:w="1440" w:type="dxa"/>
            <w:tcBorders>
              <w:bottom w:val="single" w:sz="4" w:space="0" w:color="000000"/>
            </w:tcBorders>
            <w:shd w:val="pct10" w:color="auto" w:fill="auto"/>
            <w:vAlign w:val="bottom"/>
          </w:tcPr>
          <w:p w:rsidR="00AD0292" w:rsidRPr="0030206A" w:rsidRDefault="00AD0292" w:rsidP="00AD0292">
            <w:pPr>
              <w:keepNext/>
              <w:keepLines/>
              <w:widowControl/>
              <w:jc w:val="center"/>
              <w:rPr>
                <w:b/>
                <w:bCs/>
                <w:sz w:val="18"/>
                <w:szCs w:val="18"/>
              </w:rPr>
            </w:pPr>
            <w:r w:rsidRPr="0030206A">
              <w:rPr>
                <w:b/>
                <w:bCs/>
                <w:sz w:val="18"/>
                <w:szCs w:val="18"/>
              </w:rPr>
              <w:t>Increased Total Cost/Year</w:t>
            </w:r>
          </w:p>
        </w:tc>
      </w:tr>
      <w:tr w:rsidR="00AD0292" w:rsidRPr="0030206A" w:rsidTr="00AD0292">
        <w:trPr>
          <w:jc w:val="center"/>
        </w:trPr>
        <w:tc>
          <w:tcPr>
            <w:tcW w:w="9360" w:type="dxa"/>
            <w:gridSpan w:val="5"/>
            <w:shd w:val="clear" w:color="auto" w:fill="auto"/>
          </w:tcPr>
          <w:p w:rsidR="00AD0292" w:rsidRPr="0030206A" w:rsidRDefault="00AD0292" w:rsidP="00AD0292">
            <w:pPr>
              <w:keepNext/>
              <w:keepLines/>
              <w:widowControl/>
              <w:numPr>
                <w:ilvl w:val="12"/>
                <w:numId w:val="0"/>
              </w:numPr>
              <w:rPr>
                <w:sz w:val="18"/>
                <w:szCs w:val="18"/>
              </w:rPr>
            </w:pPr>
            <w:r w:rsidRPr="0030206A">
              <w:rPr>
                <w:bCs/>
                <w:sz w:val="18"/>
                <w:szCs w:val="18"/>
              </w:rPr>
              <w:t>ARP Perform QA Testing and Maintenance</w:t>
            </w:r>
          </w:p>
        </w:tc>
      </w:tr>
      <w:tr w:rsidR="00AD0292" w:rsidRPr="0030206A" w:rsidTr="00AD0292">
        <w:trPr>
          <w:jc w:val="center"/>
        </w:trPr>
        <w:tc>
          <w:tcPr>
            <w:tcW w:w="3780" w:type="dxa"/>
          </w:tcPr>
          <w:p w:rsidR="00AD0292" w:rsidRPr="0030206A" w:rsidRDefault="00AD0292" w:rsidP="00AD0292">
            <w:pPr>
              <w:keepNext/>
              <w:keepLines/>
              <w:widowControl/>
              <w:ind w:left="18"/>
              <w:rPr>
                <w:bCs/>
                <w:sz w:val="18"/>
                <w:szCs w:val="18"/>
              </w:rPr>
            </w:pPr>
            <w:r w:rsidRPr="0030206A">
              <w:rPr>
                <w:bCs/>
                <w:sz w:val="18"/>
                <w:szCs w:val="18"/>
              </w:rPr>
              <w:t>Model A (CEMS)</w:t>
            </w:r>
          </w:p>
        </w:tc>
        <w:tc>
          <w:tcPr>
            <w:tcW w:w="1380" w:type="dxa"/>
            <w:vAlign w:val="bottom"/>
          </w:tcPr>
          <w:p w:rsidR="00AD0292" w:rsidRPr="0030206A" w:rsidRDefault="00AD0292" w:rsidP="00AD0292">
            <w:pPr>
              <w:keepNext/>
              <w:keepLines/>
              <w:widowControl/>
              <w:jc w:val="center"/>
              <w:rPr>
                <w:bCs/>
                <w:sz w:val="18"/>
                <w:szCs w:val="18"/>
              </w:rPr>
            </w:pPr>
            <w:r w:rsidRPr="0030206A">
              <w:rPr>
                <w:bCs/>
                <w:sz w:val="18"/>
                <w:szCs w:val="18"/>
              </w:rPr>
              <w:t>$31,949</w:t>
            </w:r>
          </w:p>
        </w:tc>
        <w:tc>
          <w:tcPr>
            <w:tcW w:w="1380" w:type="dxa"/>
            <w:vAlign w:val="bottom"/>
          </w:tcPr>
          <w:p w:rsidR="00AD0292" w:rsidRPr="0030206A" w:rsidRDefault="00AD0292" w:rsidP="00AD0292">
            <w:pPr>
              <w:keepNext/>
              <w:keepLines/>
              <w:widowControl/>
              <w:jc w:val="center"/>
              <w:rPr>
                <w:bCs/>
                <w:sz w:val="18"/>
                <w:szCs w:val="18"/>
              </w:rPr>
            </w:pPr>
            <w:r w:rsidRPr="0030206A">
              <w:rPr>
                <w:bCs/>
                <w:sz w:val="18"/>
                <w:szCs w:val="18"/>
              </w:rPr>
              <w:t>$319</w:t>
            </w:r>
          </w:p>
        </w:tc>
        <w:tc>
          <w:tcPr>
            <w:tcW w:w="1380" w:type="dxa"/>
            <w:vAlign w:val="bottom"/>
          </w:tcPr>
          <w:p w:rsidR="00AD0292" w:rsidRPr="0030206A" w:rsidRDefault="008F6B8D" w:rsidP="00AD0292">
            <w:pPr>
              <w:keepNext/>
              <w:keepLines/>
              <w:widowControl/>
              <w:jc w:val="center"/>
              <w:rPr>
                <w:bCs/>
                <w:sz w:val="18"/>
                <w:szCs w:val="18"/>
              </w:rPr>
            </w:pPr>
            <w:r>
              <w:rPr>
                <w:bCs/>
                <w:sz w:val="18"/>
                <w:szCs w:val="18"/>
              </w:rPr>
              <w:t>-</w:t>
            </w:r>
          </w:p>
        </w:tc>
        <w:tc>
          <w:tcPr>
            <w:tcW w:w="1440" w:type="dxa"/>
            <w:vAlign w:val="bottom"/>
          </w:tcPr>
          <w:p w:rsidR="00AD0292" w:rsidRPr="0030206A" w:rsidRDefault="00AD0292" w:rsidP="008F6B8D">
            <w:pPr>
              <w:keepNext/>
              <w:keepLines/>
              <w:widowControl/>
              <w:jc w:val="center"/>
              <w:rPr>
                <w:bCs/>
                <w:sz w:val="18"/>
                <w:szCs w:val="18"/>
              </w:rPr>
            </w:pPr>
            <w:r w:rsidRPr="0030206A">
              <w:rPr>
                <w:bCs/>
                <w:sz w:val="18"/>
                <w:szCs w:val="18"/>
              </w:rPr>
              <w:t>$</w:t>
            </w:r>
            <w:r w:rsidR="008F6B8D">
              <w:rPr>
                <w:bCs/>
                <w:sz w:val="18"/>
                <w:szCs w:val="18"/>
              </w:rPr>
              <w:t>-</w:t>
            </w:r>
          </w:p>
        </w:tc>
      </w:tr>
      <w:tr w:rsidR="00AD0292" w:rsidRPr="0030206A" w:rsidTr="00AD0292">
        <w:trPr>
          <w:jc w:val="center"/>
        </w:trPr>
        <w:tc>
          <w:tcPr>
            <w:tcW w:w="3780" w:type="dxa"/>
          </w:tcPr>
          <w:p w:rsidR="00AD0292" w:rsidRPr="0030206A" w:rsidRDefault="00AD0292" w:rsidP="00AD0292">
            <w:pPr>
              <w:keepNext/>
              <w:keepLines/>
              <w:widowControl/>
              <w:ind w:left="18"/>
              <w:rPr>
                <w:bCs/>
                <w:sz w:val="18"/>
                <w:szCs w:val="18"/>
              </w:rPr>
            </w:pPr>
            <w:r w:rsidRPr="0030206A">
              <w:rPr>
                <w:bCs/>
                <w:sz w:val="18"/>
                <w:szCs w:val="18"/>
              </w:rPr>
              <w:t xml:space="preserve">Model C (App D -- </w:t>
            </w:r>
            <w:proofErr w:type="spellStart"/>
            <w:r w:rsidRPr="0030206A">
              <w:rPr>
                <w:bCs/>
                <w:sz w:val="18"/>
                <w:szCs w:val="18"/>
              </w:rPr>
              <w:t>NO</w:t>
            </w:r>
            <w:r w:rsidRPr="0030206A">
              <w:rPr>
                <w:bCs/>
                <w:sz w:val="18"/>
                <w:szCs w:val="18"/>
                <w:vertAlign w:val="subscript"/>
              </w:rPr>
              <w:t>x</w:t>
            </w:r>
            <w:proofErr w:type="spellEnd"/>
            <w:r w:rsidRPr="0030206A">
              <w:rPr>
                <w:bCs/>
                <w:sz w:val="18"/>
                <w:szCs w:val="18"/>
              </w:rPr>
              <w:t xml:space="preserve"> </w:t>
            </w:r>
            <w:smartTag w:uri="urn:schemas-microsoft-com:office:smarttags" w:element="stockticker">
              <w:r w:rsidRPr="0030206A">
                <w:rPr>
                  <w:bCs/>
                  <w:sz w:val="18"/>
                  <w:szCs w:val="18"/>
                </w:rPr>
                <w:t>CEM</w:t>
              </w:r>
            </w:smartTag>
            <w:r w:rsidRPr="0030206A">
              <w:rPr>
                <w:bCs/>
                <w:sz w:val="18"/>
                <w:szCs w:val="18"/>
              </w:rPr>
              <w:t>)</w:t>
            </w:r>
          </w:p>
        </w:tc>
        <w:tc>
          <w:tcPr>
            <w:tcW w:w="1380" w:type="dxa"/>
            <w:vAlign w:val="bottom"/>
          </w:tcPr>
          <w:p w:rsidR="00AD0292" w:rsidRPr="0030206A" w:rsidRDefault="00AD0292" w:rsidP="00AD0292">
            <w:pPr>
              <w:keepNext/>
              <w:keepLines/>
              <w:widowControl/>
              <w:jc w:val="center"/>
              <w:rPr>
                <w:bCs/>
                <w:sz w:val="18"/>
                <w:szCs w:val="18"/>
              </w:rPr>
            </w:pPr>
            <w:r w:rsidRPr="0030206A">
              <w:rPr>
                <w:bCs/>
                <w:sz w:val="18"/>
                <w:szCs w:val="18"/>
              </w:rPr>
              <w:t>$17,818</w:t>
            </w:r>
          </w:p>
        </w:tc>
        <w:tc>
          <w:tcPr>
            <w:tcW w:w="1380" w:type="dxa"/>
            <w:vAlign w:val="bottom"/>
          </w:tcPr>
          <w:p w:rsidR="00AD0292" w:rsidRPr="0030206A" w:rsidRDefault="00AD0292" w:rsidP="00AD0292">
            <w:pPr>
              <w:keepNext/>
              <w:keepLines/>
              <w:widowControl/>
              <w:jc w:val="center"/>
              <w:rPr>
                <w:bCs/>
                <w:sz w:val="18"/>
                <w:szCs w:val="18"/>
              </w:rPr>
            </w:pPr>
            <w:r w:rsidRPr="0030206A">
              <w:rPr>
                <w:bCs/>
                <w:sz w:val="18"/>
                <w:szCs w:val="18"/>
              </w:rPr>
              <w:t>$178</w:t>
            </w:r>
          </w:p>
        </w:tc>
        <w:tc>
          <w:tcPr>
            <w:tcW w:w="1380" w:type="dxa"/>
            <w:vAlign w:val="bottom"/>
          </w:tcPr>
          <w:p w:rsidR="00AD0292" w:rsidRPr="0030206A" w:rsidRDefault="008F6B8D" w:rsidP="00AD0292">
            <w:pPr>
              <w:keepNext/>
              <w:keepLines/>
              <w:widowControl/>
              <w:jc w:val="center"/>
              <w:rPr>
                <w:bCs/>
                <w:sz w:val="18"/>
                <w:szCs w:val="18"/>
              </w:rPr>
            </w:pPr>
            <w:r>
              <w:rPr>
                <w:bCs/>
                <w:sz w:val="18"/>
                <w:szCs w:val="18"/>
              </w:rPr>
              <w:t>-</w:t>
            </w:r>
          </w:p>
        </w:tc>
        <w:tc>
          <w:tcPr>
            <w:tcW w:w="1440" w:type="dxa"/>
            <w:vAlign w:val="bottom"/>
          </w:tcPr>
          <w:p w:rsidR="00AD0292" w:rsidRPr="0030206A" w:rsidRDefault="00AD0292" w:rsidP="008F6B8D">
            <w:pPr>
              <w:keepNext/>
              <w:keepLines/>
              <w:widowControl/>
              <w:jc w:val="center"/>
              <w:rPr>
                <w:bCs/>
                <w:sz w:val="18"/>
                <w:szCs w:val="18"/>
              </w:rPr>
            </w:pPr>
            <w:r w:rsidRPr="0030206A">
              <w:rPr>
                <w:bCs/>
                <w:sz w:val="18"/>
                <w:szCs w:val="18"/>
              </w:rPr>
              <w:t>$</w:t>
            </w:r>
            <w:r w:rsidR="008F6B8D">
              <w:rPr>
                <w:bCs/>
                <w:sz w:val="18"/>
                <w:szCs w:val="18"/>
              </w:rPr>
              <w:t>-</w:t>
            </w:r>
          </w:p>
        </w:tc>
      </w:tr>
      <w:tr w:rsidR="00AD0292" w:rsidRPr="0030206A" w:rsidTr="00AD0292">
        <w:trPr>
          <w:jc w:val="center"/>
        </w:trPr>
        <w:tc>
          <w:tcPr>
            <w:tcW w:w="3780" w:type="dxa"/>
          </w:tcPr>
          <w:p w:rsidR="00AD0292" w:rsidRPr="0030206A" w:rsidRDefault="00AD0292" w:rsidP="00AD0292">
            <w:pPr>
              <w:keepNext/>
              <w:keepLines/>
              <w:widowControl/>
              <w:ind w:left="18"/>
              <w:rPr>
                <w:bCs/>
                <w:sz w:val="18"/>
                <w:szCs w:val="18"/>
              </w:rPr>
            </w:pPr>
            <w:r w:rsidRPr="0030206A">
              <w:rPr>
                <w:bCs/>
                <w:sz w:val="18"/>
                <w:szCs w:val="18"/>
              </w:rPr>
              <w:t>Model D (App D and E)</w:t>
            </w:r>
          </w:p>
        </w:tc>
        <w:tc>
          <w:tcPr>
            <w:tcW w:w="1380" w:type="dxa"/>
            <w:vAlign w:val="bottom"/>
          </w:tcPr>
          <w:p w:rsidR="00AD0292" w:rsidRPr="0030206A" w:rsidRDefault="00AD0292" w:rsidP="00AD0292">
            <w:pPr>
              <w:keepNext/>
              <w:keepLines/>
              <w:widowControl/>
              <w:jc w:val="center"/>
              <w:rPr>
                <w:bCs/>
                <w:sz w:val="18"/>
                <w:szCs w:val="18"/>
              </w:rPr>
            </w:pPr>
            <w:r w:rsidRPr="0030206A">
              <w:rPr>
                <w:bCs/>
                <w:sz w:val="18"/>
                <w:szCs w:val="18"/>
              </w:rPr>
              <w:t>$1,843</w:t>
            </w:r>
          </w:p>
        </w:tc>
        <w:tc>
          <w:tcPr>
            <w:tcW w:w="1380" w:type="dxa"/>
            <w:vAlign w:val="bottom"/>
          </w:tcPr>
          <w:p w:rsidR="00AD0292" w:rsidRPr="0030206A" w:rsidRDefault="00AD0292" w:rsidP="00AD0292">
            <w:pPr>
              <w:keepNext/>
              <w:keepLines/>
              <w:widowControl/>
              <w:jc w:val="center"/>
              <w:rPr>
                <w:bCs/>
                <w:sz w:val="18"/>
                <w:szCs w:val="18"/>
              </w:rPr>
            </w:pPr>
            <w:r w:rsidRPr="0030206A">
              <w:rPr>
                <w:bCs/>
                <w:sz w:val="18"/>
                <w:szCs w:val="18"/>
              </w:rPr>
              <w:t>$19</w:t>
            </w:r>
          </w:p>
        </w:tc>
        <w:tc>
          <w:tcPr>
            <w:tcW w:w="1380" w:type="dxa"/>
            <w:vAlign w:val="bottom"/>
          </w:tcPr>
          <w:p w:rsidR="00AD0292" w:rsidRPr="0030206A" w:rsidRDefault="008F6B8D" w:rsidP="00AD0292">
            <w:pPr>
              <w:keepNext/>
              <w:keepLines/>
              <w:widowControl/>
              <w:jc w:val="center"/>
              <w:rPr>
                <w:bCs/>
                <w:sz w:val="18"/>
                <w:szCs w:val="18"/>
              </w:rPr>
            </w:pPr>
            <w:r>
              <w:rPr>
                <w:bCs/>
                <w:sz w:val="18"/>
                <w:szCs w:val="18"/>
              </w:rPr>
              <w:t>-</w:t>
            </w:r>
          </w:p>
        </w:tc>
        <w:tc>
          <w:tcPr>
            <w:tcW w:w="1440" w:type="dxa"/>
            <w:vAlign w:val="bottom"/>
          </w:tcPr>
          <w:p w:rsidR="00AD0292" w:rsidRPr="0030206A" w:rsidRDefault="00AD0292" w:rsidP="008F6B8D">
            <w:pPr>
              <w:keepNext/>
              <w:keepLines/>
              <w:widowControl/>
              <w:jc w:val="center"/>
              <w:rPr>
                <w:bCs/>
                <w:sz w:val="18"/>
                <w:szCs w:val="18"/>
              </w:rPr>
            </w:pPr>
            <w:r w:rsidRPr="0030206A">
              <w:rPr>
                <w:bCs/>
                <w:sz w:val="18"/>
                <w:szCs w:val="18"/>
              </w:rPr>
              <w:t>$</w:t>
            </w:r>
            <w:r w:rsidR="008F6B8D">
              <w:rPr>
                <w:bCs/>
                <w:sz w:val="18"/>
                <w:szCs w:val="18"/>
              </w:rPr>
              <w:t>-</w:t>
            </w:r>
          </w:p>
        </w:tc>
      </w:tr>
      <w:tr w:rsidR="00AD0292" w:rsidRPr="0030206A" w:rsidTr="00AD0292">
        <w:trPr>
          <w:jc w:val="center"/>
        </w:trPr>
        <w:tc>
          <w:tcPr>
            <w:tcW w:w="3780" w:type="dxa"/>
            <w:tcBorders>
              <w:bottom w:val="single" w:sz="4" w:space="0" w:color="000000"/>
            </w:tcBorders>
          </w:tcPr>
          <w:p w:rsidR="00AD0292" w:rsidRPr="0030206A" w:rsidRDefault="00AD0292" w:rsidP="00AD0292">
            <w:pPr>
              <w:keepNext/>
              <w:keepLines/>
              <w:widowControl/>
              <w:ind w:left="18"/>
              <w:rPr>
                <w:bCs/>
                <w:sz w:val="18"/>
                <w:szCs w:val="18"/>
              </w:rPr>
            </w:pPr>
            <w:r w:rsidRPr="0030206A">
              <w:rPr>
                <w:bCs/>
                <w:sz w:val="18"/>
                <w:szCs w:val="18"/>
              </w:rPr>
              <w:t>Model E (LME)</w:t>
            </w:r>
          </w:p>
        </w:tc>
        <w:tc>
          <w:tcPr>
            <w:tcW w:w="1380" w:type="dxa"/>
            <w:tcBorders>
              <w:bottom w:val="single" w:sz="4" w:space="0" w:color="000000"/>
            </w:tcBorders>
            <w:vAlign w:val="bottom"/>
          </w:tcPr>
          <w:p w:rsidR="00AD0292" w:rsidRPr="0030206A" w:rsidRDefault="00AD0292" w:rsidP="00AD0292">
            <w:pPr>
              <w:keepNext/>
              <w:keepLines/>
              <w:widowControl/>
              <w:tabs>
                <w:tab w:val="right" w:pos="532"/>
              </w:tabs>
              <w:jc w:val="center"/>
              <w:rPr>
                <w:bCs/>
                <w:sz w:val="18"/>
                <w:szCs w:val="18"/>
              </w:rPr>
            </w:pPr>
            <w:r w:rsidRPr="0030206A">
              <w:rPr>
                <w:bCs/>
                <w:sz w:val="18"/>
                <w:szCs w:val="18"/>
              </w:rPr>
              <w:t>$1,991</w:t>
            </w:r>
          </w:p>
        </w:tc>
        <w:tc>
          <w:tcPr>
            <w:tcW w:w="1380" w:type="dxa"/>
            <w:tcBorders>
              <w:bottom w:val="single" w:sz="4" w:space="0" w:color="000000"/>
            </w:tcBorders>
            <w:vAlign w:val="bottom"/>
          </w:tcPr>
          <w:p w:rsidR="00AD0292" w:rsidRPr="0030206A" w:rsidRDefault="00AD0292" w:rsidP="00AD0292">
            <w:pPr>
              <w:keepNext/>
              <w:keepLines/>
              <w:widowControl/>
              <w:jc w:val="center"/>
              <w:rPr>
                <w:bCs/>
                <w:sz w:val="18"/>
                <w:szCs w:val="18"/>
              </w:rPr>
            </w:pPr>
            <w:r w:rsidRPr="0030206A">
              <w:rPr>
                <w:bCs/>
                <w:sz w:val="18"/>
                <w:szCs w:val="18"/>
              </w:rPr>
              <w:t>$20</w:t>
            </w:r>
          </w:p>
        </w:tc>
        <w:tc>
          <w:tcPr>
            <w:tcW w:w="1380" w:type="dxa"/>
            <w:tcBorders>
              <w:bottom w:val="single" w:sz="4" w:space="0" w:color="000000"/>
            </w:tcBorders>
            <w:vAlign w:val="bottom"/>
          </w:tcPr>
          <w:p w:rsidR="00AD0292" w:rsidRPr="0030206A" w:rsidRDefault="008F6B8D" w:rsidP="00AD0292">
            <w:pPr>
              <w:keepNext/>
              <w:keepLines/>
              <w:widowControl/>
              <w:jc w:val="center"/>
              <w:rPr>
                <w:bCs/>
                <w:sz w:val="18"/>
                <w:szCs w:val="18"/>
              </w:rPr>
            </w:pPr>
            <w:r>
              <w:rPr>
                <w:bCs/>
                <w:sz w:val="18"/>
                <w:szCs w:val="18"/>
              </w:rPr>
              <w:t>-</w:t>
            </w:r>
          </w:p>
        </w:tc>
        <w:tc>
          <w:tcPr>
            <w:tcW w:w="1440" w:type="dxa"/>
            <w:tcBorders>
              <w:bottom w:val="single" w:sz="4" w:space="0" w:color="000000"/>
            </w:tcBorders>
            <w:vAlign w:val="bottom"/>
          </w:tcPr>
          <w:p w:rsidR="00AD0292" w:rsidRPr="0030206A" w:rsidRDefault="00AD0292" w:rsidP="008F6B8D">
            <w:pPr>
              <w:keepNext/>
              <w:keepLines/>
              <w:widowControl/>
              <w:jc w:val="center"/>
              <w:rPr>
                <w:bCs/>
                <w:sz w:val="18"/>
                <w:szCs w:val="18"/>
              </w:rPr>
            </w:pPr>
            <w:r w:rsidRPr="0030206A">
              <w:rPr>
                <w:bCs/>
                <w:sz w:val="18"/>
                <w:szCs w:val="18"/>
              </w:rPr>
              <w:t>$</w:t>
            </w:r>
            <w:r w:rsidR="008F6B8D">
              <w:rPr>
                <w:bCs/>
                <w:sz w:val="18"/>
                <w:szCs w:val="18"/>
              </w:rPr>
              <w:t>-</w:t>
            </w:r>
          </w:p>
        </w:tc>
      </w:tr>
      <w:tr w:rsidR="00AD0292" w:rsidRPr="0030206A" w:rsidTr="00AD0292">
        <w:trPr>
          <w:jc w:val="center"/>
        </w:trPr>
        <w:tc>
          <w:tcPr>
            <w:tcW w:w="3780" w:type="dxa"/>
            <w:tcBorders>
              <w:bottom w:val="single" w:sz="4" w:space="0" w:color="000000"/>
            </w:tcBorders>
          </w:tcPr>
          <w:p w:rsidR="00AD0292" w:rsidRPr="0030206A" w:rsidRDefault="00AD0292" w:rsidP="00AD0292">
            <w:pPr>
              <w:keepNext/>
              <w:keepLines/>
              <w:widowControl/>
              <w:ind w:left="18"/>
              <w:rPr>
                <w:bCs/>
                <w:sz w:val="18"/>
                <w:szCs w:val="18"/>
              </w:rPr>
            </w:pPr>
            <w:r w:rsidRPr="0030206A">
              <w:rPr>
                <w:bCs/>
                <w:sz w:val="18"/>
                <w:szCs w:val="18"/>
              </w:rPr>
              <w:t>One Time DAHS Upgrade</w:t>
            </w:r>
            <w:r w:rsidRPr="0030206A">
              <w:rPr>
                <w:rStyle w:val="FootnoteReference"/>
                <w:bCs/>
                <w:sz w:val="18"/>
                <w:szCs w:val="18"/>
              </w:rPr>
              <w:footnoteReference w:id="2"/>
            </w:r>
          </w:p>
        </w:tc>
        <w:tc>
          <w:tcPr>
            <w:tcW w:w="1380" w:type="dxa"/>
            <w:tcBorders>
              <w:bottom w:val="single" w:sz="4" w:space="0" w:color="000000"/>
            </w:tcBorders>
            <w:vAlign w:val="bottom"/>
          </w:tcPr>
          <w:p w:rsidR="00AD0292" w:rsidRPr="0030206A" w:rsidRDefault="00AD0292" w:rsidP="00AD0292">
            <w:pPr>
              <w:keepNext/>
              <w:keepLines/>
              <w:widowControl/>
              <w:tabs>
                <w:tab w:val="right" w:pos="532"/>
              </w:tabs>
              <w:jc w:val="center"/>
              <w:rPr>
                <w:bCs/>
                <w:sz w:val="18"/>
                <w:szCs w:val="18"/>
              </w:rPr>
            </w:pPr>
          </w:p>
        </w:tc>
        <w:tc>
          <w:tcPr>
            <w:tcW w:w="1380" w:type="dxa"/>
            <w:tcBorders>
              <w:bottom w:val="single" w:sz="4" w:space="0" w:color="000000"/>
            </w:tcBorders>
            <w:vAlign w:val="bottom"/>
          </w:tcPr>
          <w:p w:rsidR="00AD0292" w:rsidRPr="0030206A" w:rsidRDefault="00AD0292" w:rsidP="00AD0292">
            <w:pPr>
              <w:keepNext/>
              <w:keepLines/>
              <w:widowControl/>
              <w:jc w:val="center"/>
              <w:rPr>
                <w:bCs/>
                <w:sz w:val="18"/>
                <w:szCs w:val="18"/>
              </w:rPr>
            </w:pPr>
            <w:r w:rsidRPr="0030206A">
              <w:rPr>
                <w:bCs/>
                <w:sz w:val="18"/>
                <w:szCs w:val="18"/>
              </w:rPr>
              <w:t>$500</w:t>
            </w:r>
          </w:p>
        </w:tc>
        <w:tc>
          <w:tcPr>
            <w:tcW w:w="1380" w:type="dxa"/>
            <w:tcBorders>
              <w:bottom w:val="single" w:sz="4" w:space="0" w:color="000000"/>
            </w:tcBorders>
            <w:vAlign w:val="bottom"/>
          </w:tcPr>
          <w:p w:rsidR="00AD0292" w:rsidRPr="0030206A" w:rsidRDefault="008F6B8D" w:rsidP="00AD0292">
            <w:pPr>
              <w:keepNext/>
              <w:keepLines/>
              <w:widowControl/>
              <w:jc w:val="center"/>
              <w:rPr>
                <w:bCs/>
                <w:sz w:val="18"/>
                <w:szCs w:val="18"/>
              </w:rPr>
            </w:pPr>
            <w:r>
              <w:rPr>
                <w:bCs/>
                <w:sz w:val="18"/>
                <w:szCs w:val="18"/>
              </w:rPr>
              <w:t>-</w:t>
            </w:r>
          </w:p>
        </w:tc>
        <w:tc>
          <w:tcPr>
            <w:tcW w:w="1440" w:type="dxa"/>
            <w:tcBorders>
              <w:bottom w:val="single" w:sz="4" w:space="0" w:color="000000"/>
            </w:tcBorders>
            <w:vAlign w:val="bottom"/>
          </w:tcPr>
          <w:p w:rsidR="00AD0292" w:rsidRPr="0030206A" w:rsidRDefault="00AD0292" w:rsidP="008F6B8D">
            <w:pPr>
              <w:keepNext/>
              <w:keepLines/>
              <w:widowControl/>
              <w:jc w:val="center"/>
              <w:rPr>
                <w:bCs/>
                <w:sz w:val="18"/>
                <w:szCs w:val="18"/>
              </w:rPr>
            </w:pPr>
            <w:r w:rsidRPr="0030206A">
              <w:rPr>
                <w:bCs/>
                <w:sz w:val="18"/>
                <w:szCs w:val="18"/>
              </w:rPr>
              <w:t>$</w:t>
            </w:r>
            <w:r w:rsidR="008F6B8D">
              <w:rPr>
                <w:bCs/>
                <w:sz w:val="18"/>
                <w:szCs w:val="18"/>
              </w:rPr>
              <w:t>-</w:t>
            </w:r>
          </w:p>
        </w:tc>
      </w:tr>
      <w:tr w:rsidR="00AD0292" w:rsidRPr="0030206A" w:rsidTr="00AD0292">
        <w:trPr>
          <w:trHeight w:val="224"/>
          <w:jc w:val="center"/>
        </w:trPr>
        <w:tc>
          <w:tcPr>
            <w:tcW w:w="9360" w:type="dxa"/>
            <w:gridSpan w:val="5"/>
            <w:shd w:val="clear" w:color="auto" w:fill="auto"/>
          </w:tcPr>
          <w:p w:rsidR="00AD0292" w:rsidRPr="0030206A" w:rsidRDefault="00AD0292" w:rsidP="00AD0292">
            <w:pPr>
              <w:widowControl/>
              <w:rPr>
                <w:bCs/>
                <w:sz w:val="18"/>
                <w:szCs w:val="18"/>
              </w:rPr>
            </w:pPr>
            <w:r w:rsidRPr="0030206A">
              <w:rPr>
                <w:bCs/>
                <w:sz w:val="18"/>
                <w:szCs w:val="18"/>
              </w:rPr>
              <w:t>PGVP Increased Costs</w:t>
            </w:r>
          </w:p>
        </w:tc>
      </w:tr>
      <w:tr w:rsidR="00AD0292" w:rsidRPr="0030206A" w:rsidTr="00AD0292">
        <w:trPr>
          <w:jc w:val="center"/>
        </w:trPr>
        <w:tc>
          <w:tcPr>
            <w:tcW w:w="3780" w:type="dxa"/>
            <w:shd w:val="clear" w:color="auto" w:fill="auto"/>
          </w:tcPr>
          <w:p w:rsidR="00AD0292" w:rsidRPr="0030206A" w:rsidRDefault="00AD0292" w:rsidP="00AD0292">
            <w:pPr>
              <w:widowControl/>
              <w:rPr>
                <w:bCs/>
                <w:sz w:val="18"/>
                <w:szCs w:val="18"/>
              </w:rPr>
            </w:pPr>
            <w:r w:rsidRPr="0030206A">
              <w:rPr>
                <w:bCs/>
                <w:sz w:val="18"/>
                <w:szCs w:val="18"/>
              </w:rPr>
              <w:t>($2 per cylinder at an assumed average of 6 cylinders per year)</w:t>
            </w:r>
          </w:p>
        </w:tc>
        <w:tc>
          <w:tcPr>
            <w:tcW w:w="1380" w:type="dxa"/>
            <w:shd w:val="clear" w:color="auto" w:fill="auto"/>
            <w:vAlign w:val="bottom"/>
          </w:tcPr>
          <w:p w:rsidR="00AD0292" w:rsidRPr="0030206A" w:rsidRDefault="00AD0292" w:rsidP="00AD0292">
            <w:pPr>
              <w:widowControl/>
              <w:tabs>
                <w:tab w:val="right" w:pos="532"/>
              </w:tabs>
              <w:jc w:val="center"/>
              <w:rPr>
                <w:bCs/>
                <w:sz w:val="18"/>
                <w:szCs w:val="18"/>
              </w:rPr>
            </w:pPr>
          </w:p>
        </w:tc>
        <w:tc>
          <w:tcPr>
            <w:tcW w:w="1380" w:type="dxa"/>
            <w:shd w:val="clear" w:color="auto" w:fill="auto"/>
            <w:vAlign w:val="bottom"/>
          </w:tcPr>
          <w:p w:rsidR="00AD0292" w:rsidRPr="0030206A" w:rsidRDefault="00AD0292" w:rsidP="00AD0292">
            <w:pPr>
              <w:widowControl/>
              <w:tabs>
                <w:tab w:val="right" w:pos="530"/>
              </w:tabs>
              <w:jc w:val="center"/>
              <w:rPr>
                <w:bCs/>
                <w:sz w:val="18"/>
                <w:szCs w:val="18"/>
              </w:rPr>
            </w:pPr>
            <w:r w:rsidRPr="0030206A">
              <w:rPr>
                <w:bCs/>
                <w:sz w:val="18"/>
                <w:szCs w:val="18"/>
              </w:rPr>
              <w:t>$12</w:t>
            </w:r>
          </w:p>
        </w:tc>
        <w:tc>
          <w:tcPr>
            <w:tcW w:w="1380" w:type="dxa"/>
            <w:shd w:val="clear" w:color="auto" w:fill="auto"/>
            <w:vAlign w:val="bottom"/>
          </w:tcPr>
          <w:p w:rsidR="00AD0292" w:rsidRPr="0030206A" w:rsidRDefault="008F6B8D" w:rsidP="00AD0292">
            <w:pPr>
              <w:widowControl/>
              <w:jc w:val="center"/>
              <w:rPr>
                <w:bCs/>
                <w:sz w:val="18"/>
                <w:szCs w:val="18"/>
              </w:rPr>
            </w:pPr>
            <w:r>
              <w:rPr>
                <w:bCs/>
                <w:sz w:val="18"/>
                <w:szCs w:val="18"/>
              </w:rPr>
              <w:t>-</w:t>
            </w:r>
          </w:p>
        </w:tc>
        <w:tc>
          <w:tcPr>
            <w:tcW w:w="1440" w:type="dxa"/>
            <w:shd w:val="clear" w:color="auto" w:fill="auto"/>
            <w:vAlign w:val="bottom"/>
          </w:tcPr>
          <w:p w:rsidR="00AD0292" w:rsidRPr="0030206A" w:rsidRDefault="00AD0292" w:rsidP="008F6B8D">
            <w:pPr>
              <w:widowControl/>
              <w:jc w:val="center"/>
              <w:rPr>
                <w:bCs/>
                <w:sz w:val="18"/>
                <w:szCs w:val="18"/>
              </w:rPr>
            </w:pPr>
            <w:r w:rsidRPr="0030206A">
              <w:rPr>
                <w:bCs/>
                <w:sz w:val="18"/>
                <w:szCs w:val="18"/>
              </w:rPr>
              <w:t>$</w:t>
            </w:r>
            <w:r w:rsidR="008F6B8D">
              <w:rPr>
                <w:bCs/>
                <w:sz w:val="18"/>
                <w:szCs w:val="18"/>
              </w:rPr>
              <w:t>-</w:t>
            </w:r>
          </w:p>
        </w:tc>
      </w:tr>
      <w:tr w:rsidR="00AD0292" w:rsidRPr="0030206A" w:rsidTr="00AD0292">
        <w:trPr>
          <w:jc w:val="center"/>
        </w:trPr>
        <w:tc>
          <w:tcPr>
            <w:tcW w:w="7920" w:type="dxa"/>
            <w:gridSpan w:val="4"/>
            <w:shd w:val="clear" w:color="auto" w:fill="auto"/>
          </w:tcPr>
          <w:p w:rsidR="00AD0292" w:rsidRPr="0030206A" w:rsidRDefault="00AD0292" w:rsidP="00AD0292">
            <w:pPr>
              <w:keepNext/>
              <w:widowControl/>
              <w:numPr>
                <w:ilvl w:val="12"/>
                <w:numId w:val="0"/>
              </w:numPr>
              <w:rPr>
                <w:b/>
                <w:sz w:val="18"/>
                <w:szCs w:val="18"/>
              </w:rPr>
            </w:pPr>
            <w:r w:rsidRPr="0030206A">
              <w:rPr>
                <w:b/>
                <w:sz w:val="18"/>
                <w:szCs w:val="18"/>
              </w:rPr>
              <w:t>Total</w:t>
            </w:r>
          </w:p>
        </w:tc>
        <w:tc>
          <w:tcPr>
            <w:tcW w:w="1440" w:type="dxa"/>
            <w:shd w:val="clear" w:color="auto" w:fill="auto"/>
          </w:tcPr>
          <w:p w:rsidR="00AD0292" w:rsidRPr="0030206A" w:rsidRDefault="008F6B8D" w:rsidP="00AD0292">
            <w:pPr>
              <w:keepNext/>
              <w:widowControl/>
              <w:numPr>
                <w:ilvl w:val="12"/>
                <w:numId w:val="0"/>
              </w:numPr>
              <w:jc w:val="center"/>
              <w:rPr>
                <w:b/>
                <w:sz w:val="18"/>
                <w:szCs w:val="18"/>
              </w:rPr>
            </w:pPr>
            <w:r>
              <w:rPr>
                <w:b/>
                <w:bCs/>
                <w:sz w:val="18"/>
                <w:szCs w:val="18"/>
              </w:rPr>
              <w:t>$-</w:t>
            </w:r>
          </w:p>
        </w:tc>
      </w:tr>
    </w:tbl>
    <w:p w:rsidR="00AD0292" w:rsidRDefault="00AD0292" w:rsidP="00AD0292">
      <w:pPr>
        <w:keepNext/>
        <w:widowControl/>
        <w:numPr>
          <w:ilvl w:val="12"/>
          <w:numId w:val="0"/>
        </w:numPr>
      </w:pPr>
    </w:p>
    <w:p w:rsidR="00AD0292" w:rsidRPr="000E34FE" w:rsidRDefault="00AD0292" w:rsidP="00AD0292">
      <w:pPr>
        <w:ind w:firstLine="360"/>
        <w:outlineLvl w:val="0"/>
        <w:rPr>
          <w:sz w:val="24"/>
          <w:szCs w:val="24"/>
        </w:rPr>
      </w:pPr>
    </w:p>
    <w:sectPr w:rsidR="00AD0292" w:rsidRPr="000E34FE" w:rsidSect="00F7117F">
      <w:pgSz w:w="12240" w:h="15840"/>
      <w:pgMar w:top="2045" w:right="720" w:bottom="2045" w:left="720" w:header="1152"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A73" w:rsidRDefault="006C3A73">
      <w:r>
        <w:separator/>
      </w:r>
    </w:p>
  </w:endnote>
  <w:endnote w:type="continuationSeparator" w:id="0">
    <w:p w:rsidR="006C3A73" w:rsidRDefault="006C3A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C7" w:rsidRPr="00562093" w:rsidRDefault="005F35C7" w:rsidP="00562093">
    <w:pPr>
      <w:pStyle w:val="Footer"/>
      <w:jc w:val="center"/>
      <w:rPr>
        <w:sz w:val="24"/>
        <w:szCs w:val="24"/>
      </w:rPr>
    </w:pPr>
    <w:r w:rsidRPr="00562093">
      <w:rPr>
        <w:sz w:val="24"/>
        <w:szCs w:val="24"/>
      </w:rPr>
      <w:fldChar w:fldCharType="begin"/>
    </w:r>
    <w:r w:rsidRPr="00562093">
      <w:rPr>
        <w:sz w:val="24"/>
        <w:szCs w:val="24"/>
      </w:rPr>
      <w:instrText xml:space="preserve"> PAGE   \* MERGEFORMAT </w:instrText>
    </w:r>
    <w:r w:rsidRPr="00562093">
      <w:rPr>
        <w:sz w:val="24"/>
        <w:szCs w:val="24"/>
      </w:rPr>
      <w:fldChar w:fldCharType="separate"/>
    </w:r>
    <w:r>
      <w:rPr>
        <w:noProof/>
        <w:sz w:val="24"/>
        <w:szCs w:val="24"/>
      </w:rPr>
      <w:t>2</w:t>
    </w:r>
    <w:r w:rsidRPr="00562093">
      <w:rPr>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C7" w:rsidRPr="004E34F6" w:rsidRDefault="005F35C7" w:rsidP="004E34F6">
    <w:pPr>
      <w:pStyle w:val="Footer"/>
      <w:jc w:val="center"/>
      <w:rPr>
        <w:sz w:val="24"/>
        <w:szCs w:val="24"/>
      </w:rPr>
    </w:pPr>
    <w:r w:rsidRPr="004E34F6">
      <w:rPr>
        <w:sz w:val="24"/>
        <w:szCs w:val="24"/>
      </w:rPr>
      <w:fldChar w:fldCharType="begin"/>
    </w:r>
    <w:r w:rsidRPr="004E34F6">
      <w:rPr>
        <w:sz w:val="24"/>
        <w:szCs w:val="24"/>
      </w:rPr>
      <w:instrText xml:space="preserve"> PAGE   \* MERGEFORMAT </w:instrText>
    </w:r>
    <w:r w:rsidRPr="004E34F6">
      <w:rPr>
        <w:sz w:val="24"/>
        <w:szCs w:val="24"/>
      </w:rPr>
      <w:fldChar w:fldCharType="separate"/>
    </w:r>
    <w:r w:rsidR="00E642BF">
      <w:rPr>
        <w:noProof/>
        <w:sz w:val="24"/>
        <w:szCs w:val="24"/>
      </w:rPr>
      <w:t>1</w:t>
    </w:r>
    <w:r w:rsidRPr="004E34F6">
      <w:rPr>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C7" w:rsidRPr="00562093" w:rsidRDefault="005F35C7" w:rsidP="00562093">
    <w:pPr>
      <w:pStyle w:val="Footer"/>
      <w:jc w:val="center"/>
      <w:rPr>
        <w:sz w:val="24"/>
        <w:szCs w:val="24"/>
      </w:rPr>
    </w:pPr>
    <w:r w:rsidRPr="00562093">
      <w:rPr>
        <w:sz w:val="24"/>
        <w:szCs w:val="24"/>
      </w:rPr>
      <w:fldChar w:fldCharType="begin"/>
    </w:r>
    <w:r w:rsidRPr="00562093">
      <w:rPr>
        <w:sz w:val="24"/>
        <w:szCs w:val="24"/>
      </w:rPr>
      <w:instrText xml:space="preserve"> PAGE   \* MERGEFORMAT </w:instrText>
    </w:r>
    <w:r w:rsidRPr="00562093">
      <w:rPr>
        <w:sz w:val="24"/>
        <w:szCs w:val="24"/>
      </w:rPr>
      <w:fldChar w:fldCharType="separate"/>
    </w:r>
    <w:r w:rsidR="00E642BF">
      <w:rPr>
        <w:noProof/>
        <w:sz w:val="24"/>
        <w:szCs w:val="24"/>
      </w:rPr>
      <w:t>43</w:t>
    </w:r>
    <w:r w:rsidRPr="00562093">
      <w:rPr>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C7" w:rsidRPr="00DA355B" w:rsidRDefault="005F35C7" w:rsidP="00DA355B">
    <w:pPr>
      <w:pStyle w:val="Footer"/>
      <w:jc w:val="center"/>
      <w:rPr>
        <w:sz w:val="24"/>
        <w:szCs w:val="24"/>
      </w:rPr>
    </w:pPr>
    <w:r w:rsidRPr="00DA355B">
      <w:rPr>
        <w:sz w:val="24"/>
        <w:szCs w:val="24"/>
      </w:rPr>
      <w:fldChar w:fldCharType="begin"/>
    </w:r>
    <w:r w:rsidRPr="00DA355B">
      <w:rPr>
        <w:sz w:val="24"/>
        <w:szCs w:val="24"/>
      </w:rPr>
      <w:instrText xml:space="preserve"> PAGE   \* MERGEFORMAT </w:instrText>
    </w:r>
    <w:r w:rsidRPr="00DA355B">
      <w:rPr>
        <w:sz w:val="24"/>
        <w:szCs w:val="24"/>
      </w:rPr>
      <w:fldChar w:fldCharType="separate"/>
    </w:r>
    <w:r w:rsidR="00E642BF">
      <w:rPr>
        <w:noProof/>
        <w:sz w:val="24"/>
        <w:szCs w:val="24"/>
      </w:rPr>
      <w:t>2</w:t>
    </w:r>
    <w:r w:rsidRPr="00DA355B">
      <w:rPr>
        <w:sz w:val="24"/>
        <w:szCs w:val="2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C7" w:rsidRPr="00562093" w:rsidRDefault="005F35C7" w:rsidP="00562093">
    <w:pPr>
      <w:jc w:val="center"/>
      <w:rPr>
        <w:sz w:val="24"/>
        <w:szCs w:val="24"/>
      </w:rPr>
    </w:pPr>
    <w:r w:rsidRPr="00562093">
      <w:rPr>
        <w:sz w:val="24"/>
        <w:szCs w:val="24"/>
      </w:rPr>
      <w:fldChar w:fldCharType="begin"/>
    </w:r>
    <w:r w:rsidRPr="00562093">
      <w:rPr>
        <w:sz w:val="24"/>
        <w:szCs w:val="24"/>
      </w:rPr>
      <w:instrText xml:space="preserve"> PAGE   \* MERGEFORMAT </w:instrText>
    </w:r>
    <w:r w:rsidRPr="00562093">
      <w:rPr>
        <w:sz w:val="24"/>
        <w:szCs w:val="24"/>
      </w:rPr>
      <w:fldChar w:fldCharType="separate"/>
    </w:r>
    <w:r w:rsidR="00E642BF">
      <w:rPr>
        <w:noProof/>
        <w:sz w:val="24"/>
        <w:szCs w:val="24"/>
      </w:rPr>
      <w:t>44</w:t>
    </w:r>
    <w:r w:rsidRPr="00562093">
      <w:rPr>
        <w:sz w:val="24"/>
        <w:szCs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C7" w:rsidRPr="00E1074A" w:rsidRDefault="005F35C7" w:rsidP="00E1074A">
    <w:pPr>
      <w:jc w:val="center"/>
      <w:rPr>
        <w:sz w:val="24"/>
        <w:szCs w:val="24"/>
      </w:rPr>
    </w:pPr>
    <w:r w:rsidRPr="00E1074A">
      <w:rPr>
        <w:sz w:val="24"/>
        <w:szCs w:val="24"/>
      </w:rPr>
      <w:fldChar w:fldCharType="begin"/>
    </w:r>
    <w:r w:rsidRPr="00E1074A">
      <w:rPr>
        <w:sz w:val="24"/>
        <w:szCs w:val="24"/>
      </w:rPr>
      <w:instrText xml:space="preserve"> PAGE   \* MERGEFORMAT </w:instrText>
    </w:r>
    <w:r w:rsidRPr="00E1074A">
      <w:rPr>
        <w:sz w:val="24"/>
        <w:szCs w:val="24"/>
      </w:rPr>
      <w:fldChar w:fldCharType="separate"/>
    </w:r>
    <w:r w:rsidR="00E642BF">
      <w:rPr>
        <w:noProof/>
        <w:sz w:val="24"/>
        <w:szCs w:val="24"/>
      </w:rPr>
      <w:t>54</w:t>
    </w:r>
    <w:r w:rsidRPr="00E1074A">
      <w:rPr>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A73" w:rsidRDefault="006C3A73">
      <w:r>
        <w:separator/>
      </w:r>
    </w:p>
  </w:footnote>
  <w:footnote w:type="continuationSeparator" w:id="0">
    <w:p w:rsidR="006C3A73" w:rsidRDefault="006C3A73">
      <w:r>
        <w:continuationSeparator/>
      </w:r>
    </w:p>
  </w:footnote>
  <w:footnote w:id="1">
    <w:p w:rsidR="005F35C7" w:rsidRDefault="005F35C7" w:rsidP="00AD0292">
      <w:pPr>
        <w:pStyle w:val="FootnoteText"/>
      </w:pPr>
      <w:r>
        <w:rPr>
          <w:rStyle w:val="FootnoteReference"/>
        </w:rPr>
        <w:footnoteRef/>
      </w:r>
      <w:r>
        <w:t xml:space="preserve"> </w:t>
      </w:r>
      <w:r w:rsidRPr="001326FB">
        <w:t>As discussed in text, no increased labor burdens; marginal O&amp;M cost increases only.</w:t>
      </w:r>
    </w:p>
  </w:footnote>
  <w:footnote w:id="2">
    <w:p w:rsidR="005F35C7" w:rsidRPr="006A7C21" w:rsidRDefault="005F35C7" w:rsidP="00AD0292">
      <w:pPr>
        <w:keepNext/>
        <w:widowControl/>
        <w:numPr>
          <w:ilvl w:val="12"/>
          <w:numId w:val="0"/>
        </w:numPr>
      </w:pPr>
      <w:r>
        <w:rPr>
          <w:rStyle w:val="FootnoteReference"/>
        </w:rPr>
        <w:footnoteRef/>
      </w:r>
      <w:r>
        <w:t xml:space="preserve"> To calculate the number of units required to perform a DAHS upgrade, it was assumed that 80% of applicable CEMS units would be covered by an existing service contract and not subject to the annualized $1500 fee.</w:t>
      </w:r>
    </w:p>
    <w:p w:rsidR="005F35C7" w:rsidRDefault="005F35C7" w:rsidP="00AD0292">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C7" w:rsidRPr="00562093" w:rsidRDefault="005F35C7" w:rsidP="00562093">
    <w:pPr>
      <w:pStyle w:val="Header"/>
      <w:jc w:val="right"/>
      <w:rPr>
        <w:sz w:val="24"/>
        <w:szCs w:val="24"/>
      </w:rPr>
    </w:pPr>
    <w:r w:rsidRPr="00562093">
      <w:rPr>
        <w:sz w:val="24"/>
        <w:szCs w:val="24"/>
      </w:rPr>
      <w:t>DRAFT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C7" w:rsidRDefault="005F35C7" w:rsidP="009D592C">
    <w:pPr>
      <w:pStyle w:val="Header"/>
      <w:tabs>
        <w:tab w:val="left" w:pos="9270"/>
      </w:tabs>
      <w:jc w:val="right"/>
      <w:rPr>
        <w:sz w:val="24"/>
        <w:szCs w:val="24"/>
      </w:rPr>
    </w:pPr>
    <w:r>
      <w:rPr>
        <w:sz w:val="24"/>
        <w:szCs w:val="24"/>
      </w:rPr>
      <w:t>October 4, 2012</w:t>
    </w:r>
  </w:p>
  <w:p w:rsidR="005F35C7" w:rsidRPr="00562093" w:rsidRDefault="005F35C7" w:rsidP="00DA355B">
    <w:pPr>
      <w:pStyle w:val="Header"/>
      <w:tabs>
        <w:tab w:val="left" w:pos="9270"/>
      </w:tabs>
      <w:ind w:left="9540"/>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C7" w:rsidRPr="00DA355B" w:rsidRDefault="005F35C7" w:rsidP="00DA355B">
    <w:pPr>
      <w:pStyle w:val="Header"/>
      <w:jc w:val="right"/>
      <w:rPr>
        <w:sz w:val="24"/>
        <w:szCs w:val="24"/>
      </w:rPr>
    </w:pPr>
    <w:r>
      <w:rPr>
        <w:sz w:val="24"/>
        <w:szCs w:val="24"/>
      </w:rPr>
      <w:t>October 4, 2012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C7" w:rsidRDefault="005F35C7" w:rsidP="009D592C">
    <w:pPr>
      <w:jc w:val="right"/>
      <w:rPr>
        <w:sz w:val="24"/>
        <w:szCs w:val="24"/>
      </w:rPr>
    </w:pPr>
    <w:r>
      <w:rPr>
        <w:sz w:val="24"/>
        <w:szCs w:val="24"/>
      </w:rPr>
      <w:t>October 4, 2012</w:t>
    </w:r>
  </w:p>
  <w:p w:rsidR="005F35C7" w:rsidRDefault="005F35C7" w:rsidP="00E13E45">
    <w:pPr>
      <w:ind w:left="10530"/>
      <w:rPr>
        <w:sz w:val="24"/>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C7" w:rsidRDefault="005F35C7" w:rsidP="009D592C">
    <w:pPr>
      <w:jc w:val="right"/>
      <w:rPr>
        <w:sz w:val="24"/>
        <w:szCs w:val="24"/>
      </w:rPr>
    </w:pPr>
    <w:r>
      <w:rPr>
        <w:sz w:val="24"/>
        <w:szCs w:val="24"/>
      </w:rPr>
      <w:t>October 4, 2012</w:t>
    </w:r>
  </w:p>
  <w:p w:rsidR="005F35C7" w:rsidRDefault="005F35C7" w:rsidP="00E13E45">
    <w:pPr>
      <w:ind w:left="9540"/>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3" type="#_x0000_t75" style="width:3in;height:3in" o:bullet="t"/>
    </w:pict>
  </w:numPicBullet>
  <w:numPicBullet w:numPicBulletId="1">
    <w:pict>
      <v:shape id="_x0000_i1534" type="#_x0000_t75" style="width:3in;height:3in" o:bullet="t"/>
    </w:pict>
  </w:numPicBullet>
  <w:numPicBullet w:numPicBulletId="2">
    <w:pict>
      <v:shape id="_x0000_i1535" type="#_x0000_t75" style="width:3in;height:3in" o:bullet="t"/>
    </w:pict>
  </w:numPicBullet>
  <w:numPicBullet w:numPicBulletId="3">
    <w:pict>
      <v:shape id="_x0000_i1536" type="#_x0000_t75" style="width:3in;height:3in" o:bullet="t"/>
    </w:pict>
  </w:numPicBullet>
  <w:numPicBullet w:numPicBulletId="4">
    <w:pict>
      <v:shape id="_x0000_i1537" type="#_x0000_t75" style="width:3in;height:3in" o:bullet="t"/>
    </w:pict>
  </w:numPicBullet>
  <w:numPicBullet w:numPicBulletId="5">
    <w:pict>
      <v:shape id="_x0000_i1538" type="#_x0000_t75" style="width:3in;height:3in" o:bullet="t"/>
    </w:pict>
  </w:numPicBullet>
  <w:numPicBullet w:numPicBulletId="6">
    <w:pict>
      <v:shape id="_x0000_i1539" type="#_x0000_t75" style="width:3in;height:3in" o:bullet="t"/>
    </w:pict>
  </w:numPicBullet>
  <w:numPicBullet w:numPicBulletId="7">
    <w:pict>
      <v:shape id="_x0000_i1540" type="#_x0000_t75" style="width:3in;height:3in" o:bullet="t"/>
    </w:pict>
  </w:numPicBullet>
  <w:numPicBullet w:numPicBulletId="8">
    <w:pict>
      <v:shape id="_x0000_i1541" type="#_x0000_t75" style="width:3in;height:3in" o:bullet="t"/>
    </w:pict>
  </w:numPicBullet>
  <w:numPicBullet w:numPicBulletId="9">
    <w:pict>
      <v:shape id="_x0000_i1542" type="#_x0000_t75" style="width:3in;height:3in" o:bullet="t"/>
    </w:pict>
  </w:numPicBullet>
  <w:numPicBullet w:numPicBulletId="10">
    <w:pict>
      <v:shape id="_x0000_i1543" type="#_x0000_t75" style="width:3in;height:3in" o:bullet="t"/>
    </w:pict>
  </w:numPicBullet>
  <w:numPicBullet w:numPicBulletId="11">
    <w:pict>
      <v:shape id="_x0000_i1544" type="#_x0000_t75" style="width:3in;height:3in" o:bullet="t"/>
    </w:pict>
  </w:numPicBullet>
  <w:numPicBullet w:numPicBulletId="12">
    <w:pict>
      <v:shape id="_x0000_i1545" type="#_x0000_t75" style="width:3in;height:3in" o:bullet="t"/>
    </w:pict>
  </w:numPicBullet>
  <w:numPicBullet w:numPicBulletId="13">
    <w:pict>
      <v:shape id="_x0000_i1546" type="#_x0000_t75" style="width:3in;height:3in" o:bullet="t"/>
    </w:pict>
  </w:numPicBullet>
  <w:numPicBullet w:numPicBulletId="14">
    <w:pict>
      <v:shape id="_x0000_i1547" type="#_x0000_t75" style="width:3in;height:3in" o:bullet="t"/>
    </w:pict>
  </w:numPicBullet>
  <w:numPicBullet w:numPicBulletId="15">
    <w:pict>
      <v:shape id="_x0000_i1548" type="#_x0000_t75" style="width:3in;height:3in" o:bullet="t"/>
    </w:pict>
  </w:numPicBullet>
  <w:numPicBullet w:numPicBulletId="16">
    <w:pict>
      <v:shape id="_x0000_i1549" type="#_x0000_t75" style="width:3in;height:3in" o:bullet="t"/>
    </w:pict>
  </w:numPicBullet>
  <w:numPicBullet w:numPicBulletId="17">
    <w:pict>
      <v:shape id="_x0000_i1550" type="#_x0000_t75" style="width:3in;height:3in" o:bullet="t"/>
    </w:pict>
  </w:numPicBullet>
  <w:numPicBullet w:numPicBulletId="18">
    <w:pict>
      <v:shape id="_x0000_i1551" type="#_x0000_t75" style="width:3in;height:3in" o:bullet="t"/>
    </w:pict>
  </w:numPicBullet>
  <w:numPicBullet w:numPicBulletId="19">
    <w:pict>
      <v:shape id="_x0000_i1552" type="#_x0000_t75" style="width:3in;height:3in" o:bullet="t"/>
    </w:pict>
  </w:numPicBullet>
  <w:numPicBullet w:numPicBulletId="20">
    <w:pict>
      <v:shape id="_x0000_i1553" type="#_x0000_t75" style="width:3in;height:3in" o:bullet="t"/>
    </w:pict>
  </w:numPicBullet>
  <w:numPicBullet w:numPicBulletId="21">
    <w:pict>
      <v:shape id="_x0000_i1554" type="#_x0000_t75" style="width:3in;height:3in" o:bullet="t"/>
    </w:pict>
  </w:numPicBullet>
  <w:numPicBullet w:numPicBulletId="22">
    <w:pict>
      <v:shape id="_x0000_i1555" type="#_x0000_t75" style="width:3in;height:3in" o:bullet="t"/>
    </w:pict>
  </w:numPicBullet>
  <w:numPicBullet w:numPicBulletId="23">
    <w:pict>
      <v:shape id="_x0000_i1556" type="#_x0000_t75" style="width:3in;height:3in" o:bullet="t"/>
    </w:pict>
  </w:numPicBullet>
  <w:numPicBullet w:numPicBulletId="24">
    <w:pict>
      <v:shape id="_x0000_i1557" type="#_x0000_t75" style="width:3in;height:3in" o:bullet="t"/>
    </w:pict>
  </w:numPicBullet>
  <w:numPicBullet w:numPicBulletId="25">
    <w:pict>
      <v:shape id="_x0000_i1558" type="#_x0000_t75" style="width:3in;height:3in" o:bullet="t"/>
    </w:pict>
  </w:numPicBullet>
  <w:numPicBullet w:numPicBulletId="26">
    <w:pict>
      <v:shape id="_x0000_i1559" type="#_x0000_t75" style="width:3in;height:3in" o:bullet="t"/>
    </w:pict>
  </w:numPicBullet>
  <w:numPicBullet w:numPicBulletId="27">
    <w:pict>
      <v:shape id="_x0000_i1560" type="#_x0000_t75" style="width:3in;height:3in" o:bullet="t"/>
    </w:pict>
  </w:numPicBullet>
  <w:numPicBullet w:numPicBulletId="28">
    <w:pict>
      <v:shape id="_x0000_i1561" type="#_x0000_t75" style="width:3in;height:3in" o:bullet="t"/>
    </w:pict>
  </w:numPicBullet>
  <w:numPicBullet w:numPicBulletId="29">
    <w:pict>
      <v:shape id="_x0000_i1562" type="#_x0000_t75" style="width:3in;height:3in" o:bullet="t"/>
    </w:pict>
  </w:numPicBullet>
  <w:numPicBullet w:numPicBulletId="30">
    <w:pict>
      <v:shape id="_x0000_i1563" type="#_x0000_t75" style="width:3in;height:3in" o:bullet="t"/>
    </w:pict>
  </w:numPicBullet>
  <w:numPicBullet w:numPicBulletId="31">
    <w:pict>
      <v:shape id="_x0000_i1564" type="#_x0000_t75" style="width:3in;height:3in" o:bullet="t"/>
    </w:pict>
  </w:numPicBullet>
  <w:numPicBullet w:numPicBulletId="32">
    <w:pict>
      <v:shape id="_x0000_i1565" type="#_x0000_t75" style="width:3in;height:3in" o:bullet="t"/>
    </w:pict>
  </w:numPicBullet>
  <w:numPicBullet w:numPicBulletId="33">
    <w:pict>
      <v:shape id="_x0000_i1566" type="#_x0000_t75" style="width:3in;height:3in" o:bullet="t"/>
    </w:pict>
  </w:numPicBullet>
  <w:numPicBullet w:numPicBulletId="34">
    <w:pict>
      <v:shape id="_x0000_i1567" type="#_x0000_t75" style="width:3in;height:3in" o:bullet="t"/>
    </w:pict>
  </w:numPicBullet>
  <w:numPicBullet w:numPicBulletId="35">
    <w:pict>
      <v:shape id="_x0000_i1568" type="#_x0000_t75" style="width:3in;height:3in" o:bullet="t"/>
    </w:pict>
  </w:numPicBullet>
  <w:numPicBullet w:numPicBulletId="36">
    <w:pict>
      <v:shape id="_x0000_i1569" type="#_x0000_t75" style="width:3in;height:3in" o:bullet="t"/>
    </w:pict>
  </w:numPicBullet>
  <w:numPicBullet w:numPicBulletId="37">
    <w:pict>
      <v:shape id="_x0000_i1570" type="#_x0000_t75" style="width:3in;height:3in" o:bullet="t"/>
    </w:pict>
  </w:numPicBullet>
  <w:numPicBullet w:numPicBulletId="38">
    <w:pict>
      <v:shape id="_x0000_i1571" type="#_x0000_t75" style="width:3in;height:3in" o:bullet="t"/>
    </w:pict>
  </w:numPicBullet>
  <w:abstractNum w:abstractNumId="0">
    <w:nsid w:val="FFFFFFFE"/>
    <w:multiLevelType w:val="singleLevel"/>
    <w:tmpl w:val="81B4434A"/>
    <w:lvl w:ilvl="0">
      <w:numFmt w:val="bullet"/>
      <w:lvlText w:val="*"/>
      <w:lvlJc w:val="left"/>
    </w:lvl>
  </w:abstractNum>
  <w:abstractNum w:abstractNumId="1">
    <w:nsid w:val="004333D0"/>
    <w:multiLevelType w:val="multilevel"/>
    <w:tmpl w:val="E36C2836"/>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7167B1"/>
    <w:multiLevelType w:val="multilevel"/>
    <w:tmpl w:val="8786B380"/>
    <w:lvl w:ilvl="0">
      <w:start w:val="6"/>
      <w:numFmt w:val="decimal"/>
      <w:lvlText w:val="%1"/>
      <w:lvlJc w:val="left"/>
      <w:pPr>
        <w:tabs>
          <w:tab w:val="num" w:pos="600"/>
        </w:tabs>
        <w:ind w:left="600" w:hanging="600"/>
      </w:pPr>
      <w:rPr>
        <w:rFonts w:hint="default"/>
      </w:rPr>
    </w:lvl>
    <w:lvl w:ilvl="1">
      <w:start w:val="3"/>
      <w:numFmt w:val="decimal"/>
      <w:lvlText w:val="%1.%2"/>
      <w:lvlJc w:val="left"/>
      <w:pPr>
        <w:tabs>
          <w:tab w:val="num" w:pos="960"/>
        </w:tabs>
        <w:ind w:left="960" w:hanging="60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EE75A0E"/>
    <w:multiLevelType w:val="hybridMultilevel"/>
    <w:tmpl w:val="4CE0A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D94AF9"/>
    <w:multiLevelType w:val="multilevel"/>
    <w:tmpl w:val="FBF46ACC"/>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43500B"/>
    <w:multiLevelType w:val="multilevel"/>
    <w:tmpl w:val="04767AEE"/>
    <w:lvl w:ilvl="0">
      <w:start w:val="1"/>
      <w:numFmt w:val="bullet"/>
      <w:lvlText w:val=""/>
      <w:lvlPicBulletId w:val="18"/>
      <w:lvlJc w:val="left"/>
      <w:pPr>
        <w:tabs>
          <w:tab w:val="num" w:pos="720"/>
        </w:tabs>
        <w:ind w:left="720" w:hanging="360"/>
      </w:pPr>
      <w:rPr>
        <w:rFonts w:ascii="Symbol" w:hAnsi="Symbol" w:hint="default"/>
        <w:sz w:val="20"/>
      </w:rPr>
    </w:lvl>
    <w:lvl w:ilvl="1" w:tentative="1">
      <w:start w:val="1"/>
      <w:numFmt w:val="bullet"/>
      <w:lvlText w:val="o"/>
      <w:lvlPicBulletId w:val="19"/>
      <w:lvlJc w:val="left"/>
      <w:pPr>
        <w:tabs>
          <w:tab w:val="num" w:pos="1440"/>
        </w:tabs>
        <w:ind w:left="1440" w:hanging="360"/>
      </w:pPr>
      <w:rPr>
        <w:rFonts w:ascii="Courier New" w:hAnsi="Courier New" w:hint="default"/>
        <w:sz w:val="20"/>
      </w:rPr>
    </w:lvl>
    <w:lvl w:ilvl="2" w:tentative="1">
      <w:start w:val="1"/>
      <w:numFmt w:val="bullet"/>
      <w:lvlText w:val=""/>
      <w:lvlPicBulletId w:val="2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B66423"/>
    <w:multiLevelType w:val="multilevel"/>
    <w:tmpl w:val="BCA455B4"/>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68C59E7"/>
    <w:multiLevelType w:val="multilevel"/>
    <w:tmpl w:val="957C23A0"/>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CF259A"/>
    <w:multiLevelType w:val="multilevel"/>
    <w:tmpl w:val="64102BD8"/>
    <w:lvl w:ilvl="0">
      <w:start w:val="1"/>
      <w:numFmt w:val="bullet"/>
      <w:lvlText w:val=""/>
      <w:lvlPicBulletId w:val="36"/>
      <w:lvlJc w:val="left"/>
      <w:pPr>
        <w:tabs>
          <w:tab w:val="num" w:pos="720"/>
        </w:tabs>
        <w:ind w:left="720" w:hanging="360"/>
      </w:pPr>
      <w:rPr>
        <w:rFonts w:ascii="Symbol" w:hAnsi="Symbol" w:hint="default"/>
        <w:sz w:val="20"/>
      </w:rPr>
    </w:lvl>
    <w:lvl w:ilvl="1" w:tentative="1">
      <w:start w:val="1"/>
      <w:numFmt w:val="bullet"/>
      <w:lvlText w:val="o"/>
      <w:lvlPicBulletId w:val="37"/>
      <w:lvlJc w:val="left"/>
      <w:pPr>
        <w:tabs>
          <w:tab w:val="num" w:pos="1440"/>
        </w:tabs>
        <w:ind w:left="1440" w:hanging="360"/>
      </w:pPr>
      <w:rPr>
        <w:rFonts w:ascii="Courier New" w:hAnsi="Courier New" w:hint="default"/>
        <w:sz w:val="20"/>
      </w:rPr>
    </w:lvl>
    <w:lvl w:ilvl="2" w:tentative="1">
      <w:start w:val="1"/>
      <w:numFmt w:val="bullet"/>
      <w:lvlText w:val=""/>
      <w:lvlPicBulletId w:val="3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A82773"/>
    <w:multiLevelType w:val="multilevel"/>
    <w:tmpl w:val="598CD4CE"/>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PicBulletId w:val="1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020437"/>
    <w:multiLevelType w:val="multilevel"/>
    <w:tmpl w:val="D4185CE8"/>
    <w:lvl w:ilvl="0">
      <w:start w:val="1"/>
      <w:numFmt w:val="bullet"/>
      <w:lvlText w:val=""/>
      <w:lvlPicBulletId w:val="30"/>
      <w:lvlJc w:val="left"/>
      <w:pPr>
        <w:tabs>
          <w:tab w:val="num" w:pos="720"/>
        </w:tabs>
        <w:ind w:left="720" w:hanging="360"/>
      </w:pPr>
      <w:rPr>
        <w:rFonts w:ascii="Symbol" w:hAnsi="Symbol" w:hint="default"/>
        <w:sz w:val="20"/>
      </w:rPr>
    </w:lvl>
    <w:lvl w:ilvl="1" w:tentative="1">
      <w:start w:val="1"/>
      <w:numFmt w:val="bullet"/>
      <w:lvlText w:val="o"/>
      <w:lvlPicBulletId w:val="31"/>
      <w:lvlJc w:val="left"/>
      <w:pPr>
        <w:tabs>
          <w:tab w:val="num" w:pos="1440"/>
        </w:tabs>
        <w:ind w:left="1440" w:hanging="360"/>
      </w:pPr>
      <w:rPr>
        <w:rFonts w:ascii="Courier New" w:hAnsi="Courier New" w:hint="default"/>
        <w:sz w:val="20"/>
      </w:rPr>
    </w:lvl>
    <w:lvl w:ilvl="2" w:tentative="1">
      <w:start w:val="1"/>
      <w:numFmt w:val="bullet"/>
      <w:lvlText w:val=""/>
      <w:lvlPicBulletId w:val="3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F42152"/>
    <w:multiLevelType w:val="multilevel"/>
    <w:tmpl w:val="FABCA496"/>
    <w:lvl w:ilvl="0">
      <w:start w:val="1"/>
      <w:numFmt w:val="bullet"/>
      <w:lvlText w:val=""/>
      <w:lvlPicBulletId w:val="21"/>
      <w:lvlJc w:val="left"/>
      <w:pPr>
        <w:tabs>
          <w:tab w:val="num" w:pos="720"/>
        </w:tabs>
        <w:ind w:left="720" w:hanging="360"/>
      </w:pPr>
      <w:rPr>
        <w:rFonts w:ascii="Symbol" w:hAnsi="Symbol" w:hint="default"/>
        <w:sz w:val="20"/>
      </w:rPr>
    </w:lvl>
    <w:lvl w:ilvl="1" w:tentative="1">
      <w:start w:val="1"/>
      <w:numFmt w:val="bullet"/>
      <w:lvlText w:val="o"/>
      <w:lvlPicBulletId w:val="22"/>
      <w:lvlJc w:val="left"/>
      <w:pPr>
        <w:tabs>
          <w:tab w:val="num" w:pos="1440"/>
        </w:tabs>
        <w:ind w:left="1440" w:hanging="360"/>
      </w:pPr>
      <w:rPr>
        <w:rFonts w:ascii="Courier New" w:hAnsi="Courier New" w:hint="default"/>
        <w:sz w:val="20"/>
      </w:rPr>
    </w:lvl>
    <w:lvl w:ilvl="2" w:tentative="1">
      <w:start w:val="1"/>
      <w:numFmt w:val="bullet"/>
      <w:lvlText w:val=""/>
      <w:lvlPicBulletId w:val="2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A81EDF"/>
    <w:multiLevelType w:val="multilevel"/>
    <w:tmpl w:val="106A0EF2"/>
    <w:lvl w:ilvl="0">
      <w:start w:val="1"/>
      <w:numFmt w:val="bullet"/>
      <w:lvlText w:val=""/>
      <w:lvlPicBulletId w:val="24"/>
      <w:lvlJc w:val="left"/>
      <w:pPr>
        <w:tabs>
          <w:tab w:val="num" w:pos="720"/>
        </w:tabs>
        <w:ind w:left="720" w:hanging="360"/>
      </w:pPr>
      <w:rPr>
        <w:rFonts w:ascii="Symbol" w:hAnsi="Symbol" w:hint="default"/>
        <w:sz w:val="20"/>
      </w:rPr>
    </w:lvl>
    <w:lvl w:ilvl="1" w:tentative="1">
      <w:start w:val="1"/>
      <w:numFmt w:val="bullet"/>
      <w:lvlText w:val="o"/>
      <w:lvlPicBulletId w:val="25"/>
      <w:lvlJc w:val="left"/>
      <w:pPr>
        <w:tabs>
          <w:tab w:val="num" w:pos="1440"/>
        </w:tabs>
        <w:ind w:left="1440" w:hanging="360"/>
      </w:pPr>
      <w:rPr>
        <w:rFonts w:ascii="Courier New" w:hAnsi="Courier New" w:hint="default"/>
        <w:sz w:val="20"/>
      </w:rPr>
    </w:lvl>
    <w:lvl w:ilvl="2" w:tentative="1">
      <w:start w:val="1"/>
      <w:numFmt w:val="bullet"/>
      <w:lvlText w:val=""/>
      <w:lvlPicBulletId w:val="2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AB5961"/>
    <w:multiLevelType w:val="multilevel"/>
    <w:tmpl w:val="3FBA1468"/>
    <w:lvl w:ilvl="0">
      <w:start w:val="1"/>
      <w:numFmt w:val="bullet"/>
      <w:lvlText w:val=""/>
      <w:lvlPicBulletId w:val="15"/>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PicBulletId w:val="1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D7201A"/>
    <w:multiLevelType w:val="multilevel"/>
    <w:tmpl w:val="80466D54"/>
    <w:lvl w:ilvl="0">
      <w:start w:val="1"/>
      <w:numFmt w:val="bullet"/>
      <w:lvlText w:val=""/>
      <w:lvlPicBulletId w:val="27"/>
      <w:lvlJc w:val="left"/>
      <w:pPr>
        <w:tabs>
          <w:tab w:val="num" w:pos="720"/>
        </w:tabs>
        <w:ind w:left="720" w:hanging="360"/>
      </w:pPr>
      <w:rPr>
        <w:rFonts w:ascii="Symbol" w:hAnsi="Symbol" w:hint="default"/>
        <w:sz w:val="20"/>
      </w:rPr>
    </w:lvl>
    <w:lvl w:ilvl="1" w:tentative="1">
      <w:start w:val="1"/>
      <w:numFmt w:val="bullet"/>
      <w:lvlText w:val="o"/>
      <w:lvlPicBulletId w:val="28"/>
      <w:lvlJc w:val="left"/>
      <w:pPr>
        <w:tabs>
          <w:tab w:val="num" w:pos="1440"/>
        </w:tabs>
        <w:ind w:left="1440" w:hanging="360"/>
      </w:pPr>
      <w:rPr>
        <w:rFonts w:ascii="Courier New" w:hAnsi="Courier New" w:hint="default"/>
        <w:sz w:val="20"/>
      </w:rPr>
    </w:lvl>
    <w:lvl w:ilvl="2" w:tentative="1">
      <w:start w:val="1"/>
      <w:numFmt w:val="bullet"/>
      <w:lvlText w:val=""/>
      <w:lvlPicBulletId w:val="2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F93B2B"/>
    <w:multiLevelType w:val="multilevel"/>
    <w:tmpl w:val="5C0A4DA0"/>
    <w:lvl w:ilvl="0">
      <w:start w:val="1"/>
      <w:numFmt w:val="bullet"/>
      <w:lvlText w:val=""/>
      <w:lvlPicBulletId w:val="33"/>
      <w:lvlJc w:val="left"/>
      <w:pPr>
        <w:tabs>
          <w:tab w:val="num" w:pos="720"/>
        </w:tabs>
        <w:ind w:left="720" w:hanging="360"/>
      </w:pPr>
      <w:rPr>
        <w:rFonts w:ascii="Symbol" w:hAnsi="Symbol" w:hint="default"/>
        <w:sz w:val="20"/>
      </w:rPr>
    </w:lvl>
    <w:lvl w:ilvl="1" w:tentative="1">
      <w:start w:val="1"/>
      <w:numFmt w:val="bullet"/>
      <w:lvlText w:val="o"/>
      <w:lvlPicBulletId w:val="34"/>
      <w:lvlJc w:val="left"/>
      <w:pPr>
        <w:tabs>
          <w:tab w:val="num" w:pos="1440"/>
        </w:tabs>
        <w:ind w:left="1440" w:hanging="360"/>
      </w:pPr>
      <w:rPr>
        <w:rFonts w:ascii="Courier New" w:hAnsi="Courier New" w:hint="default"/>
        <w:sz w:val="20"/>
      </w:rPr>
    </w:lvl>
    <w:lvl w:ilvl="2" w:tentative="1">
      <w:start w:val="1"/>
      <w:numFmt w:val="bullet"/>
      <w:lvlText w:val=""/>
      <w:lvlPicBulletId w:val="3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8C035E"/>
    <w:multiLevelType w:val="multilevel"/>
    <w:tmpl w:val="AE72EA48"/>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
    <w:abstractNumId w:val="6"/>
  </w:num>
  <w:num w:numId="3">
    <w:abstractNumId w:val="2"/>
  </w:num>
  <w:num w:numId="4">
    <w:abstractNumId w:val="4"/>
  </w:num>
  <w:num w:numId="5">
    <w:abstractNumId w:val="7"/>
  </w:num>
  <w:num w:numId="6">
    <w:abstractNumId w:val="1"/>
  </w:num>
  <w:num w:numId="7">
    <w:abstractNumId w:val="16"/>
  </w:num>
  <w:num w:numId="8">
    <w:abstractNumId w:val="9"/>
  </w:num>
  <w:num w:numId="9">
    <w:abstractNumId w:val="13"/>
  </w:num>
  <w:num w:numId="10">
    <w:abstractNumId w:val="5"/>
  </w:num>
  <w:num w:numId="11">
    <w:abstractNumId w:val="11"/>
  </w:num>
  <w:num w:numId="12">
    <w:abstractNumId w:val="12"/>
  </w:num>
  <w:num w:numId="13">
    <w:abstractNumId w:val="14"/>
  </w:num>
  <w:num w:numId="14">
    <w:abstractNumId w:val="10"/>
  </w:num>
  <w:num w:numId="15">
    <w:abstractNumId w:val="15"/>
  </w:num>
  <w:num w:numId="16">
    <w:abstractNumId w:val="8"/>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1"/>
  <w:proofState w:spelling="clean" w:grammar="clean"/>
  <w:stylePaneFormatFilter w:val="3F01"/>
  <w:trackRevisions/>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3074"/>
  </w:hdrShapeDefaults>
  <w:footnotePr>
    <w:footnote w:id="-1"/>
    <w:footnote w:id="0"/>
  </w:footnotePr>
  <w:endnotePr>
    <w:endnote w:id="-1"/>
    <w:endnote w:id="0"/>
  </w:endnotePr>
  <w:compat/>
  <w:rsids>
    <w:rsidRoot w:val="0070789C"/>
    <w:rsid w:val="000018B4"/>
    <w:rsid w:val="00004421"/>
    <w:rsid w:val="00010350"/>
    <w:rsid w:val="00017207"/>
    <w:rsid w:val="0002067E"/>
    <w:rsid w:val="0002747E"/>
    <w:rsid w:val="00037255"/>
    <w:rsid w:val="0005644A"/>
    <w:rsid w:val="00071E6D"/>
    <w:rsid w:val="00076002"/>
    <w:rsid w:val="0009340D"/>
    <w:rsid w:val="00093C0B"/>
    <w:rsid w:val="000A0B62"/>
    <w:rsid w:val="000A6447"/>
    <w:rsid w:val="000B2130"/>
    <w:rsid w:val="000C0149"/>
    <w:rsid w:val="000C0515"/>
    <w:rsid w:val="000E0816"/>
    <w:rsid w:val="000E1060"/>
    <w:rsid w:val="000E2DAE"/>
    <w:rsid w:val="000E313A"/>
    <w:rsid w:val="000E34FE"/>
    <w:rsid w:val="000E3560"/>
    <w:rsid w:val="000E57D3"/>
    <w:rsid w:val="000E73B7"/>
    <w:rsid w:val="000F0C0B"/>
    <w:rsid w:val="00102582"/>
    <w:rsid w:val="0010277E"/>
    <w:rsid w:val="00107E1A"/>
    <w:rsid w:val="00116218"/>
    <w:rsid w:val="00116F90"/>
    <w:rsid w:val="00123953"/>
    <w:rsid w:val="00127B5A"/>
    <w:rsid w:val="00131425"/>
    <w:rsid w:val="00132626"/>
    <w:rsid w:val="00135939"/>
    <w:rsid w:val="0014280A"/>
    <w:rsid w:val="00143886"/>
    <w:rsid w:val="00144B66"/>
    <w:rsid w:val="001509B5"/>
    <w:rsid w:val="00154832"/>
    <w:rsid w:val="001554FE"/>
    <w:rsid w:val="00164A2C"/>
    <w:rsid w:val="00165672"/>
    <w:rsid w:val="00171AAD"/>
    <w:rsid w:val="001832D8"/>
    <w:rsid w:val="001A0465"/>
    <w:rsid w:val="001A0F7F"/>
    <w:rsid w:val="001A76DC"/>
    <w:rsid w:val="001B2B9A"/>
    <w:rsid w:val="001B352F"/>
    <w:rsid w:val="001B42AE"/>
    <w:rsid w:val="001B4A1A"/>
    <w:rsid w:val="001C4F92"/>
    <w:rsid w:val="00203950"/>
    <w:rsid w:val="002069EA"/>
    <w:rsid w:val="00222CED"/>
    <w:rsid w:val="00224C7F"/>
    <w:rsid w:val="00226008"/>
    <w:rsid w:val="00230EE6"/>
    <w:rsid w:val="00236F9E"/>
    <w:rsid w:val="00241F92"/>
    <w:rsid w:val="00257605"/>
    <w:rsid w:val="00257B79"/>
    <w:rsid w:val="0026285A"/>
    <w:rsid w:val="002636A4"/>
    <w:rsid w:val="00281933"/>
    <w:rsid w:val="00285213"/>
    <w:rsid w:val="0029102C"/>
    <w:rsid w:val="002A7376"/>
    <w:rsid w:val="002B1959"/>
    <w:rsid w:val="002B568B"/>
    <w:rsid w:val="002C3DCB"/>
    <w:rsid w:val="002D0CCF"/>
    <w:rsid w:val="002D16CD"/>
    <w:rsid w:val="002D3113"/>
    <w:rsid w:val="002D7426"/>
    <w:rsid w:val="002F073C"/>
    <w:rsid w:val="002F290A"/>
    <w:rsid w:val="003001BB"/>
    <w:rsid w:val="00300B43"/>
    <w:rsid w:val="00302E48"/>
    <w:rsid w:val="00305049"/>
    <w:rsid w:val="0030532C"/>
    <w:rsid w:val="00305644"/>
    <w:rsid w:val="00305CA8"/>
    <w:rsid w:val="003135F7"/>
    <w:rsid w:val="00314957"/>
    <w:rsid w:val="00315964"/>
    <w:rsid w:val="00315B58"/>
    <w:rsid w:val="00316E00"/>
    <w:rsid w:val="00317729"/>
    <w:rsid w:val="003217E3"/>
    <w:rsid w:val="0032369C"/>
    <w:rsid w:val="003437F8"/>
    <w:rsid w:val="0034433D"/>
    <w:rsid w:val="00344FDE"/>
    <w:rsid w:val="00350EA7"/>
    <w:rsid w:val="00351318"/>
    <w:rsid w:val="003536CD"/>
    <w:rsid w:val="00354E42"/>
    <w:rsid w:val="00375F18"/>
    <w:rsid w:val="003770FD"/>
    <w:rsid w:val="0037744A"/>
    <w:rsid w:val="0038150B"/>
    <w:rsid w:val="00383E69"/>
    <w:rsid w:val="0038763D"/>
    <w:rsid w:val="003927FB"/>
    <w:rsid w:val="003A0A93"/>
    <w:rsid w:val="003A45B7"/>
    <w:rsid w:val="003A78BC"/>
    <w:rsid w:val="003B2872"/>
    <w:rsid w:val="003C3361"/>
    <w:rsid w:val="003C34A5"/>
    <w:rsid w:val="003D19C1"/>
    <w:rsid w:val="003D4997"/>
    <w:rsid w:val="003D52A8"/>
    <w:rsid w:val="003D668A"/>
    <w:rsid w:val="003E02E6"/>
    <w:rsid w:val="003E6CAB"/>
    <w:rsid w:val="003E7B3A"/>
    <w:rsid w:val="003F716A"/>
    <w:rsid w:val="00414A9B"/>
    <w:rsid w:val="00415AC3"/>
    <w:rsid w:val="004161CD"/>
    <w:rsid w:val="00416989"/>
    <w:rsid w:val="004202A3"/>
    <w:rsid w:val="00433A55"/>
    <w:rsid w:val="00440894"/>
    <w:rsid w:val="004411DF"/>
    <w:rsid w:val="004418BA"/>
    <w:rsid w:val="00444AA4"/>
    <w:rsid w:val="004452D0"/>
    <w:rsid w:val="00445ABC"/>
    <w:rsid w:val="00455822"/>
    <w:rsid w:val="004705AD"/>
    <w:rsid w:val="00476621"/>
    <w:rsid w:val="00477680"/>
    <w:rsid w:val="00490822"/>
    <w:rsid w:val="00491787"/>
    <w:rsid w:val="00497D1D"/>
    <w:rsid w:val="00497D45"/>
    <w:rsid w:val="004A7BCE"/>
    <w:rsid w:val="004B6593"/>
    <w:rsid w:val="004C090B"/>
    <w:rsid w:val="004D0E89"/>
    <w:rsid w:val="004D1D72"/>
    <w:rsid w:val="004D28EB"/>
    <w:rsid w:val="004D3923"/>
    <w:rsid w:val="004D3A55"/>
    <w:rsid w:val="004D4AB1"/>
    <w:rsid w:val="004E0EE9"/>
    <w:rsid w:val="004E34F6"/>
    <w:rsid w:val="004E4779"/>
    <w:rsid w:val="004F173D"/>
    <w:rsid w:val="004F266D"/>
    <w:rsid w:val="004F5049"/>
    <w:rsid w:val="005013EF"/>
    <w:rsid w:val="00504A31"/>
    <w:rsid w:val="005072AF"/>
    <w:rsid w:val="00510CDF"/>
    <w:rsid w:val="00515443"/>
    <w:rsid w:val="00515EC2"/>
    <w:rsid w:val="00516ABC"/>
    <w:rsid w:val="005301AE"/>
    <w:rsid w:val="00533D55"/>
    <w:rsid w:val="005357D8"/>
    <w:rsid w:val="00540525"/>
    <w:rsid w:val="005454C6"/>
    <w:rsid w:val="005553AC"/>
    <w:rsid w:val="00560B58"/>
    <w:rsid w:val="005615E9"/>
    <w:rsid w:val="00562093"/>
    <w:rsid w:val="00562561"/>
    <w:rsid w:val="005631F1"/>
    <w:rsid w:val="00565D31"/>
    <w:rsid w:val="00572651"/>
    <w:rsid w:val="00574A5A"/>
    <w:rsid w:val="00574C9E"/>
    <w:rsid w:val="00575F9B"/>
    <w:rsid w:val="00581569"/>
    <w:rsid w:val="00585070"/>
    <w:rsid w:val="00585FA5"/>
    <w:rsid w:val="00590400"/>
    <w:rsid w:val="0059272D"/>
    <w:rsid w:val="005A5313"/>
    <w:rsid w:val="005A67EC"/>
    <w:rsid w:val="005B5241"/>
    <w:rsid w:val="005B6C2A"/>
    <w:rsid w:val="005C010E"/>
    <w:rsid w:val="005C19C4"/>
    <w:rsid w:val="005D7A67"/>
    <w:rsid w:val="005F04C7"/>
    <w:rsid w:val="005F2634"/>
    <w:rsid w:val="005F35C7"/>
    <w:rsid w:val="005F3BFB"/>
    <w:rsid w:val="005F7566"/>
    <w:rsid w:val="00600EA6"/>
    <w:rsid w:val="00612A6E"/>
    <w:rsid w:val="00633F80"/>
    <w:rsid w:val="00635FCE"/>
    <w:rsid w:val="0064271D"/>
    <w:rsid w:val="006439F7"/>
    <w:rsid w:val="0065121C"/>
    <w:rsid w:val="00654752"/>
    <w:rsid w:val="00664DA6"/>
    <w:rsid w:val="00674ADB"/>
    <w:rsid w:val="006831BE"/>
    <w:rsid w:val="006837BD"/>
    <w:rsid w:val="00691641"/>
    <w:rsid w:val="006960BA"/>
    <w:rsid w:val="0069706B"/>
    <w:rsid w:val="00697349"/>
    <w:rsid w:val="00697F81"/>
    <w:rsid w:val="006B0BB2"/>
    <w:rsid w:val="006C3A73"/>
    <w:rsid w:val="006C5FA0"/>
    <w:rsid w:val="006C696E"/>
    <w:rsid w:val="006D0BA1"/>
    <w:rsid w:val="006D728F"/>
    <w:rsid w:val="006E0BFE"/>
    <w:rsid w:val="006E338E"/>
    <w:rsid w:val="006E6F66"/>
    <w:rsid w:val="006F10A0"/>
    <w:rsid w:val="006F1BA8"/>
    <w:rsid w:val="006F325A"/>
    <w:rsid w:val="006F4EC3"/>
    <w:rsid w:val="006F6383"/>
    <w:rsid w:val="00703852"/>
    <w:rsid w:val="007060A3"/>
    <w:rsid w:val="0070789C"/>
    <w:rsid w:val="00712474"/>
    <w:rsid w:val="00712E0E"/>
    <w:rsid w:val="007143F8"/>
    <w:rsid w:val="00714E35"/>
    <w:rsid w:val="00721DA2"/>
    <w:rsid w:val="007220ED"/>
    <w:rsid w:val="0072587F"/>
    <w:rsid w:val="00740F42"/>
    <w:rsid w:val="007462AF"/>
    <w:rsid w:val="00747B21"/>
    <w:rsid w:val="00761B59"/>
    <w:rsid w:val="00766028"/>
    <w:rsid w:val="00766D3B"/>
    <w:rsid w:val="00772FAE"/>
    <w:rsid w:val="007906CC"/>
    <w:rsid w:val="00792A9F"/>
    <w:rsid w:val="0079498E"/>
    <w:rsid w:val="00794A6A"/>
    <w:rsid w:val="00795AC3"/>
    <w:rsid w:val="007A47EA"/>
    <w:rsid w:val="007A50F6"/>
    <w:rsid w:val="007A678E"/>
    <w:rsid w:val="007A6807"/>
    <w:rsid w:val="007A73C6"/>
    <w:rsid w:val="007A762A"/>
    <w:rsid w:val="007A7F48"/>
    <w:rsid w:val="007B27C9"/>
    <w:rsid w:val="007B2AB1"/>
    <w:rsid w:val="007B6B18"/>
    <w:rsid w:val="007D31C8"/>
    <w:rsid w:val="007D7084"/>
    <w:rsid w:val="007F06A9"/>
    <w:rsid w:val="007F15F7"/>
    <w:rsid w:val="007F6DB4"/>
    <w:rsid w:val="008064AF"/>
    <w:rsid w:val="00814F12"/>
    <w:rsid w:val="00815563"/>
    <w:rsid w:val="0082014F"/>
    <w:rsid w:val="00820420"/>
    <w:rsid w:val="00830E8D"/>
    <w:rsid w:val="00831A5B"/>
    <w:rsid w:val="00833AE6"/>
    <w:rsid w:val="00837575"/>
    <w:rsid w:val="008405A2"/>
    <w:rsid w:val="008619B5"/>
    <w:rsid w:val="00863F67"/>
    <w:rsid w:val="00867EDC"/>
    <w:rsid w:val="00874F86"/>
    <w:rsid w:val="008813E0"/>
    <w:rsid w:val="00890491"/>
    <w:rsid w:val="0089112E"/>
    <w:rsid w:val="00895D05"/>
    <w:rsid w:val="008A6C6F"/>
    <w:rsid w:val="008A7545"/>
    <w:rsid w:val="008B1264"/>
    <w:rsid w:val="008B4D54"/>
    <w:rsid w:val="008B5097"/>
    <w:rsid w:val="008B6601"/>
    <w:rsid w:val="008C0A74"/>
    <w:rsid w:val="008C12B8"/>
    <w:rsid w:val="008C56DC"/>
    <w:rsid w:val="008D10C9"/>
    <w:rsid w:val="008D72A5"/>
    <w:rsid w:val="008E03A2"/>
    <w:rsid w:val="008E331D"/>
    <w:rsid w:val="008F32BF"/>
    <w:rsid w:val="008F3ACE"/>
    <w:rsid w:val="008F6B8D"/>
    <w:rsid w:val="009030B7"/>
    <w:rsid w:val="00910278"/>
    <w:rsid w:val="00913870"/>
    <w:rsid w:val="00914EB4"/>
    <w:rsid w:val="0091751D"/>
    <w:rsid w:val="00942158"/>
    <w:rsid w:val="00944E8F"/>
    <w:rsid w:val="009525D1"/>
    <w:rsid w:val="00955FBC"/>
    <w:rsid w:val="00957139"/>
    <w:rsid w:val="00964539"/>
    <w:rsid w:val="009836E4"/>
    <w:rsid w:val="009907D5"/>
    <w:rsid w:val="0099414F"/>
    <w:rsid w:val="009A0A0A"/>
    <w:rsid w:val="009A2334"/>
    <w:rsid w:val="009B4831"/>
    <w:rsid w:val="009B6453"/>
    <w:rsid w:val="009D0597"/>
    <w:rsid w:val="009D581C"/>
    <w:rsid w:val="009D592C"/>
    <w:rsid w:val="009D5E20"/>
    <w:rsid w:val="009E5883"/>
    <w:rsid w:val="009F2D6D"/>
    <w:rsid w:val="009F3CFB"/>
    <w:rsid w:val="009F3E85"/>
    <w:rsid w:val="009F3F22"/>
    <w:rsid w:val="00A04BE0"/>
    <w:rsid w:val="00A11360"/>
    <w:rsid w:val="00A11546"/>
    <w:rsid w:val="00A23159"/>
    <w:rsid w:val="00A23394"/>
    <w:rsid w:val="00A2466A"/>
    <w:rsid w:val="00A308F9"/>
    <w:rsid w:val="00A4160A"/>
    <w:rsid w:val="00A45B03"/>
    <w:rsid w:val="00A466D0"/>
    <w:rsid w:val="00A474FF"/>
    <w:rsid w:val="00A55501"/>
    <w:rsid w:val="00A61710"/>
    <w:rsid w:val="00A64839"/>
    <w:rsid w:val="00A6766D"/>
    <w:rsid w:val="00A7139D"/>
    <w:rsid w:val="00A713FE"/>
    <w:rsid w:val="00A72907"/>
    <w:rsid w:val="00A72C70"/>
    <w:rsid w:val="00A74769"/>
    <w:rsid w:val="00A80C8C"/>
    <w:rsid w:val="00A81507"/>
    <w:rsid w:val="00A82B94"/>
    <w:rsid w:val="00A833FD"/>
    <w:rsid w:val="00A8470F"/>
    <w:rsid w:val="00A86DF8"/>
    <w:rsid w:val="00A87594"/>
    <w:rsid w:val="00A90381"/>
    <w:rsid w:val="00A908B3"/>
    <w:rsid w:val="00A96434"/>
    <w:rsid w:val="00AB4259"/>
    <w:rsid w:val="00AB7C19"/>
    <w:rsid w:val="00AC05CB"/>
    <w:rsid w:val="00AD0292"/>
    <w:rsid w:val="00AE0E7F"/>
    <w:rsid w:val="00AE176A"/>
    <w:rsid w:val="00AE66CB"/>
    <w:rsid w:val="00AF0C5A"/>
    <w:rsid w:val="00AF2C63"/>
    <w:rsid w:val="00AF74C8"/>
    <w:rsid w:val="00B064AB"/>
    <w:rsid w:val="00B07325"/>
    <w:rsid w:val="00B13CAD"/>
    <w:rsid w:val="00B21EC7"/>
    <w:rsid w:val="00B2271D"/>
    <w:rsid w:val="00B22C20"/>
    <w:rsid w:val="00B25B7B"/>
    <w:rsid w:val="00B315F5"/>
    <w:rsid w:val="00B31B77"/>
    <w:rsid w:val="00B37257"/>
    <w:rsid w:val="00B44BE7"/>
    <w:rsid w:val="00B457AE"/>
    <w:rsid w:val="00B50B78"/>
    <w:rsid w:val="00B52DB2"/>
    <w:rsid w:val="00B53071"/>
    <w:rsid w:val="00B53A3F"/>
    <w:rsid w:val="00B60583"/>
    <w:rsid w:val="00B62949"/>
    <w:rsid w:val="00B63804"/>
    <w:rsid w:val="00B671E2"/>
    <w:rsid w:val="00B677AF"/>
    <w:rsid w:val="00B72669"/>
    <w:rsid w:val="00B729E7"/>
    <w:rsid w:val="00B81DB4"/>
    <w:rsid w:val="00B82D8E"/>
    <w:rsid w:val="00B8725A"/>
    <w:rsid w:val="00B94998"/>
    <w:rsid w:val="00B95545"/>
    <w:rsid w:val="00B97D76"/>
    <w:rsid w:val="00BA091F"/>
    <w:rsid w:val="00BD199C"/>
    <w:rsid w:val="00BD4809"/>
    <w:rsid w:val="00BD5E09"/>
    <w:rsid w:val="00BE0674"/>
    <w:rsid w:val="00BE0C20"/>
    <w:rsid w:val="00BE22E8"/>
    <w:rsid w:val="00BE337B"/>
    <w:rsid w:val="00C017AD"/>
    <w:rsid w:val="00C02836"/>
    <w:rsid w:val="00C0543B"/>
    <w:rsid w:val="00C07B02"/>
    <w:rsid w:val="00C17FC3"/>
    <w:rsid w:val="00C26A0D"/>
    <w:rsid w:val="00C26EE4"/>
    <w:rsid w:val="00C42B86"/>
    <w:rsid w:val="00C47DBD"/>
    <w:rsid w:val="00C5261B"/>
    <w:rsid w:val="00C62D56"/>
    <w:rsid w:val="00C6351C"/>
    <w:rsid w:val="00C91D67"/>
    <w:rsid w:val="00C935BE"/>
    <w:rsid w:val="00C94A67"/>
    <w:rsid w:val="00C94DD2"/>
    <w:rsid w:val="00C978C3"/>
    <w:rsid w:val="00CA0DEA"/>
    <w:rsid w:val="00CB0349"/>
    <w:rsid w:val="00CB54A2"/>
    <w:rsid w:val="00CC4C51"/>
    <w:rsid w:val="00CD25E9"/>
    <w:rsid w:val="00CD5F88"/>
    <w:rsid w:val="00CD7372"/>
    <w:rsid w:val="00CE3ABF"/>
    <w:rsid w:val="00CE5AC9"/>
    <w:rsid w:val="00CE5D4E"/>
    <w:rsid w:val="00CF6735"/>
    <w:rsid w:val="00D00509"/>
    <w:rsid w:val="00D0145C"/>
    <w:rsid w:val="00D0267A"/>
    <w:rsid w:val="00D04138"/>
    <w:rsid w:val="00D04DE8"/>
    <w:rsid w:val="00D06A4F"/>
    <w:rsid w:val="00D1429A"/>
    <w:rsid w:val="00D16438"/>
    <w:rsid w:val="00D23FB8"/>
    <w:rsid w:val="00D370F2"/>
    <w:rsid w:val="00D37C1D"/>
    <w:rsid w:val="00D66F11"/>
    <w:rsid w:val="00D7028D"/>
    <w:rsid w:val="00D751D7"/>
    <w:rsid w:val="00D7687E"/>
    <w:rsid w:val="00D827BE"/>
    <w:rsid w:val="00D86C21"/>
    <w:rsid w:val="00D90534"/>
    <w:rsid w:val="00D90847"/>
    <w:rsid w:val="00D92F39"/>
    <w:rsid w:val="00D93549"/>
    <w:rsid w:val="00D96F47"/>
    <w:rsid w:val="00DA355B"/>
    <w:rsid w:val="00DA534F"/>
    <w:rsid w:val="00DA6A47"/>
    <w:rsid w:val="00DB3745"/>
    <w:rsid w:val="00DB5D8B"/>
    <w:rsid w:val="00DC2B42"/>
    <w:rsid w:val="00DC632A"/>
    <w:rsid w:val="00DD0BDD"/>
    <w:rsid w:val="00DD4E47"/>
    <w:rsid w:val="00DD7264"/>
    <w:rsid w:val="00DD7EE8"/>
    <w:rsid w:val="00DE2498"/>
    <w:rsid w:val="00DE2639"/>
    <w:rsid w:val="00DE4E28"/>
    <w:rsid w:val="00DF2AB5"/>
    <w:rsid w:val="00DF4498"/>
    <w:rsid w:val="00DF6534"/>
    <w:rsid w:val="00E016AA"/>
    <w:rsid w:val="00E04211"/>
    <w:rsid w:val="00E1074A"/>
    <w:rsid w:val="00E13E45"/>
    <w:rsid w:val="00E25569"/>
    <w:rsid w:val="00E309E8"/>
    <w:rsid w:val="00E32593"/>
    <w:rsid w:val="00E3479B"/>
    <w:rsid w:val="00E347D3"/>
    <w:rsid w:val="00E35359"/>
    <w:rsid w:val="00E51311"/>
    <w:rsid w:val="00E63842"/>
    <w:rsid w:val="00E642BF"/>
    <w:rsid w:val="00E67CC6"/>
    <w:rsid w:val="00E712E5"/>
    <w:rsid w:val="00E714D9"/>
    <w:rsid w:val="00E83D6D"/>
    <w:rsid w:val="00E84628"/>
    <w:rsid w:val="00E86F3D"/>
    <w:rsid w:val="00E90E93"/>
    <w:rsid w:val="00E97402"/>
    <w:rsid w:val="00EB3CAB"/>
    <w:rsid w:val="00EB4C93"/>
    <w:rsid w:val="00EC0AAD"/>
    <w:rsid w:val="00ED471F"/>
    <w:rsid w:val="00ED615C"/>
    <w:rsid w:val="00EE4B14"/>
    <w:rsid w:val="00EE6A34"/>
    <w:rsid w:val="00EF1CAE"/>
    <w:rsid w:val="00EF61F0"/>
    <w:rsid w:val="00F15243"/>
    <w:rsid w:val="00F24911"/>
    <w:rsid w:val="00F31106"/>
    <w:rsid w:val="00F34A1B"/>
    <w:rsid w:val="00F3659C"/>
    <w:rsid w:val="00F4206D"/>
    <w:rsid w:val="00F45C66"/>
    <w:rsid w:val="00F46B7D"/>
    <w:rsid w:val="00F5162C"/>
    <w:rsid w:val="00F518C1"/>
    <w:rsid w:val="00F53D0F"/>
    <w:rsid w:val="00F61FF5"/>
    <w:rsid w:val="00F67757"/>
    <w:rsid w:val="00F7117F"/>
    <w:rsid w:val="00F75930"/>
    <w:rsid w:val="00F9713F"/>
    <w:rsid w:val="00FA1197"/>
    <w:rsid w:val="00FA2173"/>
    <w:rsid w:val="00FA66A8"/>
    <w:rsid w:val="00FB3BED"/>
    <w:rsid w:val="00FB4BB1"/>
    <w:rsid w:val="00FB50AB"/>
    <w:rsid w:val="00FC306B"/>
    <w:rsid w:val="00FD01D2"/>
    <w:rsid w:val="00FD06DA"/>
    <w:rsid w:val="00FD1527"/>
    <w:rsid w:val="00FE3EEE"/>
    <w:rsid w:val="00FE62C0"/>
    <w:rsid w:val="00FE6DDC"/>
    <w:rsid w:val="00FF3FE6"/>
    <w:rsid w:val="00FF4419"/>
    <w:rsid w:val="00FF448E"/>
    <w:rsid w:val="00FF5E05"/>
    <w:rsid w:val="00FF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reet"/>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117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F7117F"/>
    <w:pPr>
      <w:widowControl w:val="0"/>
      <w:autoSpaceDE w:val="0"/>
      <w:autoSpaceDN w:val="0"/>
      <w:adjustRightInd w:val="0"/>
      <w:ind w:left="720"/>
      <w:jc w:val="both"/>
    </w:pPr>
    <w:rPr>
      <w:sz w:val="24"/>
      <w:szCs w:val="24"/>
    </w:rPr>
  </w:style>
  <w:style w:type="paragraph" w:customStyle="1" w:styleId="26">
    <w:name w:val="_26"/>
    <w:rsid w:val="00F7117F"/>
    <w:pPr>
      <w:widowControl w:val="0"/>
      <w:autoSpaceDE w:val="0"/>
      <w:autoSpaceDN w:val="0"/>
      <w:adjustRightInd w:val="0"/>
      <w:jc w:val="both"/>
    </w:pPr>
    <w:rPr>
      <w:sz w:val="24"/>
      <w:szCs w:val="24"/>
    </w:rPr>
  </w:style>
  <w:style w:type="paragraph" w:customStyle="1" w:styleId="25">
    <w:name w:val="_25"/>
    <w:rsid w:val="00F7117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24">
    <w:name w:val="_24"/>
    <w:rsid w:val="00F7117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23">
    <w:name w:val="_23"/>
    <w:rsid w:val="00F7117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22">
    <w:name w:val="_22"/>
    <w:rsid w:val="00F7117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21">
    <w:name w:val="_21"/>
    <w:rsid w:val="00F7117F"/>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0">
    <w:name w:val="_20"/>
    <w:rsid w:val="00F7117F"/>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9">
    <w:name w:val="_19"/>
    <w:rsid w:val="00F7117F"/>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18">
    <w:name w:val="_18"/>
    <w:rsid w:val="00F7117F"/>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17">
    <w:name w:val="_17"/>
    <w:rsid w:val="00F711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16">
    <w:name w:val="_16"/>
    <w:rsid w:val="00F7117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15">
    <w:name w:val="_15"/>
    <w:rsid w:val="00F7117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14">
    <w:name w:val="_14"/>
    <w:rsid w:val="00F7117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13">
    <w:name w:val="_13"/>
    <w:rsid w:val="00F7117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12">
    <w:name w:val="_12"/>
    <w:rsid w:val="00F7117F"/>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11">
    <w:name w:val="_11"/>
    <w:rsid w:val="00F7117F"/>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0">
    <w:name w:val="_10"/>
    <w:rsid w:val="00F7117F"/>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9">
    <w:name w:val="_9"/>
    <w:rsid w:val="00F7117F"/>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8">
    <w:name w:val="_8"/>
    <w:rsid w:val="00F711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7">
    <w:name w:val="_7"/>
    <w:rsid w:val="00F7117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6">
    <w:name w:val="_6"/>
    <w:rsid w:val="00F7117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
    <w:name w:val="_5"/>
    <w:rsid w:val="00F7117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
    <w:name w:val="_4"/>
    <w:rsid w:val="00F7117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
    <w:name w:val="_3"/>
    <w:rsid w:val="00F7117F"/>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
    <w:name w:val="_2"/>
    <w:rsid w:val="00F7117F"/>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
    <w:name w:val="_1"/>
    <w:rsid w:val="00F7117F"/>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a">
    <w:name w:val="_"/>
    <w:rsid w:val="00F7117F"/>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styleId="Header">
    <w:name w:val="header"/>
    <w:basedOn w:val="Normal"/>
    <w:rsid w:val="00F7117F"/>
    <w:pPr>
      <w:tabs>
        <w:tab w:val="center" w:pos="4320"/>
        <w:tab w:val="right" w:pos="8640"/>
      </w:tabs>
    </w:pPr>
  </w:style>
  <w:style w:type="paragraph" w:styleId="Footer">
    <w:name w:val="footer"/>
    <w:basedOn w:val="Normal"/>
    <w:rsid w:val="00F7117F"/>
    <w:pPr>
      <w:tabs>
        <w:tab w:val="center" w:pos="4320"/>
        <w:tab w:val="right" w:pos="8640"/>
      </w:tabs>
    </w:pPr>
  </w:style>
  <w:style w:type="paragraph" w:styleId="NormalWeb">
    <w:name w:val="Normal (Web)"/>
    <w:basedOn w:val="Normal"/>
    <w:rsid w:val="00F7117F"/>
    <w:pPr>
      <w:widowControl/>
      <w:autoSpaceDE/>
      <w:autoSpaceDN/>
      <w:adjustRightInd/>
      <w:spacing w:before="100" w:beforeAutospacing="1" w:after="100" w:afterAutospacing="1"/>
    </w:pPr>
    <w:rPr>
      <w:sz w:val="24"/>
      <w:szCs w:val="24"/>
    </w:rPr>
  </w:style>
  <w:style w:type="character" w:styleId="Strong">
    <w:name w:val="Strong"/>
    <w:qFormat/>
    <w:rsid w:val="00F7117F"/>
    <w:rPr>
      <w:b/>
      <w:bCs/>
    </w:rPr>
  </w:style>
  <w:style w:type="character" w:styleId="Emphasis">
    <w:name w:val="Emphasis"/>
    <w:qFormat/>
    <w:rsid w:val="00F7117F"/>
    <w:rPr>
      <w:i/>
      <w:iCs/>
    </w:rPr>
  </w:style>
  <w:style w:type="character" w:styleId="PageNumber">
    <w:name w:val="page number"/>
    <w:basedOn w:val="DefaultParagraphFont"/>
    <w:rsid w:val="00F7117F"/>
  </w:style>
  <w:style w:type="paragraph" w:styleId="BalloonText">
    <w:name w:val="Balloon Text"/>
    <w:basedOn w:val="Normal"/>
    <w:semiHidden/>
    <w:rsid w:val="00F7117F"/>
    <w:rPr>
      <w:rFonts w:ascii="Tahoma" w:hAnsi="Tahoma" w:cs="Tahoma"/>
      <w:sz w:val="16"/>
      <w:szCs w:val="16"/>
    </w:rPr>
  </w:style>
  <w:style w:type="character" w:styleId="Hyperlink">
    <w:name w:val="Hyperlink"/>
    <w:rsid w:val="00F7117F"/>
    <w:rPr>
      <w:color w:val="0000FF"/>
      <w:u w:val="single"/>
    </w:rPr>
  </w:style>
  <w:style w:type="paragraph" w:customStyle="1" w:styleId="pagetop1">
    <w:name w:val="pagetop1"/>
    <w:basedOn w:val="Normal"/>
    <w:rsid w:val="00F7117F"/>
    <w:pPr>
      <w:widowControl/>
      <w:autoSpaceDE/>
      <w:autoSpaceDN/>
      <w:adjustRightInd/>
      <w:spacing w:before="240" w:after="240" w:line="312" w:lineRule="atLeast"/>
    </w:pPr>
    <w:rPr>
      <w:sz w:val="19"/>
      <w:szCs w:val="19"/>
    </w:rPr>
  </w:style>
  <w:style w:type="character" w:customStyle="1" w:styleId="fileinfo2">
    <w:name w:val="fileinfo2"/>
    <w:rsid w:val="00F7117F"/>
    <w:rPr>
      <w:color w:val="666666"/>
      <w:sz w:val="20"/>
      <w:szCs w:val="20"/>
    </w:rPr>
  </w:style>
  <w:style w:type="character" w:styleId="FollowedHyperlink">
    <w:name w:val="FollowedHyperlink"/>
    <w:rsid w:val="00F7117F"/>
    <w:rPr>
      <w:color w:val="800080"/>
      <w:u w:val="single"/>
    </w:rPr>
  </w:style>
  <w:style w:type="character" w:customStyle="1" w:styleId="sck">
    <w:name w:val="sck"/>
    <w:semiHidden/>
    <w:rsid w:val="00F7117F"/>
    <w:rPr>
      <w:rFonts w:ascii="Arial" w:hAnsi="Arial" w:cs="Arial"/>
      <w:color w:val="auto"/>
      <w:sz w:val="20"/>
      <w:szCs w:val="20"/>
    </w:rPr>
  </w:style>
  <w:style w:type="character" w:styleId="CommentReference">
    <w:name w:val="annotation reference"/>
    <w:semiHidden/>
    <w:rsid w:val="00F15243"/>
    <w:rPr>
      <w:sz w:val="16"/>
      <w:szCs w:val="16"/>
    </w:rPr>
  </w:style>
  <w:style w:type="paragraph" w:styleId="CommentText">
    <w:name w:val="annotation text"/>
    <w:basedOn w:val="Normal"/>
    <w:semiHidden/>
    <w:rsid w:val="00F15243"/>
  </w:style>
  <w:style w:type="paragraph" w:styleId="CommentSubject">
    <w:name w:val="annotation subject"/>
    <w:basedOn w:val="CommentText"/>
    <w:next w:val="CommentText"/>
    <w:semiHidden/>
    <w:rsid w:val="00F15243"/>
    <w:rPr>
      <w:b/>
      <w:bCs/>
    </w:rPr>
  </w:style>
  <w:style w:type="paragraph" w:styleId="Revision">
    <w:name w:val="Revision"/>
    <w:hidden/>
    <w:uiPriority w:val="99"/>
    <w:semiHidden/>
    <w:rsid w:val="00562093"/>
  </w:style>
  <w:style w:type="paragraph" w:styleId="FootnoteText">
    <w:name w:val="footnote text"/>
    <w:basedOn w:val="Normal"/>
    <w:link w:val="FootnoteTextChar"/>
    <w:rsid w:val="00AD0292"/>
  </w:style>
  <w:style w:type="character" w:customStyle="1" w:styleId="FootnoteTextChar">
    <w:name w:val="Footnote Text Char"/>
    <w:basedOn w:val="DefaultParagraphFont"/>
    <w:link w:val="FootnoteText"/>
    <w:rsid w:val="00AD0292"/>
  </w:style>
  <w:style w:type="character" w:styleId="FootnoteReference">
    <w:name w:val="footnote reference"/>
    <w:rsid w:val="00AD029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sz w:val="24"/>
      <w:szCs w:val="24"/>
    </w:rPr>
  </w:style>
  <w:style w:type="paragraph" w:customStyle="1" w:styleId="26">
    <w:name w:val="_26"/>
    <w:pPr>
      <w:widowControl w:val="0"/>
      <w:autoSpaceDE w:val="0"/>
      <w:autoSpaceDN w:val="0"/>
      <w:adjustRightInd w:val="0"/>
      <w:jc w:val="both"/>
    </w:pPr>
    <w:rPr>
      <w:sz w:val="24"/>
      <w:szCs w:val="24"/>
    </w:rPr>
  </w:style>
  <w:style w:type="paragraph" w:customStyle="1" w:styleId="25">
    <w:name w:val="_2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24">
    <w:name w:val="_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23">
    <w:name w:val="_2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22">
    <w:name w:val="_2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21">
    <w:name w:val="_2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0">
    <w:name w:val="_20"/>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9">
    <w:name w:val="_19"/>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18">
    <w:name w:val="_18"/>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17">
    <w:name w:val="_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16">
    <w:name w:val="_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15">
    <w:name w:val="_1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14">
    <w:name w:val="_1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13">
    <w:name w:val="_1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12">
    <w:name w:val="_12"/>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11">
    <w:name w:val="_11"/>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0">
    <w:name w:val="_10"/>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9">
    <w:name w:val="_9"/>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8">
    <w:name w:val="_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7">
    <w:name w:val="_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6">
    <w:name w:val="_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
    <w:name w:val="_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
    <w:name w:val="_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
    <w:name w:val="_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
    <w:name w:val="_2"/>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
    <w:name w:val="_1"/>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a">
    <w:name w:val="_"/>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widowControl/>
      <w:autoSpaceDE/>
      <w:autoSpaceDN/>
      <w:adjustRightInd/>
      <w:spacing w:before="100" w:beforeAutospacing="1" w:after="100" w:afterAutospacing="1"/>
    </w:pPr>
    <w:rPr>
      <w:sz w:val="24"/>
      <w:szCs w:val="24"/>
    </w:rPr>
  </w:style>
  <w:style w:type="character" w:styleId="Strong">
    <w:name w:val="Strong"/>
    <w:qFormat/>
    <w:rPr>
      <w:b/>
      <w:bCs/>
    </w:rPr>
  </w:style>
  <w:style w:type="character" w:styleId="Emphasis">
    <w:name w:val="Emphasis"/>
    <w:qFormat/>
    <w:rPr>
      <w:i/>
      <w:iCs/>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pagetop1">
    <w:name w:val="pagetop1"/>
    <w:basedOn w:val="Normal"/>
    <w:pPr>
      <w:widowControl/>
      <w:autoSpaceDE/>
      <w:autoSpaceDN/>
      <w:adjustRightInd/>
      <w:spacing w:before="240" w:after="240" w:line="312" w:lineRule="atLeast"/>
    </w:pPr>
    <w:rPr>
      <w:sz w:val="19"/>
      <w:szCs w:val="19"/>
    </w:rPr>
  </w:style>
  <w:style w:type="character" w:customStyle="1" w:styleId="fileinfo2">
    <w:name w:val="fileinfo2"/>
    <w:rPr>
      <w:color w:val="666666"/>
      <w:sz w:val="20"/>
      <w:szCs w:val="20"/>
    </w:rPr>
  </w:style>
  <w:style w:type="character" w:styleId="FollowedHyperlink">
    <w:name w:val="FollowedHyperlink"/>
    <w:rPr>
      <w:color w:val="800080"/>
      <w:u w:val="single"/>
    </w:rPr>
  </w:style>
  <w:style w:type="character" w:customStyle="1" w:styleId="sck">
    <w:name w:val="sck"/>
    <w:semiHidden/>
    <w:rPr>
      <w:rFonts w:ascii="Arial" w:hAnsi="Arial" w:cs="Arial"/>
      <w:color w:val="auto"/>
      <w:sz w:val="20"/>
      <w:szCs w:val="20"/>
    </w:rPr>
  </w:style>
  <w:style w:type="character" w:styleId="CommentReference">
    <w:name w:val="annotation reference"/>
    <w:semiHidden/>
    <w:rsid w:val="00F15243"/>
    <w:rPr>
      <w:sz w:val="16"/>
      <w:szCs w:val="16"/>
    </w:rPr>
  </w:style>
  <w:style w:type="paragraph" w:styleId="CommentText">
    <w:name w:val="annotation text"/>
    <w:basedOn w:val="Normal"/>
    <w:semiHidden/>
    <w:rsid w:val="00F15243"/>
  </w:style>
  <w:style w:type="paragraph" w:styleId="CommentSubject">
    <w:name w:val="annotation subject"/>
    <w:basedOn w:val="CommentText"/>
    <w:next w:val="CommentText"/>
    <w:semiHidden/>
    <w:rsid w:val="00F15243"/>
    <w:rPr>
      <w:b/>
      <w:bCs/>
    </w:rPr>
  </w:style>
  <w:style w:type="paragraph" w:styleId="Revision">
    <w:name w:val="Revision"/>
    <w:hidden/>
    <w:uiPriority w:val="99"/>
    <w:semiHidden/>
    <w:rsid w:val="00562093"/>
  </w:style>
  <w:style w:type="paragraph" w:styleId="FootnoteText">
    <w:name w:val="footnote text"/>
    <w:basedOn w:val="Normal"/>
    <w:link w:val="FootnoteTextChar"/>
    <w:rsid w:val="00AD0292"/>
  </w:style>
  <w:style w:type="character" w:customStyle="1" w:styleId="FootnoteTextChar">
    <w:name w:val="Footnote Text Char"/>
    <w:basedOn w:val="DefaultParagraphFont"/>
    <w:link w:val="FootnoteText"/>
    <w:rsid w:val="00AD0292"/>
  </w:style>
  <w:style w:type="character" w:styleId="FootnoteReference">
    <w:name w:val="footnote reference"/>
    <w:rsid w:val="00AD0292"/>
    <w:rPr>
      <w:vertAlign w:val="superscript"/>
    </w:rPr>
  </w:style>
</w:styles>
</file>

<file path=word/webSettings.xml><?xml version="1.0" encoding="utf-8"?>
<w:webSettings xmlns:r="http://schemas.openxmlformats.org/officeDocument/2006/relationships" xmlns:w="http://schemas.openxmlformats.org/wordprocessingml/2006/main">
  <w:divs>
    <w:div w:id="302152892">
      <w:bodyDiv w:val="1"/>
      <w:marLeft w:val="0"/>
      <w:marRight w:val="0"/>
      <w:marTop w:val="0"/>
      <w:marBottom w:val="0"/>
      <w:divBdr>
        <w:top w:val="none" w:sz="0" w:space="0" w:color="auto"/>
        <w:left w:val="none" w:sz="0" w:space="0" w:color="auto"/>
        <w:bottom w:val="none" w:sz="0" w:space="0" w:color="auto"/>
        <w:right w:val="none" w:sz="0" w:space="0" w:color="auto"/>
      </w:divBdr>
    </w:div>
    <w:div w:id="1446078614">
      <w:bodyDiv w:val="1"/>
      <w:marLeft w:val="0"/>
      <w:marRight w:val="0"/>
      <w:marTop w:val="0"/>
      <w:marBottom w:val="0"/>
      <w:divBdr>
        <w:top w:val="none" w:sz="0" w:space="0" w:color="auto"/>
        <w:left w:val="none" w:sz="0" w:space="0" w:color="auto"/>
        <w:bottom w:val="none" w:sz="0" w:space="0" w:color="auto"/>
        <w:right w:val="none" w:sz="0" w:space="0" w:color="auto"/>
      </w:divBdr>
    </w:div>
    <w:div w:id="1502886199">
      <w:bodyDiv w:val="1"/>
      <w:marLeft w:val="0"/>
      <w:marRight w:val="0"/>
      <w:marTop w:val="0"/>
      <w:marBottom w:val="0"/>
      <w:divBdr>
        <w:top w:val="none" w:sz="0" w:space="0" w:color="auto"/>
        <w:left w:val="none" w:sz="0" w:space="0" w:color="auto"/>
        <w:bottom w:val="none" w:sz="0" w:space="0" w:color="auto"/>
        <w:right w:val="none" w:sz="0" w:space="0" w:color="auto"/>
      </w:divBdr>
    </w:div>
    <w:div w:id="1640920101">
      <w:bodyDiv w:val="1"/>
      <w:marLeft w:val="0"/>
      <w:marRight w:val="0"/>
      <w:marTop w:val="0"/>
      <w:marBottom w:val="0"/>
      <w:divBdr>
        <w:top w:val="none" w:sz="0" w:space="0" w:color="auto"/>
        <w:left w:val="none" w:sz="0" w:space="0" w:color="auto"/>
        <w:bottom w:val="none" w:sz="0" w:space="0" w:color="auto"/>
        <w:right w:val="none" w:sz="0" w:space="0" w:color="auto"/>
      </w:divBdr>
    </w:div>
    <w:div w:id="1972709006">
      <w:bodyDiv w:val="1"/>
      <w:marLeft w:val="0"/>
      <w:marRight w:val="0"/>
      <w:marTop w:val="0"/>
      <w:marBottom w:val="0"/>
      <w:divBdr>
        <w:top w:val="none" w:sz="0" w:space="0" w:color="auto"/>
        <w:left w:val="none" w:sz="0" w:space="0" w:color="auto"/>
        <w:bottom w:val="none" w:sz="0" w:space="0" w:color="auto"/>
        <w:right w:val="none" w:sz="0" w:space="0" w:color="auto"/>
      </w:divBdr>
    </w:div>
    <w:div w:id="210765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fr.gpoaccess.gov/cgi/t/text/text-idx?c=ecfr&amp;tpl=%2Findex.tpl" TargetMode="External"/><Relationship Id="rId18" Type="http://schemas.openxmlformats.org/officeDocument/2006/relationships/header" Target="header3.xml"/><Relationship Id="rId26" Type="http://schemas.openxmlformats.org/officeDocument/2006/relationships/hyperlink" Target="http://www.epa.gov/airmarkt/business/forms.html" TargetMode="External"/><Relationship Id="rId39" Type="http://schemas.openxmlformats.org/officeDocument/2006/relationships/hyperlink" Target="http://www.epa.gov/airmarkets/business/docs/forms/nox_comp2010.pdf" TargetMode="Externa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yperlink" Target="http://www.epa.gov/airmarkets/business/docs/forms/2012OfferForm.pdf" TargetMode="External"/><Relationship Id="rId42" Type="http://schemas.openxmlformats.org/officeDocument/2006/relationships/hyperlink" Target="http://www.epa.gov/airmarkets/progsregs/arp/permits.html" TargetMode="External"/><Relationship Id="rId47" Type="http://schemas.openxmlformats.org/officeDocument/2006/relationships/hyperlink" Target="http://www.epa.gov/airmarkets/progsregs/arp/opt-in.html%23how" TargetMode="External"/><Relationship Id="rId50"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pa.gov/airmarkt/emissions/monitoring.html" TargetMode="Externa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yperlink" Target="http://www.epa.gov/airmarkt/business/docs/forms/2009BidForm.pdf" TargetMode="External"/><Relationship Id="rId38" Type="http://schemas.openxmlformats.org/officeDocument/2006/relationships/hyperlink" Target="http://www.epa.gov/airmarkets/business/docs/forms/ar_permit2010.pdf" TargetMode="External"/><Relationship Id="rId46" Type="http://schemas.openxmlformats.org/officeDocument/2006/relationships/hyperlink" Target="http://www.epa.gov/airmarkt/progsregs/arp/reconciliation-factsheet.html"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yperlink" Target="http://www.epa.gov/airmarkets/business/allowance.html" TargetMode="External"/><Relationship Id="rId41" Type="http://schemas.openxmlformats.org/officeDocument/2006/relationships/hyperlink" Target="http://www.epa.gov/airmarkets/business/docs/forms/new_unit_ex201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24" Type="http://schemas.openxmlformats.org/officeDocument/2006/relationships/header" Target="header5.xml"/><Relationship Id="rId32" Type="http://schemas.openxmlformats.org/officeDocument/2006/relationships/hyperlink" Target="http://www.epa.gov/airmarkets/business/docs/forms/2012HowtoBid.pdf" TargetMode="External"/><Relationship Id="rId37" Type="http://schemas.openxmlformats.org/officeDocument/2006/relationships/hyperlink" Target="http://www.epa.gov/airmarkets/trading/factsheet-auction.html" TargetMode="External"/><Relationship Id="rId40" Type="http://schemas.openxmlformats.org/officeDocument/2006/relationships/hyperlink" Target="http://www.epa.gov/airmarkets/business/docs/forms/nox_average2010.pdf" TargetMode="External"/><Relationship Id="rId45" Type="http://schemas.openxmlformats.org/officeDocument/2006/relationships/hyperlink" Target="http://www.epa.gov/airmarkt/business/ecmps/reporting-instructions.html" TargetMode="External"/><Relationship Id="rId5" Type="http://schemas.openxmlformats.org/officeDocument/2006/relationships/webSettings" Target="webSettings.xml"/><Relationship Id="rId15" Type="http://schemas.openxmlformats.org/officeDocument/2006/relationships/hyperlink" Target="http://www.epa.gov/airmarkt/emissions/docs/plain_english_guide_part75_rule.pdf" TargetMode="External"/><Relationship Id="rId23" Type="http://schemas.openxmlformats.org/officeDocument/2006/relationships/hyperlink" Target="file:///C:\Documents%20and%20Settings\CKerwin\Local%20Settings\Local%20Settings\Local%20Settings\Local%20Settings\Temporary%20Internet%20Files\Local%20Settings\Temp\notesFCBCEE\www.regulations.gov" TargetMode="External"/><Relationship Id="rId28" Type="http://schemas.openxmlformats.org/officeDocument/2006/relationships/hyperlink" Target="https://camd.epa.gov/cbs/" TargetMode="External"/><Relationship Id="rId36" Type="http://schemas.openxmlformats.org/officeDocument/2006/relationships/hyperlink" Target="http://www.epa.gov/airmarkets/business/docs/forms/2012LetterofCreditForm.pdf" TargetMode="Externa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4.xml"/><Relationship Id="rId31" Type="http://schemas.openxmlformats.org/officeDocument/2006/relationships/hyperlink" Target="http://www.epa.gov/airmarkets/business/docs/forms/RUEFINAL.pdf" TargetMode="External"/><Relationship Id="rId44" Type="http://schemas.openxmlformats.org/officeDocument/2006/relationships/hyperlink" Target="http://www.epa.gov/airmarkt/business/report-emissions.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cfr.gpoaccess.gov/cgi/t/text/text-idx?c=ecfr&amp;tpl=%2Findex.tpl" TargetMode="External"/><Relationship Id="rId22" Type="http://schemas.openxmlformats.org/officeDocument/2006/relationships/hyperlink" Target="file:///C:\Documents%20and%20Settings\CKerwin\Local%20Settings\Local%20Settings\Local%20Settings\Local%20Settings\Temporary%20Internet%20Files\Local%20Settings\Temp\notesFCBCEE\www.regulations.gov" TargetMode="External"/><Relationship Id="rId27" Type="http://schemas.openxmlformats.org/officeDocument/2006/relationships/hyperlink" Target="http://www.epa.gov/airmarkets/business/docs/forms/CertofRepFINAL.pdf" TargetMode="External"/><Relationship Id="rId30" Type="http://schemas.openxmlformats.org/officeDocument/2006/relationships/hyperlink" Target="http://www.epa.gov/airmarkets/business/docs/forms/GeneralAccount.pdf" TargetMode="External"/><Relationship Id="rId35" Type="http://schemas.openxmlformats.org/officeDocument/2006/relationships/hyperlink" Target="http://www.epa.gov/airmarkets/business/docs/forms/auct_proc2010.pdf" TargetMode="External"/><Relationship Id="rId43" Type="http://schemas.openxmlformats.org/officeDocument/2006/relationships/hyperlink" Target="http://www.epa.gov/airmarkt/emissions/index.html" TargetMode="External"/><Relationship Id="rId48"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55C75-829C-4B5A-A969-6600E8683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64</Pages>
  <Words>22133</Words>
  <Characters>126164</Characters>
  <Application>Microsoft Office Word</Application>
  <DocSecurity>0</DocSecurity>
  <Lines>1051</Lines>
  <Paragraphs>296</Paragraphs>
  <ScaleCrop>false</ScaleCrop>
  <HeadingPairs>
    <vt:vector size="2" baseType="variant">
      <vt:variant>
        <vt:lpstr>Title</vt:lpstr>
      </vt:variant>
      <vt:variant>
        <vt:i4>1</vt:i4>
      </vt:variant>
    </vt:vector>
  </HeadingPairs>
  <TitlesOfParts>
    <vt:vector size="1" baseType="lpstr">
      <vt:lpstr>  </vt:lpstr>
    </vt:vector>
  </TitlesOfParts>
  <Company>EPA</Company>
  <LinksUpToDate>false</LinksUpToDate>
  <CharactersWithSpaces>148001</CharactersWithSpaces>
  <SharedDoc>false</SharedDoc>
  <HLinks>
    <vt:vector size="174" baseType="variant">
      <vt:variant>
        <vt:i4>4259931</vt:i4>
      </vt:variant>
      <vt:variant>
        <vt:i4>88</vt:i4>
      </vt:variant>
      <vt:variant>
        <vt:i4>0</vt:i4>
      </vt:variant>
      <vt:variant>
        <vt:i4>5</vt:i4>
      </vt:variant>
      <vt:variant>
        <vt:lpwstr>http://www.epa.gov/airmarkets/progsregs/arp/opt-in.html%23how</vt:lpwstr>
      </vt:variant>
      <vt:variant>
        <vt:lpwstr/>
      </vt:variant>
      <vt:variant>
        <vt:i4>8060972</vt:i4>
      </vt:variant>
      <vt:variant>
        <vt:i4>85</vt:i4>
      </vt:variant>
      <vt:variant>
        <vt:i4>0</vt:i4>
      </vt:variant>
      <vt:variant>
        <vt:i4>5</vt:i4>
      </vt:variant>
      <vt:variant>
        <vt:lpwstr>http://www.epa.gov/airmarkt/progsregs/arp/reconciliation-factsheet.html</vt:lpwstr>
      </vt:variant>
      <vt:variant>
        <vt:lpwstr/>
      </vt:variant>
      <vt:variant>
        <vt:i4>3997804</vt:i4>
      </vt:variant>
      <vt:variant>
        <vt:i4>82</vt:i4>
      </vt:variant>
      <vt:variant>
        <vt:i4>0</vt:i4>
      </vt:variant>
      <vt:variant>
        <vt:i4>5</vt:i4>
      </vt:variant>
      <vt:variant>
        <vt:lpwstr>http://www.epa.gov/airmarkt/business/ecmps/reporting-instructions.html</vt:lpwstr>
      </vt:variant>
      <vt:variant>
        <vt:lpwstr/>
      </vt:variant>
      <vt:variant>
        <vt:i4>7340151</vt:i4>
      </vt:variant>
      <vt:variant>
        <vt:i4>79</vt:i4>
      </vt:variant>
      <vt:variant>
        <vt:i4>0</vt:i4>
      </vt:variant>
      <vt:variant>
        <vt:i4>5</vt:i4>
      </vt:variant>
      <vt:variant>
        <vt:lpwstr>http://www.epa.gov/airmarkt/business/report-emissions.html</vt:lpwstr>
      </vt:variant>
      <vt:variant>
        <vt:lpwstr/>
      </vt:variant>
      <vt:variant>
        <vt:i4>196703</vt:i4>
      </vt:variant>
      <vt:variant>
        <vt:i4>76</vt:i4>
      </vt:variant>
      <vt:variant>
        <vt:i4>0</vt:i4>
      </vt:variant>
      <vt:variant>
        <vt:i4>5</vt:i4>
      </vt:variant>
      <vt:variant>
        <vt:lpwstr>http://www.epa.gov/airmarkt/emissions/index.html</vt:lpwstr>
      </vt:variant>
      <vt:variant>
        <vt:lpwstr/>
      </vt:variant>
      <vt:variant>
        <vt:i4>4456536</vt:i4>
      </vt:variant>
      <vt:variant>
        <vt:i4>73</vt:i4>
      </vt:variant>
      <vt:variant>
        <vt:i4>0</vt:i4>
      </vt:variant>
      <vt:variant>
        <vt:i4>5</vt:i4>
      </vt:variant>
      <vt:variant>
        <vt:lpwstr>http://www.epa.gov/airmarkets/progsregs/arp/permits.html</vt:lpwstr>
      </vt:variant>
      <vt:variant>
        <vt:lpwstr/>
      </vt:variant>
      <vt:variant>
        <vt:i4>8323108</vt:i4>
      </vt:variant>
      <vt:variant>
        <vt:i4>70</vt:i4>
      </vt:variant>
      <vt:variant>
        <vt:i4>0</vt:i4>
      </vt:variant>
      <vt:variant>
        <vt:i4>5</vt:i4>
      </vt:variant>
      <vt:variant>
        <vt:lpwstr>http://www.epa.gov/airmarkets/business/docs/forms/new_unit_ex2010.pdf</vt:lpwstr>
      </vt:variant>
      <vt:variant>
        <vt:lpwstr/>
      </vt:variant>
      <vt:variant>
        <vt:i4>6881296</vt:i4>
      </vt:variant>
      <vt:variant>
        <vt:i4>67</vt:i4>
      </vt:variant>
      <vt:variant>
        <vt:i4>0</vt:i4>
      </vt:variant>
      <vt:variant>
        <vt:i4>5</vt:i4>
      </vt:variant>
      <vt:variant>
        <vt:lpwstr>http://www.epa.gov/airmarkets/business/docs/forms/nox_average2010.pdf</vt:lpwstr>
      </vt:variant>
      <vt:variant>
        <vt:lpwstr/>
      </vt:variant>
      <vt:variant>
        <vt:i4>4849703</vt:i4>
      </vt:variant>
      <vt:variant>
        <vt:i4>64</vt:i4>
      </vt:variant>
      <vt:variant>
        <vt:i4>0</vt:i4>
      </vt:variant>
      <vt:variant>
        <vt:i4>5</vt:i4>
      </vt:variant>
      <vt:variant>
        <vt:lpwstr>http://www.epa.gov/airmarkets/business/docs/forms/nox_comp2010.pdf</vt:lpwstr>
      </vt:variant>
      <vt:variant>
        <vt:lpwstr/>
      </vt:variant>
      <vt:variant>
        <vt:i4>2293828</vt:i4>
      </vt:variant>
      <vt:variant>
        <vt:i4>61</vt:i4>
      </vt:variant>
      <vt:variant>
        <vt:i4>0</vt:i4>
      </vt:variant>
      <vt:variant>
        <vt:i4>5</vt:i4>
      </vt:variant>
      <vt:variant>
        <vt:lpwstr>http://www.epa.gov/airmarkets/business/docs/forms/ar_permit2010.pdf</vt:lpwstr>
      </vt:variant>
      <vt:variant>
        <vt:lpwstr/>
      </vt:variant>
      <vt:variant>
        <vt:i4>4587602</vt:i4>
      </vt:variant>
      <vt:variant>
        <vt:i4>58</vt:i4>
      </vt:variant>
      <vt:variant>
        <vt:i4>0</vt:i4>
      </vt:variant>
      <vt:variant>
        <vt:i4>5</vt:i4>
      </vt:variant>
      <vt:variant>
        <vt:lpwstr>http://www.epa.gov/airmarkets/trading/factsheet-auction.html</vt:lpwstr>
      </vt:variant>
      <vt:variant>
        <vt:lpwstr/>
      </vt:variant>
      <vt:variant>
        <vt:i4>131158</vt:i4>
      </vt:variant>
      <vt:variant>
        <vt:i4>55</vt:i4>
      </vt:variant>
      <vt:variant>
        <vt:i4>0</vt:i4>
      </vt:variant>
      <vt:variant>
        <vt:i4>5</vt:i4>
      </vt:variant>
      <vt:variant>
        <vt:lpwstr>http://www.epa.gov/airmarkets/business/docs/forms/2012LetterofCreditForm.pdf</vt:lpwstr>
      </vt:variant>
      <vt:variant>
        <vt:lpwstr/>
      </vt:variant>
      <vt:variant>
        <vt:i4>2359370</vt:i4>
      </vt:variant>
      <vt:variant>
        <vt:i4>52</vt:i4>
      </vt:variant>
      <vt:variant>
        <vt:i4>0</vt:i4>
      </vt:variant>
      <vt:variant>
        <vt:i4>5</vt:i4>
      </vt:variant>
      <vt:variant>
        <vt:lpwstr>http://www.epa.gov/airmarkets/business/docs/forms/auct_proc2010.pdf</vt:lpwstr>
      </vt:variant>
      <vt:variant>
        <vt:lpwstr/>
      </vt:variant>
      <vt:variant>
        <vt:i4>2883708</vt:i4>
      </vt:variant>
      <vt:variant>
        <vt:i4>49</vt:i4>
      </vt:variant>
      <vt:variant>
        <vt:i4>0</vt:i4>
      </vt:variant>
      <vt:variant>
        <vt:i4>5</vt:i4>
      </vt:variant>
      <vt:variant>
        <vt:lpwstr>http://www.epa.gov/airmarkets/business/docs/forms/2012OfferForm.pdf</vt:lpwstr>
      </vt:variant>
      <vt:variant>
        <vt:lpwstr/>
      </vt:variant>
      <vt:variant>
        <vt:i4>3735650</vt:i4>
      </vt:variant>
      <vt:variant>
        <vt:i4>46</vt:i4>
      </vt:variant>
      <vt:variant>
        <vt:i4>0</vt:i4>
      </vt:variant>
      <vt:variant>
        <vt:i4>5</vt:i4>
      </vt:variant>
      <vt:variant>
        <vt:lpwstr>http://www.epa.gov/airmarkt/business/docs/forms/2009BidForm.pdf</vt:lpwstr>
      </vt:variant>
      <vt:variant>
        <vt:lpwstr/>
      </vt:variant>
      <vt:variant>
        <vt:i4>7995430</vt:i4>
      </vt:variant>
      <vt:variant>
        <vt:i4>43</vt:i4>
      </vt:variant>
      <vt:variant>
        <vt:i4>0</vt:i4>
      </vt:variant>
      <vt:variant>
        <vt:i4>5</vt:i4>
      </vt:variant>
      <vt:variant>
        <vt:lpwstr>http://www.epa.gov/airmarkets/business/docs/forms/2012HowtoBid.pdf</vt:lpwstr>
      </vt:variant>
      <vt:variant>
        <vt:lpwstr/>
      </vt:variant>
      <vt:variant>
        <vt:i4>7602211</vt:i4>
      </vt:variant>
      <vt:variant>
        <vt:i4>40</vt:i4>
      </vt:variant>
      <vt:variant>
        <vt:i4>0</vt:i4>
      </vt:variant>
      <vt:variant>
        <vt:i4>5</vt:i4>
      </vt:variant>
      <vt:variant>
        <vt:lpwstr>http://www.epa.gov/airmarkets/business/docs/forms/RUEFINAL.pdf</vt:lpwstr>
      </vt:variant>
      <vt:variant>
        <vt:lpwstr/>
      </vt:variant>
      <vt:variant>
        <vt:i4>458825</vt:i4>
      </vt:variant>
      <vt:variant>
        <vt:i4>37</vt:i4>
      </vt:variant>
      <vt:variant>
        <vt:i4>0</vt:i4>
      </vt:variant>
      <vt:variant>
        <vt:i4>5</vt:i4>
      </vt:variant>
      <vt:variant>
        <vt:lpwstr>http://www.epa.gov/airmarkets/business/docs/forms/GeneralAccount.pdf</vt:lpwstr>
      </vt:variant>
      <vt:variant>
        <vt:lpwstr/>
      </vt:variant>
      <vt:variant>
        <vt:i4>131158</vt:i4>
      </vt:variant>
      <vt:variant>
        <vt:i4>34</vt:i4>
      </vt:variant>
      <vt:variant>
        <vt:i4>0</vt:i4>
      </vt:variant>
      <vt:variant>
        <vt:i4>5</vt:i4>
      </vt:variant>
      <vt:variant>
        <vt:lpwstr>http://www.epa.gov/airmarkets/business/allowance.html</vt:lpwstr>
      </vt:variant>
      <vt:variant>
        <vt:lpwstr/>
      </vt:variant>
      <vt:variant>
        <vt:i4>1114140</vt:i4>
      </vt:variant>
      <vt:variant>
        <vt:i4>31</vt:i4>
      </vt:variant>
      <vt:variant>
        <vt:i4>0</vt:i4>
      </vt:variant>
      <vt:variant>
        <vt:i4>5</vt:i4>
      </vt:variant>
      <vt:variant>
        <vt:lpwstr>https://camd.epa.gov/cbs/</vt:lpwstr>
      </vt:variant>
      <vt:variant>
        <vt:lpwstr/>
      </vt:variant>
      <vt:variant>
        <vt:i4>1245256</vt:i4>
      </vt:variant>
      <vt:variant>
        <vt:i4>28</vt:i4>
      </vt:variant>
      <vt:variant>
        <vt:i4>0</vt:i4>
      </vt:variant>
      <vt:variant>
        <vt:i4>5</vt:i4>
      </vt:variant>
      <vt:variant>
        <vt:lpwstr>http://www.epa.gov/airmarkets/business/docs/forms/CertofRepFINAL.pdf</vt:lpwstr>
      </vt:variant>
      <vt:variant>
        <vt:lpwstr/>
      </vt:variant>
      <vt:variant>
        <vt:i4>6291511</vt:i4>
      </vt:variant>
      <vt:variant>
        <vt:i4>25</vt:i4>
      </vt:variant>
      <vt:variant>
        <vt:i4>0</vt:i4>
      </vt:variant>
      <vt:variant>
        <vt:i4>5</vt:i4>
      </vt:variant>
      <vt:variant>
        <vt:lpwstr>http://www.epa.gov/airmarkt/business/forms.html</vt:lpwstr>
      </vt:variant>
      <vt:variant>
        <vt:lpwstr/>
      </vt:variant>
      <vt:variant>
        <vt:i4>851997</vt:i4>
      </vt:variant>
      <vt:variant>
        <vt:i4>22</vt:i4>
      </vt:variant>
      <vt:variant>
        <vt:i4>0</vt:i4>
      </vt:variant>
      <vt:variant>
        <vt:i4>5</vt:i4>
      </vt:variant>
      <vt:variant>
        <vt:lpwstr>../Local Settings/Local Settings/Local Settings/Temporary Internet Files/Local Settings/Temp/notesFCBCEE/www.regulations.gov</vt:lpwstr>
      </vt:variant>
      <vt:variant>
        <vt:lpwstr/>
      </vt:variant>
      <vt:variant>
        <vt:i4>851997</vt:i4>
      </vt:variant>
      <vt:variant>
        <vt:i4>19</vt:i4>
      </vt:variant>
      <vt:variant>
        <vt:i4>0</vt:i4>
      </vt:variant>
      <vt:variant>
        <vt:i4>5</vt:i4>
      </vt:variant>
      <vt:variant>
        <vt:lpwstr>../Local Settings/Local Settings/Local Settings/Temporary Internet Files/Local Settings/Temp/notesFCBCEE/www.regulations.gov</vt:lpwstr>
      </vt:variant>
      <vt:variant>
        <vt:lpwstr/>
      </vt:variant>
      <vt:variant>
        <vt:i4>5832777</vt:i4>
      </vt:variant>
      <vt:variant>
        <vt:i4>16</vt:i4>
      </vt:variant>
      <vt:variant>
        <vt:i4>0</vt:i4>
      </vt:variant>
      <vt:variant>
        <vt:i4>5</vt:i4>
      </vt:variant>
      <vt:variant>
        <vt:lpwstr>http://www.epa.gov/airmarkt/emissions/docs/plain_english_guide_part75_rule.pdf</vt:lpwstr>
      </vt:variant>
      <vt:variant>
        <vt:lpwstr/>
      </vt:variant>
      <vt:variant>
        <vt:i4>4653073</vt:i4>
      </vt:variant>
      <vt:variant>
        <vt:i4>13</vt:i4>
      </vt:variant>
      <vt:variant>
        <vt:i4>0</vt:i4>
      </vt:variant>
      <vt:variant>
        <vt:i4>5</vt:i4>
      </vt:variant>
      <vt:variant>
        <vt:lpwstr>http://ecfr.gpoaccess.gov/cgi/t/text/text-idx?c=ecfr&amp;tpl=%2Findex.tpl</vt:lpwstr>
      </vt:variant>
      <vt:variant>
        <vt:lpwstr/>
      </vt:variant>
      <vt:variant>
        <vt:i4>4653073</vt:i4>
      </vt:variant>
      <vt:variant>
        <vt:i4>10</vt:i4>
      </vt:variant>
      <vt:variant>
        <vt:i4>0</vt:i4>
      </vt:variant>
      <vt:variant>
        <vt:i4>5</vt:i4>
      </vt:variant>
      <vt:variant>
        <vt:lpwstr>http://ecfr.gpoaccess.gov/cgi/t/text/text-idx?c=ecfr&amp;tpl=%2Findex.tpl</vt:lpwstr>
      </vt:variant>
      <vt:variant>
        <vt:lpwstr/>
      </vt:variant>
      <vt:variant>
        <vt:i4>6029342</vt:i4>
      </vt:variant>
      <vt:variant>
        <vt:i4>7</vt:i4>
      </vt:variant>
      <vt:variant>
        <vt:i4>0</vt:i4>
      </vt:variant>
      <vt:variant>
        <vt:i4>5</vt:i4>
      </vt:variant>
      <vt:variant>
        <vt:lpwstr>http://www.epa.gov/airmarkt/emissions/monitoring.html</vt:lpwstr>
      </vt:variant>
      <vt:variant>
        <vt:lpwstr/>
      </vt:variant>
      <vt:variant>
        <vt:i4>2818151</vt:i4>
      </vt:variant>
      <vt:variant>
        <vt:i4>2</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 EPA</dc:creator>
  <cp:keywords/>
  <dc:description/>
  <cp:lastModifiedBy>Courtney Kerwin</cp:lastModifiedBy>
  <cp:revision>3</cp:revision>
  <cp:lastPrinted>2012-11-19T12:28:00Z</cp:lastPrinted>
  <dcterms:created xsi:type="dcterms:W3CDTF">2012-11-19T13:12:00Z</dcterms:created>
  <dcterms:modified xsi:type="dcterms:W3CDTF">2012-11-19T13:19:00Z</dcterms:modified>
</cp:coreProperties>
</file>