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RDefault="00BD407C"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FERC-912</w:t>
      </w:r>
      <w:r w:rsidR="00F2118F">
        <w:rPr>
          <w:rFonts w:ascii="Times New Roman" w:hAnsi="Times New Roman" w:cs="Times New Roman"/>
          <w:b/>
          <w:sz w:val="24"/>
          <w:szCs w:val="24"/>
        </w:rPr>
        <w:t>,</w:t>
      </w:r>
      <w:r w:rsidR="00767313">
        <w:rPr>
          <w:rFonts w:ascii="Times New Roman" w:hAnsi="Times New Roman" w:cs="Times New Roman"/>
          <w:b/>
          <w:sz w:val="24"/>
          <w:szCs w:val="24"/>
        </w:rPr>
        <w:t xml:space="preserve"> </w:t>
      </w:r>
      <w:r w:rsidRPr="00BD407C">
        <w:rPr>
          <w:rFonts w:ascii="Times New Roman" w:hAnsi="Times New Roman" w:cs="Times New Roman"/>
          <w:b/>
          <w:sz w:val="24"/>
          <w:szCs w:val="24"/>
        </w:rPr>
        <w:t>PURPA Section 210(m) Notification Requirements Applicable to Cogeneration and Small Power Production Facilities</w:t>
      </w:r>
    </w:p>
    <w:p w:rsidR="00FD66F1" w:rsidRDefault="00FD66F1" w:rsidP="00FD66F1">
      <w:pPr>
        <w:spacing w:after="0"/>
        <w:jc w:val="center"/>
        <w:rPr>
          <w:rFonts w:ascii="Times New Roman" w:hAnsi="Times New Roman" w:cs="Times New Roman"/>
          <w:sz w:val="24"/>
          <w:szCs w:val="24"/>
        </w:rPr>
      </w:pPr>
    </w:p>
    <w:p w:rsidR="00773AEB" w:rsidRDefault="00767313" w:rsidP="00FD66F1">
      <w:pPr>
        <w:spacing w:after="0"/>
        <w:rPr>
          <w:rFonts w:ascii="Times New Roman" w:hAnsi="Times New Roman" w:cs="Times New Roman"/>
          <w:sz w:val="24"/>
          <w:szCs w:val="24"/>
        </w:rPr>
      </w:pPr>
      <w:r w:rsidRPr="00767313">
        <w:rPr>
          <w:rFonts w:ascii="Times New Roman" w:hAnsi="Times New Roman" w:cs="Times New Roman"/>
          <w:sz w:val="24"/>
          <w:szCs w:val="24"/>
        </w:rPr>
        <w:t>The Federal Energy Regulatory Commission (Commission or FERC) requests that the Office of Management and Budget (</w:t>
      </w:r>
      <w:r w:rsidR="00BD407C">
        <w:rPr>
          <w:rFonts w:ascii="Times New Roman" w:hAnsi="Times New Roman" w:cs="Times New Roman"/>
          <w:sz w:val="24"/>
          <w:szCs w:val="24"/>
        </w:rPr>
        <w:t>OMB) review and approve FERC-912</w:t>
      </w:r>
      <w:r w:rsidRPr="00767313">
        <w:rPr>
          <w:rFonts w:ascii="Times New Roman" w:hAnsi="Times New Roman" w:cs="Times New Roman"/>
          <w:sz w:val="24"/>
          <w:szCs w:val="24"/>
        </w:rPr>
        <w:t xml:space="preserve">, </w:t>
      </w:r>
      <w:r w:rsidR="00BD407C" w:rsidRPr="00BD407C">
        <w:rPr>
          <w:rFonts w:ascii="Times New Roman" w:hAnsi="Times New Roman" w:cs="Times New Roman"/>
          <w:sz w:val="24"/>
          <w:szCs w:val="24"/>
        </w:rPr>
        <w:t>PURPA Section 210(m) Notification Requirements Applicable to Cogeneration and Small Power Production Facilities</w:t>
      </w:r>
      <w:r w:rsidRPr="00767313">
        <w:rPr>
          <w:rFonts w:ascii="Times New Roman" w:hAnsi="Times New Roman" w:cs="Times New Roman"/>
          <w:sz w:val="24"/>
          <w:szCs w:val="24"/>
        </w:rPr>
        <w:t>, fo</w:t>
      </w:r>
      <w:r w:rsidR="00BD407C">
        <w:rPr>
          <w:rFonts w:ascii="Times New Roman" w:hAnsi="Times New Roman" w:cs="Times New Roman"/>
          <w:sz w:val="24"/>
          <w:szCs w:val="24"/>
        </w:rPr>
        <w:t>r a three year period.  FERC-912 (OMB Control No. 1902-0237</w:t>
      </w:r>
      <w:r w:rsidRPr="00767313">
        <w:rPr>
          <w:rFonts w:ascii="Times New Roman" w:hAnsi="Times New Roman" w:cs="Times New Roman"/>
          <w:sz w:val="24"/>
          <w:szCs w:val="24"/>
        </w:rPr>
        <w:t>) is an existing Co</w:t>
      </w:r>
      <w:r>
        <w:rPr>
          <w:rFonts w:ascii="Times New Roman" w:hAnsi="Times New Roman" w:cs="Times New Roman"/>
          <w:sz w:val="24"/>
          <w:szCs w:val="24"/>
        </w:rPr>
        <w:t>mmission data collection (reporting</w:t>
      </w:r>
      <w:r w:rsidRPr="00767313">
        <w:rPr>
          <w:rFonts w:ascii="Times New Roman" w:hAnsi="Times New Roman" w:cs="Times New Roman"/>
          <w:sz w:val="24"/>
          <w:szCs w:val="24"/>
        </w:rPr>
        <w:t xml:space="preserve"> requirements), as stated by </w:t>
      </w:r>
      <w:r w:rsidR="00BD407C">
        <w:rPr>
          <w:rFonts w:ascii="Times New Roman" w:hAnsi="Times New Roman" w:cs="Times New Roman"/>
          <w:sz w:val="24"/>
          <w:szCs w:val="24"/>
        </w:rPr>
        <w:t xml:space="preserve">18 </w:t>
      </w:r>
      <w:r w:rsidR="00CD0831">
        <w:rPr>
          <w:rFonts w:ascii="Times New Roman" w:hAnsi="Times New Roman" w:cs="Times New Roman"/>
          <w:sz w:val="24"/>
          <w:szCs w:val="24"/>
        </w:rPr>
        <w:t>Code of Federal Regulations (</w:t>
      </w:r>
      <w:r w:rsidR="00BD407C">
        <w:rPr>
          <w:rFonts w:ascii="Times New Roman" w:hAnsi="Times New Roman" w:cs="Times New Roman"/>
          <w:sz w:val="24"/>
          <w:szCs w:val="24"/>
        </w:rPr>
        <w:t>CFR</w:t>
      </w:r>
      <w:r w:rsidR="00CD0831">
        <w:rPr>
          <w:rFonts w:ascii="Times New Roman" w:hAnsi="Times New Roman" w:cs="Times New Roman"/>
          <w:sz w:val="24"/>
          <w:szCs w:val="24"/>
        </w:rPr>
        <w:t>)</w:t>
      </w:r>
      <w:r w:rsidR="00BD407C">
        <w:rPr>
          <w:rFonts w:ascii="Times New Roman" w:hAnsi="Times New Roman" w:cs="Times New Roman"/>
          <w:sz w:val="24"/>
          <w:szCs w:val="24"/>
        </w:rPr>
        <w:t xml:space="preserve"> Part 292</w:t>
      </w:r>
      <w:r w:rsidR="00CA1C4B">
        <w:rPr>
          <w:rFonts w:ascii="Times New Roman" w:hAnsi="Times New Roman" w:cs="Times New Roman"/>
          <w:sz w:val="24"/>
          <w:szCs w:val="24"/>
        </w:rPr>
        <w:t>.</w:t>
      </w:r>
    </w:p>
    <w:p w:rsidR="00A72E7B" w:rsidRDefault="00A72E7B" w:rsidP="00FD66F1">
      <w:pPr>
        <w:spacing w:after="0"/>
        <w:rPr>
          <w:rFonts w:ascii="Times New Roman" w:hAnsi="Times New Roman" w:cs="Times New Roman"/>
          <w:sz w:val="24"/>
          <w:szCs w:val="24"/>
        </w:rPr>
      </w:pPr>
    </w:p>
    <w:p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EB3E6F">
      <w:pPr>
        <w:spacing w:after="0"/>
        <w:rPr>
          <w:rFonts w:ascii="Times New Roman" w:hAnsi="Times New Roman" w:cs="Times New Roman"/>
          <w:sz w:val="24"/>
          <w:szCs w:val="24"/>
        </w:rPr>
      </w:pPr>
    </w:p>
    <w:p w:rsidR="00A107DD" w:rsidRPr="00A107DD" w:rsidRDefault="00A107DD" w:rsidP="00A107DD">
      <w:pPr>
        <w:spacing w:after="0"/>
        <w:rPr>
          <w:rFonts w:ascii="Times New Roman" w:hAnsi="Times New Roman" w:cs="Times New Roman"/>
          <w:sz w:val="24"/>
          <w:szCs w:val="24"/>
        </w:rPr>
      </w:pPr>
      <w:r w:rsidRPr="00A107DD">
        <w:rPr>
          <w:rFonts w:ascii="Times New Roman" w:hAnsi="Times New Roman" w:cs="Times New Roman"/>
          <w:sz w:val="24"/>
          <w:szCs w:val="24"/>
        </w:rPr>
        <w:t xml:space="preserve">The use of FERC-912 is necessary to provide the Commission with the information needed to determine whether an order is appropriate to either terminate or reinstate the purchasing or selling of energy under PURPA section 210(m). </w:t>
      </w:r>
    </w:p>
    <w:p w:rsidR="00A107DD" w:rsidRPr="00A107DD" w:rsidRDefault="00A107DD" w:rsidP="00A107DD">
      <w:pPr>
        <w:spacing w:after="0"/>
        <w:rPr>
          <w:rFonts w:ascii="Times New Roman" w:hAnsi="Times New Roman" w:cs="Times New Roman"/>
          <w:sz w:val="24"/>
          <w:szCs w:val="24"/>
        </w:rPr>
      </w:pPr>
    </w:p>
    <w:p w:rsidR="00A107DD" w:rsidRDefault="00A107DD" w:rsidP="00A107DD">
      <w:pPr>
        <w:spacing w:after="0"/>
        <w:rPr>
          <w:rFonts w:ascii="Times New Roman" w:hAnsi="Times New Roman" w:cs="Times New Roman"/>
          <w:sz w:val="24"/>
          <w:szCs w:val="24"/>
        </w:rPr>
      </w:pPr>
      <w:r w:rsidRPr="00A107DD">
        <w:rPr>
          <w:rFonts w:ascii="Times New Roman" w:hAnsi="Times New Roman" w:cs="Times New Roman"/>
          <w:sz w:val="24"/>
          <w:szCs w:val="24"/>
        </w:rPr>
        <w:t>The Commission’s implementing regulations, found in 18 CFR Part 292, pro</w:t>
      </w:r>
      <w:r>
        <w:rPr>
          <w:rFonts w:ascii="Times New Roman" w:hAnsi="Times New Roman" w:cs="Times New Roman"/>
          <w:sz w:val="24"/>
          <w:szCs w:val="24"/>
        </w:rPr>
        <w:t xml:space="preserve">vide the following procedures: </w:t>
      </w:r>
    </w:p>
    <w:p w:rsidR="00A107DD" w:rsidRDefault="00A107DD" w:rsidP="00A107DD">
      <w:pPr>
        <w:pStyle w:val="ListParagraph"/>
        <w:numPr>
          <w:ilvl w:val="0"/>
          <w:numId w:val="20"/>
        </w:numPr>
        <w:spacing w:after="0"/>
        <w:rPr>
          <w:rFonts w:ascii="Times New Roman" w:hAnsi="Times New Roman" w:cs="Times New Roman"/>
          <w:sz w:val="24"/>
          <w:szCs w:val="24"/>
        </w:rPr>
      </w:pPr>
      <w:r w:rsidRPr="00A107DD">
        <w:rPr>
          <w:rFonts w:ascii="Times New Roman" w:hAnsi="Times New Roman" w:cs="Times New Roman"/>
          <w:sz w:val="24"/>
          <w:szCs w:val="24"/>
        </w:rPr>
        <w:t>§292.310</w:t>
      </w:r>
      <w:r w:rsidRPr="00A107DD">
        <w:rPr>
          <w:rFonts w:ascii="Times New Roman" w:hAnsi="Times New Roman" w:cs="Times New Roman"/>
          <w:sz w:val="24"/>
          <w:szCs w:val="24"/>
        </w:rPr>
        <w:tab/>
        <w:t>an electric utility’s application for the termination of its obligation to purchase energy from a QF,</w:t>
      </w:r>
    </w:p>
    <w:p w:rsidR="00A107DD" w:rsidRDefault="00A107DD" w:rsidP="00A107DD">
      <w:pPr>
        <w:pStyle w:val="ListParagraph"/>
        <w:numPr>
          <w:ilvl w:val="0"/>
          <w:numId w:val="20"/>
        </w:numPr>
        <w:spacing w:after="0"/>
        <w:rPr>
          <w:rFonts w:ascii="Times New Roman" w:hAnsi="Times New Roman" w:cs="Times New Roman"/>
          <w:sz w:val="24"/>
          <w:szCs w:val="24"/>
        </w:rPr>
      </w:pPr>
      <w:r w:rsidRPr="00A107DD">
        <w:rPr>
          <w:rFonts w:ascii="Times New Roman" w:hAnsi="Times New Roman" w:cs="Times New Roman"/>
          <w:sz w:val="24"/>
          <w:szCs w:val="24"/>
        </w:rPr>
        <w:t>§292.311</w:t>
      </w:r>
      <w:r w:rsidRPr="00A107DD">
        <w:rPr>
          <w:rFonts w:ascii="Times New Roman" w:hAnsi="Times New Roman" w:cs="Times New Roman"/>
          <w:sz w:val="24"/>
          <w:szCs w:val="24"/>
        </w:rPr>
        <w:tab/>
        <w:t>an affected entity or person’s application to the Commission for an order reinstating the electric utility’s obligation to purchase energy from a QF,</w:t>
      </w:r>
    </w:p>
    <w:p w:rsidR="00A107DD" w:rsidRDefault="00A107DD" w:rsidP="00A107DD">
      <w:pPr>
        <w:pStyle w:val="ListParagraph"/>
        <w:numPr>
          <w:ilvl w:val="0"/>
          <w:numId w:val="20"/>
        </w:numPr>
        <w:spacing w:after="0"/>
        <w:rPr>
          <w:rFonts w:ascii="Times New Roman" w:hAnsi="Times New Roman" w:cs="Times New Roman"/>
          <w:sz w:val="24"/>
          <w:szCs w:val="24"/>
        </w:rPr>
      </w:pPr>
      <w:r w:rsidRPr="00A107DD">
        <w:rPr>
          <w:rFonts w:ascii="Times New Roman" w:hAnsi="Times New Roman" w:cs="Times New Roman"/>
          <w:sz w:val="24"/>
          <w:szCs w:val="24"/>
        </w:rPr>
        <w:t>§292.312</w:t>
      </w:r>
      <w:r w:rsidRPr="00A107DD">
        <w:rPr>
          <w:rFonts w:ascii="Times New Roman" w:hAnsi="Times New Roman" w:cs="Times New Roman"/>
          <w:sz w:val="24"/>
          <w:szCs w:val="24"/>
        </w:rPr>
        <w:tab/>
        <w:t>an electric utility’s application for the termination of its obligation to sell energy and capacity to QFs, and</w:t>
      </w:r>
    </w:p>
    <w:p w:rsidR="00A107DD" w:rsidRPr="00A107DD" w:rsidRDefault="00A107DD" w:rsidP="00A107DD">
      <w:pPr>
        <w:pStyle w:val="ListParagraph"/>
        <w:numPr>
          <w:ilvl w:val="0"/>
          <w:numId w:val="20"/>
        </w:numPr>
        <w:spacing w:after="0"/>
        <w:rPr>
          <w:rFonts w:ascii="Times New Roman" w:hAnsi="Times New Roman" w:cs="Times New Roman"/>
          <w:sz w:val="24"/>
          <w:szCs w:val="24"/>
        </w:rPr>
      </w:pPr>
      <w:r w:rsidRPr="00A107DD">
        <w:rPr>
          <w:rFonts w:ascii="Times New Roman" w:hAnsi="Times New Roman" w:cs="Times New Roman"/>
          <w:sz w:val="24"/>
          <w:szCs w:val="24"/>
        </w:rPr>
        <w:t>§292.313</w:t>
      </w:r>
      <w:r w:rsidRPr="00A107DD">
        <w:rPr>
          <w:rFonts w:ascii="Times New Roman" w:hAnsi="Times New Roman" w:cs="Times New Roman"/>
          <w:sz w:val="24"/>
          <w:szCs w:val="24"/>
        </w:rPr>
        <w:tab/>
        <w:t xml:space="preserve">an affected entity or person’s application to the Commission for an order reinstating the electric utility’s obligation to sell energy and capacity to QFs. </w:t>
      </w:r>
    </w:p>
    <w:p w:rsidR="00A107DD" w:rsidRPr="00A107DD" w:rsidRDefault="00A107DD" w:rsidP="00A107DD">
      <w:pPr>
        <w:spacing w:after="0"/>
        <w:rPr>
          <w:rFonts w:ascii="Times New Roman" w:hAnsi="Times New Roman" w:cs="Times New Roman"/>
          <w:sz w:val="24"/>
          <w:szCs w:val="24"/>
        </w:rPr>
      </w:pPr>
    </w:p>
    <w:p w:rsidR="00E65CE0" w:rsidRDefault="00A107DD" w:rsidP="00A107DD">
      <w:pPr>
        <w:spacing w:after="0"/>
        <w:rPr>
          <w:rFonts w:ascii="Times New Roman" w:hAnsi="Times New Roman" w:cs="Times New Roman"/>
          <w:sz w:val="24"/>
          <w:szCs w:val="24"/>
        </w:rPr>
      </w:pPr>
      <w:r w:rsidRPr="00A107DD">
        <w:rPr>
          <w:rFonts w:ascii="Times New Roman" w:hAnsi="Times New Roman" w:cs="Times New Roman"/>
          <w:sz w:val="24"/>
          <w:szCs w:val="24"/>
        </w:rPr>
        <w:t xml:space="preserve">Note that the reinstatement of an electric utility’s obligation to sell or purchase electric power to/from a QF depends on a Commission determination that the qualifications that relieved the utility from the obligation of purchase </w:t>
      </w:r>
      <w:r w:rsidR="00D20C0A">
        <w:rPr>
          <w:rFonts w:ascii="Times New Roman" w:hAnsi="Times New Roman" w:cs="Times New Roman"/>
          <w:sz w:val="24"/>
          <w:szCs w:val="24"/>
        </w:rPr>
        <w:t xml:space="preserve">or sale </w:t>
      </w:r>
      <w:r w:rsidRPr="00A107DD">
        <w:rPr>
          <w:rFonts w:ascii="Times New Roman" w:hAnsi="Times New Roman" w:cs="Times New Roman"/>
          <w:sz w:val="24"/>
          <w:szCs w:val="24"/>
        </w:rPr>
        <w:t xml:space="preserve">are no longer met.    </w:t>
      </w:r>
    </w:p>
    <w:p w:rsidR="00836A04" w:rsidRPr="00EB3E6F" w:rsidRDefault="00836A04" w:rsidP="00A107DD">
      <w:pPr>
        <w:spacing w:after="0"/>
        <w:rPr>
          <w:rFonts w:ascii="Times New Roman" w:hAnsi="Times New Roman" w:cs="Times New Roman"/>
          <w:sz w:val="24"/>
          <w:szCs w:val="24"/>
        </w:rPr>
      </w:pP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116779" w:rsidRPr="00116779" w:rsidRDefault="00116779" w:rsidP="00116779">
      <w:pPr>
        <w:spacing w:after="0"/>
        <w:rPr>
          <w:rFonts w:ascii="Times New Roman" w:hAnsi="Times New Roman" w:cs="Times New Roman"/>
          <w:sz w:val="24"/>
          <w:szCs w:val="24"/>
        </w:rPr>
      </w:pPr>
    </w:p>
    <w:p w:rsidR="00A107DD" w:rsidRPr="00A107DD" w:rsidRDefault="00A107DD" w:rsidP="003B09A2">
      <w:pPr>
        <w:autoSpaceDE w:val="0"/>
        <w:autoSpaceDN w:val="0"/>
        <w:adjustRightInd w:val="0"/>
        <w:spacing w:after="0" w:line="240" w:lineRule="auto"/>
        <w:rPr>
          <w:rFonts w:ascii="Times New Roman" w:eastAsia="Times New Roman" w:hAnsi="Times New Roman" w:cs="Times New Roman"/>
          <w:sz w:val="24"/>
          <w:szCs w:val="24"/>
        </w:rPr>
      </w:pPr>
      <w:r w:rsidRPr="00A107D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Commission uses the</w:t>
      </w:r>
      <w:r w:rsidRPr="00A107DD">
        <w:rPr>
          <w:rFonts w:ascii="Times New Roman" w:eastAsia="Times New Roman" w:hAnsi="Times New Roman" w:cs="Times New Roman"/>
          <w:sz w:val="24"/>
          <w:szCs w:val="24"/>
        </w:rPr>
        <w:t xml:space="preserve"> information </w:t>
      </w:r>
      <w:r>
        <w:rPr>
          <w:rFonts w:ascii="Times New Roman" w:eastAsia="Times New Roman" w:hAnsi="Times New Roman" w:cs="Times New Roman"/>
          <w:sz w:val="24"/>
          <w:szCs w:val="24"/>
        </w:rPr>
        <w:t xml:space="preserve">collected by FERC-912 </w:t>
      </w:r>
      <w:r w:rsidRPr="00A107DD">
        <w:rPr>
          <w:rFonts w:ascii="Times New Roman" w:eastAsia="Times New Roman" w:hAnsi="Times New Roman" w:cs="Times New Roman"/>
          <w:sz w:val="24"/>
          <w:szCs w:val="24"/>
        </w:rPr>
        <w:t>to determine if an order is appropriate and required under PURPA section 210(m)</w:t>
      </w:r>
      <w:r w:rsidR="006B4576" w:rsidRPr="006B4576">
        <w:rPr>
          <w:rStyle w:val="FootnoteReference"/>
          <w:rFonts w:ascii="Times New Roman" w:eastAsia="Times New Roman" w:hAnsi="Times New Roman" w:cs="Times New Roman"/>
          <w:sz w:val="24"/>
          <w:szCs w:val="24"/>
          <w:vertAlign w:val="superscript"/>
        </w:rPr>
        <w:footnoteReference w:id="1"/>
      </w:r>
      <w:r w:rsidRPr="00A107DD">
        <w:rPr>
          <w:rFonts w:ascii="Times New Roman" w:eastAsia="Times New Roman" w:hAnsi="Times New Roman" w:cs="Times New Roman"/>
          <w:sz w:val="24"/>
          <w:szCs w:val="24"/>
        </w:rPr>
        <w:t>.  Without this collection of information, the Commission would not be able to carry out its obligations under PURPA section 210(m).</w:t>
      </w:r>
    </w:p>
    <w:p w:rsidR="00EB3E6F" w:rsidRDefault="00E65CE0" w:rsidP="00950BC1">
      <w:pPr>
        <w:spacing w:after="0"/>
        <w:rPr>
          <w:rFonts w:ascii="Times New Roman" w:hAnsi="Times New Roman" w:cs="Times New Roman"/>
          <w:sz w:val="24"/>
          <w:szCs w:val="24"/>
        </w:rPr>
      </w:pPr>
      <w:r w:rsidRPr="00E65CE0">
        <w:rPr>
          <w:rFonts w:ascii="Times New Roman" w:hAnsi="Times New Roman" w:cs="Times New Roman"/>
          <w:sz w:val="24"/>
          <w:szCs w:val="24"/>
        </w:rPr>
        <w:lastRenderedPageBreak/>
        <w:t xml:space="preserve"> </w:t>
      </w:r>
    </w:p>
    <w:p w:rsidR="00E65CE0" w:rsidRPr="00EB3E6F" w:rsidRDefault="00E65CE0"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Default="00EB3E6F" w:rsidP="00EB3E6F">
      <w:pPr>
        <w:spacing w:after="0"/>
        <w:rPr>
          <w:rFonts w:ascii="Times New Roman" w:hAnsi="Times New Roman" w:cs="Times New Roman"/>
          <w:sz w:val="24"/>
          <w:szCs w:val="24"/>
        </w:rPr>
      </w:pPr>
    </w:p>
    <w:p w:rsidR="007A2C84" w:rsidRDefault="00A107DD" w:rsidP="00E65CE0">
      <w:pPr>
        <w:spacing w:after="0"/>
        <w:rPr>
          <w:rFonts w:ascii="Times New Roman" w:hAnsi="Times New Roman" w:cs="Times New Roman"/>
          <w:sz w:val="24"/>
          <w:szCs w:val="24"/>
        </w:rPr>
      </w:pPr>
      <w:r>
        <w:rPr>
          <w:rFonts w:ascii="Times New Roman" w:hAnsi="Times New Roman" w:cs="Times New Roman"/>
          <w:sz w:val="24"/>
          <w:szCs w:val="24"/>
        </w:rPr>
        <w:t xml:space="preserve">FERC-912 applicants can use the eFiling system to file the required information </w:t>
      </w:r>
      <w:r w:rsidR="007A2C84">
        <w:rPr>
          <w:rFonts w:ascii="Times New Roman" w:hAnsi="Times New Roman" w:cs="Times New Roman"/>
          <w:sz w:val="24"/>
          <w:szCs w:val="24"/>
        </w:rPr>
        <w:t>to the Commission.  Applicants should visit the eFiling website (</w:t>
      </w:r>
      <w:hyperlink r:id="rId9" w:history="1">
        <w:r w:rsidR="007A2C84" w:rsidRPr="009D11CF">
          <w:rPr>
            <w:rStyle w:val="Hyperlink"/>
            <w:rFonts w:ascii="Times New Roman" w:hAnsi="Times New Roman" w:cs="Times New Roman"/>
            <w:sz w:val="24"/>
            <w:szCs w:val="24"/>
          </w:rPr>
          <w:t>http://www.ferc.gov/docs-filing/efiling.asp</w:t>
        </w:r>
      </w:hyperlink>
      <w:r w:rsidR="007A2C84">
        <w:rPr>
          <w:rFonts w:ascii="Times New Roman" w:hAnsi="Times New Roman" w:cs="Times New Roman"/>
          <w:sz w:val="24"/>
          <w:szCs w:val="24"/>
        </w:rPr>
        <w:t>) to find information on what file formats are acceptable.</w:t>
      </w:r>
    </w:p>
    <w:p w:rsidR="00CC7AE4" w:rsidRPr="00EB3E6F" w:rsidRDefault="00CC7AE4" w:rsidP="00E65CE0">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D20C0A">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Default="00EB3E6F" w:rsidP="00EB3E6F">
      <w:pPr>
        <w:spacing w:after="0"/>
        <w:rPr>
          <w:rFonts w:ascii="Times New Roman" w:hAnsi="Times New Roman" w:cs="Times New Roman"/>
          <w:sz w:val="24"/>
          <w:szCs w:val="24"/>
        </w:rPr>
      </w:pPr>
    </w:p>
    <w:p w:rsidR="00EB3E6F" w:rsidRDefault="007A2C84" w:rsidP="00EB3E6F">
      <w:pPr>
        <w:spacing w:after="0"/>
        <w:rPr>
          <w:rFonts w:ascii="Times New Roman" w:hAnsi="Times New Roman" w:cs="Times New Roman"/>
          <w:sz w:val="24"/>
          <w:szCs w:val="24"/>
        </w:rPr>
      </w:pPr>
      <w:r w:rsidRPr="007A2C84">
        <w:rPr>
          <w:rFonts w:ascii="Times New Roman" w:hAnsi="Times New Roman" w:cs="Times New Roman"/>
          <w:sz w:val="24"/>
          <w:szCs w:val="24"/>
        </w:rPr>
        <w:t>The information filed in FERC-912 is unique in the universe of publicly available electric energy information.  Commission staff searched for other sources of this information and found none.  In addition, the Commission asked the public, through a Federal</w:t>
      </w:r>
      <w:r>
        <w:rPr>
          <w:rFonts w:ascii="Times New Roman" w:hAnsi="Times New Roman" w:cs="Times New Roman"/>
          <w:sz w:val="24"/>
          <w:szCs w:val="24"/>
        </w:rPr>
        <w:t xml:space="preserve"> Register Notice, </w:t>
      </w:r>
      <w:r w:rsidRPr="007A2C84">
        <w:rPr>
          <w:rFonts w:ascii="Times New Roman" w:hAnsi="Times New Roman" w:cs="Times New Roman"/>
          <w:sz w:val="24"/>
          <w:szCs w:val="24"/>
        </w:rPr>
        <w:t>whether other sources existed and none were identified.</w:t>
      </w:r>
    </w:p>
    <w:p w:rsidR="007A2C84" w:rsidRPr="00EB3E6F" w:rsidRDefault="007A2C84"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417678" w:rsidRPr="00417678" w:rsidRDefault="00417678" w:rsidP="00417678">
      <w:pPr>
        <w:autoSpaceDE w:val="0"/>
        <w:autoSpaceDN w:val="0"/>
        <w:adjustRightInd w:val="0"/>
        <w:spacing w:after="0" w:line="240" w:lineRule="auto"/>
        <w:rPr>
          <w:rFonts w:ascii="Times New Roman" w:eastAsia="Times New Roman" w:hAnsi="Times New Roman" w:cs="Times New Roman"/>
          <w:sz w:val="24"/>
          <w:szCs w:val="24"/>
        </w:rPr>
      </w:pPr>
      <w:r w:rsidRPr="00417678">
        <w:rPr>
          <w:rFonts w:ascii="Times New Roman" w:eastAsia="Times New Roman" w:hAnsi="Times New Roman" w:cs="Times New Roman"/>
          <w:sz w:val="24"/>
          <w:szCs w:val="24"/>
        </w:rPr>
        <w:t>In Order No. 671</w:t>
      </w:r>
      <w:r w:rsidR="00156F4C">
        <w:rPr>
          <w:rFonts w:ascii="Times New Roman" w:eastAsia="Times New Roman" w:hAnsi="Times New Roman" w:cs="Times New Roman"/>
          <w:sz w:val="24"/>
          <w:szCs w:val="24"/>
        </w:rPr>
        <w:t>,</w:t>
      </w:r>
      <w:r w:rsidRPr="00417678">
        <w:rPr>
          <w:rFonts w:ascii="Times New Roman" w:eastAsia="Times New Roman" w:hAnsi="Times New Roman" w:cs="Times New Roman"/>
          <w:sz w:val="24"/>
          <w:szCs w:val="24"/>
        </w:rPr>
        <w:t xml:space="preserve"> the Commission established a rebuttable blanket presumption that all QFs with a net capacity less than or equal to 20 MW do not have nondiscriminatory access to wholesale markets described in section 210(m).  With this rebuttable presumption these QFs are not required to make filings under PURPA section 210(m</w:t>
      </w:r>
      <w:proofErr w:type="gramStart"/>
      <w:r w:rsidRPr="00417678">
        <w:rPr>
          <w:rFonts w:ascii="Times New Roman" w:eastAsia="Times New Roman" w:hAnsi="Times New Roman" w:cs="Times New Roman"/>
          <w:sz w:val="24"/>
          <w:szCs w:val="24"/>
        </w:rPr>
        <w:t>)(</w:t>
      </w:r>
      <w:proofErr w:type="gramEnd"/>
      <w:r w:rsidRPr="00417678">
        <w:rPr>
          <w:rFonts w:ascii="Times New Roman" w:eastAsia="Times New Roman" w:hAnsi="Times New Roman" w:cs="Times New Roman"/>
          <w:sz w:val="24"/>
          <w:szCs w:val="24"/>
        </w:rPr>
        <w:t>3).</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RDefault="00EB3E6F" w:rsidP="00EB3E6F">
      <w:pPr>
        <w:spacing w:after="0"/>
        <w:rPr>
          <w:rFonts w:ascii="Times New Roman" w:hAnsi="Times New Roman" w:cs="Times New Roman"/>
          <w:sz w:val="24"/>
          <w:szCs w:val="24"/>
        </w:rPr>
      </w:pPr>
    </w:p>
    <w:p w:rsidR="00156F4C" w:rsidRPr="00156F4C" w:rsidRDefault="00156F4C" w:rsidP="003B09A2">
      <w:pPr>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file the</w:t>
      </w:r>
      <w:r w:rsidRPr="00156F4C">
        <w:rPr>
          <w:rFonts w:ascii="Times New Roman" w:eastAsia="Times New Roman" w:hAnsi="Times New Roman" w:cs="Times New Roman"/>
          <w:sz w:val="24"/>
          <w:szCs w:val="24"/>
        </w:rPr>
        <w:t xml:space="preserve"> FERC-912 information </w:t>
      </w:r>
      <w:r>
        <w:rPr>
          <w:rFonts w:ascii="Times New Roman" w:eastAsia="Times New Roman" w:hAnsi="Times New Roman" w:cs="Times New Roman"/>
          <w:sz w:val="24"/>
          <w:szCs w:val="24"/>
        </w:rPr>
        <w:t xml:space="preserve">only </w:t>
      </w:r>
      <w:r w:rsidRPr="00156F4C">
        <w:rPr>
          <w:rFonts w:ascii="Times New Roman" w:eastAsia="Times New Roman" w:hAnsi="Times New Roman" w:cs="Times New Roman"/>
          <w:sz w:val="24"/>
          <w:szCs w:val="24"/>
        </w:rPr>
        <w:t xml:space="preserve">when circumstances in 18 CFR </w:t>
      </w:r>
      <w:r>
        <w:rPr>
          <w:rFonts w:ascii="Times New Roman" w:eastAsia="Times New Roman" w:hAnsi="Times New Roman" w:cs="Times New Roman"/>
          <w:sz w:val="24"/>
          <w:szCs w:val="24"/>
        </w:rPr>
        <w:t>P</w:t>
      </w:r>
      <w:r w:rsidRPr="00156F4C">
        <w:rPr>
          <w:rFonts w:ascii="Times New Roman" w:eastAsia="Times New Roman" w:hAnsi="Times New Roman" w:cs="Times New Roman"/>
          <w:sz w:val="24"/>
          <w:szCs w:val="24"/>
        </w:rPr>
        <w:t>art 292 dictate</w:t>
      </w:r>
      <w:r w:rsidR="00EC3FE1">
        <w:rPr>
          <w:rFonts w:ascii="Times New Roman" w:eastAsia="Times New Roman" w:hAnsi="Times New Roman" w:cs="Times New Roman"/>
          <w:sz w:val="24"/>
          <w:szCs w:val="24"/>
        </w:rPr>
        <w:t xml:space="preserve"> so</w:t>
      </w:r>
      <w:r w:rsidRPr="00156F4C">
        <w:rPr>
          <w:rFonts w:ascii="Times New Roman" w:eastAsia="Times New Roman" w:hAnsi="Times New Roman" w:cs="Times New Roman"/>
          <w:sz w:val="24"/>
          <w:szCs w:val="24"/>
        </w:rPr>
        <w:t xml:space="preserve">.  This is not a collection conducted on a recurring basis.  </w:t>
      </w:r>
      <w:r w:rsidR="00EC3FE1">
        <w:rPr>
          <w:rFonts w:ascii="Times New Roman" w:eastAsia="Times New Roman" w:hAnsi="Times New Roman" w:cs="Times New Roman"/>
          <w:sz w:val="24"/>
          <w:szCs w:val="24"/>
        </w:rPr>
        <w:t xml:space="preserve">The Commission cannot conduct this information collection less frequently.  </w:t>
      </w:r>
      <w:r w:rsidRPr="00156F4C">
        <w:rPr>
          <w:rFonts w:ascii="Times New Roman" w:eastAsia="Times New Roman" w:hAnsi="Times New Roman" w:cs="Times New Roman"/>
          <w:sz w:val="24"/>
          <w:szCs w:val="24"/>
        </w:rPr>
        <w:t>The only way to conduct this collection less frequently would be</w:t>
      </w:r>
      <w:r w:rsidR="00EC3FE1">
        <w:rPr>
          <w:rFonts w:ascii="Times New Roman" w:eastAsia="Times New Roman" w:hAnsi="Times New Roman" w:cs="Times New Roman"/>
          <w:sz w:val="24"/>
          <w:szCs w:val="24"/>
        </w:rPr>
        <w:t xml:space="preserve"> to discontinue it.  That</w:t>
      </w:r>
      <w:r w:rsidRPr="00156F4C">
        <w:rPr>
          <w:rFonts w:ascii="Times New Roman" w:eastAsia="Times New Roman" w:hAnsi="Times New Roman" w:cs="Times New Roman"/>
          <w:sz w:val="24"/>
          <w:szCs w:val="24"/>
        </w:rPr>
        <w:t xml:space="preserve"> would result in the Commission failing to meet its statutory mandates.  </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EB3E6F" w:rsidRPr="00CA59C3" w:rsidRDefault="00F10526" w:rsidP="00C84FE6">
      <w:pPr>
        <w:spacing w:after="0"/>
        <w:rPr>
          <w:rFonts w:ascii="Times New Roman" w:hAnsi="Times New Roman" w:cs="Times New Roman"/>
          <w:sz w:val="24"/>
          <w:szCs w:val="24"/>
        </w:rPr>
      </w:pPr>
      <w:r>
        <w:rPr>
          <w:rFonts w:ascii="Times New Roman" w:hAnsi="Times New Roman" w:cs="Times New Roman"/>
          <w:sz w:val="24"/>
          <w:szCs w:val="24"/>
        </w:rPr>
        <w:t>The information collection</w:t>
      </w:r>
      <w:r w:rsidR="00C84FE6" w:rsidRPr="00C84FE6">
        <w:rPr>
          <w:rFonts w:ascii="Times New Roman" w:hAnsi="Times New Roman" w:cs="Times New Roman"/>
          <w:sz w:val="24"/>
          <w:szCs w:val="24"/>
        </w:rPr>
        <w:t xml:space="preserve"> meets all of OMB's section 1320.5 requirements.  </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EB3E6F" w:rsidRDefault="00C84FE6" w:rsidP="00C84FE6">
      <w:pPr>
        <w:spacing w:after="0"/>
        <w:rPr>
          <w:rFonts w:ascii="Times New Roman" w:hAnsi="Times New Roman" w:cs="Times New Roman"/>
          <w:sz w:val="24"/>
          <w:szCs w:val="24"/>
        </w:rPr>
      </w:pPr>
      <w:r w:rsidRPr="00C84FE6">
        <w:rPr>
          <w:rFonts w:ascii="Times New Roman" w:hAnsi="Times New Roman" w:cs="Times New Roman"/>
          <w:sz w:val="24"/>
          <w:szCs w:val="24"/>
        </w:rPr>
        <w:t>In a</w:t>
      </w:r>
      <w:r w:rsidR="007164EF">
        <w:rPr>
          <w:rFonts w:ascii="Times New Roman" w:hAnsi="Times New Roman" w:cs="Times New Roman"/>
          <w:sz w:val="24"/>
          <w:szCs w:val="24"/>
        </w:rPr>
        <w:t>ccordance with OMB requirements</w:t>
      </w:r>
      <w:r w:rsidRPr="00C84FE6">
        <w:rPr>
          <w:rFonts w:ascii="Times New Roman" w:hAnsi="Times New Roman" w:cs="Times New Roman"/>
          <w:sz w:val="24"/>
          <w:szCs w:val="24"/>
        </w:rPr>
        <w:t>, the Commission published a 60-day notice</w:t>
      </w:r>
      <w:bookmarkStart w:id="0" w:name="_Ref332712251"/>
      <w:r w:rsidR="007164EF" w:rsidRPr="007164EF">
        <w:rPr>
          <w:rStyle w:val="FootnoteReference"/>
          <w:rFonts w:ascii="Times New Roman" w:hAnsi="Times New Roman" w:cs="Times New Roman"/>
          <w:sz w:val="24"/>
          <w:szCs w:val="24"/>
          <w:vertAlign w:val="superscript"/>
        </w:rPr>
        <w:footnoteReference w:id="2"/>
      </w:r>
      <w:bookmarkEnd w:id="0"/>
      <w:r w:rsidR="007164EF">
        <w:rPr>
          <w:rFonts w:ascii="Times New Roman" w:hAnsi="Times New Roman" w:cs="Times New Roman"/>
          <w:sz w:val="24"/>
          <w:szCs w:val="24"/>
        </w:rPr>
        <w:t xml:space="preserve"> and a 30-day notice</w:t>
      </w:r>
      <w:r w:rsidR="007164EF" w:rsidRPr="007737B1">
        <w:rPr>
          <w:rStyle w:val="FootnoteReference"/>
          <w:rFonts w:ascii="Times New Roman" w:hAnsi="Times New Roman" w:cs="Times New Roman"/>
          <w:sz w:val="24"/>
          <w:szCs w:val="24"/>
          <w:vertAlign w:val="superscript"/>
        </w:rPr>
        <w:footnoteReference w:id="3"/>
      </w:r>
      <w:r w:rsidR="007164EF">
        <w:rPr>
          <w:rFonts w:ascii="Times New Roman" w:hAnsi="Times New Roman" w:cs="Times New Roman"/>
          <w:sz w:val="24"/>
          <w:szCs w:val="24"/>
        </w:rPr>
        <w:t xml:space="preserve"> </w:t>
      </w:r>
      <w:r w:rsidRPr="00C84FE6">
        <w:rPr>
          <w:rFonts w:ascii="Times New Roman" w:hAnsi="Times New Roman" w:cs="Times New Roman"/>
          <w:sz w:val="24"/>
          <w:szCs w:val="24"/>
        </w:rPr>
        <w:t xml:space="preserve">to the public regarding </w:t>
      </w:r>
      <w:r w:rsidR="007164EF">
        <w:rPr>
          <w:rFonts w:ascii="Times New Roman" w:hAnsi="Times New Roman" w:cs="Times New Roman"/>
          <w:sz w:val="24"/>
          <w:szCs w:val="24"/>
        </w:rPr>
        <w:t>thi</w:t>
      </w:r>
      <w:r w:rsidR="00044424">
        <w:rPr>
          <w:rFonts w:ascii="Times New Roman" w:hAnsi="Times New Roman" w:cs="Times New Roman"/>
          <w:sz w:val="24"/>
          <w:szCs w:val="24"/>
        </w:rPr>
        <w:t xml:space="preserve">s information collection on </w:t>
      </w:r>
      <w:r w:rsidR="00EC3FE1" w:rsidRPr="00EC3FE1">
        <w:rPr>
          <w:rFonts w:ascii="Times New Roman" w:hAnsi="Times New Roman" w:cs="Times New Roman"/>
          <w:sz w:val="24"/>
          <w:szCs w:val="24"/>
        </w:rPr>
        <w:t>9/20</w:t>
      </w:r>
      <w:r w:rsidR="007164EF" w:rsidRPr="00EC3FE1">
        <w:rPr>
          <w:rFonts w:ascii="Times New Roman" w:hAnsi="Times New Roman" w:cs="Times New Roman"/>
          <w:sz w:val="24"/>
          <w:szCs w:val="24"/>
        </w:rPr>
        <w:t>/2012</w:t>
      </w:r>
      <w:r w:rsidR="007164EF">
        <w:rPr>
          <w:rFonts w:ascii="Times New Roman" w:hAnsi="Times New Roman" w:cs="Times New Roman"/>
          <w:sz w:val="24"/>
          <w:szCs w:val="24"/>
        </w:rPr>
        <w:t xml:space="preserve"> </w:t>
      </w:r>
      <w:r w:rsidR="00EC3FE1">
        <w:rPr>
          <w:rFonts w:ascii="Times New Roman" w:hAnsi="Times New Roman" w:cs="Times New Roman"/>
          <w:sz w:val="24"/>
          <w:szCs w:val="24"/>
        </w:rPr>
        <w:t xml:space="preserve">and </w:t>
      </w:r>
      <w:r w:rsidR="00EC3FE1" w:rsidRPr="00EC3FE1">
        <w:rPr>
          <w:rFonts w:ascii="Times New Roman" w:hAnsi="Times New Roman" w:cs="Times New Roman"/>
          <w:sz w:val="24"/>
          <w:szCs w:val="24"/>
        </w:rPr>
        <w:t>11/29</w:t>
      </w:r>
      <w:r w:rsidRPr="00EC3FE1">
        <w:rPr>
          <w:rFonts w:ascii="Times New Roman" w:hAnsi="Times New Roman" w:cs="Times New Roman"/>
          <w:sz w:val="24"/>
          <w:szCs w:val="24"/>
        </w:rPr>
        <w:t>/2012</w:t>
      </w:r>
      <w:r w:rsidRPr="00C84FE6">
        <w:rPr>
          <w:rFonts w:ascii="Times New Roman" w:hAnsi="Times New Roman" w:cs="Times New Roman"/>
          <w:sz w:val="24"/>
          <w:szCs w:val="24"/>
        </w:rPr>
        <w:t xml:space="preserve"> respectively. Within the public notice, the Commission noted that it would be requesting a three-year extension of the public reporting burden with no change to the existing requirements concerning the collection of </w:t>
      </w:r>
      <w:r w:rsidR="00F10526">
        <w:rPr>
          <w:rFonts w:ascii="Times New Roman" w:hAnsi="Times New Roman" w:cs="Times New Roman"/>
          <w:sz w:val="24"/>
          <w:szCs w:val="24"/>
        </w:rPr>
        <w:t>data.  The Commission received no comments</w:t>
      </w:r>
      <w:r w:rsidRPr="00C84FE6">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D80FBD" w:rsidRDefault="00C84FE6" w:rsidP="00F12DC2">
      <w:pPr>
        <w:spacing w:after="0"/>
        <w:rPr>
          <w:rFonts w:ascii="Times New Roman" w:hAnsi="Times New Roman" w:cs="Times New Roman"/>
          <w:sz w:val="24"/>
          <w:szCs w:val="24"/>
        </w:rPr>
      </w:pPr>
      <w:r w:rsidRPr="00C84FE6">
        <w:rPr>
          <w:rFonts w:ascii="Times New Roman" w:hAnsi="Times New Roman" w:cs="Times New Roman"/>
          <w:sz w:val="24"/>
          <w:szCs w:val="24"/>
        </w:rPr>
        <w:t>There are no payments or gifts to FE</w:t>
      </w:r>
      <w:r w:rsidR="00CD0831">
        <w:rPr>
          <w:rFonts w:ascii="Times New Roman" w:hAnsi="Times New Roman" w:cs="Times New Roman"/>
          <w:sz w:val="24"/>
          <w:szCs w:val="24"/>
        </w:rPr>
        <w:t>RC-912</w:t>
      </w:r>
      <w:r w:rsidRPr="00C84FE6">
        <w:rPr>
          <w:rFonts w:ascii="Times New Roman" w:hAnsi="Times New Roman" w:cs="Times New Roman"/>
          <w:sz w:val="24"/>
          <w:szCs w:val="24"/>
        </w:rPr>
        <w:t xml:space="preserve"> respondents.</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D80FBD">
      <w:pPr>
        <w:spacing w:after="0"/>
        <w:rPr>
          <w:rFonts w:ascii="Times New Roman" w:hAnsi="Times New Roman" w:cs="Times New Roman"/>
          <w:sz w:val="24"/>
          <w:szCs w:val="24"/>
        </w:rPr>
      </w:pPr>
    </w:p>
    <w:p w:rsidR="00D80FBD" w:rsidRDefault="007164EF" w:rsidP="008A21A4">
      <w:pPr>
        <w:spacing w:after="0"/>
        <w:rPr>
          <w:rFonts w:ascii="Times New Roman" w:hAnsi="Times New Roman" w:cs="Times New Roman"/>
          <w:sz w:val="24"/>
          <w:szCs w:val="24"/>
        </w:rPr>
      </w:pPr>
      <w:r>
        <w:rPr>
          <w:rFonts w:ascii="Times New Roman" w:hAnsi="Times New Roman" w:cs="Times New Roman"/>
          <w:sz w:val="24"/>
          <w:szCs w:val="24"/>
        </w:rPr>
        <w:t>The Commission does not consider</w:t>
      </w:r>
      <w:r w:rsidR="00C84FE6" w:rsidRPr="00C84FE6">
        <w:rPr>
          <w:rFonts w:ascii="Times New Roman" w:hAnsi="Times New Roman" w:cs="Times New Roman"/>
          <w:sz w:val="24"/>
          <w:szCs w:val="24"/>
        </w:rPr>
        <w:t xml:space="preserve"> the i</w:t>
      </w:r>
      <w:r w:rsidR="00EC3FE1">
        <w:rPr>
          <w:rFonts w:ascii="Times New Roman" w:hAnsi="Times New Roman" w:cs="Times New Roman"/>
          <w:sz w:val="24"/>
          <w:szCs w:val="24"/>
        </w:rPr>
        <w:t>nformation collected in FERC-912</w:t>
      </w:r>
      <w:r w:rsidR="00C84FE6" w:rsidRPr="00C84FE6">
        <w:rPr>
          <w:rFonts w:ascii="Times New Roman" w:hAnsi="Times New Roman" w:cs="Times New Roman"/>
          <w:sz w:val="24"/>
          <w:szCs w:val="24"/>
        </w:rPr>
        <w:t xml:space="preserve"> filings to be</w:t>
      </w:r>
      <w:r>
        <w:rPr>
          <w:rFonts w:ascii="Times New Roman" w:hAnsi="Times New Roman" w:cs="Times New Roman"/>
          <w:sz w:val="24"/>
          <w:szCs w:val="24"/>
        </w:rPr>
        <w:t xml:space="preserve"> confidential</w:t>
      </w:r>
      <w:r w:rsidR="00C84FE6" w:rsidRPr="00C84FE6">
        <w:rPr>
          <w:rFonts w:ascii="Times New Roman" w:hAnsi="Times New Roman" w:cs="Times New Roman"/>
          <w:sz w:val="24"/>
          <w:szCs w:val="24"/>
        </w:rPr>
        <w:t xml:space="preserve">. </w:t>
      </w:r>
      <w:r>
        <w:rPr>
          <w:rFonts w:ascii="Times New Roman" w:hAnsi="Times New Roman" w:cs="Times New Roman"/>
          <w:sz w:val="24"/>
          <w:szCs w:val="24"/>
        </w:rPr>
        <w:t xml:space="preserve"> However, the filer may request privileged treatment of a filing that may contain information harmful to the competitive posture of the applicant if released to the general public.</w:t>
      </w:r>
      <w:r w:rsidR="00C84FE6" w:rsidRPr="007164EF">
        <w:rPr>
          <w:rStyle w:val="FootnoteReference"/>
          <w:rFonts w:ascii="Times New Roman" w:hAnsi="Times New Roman" w:cs="Times New Roman"/>
          <w:sz w:val="24"/>
          <w:szCs w:val="24"/>
          <w:vertAlign w:val="superscript"/>
        </w:rPr>
        <w:footnoteReference w:id="4"/>
      </w:r>
      <w:r w:rsidR="00C84FE6" w:rsidRPr="00C84FE6">
        <w:rPr>
          <w:rFonts w:ascii="Times New Roman" w:hAnsi="Times New Roman" w:cs="Times New Roman"/>
          <w:sz w:val="24"/>
          <w:szCs w:val="24"/>
        </w:rPr>
        <w:t xml:space="preserve">  </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rsidR="00D80FBD" w:rsidRDefault="00D80FBD" w:rsidP="00D80FBD">
      <w:pPr>
        <w:spacing w:after="0"/>
        <w:rPr>
          <w:rFonts w:ascii="Times New Roman" w:hAnsi="Times New Roman" w:cs="Times New Roman"/>
          <w:sz w:val="24"/>
          <w:szCs w:val="24"/>
        </w:rPr>
      </w:pPr>
    </w:p>
    <w:p w:rsidR="00D80FBD" w:rsidRDefault="00C84FE6" w:rsidP="008A21A4">
      <w:pPr>
        <w:spacing w:after="0"/>
        <w:rPr>
          <w:rFonts w:ascii="Times New Roman" w:hAnsi="Times New Roman" w:cs="Times New Roman"/>
          <w:sz w:val="24"/>
          <w:szCs w:val="24"/>
        </w:rPr>
      </w:pPr>
      <w:r w:rsidRPr="00C84FE6">
        <w:rPr>
          <w:rFonts w:ascii="Times New Roman" w:hAnsi="Times New Roman" w:cs="Times New Roman"/>
          <w:sz w:val="24"/>
          <w:szCs w:val="24"/>
        </w:rPr>
        <w:t>The Commissi</w:t>
      </w:r>
      <w:r w:rsidR="00EB06F5">
        <w:rPr>
          <w:rFonts w:ascii="Times New Roman" w:hAnsi="Times New Roman" w:cs="Times New Roman"/>
          <w:sz w:val="24"/>
          <w:szCs w:val="24"/>
        </w:rPr>
        <w:t xml:space="preserve">on considers the </w:t>
      </w:r>
      <w:r w:rsidRPr="00C84FE6">
        <w:rPr>
          <w:rFonts w:ascii="Times New Roman" w:hAnsi="Times New Roman" w:cs="Times New Roman"/>
          <w:sz w:val="24"/>
          <w:szCs w:val="24"/>
        </w:rPr>
        <w:t>que</w:t>
      </w:r>
      <w:r w:rsidR="00EB06F5">
        <w:rPr>
          <w:rFonts w:ascii="Times New Roman" w:hAnsi="Times New Roman" w:cs="Times New Roman"/>
          <w:sz w:val="24"/>
          <w:szCs w:val="24"/>
        </w:rPr>
        <w:t>stions within the FERC-</w:t>
      </w:r>
      <w:r w:rsidR="00EC3FE1">
        <w:rPr>
          <w:rFonts w:ascii="Times New Roman" w:hAnsi="Times New Roman" w:cs="Times New Roman"/>
          <w:sz w:val="24"/>
          <w:szCs w:val="24"/>
        </w:rPr>
        <w:t>912</w:t>
      </w:r>
      <w:r w:rsidR="00EB06F5">
        <w:rPr>
          <w:rFonts w:ascii="Times New Roman" w:hAnsi="Times New Roman" w:cs="Times New Roman"/>
          <w:sz w:val="24"/>
          <w:szCs w:val="24"/>
        </w:rPr>
        <w:t xml:space="preserve"> neither sensitive in nature nor private.</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8A21A4" w:rsidRDefault="008A21A4" w:rsidP="00D80FBD">
      <w:pPr>
        <w:spacing w:after="0"/>
        <w:rPr>
          <w:rFonts w:ascii="Times New Roman" w:hAnsi="Times New Roman" w:cs="Times New Roman"/>
          <w:sz w:val="24"/>
          <w:szCs w:val="24"/>
        </w:rPr>
      </w:pPr>
    </w:p>
    <w:p w:rsidR="00D80FBD" w:rsidRDefault="00D80FBD" w:rsidP="00D80FBD">
      <w:pPr>
        <w:spacing w:after="0"/>
        <w:rPr>
          <w:rFonts w:ascii="Times New Roman" w:hAnsi="Times New Roman" w:cs="Times New Roman"/>
          <w:sz w:val="24"/>
          <w:szCs w:val="24"/>
        </w:rPr>
      </w:pPr>
      <w:r>
        <w:rPr>
          <w:rFonts w:ascii="Times New Roman" w:hAnsi="Times New Roman" w:cs="Times New Roman"/>
          <w:sz w:val="24"/>
          <w:szCs w:val="24"/>
        </w:rPr>
        <w:t xml:space="preserve">The Commission estimates the Public Reporting Burden for </w:t>
      </w:r>
      <w:r w:rsidR="00BA7C56">
        <w:rPr>
          <w:rFonts w:ascii="Times New Roman" w:hAnsi="Times New Roman" w:cs="Times New Roman"/>
          <w:sz w:val="24"/>
          <w:szCs w:val="24"/>
        </w:rPr>
        <w:t>this information collection as:</w:t>
      </w:r>
    </w:p>
    <w:tbl>
      <w:tblPr>
        <w:tblpPr w:leftFromText="180" w:rightFromText="180" w:vertAnchor="text" w:horzAnchor="margin" w:tblpX="36" w:tblpY="22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530"/>
        <w:gridCol w:w="1530"/>
        <w:gridCol w:w="1530"/>
        <w:gridCol w:w="1800"/>
        <w:gridCol w:w="1260"/>
      </w:tblGrid>
      <w:tr w:rsidR="00D80FBD" w:rsidRPr="00D80FBD" w:rsidTr="005F1C3C">
        <w:trPr>
          <w:trHeight w:val="347"/>
        </w:trPr>
        <w:tc>
          <w:tcPr>
            <w:tcW w:w="9288" w:type="dxa"/>
            <w:gridSpan w:val="6"/>
            <w:shd w:val="clear" w:color="auto" w:fill="D9D9D9"/>
            <w:vAlign w:val="center"/>
          </w:tcPr>
          <w:p w:rsidR="00D80FBD" w:rsidRPr="00D80FBD" w:rsidRDefault="00D80FBD" w:rsidP="00C65768">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EC3FE1">
              <w:rPr>
                <w:rFonts w:ascii="Times New Roman" w:hAnsi="Times New Roman" w:cs="Times New Roman"/>
                <w:b/>
                <w:sz w:val="24"/>
                <w:szCs w:val="24"/>
              </w:rPr>
              <w:t>912</w:t>
            </w:r>
            <w:r w:rsidRPr="00D80FBD">
              <w:rPr>
                <w:rFonts w:ascii="Times New Roman" w:hAnsi="Times New Roman" w:cs="Times New Roman"/>
                <w:b/>
                <w:sz w:val="24"/>
                <w:szCs w:val="24"/>
              </w:rPr>
              <w:t xml:space="preserve">: </w:t>
            </w:r>
            <w:r w:rsidRPr="00D80FBD">
              <w:rPr>
                <w:rFonts w:ascii="Times New Roman" w:hAnsi="Times New Roman" w:cs="Times New Roman"/>
                <w:b/>
                <w:bCs/>
                <w:sz w:val="24"/>
                <w:szCs w:val="24"/>
              </w:rPr>
              <w:t xml:space="preserve"> </w:t>
            </w:r>
            <w:r w:rsidR="00044424" w:rsidRPr="00044424">
              <w:rPr>
                <w:rFonts w:ascii="Times New Roman" w:hAnsi="Times New Roman" w:cs="Times New Roman"/>
                <w:b/>
                <w:sz w:val="24"/>
                <w:szCs w:val="24"/>
              </w:rPr>
              <w:t xml:space="preserve"> </w:t>
            </w:r>
            <w:r w:rsidR="00EC3FE1">
              <w:t xml:space="preserve"> </w:t>
            </w:r>
            <w:r w:rsidR="00EC3FE1" w:rsidRPr="00EC3FE1">
              <w:rPr>
                <w:rFonts w:ascii="Times New Roman" w:hAnsi="Times New Roman" w:cs="Times New Roman"/>
                <w:b/>
                <w:bCs/>
                <w:sz w:val="24"/>
                <w:szCs w:val="24"/>
              </w:rPr>
              <w:t>Cogeneration and Small Power Production, PURPA Section 210(m) Regulations for Termination or Reinstatement of Obligation to Purchase or Sell</w:t>
            </w:r>
          </w:p>
        </w:tc>
      </w:tr>
      <w:tr w:rsidR="00D80FBD" w:rsidRPr="00D80FBD" w:rsidTr="00EC3FE1">
        <w:trPr>
          <w:trHeight w:val="1250"/>
        </w:trPr>
        <w:tc>
          <w:tcPr>
            <w:tcW w:w="1638" w:type="dxa"/>
            <w:shd w:val="clear" w:color="auto" w:fill="D9D9D9"/>
            <w:vAlign w:val="bottom"/>
          </w:tcPr>
          <w:p w:rsidR="00D80FBD" w:rsidRPr="00D80FBD" w:rsidRDefault="00D80FBD" w:rsidP="00D80FBD">
            <w:pPr>
              <w:spacing w:after="0" w:line="240" w:lineRule="auto"/>
              <w:rPr>
                <w:rFonts w:ascii="Times New Roman" w:hAnsi="Times New Roman" w:cs="Times New Roman"/>
                <w:b/>
                <w:sz w:val="24"/>
                <w:szCs w:val="24"/>
              </w:rPr>
            </w:pPr>
          </w:p>
        </w:tc>
        <w:tc>
          <w:tcPr>
            <w:tcW w:w="153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Respondents</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w:t>
            </w:r>
          </w:p>
        </w:tc>
        <w:tc>
          <w:tcPr>
            <w:tcW w:w="153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Responses Per Respondent</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(B)</w:t>
            </w:r>
          </w:p>
        </w:tc>
        <w:tc>
          <w:tcPr>
            <w:tcW w:w="153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Number of Responses</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(A)x(B)=(C)</w:t>
            </w:r>
          </w:p>
        </w:tc>
        <w:tc>
          <w:tcPr>
            <w:tcW w:w="180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Average Burden Hours per Response</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(D)</w:t>
            </w:r>
          </w:p>
        </w:tc>
        <w:tc>
          <w:tcPr>
            <w:tcW w:w="126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Estimated Total Annual Burden</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(C)x(D)</w:t>
            </w:r>
          </w:p>
        </w:tc>
      </w:tr>
      <w:tr w:rsidR="00D80FBD" w:rsidRPr="00D80FBD" w:rsidTr="00EC3FE1">
        <w:tc>
          <w:tcPr>
            <w:tcW w:w="1638" w:type="dxa"/>
          </w:tcPr>
          <w:p w:rsidR="00D80FBD" w:rsidRPr="00D80FBD" w:rsidRDefault="00EC3FE1" w:rsidP="00EB06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Termination of obligation </w:t>
            </w:r>
            <w:r>
              <w:rPr>
                <w:rFonts w:ascii="Times New Roman" w:hAnsi="Times New Roman" w:cs="Times New Roman"/>
                <w:sz w:val="24"/>
                <w:szCs w:val="24"/>
              </w:rPr>
              <w:lastRenderedPageBreak/>
              <w:t>to purchase</w:t>
            </w:r>
          </w:p>
        </w:tc>
        <w:tc>
          <w:tcPr>
            <w:tcW w:w="1530" w:type="dxa"/>
            <w:vAlign w:val="bottom"/>
          </w:tcPr>
          <w:p w:rsidR="00D80FBD" w:rsidRPr="00D80FBD" w:rsidRDefault="00EC3FE1" w:rsidP="00D80FBD">
            <w:pPr>
              <w:pStyle w:val="LegalFormat"/>
              <w:numPr>
                <w:ilvl w:val="0"/>
                <w:numId w:val="0"/>
              </w:numPr>
              <w:spacing w:line="240" w:lineRule="auto"/>
              <w:jc w:val="right"/>
              <w:rPr>
                <w:sz w:val="24"/>
                <w:u w:val="none"/>
              </w:rPr>
            </w:pPr>
            <w:r>
              <w:rPr>
                <w:sz w:val="24"/>
                <w:u w:val="none"/>
              </w:rPr>
              <w:lastRenderedPageBreak/>
              <w:t>5</w:t>
            </w:r>
          </w:p>
        </w:tc>
        <w:tc>
          <w:tcPr>
            <w:tcW w:w="1530" w:type="dxa"/>
            <w:vAlign w:val="bottom"/>
          </w:tcPr>
          <w:p w:rsidR="00D80FBD" w:rsidRPr="00D80FBD" w:rsidRDefault="00EC3FE1" w:rsidP="00D80FBD">
            <w:pPr>
              <w:pStyle w:val="LegalFormat"/>
              <w:numPr>
                <w:ilvl w:val="0"/>
                <w:numId w:val="0"/>
              </w:numPr>
              <w:spacing w:line="240" w:lineRule="auto"/>
              <w:jc w:val="right"/>
              <w:rPr>
                <w:sz w:val="24"/>
                <w:u w:val="none"/>
              </w:rPr>
            </w:pPr>
            <w:r>
              <w:rPr>
                <w:sz w:val="24"/>
                <w:u w:val="none"/>
              </w:rPr>
              <w:t>1</w:t>
            </w:r>
          </w:p>
        </w:tc>
        <w:tc>
          <w:tcPr>
            <w:tcW w:w="1530" w:type="dxa"/>
            <w:vAlign w:val="bottom"/>
          </w:tcPr>
          <w:p w:rsidR="00D80FBD" w:rsidRPr="00D80FBD" w:rsidRDefault="00EC3FE1" w:rsidP="00D80FBD">
            <w:pPr>
              <w:pStyle w:val="LegalFormat"/>
              <w:numPr>
                <w:ilvl w:val="0"/>
                <w:numId w:val="0"/>
              </w:numPr>
              <w:spacing w:line="240" w:lineRule="auto"/>
              <w:jc w:val="right"/>
              <w:rPr>
                <w:sz w:val="24"/>
                <w:u w:val="none"/>
              </w:rPr>
            </w:pPr>
            <w:r>
              <w:rPr>
                <w:sz w:val="24"/>
                <w:u w:val="none"/>
              </w:rPr>
              <w:t>5</w:t>
            </w:r>
          </w:p>
        </w:tc>
        <w:tc>
          <w:tcPr>
            <w:tcW w:w="1800" w:type="dxa"/>
            <w:vAlign w:val="bottom"/>
          </w:tcPr>
          <w:p w:rsidR="00D80FBD" w:rsidRPr="00D80FBD" w:rsidRDefault="00EC3FE1" w:rsidP="00D80FBD">
            <w:pPr>
              <w:pStyle w:val="LegalFormat"/>
              <w:numPr>
                <w:ilvl w:val="0"/>
                <w:numId w:val="0"/>
              </w:numPr>
              <w:spacing w:line="240" w:lineRule="auto"/>
              <w:jc w:val="right"/>
              <w:rPr>
                <w:sz w:val="24"/>
                <w:u w:val="none"/>
              </w:rPr>
            </w:pPr>
            <w:r>
              <w:rPr>
                <w:sz w:val="24"/>
                <w:u w:val="none"/>
              </w:rPr>
              <w:t>12</w:t>
            </w:r>
          </w:p>
        </w:tc>
        <w:tc>
          <w:tcPr>
            <w:tcW w:w="1260" w:type="dxa"/>
            <w:vAlign w:val="bottom"/>
          </w:tcPr>
          <w:p w:rsidR="00D80FBD" w:rsidRPr="00D80FBD" w:rsidRDefault="00EC3FE1" w:rsidP="00D80FBD">
            <w:pPr>
              <w:pStyle w:val="LegalFormat"/>
              <w:numPr>
                <w:ilvl w:val="0"/>
                <w:numId w:val="0"/>
              </w:numPr>
              <w:spacing w:line="240" w:lineRule="auto"/>
              <w:jc w:val="right"/>
              <w:rPr>
                <w:sz w:val="24"/>
                <w:u w:val="none"/>
              </w:rPr>
            </w:pPr>
            <w:r>
              <w:rPr>
                <w:sz w:val="24"/>
                <w:u w:val="none"/>
              </w:rPr>
              <w:t>60</w:t>
            </w:r>
          </w:p>
        </w:tc>
      </w:tr>
      <w:tr w:rsidR="00EC3FE1" w:rsidRPr="00D80FBD" w:rsidTr="00EC3FE1">
        <w:tc>
          <w:tcPr>
            <w:tcW w:w="1638" w:type="dxa"/>
          </w:tcPr>
          <w:p w:rsidR="00EC3FE1" w:rsidRPr="00D80FBD" w:rsidRDefault="00EC3FE1" w:rsidP="00EB06F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Reinstatement of obligation to purchase</w:t>
            </w:r>
          </w:p>
        </w:tc>
        <w:tc>
          <w:tcPr>
            <w:tcW w:w="1530" w:type="dxa"/>
            <w:vAlign w:val="bottom"/>
          </w:tcPr>
          <w:p w:rsidR="00EC3FE1" w:rsidRDefault="00EC3FE1" w:rsidP="00D80FBD">
            <w:pPr>
              <w:pStyle w:val="LegalFormat"/>
              <w:numPr>
                <w:ilvl w:val="0"/>
                <w:numId w:val="0"/>
              </w:numPr>
              <w:spacing w:line="240" w:lineRule="auto"/>
              <w:jc w:val="right"/>
              <w:rPr>
                <w:sz w:val="24"/>
                <w:u w:val="none"/>
              </w:rPr>
            </w:pPr>
            <w:r>
              <w:rPr>
                <w:sz w:val="24"/>
                <w:u w:val="none"/>
              </w:rPr>
              <w:t>1</w:t>
            </w:r>
          </w:p>
        </w:tc>
        <w:tc>
          <w:tcPr>
            <w:tcW w:w="1530" w:type="dxa"/>
            <w:vAlign w:val="bottom"/>
          </w:tcPr>
          <w:p w:rsidR="00EC3FE1" w:rsidRDefault="00EC3FE1" w:rsidP="00D80FBD">
            <w:pPr>
              <w:pStyle w:val="LegalFormat"/>
              <w:numPr>
                <w:ilvl w:val="0"/>
                <w:numId w:val="0"/>
              </w:numPr>
              <w:spacing w:line="240" w:lineRule="auto"/>
              <w:jc w:val="right"/>
              <w:rPr>
                <w:sz w:val="24"/>
                <w:u w:val="none"/>
              </w:rPr>
            </w:pPr>
            <w:r>
              <w:rPr>
                <w:sz w:val="24"/>
                <w:u w:val="none"/>
              </w:rPr>
              <w:t>1</w:t>
            </w:r>
          </w:p>
        </w:tc>
        <w:tc>
          <w:tcPr>
            <w:tcW w:w="1530" w:type="dxa"/>
            <w:vAlign w:val="bottom"/>
          </w:tcPr>
          <w:p w:rsidR="00EC3FE1" w:rsidRDefault="00EC3FE1" w:rsidP="00D80FBD">
            <w:pPr>
              <w:pStyle w:val="LegalFormat"/>
              <w:numPr>
                <w:ilvl w:val="0"/>
                <w:numId w:val="0"/>
              </w:numPr>
              <w:spacing w:line="240" w:lineRule="auto"/>
              <w:jc w:val="right"/>
              <w:rPr>
                <w:sz w:val="24"/>
                <w:u w:val="none"/>
              </w:rPr>
            </w:pPr>
            <w:r>
              <w:rPr>
                <w:sz w:val="24"/>
                <w:u w:val="none"/>
              </w:rPr>
              <w:t>1</w:t>
            </w:r>
          </w:p>
        </w:tc>
        <w:tc>
          <w:tcPr>
            <w:tcW w:w="1800" w:type="dxa"/>
            <w:vAlign w:val="bottom"/>
          </w:tcPr>
          <w:p w:rsidR="00EC3FE1" w:rsidRDefault="00EC3FE1" w:rsidP="00D80FBD">
            <w:pPr>
              <w:pStyle w:val="LegalFormat"/>
              <w:numPr>
                <w:ilvl w:val="0"/>
                <w:numId w:val="0"/>
              </w:numPr>
              <w:spacing w:line="240" w:lineRule="auto"/>
              <w:jc w:val="right"/>
              <w:rPr>
                <w:sz w:val="24"/>
                <w:u w:val="none"/>
              </w:rPr>
            </w:pPr>
            <w:r>
              <w:rPr>
                <w:sz w:val="24"/>
                <w:u w:val="none"/>
              </w:rPr>
              <w:t>13</w:t>
            </w:r>
          </w:p>
        </w:tc>
        <w:tc>
          <w:tcPr>
            <w:tcW w:w="1260" w:type="dxa"/>
            <w:vAlign w:val="bottom"/>
          </w:tcPr>
          <w:p w:rsidR="00EC3FE1" w:rsidRDefault="00EC3FE1" w:rsidP="00D80FBD">
            <w:pPr>
              <w:pStyle w:val="LegalFormat"/>
              <w:numPr>
                <w:ilvl w:val="0"/>
                <w:numId w:val="0"/>
              </w:numPr>
              <w:spacing w:line="240" w:lineRule="auto"/>
              <w:jc w:val="right"/>
              <w:rPr>
                <w:sz w:val="24"/>
                <w:u w:val="none"/>
              </w:rPr>
            </w:pPr>
            <w:r>
              <w:rPr>
                <w:sz w:val="24"/>
                <w:u w:val="none"/>
              </w:rPr>
              <w:t>13</w:t>
            </w:r>
          </w:p>
        </w:tc>
      </w:tr>
      <w:tr w:rsidR="00EC3FE1" w:rsidRPr="00D80FBD" w:rsidTr="00EC3FE1">
        <w:tc>
          <w:tcPr>
            <w:tcW w:w="1638" w:type="dxa"/>
          </w:tcPr>
          <w:p w:rsidR="00EC3FE1" w:rsidRPr="00D80FBD" w:rsidRDefault="00EC3FE1" w:rsidP="00EB06F5">
            <w:pPr>
              <w:spacing w:after="0" w:line="240" w:lineRule="auto"/>
              <w:rPr>
                <w:rFonts w:ascii="Times New Roman" w:hAnsi="Times New Roman" w:cs="Times New Roman"/>
                <w:sz w:val="24"/>
                <w:szCs w:val="24"/>
              </w:rPr>
            </w:pPr>
            <w:r>
              <w:rPr>
                <w:rFonts w:ascii="Times New Roman" w:hAnsi="Times New Roman" w:cs="Times New Roman"/>
                <w:sz w:val="24"/>
                <w:szCs w:val="24"/>
              </w:rPr>
              <w:t>Termination of obligation to sell</w:t>
            </w:r>
          </w:p>
        </w:tc>
        <w:tc>
          <w:tcPr>
            <w:tcW w:w="1530" w:type="dxa"/>
            <w:vAlign w:val="bottom"/>
          </w:tcPr>
          <w:p w:rsidR="00EC3FE1" w:rsidRDefault="00EC3FE1" w:rsidP="00D80FBD">
            <w:pPr>
              <w:pStyle w:val="LegalFormat"/>
              <w:numPr>
                <w:ilvl w:val="0"/>
                <w:numId w:val="0"/>
              </w:numPr>
              <w:spacing w:line="240" w:lineRule="auto"/>
              <w:jc w:val="right"/>
              <w:rPr>
                <w:sz w:val="24"/>
                <w:u w:val="none"/>
              </w:rPr>
            </w:pPr>
            <w:r>
              <w:rPr>
                <w:sz w:val="24"/>
                <w:u w:val="none"/>
              </w:rPr>
              <w:t>1</w:t>
            </w:r>
          </w:p>
        </w:tc>
        <w:tc>
          <w:tcPr>
            <w:tcW w:w="1530" w:type="dxa"/>
            <w:vAlign w:val="bottom"/>
          </w:tcPr>
          <w:p w:rsidR="00EC3FE1" w:rsidRDefault="00EC3FE1" w:rsidP="00D80FBD">
            <w:pPr>
              <w:pStyle w:val="LegalFormat"/>
              <w:numPr>
                <w:ilvl w:val="0"/>
                <w:numId w:val="0"/>
              </w:numPr>
              <w:spacing w:line="240" w:lineRule="auto"/>
              <w:jc w:val="right"/>
              <w:rPr>
                <w:sz w:val="24"/>
                <w:u w:val="none"/>
              </w:rPr>
            </w:pPr>
            <w:r>
              <w:rPr>
                <w:sz w:val="24"/>
                <w:u w:val="none"/>
              </w:rPr>
              <w:t>1</w:t>
            </w:r>
          </w:p>
        </w:tc>
        <w:tc>
          <w:tcPr>
            <w:tcW w:w="1530" w:type="dxa"/>
            <w:vAlign w:val="bottom"/>
          </w:tcPr>
          <w:p w:rsidR="00EC3FE1" w:rsidRDefault="00EC3FE1" w:rsidP="00D80FBD">
            <w:pPr>
              <w:pStyle w:val="LegalFormat"/>
              <w:numPr>
                <w:ilvl w:val="0"/>
                <w:numId w:val="0"/>
              </w:numPr>
              <w:spacing w:line="240" w:lineRule="auto"/>
              <w:jc w:val="right"/>
              <w:rPr>
                <w:sz w:val="24"/>
                <w:u w:val="none"/>
              </w:rPr>
            </w:pPr>
            <w:r>
              <w:rPr>
                <w:sz w:val="24"/>
                <w:u w:val="none"/>
              </w:rPr>
              <w:t>1</w:t>
            </w:r>
          </w:p>
        </w:tc>
        <w:tc>
          <w:tcPr>
            <w:tcW w:w="1800" w:type="dxa"/>
            <w:vAlign w:val="bottom"/>
          </w:tcPr>
          <w:p w:rsidR="00EC3FE1" w:rsidRDefault="00EC3FE1" w:rsidP="00D80FBD">
            <w:pPr>
              <w:pStyle w:val="LegalFormat"/>
              <w:numPr>
                <w:ilvl w:val="0"/>
                <w:numId w:val="0"/>
              </w:numPr>
              <w:spacing w:line="240" w:lineRule="auto"/>
              <w:jc w:val="right"/>
              <w:rPr>
                <w:sz w:val="24"/>
                <w:u w:val="none"/>
              </w:rPr>
            </w:pPr>
            <w:r>
              <w:rPr>
                <w:sz w:val="24"/>
                <w:u w:val="none"/>
              </w:rPr>
              <w:t>12</w:t>
            </w:r>
          </w:p>
        </w:tc>
        <w:tc>
          <w:tcPr>
            <w:tcW w:w="1260" w:type="dxa"/>
            <w:vAlign w:val="bottom"/>
          </w:tcPr>
          <w:p w:rsidR="00EC3FE1" w:rsidRDefault="00EC3FE1" w:rsidP="00D80FBD">
            <w:pPr>
              <w:pStyle w:val="LegalFormat"/>
              <w:numPr>
                <w:ilvl w:val="0"/>
                <w:numId w:val="0"/>
              </w:numPr>
              <w:spacing w:line="240" w:lineRule="auto"/>
              <w:jc w:val="right"/>
              <w:rPr>
                <w:sz w:val="24"/>
                <w:u w:val="none"/>
              </w:rPr>
            </w:pPr>
            <w:r>
              <w:rPr>
                <w:sz w:val="24"/>
                <w:u w:val="none"/>
              </w:rPr>
              <w:t>12</w:t>
            </w:r>
          </w:p>
        </w:tc>
      </w:tr>
      <w:tr w:rsidR="00EC3FE1" w:rsidRPr="00D80FBD" w:rsidTr="00A436E1">
        <w:tc>
          <w:tcPr>
            <w:tcW w:w="1638" w:type="dxa"/>
          </w:tcPr>
          <w:p w:rsidR="00EC3FE1" w:rsidRPr="00D80FBD" w:rsidRDefault="00EC3FE1" w:rsidP="00EB06F5">
            <w:pPr>
              <w:spacing w:after="0" w:line="240" w:lineRule="auto"/>
              <w:rPr>
                <w:rFonts w:ascii="Times New Roman" w:hAnsi="Times New Roman" w:cs="Times New Roman"/>
                <w:sz w:val="24"/>
                <w:szCs w:val="24"/>
              </w:rPr>
            </w:pPr>
            <w:r>
              <w:rPr>
                <w:rFonts w:ascii="Times New Roman" w:hAnsi="Times New Roman" w:cs="Times New Roman"/>
                <w:sz w:val="24"/>
                <w:szCs w:val="24"/>
              </w:rPr>
              <w:t>Reinstatement of obligation to sell</w:t>
            </w:r>
          </w:p>
        </w:tc>
        <w:tc>
          <w:tcPr>
            <w:tcW w:w="1530" w:type="dxa"/>
            <w:tcBorders>
              <w:bottom w:val="single" w:sz="4" w:space="0" w:color="auto"/>
            </w:tcBorders>
            <w:vAlign w:val="bottom"/>
          </w:tcPr>
          <w:p w:rsidR="00EC3FE1" w:rsidRDefault="00EC3FE1" w:rsidP="00D80FBD">
            <w:pPr>
              <w:pStyle w:val="LegalFormat"/>
              <w:numPr>
                <w:ilvl w:val="0"/>
                <w:numId w:val="0"/>
              </w:numPr>
              <w:spacing w:line="240" w:lineRule="auto"/>
              <w:jc w:val="right"/>
              <w:rPr>
                <w:sz w:val="24"/>
                <w:u w:val="none"/>
              </w:rPr>
            </w:pPr>
            <w:r>
              <w:rPr>
                <w:sz w:val="24"/>
                <w:u w:val="none"/>
              </w:rPr>
              <w:t>1</w:t>
            </w:r>
          </w:p>
        </w:tc>
        <w:tc>
          <w:tcPr>
            <w:tcW w:w="1530" w:type="dxa"/>
            <w:tcBorders>
              <w:bottom w:val="single" w:sz="4" w:space="0" w:color="auto"/>
            </w:tcBorders>
            <w:vAlign w:val="bottom"/>
          </w:tcPr>
          <w:p w:rsidR="00EC3FE1" w:rsidRDefault="00EC3FE1" w:rsidP="00D80FBD">
            <w:pPr>
              <w:pStyle w:val="LegalFormat"/>
              <w:numPr>
                <w:ilvl w:val="0"/>
                <w:numId w:val="0"/>
              </w:numPr>
              <w:spacing w:line="240" w:lineRule="auto"/>
              <w:jc w:val="right"/>
              <w:rPr>
                <w:sz w:val="24"/>
                <w:u w:val="none"/>
              </w:rPr>
            </w:pPr>
            <w:r>
              <w:rPr>
                <w:sz w:val="24"/>
                <w:u w:val="none"/>
              </w:rPr>
              <w:t>1</w:t>
            </w:r>
          </w:p>
        </w:tc>
        <w:tc>
          <w:tcPr>
            <w:tcW w:w="1530" w:type="dxa"/>
            <w:tcBorders>
              <w:bottom w:val="single" w:sz="4" w:space="0" w:color="auto"/>
            </w:tcBorders>
            <w:vAlign w:val="bottom"/>
          </w:tcPr>
          <w:p w:rsidR="00EC3FE1" w:rsidRDefault="00EC3FE1" w:rsidP="00D80FBD">
            <w:pPr>
              <w:pStyle w:val="LegalFormat"/>
              <w:numPr>
                <w:ilvl w:val="0"/>
                <w:numId w:val="0"/>
              </w:numPr>
              <w:spacing w:line="240" w:lineRule="auto"/>
              <w:jc w:val="right"/>
              <w:rPr>
                <w:sz w:val="24"/>
                <w:u w:val="none"/>
              </w:rPr>
            </w:pPr>
            <w:r>
              <w:rPr>
                <w:sz w:val="24"/>
                <w:u w:val="none"/>
              </w:rPr>
              <w:t>1</w:t>
            </w:r>
          </w:p>
        </w:tc>
        <w:tc>
          <w:tcPr>
            <w:tcW w:w="1800" w:type="dxa"/>
            <w:tcBorders>
              <w:bottom w:val="single" w:sz="4" w:space="0" w:color="auto"/>
            </w:tcBorders>
            <w:vAlign w:val="bottom"/>
          </w:tcPr>
          <w:p w:rsidR="00EC3FE1" w:rsidRDefault="00EC3FE1" w:rsidP="00D80FBD">
            <w:pPr>
              <w:pStyle w:val="LegalFormat"/>
              <w:numPr>
                <w:ilvl w:val="0"/>
                <w:numId w:val="0"/>
              </w:numPr>
              <w:spacing w:line="240" w:lineRule="auto"/>
              <w:jc w:val="right"/>
              <w:rPr>
                <w:sz w:val="24"/>
                <w:u w:val="none"/>
              </w:rPr>
            </w:pPr>
            <w:r>
              <w:rPr>
                <w:sz w:val="24"/>
                <w:u w:val="none"/>
              </w:rPr>
              <w:t>13</w:t>
            </w:r>
          </w:p>
        </w:tc>
        <w:tc>
          <w:tcPr>
            <w:tcW w:w="1260" w:type="dxa"/>
            <w:vAlign w:val="bottom"/>
          </w:tcPr>
          <w:p w:rsidR="00EC3FE1" w:rsidRDefault="00EC3FE1" w:rsidP="00D80FBD">
            <w:pPr>
              <w:pStyle w:val="LegalFormat"/>
              <w:numPr>
                <w:ilvl w:val="0"/>
                <w:numId w:val="0"/>
              </w:numPr>
              <w:spacing w:line="240" w:lineRule="auto"/>
              <w:jc w:val="right"/>
              <w:rPr>
                <w:sz w:val="24"/>
                <w:u w:val="none"/>
              </w:rPr>
            </w:pPr>
            <w:r>
              <w:rPr>
                <w:sz w:val="24"/>
                <w:u w:val="none"/>
              </w:rPr>
              <w:t>13</w:t>
            </w:r>
          </w:p>
        </w:tc>
      </w:tr>
      <w:tr w:rsidR="00A436E1" w:rsidRPr="00D80FBD" w:rsidTr="00A436E1">
        <w:tc>
          <w:tcPr>
            <w:tcW w:w="1638" w:type="dxa"/>
          </w:tcPr>
          <w:p w:rsidR="00A436E1" w:rsidRPr="00EC3FE1" w:rsidRDefault="00A436E1" w:rsidP="00EB06F5">
            <w:pPr>
              <w:spacing w:after="0" w:line="240" w:lineRule="auto"/>
              <w:rPr>
                <w:rFonts w:ascii="Times New Roman" w:hAnsi="Times New Roman" w:cs="Times New Roman"/>
                <w:b/>
                <w:sz w:val="24"/>
                <w:szCs w:val="24"/>
              </w:rPr>
            </w:pPr>
            <w:r w:rsidRPr="00EC3FE1">
              <w:rPr>
                <w:rFonts w:ascii="Times New Roman" w:hAnsi="Times New Roman" w:cs="Times New Roman"/>
                <w:b/>
                <w:sz w:val="24"/>
                <w:szCs w:val="24"/>
              </w:rPr>
              <w:t>TOTAL</w:t>
            </w:r>
          </w:p>
        </w:tc>
        <w:tc>
          <w:tcPr>
            <w:tcW w:w="6390" w:type="dxa"/>
            <w:gridSpan w:val="4"/>
            <w:shd w:val="clear" w:color="auto" w:fill="BFBFBF" w:themeFill="background1" w:themeFillShade="BF"/>
            <w:vAlign w:val="bottom"/>
          </w:tcPr>
          <w:p w:rsidR="00A436E1" w:rsidRDefault="00A436E1" w:rsidP="00D80FBD">
            <w:pPr>
              <w:pStyle w:val="LegalFormat"/>
              <w:numPr>
                <w:ilvl w:val="0"/>
                <w:numId w:val="0"/>
              </w:numPr>
              <w:spacing w:line="240" w:lineRule="auto"/>
              <w:jc w:val="right"/>
              <w:rPr>
                <w:sz w:val="24"/>
                <w:u w:val="none"/>
              </w:rPr>
            </w:pPr>
          </w:p>
        </w:tc>
        <w:tc>
          <w:tcPr>
            <w:tcW w:w="1260" w:type="dxa"/>
            <w:vAlign w:val="bottom"/>
          </w:tcPr>
          <w:p w:rsidR="00A436E1" w:rsidRDefault="00A436E1" w:rsidP="00D80FBD">
            <w:pPr>
              <w:pStyle w:val="LegalFormat"/>
              <w:numPr>
                <w:ilvl w:val="0"/>
                <w:numId w:val="0"/>
              </w:numPr>
              <w:spacing w:line="240" w:lineRule="auto"/>
              <w:jc w:val="right"/>
              <w:rPr>
                <w:sz w:val="24"/>
                <w:u w:val="none"/>
              </w:rPr>
            </w:pPr>
            <w:r>
              <w:rPr>
                <w:sz w:val="24"/>
                <w:u w:val="none"/>
              </w:rPr>
              <w:t>98</w:t>
            </w:r>
          </w:p>
        </w:tc>
      </w:tr>
    </w:tbl>
    <w:p w:rsidR="00D80FBD" w:rsidRDefault="00D80FBD" w:rsidP="00D80FBD">
      <w:pPr>
        <w:spacing w:after="0"/>
        <w:rPr>
          <w:rFonts w:ascii="Times New Roman" w:hAnsi="Times New Roman" w:cs="Times New Roman"/>
          <w:sz w:val="24"/>
          <w:szCs w:val="24"/>
        </w:rPr>
      </w:pPr>
    </w:p>
    <w:p w:rsidR="00E11CA6" w:rsidRDefault="00E11CA6" w:rsidP="00D80FBD">
      <w:pPr>
        <w:spacing w:after="0"/>
        <w:rPr>
          <w:rFonts w:ascii="Times New Roman" w:hAnsi="Times New Roman" w:cs="Times New Roman"/>
          <w:sz w:val="24"/>
          <w:szCs w:val="24"/>
        </w:rPr>
      </w:pPr>
      <w:r>
        <w:rPr>
          <w:rFonts w:ascii="Times New Roman" w:hAnsi="Times New Roman" w:cs="Times New Roman"/>
          <w:sz w:val="24"/>
          <w:szCs w:val="24"/>
        </w:rPr>
        <w:t>The following table shows the labor cost associated with the burden hours.</w:t>
      </w:r>
    </w:p>
    <w:p w:rsidR="00BA7C56" w:rsidRDefault="00BA7C56" w:rsidP="00D80FBD">
      <w:pPr>
        <w:spacing w:after="0"/>
        <w:rPr>
          <w:rFonts w:ascii="Times New Roman" w:hAnsi="Times New Roman" w:cs="Times New Roman"/>
          <w:sz w:val="24"/>
          <w:szCs w:val="24"/>
        </w:rPr>
      </w:pPr>
    </w:p>
    <w:tbl>
      <w:tblPr>
        <w:tblW w:w="9288" w:type="dxa"/>
        <w:tblBorders>
          <w:top w:val="single" w:sz="4" w:space="0" w:color="auto"/>
          <w:left w:val="single" w:sz="6" w:space="0" w:color="auto"/>
          <w:bottom w:val="single" w:sz="6" w:space="0" w:color="auto"/>
          <w:right w:val="single" w:sz="4"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1871"/>
        <w:gridCol w:w="2385"/>
        <w:gridCol w:w="2062"/>
        <w:gridCol w:w="2970"/>
      </w:tblGrid>
      <w:tr w:rsidR="00365CA0" w:rsidRPr="00E636D7" w:rsidTr="00365CA0">
        <w:trPr>
          <w:trHeight w:val="314"/>
          <w:tblHeader/>
        </w:trPr>
        <w:tc>
          <w:tcPr>
            <w:tcW w:w="9288" w:type="dxa"/>
            <w:gridSpan w:val="4"/>
            <w:shd w:val="clear" w:color="auto" w:fill="D9D9D9"/>
            <w:vAlign w:val="bottom"/>
          </w:tcPr>
          <w:p w:rsidR="00365CA0" w:rsidRPr="00E636D7" w:rsidRDefault="00044424" w:rsidP="005F1C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FERC-731</w:t>
            </w:r>
          </w:p>
        </w:tc>
      </w:tr>
      <w:tr w:rsidR="00C01698" w:rsidRPr="00E636D7" w:rsidTr="00365CA0">
        <w:trPr>
          <w:trHeight w:val="395"/>
          <w:tblHeader/>
        </w:trPr>
        <w:tc>
          <w:tcPr>
            <w:tcW w:w="1871" w:type="dxa"/>
            <w:shd w:val="clear" w:color="auto" w:fill="D9D9D9"/>
            <w:vAlign w:val="bottom"/>
          </w:tcPr>
          <w:p w:rsidR="00C01698" w:rsidRPr="00E636D7" w:rsidRDefault="00C01698" w:rsidP="005F1C3C">
            <w:pPr>
              <w:spacing w:after="0" w:line="240" w:lineRule="auto"/>
              <w:jc w:val="center"/>
              <w:rPr>
                <w:rFonts w:ascii="Times New Roman" w:hAnsi="Times New Roman" w:cs="Times New Roman"/>
                <w:b/>
                <w:bCs/>
                <w:sz w:val="24"/>
                <w:szCs w:val="24"/>
              </w:rPr>
            </w:pPr>
          </w:p>
        </w:tc>
        <w:tc>
          <w:tcPr>
            <w:tcW w:w="2385" w:type="dxa"/>
            <w:shd w:val="clear" w:color="auto" w:fill="D9D9D9"/>
            <w:vAlign w:val="bottom"/>
          </w:tcPr>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 xml:space="preserve">Annual Burden Hours </w:t>
            </w:r>
          </w:p>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(1)</w:t>
            </w:r>
          </w:p>
        </w:tc>
        <w:tc>
          <w:tcPr>
            <w:tcW w:w="2062" w:type="dxa"/>
            <w:shd w:val="clear" w:color="auto" w:fill="D9D9D9"/>
            <w:vAlign w:val="bottom"/>
          </w:tcPr>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Estimated Hourly Cost ($)</w:t>
            </w:r>
          </w:p>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(2)</w:t>
            </w:r>
          </w:p>
        </w:tc>
        <w:tc>
          <w:tcPr>
            <w:tcW w:w="2970" w:type="dxa"/>
            <w:shd w:val="clear" w:color="auto" w:fill="D9D9D9"/>
            <w:vAlign w:val="bottom"/>
          </w:tcPr>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Estimated Total  Annual Cost to Respondents ($)</w:t>
            </w:r>
          </w:p>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(1) X (2)</w:t>
            </w:r>
          </w:p>
        </w:tc>
      </w:tr>
      <w:tr w:rsidR="00C01698" w:rsidRPr="00E636D7" w:rsidTr="00365CA0">
        <w:trPr>
          <w:trHeight w:val="395"/>
        </w:trPr>
        <w:tc>
          <w:tcPr>
            <w:tcW w:w="1871" w:type="dxa"/>
            <w:vAlign w:val="center"/>
          </w:tcPr>
          <w:p w:rsidR="00C01698" w:rsidRPr="00E636D7" w:rsidRDefault="00C01698" w:rsidP="005F1C3C">
            <w:pPr>
              <w:spacing w:after="0" w:line="240" w:lineRule="auto"/>
              <w:jc w:val="center"/>
              <w:rPr>
                <w:rFonts w:ascii="Times New Roman" w:hAnsi="Times New Roman" w:cs="Times New Roman"/>
                <w:sz w:val="24"/>
                <w:szCs w:val="24"/>
              </w:rPr>
            </w:pPr>
          </w:p>
        </w:tc>
        <w:tc>
          <w:tcPr>
            <w:tcW w:w="2385" w:type="dxa"/>
            <w:shd w:val="clear" w:color="auto" w:fill="auto"/>
            <w:vAlign w:val="center"/>
          </w:tcPr>
          <w:p w:rsidR="00C01698" w:rsidRPr="00E636D7" w:rsidRDefault="00A436E1"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98</w:t>
            </w:r>
          </w:p>
        </w:tc>
        <w:tc>
          <w:tcPr>
            <w:tcW w:w="2062" w:type="dxa"/>
            <w:shd w:val="clear" w:color="auto" w:fill="auto"/>
            <w:vAlign w:val="center"/>
          </w:tcPr>
          <w:p w:rsidR="00C01698" w:rsidRPr="00E636D7" w:rsidRDefault="00C84FE6"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$69.01</w:t>
            </w:r>
            <w:r w:rsidR="001A6397" w:rsidRPr="001A6397">
              <w:rPr>
                <w:rStyle w:val="FootnoteReference"/>
                <w:rFonts w:ascii="Times New Roman" w:hAnsi="Times New Roman" w:cs="Times New Roman"/>
                <w:sz w:val="24"/>
                <w:szCs w:val="24"/>
                <w:vertAlign w:val="superscript"/>
              </w:rPr>
              <w:footnoteReference w:id="5"/>
            </w:r>
          </w:p>
        </w:tc>
        <w:tc>
          <w:tcPr>
            <w:tcW w:w="2970" w:type="dxa"/>
            <w:shd w:val="clear" w:color="auto" w:fill="auto"/>
            <w:vAlign w:val="center"/>
          </w:tcPr>
          <w:p w:rsidR="00C01698" w:rsidRPr="00E636D7" w:rsidRDefault="00696062" w:rsidP="0004442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A436E1">
              <w:rPr>
                <w:rFonts w:ascii="Times New Roman" w:hAnsi="Times New Roman" w:cs="Times New Roman"/>
                <w:sz w:val="24"/>
                <w:szCs w:val="24"/>
              </w:rPr>
              <w:t>6,762.98</w:t>
            </w:r>
          </w:p>
        </w:tc>
      </w:tr>
    </w:tbl>
    <w:p w:rsidR="00D80FBD" w:rsidRPr="00D80FBD" w:rsidRDefault="00D80FBD" w:rsidP="00D80FBD">
      <w:pPr>
        <w:spacing w:after="0"/>
        <w:rPr>
          <w:rFonts w:ascii="Times New Roman" w:hAnsi="Times New Roman" w:cs="Times New Roman"/>
          <w:sz w:val="24"/>
          <w:szCs w:val="24"/>
        </w:rPr>
      </w:pPr>
    </w:p>
    <w:p w:rsidR="0053287C" w:rsidRPr="006D607B" w:rsidRDefault="00E636D7" w:rsidP="006D60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E636D7">
      <w:pPr>
        <w:spacing w:after="0"/>
        <w:rPr>
          <w:rFonts w:ascii="Times New Roman" w:hAnsi="Times New Roman" w:cs="Times New Roman"/>
          <w:sz w:val="24"/>
          <w:szCs w:val="24"/>
        </w:rPr>
      </w:pPr>
    </w:p>
    <w:p w:rsidR="005F1C3C" w:rsidRPr="006D607B" w:rsidRDefault="005F1C3C" w:rsidP="00E636D7">
      <w:pPr>
        <w:spacing w:after="0"/>
        <w:rPr>
          <w:rFonts w:ascii="Times New Roman" w:hAnsi="Times New Roman" w:cs="Times New Roman"/>
          <w:sz w:val="24"/>
          <w:szCs w:val="24"/>
        </w:rPr>
      </w:pPr>
      <w:r w:rsidRPr="006D607B">
        <w:rPr>
          <w:rFonts w:ascii="Times New Roman" w:hAnsi="Times New Roman" w:cs="Times New Roman"/>
          <w:sz w:val="24"/>
          <w:szCs w:val="24"/>
        </w:rPr>
        <w:t>Total Capital and Start-up cost: $</w:t>
      </w:r>
      <w:r w:rsidR="006D607B" w:rsidRPr="006D607B">
        <w:rPr>
          <w:rFonts w:ascii="Times New Roman" w:hAnsi="Times New Roman" w:cs="Times New Roman"/>
          <w:sz w:val="24"/>
          <w:szCs w:val="24"/>
        </w:rPr>
        <w:t>0</w:t>
      </w:r>
    </w:p>
    <w:p w:rsidR="00E636D7" w:rsidRDefault="005F1C3C" w:rsidP="00E636D7">
      <w:pPr>
        <w:spacing w:after="0"/>
        <w:rPr>
          <w:rFonts w:ascii="Times New Roman" w:hAnsi="Times New Roman" w:cs="Times New Roman"/>
          <w:sz w:val="24"/>
          <w:szCs w:val="24"/>
        </w:rPr>
      </w:pPr>
      <w:r w:rsidRPr="006D607B">
        <w:rPr>
          <w:rFonts w:ascii="Times New Roman" w:hAnsi="Times New Roman" w:cs="Times New Roman"/>
          <w:sz w:val="24"/>
          <w:szCs w:val="24"/>
        </w:rPr>
        <w:t>Total Operation, Maintenance, and Purchase of Services</w:t>
      </w:r>
      <w:r w:rsidR="00E636D7" w:rsidRPr="006D607B">
        <w:rPr>
          <w:rFonts w:ascii="Times New Roman" w:hAnsi="Times New Roman" w:cs="Times New Roman"/>
          <w:sz w:val="24"/>
          <w:szCs w:val="24"/>
        </w:rPr>
        <w:t>: $</w:t>
      </w:r>
      <w:r w:rsidR="006D607B" w:rsidRPr="006D607B">
        <w:rPr>
          <w:rFonts w:ascii="Times New Roman" w:hAnsi="Times New Roman" w:cs="Times New Roman"/>
          <w:sz w:val="24"/>
          <w:szCs w:val="24"/>
        </w:rPr>
        <w:t>0</w:t>
      </w:r>
    </w:p>
    <w:p w:rsidR="00E636D7" w:rsidRPr="00E636D7" w:rsidRDefault="00E636D7" w:rsidP="00E636D7">
      <w:pPr>
        <w:spacing w:after="0"/>
        <w:rPr>
          <w:rFonts w:ascii="Times New Roman" w:hAnsi="Times New Roman" w:cs="Times New Roman"/>
          <w:sz w:val="24"/>
          <w:szCs w:val="24"/>
        </w:rPr>
      </w:pPr>
    </w:p>
    <w:p w:rsidR="008A21A4" w:rsidRPr="001F5574" w:rsidRDefault="00A276F5" w:rsidP="0053287C">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8A21A4" w:rsidRDefault="008A21A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276F5" w:rsidRPr="00A276F5" w:rsidTr="005F1C3C">
        <w:tc>
          <w:tcPr>
            <w:tcW w:w="3182" w:type="dxa"/>
            <w:shd w:val="clear" w:color="auto" w:fill="CCCCCC"/>
          </w:tcPr>
          <w:p w:rsidR="00A276F5" w:rsidRPr="00A276F5" w:rsidRDefault="00A276F5" w:rsidP="00A276F5">
            <w:pPr>
              <w:spacing w:after="0" w:line="240" w:lineRule="auto"/>
              <w:rPr>
                <w:rFonts w:ascii="Times New Roman" w:hAnsi="Times New Roman" w:cs="Times New Roman"/>
                <w:sz w:val="24"/>
                <w:szCs w:val="24"/>
              </w:rPr>
            </w:pPr>
          </w:p>
        </w:tc>
        <w:tc>
          <w:tcPr>
            <w:tcW w:w="3201" w:type="dxa"/>
            <w:shd w:val="clear" w:color="auto" w:fill="CCCCCC"/>
          </w:tcPr>
          <w:p w:rsidR="00A276F5" w:rsidRPr="00A276F5" w:rsidRDefault="00A436E1" w:rsidP="00A276F5">
            <w:pPr>
              <w:spacing w:after="0" w:line="240" w:lineRule="auto"/>
              <w:rPr>
                <w:rFonts w:ascii="Times New Roman" w:hAnsi="Times New Roman" w:cs="Times New Roman"/>
                <w:b/>
                <w:sz w:val="24"/>
                <w:szCs w:val="24"/>
              </w:rPr>
            </w:pPr>
            <w:r>
              <w:rPr>
                <w:rFonts w:ascii="Times New Roman" w:hAnsi="Times New Roman" w:cs="Times New Roman"/>
                <w:b/>
                <w:sz w:val="24"/>
                <w:szCs w:val="24"/>
              </w:rPr>
              <w:t>Number of Employees (FTE</w:t>
            </w:r>
            <w:r w:rsidR="00A276F5" w:rsidRPr="00A276F5">
              <w:rPr>
                <w:rFonts w:ascii="Times New Roman" w:hAnsi="Times New Roman" w:cs="Times New Roman"/>
                <w:b/>
                <w:sz w:val="24"/>
                <w:szCs w:val="24"/>
              </w:rPr>
              <w:t>)</w:t>
            </w:r>
          </w:p>
        </w:tc>
        <w:tc>
          <w:tcPr>
            <w:tcW w:w="2995" w:type="dxa"/>
            <w:shd w:val="clear" w:color="auto" w:fill="CCCCCC"/>
          </w:tcPr>
          <w:p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A276F5" w:rsidRPr="00A276F5" w:rsidTr="005F1C3C">
        <w:tc>
          <w:tcPr>
            <w:tcW w:w="3182" w:type="dxa"/>
            <w:shd w:val="clear" w:color="auto" w:fill="auto"/>
          </w:tcPr>
          <w:p w:rsidR="00A276F5" w:rsidRPr="00A276F5" w:rsidRDefault="00A276F5" w:rsidP="00A276F5">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Pr="00A276F5">
              <w:rPr>
                <w:rStyle w:val="FootnoteReference"/>
                <w:rFonts w:ascii="Times New Roman" w:hAnsi="Times New Roman" w:cs="Times New Roman"/>
                <w:sz w:val="24"/>
                <w:szCs w:val="24"/>
                <w:vertAlign w:val="superscript"/>
              </w:rPr>
              <w:footnoteReference w:id="6"/>
            </w:r>
          </w:p>
        </w:tc>
        <w:tc>
          <w:tcPr>
            <w:tcW w:w="3201" w:type="dxa"/>
            <w:tcBorders>
              <w:bottom w:val="single" w:sz="4" w:space="0" w:color="auto"/>
            </w:tcBorders>
            <w:shd w:val="clear" w:color="auto" w:fill="auto"/>
            <w:vAlign w:val="center"/>
          </w:tcPr>
          <w:p w:rsidR="00A276F5" w:rsidRPr="00A276F5" w:rsidRDefault="00A436E1" w:rsidP="00C108BB">
            <w:pPr>
              <w:spacing w:after="0" w:line="240" w:lineRule="auto"/>
              <w:jc w:val="right"/>
              <w:rPr>
                <w:rFonts w:ascii="Times New Roman" w:hAnsi="Times New Roman" w:cs="Times New Roman"/>
                <w:sz w:val="24"/>
                <w:szCs w:val="24"/>
              </w:rPr>
            </w:pPr>
            <w:r w:rsidRPr="00A436E1">
              <w:rPr>
                <w:rFonts w:ascii="Times New Roman" w:hAnsi="Times New Roman" w:cs="Times New Roman"/>
                <w:sz w:val="24"/>
                <w:szCs w:val="24"/>
              </w:rPr>
              <w:t>0.3</w:t>
            </w:r>
          </w:p>
        </w:tc>
        <w:tc>
          <w:tcPr>
            <w:tcW w:w="2995" w:type="dxa"/>
            <w:shd w:val="clear" w:color="auto" w:fill="auto"/>
            <w:vAlign w:val="center"/>
          </w:tcPr>
          <w:p w:rsidR="00A276F5" w:rsidRPr="00701737" w:rsidRDefault="00EA31AE" w:rsidP="00044424">
            <w:pPr>
              <w:spacing w:after="0" w:line="240" w:lineRule="auto"/>
              <w:jc w:val="right"/>
              <w:rPr>
                <w:rFonts w:ascii="Times New Roman" w:hAnsi="Times New Roman" w:cs="Times New Roman"/>
                <w:sz w:val="24"/>
                <w:szCs w:val="24"/>
              </w:rPr>
            </w:pPr>
            <w:r w:rsidRPr="00701737">
              <w:rPr>
                <w:rFonts w:ascii="Times New Roman" w:hAnsi="Times New Roman" w:cs="Times New Roman"/>
                <w:sz w:val="24"/>
                <w:szCs w:val="24"/>
              </w:rPr>
              <w:t>$</w:t>
            </w:r>
            <w:r w:rsidR="00A436E1">
              <w:rPr>
                <w:rFonts w:ascii="Times New Roman" w:hAnsi="Times New Roman" w:cs="Times New Roman"/>
                <w:sz w:val="24"/>
                <w:szCs w:val="24"/>
              </w:rPr>
              <w:t>43,062</w:t>
            </w:r>
          </w:p>
        </w:tc>
      </w:tr>
      <w:tr w:rsidR="005F1C3C" w:rsidRPr="00A276F5" w:rsidTr="005F1C3C">
        <w:tc>
          <w:tcPr>
            <w:tcW w:w="3182" w:type="dxa"/>
            <w:shd w:val="clear" w:color="auto" w:fill="auto"/>
          </w:tcPr>
          <w:p w:rsidR="005F1C3C" w:rsidRPr="00A276F5" w:rsidRDefault="00C42BB2" w:rsidP="00A276F5">
            <w:pPr>
              <w:spacing w:after="0" w:line="240" w:lineRule="auto"/>
              <w:rPr>
                <w:rFonts w:ascii="Times New Roman" w:hAnsi="Times New Roman" w:cs="Times New Roman"/>
                <w:sz w:val="24"/>
                <w:szCs w:val="24"/>
              </w:rPr>
            </w:pPr>
            <w:r>
              <w:rPr>
                <w:rFonts w:ascii="Times New Roman" w:hAnsi="Times New Roman" w:cs="Times New Roman"/>
                <w:sz w:val="24"/>
                <w:szCs w:val="24"/>
              </w:rPr>
              <w:t>PRA</w:t>
            </w:r>
            <w:r w:rsidRPr="0094624A">
              <w:rPr>
                <w:rStyle w:val="FootnoteReference"/>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Administrative Cost</w:t>
            </w:r>
            <w:r w:rsidR="00EA31AE" w:rsidRPr="0094624A">
              <w:rPr>
                <w:rStyle w:val="FootnoteReference"/>
                <w:rFonts w:ascii="Times New Roman" w:hAnsi="Times New Roman" w:cs="Times New Roman"/>
                <w:sz w:val="24"/>
                <w:szCs w:val="24"/>
                <w:vertAlign w:val="superscript"/>
              </w:rPr>
              <w:footnoteReference w:id="8"/>
            </w:r>
          </w:p>
        </w:tc>
        <w:tc>
          <w:tcPr>
            <w:tcW w:w="3201" w:type="dxa"/>
            <w:vMerge w:val="restart"/>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701737" w:rsidRDefault="00F62F79" w:rsidP="00EA31AE">
            <w:pPr>
              <w:spacing w:after="0" w:line="240" w:lineRule="auto"/>
              <w:jc w:val="right"/>
              <w:rPr>
                <w:rFonts w:ascii="Times New Roman" w:hAnsi="Times New Roman" w:cs="Times New Roman"/>
                <w:sz w:val="24"/>
                <w:szCs w:val="24"/>
              </w:rPr>
            </w:pPr>
            <w:r w:rsidRPr="00701737">
              <w:rPr>
                <w:rFonts w:ascii="Times New Roman" w:hAnsi="Times New Roman" w:cs="Times New Roman"/>
                <w:sz w:val="24"/>
                <w:szCs w:val="24"/>
              </w:rPr>
              <w:t>$1</w:t>
            </w:r>
            <w:r w:rsidR="00EA31AE" w:rsidRPr="00701737">
              <w:rPr>
                <w:rFonts w:ascii="Times New Roman" w:hAnsi="Times New Roman" w:cs="Times New Roman"/>
                <w:sz w:val="24"/>
                <w:szCs w:val="24"/>
              </w:rPr>
              <w:t>,</w:t>
            </w:r>
            <w:r w:rsidRPr="00701737">
              <w:rPr>
                <w:rFonts w:ascii="Times New Roman" w:hAnsi="Times New Roman" w:cs="Times New Roman"/>
                <w:sz w:val="24"/>
                <w:szCs w:val="24"/>
              </w:rPr>
              <w:t>588</w:t>
            </w:r>
          </w:p>
        </w:tc>
      </w:tr>
      <w:tr w:rsidR="005F1C3C" w:rsidRPr="00A276F5" w:rsidTr="005F1C3C">
        <w:tc>
          <w:tcPr>
            <w:tcW w:w="3182" w:type="dxa"/>
            <w:shd w:val="clear" w:color="auto" w:fill="auto"/>
          </w:tcPr>
          <w:p w:rsidR="005F1C3C" w:rsidRPr="00A276F5" w:rsidRDefault="005F1C3C"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701737" w:rsidRDefault="005F1C3C" w:rsidP="00044424">
            <w:pPr>
              <w:spacing w:after="0" w:line="240" w:lineRule="auto"/>
              <w:jc w:val="right"/>
              <w:rPr>
                <w:rFonts w:ascii="Times New Roman" w:hAnsi="Times New Roman" w:cs="Times New Roman"/>
                <w:sz w:val="24"/>
                <w:szCs w:val="24"/>
              </w:rPr>
            </w:pPr>
            <w:r w:rsidRPr="00701737">
              <w:rPr>
                <w:rFonts w:ascii="Times New Roman" w:hAnsi="Times New Roman" w:cs="Times New Roman"/>
                <w:sz w:val="24"/>
                <w:szCs w:val="24"/>
              </w:rPr>
              <w:t>$</w:t>
            </w:r>
            <w:r w:rsidR="00A436E1">
              <w:rPr>
                <w:rFonts w:ascii="Times New Roman" w:hAnsi="Times New Roman" w:cs="Times New Roman"/>
                <w:sz w:val="24"/>
                <w:szCs w:val="24"/>
              </w:rPr>
              <w:t>44,650</w:t>
            </w:r>
          </w:p>
        </w:tc>
      </w:tr>
    </w:tbl>
    <w:p w:rsidR="00A276F5" w:rsidRDefault="00A276F5" w:rsidP="00A276F5">
      <w:pPr>
        <w:spacing w:after="0"/>
        <w:rPr>
          <w:rFonts w:ascii="Times New Roman" w:hAnsi="Times New Roman" w:cs="Times New Roman"/>
          <w:sz w:val="24"/>
          <w:szCs w:val="24"/>
        </w:rPr>
      </w:pPr>
    </w:p>
    <w:p w:rsidR="00A276F5" w:rsidRDefault="00A276F5" w:rsidP="00A276F5">
      <w:pPr>
        <w:spacing w:after="0"/>
        <w:rPr>
          <w:rFonts w:ascii="Times New Roman" w:hAnsi="Times New Roman" w:cs="Times New Roman"/>
          <w:sz w:val="24"/>
          <w:szCs w:val="24"/>
        </w:rPr>
      </w:pPr>
      <w:r>
        <w:rPr>
          <w:rFonts w:ascii="Times New Roman" w:hAnsi="Times New Roman" w:cs="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A276F5" w:rsidRPr="00A276F5" w:rsidRDefault="00A276F5" w:rsidP="00A276F5">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lastRenderedPageBreak/>
        <w:t>REASONS FOR CHANGES IN BURDEN INCLUDING THE NEED FOR ANY INCREASE</w:t>
      </w:r>
    </w:p>
    <w:p w:rsidR="00A276F5" w:rsidRDefault="00A276F5" w:rsidP="00A276F5">
      <w:pPr>
        <w:spacing w:after="0"/>
        <w:rPr>
          <w:rFonts w:ascii="Times New Roman" w:hAnsi="Times New Roman" w:cs="Times New Roman"/>
          <w:sz w:val="24"/>
          <w:szCs w:val="24"/>
        </w:rPr>
      </w:pPr>
    </w:p>
    <w:p w:rsidR="003B09A2" w:rsidRPr="003B09A2" w:rsidRDefault="003B09A2" w:rsidP="003B09A2">
      <w:pPr>
        <w:autoSpaceDE w:val="0"/>
        <w:autoSpaceDN w:val="0"/>
        <w:adjustRightInd w:val="0"/>
        <w:spacing w:after="0" w:line="240" w:lineRule="auto"/>
        <w:rPr>
          <w:rFonts w:ascii="Times New Roman" w:eastAsia="Times New Roman" w:hAnsi="Times New Roman" w:cs="Times New Roman"/>
          <w:sz w:val="24"/>
          <w:szCs w:val="24"/>
        </w:rPr>
      </w:pPr>
      <w:r w:rsidRPr="003B09A2">
        <w:rPr>
          <w:rFonts w:ascii="Times New Roman" w:eastAsia="Times New Roman" w:hAnsi="Times New Roman" w:cs="Times New Roman"/>
          <w:sz w:val="24"/>
          <w:szCs w:val="24"/>
        </w:rPr>
        <w:t>There is an increase in the number of respondents from 4 to 5</w:t>
      </w:r>
      <w:r w:rsidR="009F595F">
        <w:rPr>
          <w:rFonts w:ascii="Times New Roman" w:eastAsia="Times New Roman" w:hAnsi="Times New Roman" w:cs="Times New Roman"/>
          <w:sz w:val="24"/>
          <w:szCs w:val="24"/>
        </w:rPr>
        <w:t xml:space="preserve"> (for the termination of obligation to purchase)</w:t>
      </w:r>
      <w:r w:rsidRPr="003B09A2">
        <w:rPr>
          <w:rFonts w:ascii="Times New Roman" w:eastAsia="Times New Roman" w:hAnsi="Times New Roman" w:cs="Times New Roman"/>
          <w:sz w:val="24"/>
          <w:szCs w:val="24"/>
        </w:rPr>
        <w:t>.  Over the past three years, the Commission received an average of 5 filings per year thus warranting the increase.  This is due to normal business fluctuations in energy markets.</w:t>
      </w:r>
    </w:p>
    <w:p w:rsidR="003B09A2" w:rsidRPr="003B09A2" w:rsidRDefault="003B09A2" w:rsidP="003B09A2">
      <w:pPr>
        <w:autoSpaceDE w:val="0"/>
        <w:autoSpaceDN w:val="0"/>
        <w:adjustRightInd w:val="0"/>
        <w:spacing w:after="0" w:line="240" w:lineRule="auto"/>
        <w:rPr>
          <w:rFonts w:ascii="Times New Roman" w:eastAsia="Times New Roman" w:hAnsi="Times New Roman" w:cs="Times New Roman"/>
          <w:sz w:val="24"/>
          <w:szCs w:val="24"/>
        </w:rPr>
      </w:pPr>
      <w:r w:rsidRPr="003B09A2">
        <w:rPr>
          <w:rFonts w:ascii="Times New Roman" w:eastAsia="Times New Roman" w:hAnsi="Times New Roman" w:cs="Times New Roman"/>
          <w:sz w:val="24"/>
          <w:szCs w:val="24"/>
        </w:rPr>
        <w:t xml:space="preserve"> </w:t>
      </w:r>
    </w:p>
    <w:p w:rsidR="003B09A2" w:rsidRPr="003B09A2" w:rsidRDefault="003B09A2" w:rsidP="003B09A2">
      <w:pPr>
        <w:autoSpaceDE w:val="0"/>
        <w:autoSpaceDN w:val="0"/>
        <w:adjustRightInd w:val="0"/>
        <w:spacing w:after="0" w:line="240" w:lineRule="auto"/>
        <w:rPr>
          <w:rFonts w:ascii="Times New Roman" w:eastAsia="Times New Roman" w:hAnsi="Times New Roman" w:cs="Times New Roman"/>
          <w:sz w:val="24"/>
          <w:szCs w:val="24"/>
        </w:rPr>
      </w:pPr>
      <w:r w:rsidRPr="003B09A2">
        <w:rPr>
          <w:rFonts w:ascii="Times New Roman" w:eastAsia="Times New Roman" w:hAnsi="Times New Roman" w:cs="Times New Roman"/>
          <w:sz w:val="24"/>
          <w:szCs w:val="24"/>
        </w:rPr>
        <w:t xml:space="preserve">The burden per filing </w:t>
      </w:r>
      <w:r w:rsidR="003D0B60">
        <w:rPr>
          <w:rFonts w:ascii="Times New Roman" w:eastAsia="Times New Roman" w:hAnsi="Times New Roman" w:cs="Times New Roman"/>
          <w:sz w:val="24"/>
          <w:szCs w:val="24"/>
        </w:rPr>
        <w:t>of</w:t>
      </w:r>
      <w:r w:rsidRPr="003B09A2">
        <w:rPr>
          <w:rFonts w:ascii="Times New Roman" w:eastAsia="Times New Roman" w:hAnsi="Times New Roman" w:cs="Times New Roman"/>
          <w:sz w:val="24"/>
          <w:szCs w:val="24"/>
        </w:rPr>
        <w:t xml:space="preserve"> 12-13 hours results from a review of the actual filings and an estimate of the required time for completion.  FERC received no comments during the 60-day</w:t>
      </w:r>
      <w:r>
        <w:rPr>
          <w:rFonts w:ascii="Times New Roman" w:eastAsia="Times New Roman" w:hAnsi="Times New Roman" w:cs="Times New Roman"/>
          <w:sz w:val="24"/>
          <w:szCs w:val="24"/>
        </w:rPr>
        <w:t xml:space="preserve"> or 30-day</w:t>
      </w:r>
      <w:r w:rsidRPr="003B09A2">
        <w:rPr>
          <w:rFonts w:ascii="Times New Roman" w:eastAsia="Times New Roman" w:hAnsi="Times New Roman" w:cs="Times New Roman"/>
          <w:sz w:val="24"/>
          <w:szCs w:val="24"/>
        </w:rPr>
        <w:t xml:space="preserve"> comment period</w:t>
      </w:r>
      <w:r>
        <w:rPr>
          <w:rFonts w:ascii="Times New Roman" w:eastAsia="Times New Roman" w:hAnsi="Times New Roman" w:cs="Times New Roman"/>
          <w:sz w:val="24"/>
          <w:szCs w:val="24"/>
        </w:rPr>
        <w:t>s</w:t>
      </w:r>
      <w:r w:rsidRPr="003B09A2">
        <w:rPr>
          <w:rFonts w:ascii="Times New Roman" w:eastAsia="Times New Roman" w:hAnsi="Times New Roman" w:cs="Times New Roman"/>
          <w:sz w:val="24"/>
          <w:szCs w:val="24"/>
        </w:rPr>
        <w:t xml:space="preserve"> on the burden estimates.</w:t>
      </w:r>
    </w:p>
    <w:p w:rsidR="00A50033" w:rsidRDefault="00A50033" w:rsidP="0057700F">
      <w:pPr>
        <w:spacing w:after="0"/>
        <w:rPr>
          <w:rFonts w:ascii="Times New Roman" w:hAnsi="Times New Roman" w:cs="Times New Roman"/>
          <w:sz w:val="24"/>
          <w:szCs w:val="24"/>
        </w:rPr>
      </w:pPr>
    </w:p>
    <w:p w:rsidR="0057700F" w:rsidRDefault="003C2060" w:rsidP="0057700F">
      <w:pPr>
        <w:spacing w:after="0"/>
        <w:rPr>
          <w:rFonts w:ascii="Times New Roman" w:hAnsi="Times New Roman" w:cs="Times New Roman"/>
          <w:sz w:val="24"/>
          <w:szCs w:val="24"/>
        </w:rPr>
      </w:pPr>
      <w:r>
        <w:rPr>
          <w:rFonts w:ascii="Times New Roman" w:hAnsi="Times New Roman" w:cs="Times New Roman"/>
          <w:sz w:val="24"/>
          <w:szCs w:val="24"/>
        </w:rPr>
        <w:t xml:space="preserve">The table below illustrates the aggregate burden (and any corresponding changes). </w:t>
      </w:r>
    </w:p>
    <w:p w:rsidR="00A276F5" w:rsidRDefault="00A276F5"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01698" w:rsidRPr="00D80FBD" w:rsidTr="005F1C3C">
        <w:trPr>
          <w:trHeight w:val="870"/>
        </w:trPr>
        <w:tc>
          <w:tcPr>
            <w:tcW w:w="2679"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960FF9">
              <w:rPr>
                <w:rFonts w:ascii="Times New Roman" w:hAnsi="Times New Roman" w:cs="Times New Roman"/>
                <w:b/>
                <w:sz w:val="24"/>
                <w:szCs w:val="24"/>
              </w:rPr>
              <w:t>912</w:t>
            </w:r>
          </w:p>
        </w:tc>
        <w:tc>
          <w:tcPr>
            <w:tcW w:w="1461"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C01698" w:rsidRPr="00D80FBD" w:rsidTr="005F1C3C">
        <w:trPr>
          <w:trHeight w:val="591"/>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rsidR="00C01698" w:rsidRPr="00D80FBD" w:rsidRDefault="003B09A2"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1620" w:type="dxa"/>
            <w:shd w:val="clear" w:color="auto" w:fill="auto"/>
            <w:vAlign w:val="center"/>
          </w:tcPr>
          <w:p w:rsidR="00C01698" w:rsidRPr="00D80FBD" w:rsidRDefault="003B09A2"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1800" w:type="dxa"/>
            <w:shd w:val="clear" w:color="auto" w:fill="auto"/>
            <w:vAlign w:val="center"/>
          </w:tcPr>
          <w:p w:rsidR="00C01698" w:rsidRPr="00D80FBD" w:rsidRDefault="003B09A2" w:rsidP="000838B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800"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C01698" w:rsidRPr="00D80FBD" w:rsidTr="005F1C3C">
        <w:trPr>
          <w:trHeight w:val="575"/>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rsidR="00C01698" w:rsidRPr="00D80FBD" w:rsidRDefault="003B09A2"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98</w:t>
            </w:r>
          </w:p>
        </w:tc>
        <w:tc>
          <w:tcPr>
            <w:tcW w:w="1620" w:type="dxa"/>
            <w:shd w:val="clear" w:color="auto" w:fill="auto"/>
            <w:vAlign w:val="center"/>
          </w:tcPr>
          <w:p w:rsidR="00C01698" w:rsidRPr="00D80FBD" w:rsidRDefault="003B09A2"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86</w:t>
            </w:r>
          </w:p>
        </w:tc>
        <w:tc>
          <w:tcPr>
            <w:tcW w:w="1800" w:type="dxa"/>
            <w:shd w:val="clear" w:color="auto" w:fill="auto"/>
            <w:vAlign w:val="center"/>
          </w:tcPr>
          <w:p w:rsidR="00C01698" w:rsidRPr="00D80FBD" w:rsidRDefault="003B09A2"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w:t>
            </w:r>
          </w:p>
        </w:tc>
        <w:tc>
          <w:tcPr>
            <w:tcW w:w="1800"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C01698" w:rsidRPr="00D80FBD" w:rsidTr="005F1C3C">
        <w:trPr>
          <w:trHeight w:val="295"/>
        </w:trPr>
        <w:tc>
          <w:tcPr>
            <w:tcW w:w="2679" w:type="dxa"/>
            <w:tcBorders>
              <w:bottom w:val="single" w:sz="4" w:space="0" w:color="auto"/>
            </w:tcBorders>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C01698" w:rsidRPr="00D80FBD" w:rsidRDefault="001F5574" w:rsidP="009462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94624A">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rsidR="00C01698" w:rsidRPr="00D80FBD" w:rsidRDefault="001F5574" w:rsidP="00C7614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B09A2">
              <w:rPr>
                <w:rFonts w:ascii="Times New Roman" w:hAnsi="Times New Roman" w:cs="Times New Roman"/>
                <w:sz w:val="24"/>
                <w:szCs w:val="24"/>
              </w:rPr>
              <w:t>5,305</w:t>
            </w:r>
          </w:p>
        </w:tc>
        <w:tc>
          <w:tcPr>
            <w:tcW w:w="1800" w:type="dxa"/>
            <w:tcBorders>
              <w:bottom w:val="single" w:sz="4" w:space="0" w:color="auto"/>
            </w:tcBorders>
            <w:shd w:val="clear" w:color="auto" w:fill="auto"/>
            <w:vAlign w:val="center"/>
          </w:tcPr>
          <w:p w:rsidR="00C01698" w:rsidRPr="00D80FBD" w:rsidRDefault="003B09A2" w:rsidP="00C7614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1F5574">
              <w:rPr>
                <w:rFonts w:ascii="Times New Roman" w:hAnsi="Times New Roman" w:cs="Times New Roman"/>
                <w:sz w:val="24"/>
                <w:szCs w:val="24"/>
              </w:rPr>
              <w:t>$</w:t>
            </w:r>
            <w:r>
              <w:rPr>
                <w:rFonts w:ascii="Times New Roman" w:hAnsi="Times New Roman" w:cs="Times New Roman"/>
                <w:sz w:val="24"/>
                <w:szCs w:val="24"/>
              </w:rPr>
              <w:t>5,305</w:t>
            </w:r>
          </w:p>
        </w:tc>
        <w:tc>
          <w:tcPr>
            <w:tcW w:w="1800" w:type="dxa"/>
            <w:tcBorders>
              <w:bottom w:val="single" w:sz="4" w:space="0" w:color="auto"/>
            </w:tcBorders>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rsidR="00BA3C9E" w:rsidRDefault="00BA3C9E" w:rsidP="00A276F5">
      <w:pPr>
        <w:spacing w:after="0"/>
        <w:rPr>
          <w:rFonts w:ascii="Times New Roman" w:hAnsi="Times New Roman" w:cs="Times New Roman"/>
          <w:sz w:val="24"/>
          <w:szCs w:val="24"/>
        </w:rPr>
      </w:pPr>
    </w:p>
    <w:p w:rsidR="00C01698" w:rsidRDefault="00CD4E43" w:rsidP="00A276F5">
      <w:pPr>
        <w:spacing w:after="0"/>
        <w:rPr>
          <w:rFonts w:ascii="Times New Roman" w:hAnsi="Times New Roman" w:cs="Times New Roman"/>
          <w:sz w:val="24"/>
          <w:szCs w:val="24"/>
        </w:rPr>
      </w:pPr>
      <w:r>
        <w:rPr>
          <w:rFonts w:ascii="Times New Roman" w:hAnsi="Times New Roman" w:cs="Times New Roman"/>
          <w:sz w:val="24"/>
          <w:szCs w:val="24"/>
        </w:rPr>
        <w:t>With the clearance package</w:t>
      </w:r>
      <w:r w:rsidR="0041113E" w:rsidRPr="0041113E">
        <w:rPr>
          <w:rFonts w:ascii="Times New Roman" w:hAnsi="Times New Roman" w:cs="Times New Roman"/>
          <w:sz w:val="24"/>
          <w:szCs w:val="24"/>
        </w:rPr>
        <w:t>, the cost to industry is displayed using the unit of burden hours.  In accordance with the “ROCIS HOW TO Guide for Agency Users of the Information Collection Request (ICR) Module”, users should not report as a dollar cost any burden reported in ho</w:t>
      </w:r>
      <w:r w:rsidR="004236FE">
        <w:rPr>
          <w:rFonts w:ascii="Times New Roman" w:hAnsi="Times New Roman" w:cs="Times New Roman"/>
          <w:sz w:val="24"/>
          <w:szCs w:val="24"/>
        </w:rPr>
        <w:t>urs</w:t>
      </w:r>
      <w:r w:rsidR="004236FE" w:rsidRPr="004236FE">
        <w:rPr>
          <w:rStyle w:val="FootnoteReference"/>
          <w:rFonts w:ascii="Times New Roman" w:hAnsi="Times New Roman" w:cs="Times New Roman"/>
          <w:sz w:val="24"/>
          <w:szCs w:val="24"/>
          <w:vertAlign w:val="superscript"/>
        </w:rPr>
        <w:footnoteReference w:id="9"/>
      </w:r>
      <w:r w:rsidR="0041113E">
        <w:rPr>
          <w:rFonts w:ascii="Times New Roman" w:hAnsi="Times New Roman" w:cs="Times New Roman"/>
          <w:sz w:val="24"/>
          <w:szCs w:val="24"/>
        </w:rPr>
        <w:t>.  Therefore, Commission staff</w:t>
      </w:r>
      <w:r w:rsidR="0041113E" w:rsidRPr="0041113E">
        <w:rPr>
          <w:rFonts w:ascii="Times New Roman" w:hAnsi="Times New Roman" w:cs="Times New Roman"/>
          <w:sz w:val="24"/>
          <w:szCs w:val="24"/>
        </w:rPr>
        <w:t xml:space="preserve"> corrected the industry’s annual cost burden within the ROCIS metadata to show that the Commission associates no cost to capital investment or other non-labor costs.  </w:t>
      </w:r>
      <w:r w:rsidR="0041113E">
        <w:rPr>
          <w:rFonts w:ascii="Times New Roman" w:hAnsi="Times New Roman" w:cs="Times New Roman"/>
          <w:sz w:val="24"/>
          <w:szCs w:val="24"/>
        </w:rPr>
        <w:t>The Commission estimates t</w:t>
      </w:r>
      <w:r w:rsidR="0041113E" w:rsidRPr="0041113E">
        <w:rPr>
          <w:rFonts w:ascii="Times New Roman" w:hAnsi="Times New Roman" w:cs="Times New Roman"/>
          <w:sz w:val="24"/>
          <w:szCs w:val="24"/>
        </w:rPr>
        <w:t xml:space="preserve">he monetary cost related to the burden hours in #13 (above).  </w:t>
      </w:r>
      <w:r w:rsidR="007D6013">
        <w:rPr>
          <w:rFonts w:ascii="Times New Roman" w:hAnsi="Times New Roman" w:cs="Times New Roman"/>
          <w:sz w:val="24"/>
          <w:szCs w:val="24"/>
        </w:rPr>
        <w:t>T</w:t>
      </w:r>
      <w:r w:rsidR="00F31F68">
        <w:rPr>
          <w:rFonts w:ascii="Times New Roman" w:hAnsi="Times New Roman" w:cs="Times New Roman"/>
          <w:sz w:val="24"/>
          <w:szCs w:val="24"/>
        </w:rPr>
        <w:t>he</w:t>
      </w:r>
      <w:r w:rsidR="00005066">
        <w:rPr>
          <w:rFonts w:ascii="Times New Roman" w:hAnsi="Times New Roman" w:cs="Times New Roman"/>
          <w:sz w:val="24"/>
          <w:szCs w:val="24"/>
        </w:rPr>
        <w:t xml:space="preserve"> Commission erroneously represented</w:t>
      </w:r>
      <w:r w:rsidR="007D6013">
        <w:rPr>
          <w:rFonts w:ascii="Times New Roman" w:hAnsi="Times New Roman" w:cs="Times New Roman"/>
          <w:sz w:val="24"/>
          <w:szCs w:val="24"/>
        </w:rPr>
        <w:t xml:space="preserve"> </w:t>
      </w:r>
      <w:r w:rsidR="00005066">
        <w:rPr>
          <w:rFonts w:ascii="Times New Roman" w:hAnsi="Times New Roman" w:cs="Times New Roman"/>
          <w:sz w:val="24"/>
          <w:szCs w:val="24"/>
        </w:rPr>
        <w:t>these data</w:t>
      </w:r>
      <w:r w:rsidR="00CD0831">
        <w:rPr>
          <w:rFonts w:ascii="Times New Roman" w:hAnsi="Times New Roman" w:cs="Times New Roman"/>
          <w:sz w:val="24"/>
          <w:szCs w:val="24"/>
        </w:rPr>
        <w:t xml:space="preserve"> in previous FERC-912</w:t>
      </w:r>
      <w:r w:rsidR="00005066">
        <w:rPr>
          <w:rFonts w:ascii="Times New Roman" w:hAnsi="Times New Roman" w:cs="Times New Roman"/>
          <w:sz w:val="24"/>
          <w:szCs w:val="24"/>
        </w:rPr>
        <w:t xml:space="preserve"> supporting </w:t>
      </w:r>
      <w:r w:rsidR="004236FE">
        <w:rPr>
          <w:rFonts w:ascii="Times New Roman" w:hAnsi="Times New Roman" w:cs="Times New Roman"/>
          <w:sz w:val="24"/>
          <w:szCs w:val="24"/>
        </w:rPr>
        <w:t>statements.  Commission staff corrected the error</w:t>
      </w:r>
      <w:r w:rsidR="0041113E" w:rsidRPr="0041113E">
        <w:rPr>
          <w:rFonts w:ascii="Times New Roman" w:hAnsi="Times New Roman" w:cs="Times New Roman"/>
          <w:sz w:val="24"/>
          <w:szCs w:val="24"/>
        </w:rPr>
        <w:t xml:space="preserve"> within the current proposed clearance package</w:t>
      </w:r>
      <w:r w:rsidR="0041113E">
        <w:rPr>
          <w:rFonts w:ascii="Times New Roman" w:hAnsi="Times New Roman" w:cs="Times New Roman"/>
          <w:sz w:val="24"/>
          <w:szCs w:val="24"/>
        </w:rPr>
        <w:t>.</w:t>
      </w:r>
    </w:p>
    <w:p w:rsidR="0041113E" w:rsidRDefault="0041113E" w:rsidP="00A276F5">
      <w:pPr>
        <w:spacing w:after="0"/>
        <w:rPr>
          <w:rFonts w:ascii="Times New Roman" w:hAnsi="Times New Roman" w:cs="Times New Roman"/>
          <w:sz w:val="24"/>
          <w:szCs w:val="24"/>
        </w:rPr>
      </w:pPr>
    </w:p>
    <w:p w:rsidR="00C01698" w:rsidRDefault="00970FE4" w:rsidP="00A276F5">
      <w:pPr>
        <w:spacing w:after="0"/>
        <w:rPr>
          <w:rFonts w:ascii="Times New Roman" w:hAnsi="Times New Roman" w:cs="Times New Roman"/>
          <w:sz w:val="24"/>
          <w:szCs w:val="24"/>
        </w:rPr>
      </w:pPr>
      <w:r>
        <w:rPr>
          <w:rFonts w:ascii="Times New Roman" w:hAnsi="Times New Roman" w:cs="Times New Roman"/>
          <w:sz w:val="24"/>
          <w:szCs w:val="24"/>
        </w:rPr>
        <w:t>The format, label, and definitions of the table above follow the ROCIS system’s “ICR Summar</w:t>
      </w:r>
      <w:r w:rsidR="00BA7C56">
        <w:rPr>
          <w:rFonts w:ascii="Times New Roman" w:hAnsi="Times New Roman" w:cs="Times New Roman"/>
          <w:sz w:val="24"/>
          <w:szCs w:val="24"/>
        </w:rPr>
        <w:t>y of Burden” for the meta-data.</w:t>
      </w:r>
    </w:p>
    <w:p w:rsidR="00970FE4" w:rsidRPr="00A276F5" w:rsidRDefault="00970FE4" w:rsidP="00A276F5">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414F32">
      <w:pPr>
        <w:spacing w:after="0"/>
        <w:rPr>
          <w:rFonts w:ascii="Times New Roman" w:hAnsi="Times New Roman" w:cs="Times New Roman"/>
          <w:sz w:val="24"/>
          <w:szCs w:val="24"/>
        </w:rPr>
      </w:pPr>
    </w:p>
    <w:p w:rsidR="003D0B60" w:rsidRDefault="003D0B60" w:rsidP="003D0B60">
      <w:pPr>
        <w:spacing w:after="0"/>
        <w:rPr>
          <w:rFonts w:ascii="Times New Roman" w:hAnsi="Times New Roman" w:cs="Times New Roman"/>
          <w:sz w:val="24"/>
          <w:szCs w:val="24"/>
        </w:rPr>
      </w:pPr>
      <w:r w:rsidRPr="001F5574">
        <w:rPr>
          <w:rFonts w:ascii="Times New Roman" w:hAnsi="Times New Roman" w:cs="Times New Roman"/>
          <w:sz w:val="24"/>
          <w:szCs w:val="24"/>
        </w:rPr>
        <w:t>There are no tabulating, statistical or tabulating analysis or publication plans for the collection of information.  The</w:t>
      </w:r>
      <w:r w:rsidR="005C542C">
        <w:rPr>
          <w:rFonts w:ascii="Times New Roman" w:hAnsi="Times New Roman" w:cs="Times New Roman"/>
          <w:sz w:val="24"/>
          <w:szCs w:val="24"/>
        </w:rPr>
        <w:t xml:space="preserve"> Commission uses the data</w:t>
      </w:r>
      <w:r w:rsidRPr="001F5574">
        <w:rPr>
          <w:rFonts w:ascii="Times New Roman" w:hAnsi="Times New Roman" w:cs="Times New Roman"/>
          <w:sz w:val="24"/>
          <w:szCs w:val="24"/>
        </w:rPr>
        <w:t xml:space="preserve"> for regulatory purposes only.</w:t>
      </w:r>
      <w:bookmarkStart w:id="1" w:name="_GoBack"/>
      <w:bookmarkEnd w:id="1"/>
    </w:p>
    <w:p w:rsidR="00414F32" w:rsidRPr="00414F32" w:rsidRDefault="00414F32"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3B09A2" w:rsidRPr="003B09A2" w:rsidRDefault="003B09A2" w:rsidP="003B09A2">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3B09A2">
        <w:rPr>
          <w:rFonts w:ascii="Times New Roman" w:eastAsia="Times New Roman" w:hAnsi="Times New Roman" w:cs="Times New Roman"/>
          <w:sz w:val="24"/>
          <w:szCs w:val="24"/>
        </w:rPr>
        <w:t xml:space="preserve">It is not appropriate to display the expiration date because the </w:t>
      </w:r>
      <w:r>
        <w:rPr>
          <w:rFonts w:ascii="Times New Roman" w:eastAsia="Times New Roman" w:hAnsi="Times New Roman" w:cs="Times New Roman"/>
          <w:sz w:val="24"/>
          <w:szCs w:val="24"/>
        </w:rPr>
        <w:t xml:space="preserve">Commission does not collect the </w:t>
      </w:r>
      <w:r w:rsidRPr="003B09A2">
        <w:rPr>
          <w:rFonts w:ascii="Times New Roman" w:eastAsia="Times New Roman" w:hAnsi="Times New Roman" w:cs="Times New Roman"/>
          <w:sz w:val="24"/>
          <w:szCs w:val="24"/>
        </w:rPr>
        <w:t xml:space="preserve">information </w:t>
      </w:r>
      <w:r>
        <w:rPr>
          <w:rFonts w:ascii="Times New Roman" w:eastAsia="Times New Roman" w:hAnsi="Times New Roman" w:cs="Times New Roman"/>
          <w:sz w:val="24"/>
          <w:szCs w:val="24"/>
        </w:rPr>
        <w:t>up</w:t>
      </w:r>
      <w:r w:rsidRPr="003B09A2">
        <w:rPr>
          <w:rFonts w:ascii="Times New Roman" w:eastAsia="Times New Roman" w:hAnsi="Times New Roman" w:cs="Times New Roman"/>
          <w:sz w:val="24"/>
          <w:szCs w:val="24"/>
        </w:rPr>
        <w:t>on a standard, preprinted form that would avail itself to this display.  Rather, public utilities and licensees prepare and submit filings that reflect the unique or specific circumstances related to rates and services involved in the filing.  In addition, the information contains a mixture of narrative descriptions and empirical support that varies depending on t</w:t>
      </w:r>
      <w:r>
        <w:rPr>
          <w:rFonts w:ascii="Times New Roman" w:eastAsia="Times New Roman" w:hAnsi="Times New Roman" w:cs="Times New Roman"/>
          <w:sz w:val="24"/>
          <w:szCs w:val="24"/>
        </w:rPr>
        <w:t xml:space="preserve">he nature of the services </w:t>
      </w:r>
      <w:r w:rsidRPr="003B09A2">
        <w:rPr>
          <w:rFonts w:ascii="Times New Roman" w:eastAsia="Times New Roman" w:hAnsi="Times New Roman" w:cs="Times New Roman"/>
          <w:sz w:val="24"/>
          <w:szCs w:val="24"/>
        </w:rPr>
        <w:t>provided.</w:t>
      </w:r>
    </w:p>
    <w:p w:rsidR="00414F32" w:rsidRPr="00414F32" w:rsidRDefault="00414F32"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57700F">
      <w:pPr>
        <w:spacing w:after="0"/>
        <w:rPr>
          <w:rFonts w:ascii="Times New Roman" w:hAnsi="Times New Roman" w:cs="Times New Roman"/>
          <w:b/>
          <w:sz w:val="24"/>
          <w:szCs w:val="24"/>
        </w:rPr>
      </w:pPr>
    </w:p>
    <w:p w:rsidR="00414F32" w:rsidRPr="007A2F92" w:rsidRDefault="003B09A2" w:rsidP="003B09A2">
      <w:pPr>
        <w:spacing w:after="0"/>
        <w:rPr>
          <w:rFonts w:ascii="Times New Roman" w:hAnsi="Times New Roman" w:cs="Times New Roman"/>
          <w:sz w:val="24"/>
          <w:szCs w:val="24"/>
        </w:rPr>
      </w:pPr>
      <w:r w:rsidRPr="003B09A2">
        <w:rPr>
          <w:rFonts w:ascii="Times New Roman" w:hAnsi="Times New Roman" w:cs="Times New Roman"/>
          <w:sz w:val="24"/>
          <w:szCs w:val="24"/>
        </w:rPr>
        <w:t>The Commission does not use a statistical survey methodology fo</w:t>
      </w:r>
      <w:r>
        <w:rPr>
          <w:rFonts w:ascii="Times New Roman" w:hAnsi="Times New Roman" w:cs="Times New Roman"/>
          <w:sz w:val="24"/>
          <w:szCs w:val="24"/>
        </w:rPr>
        <w:t>r this information collection.</w:t>
      </w:r>
    </w:p>
    <w:sectPr w:rsidR="00414F32" w:rsidRPr="007A2F9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B60" w:rsidRDefault="003D0B60" w:rsidP="00FD66F1">
      <w:pPr>
        <w:spacing w:after="0" w:line="240" w:lineRule="auto"/>
      </w:pPr>
      <w:r>
        <w:separator/>
      </w:r>
    </w:p>
  </w:endnote>
  <w:endnote w:type="continuationSeparator" w:id="0">
    <w:p w:rsidR="003D0B60" w:rsidRDefault="003D0B60"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B60" w:rsidRDefault="003D0B60" w:rsidP="00FD66F1">
      <w:pPr>
        <w:spacing w:after="0" w:line="240" w:lineRule="auto"/>
      </w:pPr>
      <w:r>
        <w:separator/>
      </w:r>
    </w:p>
  </w:footnote>
  <w:footnote w:type="continuationSeparator" w:id="0">
    <w:p w:rsidR="003D0B60" w:rsidRDefault="003D0B60" w:rsidP="00FD66F1">
      <w:pPr>
        <w:spacing w:after="0" w:line="240" w:lineRule="auto"/>
      </w:pPr>
      <w:r>
        <w:continuationSeparator/>
      </w:r>
    </w:p>
  </w:footnote>
  <w:footnote w:id="1">
    <w:p w:rsidR="006B4576" w:rsidRDefault="006B4576">
      <w:pPr>
        <w:pStyle w:val="FootnoteText"/>
      </w:pPr>
      <w:r>
        <w:rPr>
          <w:rStyle w:val="FootnoteReference"/>
        </w:rPr>
        <w:footnoteRef/>
      </w:r>
      <w:r>
        <w:t xml:space="preserve"> P.L. 109-58 Section 1253</w:t>
      </w:r>
    </w:p>
  </w:footnote>
  <w:footnote w:id="2">
    <w:p w:rsidR="003D0B60" w:rsidRPr="00950BC1" w:rsidRDefault="003D0B60" w:rsidP="00950BC1">
      <w:pPr>
        <w:pStyle w:val="FootnoteText"/>
      </w:pPr>
      <w:r w:rsidRPr="00950BC1">
        <w:rPr>
          <w:rStyle w:val="FootnoteReference"/>
        </w:rPr>
        <w:footnoteRef/>
      </w:r>
      <w:r>
        <w:t xml:space="preserve"> 77 FR 58365</w:t>
      </w:r>
    </w:p>
  </w:footnote>
  <w:footnote w:id="3">
    <w:p w:rsidR="003D0B60" w:rsidRPr="003B09A2" w:rsidRDefault="003D0B60" w:rsidP="00950BC1">
      <w:pPr>
        <w:pStyle w:val="FootnoteText"/>
      </w:pPr>
      <w:r w:rsidRPr="00950BC1">
        <w:rPr>
          <w:rStyle w:val="FootnoteReference"/>
        </w:rPr>
        <w:footnoteRef/>
      </w:r>
      <w:r>
        <w:t xml:space="preserve"> 77 FR 71186</w:t>
      </w:r>
    </w:p>
  </w:footnote>
  <w:footnote w:id="4">
    <w:p w:rsidR="003D0B60" w:rsidRPr="00950BC1" w:rsidRDefault="003D0B60" w:rsidP="00950BC1">
      <w:pPr>
        <w:pStyle w:val="FootnoteText"/>
      </w:pPr>
      <w:r w:rsidRPr="00950BC1">
        <w:rPr>
          <w:rStyle w:val="FootnoteReference"/>
        </w:rPr>
        <w:footnoteRef/>
      </w:r>
      <w:r w:rsidRPr="00950BC1">
        <w:t xml:space="preserve"> 18 CFR 388.112</w:t>
      </w:r>
    </w:p>
  </w:footnote>
  <w:footnote w:id="5">
    <w:p w:rsidR="003D0B60" w:rsidRPr="00950BC1" w:rsidRDefault="003D0B60" w:rsidP="00950BC1">
      <w:pPr>
        <w:pStyle w:val="FootnoteText"/>
      </w:pPr>
      <w:r w:rsidRPr="00950BC1">
        <w:rPr>
          <w:rStyle w:val="FootnoteReference"/>
        </w:rPr>
        <w:footnoteRef/>
      </w:r>
      <w:r w:rsidRPr="00950BC1">
        <w:t xml:space="preserve"> This figure is rounded to the nearest cent</w:t>
      </w:r>
    </w:p>
  </w:footnote>
  <w:footnote w:id="6">
    <w:p w:rsidR="003D0B60" w:rsidRPr="00950BC1" w:rsidRDefault="003D0B60" w:rsidP="00950BC1">
      <w:pPr>
        <w:pStyle w:val="FootnoteText"/>
      </w:pPr>
      <w:r w:rsidRPr="00950BC1">
        <w:rPr>
          <w:rStyle w:val="FootnoteReference"/>
        </w:rPr>
        <w:footnoteRef/>
      </w:r>
      <w:r w:rsidRPr="00950BC1">
        <w:t xml:space="preserve"> Based upon 2012 FTE average salary plus benefits ($143,540)</w:t>
      </w:r>
    </w:p>
  </w:footnote>
  <w:footnote w:id="7">
    <w:p w:rsidR="003D0B60" w:rsidRPr="00950BC1" w:rsidRDefault="003D0B60" w:rsidP="00950BC1">
      <w:pPr>
        <w:pStyle w:val="FootnoteText"/>
      </w:pPr>
      <w:r w:rsidRPr="00950BC1">
        <w:rPr>
          <w:rStyle w:val="FootnoteReference"/>
        </w:rPr>
        <w:footnoteRef/>
      </w:r>
      <w:r w:rsidRPr="00950BC1">
        <w:t xml:space="preserve"> Paperwork Reduction Act of 1995 (PRA)</w:t>
      </w:r>
    </w:p>
  </w:footnote>
  <w:footnote w:id="8">
    <w:p w:rsidR="003D0B60" w:rsidRPr="00950BC1" w:rsidRDefault="003D0B60" w:rsidP="00950BC1">
      <w:pPr>
        <w:pStyle w:val="FootnoteText"/>
      </w:pPr>
      <w:r w:rsidRPr="00950BC1">
        <w:rPr>
          <w:rStyle w:val="FootnoteReference"/>
        </w:rPr>
        <w:footnoteRef/>
      </w:r>
      <w:r w:rsidRPr="00950BC1">
        <w:t xml:space="preserve"> Based upon 24 hours of Commission staff time/effort</w:t>
      </w:r>
    </w:p>
  </w:footnote>
  <w:footnote w:id="9">
    <w:p w:rsidR="003D0B60" w:rsidRPr="00950BC1" w:rsidRDefault="003D0B60" w:rsidP="00950BC1">
      <w:pPr>
        <w:pStyle w:val="FootnoteText"/>
      </w:pPr>
      <w:r w:rsidRPr="00950BC1">
        <w:rPr>
          <w:rStyle w:val="FootnoteReference"/>
        </w:rPr>
        <w:footnoteRef/>
      </w:r>
      <w:r w:rsidRPr="00950BC1">
        <w:t xml:space="preserve"> </w:t>
      </w:r>
      <w:hyperlink r:id="rId1" w:history="1">
        <w:r w:rsidRPr="00950BC1">
          <w:rPr>
            <w:rStyle w:val="Hyperlink"/>
          </w:rPr>
          <w:t>https://www.rocis.gov/rocis/jsp/common/ROCIS_HOW_TO_Guide_for_AGENCY_Users_of_ICR_Module-03192012_v2.pdf</w:t>
        </w:r>
      </w:hyperlink>
      <w:r w:rsidRPr="00950BC1">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60" w:rsidRDefault="003D0B60">
    <w:pPr>
      <w:pStyle w:val="Header"/>
    </w:pPr>
    <w:r>
      <w:rPr>
        <w:rFonts w:ascii="Times New Roman" w:hAnsi="Times New Roman" w:cs="Times New Roman"/>
        <w:sz w:val="24"/>
        <w:szCs w:val="24"/>
      </w:rPr>
      <w:t>FERC-912 (OMB Control No. 1902-0237)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36CD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1542E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046D5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D50A70E"/>
    <w:lvl w:ilvl="0">
      <w:start w:val="1"/>
      <w:numFmt w:val="decimal"/>
      <w:pStyle w:val="ListNumber2"/>
      <w:lvlText w:val="%1."/>
      <w:lvlJc w:val="left"/>
      <w:pPr>
        <w:tabs>
          <w:tab w:val="num" w:pos="720"/>
        </w:tabs>
        <w:ind w:left="720" w:hanging="360"/>
      </w:pPr>
    </w:lvl>
  </w:abstractNum>
  <w:abstractNum w:abstractNumId="4">
    <w:nsid w:val="FFFFFF80"/>
    <w:multiLevelType w:val="singleLevel"/>
    <w:tmpl w:val="C9DC7C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EF4F8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2CAAB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386D20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4E2BE68"/>
    <w:lvl w:ilvl="0">
      <w:start w:val="1"/>
      <w:numFmt w:val="decimal"/>
      <w:pStyle w:val="ListNumber"/>
      <w:lvlText w:val="%1."/>
      <w:lvlJc w:val="left"/>
      <w:pPr>
        <w:tabs>
          <w:tab w:val="num" w:pos="360"/>
        </w:tabs>
        <w:ind w:left="360" w:hanging="360"/>
      </w:pPr>
    </w:lvl>
  </w:abstractNum>
  <w:abstractNum w:abstractNumId="9">
    <w:nsid w:val="FFFFFF89"/>
    <w:multiLevelType w:val="singleLevel"/>
    <w:tmpl w:val="ECDC43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19636A"/>
    <w:multiLevelType w:val="hybridMultilevel"/>
    <w:tmpl w:val="32F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C72697"/>
    <w:multiLevelType w:val="hybridMultilevel"/>
    <w:tmpl w:val="48B48014"/>
    <w:lvl w:ilvl="0" w:tplc="8084D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C5152ED"/>
    <w:multiLevelType w:val="hybridMultilevel"/>
    <w:tmpl w:val="48B0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D13B06"/>
    <w:multiLevelType w:val="hybridMultilevel"/>
    <w:tmpl w:val="0946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381D49"/>
    <w:multiLevelType w:val="hybridMultilevel"/>
    <w:tmpl w:val="56A0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8"/>
  </w:num>
  <w:num w:numId="4">
    <w:abstractNumId w:val="19"/>
  </w:num>
  <w:num w:numId="5">
    <w:abstractNumId w:val="16"/>
  </w:num>
  <w:num w:numId="6">
    <w:abstractNumId w:val="11"/>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5066"/>
    <w:rsid w:val="00005C25"/>
    <w:rsid w:val="000240E7"/>
    <w:rsid w:val="00035845"/>
    <w:rsid w:val="00044424"/>
    <w:rsid w:val="0007328D"/>
    <w:rsid w:val="000838B0"/>
    <w:rsid w:val="000A2EC8"/>
    <w:rsid w:val="000B0C37"/>
    <w:rsid w:val="00116779"/>
    <w:rsid w:val="00143103"/>
    <w:rsid w:val="00156F4C"/>
    <w:rsid w:val="00181727"/>
    <w:rsid w:val="00185730"/>
    <w:rsid w:val="00187FAB"/>
    <w:rsid w:val="00194D14"/>
    <w:rsid w:val="001A6397"/>
    <w:rsid w:val="001F5574"/>
    <w:rsid w:val="00220CF1"/>
    <w:rsid w:val="0026674D"/>
    <w:rsid w:val="002E1D1B"/>
    <w:rsid w:val="002F7A0D"/>
    <w:rsid w:val="00331283"/>
    <w:rsid w:val="00334743"/>
    <w:rsid w:val="00365CA0"/>
    <w:rsid w:val="003B09A2"/>
    <w:rsid w:val="003B669D"/>
    <w:rsid w:val="003C2060"/>
    <w:rsid w:val="003D0B60"/>
    <w:rsid w:val="003D3823"/>
    <w:rsid w:val="003D5CD2"/>
    <w:rsid w:val="0041113E"/>
    <w:rsid w:val="004115D7"/>
    <w:rsid w:val="004144F8"/>
    <w:rsid w:val="00414F32"/>
    <w:rsid w:val="00417678"/>
    <w:rsid w:val="004236FE"/>
    <w:rsid w:val="00464178"/>
    <w:rsid w:val="00493D39"/>
    <w:rsid w:val="004C4C89"/>
    <w:rsid w:val="004F6977"/>
    <w:rsid w:val="00522F69"/>
    <w:rsid w:val="0053287C"/>
    <w:rsid w:val="005610C9"/>
    <w:rsid w:val="00571C5E"/>
    <w:rsid w:val="0057700F"/>
    <w:rsid w:val="005828A1"/>
    <w:rsid w:val="005876C7"/>
    <w:rsid w:val="005A2149"/>
    <w:rsid w:val="005A2792"/>
    <w:rsid w:val="005B77CE"/>
    <w:rsid w:val="005C1B75"/>
    <w:rsid w:val="005C542C"/>
    <w:rsid w:val="005D04EF"/>
    <w:rsid w:val="005F1C3C"/>
    <w:rsid w:val="005F74ED"/>
    <w:rsid w:val="006166FA"/>
    <w:rsid w:val="00640241"/>
    <w:rsid w:val="006632B9"/>
    <w:rsid w:val="00664BC0"/>
    <w:rsid w:val="00672E19"/>
    <w:rsid w:val="006837F8"/>
    <w:rsid w:val="00690136"/>
    <w:rsid w:val="00696062"/>
    <w:rsid w:val="006B4576"/>
    <w:rsid w:val="006C5925"/>
    <w:rsid w:val="006D607B"/>
    <w:rsid w:val="00701737"/>
    <w:rsid w:val="007164EF"/>
    <w:rsid w:val="00766983"/>
    <w:rsid w:val="00767313"/>
    <w:rsid w:val="007737B1"/>
    <w:rsid w:val="00773AEB"/>
    <w:rsid w:val="00787670"/>
    <w:rsid w:val="007954B4"/>
    <w:rsid w:val="007A1A3F"/>
    <w:rsid w:val="007A2C84"/>
    <w:rsid w:val="007A2F92"/>
    <w:rsid w:val="007C068B"/>
    <w:rsid w:val="007D6013"/>
    <w:rsid w:val="007E7C0F"/>
    <w:rsid w:val="00807D0E"/>
    <w:rsid w:val="00830E9C"/>
    <w:rsid w:val="008330BD"/>
    <w:rsid w:val="00836A04"/>
    <w:rsid w:val="008619E1"/>
    <w:rsid w:val="0086457D"/>
    <w:rsid w:val="00876F75"/>
    <w:rsid w:val="008A21A4"/>
    <w:rsid w:val="008A22DB"/>
    <w:rsid w:val="008C2774"/>
    <w:rsid w:val="008C288D"/>
    <w:rsid w:val="008E70CD"/>
    <w:rsid w:val="00906893"/>
    <w:rsid w:val="00913A8B"/>
    <w:rsid w:val="0094624A"/>
    <w:rsid w:val="00950BC1"/>
    <w:rsid w:val="00960FF9"/>
    <w:rsid w:val="0096365B"/>
    <w:rsid w:val="00970FE4"/>
    <w:rsid w:val="0099408E"/>
    <w:rsid w:val="009A0F6A"/>
    <w:rsid w:val="009C1C9F"/>
    <w:rsid w:val="009C3198"/>
    <w:rsid w:val="009D6740"/>
    <w:rsid w:val="009E1190"/>
    <w:rsid w:val="009F1894"/>
    <w:rsid w:val="009F595F"/>
    <w:rsid w:val="00A107DD"/>
    <w:rsid w:val="00A276F5"/>
    <w:rsid w:val="00A4071B"/>
    <w:rsid w:val="00A436E1"/>
    <w:rsid w:val="00A50033"/>
    <w:rsid w:val="00A72E7B"/>
    <w:rsid w:val="00A83085"/>
    <w:rsid w:val="00A90371"/>
    <w:rsid w:val="00A9638D"/>
    <w:rsid w:val="00A96B65"/>
    <w:rsid w:val="00AD3DE5"/>
    <w:rsid w:val="00B01772"/>
    <w:rsid w:val="00B15847"/>
    <w:rsid w:val="00B26FB2"/>
    <w:rsid w:val="00BA1C7D"/>
    <w:rsid w:val="00BA3C9E"/>
    <w:rsid w:val="00BA7C56"/>
    <w:rsid w:val="00BD407C"/>
    <w:rsid w:val="00C01698"/>
    <w:rsid w:val="00C108BB"/>
    <w:rsid w:val="00C246F9"/>
    <w:rsid w:val="00C42BB2"/>
    <w:rsid w:val="00C510DD"/>
    <w:rsid w:val="00C628E0"/>
    <w:rsid w:val="00C65768"/>
    <w:rsid w:val="00C76146"/>
    <w:rsid w:val="00C84FE6"/>
    <w:rsid w:val="00CA1C4B"/>
    <w:rsid w:val="00CA59C3"/>
    <w:rsid w:val="00CB2792"/>
    <w:rsid w:val="00CC7AE4"/>
    <w:rsid w:val="00CD0831"/>
    <w:rsid w:val="00CD4E43"/>
    <w:rsid w:val="00CE63ED"/>
    <w:rsid w:val="00CF5A45"/>
    <w:rsid w:val="00D20C0A"/>
    <w:rsid w:val="00D20EC9"/>
    <w:rsid w:val="00D46243"/>
    <w:rsid w:val="00D758B6"/>
    <w:rsid w:val="00D80FBD"/>
    <w:rsid w:val="00D940DB"/>
    <w:rsid w:val="00DC4E36"/>
    <w:rsid w:val="00E105BF"/>
    <w:rsid w:val="00E11CA6"/>
    <w:rsid w:val="00E14565"/>
    <w:rsid w:val="00E15F00"/>
    <w:rsid w:val="00E20612"/>
    <w:rsid w:val="00E44F77"/>
    <w:rsid w:val="00E636D7"/>
    <w:rsid w:val="00E65CE0"/>
    <w:rsid w:val="00E87A4F"/>
    <w:rsid w:val="00EA31AE"/>
    <w:rsid w:val="00EB06F5"/>
    <w:rsid w:val="00EB3E6F"/>
    <w:rsid w:val="00EB7488"/>
    <w:rsid w:val="00EC3FE1"/>
    <w:rsid w:val="00ED5560"/>
    <w:rsid w:val="00EF35DC"/>
    <w:rsid w:val="00EF5F66"/>
    <w:rsid w:val="00F06D4F"/>
    <w:rsid w:val="00F0760C"/>
    <w:rsid w:val="00F10526"/>
    <w:rsid w:val="00F12DC2"/>
    <w:rsid w:val="00F152DF"/>
    <w:rsid w:val="00F2118F"/>
    <w:rsid w:val="00F31F68"/>
    <w:rsid w:val="00F62F79"/>
    <w:rsid w:val="00FD66F1"/>
    <w:rsid w:val="00FE5796"/>
    <w:rsid w:val="00FF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5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5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58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758B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758B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8B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8B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8B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8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116779"/>
    <w:rPr>
      <w:color w:val="0000FF" w:themeColor="hyperlink"/>
      <w:u w:val="single"/>
    </w:rPr>
  </w:style>
  <w:style w:type="character" w:styleId="FollowedHyperlink">
    <w:name w:val="FollowedHyperlink"/>
    <w:basedOn w:val="DefaultParagraphFont"/>
    <w:uiPriority w:val="99"/>
    <w:semiHidden/>
    <w:unhideWhenUsed/>
    <w:rsid w:val="004236FE"/>
    <w:rPr>
      <w:color w:val="800080" w:themeColor="followedHyperlink"/>
      <w:u w:val="single"/>
    </w:rPr>
  </w:style>
  <w:style w:type="paragraph" w:styleId="Bibliography">
    <w:name w:val="Bibliography"/>
    <w:basedOn w:val="Normal"/>
    <w:next w:val="Normal"/>
    <w:uiPriority w:val="37"/>
    <w:semiHidden/>
    <w:unhideWhenUsed/>
    <w:rsid w:val="00D758B6"/>
  </w:style>
  <w:style w:type="paragraph" w:styleId="BlockText">
    <w:name w:val="Block Text"/>
    <w:basedOn w:val="Normal"/>
    <w:uiPriority w:val="99"/>
    <w:semiHidden/>
    <w:unhideWhenUsed/>
    <w:rsid w:val="00D758B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D758B6"/>
    <w:pPr>
      <w:spacing w:after="120"/>
    </w:pPr>
  </w:style>
  <w:style w:type="character" w:customStyle="1" w:styleId="BodyTextChar">
    <w:name w:val="Body Text Char"/>
    <w:basedOn w:val="DefaultParagraphFont"/>
    <w:link w:val="BodyText"/>
    <w:uiPriority w:val="99"/>
    <w:semiHidden/>
    <w:rsid w:val="00D758B6"/>
  </w:style>
  <w:style w:type="paragraph" w:styleId="BodyText2">
    <w:name w:val="Body Text 2"/>
    <w:basedOn w:val="Normal"/>
    <w:link w:val="BodyText2Char"/>
    <w:uiPriority w:val="99"/>
    <w:semiHidden/>
    <w:unhideWhenUsed/>
    <w:rsid w:val="00D758B6"/>
    <w:pPr>
      <w:spacing w:after="120" w:line="480" w:lineRule="auto"/>
    </w:pPr>
  </w:style>
  <w:style w:type="character" w:customStyle="1" w:styleId="BodyText2Char">
    <w:name w:val="Body Text 2 Char"/>
    <w:basedOn w:val="DefaultParagraphFont"/>
    <w:link w:val="BodyText2"/>
    <w:uiPriority w:val="99"/>
    <w:semiHidden/>
    <w:rsid w:val="00D758B6"/>
  </w:style>
  <w:style w:type="paragraph" w:styleId="BodyText3">
    <w:name w:val="Body Text 3"/>
    <w:basedOn w:val="Normal"/>
    <w:link w:val="BodyText3Char"/>
    <w:uiPriority w:val="99"/>
    <w:semiHidden/>
    <w:unhideWhenUsed/>
    <w:rsid w:val="00D758B6"/>
    <w:pPr>
      <w:spacing w:after="120"/>
    </w:pPr>
    <w:rPr>
      <w:sz w:val="16"/>
      <w:szCs w:val="16"/>
    </w:rPr>
  </w:style>
  <w:style w:type="character" w:customStyle="1" w:styleId="BodyText3Char">
    <w:name w:val="Body Text 3 Char"/>
    <w:basedOn w:val="DefaultParagraphFont"/>
    <w:link w:val="BodyText3"/>
    <w:uiPriority w:val="99"/>
    <w:semiHidden/>
    <w:rsid w:val="00D758B6"/>
    <w:rPr>
      <w:sz w:val="16"/>
      <w:szCs w:val="16"/>
    </w:rPr>
  </w:style>
  <w:style w:type="paragraph" w:styleId="BodyTextFirstIndent">
    <w:name w:val="Body Text First Indent"/>
    <w:basedOn w:val="BodyText"/>
    <w:link w:val="BodyTextFirstIndentChar"/>
    <w:uiPriority w:val="99"/>
    <w:semiHidden/>
    <w:unhideWhenUsed/>
    <w:rsid w:val="00D758B6"/>
    <w:pPr>
      <w:spacing w:after="200"/>
      <w:ind w:firstLine="360"/>
    </w:pPr>
  </w:style>
  <w:style w:type="character" w:customStyle="1" w:styleId="BodyTextFirstIndentChar">
    <w:name w:val="Body Text First Indent Char"/>
    <w:basedOn w:val="BodyTextChar"/>
    <w:link w:val="BodyTextFirstIndent"/>
    <w:uiPriority w:val="99"/>
    <w:semiHidden/>
    <w:rsid w:val="00D758B6"/>
  </w:style>
  <w:style w:type="paragraph" w:styleId="BodyTextIndent">
    <w:name w:val="Body Text Indent"/>
    <w:basedOn w:val="Normal"/>
    <w:link w:val="BodyTextIndentChar"/>
    <w:uiPriority w:val="99"/>
    <w:semiHidden/>
    <w:unhideWhenUsed/>
    <w:rsid w:val="00D758B6"/>
    <w:pPr>
      <w:spacing w:after="120"/>
      <w:ind w:left="360"/>
    </w:pPr>
  </w:style>
  <w:style w:type="character" w:customStyle="1" w:styleId="BodyTextIndentChar">
    <w:name w:val="Body Text Indent Char"/>
    <w:basedOn w:val="DefaultParagraphFont"/>
    <w:link w:val="BodyTextIndent"/>
    <w:uiPriority w:val="99"/>
    <w:semiHidden/>
    <w:rsid w:val="00D758B6"/>
  </w:style>
  <w:style w:type="paragraph" w:styleId="BodyTextFirstIndent2">
    <w:name w:val="Body Text First Indent 2"/>
    <w:basedOn w:val="BodyTextIndent"/>
    <w:link w:val="BodyTextFirstIndent2Char"/>
    <w:uiPriority w:val="99"/>
    <w:semiHidden/>
    <w:unhideWhenUsed/>
    <w:rsid w:val="00D758B6"/>
    <w:pPr>
      <w:spacing w:after="200"/>
      <w:ind w:firstLine="360"/>
    </w:pPr>
  </w:style>
  <w:style w:type="character" w:customStyle="1" w:styleId="BodyTextFirstIndent2Char">
    <w:name w:val="Body Text First Indent 2 Char"/>
    <w:basedOn w:val="BodyTextIndentChar"/>
    <w:link w:val="BodyTextFirstIndent2"/>
    <w:uiPriority w:val="99"/>
    <w:semiHidden/>
    <w:rsid w:val="00D758B6"/>
  </w:style>
  <w:style w:type="paragraph" w:styleId="BodyTextIndent2">
    <w:name w:val="Body Text Indent 2"/>
    <w:basedOn w:val="Normal"/>
    <w:link w:val="BodyTextIndent2Char"/>
    <w:uiPriority w:val="99"/>
    <w:semiHidden/>
    <w:unhideWhenUsed/>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rsid w:val="00D758B6"/>
  </w:style>
  <w:style w:type="paragraph" w:styleId="BodyTextIndent3">
    <w:name w:val="Body Text Indent 3"/>
    <w:basedOn w:val="Normal"/>
    <w:link w:val="BodyTextIndent3Char"/>
    <w:uiPriority w:val="99"/>
    <w:semiHidden/>
    <w:unhideWhenUsed/>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58B6"/>
    <w:rPr>
      <w:sz w:val="16"/>
      <w:szCs w:val="16"/>
    </w:rPr>
  </w:style>
  <w:style w:type="paragraph" w:styleId="Caption">
    <w:name w:val="caption"/>
    <w:basedOn w:val="Normal"/>
    <w:next w:val="Normal"/>
    <w:uiPriority w:val="35"/>
    <w:semiHidden/>
    <w:unhideWhenUsed/>
    <w:qFormat/>
    <w:rsid w:val="00D758B6"/>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D758B6"/>
    <w:pPr>
      <w:spacing w:after="0" w:line="240" w:lineRule="auto"/>
      <w:ind w:left="4320"/>
    </w:pPr>
  </w:style>
  <w:style w:type="character" w:customStyle="1" w:styleId="ClosingChar">
    <w:name w:val="Closing Char"/>
    <w:basedOn w:val="DefaultParagraphFont"/>
    <w:link w:val="Closing"/>
    <w:uiPriority w:val="99"/>
    <w:semiHidden/>
    <w:rsid w:val="00D758B6"/>
  </w:style>
  <w:style w:type="paragraph" w:styleId="Date">
    <w:name w:val="Date"/>
    <w:basedOn w:val="Normal"/>
    <w:next w:val="Normal"/>
    <w:link w:val="DateChar"/>
    <w:uiPriority w:val="99"/>
    <w:semiHidden/>
    <w:unhideWhenUsed/>
    <w:rsid w:val="00D758B6"/>
  </w:style>
  <w:style w:type="character" w:customStyle="1" w:styleId="DateChar">
    <w:name w:val="Date Char"/>
    <w:basedOn w:val="DefaultParagraphFont"/>
    <w:link w:val="Date"/>
    <w:uiPriority w:val="99"/>
    <w:semiHidden/>
    <w:rsid w:val="00D758B6"/>
  </w:style>
  <w:style w:type="paragraph" w:styleId="DocumentMap">
    <w:name w:val="Document Map"/>
    <w:basedOn w:val="Normal"/>
    <w:link w:val="DocumentMapChar"/>
    <w:uiPriority w:val="99"/>
    <w:semiHidden/>
    <w:unhideWhenUsed/>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58B6"/>
    <w:rPr>
      <w:rFonts w:ascii="Tahoma" w:hAnsi="Tahoma" w:cs="Tahoma"/>
      <w:sz w:val="16"/>
      <w:szCs w:val="16"/>
    </w:rPr>
  </w:style>
  <w:style w:type="paragraph" w:styleId="E-mailSignature">
    <w:name w:val="E-mail Signature"/>
    <w:basedOn w:val="Normal"/>
    <w:link w:val="E-mailSignatureChar"/>
    <w:uiPriority w:val="99"/>
    <w:semiHidden/>
    <w:unhideWhenUsed/>
    <w:rsid w:val="00D758B6"/>
    <w:pPr>
      <w:spacing w:after="0" w:line="240" w:lineRule="auto"/>
    </w:pPr>
  </w:style>
  <w:style w:type="character" w:customStyle="1" w:styleId="E-mailSignatureChar">
    <w:name w:val="E-mail Signature Char"/>
    <w:basedOn w:val="DefaultParagraphFont"/>
    <w:link w:val="E-mailSignature"/>
    <w:uiPriority w:val="99"/>
    <w:semiHidden/>
    <w:rsid w:val="00D758B6"/>
  </w:style>
  <w:style w:type="paragraph" w:styleId="EndnoteText">
    <w:name w:val="endnote text"/>
    <w:basedOn w:val="Normal"/>
    <w:link w:val="EndnoteTextChar"/>
    <w:uiPriority w:val="99"/>
    <w:semiHidden/>
    <w:unhideWhenUsed/>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58B6"/>
    <w:rPr>
      <w:sz w:val="20"/>
      <w:szCs w:val="20"/>
    </w:rPr>
  </w:style>
  <w:style w:type="paragraph" w:styleId="EnvelopeAddress">
    <w:name w:val="envelope address"/>
    <w:basedOn w:val="Normal"/>
    <w:uiPriority w:val="99"/>
    <w:semiHidden/>
    <w:unhideWhenUsed/>
    <w:rsid w:val="00D758B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758B6"/>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D758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758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758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758B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758B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758B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758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58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58B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D758B6"/>
    <w:pPr>
      <w:spacing w:after="0" w:line="240" w:lineRule="auto"/>
    </w:pPr>
    <w:rPr>
      <w:i/>
      <w:iCs/>
    </w:rPr>
  </w:style>
  <w:style w:type="character" w:customStyle="1" w:styleId="HTMLAddressChar">
    <w:name w:val="HTML Address Char"/>
    <w:basedOn w:val="DefaultParagraphFont"/>
    <w:link w:val="HTMLAddress"/>
    <w:uiPriority w:val="99"/>
    <w:semiHidden/>
    <w:rsid w:val="00D758B6"/>
    <w:rPr>
      <w:i/>
      <w:iCs/>
    </w:rPr>
  </w:style>
  <w:style w:type="paragraph" w:styleId="HTMLPreformatted">
    <w:name w:val="HTML Preformatted"/>
    <w:basedOn w:val="Normal"/>
    <w:link w:val="HTMLPreformattedChar"/>
    <w:uiPriority w:val="99"/>
    <w:semiHidden/>
    <w:unhideWhenUsed/>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58B6"/>
    <w:rPr>
      <w:rFonts w:ascii="Consolas" w:hAnsi="Consolas"/>
      <w:sz w:val="20"/>
      <w:szCs w:val="20"/>
    </w:rPr>
  </w:style>
  <w:style w:type="paragraph" w:styleId="Index1">
    <w:name w:val="index 1"/>
    <w:basedOn w:val="Normal"/>
    <w:next w:val="Normal"/>
    <w:uiPriority w:val="99"/>
    <w:semiHidden/>
    <w:unhideWhenUsed/>
    <w:rsid w:val="00D758B6"/>
    <w:pPr>
      <w:spacing w:after="0" w:line="240" w:lineRule="auto"/>
      <w:ind w:left="220" w:hanging="220"/>
    </w:pPr>
  </w:style>
  <w:style w:type="paragraph" w:styleId="Index2">
    <w:name w:val="index 2"/>
    <w:basedOn w:val="Normal"/>
    <w:next w:val="Normal"/>
    <w:uiPriority w:val="99"/>
    <w:semiHidden/>
    <w:unhideWhenUsed/>
    <w:rsid w:val="00D758B6"/>
    <w:pPr>
      <w:spacing w:after="0" w:line="240" w:lineRule="auto"/>
      <w:ind w:left="440" w:hanging="220"/>
    </w:pPr>
  </w:style>
  <w:style w:type="paragraph" w:styleId="Index3">
    <w:name w:val="index 3"/>
    <w:basedOn w:val="Normal"/>
    <w:next w:val="Normal"/>
    <w:uiPriority w:val="99"/>
    <w:semiHidden/>
    <w:unhideWhenUsed/>
    <w:rsid w:val="00D758B6"/>
    <w:pPr>
      <w:spacing w:after="0" w:line="240" w:lineRule="auto"/>
      <w:ind w:left="660" w:hanging="220"/>
    </w:pPr>
  </w:style>
  <w:style w:type="paragraph" w:styleId="Index4">
    <w:name w:val="index 4"/>
    <w:basedOn w:val="Normal"/>
    <w:next w:val="Normal"/>
    <w:uiPriority w:val="99"/>
    <w:semiHidden/>
    <w:unhideWhenUsed/>
    <w:rsid w:val="00D758B6"/>
    <w:pPr>
      <w:spacing w:after="0" w:line="240" w:lineRule="auto"/>
      <w:ind w:left="880" w:hanging="220"/>
    </w:pPr>
  </w:style>
  <w:style w:type="paragraph" w:styleId="Index5">
    <w:name w:val="index 5"/>
    <w:basedOn w:val="Normal"/>
    <w:next w:val="Normal"/>
    <w:uiPriority w:val="99"/>
    <w:semiHidden/>
    <w:unhideWhenUsed/>
    <w:rsid w:val="00D758B6"/>
    <w:pPr>
      <w:spacing w:after="0" w:line="240" w:lineRule="auto"/>
      <w:ind w:left="1100" w:hanging="220"/>
    </w:pPr>
  </w:style>
  <w:style w:type="paragraph" w:styleId="Index6">
    <w:name w:val="index 6"/>
    <w:basedOn w:val="Normal"/>
    <w:next w:val="Normal"/>
    <w:uiPriority w:val="99"/>
    <w:semiHidden/>
    <w:unhideWhenUsed/>
    <w:rsid w:val="00D758B6"/>
    <w:pPr>
      <w:spacing w:after="0" w:line="240" w:lineRule="auto"/>
      <w:ind w:left="1320" w:hanging="220"/>
    </w:pPr>
  </w:style>
  <w:style w:type="paragraph" w:styleId="Index7">
    <w:name w:val="index 7"/>
    <w:basedOn w:val="Normal"/>
    <w:next w:val="Normal"/>
    <w:uiPriority w:val="99"/>
    <w:semiHidden/>
    <w:unhideWhenUsed/>
    <w:rsid w:val="00D758B6"/>
    <w:pPr>
      <w:spacing w:after="0" w:line="240" w:lineRule="auto"/>
      <w:ind w:left="1540" w:hanging="220"/>
    </w:pPr>
  </w:style>
  <w:style w:type="paragraph" w:styleId="Index8">
    <w:name w:val="index 8"/>
    <w:basedOn w:val="Normal"/>
    <w:next w:val="Normal"/>
    <w:uiPriority w:val="99"/>
    <w:semiHidden/>
    <w:unhideWhenUsed/>
    <w:rsid w:val="00D758B6"/>
    <w:pPr>
      <w:spacing w:after="0" w:line="240" w:lineRule="auto"/>
      <w:ind w:left="1760" w:hanging="220"/>
    </w:pPr>
  </w:style>
  <w:style w:type="paragraph" w:styleId="Index9">
    <w:name w:val="index 9"/>
    <w:basedOn w:val="Normal"/>
    <w:next w:val="Normal"/>
    <w:uiPriority w:val="99"/>
    <w:semiHidden/>
    <w:unhideWhenUsed/>
    <w:rsid w:val="00D758B6"/>
    <w:pPr>
      <w:spacing w:after="0" w:line="240" w:lineRule="auto"/>
      <w:ind w:left="1980" w:hanging="220"/>
    </w:pPr>
  </w:style>
  <w:style w:type="paragraph" w:styleId="IndexHeading">
    <w:name w:val="index heading"/>
    <w:basedOn w:val="Normal"/>
    <w:next w:val="Index1"/>
    <w:uiPriority w:val="99"/>
    <w:semiHidden/>
    <w:unhideWhenUsed/>
    <w:rsid w:val="00D758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8B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58B6"/>
    <w:rPr>
      <w:b/>
      <w:bCs/>
      <w:i/>
      <w:iCs/>
      <w:color w:val="4F81BD" w:themeColor="accent1"/>
    </w:rPr>
  </w:style>
  <w:style w:type="paragraph" w:styleId="List">
    <w:name w:val="List"/>
    <w:basedOn w:val="Normal"/>
    <w:uiPriority w:val="99"/>
    <w:semiHidden/>
    <w:unhideWhenUsed/>
    <w:rsid w:val="00D758B6"/>
    <w:pPr>
      <w:ind w:left="360" w:hanging="360"/>
      <w:contextualSpacing/>
    </w:pPr>
  </w:style>
  <w:style w:type="paragraph" w:styleId="List2">
    <w:name w:val="List 2"/>
    <w:basedOn w:val="Normal"/>
    <w:uiPriority w:val="99"/>
    <w:semiHidden/>
    <w:unhideWhenUsed/>
    <w:rsid w:val="00D758B6"/>
    <w:pPr>
      <w:ind w:left="720" w:hanging="360"/>
      <w:contextualSpacing/>
    </w:pPr>
  </w:style>
  <w:style w:type="paragraph" w:styleId="List3">
    <w:name w:val="List 3"/>
    <w:basedOn w:val="Normal"/>
    <w:uiPriority w:val="99"/>
    <w:semiHidden/>
    <w:unhideWhenUsed/>
    <w:rsid w:val="00D758B6"/>
    <w:pPr>
      <w:ind w:left="1080" w:hanging="360"/>
      <w:contextualSpacing/>
    </w:pPr>
  </w:style>
  <w:style w:type="paragraph" w:styleId="List4">
    <w:name w:val="List 4"/>
    <w:basedOn w:val="Normal"/>
    <w:uiPriority w:val="99"/>
    <w:semiHidden/>
    <w:unhideWhenUsed/>
    <w:rsid w:val="00D758B6"/>
    <w:pPr>
      <w:ind w:left="1440" w:hanging="360"/>
      <w:contextualSpacing/>
    </w:pPr>
  </w:style>
  <w:style w:type="paragraph" w:styleId="List5">
    <w:name w:val="List 5"/>
    <w:basedOn w:val="Normal"/>
    <w:uiPriority w:val="99"/>
    <w:semiHidden/>
    <w:unhideWhenUsed/>
    <w:rsid w:val="00D758B6"/>
    <w:pPr>
      <w:ind w:left="1800" w:hanging="360"/>
      <w:contextualSpacing/>
    </w:pPr>
  </w:style>
  <w:style w:type="paragraph" w:styleId="ListBullet">
    <w:name w:val="List Bullet"/>
    <w:basedOn w:val="Normal"/>
    <w:uiPriority w:val="99"/>
    <w:semiHidden/>
    <w:unhideWhenUsed/>
    <w:rsid w:val="00D758B6"/>
    <w:pPr>
      <w:numPr>
        <w:numId w:val="8"/>
      </w:numPr>
      <w:contextualSpacing/>
    </w:pPr>
  </w:style>
  <w:style w:type="paragraph" w:styleId="ListBullet2">
    <w:name w:val="List Bullet 2"/>
    <w:basedOn w:val="Normal"/>
    <w:uiPriority w:val="99"/>
    <w:semiHidden/>
    <w:unhideWhenUsed/>
    <w:rsid w:val="00D758B6"/>
    <w:pPr>
      <w:numPr>
        <w:numId w:val="9"/>
      </w:numPr>
      <w:contextualSpacing/>
    </w:pPr>
  </w:style>
  <w:style w:type="paragraph" w:styleId="ListBullet3">
    <w:name w:val="List Bullet 3"/>
    <w:basedOn w:val="Normal"/>
    <w:uiPriority w:val="99"/>
    <w:semiHidden/>
    <w:unhideWhenUsed/>
    <w:rsid w:val="00D758B6"/>
    <w:pPr>
      <w:numPr>
        <w:numId w:val="10"/>
      </w:numPr>
      <w:contextualSpacing/>
    </w:pPr>
  </w:style>
  <w:style w:type="paragraph" w:styleId="ListBullet4">
    <w:name w:val="List Bullet 4"/>
    <w:basedOn w:val="Normal"/>
    <w:uiPriority w:val="99"/>
    <w:semiHidden/>
    <w:unhideWhenUsed/>
    <w:rsid w:val="00D758B6"/>
    <w:pPr>
      <w:numPr>
        <w:numId w:val="11"/>
      </w:numPr>
      <w:contextualSpacing/>
    </w:pPr>
  </w:style>
  <w:style w:type="paragraph" w:styleId="ListBullet5">
    <w:name w:val="List Bullet 5"/>
    <w:basedOn w:val="Normal"/>
    <w:uiPriority w:val="99"/>
    <w:semiHidden/>
    <w:unhideWhenUsed/>
    <w:rsid w:val="00D758B6"/>
    <w:pPr>
      <w:numPr>
        <w:numId w:val="12"/>
      </w:numPr>
      <w:contextualSpacing/>
    </w:pPr>
  </w:style>
  <w:style w:type="paragraph" w:styleId="ListContinue2">
    <w:name w:val="List Continue 2"/>
    <w:basedOn w:val="Normal"/>
    <w:uiPriority w:val="99"/>
    <w:semiHidden/>
    <w:unhideWhenUsed/>
    <w:rsid w:val="00D758B6"/>
    <w:pPr>
      <w:spacing w:after="120"/>
      <w:ind w:left="720"/>
      <w:contextualSpacing/>
    </w:pPr>
  </w:style>
  <w:style w:type="paragraph" w:styleId="ListContinue3">
    <w:name w:val="List Continue 3"/>
    <w:basedOn w:val="Normal"/>
    <w:uiPriority w:val="99"/>
    <w:semiHidden/>
    <w:unhideWhenUsed/>
    <w:rsid w:val="00D758B6"/>
    <w:pPr>
      <w:spacing w:after="120"/>
      <w:ind w:left="1080"/>
      <w:contextualSpacing/>
    </w:pPr>
  </w:style>
  <w:style w:type="paragraph" w:styleId="ListContinue4">
    <w:name w:val="List Continue 4"/>
    <w:basedOn w:val="Normal"/>
    <w:uiPriority w:val="99"/>
    <w:semiHidden/>
    <w:unhideWhenUsed/>
    <w:rsid w:val="00D758B6"/>
    <w:pPr>
      <w:spacing w:after="120"/>
      <w:ind w:left="1440"/>
      <w:contextualSpacing/>
    </w:pPr>
  </w:style>
  <w:style w:type="paragraph" w:styleId="ListContinue5">
    <w:name w:val="List Continue 5"/>
    <w:basedOn w:val="Normal"/>
    <w:uiPriority w:val="99"/>
    <w:semiHidden/>
    <w:unhideWhenUsed/>
    <w:rsid w:val="00D758B6"/>
    <w:pPr>
      <w:spacing w:after="120"/>
      <w:ind w:left="1800"/>
      <w:contextualSpacing/>
    </w:pPr>
  </w:style>
  <w:style w:type="paragraph" w:styleId="ListNumber">
    <w:name w:val="List Number"/>
    <w:basedOn w:val="Normal"/>
    <w:uiPriority w:val="99"/>
    <w:semiHidden/>
    <w:unhideWhenUsed/>
    <w:rsid w:val="00D758B6"/>
    <w:pPr>
      <w:numPr>
        <w:numId w:val="13"/>
      </w:numPr>
      <w:contextualSpacing/>
    </w:pPr>
  </w:style>
  <w:style w:type="paragraph" w:styleId="ListNumber2">
    <w:name w:val="List Number 2"/>
    <w:basedOn w:val="Normal"/>
    <w:uiPriority w:val="99"/>
    <w:semiHidden/>
    <w:unhideWhenUsed/>
    <w:rsid w:val="00D758B6"/>
    <w:pPr>
      <w:numPr>
        <w:numId w:val="14"/>
      </w:numPr>
      <w:contextualSpacing/>
    </w:pPr>
  </w:style>
  <w:style w:type="paragraph" w:styleId="ListNumber3">
    <w:name w:val="List Number 3"/>
    <w:basedOn w:val="Normal"/>
    <w:uiPriority w:val="99"/>
    <w:semiHidden/>
    <w:unhideWhenUsed/>
    <w:rsid w:val="00D758B6"/>
    <w:pPr>
      <w:numPr>
        <w:numId w:val="15"/>
      </w:numPr>
      <w:contextualSpacing/>
    </w:pPr>
  </w:style>
  <w:style w:type="paragraph" w:styleId="ListNumber4">
    <w:name w:val="List Number 4"/>
    <w:basedOn w:val="Normal"/>
    <w:uiPriority w:val="99"/>
    <w:semiHidden/>
    <w:unhideWhenUsed/>
    <w:rsid w:val="00D758B6"/>
    <w:pPr>
      <w:numPr>
        <w:numId w:val="16"/>
      </w:numPr>
      <w:contextualSpacing/>
    </w:pPr>
  </w:style>
  <w:style w:type="paragraph" w:styleId="ListNumber5">
    <w:name w:val="List Number 5"/>
    <w:basedOn w:val="Normal"/>
    <w:uiPriority w:val="99"/>
    <w:semiHidden/>
    <w:unhideWhenUsed/>
    <w:rsid w:val="00D758B6"/>
    <w:pPr>
      <w:numPr>
        <w:numId w:val="17"/>
      </w:numPr>
      <w:contextualSpacing/>
    </w:pPr>
  </w:style>
  <w:style w:type="paragraph" w:styleId="MacroText">
    <w:name w:val="macro"/>
    <w:link w:val="MacroTextChar"/>
    <w:uiPriority w:val="99"/>
    <w:semiHidden/>
    <w:unhideWhenUsed/>
    <w:rsid w:val="00D758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758B6"/>
    <w:rPr>
      <w:rFonts w:ascii="Consolas" w:hAnsi="Consolas"/>
      <w:sz w:val="20"/>
      <w:szCs w:val="20"/>
    </w:rPr>
  </w:style>
  <w:style w:type="paragraph" w:styleId="MessageHeader">
    <w:name w:val="Message Header"/>
    <w:basedOn w:val="Normal"/>
    <w:link w:val="MessageHeaderChar"/>
    <w:uiPriority w:val="99"/>
    <w:semiHidden/>
    <w:unhideWhenUsed/>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758B6"/>
    <w:rPr>
      <w:rFonts w:asciiTheme="majorHAnsi" w:eastAsiaTheme="majorEastAsia" w:hAnsiTheme="majorHAnsi" w:cstheme="majorBidi"/>
      <w:sz w:val="24"/>
      <w:szCs w:val="24"/>
      <w:shd w:val="pct20" w:color="auto" w:fill="auto"/>
    </w:rPr>
  </w:style>
  <w:style w:type="paragraph" w:styleId="NoSpacing">
    <w:name w:val="No Spacing"/>
    <w:uiPriority w:val="1"/>
    <w:qFormat/>
    <w:rsid w:val="00D758B6"/>
    <w:pPr>
      <w:spacing w:after="0" w:line="240" w:lineRule="auto"/>
    </w:pPr>
  </w:style>
  <w:style w:type="paragraph" w:styleId="NormalWeb">
    <w:name w:val="Normal (Web)"/>
    <w:basedOn w:val="Normal"/>
    <w:uiPriority w:val="99"/>
    <w:semiHidden/>
    <w:unhideWhenUsed/>
    <w:rsid w:val="00D758B6"/>
    <w:rPr>
      <w:rFonts w:ascii="Times New Roman" w:hAnsi="Times New Roman" w:cs="Times New Roman"/>
      <w:sz w:val="24"/>
      <w:szCs w:val="24"/>
    </w:rPr>
  </w:style>
  <w:style w:type="paragraph" w:styleId="NormalIndent">
    <w:name w:val="Normal Indent"/>
    <w:basedOn w:val="Normal"/>
    <w:uiPriority w:val="99"/>
    <w:semiHidden/>
    <w:unhideWhenUsed/>
    <w:rsid w:val="00D758B6"/>
    <w:pPr>
      <w:ind w:left="720"/>
    </w:pPr>
  </w:style>
  <w:style w:type="paragraph" w:styleId="NoteHeading">
    <w:name w:val="Note Heading"/>
    <w:basedOn w:val="Normal"/>
    <w:next w:val="Normal"/>
    <w:link w:val="NoteHeadingChar"/>
    <w:uiPriority w:val="99"/>
    <w:semiHidden/>
    <w:unhideWhenUsed/>
    <w:rsid w:val="00D758B6"/>
    <w:pPr>
      <w:spacing w:after="0" w:line="240" w:lineRule="auto"/>
    </w:pPr>
  </w:style>
  <w:style w:type="character" w:customStyle="1" w:styleId="NoteHeadingChar">
    <w:name w:val="Note Heading Char"/>
    <w:basedOn w:val="DefaultParagraphFont"/>
    <w:link w:val="NoteHeading"/>
    <w:uiPriority w:val="99"/>
    <w:semiHidden/>
    <w:rsid w:val="00D758B6"/>
  </w:style>
  <w:style w:type="paragraph" w:styleId="PlainText">
    <w:name w:val="Plain Text"/>
    <w:basedOn w:val="Normal"/>
    <w:link w:val="PlainTextChar"/>
    <w:uiPriority w:val="99"/>
    <w:semiHidden/>
    <w:unhideWhenUsed/>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758B6"/>
    <w:rPr>
      <w:rFonts w:ascii="Consolas" w:hAnsi="Consolas"/>
      <w:sz w:val="21"/>
      <w:szCs w:val="21"/>
    </w:rPr>
  </w:style>
  <w:style w:type="paragraph" w:styleId="Quote">
    <w:name w:val="Quote"/>
    <w:basedOn w:val="Normal"/>
    <w:next w:val="Normal"/>
    <w:link w:val="QuoteChar"/>
    <w:uiPriority w:val="29"/>
    <w:qFormat/>
    <w:rsid w:val="00D758B6"/>
    <w:rPr>
      <w:i/>
      <w:iCs/>
      <w:color w:val="000000" w:themeColor="text1"/>
    </w:rPr>
  </w:style>
  <w:style w:type="character" w:customStyle="1" w:styleId="QuoteChar">
    <w:name w:val="Quote Char"/>
    <w:basedOn w:val="DefaultParagraphFont"/>
    <w:link w:val="Quote"/>
    <w:uiPriority w:val="29"/>
    <w:rsid w:val="00D758B6"/>
    <w:rPr>
      <w:i/>
      <w:iCs/>
      <w:color w:val="000000" w:themeColor="text1"/>
    </w:rPr>
  </w:style>
  <w:style w:type="paragraph" w:styleId="Salutation">
    <w:name w:val="Salutation"/>
    <w:basedOn w:val="Normal"/>
    <w:next w:val="Normal"/>
    <w:link w:val="SalutationChar"/>
    <w:uiPriority w:val="99"/>
    <w:semiHidden/>
    <w:unhideWhenUsed/>
    <w:rsid w:val="00D758B6"/>
  </w:style>
  <w:style w:type="character" w:customStyle="1" w:styleId="SalutationChar">
    <w:name w:val="Salutation Char"/>
    <w:basedOn w:val="DefaultParagraphFont"/>
    <w:link w:val="Salutation"/>
    <w:uiPriority w:val="99"/>
    <w:semiHidden/>
    <w:rsid w:val="00D758B6"/>
  </w:style>
  <w:style w:type="paragraph" w:styleId="Signature">
    <w:name w:val="Signature"/>
    <w:basedOn w:val="Normal"/>
    <w:link w:val="SignatureChar"/>
    <w:uiPriority w:val="99"/>
    <w:semiHidden/>
    <w:unhideWhenUsed/>
    <w:rsid w:val="00D758B6"/>
    <w:pPr>
      <w:spacing w:after="0" w:line="240" w:lineRule="auto"/>
      <w:ind w:left="4320"/>
    </w:pPr>
  </w:style>
  <w:style w:type="character" w:customStyle="1" w:styleId="SignatureChar">
    <w:name w:val="Signature Char"/>
    <w:basedOn w:val="DefaultParagraphFont"/>
    <w:link w:val="Signature"/>
    <w:uiPriority w:val="99"/>
    <w:semiHidden/>
    <w:rsid w:val="00D758B6"/>
  </w:style>
  <w:style w:type="paragraph" w:styleId="Subtitle">
    <w:name w:val="Subtitle"/>
    <w:basedOn w:val="Normal"/>
    <w:next w:val="Normal"/>
    <w:link w:val="SubtitleChar"/>
    <w:uiPriority w:val="11"/>
    <w:qFormat/>
    <w:rsid w:val="00D758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58B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D758B6"/>
    <w:pPr>
      <w:spacing w:after="0"/>
      <w:ind w:left="220" w:hanging="220"/>
    </w:pPr>
  </w:style>
  <w:style w:type="paragraph" w:styleId="TableofFigures">
    <w:name w:val="table of figures"/>
    <w:basedOn w:val="Normal"/>
    <w:next w:val="Normal"/>
    <w:uiPriority w:val="99"/>
    <w:semiHidden/>
    <w:unhideWhenUsed/>
    <w:rsid w:val="00D758B6"/>
    <w:pPr>
      <w:spacing w:after="0"/>
    </w:pPr>
  </w:style>
  <w:style w:type="paragraph" w:styleId="Title">
    <w:name w:val="Title"/>
    <w:basedOn w:val="Normal"/>
    <w:next w:val="Normal"/>
    <w:link w:val="TitleChar"/>
    <w:uiPriority w:val="10"/>
    <w:qFormat/>
    <w:rsid w:val="00D75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8B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D758B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758B6"/>
    <w:pPr>
      <w:spacing w:after="100"/>
    </w:pPr>
  </w:style>
  <w:style w:type="paragraph" w:styleId="TOC2">
    <w:name w:val="toc 2"/>
    <w:basedOn w:val="Normal"/>
    <w:next w:val="Normal"/>
    <w:uiPriority w:val="39"/>
    <w:semiHidden/>
    <w:unhideWhenUsed/>
    <w:rsid w:val="00D758B6"/>
    <w:pPr>
      <w:spacing w:after="100"/>
      <w:ind w:left="220"/>
    </w:pPr>
  </w:style>
  <w:style w:type="paragraph" w:styleId="TOC3">
    <w:name w:val="toc 3"/>
    <w:basedOn w:val="Normal"/>
    <w:next w:val="Normal"/>
    <w:uiPriority w:val="39"/>
    <w:semiHidden/>
    <w:unhideWhenUsed/>
    <w:rsid w:val="00D758B6"/>
    <w:pPr>
      <w:spacing w:after="100"/>
      <w:ind w:left="440"/>
    </w:pPr>
  </w:style>
  <w:style w:type="paragraph" w:styleId="TOC4">
    <w:name w:val="toc 4"/>
    <w:basedOn w:val="Normal"/>
    <w:next w:val="Normal"/>
    <w:uiPriority w:val="39"/>
    <w:semiHidden/>
    <w:unhideWhenUsed/>
    <w:rsid w:val="00D758B6"/>
    <w:pPr>
      <w:spacing w:after="100"/>
      <w:ind w:left="660"/>
    </w:pPr>
  </w:style>
  <w:style w:type="paragraph" w:styleId="TOC5">
    <w:name w:val="toc 5"/>
    <w:basedOn w:val="Normal"/>
    <w:next w:val="Normal"/>
    <w:uiPriority w:val="39"/>
    <w:semiHidden/>
    <w:unhideWhenUsed/>
    <w:rsid w:val="00D758B6"/>
    <w:pPr>
      <w:spacing w:after="100"/>
      <w:ind w:left="880"/>
    </w:pPr>
  </w:style>
  <w:style w:type="paragraph" w:styleId="TOC6">
    <w:name w:val="toc 6"/>
    <w:basedOn w:val="Normal"/>
    <w:next w:val="Normal"/>
    <w:uiPriority w:val="39"/>
    <w:semiHidden/>
    <w:unhideWhenUsed/>
    <w:rsid w:val="00D758B6"/>
    <w:pPr>
      <w:spacing w:after="100"/>
      <w:ind w:left="1100"/>
    </w:pPr>
  </w:style>
  <w:style w:type="paragraph" w:styleId="TOC7">
    <w:name w:val="toc 7"/>
    <w:basedOn w:val="Normal"/>
    <w:next w:val="Normal"/>
    <w:uiPriority w:val="39"/>
    <w:semiHidden/>
    <w:unhideWhenUsed/>
    <w:rsid w:val="00D758B6"/>
    <w:pPr>
      <w:spacing w:after="100"/>
      <w:ind w:left="1320"/>
    </w:pPr>
  </w:style>
  <w:style w:type="paragraph" w:styleId="TOC8">
    <w:name w:val="toc 8"/>
    <w:basedOn w:val="Normal"/>
    <w:next w:val="Normal"/>
    <w:uiPriority w:val="39"/>
    <w:semiHidden/>
    <w:unhideWhenUsed/>
    <w:rsid w:val="00D758B6"/>
    <w:pPr>
      <w:spacing w:after="100"/>
      <w:ind w:left="1540"/>
    </w:pPr>
  </w:style>
  <w:style w:type="paragraph" w:styleId="TOC9">
    <w:name w:val="toc 9"/>
    <w:basedOn w:val="Normal"/>
    <w:next w:val="Normal"/>
    <w:uiPriority w:val="39"/>
    <w:semiHidden/>
    <w:unhideWhenUsed/>
    <w:rsid w:val="00D758B6"/>
    <w:pPr>
      <w:spacing w:after="100"/>
      <w:ind w:left="1760"/>
    </w:pPr>
  </w:style>
  <w:style w:type="paragraph" w:styleId="TOCHeading">
    <w:name w:val="TOC Heading"/>
    <w:basedOn w:val="Heading1"/>
    <w:next w:val="Normal"/>
    <w:uiPriority w:val="39"/>
    <w:semiHidden/>
    <w:unhideWhenUsed/>
    <w:qFormat/>
    <w:rsid w:val="00D758B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5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5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58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758B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758B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8B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8B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8B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8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116779"/>
    <w:rPr>
      <w:color w:val="0000FF" w:themeColor="hyperlink"/>
      <w:u w:val="single"/>
    </w:rPr>
  </w:style>
  <w:style w:type="character" w:styleId="FollowedHyperlink">
    <w:name w:val="FollowedHyperlink"/>
    <w:basedOn w:val="DefaultParagraphFont"/>
    <w:uiPriority w:val="99"/>
    <w:semiHidden/>
    <w:unhideWhenUsed/>
    <w:rsid w:val="004236FE"/>
    <w:rPr>
      <w:color w:val="800080" w:themeColor="followedHyperlink"/>
      <w:u w:val="single"/>
    </w:rPr>
  </w:style>
  <w:style w:type="paragraph" w:styleId="Bibliography">
    <w:name w:val="Bibliography"/>
    <w:basedOn w:val="Normal"/>
    <w:next w:val="Normal"/>
    <w:uiPriority w:val="37"/>
    <w:semiHidden/>
    <w:unhideWhenUsed/>
    <w:rsid w:val="00D758B6"/>
  </w:style>
  <w:style w:type="paragraph" w:styleId="BlockText">
    <w:name w:val="Block Text"/>
    <w:basedOn w:val="Normal"/>
    <w:uiPriority w:val="99"/>
    <w:semiHidden/>
    <w:unhideWhenUsed/>
    <w:rsid w:val="00D758B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D758B6"/>
    <w:pPr>
      <w:spacing w:after="120"/>
    </w:pPr>
  </w:style>
  <w:style w:type="character" w:customStyle="1" w:styleId="BodyTextChar">
    <w:name w:val="Body Text Char"/>
    <w:basedOn w:val="DefaultParagraphFont"/>
    <w:link w:val="BodyText"/>
    <w:uiPriority w:val="99"/>
    <w:semiHidden/>
    <w:rsid w:val="00D758B6"/>
  </w:style>
  <w:style w:type="paragraph" w:styleId="BodyText2">
    <w:name w:val="Body Text 2"/>
    <w:basedOn w:val="Normal"/>
    <w:link w:val="BodyText2Char"/>
    <w:uiPriority w:val="99"/>
    <w:semiHidden/>
    <w:unhideWhenUsed/>
    <w:rsid w:val="00D758B6"/>
    <w:pPr>
      <w:spacing w:after="120" w:line="480" w:lineRule="auto"/>
    </w:pPr>
  </w:style>
  <w:style w:type="character" w:customStyle="1" w:styleId="BodyText2Char">
    <w:name w:val="Body Text 2 Char"/>
    <w:basedOn w:val="DefaultParagraphFont"/>
    <w:link w:val="BodyText2"/>
    <w:uiPriority w:val="99"/>
    <w:semiHidden/>
    <w:rsid w:val="00D758B6"/>
  </w:style>
  <w:style w:type="paragraph" w:styleId="BodyText3">
    <w:name w:val="Body Text 3"/>
    <w:basedOn w:val="Normal"/>
    <w:link w:val="BodyText3Char"/>
    <w:uiPriority w:val="99"/>
    <w:semiHidden/>
    <w:unhideWhenUsed/>
    <w:rsid w:val="00D758B6"/>
    <w:pPr>
      <w:spacing w:after="120"/>
    </w:pPr>
    <w:rPr>
      <w:sz w:val="16"/>
      <w:szCs w:val="16"/>
    </w:rPr>
  </w:style>
  <w:style w:type="character" w:customStyle="1" w:styleId="BodyText3Char">
    <w:name w:val="Body Text 3 Char"/>
    <w:basedOn w:val="DefaultParagraphFont"/>
    <w:link w:val="BodyText3"/>
    <w:uiPriority w:val="99"/>
    <w:semiHidden/>
    <w:rsid w:val="00D758B6"/>
    <w:rPr>
      <w:sz w:val="16"/>
      <w:szCs w:val="16"/>
    </w:rPr>
  </w:style>
  <w:style w:type="paragraph" w:styleId="BodyTextFirstIndent">
    <w:name w:val="Body Text First Indent"/>
    <w:basedOn w:val="BodyText"/>
    <w:link w:val="BodyTextFirstIndentChar"/>
    <w:uiPriority w:val="99"/>
    <w:semiHidden/>
    <w:unhideWhenUsed/>
    <w:rsid w:val="00D758B6"/>
    <w:pPr>
      <w:spacing w:after="200"/>
      <w:ind w:firstLine="360"/>
    </w:pPr>
  </w:style>
  <w:style w:type="character" w:customStyle="1" w:styleId="BodyTextFirstIndentChar">
    <w:name w:val="Body Text First Indent Char"/>
    <w:basedOn w:val="BodyTextChar"/>
    <w:link w:val="BodyTextFirstIndent"/>
    <w:uiPriority w:val="99"/>
    <w:semiHidden/>
    <w:rsid w:val="00D758B6"/>
  </w:style>
  <w:style w:type="paragraph" w:styleId="BodyTextIndent">
    <w:name w:val="Body Text Indent"/>
    <w:basedOn w:val="Normal"/>
    <w:link w:val="BodyTextIndentChar"/>
    <w:uiPriority w:val="99"/>
    <w:semiHidden/>
    <w:unhideWhenUsed/>
    <w:rsid w:val="00D758B6"/>
    <w:pPr>
      <w:spacing w:after="120"/>
      <w:ind w:left="360"/>
    </w:pPr>
  </w:style>
  <w:style w:type="character" w:customStyle="1" w:styleId="BodyTextIndentChar">
    <w:name w:val="Body Text Indent Char"/>
    <w:basedOn w:val="DefaultParagraphFont"/>
    <w:link w:val="BodyTextIndent"/>
    <w:uiPriority w:val="99"/>
    <w:semiHidden/>
    <w:rsid w:val="00D758B6"/>
  </w:style>
  <w:style w:type="paragraph" w:styleId="BodyTextFirstIndent2">
    <w:name w:val="Body Text First Indent 2"/>
    <w:basedOn w:val="BodyTextIndent"/>
    <w:link w:val="BodyTextFirstIndent2Char"/>
    <w:uiPriority w:val="99"/>
    <w:semiHidden/>
    <w:unhideWhenUsed/>
    <w:rsid w:val="00D758B6"/>
    <w:pPr>
      <w:spacing w:after="200"/>
      <w:ind w:firstLine="360"/>
    </w:pPr>
  </w:style>
  <w:style w:type="character" w:customStyle="1" w:styleId="BodyTextFirstIndent2Char">
    <w:name w:val="Body Text First Indent 2 Char"/>
    <w:basedOn w:val="BodyTextIndentChar"/>
    <w:link w:val="BodyTextFirstIndent2"/>
    <w:uiPriority w:val="99"/>
    <w:semiHidden/>
    <w:rsid w:val="00D758B6"/>
  </w:style>
  <w:style w:type="paragraph" w:styleId="BodyTextIndent2">
    <w:name w:val="Body Text Indent 2"/>
    <w:basedOn w:val="Normal"/>
    <w:link w:val="BodyTextIndent2Char"/>
    <w:uiPriority w:val="99"/>
    <w:semiHidden/>
    <w:unhideWhenUsed/>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rsid w:val="00D758B6"/>
  </w:style>
  <w:style w:type="paragraph" w:styleId="BodyTextIndent3">
    <w:name w:val="Body Text Indent 3"/>
    <w:basedOn w:val="Normal"/>
    <w:link w:val="BodyTextIndent3Char"/>
    <w:uiPriority w:val="99"/>
    <w:semiHidden/>
    <w:unhideWhenUsed/>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58B6"/>
    <w:rPr>
      <w:sz w:val="16"/>
      <w:szCs w:val="16"/>
    </w:rPr>
  </w:style>
  <w:style w:type="paragraph" w:styleId="Caption">
    <w:name w:val="caption"/>
    <w:basedOn w:val="Normal"/>
    <w:next w:val="Normal"/>
    <w:uiPriority w:val="35"/>
    <w:semiHidden/>
    <w:unhideWhenUsed/>
    <w:qFormat/>
    <w:rsid w:val="00D758B6"/>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D758B6"/>
    <w:pPr>
      <w:spacing w:after="0" w:line="240" w:lineRule="auto"/>
      <w:ind w:left="4320"/>
    </w:pPr>
  </w:style>
  <w:style w:type="character" w:customStyle="1" w:styleId="ClosingChar">
    <w:name w:val="Closing Char"/>
    <w:basedOn w:val="DefaultParagraphFont"/>
    <w:link w:val="Closing"/>
    <w:uiPriority w:val="99"/>
    <w:semiHidden/>
    <w:rsid w:val="00D758B6"/>
  </w:style>
  <w:style w:type="paragraph" w:styleId="Date">
    <w:name w:val="Date"/>
    <w:basedOn w:val="Normal"/>
    <w:next w:val="Normal"/>
    <w:link w:val="DateChar"/>
    <w:uiPriority w:val="99"/>
    <w:semiHidden/>
    <w:unhideWhenUsed/>
    <w:rsid w:val="00D758B6"/>
  </w:style>
  <w:style w:type="character" w:customStyle="1" w:styleId="DateChar">
    <w:name w:val="Date Char"/>
    <w:basedOn w:val="DefaultParagraphFont"/>
    <w:link w:val="Date"/>
    <w:uiPriority w:val="99"/>
    <w:semiHidden/>
    <w:rsid w:val="00D758B6"/>
  </w:style>
  <w:style w:type="paragraph" w:styleId="DocumentMap">
    <w:name w:val="Document Map"/>
    <w:basedOn w:val="Normal"/>
    <w:link w:val="DocumentMapChar"/>
    <w:uiPriority w:val="99"/>
    <w:semiHidden/>
    <w:unhideWhenUsed/>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58B6"/>
    <w:rPr>
      <w:rFonts w:ascii="Tahoma" w:hAnsi="Tahoma" w:cs="Tahoma"/>
      <w:sz w:val="16"/>
      <w:szCs w:val="16"/>
    </w:rPr>
  </w:style>
  <w:style w:type="paragraph" w:styleId="E-mailSignature">
    <w:name w:val="E-mail Signature"/>
    <w:basedOn w:val="Normal"/>
    <w:link w:val="E-mailSignatureChar"/>
    <w:uiPriority w:val="99"/>
    <w:semiHidden/>
    <w:unhideWhenUsed/>
    <w:rsid w:val="00D758B6"/>
    <w:pPr>
      <w:spacing w:after="0" w:line="240" w:lineRule="auto"/>
    </w:pPr>
  </w:style>
  <w:style w:type="character" w:customStyle="1" w:styleId="E-mailSignatureChar">
    <w:name w:val="E-mail Signature Char"/>
    <w:basedOn w:val="DefaultParagraphFont"/>
    <w:link w:val="E-mailSignature"/>
    <w:uiPriority w:val="99"/>
    <w:semiHidden/>
    <w:rsid w:val="00D758B6"/>
  </w:style>
  <w:style w:type="paragraph" w:styleId="EndnoteText">
    <w:name w:val="endnote text"/>
    <w:basedOn w:val="Normal"/>
    <w:link w:val="EndnoteTextChar"/>
    <w:uiPriority w:val="99"/>
    <w:semiHidden/>
    <w:unhideWhenUsed/>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58B6"/>
    <w:rPr>
      <w:sz w:val="20"/>
      <w:szCs w:val="20"/>
    </w:rPr>
  </w:style>
  <w:style w:type="paragraph" w:styleId="EnvelopeAddress">
    <w:name w:val="envelope address"/>
    <w:basedOn w:val="Normal"/>
    <w:uiPriority w:val="99"/>
    <w:semiHidden/>
    <w:unhideWhenUsed/>
    <w:rsid w:val="00D758B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758B6"/>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D758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758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758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758B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758B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758B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758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58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58B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D758B6"/>
    <w:pPr>
      <w:spacing w:after="0" w:line="240" w:lineRule="auto"/>
    </w:pPr>
    <w:rPr>
      <w:i/>
      <w:iCs/>
    </w:rPr>
  </w:style>
  <w:style w:type="character" w:customStyle="1" w:styleId="HTMLAddressChar">
    <w:name w:val="HTML Address Char"/>
    <w:basedOn w:val="DefaultParagraphFont"/>
    <w:link w:val="HTMLAddress"/>
    <w:uiPriority w:val="99"/>
    <w:semiHidden/>
    <w:rsid w:val="00D758B6"/>
    <w:rPr>
      <w:i/>
      <w:iCs/>
    </w:rPr>
  </w:style>
  <w:style w:type="paragraph" w:styleId="HTMLPreformatted">
    <w:name w:val="HTML Preformatted"/>
    <w:basedOn w:val="Normal"/>
    <w:link w:val="HTMLPreformattedChar"/>
    <w:uiPriority w:val="99"/>
    <w:semiHidden/>
    <w:unhideWhenUsed/>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58B6"/>
    <w:rPr>
      <w:rFonts w:ascii="Consolas" w:hAnsi="Consolas"/>
      <w:sz w:val="20"/>
      <w:szCs w:val="20"/>
    </w:rPr>
  </w:style>
  <w:style w:type="paragraph" w:styleId="Index1">
    <w:name w:val="index 1"/>
    <w:basedOn w:val="Normal"/>
    <w:next w:val="Normal"/>
    <w:uiPriority w:val="99"/>
    <w:semiHidden/>
    <w:unhideWhenUsed/>
    <w:rsid w:val="00D758B6"/>
    <w:pPr>
      <w:spacing w:after="0" w:line="240" w:lineRule="auto"/>
      <w:ind w:left="220" w:hanging="220"/>
    </w:pPr>
  </w:style>
  <w:style w:type="paragraph" w:styleId="Index2">
    <w:name w:val="index 2"/>
    <w:basedOn w:val="Normal"/>
    <w:next w:val="Normal"/>
    <w:uiPriority w:val="99"/>
    <w:semiHidden/>
    <w:unhideWhenUsed/>
    <w:rsid w:val="00D758B6"/>
    <w:pPr>
      <w:spacing w:after="0" w:line="240" w:lineRule="auto"/>
      <w:ind w:left="440" w:hanging="220"/>
    </w:pPr>
  </w:style>
  <w:style w:type="paragraph" w:styleId="Index3">
    <w:name w:val="index 3"/>
    <w:basedOn w:val="Normal"/>
    <w:next w:val="Normal"/>
    <w:uiPriority w:val="99"/>
    <w:semiHidden/>
    <w:unhideWhenUsed/>
    <w:rsid w:val="00D758B6"/>
    <w:pPr>
      <w:spacing w:after="0" w:line="240" w:lineRule="auto"/>
      <w:ind w:left="660" w:hanging="220"/>
    </w:pPr>
  </w:style>
  <w:style w:type="paragraph" w:styleId="Index4">
    <w:name w:val="index 4"/>
    <w:basedOn w:val="Normal"/>
    <w:next w:val="Normal"/>
    <w:uiPriority w:val="99"/>
    <w:semiHidden/>
    <w:unhideWhenUsed/>
    <w:rsid w:val="00D758B6"/>
    <w:pPr>
      <w:spacing w:after="0" w:line="240" w:lineRule="auto"/>
      <w:ind w:left="880" w:hanging="220"/>
    </w:pPr>
  </w:style>
  <w:style w:type="paragraph" w:styleId="Index5">
    <w:name w:val="index 5"/>
    <w:basedOn w:val="Normal"/>
    <w:next w:val="Normal"/>
    <w:uiPriority w:val="99"/>
    <w:semiHidden/>
    <w:unhideWhenUsed/>
    <w:rsid w:val="00D758B6"/>
    <w:pPr>
      <w:spacing w:after="0" w:line="240" w:lineRule="auto"/>
      <w:ind w:left="1100" w:hanging="220"/>
    </w:pPr>
  </w:style>
  <w:style w:type="paragraph" w:styleId="Index6">
    <w:name w:val="index 6"/>
    <w:basedOn w:val="Normal"/>
    <w:next w:val="Normal"/>
    <w:uiPriority w:val="99"/>
    <w:semiHidden/>
    <w:unhideWhenUsed/>
    <w:rsid w:val="00D758B6"/>
    <w:pPr>
      <w:spacing w:after="0" w:line="240" w:lineRule="auto"/>
      <w:ind w:left="1320" w:hanging="220"/>
    </w:pPr>
  </w:style>
  <w:style w:type="paragraph" w:styleId="Index7">
    <w:name w:val="index 7"/>
    <w:basedOn w:val="Normal"/>
    <w:next w:val="Normal"/>
    <w:uiPriority w:val="99"/>
    <w:semiHidden/>
    <w:unhideWhenUsed/>
    <w:rsid w:val="00D758B6"/>
    <w:pPr>
      <w:spacing w:after="0" w:line="240" w:lineRule="auto"/>
      <w:ind w:left="1540" w:hanging="220"/>
    </w:pPr>
  </w:style>
  <w:style w:type="paragraph" w:styleId="Index8">
    <w:name w:val="index 8"/>
    <w:basedOn w:val="Normal"/>
    <w:next w:val="Normal"/>
    <w:uiPriority w:val="99"/>
    <w:semiHidden/>
    <w:unhideWhenUsed/>
    <w:rsid w:val="00D758B6"/>
    <w:pPr>
      <w:spacing w:after="0" w:line="240" w:lineRule="auto"/>
      <w:ind w:left="1760" w:hanging="220"/>
    </w:pPr>
  </w:style>
  <w:style w:type="paragraph" w:styleId="Index9">
    <w:name w:val="index 9"/>
    <w:basedOn w:val="Normal"/>
    <w:next w:val="Normal"/>
    <w:uiPriority w:val="99"/>
    <w:semiHidden/>
    <w:unhideWhenUsed/>
    <w:rsid w:val="00D758B6"/>
    <w:pPr>
      <w:spacing w:after="0" w:line="240" w:lineRule="auto"/>
      <w:ind w:left="1980" w:hanging="220"/>
    </w:pPr>
  </w:style>
  <w:style w:type="paragraph" w:styleId="IndexHeading">
    <w:name w:val="index heading"/>
    <w:basedOn w:val="Normal"/>
    <w:next w:val="Index1"/>
    <w:uiPriority w:val="99"/>
    <w:semiHidden/>
    <w:unhideWhenUsed/>
    <w:rsid w:val="00D758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8B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58B6"/>
    <w:rPr>
      <w:b/>
      <w:bCs/>
      <w:i/>
      <w:iCs/>
      <w:color w:val="4F81BD" w:themeColor="accent1"/>
    </w:rPr>
  </w:style>
  <w:style w:type="paragraph" w:styleId="List">
    <w:name w:val="List"/>
    <w:basedOn w:val="Normal"/>
    <w:uiPriority w:val="99"/>
    <w:semiHidden/>
    <w:unhideWhenUsed/>
    <w:rsid w:val="00D758B6"/>
    <w:pPr>
      <w:ind w:left="360" w:hanging="360"/>
      <w:contextualSpacing/>
    </w:pPr>
  </w:style>
  <w:style w:type="paragraph" w:styleId="List2">
    <w:name w:val="List 2"/>
    <w:basedOn w:val="Normal"/>
    <w:uiPriority w:val="99"/>
    <w:semiHidden/>
    <w:unhideWhenUsed/>
    <w:rsid w:val="00D758B6"/>
    <w:pPr>
      <w:ind w:left="720" w:hanging="360"/>
      <w:contextualSpacing/>
    </w:pPr>
  </w:style>
  <w:style w:type="paragraph" w:styleId="List3">
    <w:name w:val="List 3"/>
    <w:basedOn w:val="Normal"/>
    <w:uiPriority w:val="99"/>
    <w:semiHidden/>
    <w:unhideWhenUsed/>
    <w:rsid w:val="00D758B6"/>
    <w:pPr>
      <w:ind w:left="1080" w:hanging="360"/>
      <w:contextualSpacing/>
    </w:pPr>
  </w:style>
  <w:style w:type="paragraph" w:styleId="List4">
    <w:name w:val="List 4"/>
    <w:basedOn w:val="Normal"/>
    <w:uiPriority w:val="99"/>
    <w:semiHidden/>
    <w:unhideWhenUsed/>
    <w:rsid w:val="00D758B6"/>
    <w:pPr>
      <w:ind w:left="1440" w:hanging="360"/>
      <w:contextualSpacing/>
    </w:pPr>
  </w:style>
  <w:style w:type="paragraph" w:styleId="List5">
    <w:name w:val="List 5"/>
    <w:basedOn w:val="Normal"/>
    <w:uiPriority w:val="99"/>
    <w:semiHidden/>
    <w:unhideWhenUsed/>
    <w:rsid w:val="00D758B6"/>
    <w:pPr>
      <w:ind w:left="1800" w:hanging="360"/>
      <w:contextualSpacing/>
    </w:pPr>
  </w:style>
  <w:style w:type="paragraph" w:styleId="ListBullet">
    <w:name w:val="List Bullet"/>
    <w:basedOn w:val="Normal"/>
    <w:uiPriority w:val="99"/>
    <w:semiHidden/>
    <w:unhideWhenUsed/>
    <w:rsid w:val="00D758B6"/>
    <w:pPr>
      <w:numPr>
        <w:numId w:val="8"/>
      </w:numPr>
      <w:contextualSpacing/>
    </w:pPr>
  </w:style>
  <w:style w:type="paragraph" w:styleId="ListBullet2">
    <w:name w:val="List Bullet 2"/>
    <w:basedOn w:val="Normal"/>
    <w:uiPriority w:val="99"/>
    <w:semiHidden/>
    <w:unhideWhenUsed/>
    <w:rsid w:val="00D758B6"/>
    <w:pPr>
      <w:numPr>
        <w:numId w:val="9"/>
      </w:numPr>
      <w:contextualSpacing/>
    </w:pPr>
  </w:style>
  <w:style w:type="paragraph" w:styleId="ListBullet3">
    <w:name w:val="List Bullet 3"/>
    <w:basedOn w:val="Normal"/>
    <w:uiPriority w:val="99"/>
    <w:semiHidden/>
    <w:unhideWhenUsed/>
    <w:rsid w:val="00D758B6"/>
    <w:pPr>
      <w:numPr>
        <w:numId w:val="10"/>
      </w:numPr>
      <w:contextualSpacing/>
    </w:pPr>
  </w:style>
  <w:style w:type="paragraph" w:styleId="ListBullet4">
    <w:name w:val="List Bullet 4"/>
    <w:basedOn w:val="Normal"/>
    <w:uiPriority w:val="99"/>
    <w:semiHidden/>
    <w:unhideWhenUsed/>
    <w:rsid w:val="00D758B6"/>
    <w:pPr>
      <w:numPr>
        <w:numId w:val="11"/>
      </w:numPr>
      <w:contextualSpacing/>
    </w:pPr>
  </w:style>
  <w:style w:type="paragraph" w:styleId="ListBullet5">
    <w:name w:val="List Bullet 5"/>
    <w:basedOn w:val="Normal"/>
    <w:uiPriority w:val="99"/>
    <w:semiHidden/>
    <w:unhideWhenUsed/>
    <w:rsid w:val="00D758B6"/>
    <w:pPr>
      <w:numPr>
        <w:numId w:val="12"/>
      </w:numPr>
      <w:contextualSpacing/>
    </w:pPr>
  </w:style>
  <w:style w:type="paragraph" w:styleId="ListContinue2">
    <w:name w:val="List Continue 2"/>
    <w:basedOn w:val="Normal"/>
    <w:uiPriority w:val="99"/>
    <w:semiHidden/>
    <w:unhideWhenUsed/>
    <w:rsid w:val="00D758B6"/>
    <w:pPr>
      <w:spacing w:after="120"/>
      <w:ind w:left="720"/>
      <w:contextualSpacing/>
    </w:pPr>
  </w:style>
  <w:style w:type="paragraph" w:styleId="ListContinue3">
    <w:name w:val="List Continue 3"/>
    <w:basedOn w:val="Normal"/>
    <w:uiPriority w:val="99"/>
    <w:semiHidden/>
    <w:unhideWhenUsed/>
    <w:rsid w:val="00D758B6"/>
    <w:pPr>
      <w:spacing w:after="120"/>
      <w:ind w:left="1080"/>
      <w:contextualSpacing/>
    </w:pPr>
  </w:style>
  <w:style w:type="paragraph" w:styleId="ListContinue4">
    <w:name w:val="List Continue 4"/>
    <w:basedOn w:val="Normal"/>
    <w:uiPriority w:val="99"/>
    <w:semiHidden/>
    <w:unhideWhenUsed/>
    <w:rsid w:val="00D758B6"/>
    <w:pPr>
      <w:spacing w:after="120"/>
      <w:ind w:left="1440"/>
      <w:contextualSpacing/>
    </w:pPr>
  </w:style>
  <w:style w:type="paragraph" w:styleId="ListContinue5">
    <w:name w:val="List Continue 5"/>
    <w:basedOn w:val="Normal"/>
    <w:uiPriority w:val="99"/>
    <w:semiHidden/>
    <w:unhideWhenUsed/>
    <w:rsid w:val="00D758B6"/>
    <w:pPr>
      <w:spacing w:after="120"/>
      <w:ind w:left="1800"/>
      <w:contextualSpacing/>
    </w:pPr>
  </w:style>
  <w:style w:type="paragraph" w:styleId="ListNumber">
    <w:name w:val="List Number"/>
    <w:basedOn w:val="Normal"/>
    <w:uiPriority w:val="99"/>
    <w:semiHidden/>
    <w:unhideWhenUsed/>
    <w:rsid w:val="00D758B6"/>
    <w:pPr>
      <w:numPr>
        <w:numId w:val="13"/>
      </w:numPr>
      <w:contextualSpacing/>
    </w:pPr>
  </w:style>
  <w:style w:type="paragraph" w:styleId="ListNumber2">
    <w:name w:val="List Number 2"/>
    <w:basedOn w:val="Normal"/>
    <w:uiPriority w:val="99"/>
    <w:semiHidden/>
    <w:unhideWhenUsed/>
    <w:rsid w:val="00D758B6"/>
    <w:pPr>
      <w:numPr>
        <w:numId w:val="14"/>
      </w:numPr>
      <w:contextualSpacing/>
    </w:pPr>
  </w:style>
  <w:style w:type="paragraph" w:styleId="ListNumber3">
    <w:name w:val="List Number 3"/>
    <w:basedOn w:val="Normal"/>
    <w:uiPriority w:val="99"/>
    <w:semiHidden/>
    <w:unhideWhenUsed/>
    <w:rsid w:val="00D758B6"/>
    <w:pPr>
      <w:numPr>
        <w:numId w:val="15"/>
      </w:numPr>
      <w:contextualSpacing/>
    </w:pPr>
  </w:style>
  <w:style w:type="paragraph" w:styleId="ListNumber4">
    <w:name w:val="List Number 4"/>
    <w:basedOn w:val="Normal"/>
    <w:uiPriority w:val="99"/>
    <w:semiHidden/>
    <w:unhideWhenUsed/>
    <w:rsid w:val="00D758B6"/>
    <w:pPr>
      <w:numPr>
        <w:numId w:val="16"/>
      </w:numPr>
      <w:contextualSpacing/>
    </w:pPr>
  </w:style>
  <w:style w:type="paragraph" w:styleId="ListNumber5">
    <w:name w:val="List Number 5"/>
    <w:basedOn w:val="Normal"/>
    <w:uiPriority w:val="99"/>
    <w:semiHidden/>
    <w:unhideWhenUsed/>
    <w:rsid w:val="00D758B6"/>
    <w:pPr>
      <w:numPr>
        <w:numId w:val="17"/>
      </w:numPr>
      <w:contextualSpacing/>
    </w:pPr>
  </w:style>
  <w:style w:type="paragraph" w:styleId="MacroText">
    <w:name w:val="macro"/>
    <w:link w:val="MacroTextChar"/>
    <w:uiPriority w:val="99"/>
    <w:semiHidden/>
    <w:unhideWhenUsed/>
    <w:rsid w:val="00D758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758B6"/>
    <w:rPr>
      <w:rFonts w:ascii="Consolas" w:hAnsi="Consolas"/>
      <w:sz w:val="20"/>
      <w:szCs w:val="20"/>
    </w:rPr>
  </w:style>
  <w:style w:type="paragraph" w:styleId="MessageHeader">
    <w:name w:val="Message Header"/>
    <w:basedOn w:val="Normal"/>
    <w:link w:val="MessageHeaderChar"/>
    <w:uiPriority w:val="99"/>
    <w:semiHidden/>
    <w:unhideWhenUsed/>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758B6"/>
    <w:rPr>
      <w:rFonts w:asciiTheme="majorHAnsi" w:eastAsiaTheme="majorEastAsia" w:hAnsiTheme="majorHAnsi" w:cstheme="majorBidi"/>
      <w:sz w:val="24"/>
      <w:szCs w:val="24"/>
      <w:shd w:val="pct20" w:color="auto" w:fill="auto"/>
    </w:rPr>
  </w:style>
  <w:style w:type="paragraph" w:styleId="NoSpacing">
    <w:name w:val="No Spacing"/>
    <w:uiPriority w:val="1"/>
    <w:qFormat/>
    <w:rsid w:val="00D758B6"/>
    <w:pPr>
      <w:spacing w:after="0" w:line="240" w:lineRule="auto"/>
    </w:pPr>
  </w:style>
  <w:style w:type="paragraph" w:styleId="NormalWeb">
    <w:name w:val="Normal (Web)"/>
    <w:basedOn w:val="Normal"/>
    <w:uiPriority w:val="99"/>
    <w:semiHidden/>
    <w:unhideWhenUsed/>
    <w:rsid w:val="00D758B6"/>
    <w:rPr>
      <w:rFonts w:ascii="Times New Roman" w:hAnsi="Times New Roman" w:cs="Times New Roman"/>
      <w:sz w:val="24"/>
      <w:szCs w:val="24"/>
    </w:rPr>
  </w:style>
  <w:style w:type="paragraph" w:styleId="NormalIndent">
    <w:name w:val="Normal Indent"/>
    <w:basedOn w:val="Normal"/>
    <w:uiPriority w:val="99"/>
    <w:semiHidden/>
    <w:unhideWhenUsed/>
    <w:rsid w:val="00D758B6"/>
    <w:pPr>
      <w:ind w:left="720"/>
    </w:pPr>
  </w:style>
  <w:style w:type="paragraph" w:styleId="NoteHeading">
    <w:name w:val="Note Heading"/>
    <w:basedOn w:val="Normal"/>
    <w:next w:val="Normal"/>
    <w:link w:val="NoteHeadingChar"/>
    <w:uiPriority w:val="99"/>
    <w:semiHidden/>
    <w:unhideWhenUsed/>
    <w:rsid w:val="00D758B6"/>
    <w:pPr>
      <w:spacing w:after="0" w:line="240" w:lineRule="auto"/>
    </w:pPr>
  </w:style>
  <w:style w:type="character" w:customStyle="1" w:styleId="NoteHeadingChar">
    <w:name w:val="Note Heading Char"/>
    <w:basedOn w:val="DefaultParagraphFont"/>
    <w:link w:val="NoteHeading"/>
    <w:uiPriority w:val="99"/>
    <w:semiHidden/>
    <w:rsid w:val="00D758B6"/>
  </w:style>
  <w:style w:type="paragraph" w:styleId="PlainText">
    <w:name w:val="Plain Text"/>
    <w:basedOn w:val="Normal"/>
    <w:link w:val="PlainTextChar"/>
    <w:uiPriority w:val="99"/>
    <w:semiHidden/>
    <w:unhideWhenUsed/>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758B6"/>
    <w:rPr>
      <w:rFonts w:ascii="Consolas" w:hAnsi="Consolas"/>
      <w:sz w:val="21"/>
      <w:szCs w:val="21"/>
    </w:rPr>
  </w:style>
  <w:style w:type="paragraph" w:styleId="Quote">
    <w:name w:val="Quote"/>
    <w:basedOn w:val="Normal"/>
    <w:next w:val="Normal"/>
    <w:link w:val="QuoteChar"/>
    <w:uiPriority w:val="29"/>
    <w:qFormat/>
    <w:rsid w:val="00D758B6"/>
    <w:rPr>
      <w:i/>
      <w:iCs/>
      <w:color w:val="000000" w:themeColor="text1"/>
    </w:rPr>
  </w:style>
  <w:style w:type="character" w:customStyle="1" w:styleId="QuoteChar">
    <w:name w:val="Quote Char"/>
    <w:basedOn w:val="DefaultParagraphFont"/>
    <w:link w:val="Quote"/>
    <w:uiPriority w:val="29"/>
    <w:rsid w:val="00D758B6"/>
    <w:rPr>
      <w:i/>
      <w:iCs/>
      <w:color w:val="000000" w:themeColor="text1"/>
    </w:rPr>
  </w:style>
  <w:style w:type="paragraph" w:styleId="Salutation">
    <w:name w:val="Salutation"/>
    <w:basedOn w:val="Normal"/>
    <w:next w:val="Normal"/>
    <w:link w:val="SalutationChar"/>
    <w:uiPriority w:val="99"/>
    <w:semiHidden/>
    <w:unhideWhenUsed/>
    <w:rsid w:val="00D758B6"/>
  </w:style>
  <w:style w:type="character" w:customStyle="1" w:styleId="SalutationChar">
    <w:name w:val="Salutation Char"/>
    <w:basedOn w:val="DefaultParagraphFont"/>
    <w:link w:val="Salutation"/>
    <w:uiPriority w:val="99"/>
    <w:semiHidden/>
    <w:rsid w:val="00D758B6"/>
  </w:style>
  <w:style w:type="paragraph" w:styleId="Signature">
    <w:name w:val="Signature"/>
    <w:basedOn w:val="Normal"/>
    <w:link w:val="SignatureChar"/>
    <w:uiPriority w:val="99"/>
    <w:semiHidden/>
    <w:unhideWhenUsed/>
    <w:rsid w:val="00D758B6"/>
    <w:pPr>
      <w:spacing w:after="0" w:line="240" w:lineRule="auto"/>
      <w:ind w:left="4320"/>
    </w:pPr>
  </w:style>
  <w:style w:type="character" w:customStyle="1" w:styleId="SignatureChar">
    <w:name w:val="Signature Char"/>
    <w:basedOn w:val="DefaultParagraphFont"/>
    <w:link w:val="Signature"/>
    <w:uiPriority w:val="99"/>
    <w:semiHidden/>
    <w:rsid w:val="00D758B6"/>
  </w:style>
  <w:style w:type="paragraph" w:styleId="Subtitle">
    <w:name w:val="Subtitle"/>
    <w:basedOn w:val="Normal"/>
    <w:next w:val="Normal"/>
    <w:link w:val="SubtitleChar"/>
    <w:uiPriority w:val="11"/>
    <w:qFormat/>
    <w:rsid w:val="00D758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58B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D758B6"/>
    <w:pPr>
      <w:spacing w:after="0"/>
      <w:ind w:left="220" w:hanging="220"/>
    </w:pPr>
  </w:style>
  <w:style w:type="paragraph" w:styleId="TableofFigures">
    <w:name w:val="table of figures"/>
    <w:basedOn w:val="Normal"/>
    <w:next w:val="Normal"/>
    <w:uiPriority w:val="99"/>
    <w:semiHidden/>
    <w:unhideWhenUsed/>
    <w:rsid w:val="00D758B6"/>
    <w:pPr>
      <w:spacing w:after="0"/>
    </w:pPr>
  </w:style>
  <w:style w:type="paragraph" w:styleId="Title">
    <w:name w:val="Title"/>
    <w:basedOn w:val="Normal"/>
    <w:next w:val="Normal"/>
    <w:link w:val="TitleChar"/>
    <w:uiPriority w:val="10"/>
    <w:qFormat/>
    <w:rsid w:val="00D75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8B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D758B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758B6"/>
    <w:pPr>
      <w:spacing w:after="100"/>
    </w:pPr>
  </w:style>
  <w:style w:type="paragraph" w:styleId="TOC2">
    <w:name w:val="toc 2"/>
    <w:basedOn w:val="Normal"/>
    <w:next w:val="Normal"/>
    <w:uiPriority w:val="39"/>
    <w:semiHidden/>
    <w:unhideWhenUsed/>
    <w:rsid w:val="00D758B6"/>
    <w:pPr>
      <w:spacing w:after="100"/>
      <w:ind w:left="220"/>
    </w:pPr>
  </w:style>
  <w:style w:type="paragraph" w:styleId="TOC3">
    <w:name w:val="toc 3"/>
    <w:basedOn w:val="Normal"/>
    <w:next w:val="Normal"/>
    <w:uiPriority w:val="39"/>
    <w:semiHidden/>
    <w:unhideWhenUsed/>
    <w:rsid w:val="00D758B6"/>
    <w:pPr>
      <w:spacing w:after="100"/>
      <w:ind w:left="440"/>
    </w:pPr>
  </w:style>
  <w:style w:type="paragraph" w:styleId="TOC4">
    <w:name w:val="toc 4"/>
    <w:basedOn w:val="Normal"/>
    <w:next w:val="Normal"/>
    <w:uiPriority w:val="39"/>
    <w:semiHidden/>
    <w:unhideWhenUsed/>
    <w:rsid w:val="00D758B6"/>
    <w:pPr>
      <w:spacing w:after="100"/>
      <w:ind w:left="660"/>
    </w:pPr>
  </w:style>
  <w:style w:type="paragraph" w:styleId="TOC5">
    <w:name w:val="toc 5"/>
    <w:basedOn w:val="Normal"/>
    <w:next w:val="Normal"/>
    <w:uiPriority w:val="39"/>
    <w:semiHidden/>
    <w:unhideWhenUsed/>
    <w:rsid w:val="00D758B6"/>
    <w:pPr>
      <w:spacing w:after="100"/>
      <w:ind w:left="880"/>
    </w:pPr>
  </w:style>
  <w:style w:type="paragraph" w:styleId="TOC6">
    <w:name w:val="toc 6"/>
    <w:basedOn w:val="Normal"/>
    <w:next w:val="Normal"/>
    <w:uiPriority w:val="39"/>
    <w:semiHidden/>
    <w:unhideWhenUsed/>
    <w:rsid w:val="00D758B6"/>
    <w:pPr>
      <w:spacing w:after="100"/>
      <w:ind w:left="1100"/>
    </w:pPr>
  </w:style>
  <w:style w:type="paragraph" w:styleId="TOC7">
    <w:name w:val="toc 7"/>
    <w:basedOn w:val="Normal"/>
    <w:next w:val="Normal"/>
    <w:uiPriority w:val="39"/>
    <w:semiHidden/>
    <w:unhideWhenUsed/>
    <w:rsid w:val="00D758B6"/>
    <w:pPr>
      <w:spacing w:after="100"/>
      <w:ind w:left="1320"/>
    </w:pPr>
  </w:style>
  <w:style w:type="paragraph" w:styleId="TOC8">
    <w:name w:val="toc 8"/>
    <w:basedOn w:val="Normal"/>
    <w:next w:val="Normal"/>
    <w:uiPriority w:val="39"/>
    <w:semiHidden/>
    <w:unhideWhenUsed/>
    <w:rsid w:val="00D758B6"/>
    <w:pPr>
      <w:spacing w:after="100"/>
      <w:ind w:left="1540"/>
    </w:pPr>
  </w:style>
  <w:style w:type="paragraph" w:styleId="TOC9">
    <w:name w:val="toc 9"/>
    <w:basedOn w:val="Normal"/>
    <w:next w:val="Normal"/>
    <w:uiPriority w:val="39"/>
    <w:semiHidden/>
    <w:unhideWhenUsed/>
    <w:rsid w:val="00D758B6"/>
    <w:pPr>
      <w:spacing w:after="100"/>
      <w:ind w:left="1760"/>
    </w:pPr>
  </w:style>
  <w:style w:type="paragraph" w:styleId="TOCHeading">
    <w:name w:val="TOC Heading"/>
    <w:basedOn w:val="Heading1"/>
    <w:next w:val="Normal"/>
    <w:uiPriority w:val="39"/>
    <w:semiHidden/>
    <w:unhideWhenUsed/>
    <w:qFormat/>
    <w:rsid w:val="00D758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ocis.gov/rocis/jsp/common/ROCIS_HOW_TO_Guide_for_AGENCY_Users_of_ICR_Module-03192012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73278-7B5D-4755-B33A-3BC46DD7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Anthony May</cp:lastModifiedBy>
  <cp:revision>6</cp:revision>
  <cp:lastPrinted>2012-12-17T18:24:00Z</cp:lastPrinted>
  <dcterms:created xsi:type="dcterms:W3CDTF">2012-12-17T16:20:00Z</dcterms:created>
  <dcterms:modified xsi:type="dcterms:W3CDTF">2012-12-17T18:53:00Z</dcterms:modified>
</cp:coreProperties>
</file>