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660" w:rsidRPr="00045660" w:rsidRDefault="00045660" w:rsidP="00045660">
      <w:pPr>
        <w:widowControl w:val="0"/>
        <w:autoSpaceDE w:val="0"/>
        <w:autoSpaceDN w:val="0"/>
        <w:adjustRightInd w:val="0"/>
        <w:spacing w:line="480" w:lineRule="auto"/>
        <w:jc w:val="center"/>
      </w:pPr>
      <w:r w:rsidRPr="00045660">
        <w:rPr>
          <w:b/>
        </w:rPr>
        <w:t xml:space="preserve">Note: Appendix A will not be published in the </w:t>
      </w:r>
      <w:r w:rsidRPr="00045660">
        <w:rPr>
          <w:b/>
          <w:u w:val="single"/>
        </w:rPr>
        <w:t>Code of Federal Regulations</w:t>
      </w:r>
      <w:r w:rsidRPr="00045660">
        <w:rPr>
          <w:b/>
        </w:rPr>
        <w:t>.</w:t>
      </w:r>
      <w:r w:rsidRPr="00045660">
        <w:tab/>
      </w:r>
    </w:p>
    <w:p w:rsidR="00045660" w:rsidRPr="00045660" w:rsidRDefault="00045660" w:rsidP="00045660">
      <w:pPr>
        <w:widowControl w:val="0"/>
        <w:autoSpaceDE w:val="0"/>
        <w:autoSpaceDN w:val="0"/>
        <w:adjustRightInd w:val="0"/>
        <w:spacing w:line="480" w:lineRule="auto"/>
        <w:jc w:val="center"/>
      </w:pPr>
      <w:r w:rsidRPr="00045660">
        <w:rPr>
          <w:b/>
        </w:rPr>
        <w:t>Appendix A:  Revisions to the Data Dictionary Clean Version</w:t>
      </w:r>
    </w:p>
    <w:p w:rsidR="00045660" w:rsidRPr="00045660" w:rsidRDefault="00045660" w:rsidP="00045660">
      <w:pPr>
        <w:widowControl w:val="0"/>
        <w:autoSpaceDE w:val="0"/>
        <w:autoSpaceDN w:val="0"/>
        <w:adjustRightInd w:val="0"/>
        <w:spacing w:line="480" w:lineRule="auto"/>
        <w:jc w:val="center"/>
      </w:pPr>
    </w:p>
    <w:p w:rsidR="00045660" w:rsidRPr="00045660" w:rsidRDefault="00045660" w:rsidP="00045660">
      <w:pPr>
        <w:widowControl w:val="0"/>
        <w:autoSpaceDE w:val="0"/>
        <w:autoSpaceDN w:val="0"/>
        <w:adjustRightInd w:val="0"/>
        <w:spacing w:line="480" w:lineRule="auto"/>
        <w:jc w:val="center"/>
      </w:pPr>
    </w:p>
    <w:p w:rsidR="00045660" w:rsidRPr="00045660" w:rsidRDefault="00045660" w:rsidP="00045660">
      <w:pPr>
        <w:widowControl w:val="0"/>
        <w:autoSpaceDE w:val="0"/>
        <w:autoSpaceDN w:val="0"/>
        <w:adjustRightInd w:val="0"/>
        <w:spacing w:line="480" w:lineRule="auto"/>
        <w:jc w:val="center"/>
        <w:rPr>
          <w:b/>
          <w:sz w:val="40"/>
          <w:szCs w:val="40"/>
          <w:u w:val="single"/>
        </w:rPr>
      </w:pPr>
      <w:r w:rsidRPr="00045660">
        <w:rPr>
          <w:b/>
          <w:sz w:val="40"/>
          <w:szCs w:val="40"/>
          <w:u w:val="single"/>
        </w:rPr>
        <w:t>Electric Quarterly Report</w:t>
      </w:r>
      <w:r w:rsidRPr="00045660">
        <w:rPr>
          <w:b/>
          <w:bCs/>
          <w:sz w:val="24"/>
          <w:u w:val="single"/>
        </w:rPr>
        <w:t xml:space="preserve"> </w:t>
      </w:r>
      <w:r w:rsidRPr="00045660">
        <w:rPr>
          <w:b/>
          <w:sz w:val="40"/>
          <w:szCs w:val="40"/>
          <w:u w:val="single"/>
        </w:rPr>
        <w:t>Data</w:t>
      </w:r>
      <w:r w:rsidRPr="00045660">
        <w:rPr>
          <w:b/>
          <w:bCs/>
          <w:sz w:val="24"/>
          <w:u w:val="single"/>
        </w:rPr>
        <w:t xml:space="preserve"> </w:t>
      </w:r>
      <w:r w:rsidRPr="00045660">
        <w:rPr>
          <w:b/>
          <w:sz w:val="40"/>
          <w:szCs w:val="40"/>
          <w:u w:val="single"/>
        </w:rPr>
        <w:t>Dictionary</w:t>
      </w:r>
    </w:p>
    <w:p w:rsidR="00045660" w:rsidRPr="00045660" w:rsidRDefault="00045660" w:rsidP="00045660">
      <w:pPr>
        <w:widowControl w:val="0"/>
        <w:autoSpaceDE w:val="0"/>
        <w:autoSpaceDN w:val="0"/>
        <w:adjustRightInd w:val="0"/>
        <w:spacing w:line="480" w:lineRule="auto"/>
        <w:jc w:val="center"/>
        <w:rPr>
          <w:b/>
          <w:sz w:val="40"/>
          <w:szCs w:val="40"/>
          <w:u w:val="single"/>
        </w:rPr>
      </w:pPr>
      <w:r w:rsidRPr="00045660">
        <w:rPr>
          <w:b/>
          <w:sz w:val="40"/>
          <w:szCs w:val="40"/>
          <w:u w:val="single"/>
        </w:rPr>
        <w:t>Version 2.0 (issued July 19, 2012)</w:t>
      </w:r>
    </w:p>
    <w:p w:rsidR="00045660" w:rsidRPr="00045660" w:rsidRDefault="00045660" w:rsidP="00045660">
      <w:pPr>
        <w:spacing w:line="480" w:lineRule="auto"/>
        <w:rPr>
          <w:sz w:val="40"/>
          <w:szCs w:val="40"/>
          <w:u w:val="single"/>
        </w:rPr>
        <w:sectPr w:rsidR="00045660" w:rsidRPr="00045660">
          <w:pgSz w:w="12240" w:h="15840"/>
          <w:pgMar w:top="1440" w:right="1440" w:bottom="1440" w:left="1440" w:header="1440" w:footer="720" w:gutter="0"/>
          <w:pgNumType w:fmt="numberInDash"/>
          <w:cols w:space="720"/>
        </w:sectPr>
      </w:pPr>
    </w:p>
    <w:tbl>
      <w:tblPr>
        <w:tblW w:w="12960" w:type="dxa"/>
        <w:tblInd w:w="93" w:type="dxa"/>
        <w:tblLook w:val="04A0" w:firstRow="1" w:lastRow="0" w:firstColumn="1" w:lastColumn="0" w:noHBand="0" w:noVBand="1"/>
      </w:tblPr>
      <w:tblGrid>
        <w:gridCol w:w="507"/>
        <w:gridCol w:w="24"/>
        <w:gridCol w:w="532"/>
        <w:gridCol w:w="1995"/>
        <w:gridCol w:w="1255"/>
        <w:gridCol w:w="1728"/>
        <w:gridCol w:w="6919"/>
      </w:tblGrid>
      <w:tr w:rsidR="00045660" w:rsidRPr="00045660" w:rsidTr="00045660">
        <w:trPr>
          <w:cantSplit/>
          <w:trHeight w:val="195"/>
          <w:tblHeader/>
        </w:trPr>
        <w:tc>
          <w:tcPr>
            <w:tcW w:w="12960" w:type="dxa"/>
            <w:gridSpan w:val="7"/>
            <w:noWrap/>
            <w:vAlign w:val="center"/>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spacing w:before="40" w:afterLines="40" w:after="96"/>
              <w:jc w:val="center"/>
              <w:rPr>
                <w:b/>
                <w:bCs/>
                <w:sz w:val="22"/>
                <w:szCs w:val="22"/>
              </w:rPr>
            </w:pPr>
            <w:r w:rsidRPr="00045660">
              <w:rPr>
                <w:b/>
                <w:bCs/>
                <w:sz w:val="24"/>
              </w:rPr>
              <w:t>ID Data</w:t>
            </w:r>
          </w:p>
        </w:tc>
      </w:tr>
      <w:tr w:rsidR="00045660" w:rsidRPr="00045660" w:rsidTr="00045660">
        <w:trPr>
          <w:cantSplit/>
          <w:trHeight w:val="195"/>
          <w:tblHeader/>
        </w:trPr>
        <w:tc>
          <w:tcPr>
            <w:tcW w:w="1063" w:type="dxa"/>
            <w:gridSpan w:val="3"/>
            <w:noWrap/>
            <w:vAlign w:val="center"/>
            <w:hideMark/>
          </w:tcPr>
          <w:p w:rsidR="00045660" w:rsidRPr="00045660" w:rsidRDefault="00045660" w:rsidP="00045660">
            <w:pPr>
              <w:autoSpaceDN w:val="0"/>
              <w:rPr>
                <w:b/>
                <w:bCs/>
                <w:sz w:val="22"/>
                <w:szCs w:val="22"/>
              </w:rPr>
            </w:pPr>
            <w:r w:rsidRPr="00045660">
              <w:rPr>
                <w:b/>
                <w:bCs/>
                <w:sz w:val="22"/>
                <w:szCs w:val="22"/>
              </w:rPr>
              <w:t>Field #</w:t>
            </w:r>
          </w:p>
        </w:tc>
        <w:tc>
          <w:tcPr>
            <w:tcW w:w="1995"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Field</w:t>
            </w:r>
          </w:p>
        </w:tc>
        <w:tc>
          <w:tcPr>
            <w:tcW w:w="1255"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Required</w:t>
            </w:r>
          </w:p>
        </w:tc>
        <w:tc>
          <w:tcPr>
            <w:tcW w:w="1728"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Value</w:t>
            </w:r>
          </w:p>
        </w:tc>
        <w:tc>
          <w:tcPr>
            <w:tcW w:w="6919" w:type="dxa"/>
            <w:vMerge w:val="restart"/>
            <w:vAlign w:val="center"/>
            <w:hideMark/>
          </w:tcPr>
          <w:p w:rsidR="00045660" w:rsidRPr="00045660" w:rsidRDefault="00045660" w:rsidP="00045660">
            <w:pPr>
              <w:autoSpaceDN w:val="0"/>
              <w:spacing w:before="40" w:afterLines="40" w:after="96"/>
              <w:rPr>
                <w:b/>
                <w:bCs/>
                <w:sz w:val="22"/>
                <w:szCs w:val="22"/>
              </w:rPr>
            </w:pPr>
            <w:r w:rsidRPr="00045660">
              <w:rPr>
                <w:b/>
                <w:bCs/>
                <w:sz w:val="22"/>
                <w:szCs w:val="22"/>
              </w:rPr>
              <w:t>Definition</w:t>
            </w:r>
          </w:p>
        </w:tc>
      </w:tr>
      <w:tr w:rsidR="00045660" w:rsidRPr="00045660" w:rsidTr="00045660">
        <w:trPr>
          <w:cantSplit/>
          <w:trHeight w:val="195"/>
          <w:tblHeader/>
        </w:trPr>
        <w:tc>
          <w:tcPr>
            <w:tcW w:w="507" w:type="dxa"/>
            <w:noWrap/>
            <w:vAlign w:val="center"/>
            <w:hideMark/>
          </w:tcPr>
          <w:p w:rsidR="00045660" w:rsidRPr="00045660" w:rsidRDefault="00045660" w:rsidP="00045660">
            <w:pPr>
              <w:autoSpaceDN w:val="0"/>
              <w:rPr>
                <w:b/>
                <w:bCs/>
                <w:sz w:val="18"/>
                <w:szCs w:val="18"/>
              </w:rPr>
            </w:pPr>
            <w:r w:rsidRPr="00045660">
              <w:rPr>
                <w:b/>
                <w:bCs/>
                <w:sz w:val="18"/>
                <w:szCs w:val="18"/>
              </w:rPr>
              <w:t>Old</w:t>
            </w:r>
          </w:p>
        </w:tc>
        <w:tc>
          <w:tcPr>
            <w:tcW w:w="556" w:type="dxa"/>
            <w:gridSpan w:val="2"/>
            <w:vAlign w:val="center"/>
            <w:hideMark/>
          </w:tcPr>
          <w:p w:rsidR="00045660" w:rsidRPr="00045660" w:rsidRDefault="00045660" w:rsidP="00045660">
            <w:pPr>
              <w:autoSpaceDN w:val="0"/>
              <w:rPr>
                <w:b/>
                <w:bCs/>
                <w:sz w:val="18"/>
                <w:szCs w:val="18"/>
              </w:rPr>
            </w:pPr>
            <w:r w:rsidRPr="00045660">
              <w:rPr>
                <w:b/>
                <w:bCs/>
                <w:sz w:val="18"/>
                <w:szCs w:val="18"/>
              </w:rPr>
              <w:t>New</w:t>
            </w: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w:t>
            </w:r>
          </w:p>
        </w:tc>
        <w:tc>
          <w:tcPr>
            <w:tcW w:w="1995" w:type="dxa"/>
            <w:vAlign w:val="center"/>
            <w:hideMark/>
          </w:tcPr>
          <w:p w:rsidR="00045660" w:rsidRPr="00045660" w:rsidRDefault="00045660" w:rsidP="00045660">
            <w:pPr>
              <w:autoSpaceDN w:val="0"/>
              <w:rPr>
                <w:sz w:val="22"/>
                <w:szCs w:val="22"/>
              </w:rPr>
            </w:pPr>
            <w:r w:rsidRPr="00045660">
              <w:rPr>
                <w:sz w:val="22"/>
                <w:szCs w:val="22"/>
              </w:rPr>
              <w:t>Filer Unique Identifier</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FR1</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(Respondent) – An identifier (i.e., “FR1”) used to designate a record containing Respondent identification information in a comma-delimited (</w:t>
            </w:r>
            <w:proofErr w:type="spellStart"/>
            <w:r w:rsidRPr="00045660">
              <w:rPr>
                <w:sz w:val="22"/>
                <w:szCs w:val="22"/>
              </w:rPr>
              <w:t>csv</w:t>
            </w:r>
            <w:proofErr w:type="spellEnd"/>
            <w:r w:rsidRPr="00045660">
              <w:rPr>
                <w:sz w:val="22"/>
                <w:szCs w:val="22"/>
              </w:rPr>
              <w:t>) file that is imported into the EQR filing.  Only one record with the FR1 identifier may be imported into an EQR for a given quarter.</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w:t>
            </w:r>
          </w:p>
        </w:tc>
        <w:tc>
          <w:tcPr>
            <w:tcW w:w="1995" w:type="dxa"/>
            <w:vAlign w:val="center"/>
            <w:hideMark/>
          </w:tcPr>
          <w:p w:rsidR="00045660" w:rsidRPr="00045660" w:rsidRDefault="00045660" w:rsidP="00045660">
            <w:pPr>
              <w:autoSpaceDN w:val="0"/>
              <w:rPr>
                <w:sz w:val="22"/>
                <w:szCs w:val="22"/>
              </w:rPr>
            </w:pPr>
            <w:r w:rsidRPr="00045660">
              <w:rPr>
                <w:sz w:val="22"/>
                <w:szCs w:val="22"/>
              </w:rPr>
              <w:t>Filer Unique Identifier</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FS# (where “#” is an integer)</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(Seller) – An identifier (e.g., “FS1”, “FS2”) used to designate a record containing Seller identification information in a comma-delimited (</w:t>
            </w:r>
            <w:proofErr w:type="spellStart"/>
            <w:r w:rsidRPr="00045660">
              <w:rPr>
                <w:sz w:val="22"/>
                <w:szCs w:val="22"/>
              </w:rPr>
              <w:t>csv</w:t>
            </w:r>
            <w:proofErr w:type="spellEnd"/>
            <w:r w:rsidRPr="00045660">
              <w:rPr>
                <w:sz w:val="22"/>
                <w:szCs w:val="22"/>
              </w:rPr>
              <w:t>) file that is imported into the EQR filing.  One record for each seller company may be imported into an EQR for a given quarter.</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w:t>
            </w:r>
          </w:p>
        </w:tc>
        <w:tc>
          <w:tcPr>
            <w:tcW w:w="1995" w:type="dxa"/>
            <w:vAlign w:val="center"/>
            <w:hideMark/>
          </w:tcPr>
          <w:p w:rsidR="00045660" w:rsidRPr="00045660" w:rsidRDefault="00045660" w:rsidP="00045660">
            <w:pPr>
              <w:autoSpaceDN w:val="0"/>
              <w:rPr>
                <w:sz w:val="22"/>
                <w:szCs w:val="22"/>
              </w:rPr>
            </w:pPr>
            <w:r w:rsidRPr="00045660">
              <w:rPr>
                <w:sz w:val="22"/>
                <w:szCs w:val="22"/>
              </w:rPr>
              <w:t>Filer Unique Identifier</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FA1</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(Agent) – An identifier (i.e., “FA1”) used to designate a record containing Agent identification information in a comma-delimited (</w:t>
            </w:r>
            <w:proofErr w:type="spellStart"/>
            <w:r w:rsidRPr="00045660">
              <w:rPr>
                <w:sz w:val="22"/>
                <w:szCs w:val="22"/>
              </w:rPr>
              <w:t>csv</w:t>
            </w:r>
            <w:proofErr w:type="spellEnd"/>
            <w:r w:rsidRPr="00045660">
              <w:rPr>
                <w:sz w:val="22"/>
                <w:szCs w:val="22"/>
              </w:rPr>
              <w:t>) file that is imported into the EQR filing.  Only one record with the FA1 identifier may be imported into an EQR for a given quarter.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Company Name</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(Respondent) – The name of the company taking responsibility for complying with the Commission's regulations related to the EQR.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Company Name</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(Seller) – The name of the company that is authorized to make sales as indicated in the company's FERC tariff(s).  This name may be the same as the Company Name of the Respondent.</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Company Name</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 xml:space="preserve">(Agent) – The name of the entity completing the EQR filing.  The Agent's Company Name need not be the name of the company under Commission jurisdiction. </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X</w:t>
            </w:r>
          </w:p>
        </w:tc>
        <w:tc>
          <w:tcPr>
            <w:tcW w:w="1995" w:type="dxa"/>
            <w:vAlign w:val="center"/>
          </w:tcPr>
          <w:p w:rsidR="00045660" w:rsidRPr="00045660" w:rsidRDefault="00045660" w:rsidP="00045660">
            <w:pPr>
              <w:autoSpaceDN w:val="0"/>
              <w:rPr>
                <w:sz w:val="22"/>
                <w:szCs w:val="22"/>
              </w:rPr>
            </w:pPr>
          </w:p>
        </w:tc>
        <w:tc>
          <w:tcPr>
            <w:tcW w:w="1255" w:type="dxa"/>
            <w:vAlign w:val="center"/>
          </w:tcPr>
          <w:p w:rsidR="00045660" w:rsidRPr="00045660" w:rsidRDefault="00045660" w:rsidP="00045660">
            <w:pPr>
              <w:autoSpaceDN w:val="0"/>
              <w:spacing w:before="40" w:after="40"/>
              <w:jc w:val="center"/>
              <w:rPr>
                <w:sz w:val="22"/>
                <w:szCs w:val="22"/>
              </w:rPr>
            </w:pPr>
          </w:p>
        </w:tc>
        <w:tc>
          <w:tcPr>
            <w:tcW w:w="1728" w:type="dxa"/>
            <w:vAlign w:val="center"/>
          </w:tcPr>
          <w:p w:rsidR="00045660" w:rsidRPr="00045660" w:rsidRDefault="00045660" w:rsidP="00045660">
            <w:pPr>
              <w:autoSpaceDN w:val="0"/>
              <w:spacing w:before="40" w:after="40"/>
              <w:rPr>
                <w:sz w:val="22"/>
                <w:szCs w:val="22"/>
              </w:rPr>
            </w:pPr>
          </w:p>
        </w:tc>
        <w:tc>
          <w:tcPr>
            <w:tcW w:w="6919" w:type="dxa"/>
            <w:vAlign w:val="center"/>
          </w:tcPr>
          <w:p w:rsidR="00045660" w:rsidRPr="00045660" w:rsidRDefault="00045660" w:rsidP="00045660">
            <w:pPr>
              <w:autoSpaceDN w:val="0"/>
              <w:spacing w:before="40" w:afterLines="40" w:after="96"/>
              <w:rPr>
                <w:sz w:val="22"/>
                <w:szCs w:val="22"/>
              </w:rPr>
            </w:pP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w:t>
            </w:r>
          </w:p>
        </w:tc>
        <w:tc>
          <w:tcPr>
            <w:tcW w:w="1995" w:type="dxa"/>
            <w:vAlign w:val="center"/>
            <w:hideMark/>
          </w:tcPr>
          <w:p w:rsidR="00045660" w:rsidRPr="00045660" w:rsidRDefault="00045660" w:rsidP="00045660">
            <w:pPr>
              <w:autoSpaceDN w:val="0"/>
              <w:rPr>
                <w:sz w:val="22"/>
                <w:szCs w:val="22"/>
              </w:rPr>
            </w:pPr>
            <w:r w:rsidRPr="00045660">
              <w:rPr>
                <w:sz w:val="22"/>
                <w:szCs w:val="22"/>
              </w:rPr>
              <w:t>Contact Name</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(50 characters)</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(Respondent) – Name of the person at the Respondent’s company taking responsibility for compliance with the Commission's EQR regulations.</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w:t>
            </w:r>
          </w:p>
        </w:tc>
        <w:tc>
          <w:tcPr>
            <w:tcW w:w="1995" w:type="dxa"/>
            <w:vAlign w:val="center"/>
            <w:hideMark/>
          </w:tcPr>
          <w:p w:rsidR="00045660" w:rsidRPr="00045660" w:rsidRDefault="00045660" w:rsidP="00045660">
            <w:pPr>
              <w:autoSpaceDN w:val="0"/>
              <w:rPr>
                <w:sz w:val="22"/>
                <w:szCs w:val="22"/>
              </w:rPr>
            </w:pPr>
            <w:r w:rsidRPr="00045660">
              <w:rPr>
                <w:sz w:val="22"/>
                <w:szCs w:val="22"/>
              </w:rPr>
              <w:t>Contact Name</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(50 characters)</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 xml:space="preserve">(Seller) – </w:t>
            </w:r>
            <w:r w:rsidRPr="00045660">
              <w:rPr>
                <w:iCs/>
                <w:sz w:val="22"/>
                <w:szCs w:val="22"/>
              </w:rPr>
              <w:t>The name of the contact for the company authorized to make sales as indicated in the company's FERC tariff(s).  This name may be the same as the Contact Name of the Respondent.</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lastRenderedPageBreak/>
              <w:t>4</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w:t>
            </w:r>
          </w:p>
        </w:tc>
        <w:tc>
          <w:tcPr>
            <w:tcW w:w="1995" w:type="dxa"/>
            <w:vAlign w:val="center"/>
            <w:hideMark/>
          </w:tcPr>
          <w:p w:rsidR="00045660" w:rsidRPr="00045660" w:rsidRDefault="00045660" w:rsidP="00045660">
            <w:pPr>
              <w:autoSpaceDN w:val="0"/>
              <w:rPr>
                <w:sz w:val="22"/>
                <w:szCs w:val="22"/>
              </w:rPr>
            </w:pPr>
            <w:r w:rsidRPr="00045660">
              <w:rPr>
                <w:sz w:val="22"/>
                <w:szCs w:val="22"/>
              </w:rPr>
              <w:t>Contact Name</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(50 characters)</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(Agent) – Name of the contact for the Agent, usually the person who prepares the filing.</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Contact Title</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(50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Title of contact identified in Field Number 3.</w:t>
            </w:r>
          </w:p>
        </w:tc>
      </w:tr>
      <w:tr w:rsidR="00045660" w:rsidRPr="00045660" w:rsidTr="00045660">
        <w:trPr>
          <w:cantSplit/>
          <w:trHeight w:val="522"/>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w:t>
            </w:r>
          </w:p>
        </w:tc>
        <w:tc>
          <w:tcPr>
            <w:tcW w:w="1995" w:type="dxa"/>
            <w:vAlign w:val="center"/>
            <w:hideMark/>
          </w:tcPr>
          <w:p w:rsidR="00045660" w:rsidRPr="00045660" w:rsidRDefault="00045660" w:rsidP="00045660">
            <w:pPr>
              <w:autoSpaceDN w:val="0"/>
              <w:rPr>
                <w:sz w:val="22"/>
                <w:szCs w:val="22"/>
              </w:rPr>
            </w:pPr>
            <w:r w:rsidRPr="00045660">
              <w:rPr>
                <w:sz w:val="22"/>
                <w:szCs w:val="22"/>
              </w:rPr>
              <w:t>Contact Address</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Street address for contact identified in Field Number 3.</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Contact City</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(30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City for the contact identified in Field Number 3.</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w:t>
            </w:r>
          </w:p>
        </w:tc>
        <w:tc>
          <w:tcPr>
            <w:tcW w:w="1995" w:type="dxa"/>
            <w:vAlign w:val="center"/>
            <w:hideMark/>
          </w:tcPr>
          <w:p w:rsidR="00045660" w:rsidRPr="00045660" w:rsidRDefault="00045660" w:rsidP="00045660">
            <w:pPr>
              <w:autoSpaceDN w:val="0"/>
              <w:rPr>
                <w:sz w:val="22"/>
                <w:szCs w:val="22"/>
              </w:rPr>
            </w:pPr>
            <w:r w:rsidRPr="00045660">
              <w:rPr>
                <w:sz w:val="22"/>
                <w:szCs w:val="22"/>
              </w:rPr>
              <w:t>Contact State</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(2 characters)</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Two character state or province abbreviations for the contact identified in Field Number 3.</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9</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8</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Contact Zip</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Zip code for the contact identified in Field Number 3.</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9</w:t>
            </w:r>
          </w:p>
        </w:tc>
        <w:tc>
          <w:tcPr>
            <w:tcW w:w="1995" w:type="dxa"/>
            <w:vAlign w:val="center"/>
            <w:hideMark/>
          </w:tcPr>
          <w:p w:rsidR="00045660" w:rsidRPr="00045660" w:rsidRDefault="00045660" w:rsidP="00045660">
            <w:pPr>
              <w:autoSpaceDN w:val="0"/>
              <w:rPr>
                <w:sz w:val="22"/>
                <w:szCs w:val="22"/>
              </w:rPr>
            </w:pPr>
            <w:r w:rsidRPr="00045660">
              <w:rPr>
                <w:sz w:val="22"/>
                <w:szCs w:val="22"/>
              </w:rPr>
              <w:t>Contact Country Name</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CA - Canada</w:t>
            </w:r>
          </w:p>
          <w:p w:rsidR="00045660" w:rsidRPr="00045660" w:rsidRDefault="00045660" w:rsidP="00045660">
            <w:pPr>
              <w:autoSpaceDN w:val="0"/>
              <w:spacing w:before="40" w:after="40"/>
              <w:rPr>
                <w:sz w:val="22"/>
                <w:szCs w:val="22"/>
              </w:rPr>
            </w:pPr>
            <w:r w:rsidRPr="00045660">
              <w:rPr>
                <w:sz w:val="22"/>
                <w:szCs w:val="22"/>
              </w:rPr>
              <w:t>MX - Mexico</w:t>
            </w:r>
          </w:p>
          <w:p w:rsidR="00045660" w:rsidRPr="00045660" w:rsidRDefault="00045660" w:rsidP="00045660">
            <w:pPr>
              <w:autoSpaceDN w:val="0"/>
              <w:spacing w:before="40" w:after="40"/>
              <w:rPr>
                <w:sz w:val="22"/>
                <w:szCs w:val="22"/>
              </w:rPr>
            </w:pPr>
            <w:r w:rsidRPr="00045660">
              <w:rPr>
                <w:sz w:val="22"/>
                <w:szCs w:val="22"/>
              </w:rPr>
              <w:t>US – United States</w:t>
            </w:r>
          </w:p>
          <w:p w:rsidR="00045660" w:rsidRPr="00045660" w:rsidRDefault="00045660" w:rsidP="00045660">
            <w:pPr>
              <w:autoSpaceDN w:val="0"/>
              <w:spacing w:before="40" w:after="40"/>
              <w:rPr>
                <w:sz w:val="22"/>
                <w:szCs w:val="22"/>
              </w:rPr>
            </w:pPr>
            <w:r w:rsidRPr="00045660">
              <w:rPr>
                <w:sz w:val="22"/>
                <w:szCs w:val="22"/>
              </w:rPr>
              <w:t>UK – United Kingdom</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Country (USA, Canada, Mexico, or United Kingdom) for contact address identified in Field Number 3.</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10</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Contact Phone</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(20 characters)</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Phone number of contact identified in Field Number 3.</w:t>
            </w:r>
          </w:p>
        </w:tc>
      </w:tr>
      <w:tr w:rsidR="00045660" w:rsidRPr="00045660" w:rsidTr="00045660">
        <w:trPr>
          <w:cantSplit/>
        </w:trPr>
        <w:tc>
          <w:tcPr>
            <w:tcW w:w="531" w:type="dxa"/>
            <w:gridSpan w:val="2"/>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12</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11</w:t>
            </w:r>
          </w:p>
        </w:tc>
        <w:tc>
          <w:tcPr>
            <w:tcW w:w="1995" w:type="dxa"/>
            <w:vAlign w:val="center"/>
            <w:hideMark/>
          </w:tcPr>
          <w:p w:rsidR="00045660" w:rsidRPr="00045660" w:rsidRDefault="00045660" w:rsidP="00045660">
            <w:pPr>
              <w:autoSpaceDN w:val="0"/>
              <w:rPr>
                <w:sz w:val="22"/>
                <w:szCs w:val="22"/>
              </w:rPr>
            </w:pPr>
            <w:r w:rsidRPr="00045660">
              <w:rPr>
                <w:sz w:val="22"/>
                <w:szCs w:val="22"/>
              </w:rPr>
              <w:t>Contact E-Mail</w:t>
            </w:r>
          </w:p>
        </w:tc>
        <w:tc>
          <w:tcPr>
            <w:tcW w:w="1255"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w:t>
            </w:r>
          </w:p>
        </w:tc>
        <w:tc>
          <w:tcPr>
            <w:tcW w:w="6919" w:type="dxa"/>
            <w:vAlign w:val="center"/>
            <w:hideMark/>
          </w:tcPr>
          <w:p w:rsidR="00045660" w:rsidRPr="00045660" w:rsidRDefault="00045660" w:rsidP="00045660">
            <w:pPr>
              <w:autoSpaceDN w:val="0"/>
              <w:spacing w:before="40" w:afterLines="40" w:after="96"/>
              <w:rPr>
                <w:sz w:val="22"/>
                <w:szCs w:val="22"/>
              </w:rPr>
            </w:pPr>
            <w:r w:rsidRPr="00045660">
              <w:rPr>
                <w:sz w:val="22"/>
                <w:szCs w:val="22"/>
              </w:rPr>
              <w:t>E-mail address of contact identified in Field Number 3.</w:t>
            </w:r>
          </w:p>
        </w:tc>
      </w:tr>
      <w:tr w:rsidR="00045660" w:rsidRPr="00045660" w:rsidTr="00045660">
        <w:trPr>
          <w:cantSplit/>
        </w:trPr>
        <w:tc>
          <w:tcPr>
            <w:tcW w:w="531" w:type="dxa"/>
            <w:gridSpan w:val="2"/>
            <w:shd w:val="clear" w:color="auto" w:fill="FFCC99"/>
            <w:vAlign w:val="center"/>
          </w:tcPr>
          <w:p w:rsidR="00045660" w:rsidRPr="00045660" w:rsidRDefault="00045660" w:rsidP="00045660">
            <w:pPr>
              <w:autoSpaceDN w:val="0"/>
              <w:jc w:val="center"/>
              <w:rPr>
                <w:sz w:val="22"/>
                <w:szCs w:val="22"/>
              </w:rPr>
            </w:pPr>
          </w:p>
        </w:tc>
        <w:tc>
          <w:tcPr>
            <w:tcW w:w="532" w:type="dxa"/>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12</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Transactions Reported to Index Price Publisher(s)</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tcPr>
          <w:p w:rsidR="00045660" w:rsidRPr="00045660" w:rsidRDefault="00045660" w:rsidP="00045660">
            <w:pPr>
              <w:autoSpaceDN w:val="0"/>
              <w:spacing w:before="40" w:after="40"/>
              <w:rPr>
                <w:sz w:val="22"/>
                <w:szCs w:val="22"/>
              </w:rPr>
            </w:pPr>
            <w:r w:rsidRPr="00045660">
              <w:rPr>
                <w:sz w:val="22"/>
                <w:szCs w:val="22"/>
              </w:rPr>
              <w:t>Y (Yes)</w:t>
            </w:r>
            <w:r w:rsidRPr="00045660">
              <w:rPr>
                <w:sz w:val="22"/>
                <w:szCs w:val="22"/>
              </w:rPr>
              <w:br/>
              <w:t>N (No)</w:t>
            </w:r>
          </w:p>
          <w:p w:rsidR="00045660" w:rsidRPr="00045660" w:rsidRDefault="00045660" w:rsidP="00045660">
            <w:pPr>
              <w:autoSpaceDN w:val="0"/>
              <w:spacing w:before="40" w:after="40"/>
              <w:rPr>
                <w:sz w:val="22"/>
                <w:szCs w:val="22"/>
              </w:rPr>
            </w:pP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Filers should indicate whether they have reported their sales transactions to index price publisher(s).  If they have, filers should indicate specifically which index publisher(s) in Field Number 72.</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13</w:t>
            </w:r>
          </w:p>
        </w:tc>
        <w:tc>
          <w:tcPr>
            <w:tcW w:w="532" w:type="dxa"/>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13</w:t>
            </w:r>
          </w:p>
        </w:tc>
        <w:tc>
          <w:tcPr>
            <w:tcW w:w="1995" w:type="dxa"/>
            <w:shd w:val="clear" w:color="auto" w:fill="FFCC99"/>
            <w:vAlign w:val="center"/>
            <w:hideMark/>
          </w:tcPr>
          <w:p w:rsidR="00045660" w:rsidRPr="00045660" w:rsidRDefault="00045660" w:rsidP="00045660">
            <w:pPr>
              <w:autoSpaceDN w:val="0"/>
              <w:rPr>
                <w:sz w:val="22"/>
                <w:szCs w:val="22"/>
              </w:rPr>
            </w:pPr>
            <w:r w:rsidRPr="00045660">
              <w:rPr>
                <w:sz w:val="22"/>
                <w:szCs w:val="22"/>
              </w:rPr>
              <w:t>Filing Quarter</w:t>
            </w:r>
          </w:p>
        </w:tc>
        <w:tc>
          <w:tcPr>
            <w:tcW w:w="1255"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1728"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YYYYMM</w:t>
            </w:r>
          </w:p>
        </w:tc>
        <w:tc>
          <w:tcPr>
            <w:tcW w:w="6919" w:type="dxa"/>
            <w:shd w:val="clear" w:color="auto" w:fill="FFCC99"/>
            <w:vAlign w:val="center"/>
            <w:hideMark/>
          </w:tcPr>
          <w:p w:rsidR="00045660" w:rsidRPr="00045660" w:rsidRDefault="00045660" w:rsidP="00045660">
            <w:pPr>
              <w:autoSpaceDN w:val="0"/>
              <w:spacing w:before="40" w:afterLines="40" w:after="96"/>
              <w:rPr>
                <w:sz w:val="22"/>
                <w:szCs w:val="22"/>
              </w:rPr>
            </w:pPr>
            <w:r w:rsidRPr="00045660">
              <w:rPr>
                <w:sz w:val="22"/>
                <w:szCs w:val="22"/>
              </w:rPr>
              <w:t xml:space="preserve">A six digit reference number used by the EQR software to indicate the quarter and year of the filing for the purpose of importing data from </w:t>
            </w:r>
            <w:proofErr w:type="spellStart"/>
            <w:r w:rsidRPr="00045660">
              <w:rPr>
                <w:sz w:val="22"/>
                <w:szCs w:val="22"/>
              </w:rPr>
              <w:t>csv</w:t>
            </w:r>
            <w:proofErr w:type="spellEnd"/>
            <w:r w:rsidRPr="00045660">
              <w:rPr>
                <w:sz w:val="22"/>
                <w:szCs w:val="22"/>
              </w:rPr>
              <w:t xml:space="preserve"> files.  The first 4 numbers represent the year (e.g., 2007).  The last 2 numbers represent the last month of the quarter (e.g., 03=1st quarter; 06=2nd quarter, 09=3rd quarter, 12= 4th quarter). </w:t>
            </w:r>
          </w:p>
        </w:tc>
      </w:tr>
    </w:tbl>
    <w:p w:rsidR="00045660" w:rsidRPr="00045660" w:rsidRDefault="00045660" w:rsidP="00045660">
      <w:pPr>
        <w:widowControl w:val="0"/>
        <w:autoSpaceDE w:val="0"/>
        <w:autoSpaceDN w:val="0"/>
        <w:adjustRightInd w:val="0"/>
        <w:spacing w:line="480" w:lineRule="auto"/>
        <w:jc w:val="center"/>
        <w:rPr>
          <w:b/>
          <w:sz w:val="22"/>
          <w:szCs w:val="22"/>
          <w:u w:val="single"/>
        </w:rPr>
      </w:pPr>
    </w:p>
    <w:p w:rsidR="00045660" w:rsidRPr="00045660" w:rsidRDefault="00045660" w:rsidP="00045660">
      <w:pPr>
        <w:widowControl w:val="0"/>
        <w:autoSpaceDE w:val="0"/>
        <w:autoSpaceDN w:val="0"/>
        <w:adjustRightInd w:val="0"/>
      </w:pPr>
      <w:r w:rsidRPr="00045660">
        <w:br w:type="page"/>
      </w:r>
    </w:p>
    <w:tbl>
      <w:tblPr>
        <w:tblW w:w="12960" w:type="dxa"/>
        <w:tblInd w:w="93" w:type="dxa"/>
        <w:tblLook w:val="04A0" w:firstRow="1" w:lastRow="0" w:firstColumn="1" w:lastColumn="0" w:noHBand="0" w:noVBand="1"/>
      </w:tblPr>
      <w:tblGrid>
        <w:gridCol w:w="507"/>
        <w:gridCol w:w="24"/>
        <w:gridCol w:w="532"/>
        <w:gridCol w:w="1964"/>
        <w:gridCol w:w="1222"/>
        <w:gridCol w:w="2270"/>
        <w:gridCol w:w="6441"/>
      </w:tblGrid>
      <w:tr w:rsidR="00045660" w:rsidRPr="00045660" w:rsidTr="00045660">
        <w:trPr>
          <w:cantSplit/>
          <w:tblHeader/>
        </w:trPr>
        <w:tc>
          <w:tcPr>
            <w:tcW w:w="12960" w:type="dxa"/>
            <w:gridSpan w:val="7"/>
            <w:noWrap/>
            <w:vAlign w:val="center"/>
            <w:hideMark/>
          </w:tcPr>
          <w:p w:rsidR="00045660" w:rsidRPr="00045660" w:rsidRDefault="00045660" w:rsidP="00045660">
            <w:pPr>
              <w:autoSpaceDN w:val="0"/>
              <w:jc w:val="center"/>
              <w:rPr>
                <w:b/>
                <w:bCs/>
                <w:sz w:val="22"/>
                <w:szCs w:val="22"/>
              </w:rPr>
            </w:pPr>
            <w:r w:rsidRPr="00045660">
              <w:rPr>
                <w:b/>
                <w:bCs/>
                <w:sz w:val="22"/>
                <w:szCs w:val="22"/>
              </w:rPr>
              <w:lastRenderedPageBreak/>
              <w:t>EQR Data Dictionary</w:t>
            </w:r>
          </w:p>
          <w:p w:rsidR="00045660" w:rsidRPr="00045660" w:rsidRDefault="00045660" w:rsidP="00045660">
            <w:pPr>
              <w:autoSpaceDN w:val="0"/>
              <w:jc w:val="center"/>
              <w:rPr>
                <w:b/>
                <w:bCs/>
                <w:sz w:val="22"/>
                <w:szCs w:val="22"/>
              </w:rPr>
            </w:pPr>
            <w:r w:rsidRPr="00045660">
              <w:rPr>
                <w:b/>
                <w:bCs/>
                <w:sz w:val="22"/>
                <w:szCs w:val="22"/>
              </w:rPr>
              <w:t>Contract Data</w:t>
            </w:r>
          </w:p>
        </w:tc>
      </w:tr>
      <w:tr w:rsidR="00045660" w:rsidRPr="00045660" w:rsidTr="00045660">
        <w:trPr>
          <w:cantSplit/>
          <w:trHeight w:val="225"/>
          <w:tblHeader/>
        </w:trPr>
        <w:tc>
          <w:tcPr>
            <w:tcW w:w="1063" w:type="dxa"/>
            <w:gridSpan w:val="3"/>
            <w:noWrap/>
            <w:vAlign w:val="center"/>
            <w:hideMark/>
          </w:tcPr>
          <w:p w:rsidR="00045660" w:rsidRPr="00045660" w:rsidRDefault="00045660" w:rsidP="00045660">
            <w:pPr>
              <w:autoSpaceDN w:val="0"/>
              <w:rPr>
                <w:b/>
                <w:bCs/>
                <w:sz w:val="22"/>
                <w:szCs w:val="22"/>
              </w:rPr>
            </w:pPr>
            <w:r w:rsidRPr="00045660">
              <w:rPr>
                <w:b/>
                <w:bCs/>
                <w:sz w:val="22"/>
                <w:szCs w:val="22"/>
              </w:rPr>
              <w:t>Field #</w:t>
            </w:r>
          </w:p>
        </w:tc>
        <w:tc>
          <w:tcPr>
            <w:tcW w:w="1964"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Field</w:t>
            </w:r>
          </w:p>
        </w:tc>
        <w:tc>
          <w:tcPr>
            <w:tcW w:w="1222"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Required</w:t>
            </w:r>
          </w:p>
        </w:tc>
        <w:tc>
          <w:tcPr>
            <w:tcW w:w="2270"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Value</w:t>
            </w:r>
          </w:p>
        </w:tc>
        <w:tc>
          <w:tcPr>
            <w:tcW w:w="6441" w:type="dxa"/>
            <w:vMerge w:val="restart"/>
            <w:vAlign w:val="center"/>
            <w:hideMark/>
          </w:tcPr>
          <w:p w:rsidR="00045660" w:rsidRPr="00045660" w:rsidRDefault="00045660" w:rsidP="00045660">
            <w:pPr>
              <w:autoSpaceDN w:val="0"/>
              <w:spacing w:beforeLines="40" w:before="96" w:afterLines="40" w:after="96"/>
              <w:rPr>
                <w:b/>
                <w:bCs/>
                <w:sz w:val="22"/>
                <w:szCs w:val="22"/>
              </w:rPr>
            </w:pPr>
            <w:r w:rsidRPr="00045660">
              <w:rPr>
                <w:b/>
                <w:bCs/>
                <w:sz w:val="22"/>
                <w:szCs w:val="22"/>
              </w:rPr>
              <w:t>Definition</w:t>
            </w:r>
          </w:p>
        </w:tc>
      </w:tr>
      <w:tr w:rsidR="00045660" w:rsidRPr="00045660" w:rsidTr="00045660">
        <w:trPr>
          <w:cantSplit/>
          <w:trHeight w:val="225"/>
          <w:tblHeader/>
        </w:trPr>
        <w:tc>
          <w:tcPr>
            <w:tcW w:w="507" w:type="dxa"/>
            <w:noWrap/>
            <w:vAlign w:val="center"/>
            <w:hideMark/>
          </w:tcPr>
          <w:p w:rsidR="00045660" w:rsidRPr="00045660" w:rsidRDefault="00045660" w:rsidP="00045660">
            <w:pPr>
              <w:autoSpaceDN w:val="0"/>
              <w:rPr>
                <w:b/>
                <w:bCs/>
                <w:sz w:val="18"/>
                <w:szCs w:val="18"/>
              </w:rPr>
            </w:pPr>
            <w:r w:rsidRPr="00045660">
              <w:rPr>
                <w:b/>
                <w:bCs/>
                <w:sz w:val="18"/>
                <w:szCs w:val="18"/>
              </w:rPr>
              <w:t>Old</w:t>
            </w:r>
          </w:p>
        </w:tc>
        <w:tc>
          <w:tcPr>
            <w:tcW w:w="556" w:type="dxa"/>
            <w:gridSpan w:val="2"/>
            <w:vAlign w:val="center"/>
            <w:hideMark/>
          </w:tcPr>
          <w:p w:rsidR="00045660" w:rsidRPr="00045660" w:rsidRDefault="00045660" w:rsidP="00045660">
            <w:pPr>
              <w:autoSpaceDN w:val="0"/>
              <w:rPr>
                <w:b/>
                <w:bCs/>
                <w:sz w:val="18"/>
                <w:szCs w:val="18"/>
              </w:rPr>
            </w:pPr>
            <w:r w:rsidRPr="00045660">
              <w:rPr>
                <w:b/>
                <w:bCs/>
                <w:sz w:val="18"/>
                <w:szCs w:val="18"/>
              </w:rPr>
              <w:t>New</w:t>
            </w: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14</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14</w:t>
            </w:r>
          </w:p>
        </w:tc>
        <w:tc>
          <w:tcPr>
            <w:tcW w:w="1964" w:type="dxa"/>
            <w:vAlign w:val="center"/>
            <w:hideMark/>
          </w:tcPr>
          <w:p w:rsidR="00045660" w:rsidRPr="00045660" w:rsidRDefault="00045660" w:rsidP="00045660">
            <w:pPr>
              <w:autoSpaceDN w:val="0"/>
              <w:rPr>
                <w:sz w:val="22"/>
                <w:szCs w:val="22"/>
              </w:rPr>
            </w:pPr>
            <w:r w:rsidRPr="00045660">
              <w:rPr>
                <w:sz w:val="22"/>
                <w:szCs w:val="22"/>
              </w:rPr>
              <w:t>Contract Unique ID</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An integer proceeded by the letter “C” (only used when importing contract data) </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An identifier beginning with the letter “C” and followed by a number (e.g., “C1”, “C2”) used to designate a record containing contract information in a comma-delimited (</w:t>
            </w:r>
            <w:proofErr w:type="spellStart"/>
            <w:r w:rsidRPr="00045660">
              <w:rPr>
                <w:sz w:val="22"/>
                <w:szCs w:val="22"/>
              </w:rPr>
              <w:t>csv</w:t>
            </w:r>
            <w:proofErr w:type="spellEnd"/>
            <w:r w:rsidRPr="00045660">
              <w:rPr>
                <w:sz w:val="22"/>
                <w:szCs w:val="22"/>
              </w:rPr>
              <w:t>) file that is imported into the EQR filing.  One record for each contract product may be imported into an EQR for a given quarter.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15</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Seller Company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(100 characters)</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name of the company that is authorized to make sales as indicated in the company’s FERC tariff(s).  This name must match the name provided as a Seller's “Company Name” in Field Number 2 of the ID Data (Seller Data).</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16</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16</w:t>
            </w:r>
          </w:p>
        </w:tc>
        <w:tc>
          <w:tcPr>
            <w:tcW w:w="1964" w:type="dxa"/>
            <w:vAlign w:val="center"/>
            <w:hideMark/>
          </w:tcPr>
          <w:p w:rsidR="00045660" w:rsidRPr="00045660" w:rsidRDefault="00045660" w:rsidP="00045660">
            <w:pPr>
              <w:autoSpaceDN w:val="0"/>
              <w:rPr>
                <w:sz w:val="22"/>
                <w:szCs w:val="22"/>
              </w:rPr>
            </w:pPr>
            <w:r w:rsidRPr="00045660">
              <w:rPr>
                <w:sz w:val="22"/>
                <w:szCs w:val="22"/>
              </w:rPr>
              <w:t>Customer Company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(70 characters)</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name of the counterparty.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17</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X</w:t>
            </w:r>
          </w:p>
        </w:tc>
        <w:tc>
          <w:tcPr>
            <w:tcW w:w="1964" w:type="dxa"/>
            <w:vAlign w:val="center"/>
          </w:tcPr>
          <w:p w:rsidR="00045660" w:rsidRPr="00045660" w:rsidRDefault="00045660" w:rsidP="00045660">
            <w:pPr>
              <w:autoSpaceDN w:val="0"/>
              <w:rPr>
                <w:sz w:val="22"/>
                <w:szCs w:val="22"/>
              </w:rPr>
            </w:pPr>
          </w:p>
        </w:tc>
        <w:tc>
          <w:tcPr>
            <w:tcW w:w="1222" w:type="dxa"/>
            <w:vAlign w:val="center"/>
          </w:tcPr>
          <w:p w:rsidR="00045660" w:rsidRPr="00045660" w:rsidRDefault="00045660" w:rsidP="00045660">
            <w:pPr>
              <w:autoSpaceDN w:val="0"/>
              <w:spacing w:beforeLines="40" w:before="96" w:afterLines="40" w:after="96"/>
              <w:jc w:val="center"/>
              <w:rPr>
                <w:rFonts w:ascii="Wingdings" w:hAnsi="Wingdings" w:cs="Arial"/>
                <w:sz w:val="22"/>
                <w:szCs w:val="22"/>
              </w:rPr>
            </w:pPr>
          </w:p>
        </w:tc>
        <w:tc>
          <w:tcPr>
            <w:tcW w:w="2270" w:type="dxa"/>
            <w:vAlign w:val="center"/>
          </w:tcPr>
          <w:p w:rsidR="00045660" w:rsidRPr="00045660" w:rsidRDefault="00045660" w:rsidP="00045660">
            <w:pPr>
              <w:autoSpaceDN w:val="0"/>
              <w:spacing w:beforeLines="40" w:before="96" w:afterLines="40" w:after="96"/>
              <w:rPr>
                <w:sz w:val="22"/>
                <w:szCs w:val="22"/>
              </w:rPr>
            </w:pPr>
          </w:p>
        </w:tc>
        <w:tc>
          <w:tcPr>
            <w:tcW w:w="6441" w:type="dxa"/>
            <w:vAlign w:val="center"/>
          </w:tcPr>
          <w:p w:rsidR="00045660" w:rsidRPr="00045660" w:rsidRDefault="00045660" w:rsidP="00045660">
            <w:pPr>
              <w:autoSpaceDN w:val="0"/>
              <w:spacing w:beforeLines="40" w:before="96" w:afterLines="40" w:after="96"/>
              <w:rPr>
                <w:sz w:val="22"/>
                <w:szCs w:val="22"/>
              </w:rPr>
            </w:pP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18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Contract Affiliate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 (Yes)</w:t>
            </w:r>
          </w:p>
          <w:p w:rsidR="00045660" w:rsidRPr="00045660" w:rsidRDefault="00045660" w:rsidP="00045660">
            <w:pPr>
              <w:autoSpaceDN w:val="0"/>
              <w:spacing w:beforeLines="40" w:before="96" w:afterLines="40" w:after="96"/>
              <w:rPr>
                <w:sz w:val="22"/>
                <w:szCs w:val="22"/>
              </w:rPr>
            </w:pPr>
            <w:r w:rsidRPr="00045660">
              <w:rPr>
                <w:sz w:val="22"/>
                <w:szCs w:val="22"/>
              </w:rPr>
              <w:t>N (No)</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customer is an affiliate if it controls, is controlled by or is under common control with the seller.  This includes a division that operates as a functional unit. A customer of a seller who is an Exempt Wholesale Generator may be defined as an affiliate under the Public Utility Holding Company Act and the FPA.</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19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18</w:t>
            </w:r>
          </w:p>
        </w:tc>
        <w:tc>
          <w:tcPr>
            <w:tcW w:w="1964" w:type="dxa"/>
            <w:vAlign w:val="center"/>
            <w:hideMark/>
          </w:tcPr>
          <w:p w:rsidR="00045660" w:rsidRPr="00045660" w:rsidRDefault="00045660" w:rsidP="00045660">
            <w:pPr>
              <w:autoSpaceDN w:val="0"/>
              <w:rPr>
                <w:sz w:val="22"/>
                <w:szCs w:val="22"/>
              </w:rPr>
            </w:pPr>
            <w:r w:rsidRPr="00045660">
              <w:rPr>
                <w:sz w:val="22"/>
                <w:szCs w:val="22"/>
              </w:rPr>
              <w:t>FERC Tariff Reference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(60 characters)</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The FERC tariff reference cites the document that specifies the terms and conditions under which a Seller is authorized to make transmission sales, power sales </w:t>
            </w:r>
            <w:r w:rsidRPr="00045660">
              <w:rPr>
                <w:rFonts w:eastAsia="Arial Unicode MS"/>
                <w:sz w:val="22"/>
                <w:szCs w:val="22"/>
              </w:rPr>
              <w:t>or sales of related jurisdictional services</w:t>
            </w:r>
            <w:r w:rsidRPr="00045660">
              <w:rPr>
                <w:sz w:val="22"/>
                <w:szCs w:val="22"/>
              </w:rPr>
              <w:t xml:space="preserve"> at cost-based rates or at market-based rates.  If the sales are market-based, the tariff that is specified in the FERC order granting the Seller Market Based Rate Authority must be listed.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20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19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Contract Service Agreement ID</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(30 characters)</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Unique identifier given to each service agreement that can be used by the filing company to produce the agreement, if requested.  The identifier may be the number assigned by FERC for those service agreements that have been filed with and accepted by the Commission, or it may be generated as part of an internal identification system.</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20</w:t>
            </w:r>
          </w:p>
        </w:tc>
        <w:tc>
          <w:tcPr>
            <w:tcW w:w="1964" w:type="dxa"/>
            <w:vAlign w:val="center"/>
            <w:hideMark/>
          </w:tcPr>
          <w:p w:rsidR="00045660" w:rsidRPr="00045660" w:rsidRDefault="00045660" w:rsidP="00045660">
            <w:pPr>
              <w:autoSpaceDN w:val="0"/>
              <w:rPr>
                <w:sz w:val="22"/>
                <w:szCs w:val="22"/>
              </w:rPr>
            </w:pPr>
            <w:r w:rsidRPr="00045660">
              <w:rPr>
                <w:sz w:val="22"/>
                <w:szCs w:val="22"/>
              </w:rPr>
              <w:t>Contract Execution Date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date the contract was signed. If the parties signed on different dates, use the most recent date signed.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21</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Commencement Date of Contract Terms</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w:t>
            </w:r>
          </w:p>
        </w:tc>
        <w:tc>
          <w:tcPr>
            <w:tcW w:w="6441" w:type="dxa"/>
            <w:shd w:val="clear" w:color="auto" w:fill="FFCC99"/>
            <w:vAlign w:val="center"/>
            <w:hideMark/>
          </w:tcPr>
          <w:p w:rsidR="00045660" w:rsidRPr="00045660" w:rsidRDefault="00045660" w:rsidP="00045660">
            <w:pPr>
              <w:autoSpaceDN w:val="0"/>
              <w:spacing w:beforeLines="40" w:before="96" w:afterLines="40" w:after="96"/>
              <w:rPr>
                <w:strike/>
                <w:sz w:val="22"/>
                <w:szCs w:val="22"/>
              </w:rPr>
            </w:pPr>
            <w:r w:rsidRPr="00045660">
              <w:rPr>
                <w:sz w:val="22"/>
                <w:szCs w:val="22"/>
              </w:rPr>
              <w:t>The date the terms of the contract reported in fields 18, 23 and 25 through 45 (as defined in the data dictionary) became effective.  If those terms became effective on multiple dates (i.e.: due to one or more amendments), the date to be reported in this field is the date the most recent amendment became effective.  If the contract or the most recent reported amendment does not have an effective date, the date when service began pursuant to the contract or most recent reported amendment may be used.  If the terms reported in fields 18, 23 and 25 through 45 have not been amended since January 1, 2009, the initial date the contract became effective (or absent an effective date the initial date when service began) may be used.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23</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22</w:t>
            </w:r>
          </w:p>
        </w:tc>
        <w:tc>
          <w:tcPr>
            <w:tcW w:w="1964" w:type="dxa"/>
            <w:vAlign w:val="center"/>
            <w:hideMark/>
          </w:tcPr>
          <w:p w:rsidR="00045660" w:rsidRPr="00045660" w:rsidRDefault="00045660" w:rsidP="00045660">
            <w:pPr>
              <w:autoSpaceDN w:val="0"/>
              <w:rPr>
                <w:sz w:val="22"/>
                <w:szCs w:val="22"/>
              </w:rPr>
            </w:pPr>
            <w:r w:rsidRPr="00045660">
              <w:rPr>
                <w:sz w:val="22"/>
                <w:szCs w:val="22"/>
              </w:rPr>
              <w:t>Contract Termination Date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date that the contract expires.</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24</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23</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Actual Termination Date</w:t>
            </w:r>
          </w:p>
        </w:tc>
        <w:tc>
          <w:tcPr>
            <w:tcW w:w="1222" w:type="dxa"/>
            <w:shd w:val="clear" w:color="auto" w:fill="FFCC99"/>
            <w:vAlign w:val="center"/>
            <w:hideMark/>
          </w:tcPr>
          <w:p w:rsidR="00045660" w:rsidRPr="00045660" w:rsidRDefault="00045660" w:rsidP="00045660">
            <w:pPr>
              <w:widowControl w:val="0"/>
              <w:autoSpaceDE w:val="0"/>
              <w:autoSpaceDN w:val="0"/>
              <w:adjustRightInd w:val="0"/>
              <w:rPr>
                <w:sz w:val="22"/>
                <w:szCs w:val="22"/>
              </w:rPr>
            </w:pPr>
            <w:r w:rsidRPr="00045660">
              <w:rPr>
                <w:sz w:val="22"/>
                <w:szCs w:val="22"/>
              </w:rPr>
              <w:t>If contract terminated.</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date the contract actually terminates.</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25</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24</w:t>
            </w:r>
          </w:p>
        </w:tc>
        <w:tc>
          <w:tcPr>
            <w:tcW w:w="1964" w:type="dxa"/>
            <w:vAlign w:val="center"/>
            <w:hideMark/>
          </w:tcPr>
          <w:p w:rsidR="00045660" w:rsidRPr="00045660" w:rsidRDefault="00045660" w:rsidP="00045660">
            <w:pPr>
              <w:autoSpaceDN w:val="0"/>
              <w:rPr>
                <w:sz w:val="22"/>
                <w:szCs w:val="22"/>
              </w:rPr>
            </w:pPr>
            <w:r w:rsidRPr="00045660">
              <w:rPr>
                <w:sz w:val="22"/>
                <w:szCs w:val="22"/>
              </w:rPr>
              <w:t>Extension Provision Description</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Description of terms that provide for the continuation of the contract.</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Class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definitions of each class name below.</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26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Class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F - Firm</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For transmission sales, a service or product that always has priority over non-firm service.  For power sales, a service or product that is not interruptible for economic reasons.</w:t>
            </w:r>
          </w:p>
        </w:tc>
      </w:tr>
      <w:tr w:rsidR="00045660" w:rsidRPr="00045660" w:rsidTr="00045660">
        <w:trPr>
          <w:cantSplit/>
          <w:trHeight w:val="1656"/>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Class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NF - Non-firm</w:t>
            </w:r>
          </w:p>
        </w:tc>
        <w:tc>
          <w:tcPr>
            <w:tcW w:w="6441" w:type="dxa"/>
            <w:shd w:val="clear" w:color="auto" w:fill="FFCC99"/>
            <w:vAlign w:val="center"/>
            <w:hideMark/>
          </w:tcPr>
          <w:p w:rsidR="00045660" w:rsidRPr="00045660" w:rsidRDefault="00045660" w:rsidP="00045660">
            <w:pPr>
              <w:autoSpaceDE w:val="0"/>
              <w:autoSpaceDN w:val="0"/>
              <w:adjustRightInd w:val="0"/>
              <w:rPr>
                <w:sz w:val="22"/>
                <w:szCs w:val="22"/>
              </w:rPr>
            </w:pPr>
            <w:r w:rsidRPr="00045660">
              <w:rPr>
                <w:sz w:val="22"/>
                <w:szCs w:val="22"/>
              </w:rPr>
              <w:t xml:space="preserve">For transmission sales, a service that is reserved and/or scheduled on an as-available basis and is subject to curtailment or interruption at a lesser priority compared to Firm service.  For </w:t>
            </w:r>
            <w:proofErr w:type="gramStart"/>
            <w:r w:rsidRPr="00045660">
              <w:rPr>
                <w:sz w:val="22"/>
                <w:szCs w:val="22"/>
              </w:rPr>
              <w:t>an energy</w:t>
            </w:r>
            <w:proofErr w:type="gramEnd"/>
            <w:r w:rsidRPr="00045660">
              <w:rPr>
                <w:sz w:val="22"/>
                <w:szCs w:val="22"/>
              </w:rPr>
              <w:t xml:space="preserve"> sale, a service or product for which delivery or receipt of the energy may be interrupted for any reason or no reason, without liability on the part of either the buyer or seller.</w:t>
            </w:r>
          </w:p>
        </w:tc>
      </w:tr>
      <w:tr w:rsidR="00045660" w:rsidRPr="00045660" w:rsidTr="00045660">
        <w:trPr>
          <w:cantSplit/>
          <w:trHeight w:val="549"/>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Class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UP - Unit Power Sale</w:t>
            </w:r>
          </w:p>
        </w:tc>
        <w:tc>
          <w:tcPr>
            <w:tcW w:w="6441" w:type="dxa"/>
            <w:shd w:val="clear" w:color="auto" w:fill="FFCC99"/>
            <w:vAlign w:val="center"/>
            <w:hideMark/>
          </w:tcPr>
          <w:p w:rsidR="00045660" w:rsidRPr="00045660" w:rsidRDefault="00045660" w:rsidP="00045660">
            <w:pPr>
              <w:autoSpaceDE w:val="0"/>
              <w:autoSpaceDN w:val="0"/>
              <w:adjustRightInd w:val="0"/>
              <w:rPr>
                <w:sz w:val="22"/>
                <w:szCs w:val="22"/>
              </w:rPr>
            </w:pPr>
            <w:r w:rsidRPr="00045660">
              <w:rPr>
                <w:sz w:val="22"/>
                <w:szCs w:val="22"/>
              </w:rPr>
              <w:t>Designates a dedicated sale of energy and capacity from one or more than one specified generation unit(s).</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Class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N/A - Not Applicable</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To be used only when the other available Class Names do not apply.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27</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26</w:t>
            </w:r>
          </w:p>
        </w:tc>
        <w:tc>
          <w:tcPr>
            <w:tcW w:w="1964" w:type="dxa"/>
            <w:vAlign w:val="center"/>
            <w:hideMark/>
          </w:tcPr>
          <w:p w:rsidR="00045660" w:rsidRPr="00045660" w:rsidRDefault="00045660" w:rsidP="00045660">
            <w:pPr>
              <w:autoSpaceDN w:val="0"/>
              <w:rPr>
                <w:sz w:val="22"/>
                <w:szCs w:val="22"/>
              </w:rPr>
            </w:pPr>
            <w:r w:rsidRPr="00045660">
              <w:rPr>
                <w:sz w:val="22"/>
                <w:szCs w:val="22"/>
              </w:rPr>
              <w:t>Term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LT - Long Term</w:t>
            </w:r>
          </w:p>
          <w:p w:rsidR="00045660" w:rsidRPr="00045660" w:rsidRDefault="00045660" w:rsidP="00045660">
            <w:pPr>
              <w:autoSpaceDN w:val="0"/>
              <w:spacing w:beforeLines="40" w:before="96" w:afterLines="40" w:after="96"/>
              <w:rPr>
                <w:sz w:val="22"/>
                <w:szCs w:val="22"/>
              </w:rPr>
            </w:pPr>
            <w:r w:rsidRPr="00045660">
              <w:rPr>
                <w:sz w:val="22"/>
                <w:szCs w:val="22"/>
              </w:rPr>
              <w:t>ST - Short Term</w:t>
            </w:r>
          </w:p>
          <w:p w:rsidR="00045660" w:rsidRPr="00045660" w:rsidRDefault="00045660" w:rsidP="00045660">
            <w:pPr>
              <w:autoSpaceDN w:val="0"/>
              <w:spacing w:beforeLines="40" w:before="96" w:afterLines="40" w:after="96"/>
              <w:rPr>
                <w:sz w:val="22"/>
                <w:szCs w:val="22"/>
              </w:rPr>
            </w:pPr>
            <w:r w:rsidRPr="00045660">
              <w:rPr>
                <w:sz w:val="22"/>
                <w:szCs w:val="22"/>
              </w:rPr>
              <w:t>N/A - Not Applicable</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Contracts with durations of one year or greater are long-term.  Contracts with shorter durations are short-term.</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definitions for each increment below.</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H - Hourly</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Terms of the contract (if specifically noted in the contract) set for up to 6 consecutive hours (≤ 6 consecutive hours).</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D - Daily</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Terms of the contract (if specifically noted in the contract) set for more than 6 and up to 60 consecutive hours (&gt;6 and ≤ 60 consecutive hours). </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W - Weekly</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Terms of the contract (if specifically noted in the contract) set for over 60 consecutive hours and up to 168 consecutive hours (&gt;60 and ≤ 168 consecutive hours). </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M - Monthly</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Terms of the contract (if specifically noted in the contract) set for more than 168 consecutive hours up to, but not including, one year (&gt;168 consecutive hours and &lt; 1 year).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 - Yearly</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Terms of the contract (if specifically noted in the contract) set for one year or more (≥ 1 year).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28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N/A - Not Applicable</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Terms of the contract do not specify an increment.</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28</w:t>
            </w:r>
          </w:p>
        </w:tc>
        <w:tc>
          <w:tcPr>
            <w:tcW w:w="1964" w:type="dxa"/>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definitions for each increment peaking name below.</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28</w:t>
            </w:r>
          </w:p>
        </w:tc>
        <w:tc>
          <w:tcPr>
            <w:tcW w:w="1964" w:type="dxa"/>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FP - Full Period</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The product described may be sold during those hours designated as on-peak and off-peak in the NERC region of the point of delivery. </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28</w:t>
            </w:r>
          </w:p>
        </w:tc>
        <w:tc>
          <w:tcPr>
            <w:tcW w:w="1964" w:type="dxa"/>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OP - Off-Peak</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product described may be sold only during those hours designated as off-peak in the NERC region of the point of delivery.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28</w:t>
            </w:r>
          </w:p>
        </w:tc>
        <w:tc>
          <w:tcPr>
            <w:tcW w:w="1964" w:type="dxa"/>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P - Peak</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product described may be sold only during those hours designated as on-peak in the NERC region of the point of delivery.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29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28</w:t>
            </w:r>
          </w:p>
        </w:tc>
        <w:tc>
          <w:tcPr>
            <w:tcW w:w="1964" w:type="dxa"/>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N/A - Not Applicable</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To be used only when the increment peaking name is not specified in the contract.</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definitions for each product type below.</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CB - Cost Based</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Energy or capacity sold under a FERC-approved cost-based rate tariff.</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CR - Capacity Reassignment</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An </w:t>
            </w:r>
            <w:proofErr w:type="gramStart"/>
            <w:r w:rsidRPr="00045660">
              <w:rPr>
                <w:sz w:val="22"/>
                <w:szCs w:val="22"/>
              </w:rPr>
              <w:t>agreement</w:t>
            </w:r>
            <w:proofErr w:type="gramEnd"/>
            <w:r w:rsidRPr="00045660">
              <w:rPr>
                <w:sz w:val="22"/>
                <w:szCs w:val="22"/>
              </w:rPr>
              <w:t xml:space="preserve"> under which a transmission provider sells, assigns or transfers all or portion of its rights to an eligible customer.</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MB - Market Based</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Energy or capacity sold under the seller’s FERC-approved market-based rate tariff.</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 - Transmission</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product is sold under a FERC-approved transmission tariff.</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30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29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Product Type Name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Other</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product cannot be characterized by the other product type names.</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31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30</w:t>
            </w:r>
          </w:p>
        </w:tc>
        <w:tc>
          <w:tcPr>
            <w:tcW w:w="1964" w:type="dxa"/>
            <w:vAlign w:val="center"/>
            <w:hideMark/>
          </w:tcPr>
          <w:p w:rsidR="00045660" w:rsidRPr="00045660" w:rsidRDefault="00045660" w:rsidP="00045660">
            <w:pPr>
              <w:autoSpaceDN w:val="0"/>
              <w:rPr>
                <w:sz w:val="22"/>
                <w:szCs w:val="22"/>
              </w:rPr>
            </w:pPr>
            <w:r w:rsidRPr="00045660">
              <w:rPr>
                <w:sz w:val="22"/>
                <w:szCs w:val="22"/>
              </w:rPr>
              <w:t>Product Name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Product Name Table, Appendix A.</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Description of product being offered.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bookmarkStart w:id="0" w:name="_Hlk162082634"/>
            <w:r w:rsidRPr="00045660">
              <w:rPr>
                <w:sz w:val="22"/>
                <w:szCs w:val="22"/>
              </w:rPr>
              <w:t>32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31</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Quantity</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sz w:val="22"/>
                <w:szCs w:val="22"/>
              </w:rPr>
            </w:pPr>
            <w:r w:rsidRPr="00045660">
              <w:rPr>
                <w:sz w:val="22"/>
                <w:szCs w:val="22"/>
              </w:rPr>
              <w:t>If specified in the contract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Number with up to 4 decimals</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Quantity for the contract product identified.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33</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32</w:t>
            </w:r>
          </w:p>
        </w:tc>
        <w:tc>
          <w:tcPr>
            <w:tcW w:w="1964" w:type="dxa"/>
            <w:vAlign w:val="center"/>
            <w:hideMark/>
          </w:tcPr>
          <w:p w:rsidR="00045660" w:rsidRPr="00045660" w:rsidRDefault="00045660" w:rsidP="00045660">
            <w:pPr>
              <w:autoSpaceDN w:val="0"/>
              <w:rPr>
                <w:sz w:val="22"/>
                <w:szCs w:val="22"/>
              </w:rPr>
            </w:pPr>
            <w:r w:rsidRPr="00045660">
              <w:rPr>
                <w:sz w:val="22"/>
                <w:szCs w:val="22"/>
              </w:rPr>
              <w:t>Units</w:t>
            </w:r>
          </w:p>
        </w:tc>
        <w:tc>
          <w:tcPr>
            <w:tcW w:w="1222" w:type="dxa"/>
            <w:vAlign w:val="center"/>
            <w:hideMark/>
          </w:tcPr>
          <w:p w:rsidR="00045660" w:rsidRPr="00045660" w:rsidRDefault="00045660" w:rsidP="00045660">
            <w:pPr>
              <w:autoSpaceDN w:val="0"/>
              <w:spacing w:beforeLines="40" w:before="96" w:afterLines="40" w:after="96"/>
              <w:jc w:val="center"/>
              <w:rPr>
                <w:sz w:val="22"/>
                <w:szCs w:val="22"/>
              </w:rPr>
            </w:pPr>
            <w:r w:rsidRPr="00045660">
              <w:rPr>
                <w:sz w:val="22"/>
                <w:szCs w:val="22"/>
              </w:rPr>
              <w:t>If specified in the contract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Units Table, Appendix E.</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Measure </w:t>
            </w:r>
            <w:r w:rsidRPr="00045660">
              <w:rPr>
                <w:iCs/>
                <w:sz w:val="22"/>
                <w:szCs w:val="22"/>
              </w:rPr>
              <w:t xml:space="preserve">stated in the contract for </w:t>
            </w:r>
            <w:r w:rsidRPr="00045660">
              <w:rPr>
                <w:sz w:val="22"/>
                <w:szCs w:val="22"/>
              </w:rPr>
              <w:t>the product sold.</w:t>
            </w:r>
          </w:p>
        </w:tc>
      </w:tr>
      <w:bookmarkEnd w:id="0"/>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34</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33</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Rate</w:t>
            </w:r>
          </w:p>
        </w:tc>
        <w:tc>
          <w:tcPr>
            <w:tcW w:w="1222"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rPr>
                <w:sz w:val="22"/>
                <w:szCs w:val="22"/>
              </w:rPr>
            </w:pPr>
            <w:r w:rsidRPr="00045660">
              <w:rPr>
                <w:sz w:val="22"/>
                <w:szCs w:val="22"/>
              </w:rPr>
              <w:t>One of four rate fields (34, 35, 36, or 37) must be included.</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Number with up to 4 decimals</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charge for the product per unit as stated in the contract.</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35</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34</w:t>
            </w:r>
          </w:p>
        </w:tc>
        <w:tc>
          <w:tcPr>
            <w:tcW w:w="1964" w:type="dxa"/>
            <w:vAlign w:val="center"/>
            <w:hideMark/>
          </w:tcPr>
          <w:p w:rsidR="00045660" w:rsidRPr="00045660" w:rsidRDefault="00045660" w:rsidP="00045660">
            <w:pPr>
              <w:autoSpaceDN w:val="0"/>
              <w:rPr>
                <w:sz w:val="22"/>
                <w:szCs w:val="22"/>
              </w:rPr>
            </w:pPr>
            <w:r w:rsidRPr="00045660">
              <w:rPr>
                <w:sz w:val="22"/>
                <w:szCs w:val="22"/>
              </w:rPr>
              <w:t>Rate Minimum</w:t>
            </w:r>
          </w:p>
        </w:tc>
        <w:tc>
          <w:tcPr>
            <w:tcW w:w="1222" w:type="dxa"/>
            <w:vAlign w:val="center"/>
            <w:hideMark/>
          </w:tcPr>
          <w:p w:rsidR="00045660" w:rsidRPr="00045660" w:rsidRDefault="00045660" w:rsidP="00045660">
            <w:pPr>
              <w:widowControl w:val="0"/>
              <w:autoSpaceDE w:val="0"/>
              <w:autoSpaceDN w:val="0"/>
              <w:adjustRightInd w:val="0"/>
              <w:spacing w:beforeLines="40" w:before="96" w:afterLines="40" w:after="96"/>
              <w:rPr>
                <w:sz w:val="22"/>
                <w:szCs w:val="22"/>
              </w:rPr>
            </w:pPr>
            <w:r w:rsidRPr="00045660">
              <w:rPr>
                <w:sz w:val="22"/>
                <w:szCs w:val="22"/>
              </w:rPr>
              <w:t>One of four rate fields (34, 35, 36, or 37) must be included</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Number with up to 4 decimals</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Minimum rate to be charged per the contract, if a range is specified.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36</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35</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Rate Maximum</w:t>
            </w:r>
          </w:p>
        </w:tc>
        <w:tc>
          <w:tcPr>
            <w:tcW w:w="1222"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rPr>
                <w:sz w:val="22"/>
                <w:szCs w:val="22"/>
              </w:rPr>
            </w:pPr>
            <w:r w:rsidRPr="00045660">
              <w:rPr>
                <w:sz w:val="22"/>
                <w:szCs w:val="22"/>
              </w:rPr>
              <w:t>One of four rate fields (34, 35, 36, or 37) must be included</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Number with up to 4 decimals</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Maximum rate to be charged per the contract, if a range is specified.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37</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36</w:t>
            </w:r>
          </w:p>
        </w:tc>
        <w:tc>
          <w:tcPr>
            <w:tcW w:w="1964" w:type="dxa"/>
            <w:vAlign w:val="center"/>
            <w:hideMark/>
          </w:tcPr>
          <w:p w:rsidR="00045660" w:rsidRPr="00045660" w:rsidRDefault="00045660" w:rsidP="00045660">
            <w:pPr>
              <w:autoSpaceDN w:val="0"/>
              <w:rPr>
                <w:sz w:val="22"/>
                <w:szCs w:val="22"/>
              </w:rPr>
            </w:pPr>
            <w:r w:rsidRPr="00045660">
              <w:rPr>
                <w:sz w:val="22"/>
                <w:szCs w:val="22"/>
              </w:rPr>
              <w:t>Rate Description</w:t>
            </w:r>
          </w:p>
        </w:tc>
        <w:tc>
          <w:tcPr>
            <w:tcW w:w="1222"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One of four rate fields (34, 35, 36, or 37) must be included</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Text description of rate.  If the rate is currently available on the FERC website, a citation of the FERC Accession Number and the relevant FERC tariff including page number or section may be included instead of providing the entire rate algorithm.  If the rate is not available on the FERC website, include the rate algorithm, if rate is calculated.  If the algorithm would exceed the 150 character field limit, it may be provided in a descriptive summary (including bases and methods of calculations) with a detailed citation of the relevant FERC tariff including page number and section.  If more than 150 characters are required, the contract product may be repeated in a subsequent line of data until the rate is adequately described. </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38</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37</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Rate Units</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Rate Units Table, Appendix F.</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Measure stated in the contract for the product sold.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39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38</w:t>
            </w:r>
          </w:p>
        </w:tc>
        <w:tc>
          <w:tcPr>
            <w:tcW w:w="1964" w:type="dxa"/>
            <w:vAlign w:val="center"/>
            <w:hideMark/>
          </w:tcPr>
          <w:p w:rsidR="00045660" w:rsidRPr="00045660" w:rsidRDefault="00045660" w:rsidP="00045660">
            <w:pPr>
              <w:autoSpaceDN w:val="0"/>
              <w:rPr>
                <w:sz w:val="22"/>
                <w:szCs w:val="22"/>
              </w:rPr>
            </w:pPr>
            <w:r w:rsidRPr="00045660">
              <w:rPr>
                <w:sz w:val="22"/>
                <w:szCs w:val="22"/>
              </w:rPr>
              <w:t>Point of Receipt Balancing Authority(PORBA)</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Balancing Authority Table, Appendix B.</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registered NERC Balancing Authority (formerly called NERC Control Area) where service begins for a transmission or transmission-related jurisdictional sale.  The Balancing Authority will be identified with the abbreviation used in OASIS applications.  If receipt occurs at a trading hub specified in the EQR software, the term “Hub” should be used.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40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39</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Point of Receipt Specific Location (PORSL)</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(50 characters).  If “HUB” is selected for PORCA, see Hub Table, Appendix C.</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The specific location at which the product is received if designated in the contract.  If receipt occurs at a trading hub, a standardized hub name must be used.  If more points of receipt are listed in the contract than can fit into the 50 character space, a description of the collection of points may be used.  ‘Various,’ alone, is unacceptable unless the contract itself uses that terminology.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40</w:t>
            </w:r>
          </w:p>
        </w:tc>
        <w:tc>
          <w:tcPr>
            <w:tcW w:w="1964" w:type="dxa"/>
            <w:vAlign w:val="center"/>
            <w:hideMark/>
          </w:tcPr>
          <w:p w:rsidR="00045660" w:rsidRPr="00045660" w:rsidRDefault="00045660" w:rsidP="00045660">
            <w:pPr>
              <w:autoSpaceDN w:val="0"/>
              <w:rPr>
                <w:sz w:val="22"/>
                <w:szCs w:val="22"/>
              </w:rPr>
            </w:pPr>
            <w:r w:rsidRPr="00045660">
              <w:rPr>
                <w:sz w:val="22"/>
                <w:szCs w:val="22"/>
              </w:rPr>
              <w:t>Point of Delivery Balancing Authority(PODBA)</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See Balancing Authority Table, Appendix B.</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The registered NERC Balancing Authority (formerly called NERC Control Area) where a jurisdictional product is delivered and/or service ends for a transmission or transmission-related jurisdictional sale.  The Balancing Authority will be identified with the abbreviation used in OASIS applications.  If delivery occurs at the interconnection of two control areas, the control area that the product is entering should be used.  If delivery occurs at a trading hub specified in the EQR software, the term “Hub” should be used. </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42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41</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Point of Delivery Specific Location (PODSL)</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Unrestricted text (50 characters). If “HUB” is selected for PODCA, see Hub Table, Appendix C.</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 xml:space="preserve">The specific location at which the product is delivered if designated in the contract. If receipt occurs at a trading hub, a standardized hub name must be used.  </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43</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42</w:t>
            </w:r>
          </w:p>
        </w:tc>
        <w:tc>
          <w:tcPr>
            <w:tcW w:w="1964" w:type="dxa"/>
            <w:vAlign w:val="center"/>
            <w:hideMark/>
          </w:tcPr>
          <w:p w:rsidR="00045660" w:rsidRPr="00045660" w:rsidRDefault="00045660" w:rsidP="00045660">
            <w:pPr>
              <w:autoSpaceDN w:val="0"/>
              <w:rPr>
                <w:sz w:val="22"/>
                <w:szCs w:val="22"/>
              </w:rPr>
            </w:pPr>
            <w:r w:rsidRPr="00045660">
              <w:rPr>
                <w:sz w:val="22"/>
                <w:szCs w:val="22"/>
              </w:rPr>
              <w:t>Begin Date</w:t>
            </w:r>
          </w:p>
        </w:tc>
        <w:tc>
          <w:tcPr>
            <w:tcW w:w="1222" w:type="dxa"/>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YYYYMMDDHHMM</w:t>
            </w:r>
          </w:p>
        </w:tc>
        <w:tc>
          <w:tcPr>
            <w:tcW w:w="6441" w:type="dxa"/>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First date for the sale of the product at the rate specified.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44</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43</w:t>
            </w:r>
          </w:p>
        </w:tc>
        <w:tc>
          <w:tcPr>
            <w:tcW w:w="1964" w:type="dxa"/>
            <w:shd w:val="clear" w:color="auto" w:fill="FFCC99"/>
            <w:vAlign w:val="center"/>
            <w:hideMark/>
          </w:tcPr>
          <w:p w:rsidR="00045660" w:rsidRPr="00045660" w:rsidRDefault="00045660" w:rsidP="00045660">
            <w:pPr>
              <w:autoSpaceDN w:val="0"/>
              <w:rPr>
                <w:sz w:val="22"/>
                <w:szCs w:val="22"/>
              </w:rPr>
            </w:pPr>
            <w:r w:rsidRPr="00045660">
              <w:rPr>
                <w:sz w:val="22"/>
                <w:szCs w:val="22"/>
              </w:rPr>
              <w:t>End Date</w:t>
            </w:r>
          </w:p>
        </w:tc>
        <w:tc>
          <w:tcPr>
            <w:tcW w:w="1222" w:type="dxa"/>
            <w:shd w:val="clear" w:color="auto" w:fill="FFCC99"/>
            <w:vAlign w:val="center"/>
            <w:hideMark/>
          </w:tcPr>
          <w:p w:rsidR="00045660" w:rsidRPr="00045660" w:rsidRDefault="00045660" w:rsidP="00045660">
            <w:pPr>
              <w:autoSpaceDN w:val="0"/>
              <w:spacing w:beforeLines="40" w:before="96" w:afterLines="40" w:after="96"/>
              <w:jc w:val="center"/>
              <w:rPr>
                <w:rFonts w:ascii="Wingdings" w:hAnsi="Wingdings" w:cs="Arial"/>
                <w:sz w:val="22"/>
                <w:szCs w:val="22"/>
              </w:rPr>
            </w:pPr>
            <w:r w:rsidRPr="00045660">
              <w:rPr>
                <w:sz w:val="22"/>
                <w:szCs w:val="22"/>
              </w:rPr>
              <w:t>If specified in the contract</w:t>
            </w:r>
          </w:p>
        </w:tc>
        <w:tc>
          <w:tcPr>
            <w:tcW w:w="2270"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YYYYMMDDHHMM</w:t>
            </w:r>
          </w:p>
        </w:tc>
        <w:tc>
          <w:tcPr>
            <w:tcW w:w="6441" w:type="dxa"/>
            <w:shd w:val="clear" w:color="auto" w:fill="FFCC99"/>
            <w:vAlign w:val="center"/>
            <w:hideMark/>
          </w:tcPr>
          <w:p w:rsidR="00045660" w:rsidRPr="00045660" w:rsidRDefault="00045660" w:rsidP="00045660">
            <w:pPr>
              <w:autoSpaceDN w:val="0"/>
              <w:spacing w:beforeLines="40" w:before="96" w:afterLines="40" w:after="96"/>
              <w:rPr>
                <w:sz w:val="22"/>
                <w:szCs w:val="22"/>
              </w:rPr>
            </w:pPr>
            <w:r w:rsidRPr="00045660">
              <w:rPr>
                <w:sz w:val="22"/>
                <w:szCs w:val="22"/>
              </w:rPr>
              <w:t>Last date for the sale of the product at the rate specified.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45</w:t>
            </w:r>
          </w:p>
        </w:tc>
        <w:tc>
          <w:tcPr>
            <w:tcW w:w="532" w:type="dxa"/>
            <w:vAlign w:val="center"/>
            <w:hideMark/>
          </w:tcPr>
          <w:p w:rsidR="00045660" w:rsidRPr="00045660" w:rsidRDefault="00045660" w:rsidP="00045660">
            <w:pPr>
              <w:autoSpaceDN w:val="0"/>
              <w:jc w:val="center"/>
              <w:rPr>
                <w:sz w:val="22"/>
                <w:szCs w:val="22"/>
              </w:rPr>
            </w:pPr>
            <w:r w:rsidRPr="00045660">
              <w:rPr>
                <w:sz w:val="22"/>
                <w:szCs w:val="22"/>
              </w:rPr>
              <w:t>X</w:t>
            </w:r>
          </w:p>
        </w:tc>
        <w:tc>
          <w:tcPr>
            <w:tcW w:w="1964" w:type="dxa"/>
            <w:vAlign w:val="center"/>
          </w:tcPr>
          <w:p w:rsidR="00045660" w:rsidRPr="00045660" w:rsidRDefault="00045660" w:rsidP="00045660">
            <w:pPr>
              <w:autoSpaceDN w:val="0"/>
              <w:rPr>
                <w:sz w:val="22"/>
                <w:szCs w:val="22"/>
              </w:rPr>
            </w:pPr>
          </w:p>
        </w:tc>
        <w:tc>
          <w:tcPr>
            <w:tcW w:w="1222" w:type="dxa"/>
            <w:vAlign w:val="center"/>
          </w:tcPr>
          <w:p w:rsidR="00045660" w:rsidRPr="00045660" w:rsidRDefault="00045660" w:rsidP="00045660">
            <w:pPr>
              <w:autoSpaceDN w:val="0"/>
              <w:spacing w:beforeLines="40" w:before="96" w:afterLines="40" w:after="96"/>
              <w:jc w:val="center"/>
              <w:rPr>
                <w:rFonts w:ascii="Wingdings" w:hAnsi="Wingdings" w:cs="Arial"/>
                <w:sz w:val="22"/>
                <w:szCs w:val="22"/>
              </w:rPr>
            </w:pPr>
          </w:p>
        </w:tc>
        <w:tc>
          <w:tcPr>
            <w:tcW w:w="2270" w:type="dxa"/>
            <w:vAlign w:val="center"/>
          </w:tcPr>
          <w:p w:rsidR="00045660" w:rsidRPr="00045660" w:rsidRDefault="00045660" w:rsidP="00045660">
            <w:pPr>
              <w:autoSpaceDN w:val="0"/>
              <w:spacing w:beforeLines="40" w:before="96" w:afterLines="40" w:after="96"/>
              <w:rPr>
                <w:sz w:val="22"/>
                <w:szCs w:val="22"/>
              </w:rPr>
            </w:pPr>
          </w:p>
        </w:tc>
        <w:tc>
          <w:tcPr>
            <w:tcW w:w="6441" w:type="dxa"/>
            <w:vAlign w:val="center"/>
          </w:tcPr>
          <w:p w:rsidR="00045660" w:rsidRPr="00045660" w:rsidRDefault="00045660" w:rsidP="00045660">
            <w:pPr>
              <w:autoSpaceDN w:val="0"/>
              <w:spacing w:beforeLines="40" w:before="96" w:afterLines="40" w:after="96"/>
              <w:rPr>
                <w:sz w:val="22"/>
                <w:szCs w:val="22"/>
              </w:rPr>
            </w:pPr>
          </w:p>
        </w:tc>
      </w:tr>
    </w:tbl>
    <w:p w:rsidR="00045660" w:rsidRPr="00045660" w:rsidRDefault="00045660" w:rsidP="00045660">
      <w:pPr>
        <w:widowControl w:val="0"/>
        <w:autoSpaceDE w:val="0"/>
        <w:autoSpaceDN w:val="0"/>
        <w:adjustRightInd w:val="0"/>
      </w:pPr>
      <w:r w:rsidRPr="00045660">
        <w:br w:type="page"/>
      </w:r>
    </w:p>
    <w:tbl>
      <w:tblPr>
        <w:tblW w:w="12964" w:type="dxa"/>
        <w:tblInd w:w="90" w:type="dxa"/>
        <w:tblLook w:val="04A0" w:firstRow="1" w:lastRow="0" w:firstColumn="1" w:lastColumn="0" w:noHBand="0" w:noVBand="1"/>
      </w:tblPr>
      <w:tblGrid>
        <w:gridCol w:w="507"/>
        <w:gridCol w:w="24"/>
        <w:gridCol w:w="532"/>
        <w:gridCol w:w="2061"/>
        <w:gridCol w:w="1096"/>
        <w:gridCol w:w="2270"/>
        <w:gridCol w:w="6474"/>
      </w:tblGrid>
      <w:tr w:rsidR="00045660" w:rsidRPr="00045660" w:rsidTr="00045660">
        <w:trPr>
          <w:cantSplit/>
          <w:tblHeader/>
        </w:trPr>
        <w:tc>
          <w:tcPr>
            <w:tcW w:w="12964" w:type="dxa"/>
            <w:gridSpan w:val="7"/>
            <w:noWrap/>
            <w:vAlign w:val="center"/>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jc w:val="center"/>
              <w:rPr>
                <w:b/>
                <w:bCs/>
                <w:sz w:val="22"/>
                <w:szCs w:val="22"/>
              </w:rPr>
            </w:pPr>
            <w:r w:rsidRPr="00045660">
              <w:rPr>
                <w:b/>
                <w:bCs/>
                <w:sz w:val="24"/>
              </w:rPr>
              <w:t>Transaction Data</w:t>
            </w:r>
          </w:p>
        </w:tc>
      </w:tr>
      <w:tr w:rsidR="00045660" w:rsidRPr="00045660" w:rsidTr="00045660">
        <w:trPr>
          <w:cantSplit/>
          <w:trHeight w:val="128"/>
          <w:tblHeader/>
        </w:trPr>
        <w:tc>
          <w:tcPr>
            <w:tcW w:w="1063" w:type="dxa"/>
            <w:gridSpan w:val="3"/>
            <w:noWrap/>
            <w:vAlign w:val="center"/>
            <w:hideMark/>
          </w:tcPr>
          <w:p w:rsidR="00045660" w:rsidRPr="00045660" w:rsidRDefault="00045660" w:rsidP="00045660">
            <w:pPr>
              <w:autoSpaceDN w:val="0"/>
              <w:rPr>
                <w:b/>
                <w:bCs/>
                <w:sz w:val="22"/>
                <w:szCs w:val="22"/>
              </w:rPr>
            </w:pPr>
            <w:r w:rsidRPr="00045660">
              <w:rPr>
                <w:b/>
                <w:bCs/>
                <w:sz w:val="22"/>
                <w:szCs w:val="22"/>
              </w:rPr>
              <w:t>Field #</w:t>
            </w:r>
          </w:p>
        </w:tc>
        <w:tc>
          <w:tcPr>
            <w:tcW w:w="2061"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Field</w:t>
            </w:r>
          </w:p>
        </w:tc>
        <w:tc>
          <w:tcPr>
            <w:tcW w:w="1096"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Required</w:t>
            </w:r>
          </w:p>
        </w:tc>
        <w:tc>
          <w:tcPr>
            <w:tcW w:w="2270"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Value</w:t>
            </w:r>
          </w:p>
        </w:tc>
        <w:tc>
          <w:tcPr>
            <w:tcW w:w="6474" w:type="dxa"/>
            <w:vMerge w:val="restart"/>
            <w:vAlign w:val="center"/>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cantSplit/>
          <w:trHeight w:val="127"/>
          <w:tblHeader/>
        </w:trPr>
        <w:tc>
          <w:tcPr>
            <w:tcW w:w="507" w:type="dxa"/>
            <w:noWrap/>
            <w:vAlign w:val="center"/>
            <w:hideMark/>
          </w:tcPr>
          <w:p w:rsidR="00045660" w:rsidRPr="00045660" w:rsidRDefault="00045660" w:rsidP="00045660">
            <w:pPr>
              <w:autoSpaceDN w:val="0"/>
              <w:rPr>
                <w:b/>
                <w:bCs/>
                <w:sz w:val="18"/>
                <w:szCs w:val="18"/>
              </w:rPr>
            </w:pPr>
            <w:r w:rsidRPr="00045660">
              <w:rPr>
                <w:b/>
                <w:bCs/>
                <w:sz w:val="18"/>
                <w:szCs w:val="18"/>
              </w:rPr>
              <w:t>Old</w:t>
            </w:r>
          </w:p>
        </w:tc>
        <w:tc>
          <w:tcPr>
            <w:tcW w:w="556" w:type="dxa"/>
            <w:gridSpan w:val="2"/>
            <w:vAlign w:val="center"/>
            <w:hideMark/>
          </w:tcPr>
          <w:p w:rsidR="00045660" w:rsidRPr="00045660" w:rsidRDefault="00045660" w:rsidP="00045660">
            <w:pPr>
              <w:autoSpaceDN w:val="0"/>
              <w:rPr>
                <w:b/>
                <w:bCs/>
                <w:sz w:val="18"/>
                <w:szCs w:val="18"/>
              </w:rPr>
            </w:pPr>
            <w:r w:rsidRPr="00045660">
              <w:rPr>
                <w:b/>
                <w:bCs/>
                <w:sz w:val="18"/>
                <w:szCs w:val="18"/>
              </w:rPr>
              <w:t>New</w:t>
            </w: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46</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44</w:t>
            </w:r>
          </w:p>
        </w:tc>
        <w:tc>
          <w:tcPr>
            <w:tcW w:w="2061" w:type="dxa"/>
            <w:vAlign w:val="center"/>
            <w:hideMark/>
          </w:tcPr>
          <w:p w:rsidR="00045660" w:rsidRPr="00045660" w:rsidRDefault="00045660" w:rsidP="00045660">
            <w:pPr>
              <w:autoSpaceDN w:val="0"/>
              <w:rPr>
                <w:sz w:val="22"/>
                <w:szCs w:val="22"/>
              </w:rPr>
            </w:pPr>
            <w:r w:rsidRPr="00045660">
              <w:rPr>
                <w:sz w:val="22"/>
                <w:szCs w:val="22"/>
              </w:rPr>
              <w:t>Transaction Unique ID</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An integer proceeded by the letter “T” (only used when importing transaction data)</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An identifier beginning with the letter “T” and followed by a number (e.g., “T1”, “T2”) used to designate a record containing transaction information in a comma-delimited (</w:t>
            </w:r>
            <w:proofErr w:type="spellStart"/>
            <w:r w:rsidRPr="00045660">
              <w:rPr>
                <w:sz w:val="22"/>
                <w:szCs w:val="22"/>
              </w:rPr>
              <w:t>csv</w:t>
            </w:r>
            <w:proofErr w:type="spellEnd"/>
            <w:r w:rsidRPr="00045660">
              <w:rPr>
                <w:sz w:val="22"/>
                <w:szCs w:val="22"/>
              </w:rPr>
              <w:t>) file that is imported into the EQR filing.  One record for each transaction record may be imported into an EQR for a given quarter.  A new transaction record must be used every time a price changes in a sale.</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47</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45</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Seller Company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name of the company that is authorized to make sales as indicated in the company's FERC tariff(s).  This name must match the name provided as a Seller's “Company Name” in Field 2 of the ID Data (Seller Data).</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46</w:t>
            </w:r>
          </w:p>
        </w:tc>
        <w:tc>
          <w:tcPr>
            <w:tcW w:w="2061" w:type="dxa"/>
            <w:vAlign w:val="center"/>
            <w:hideMark/>
          </w:tcPr>
          <w:p w:rsidR="00045660" w:rsidRPr="00045660" w:rsidRDefault="00045660" w:rsidP="00045660">
            <w:pPr>
              <w:autoSpaceDN w:val="0"/>
              <w:rPr>
                <w:sz w:val="22"/>
                <w:szCs w:val="22"/>
              </w:rPr>
            </w:pPr>
            <w:r w:rsidRPr="00045660">
              <w:rPr>
                <w:sz w:val="22"/>
                <w:szCs w:val="22"/>
              </w:rPr>
              <w:t>Customer Company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(70 Characters)</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The name of the counterparty.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49</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X</w:t>
            </w:r>
          </w:p>
        </w:tc>
        <w:tc>
          <w:tcPr>
            <w:tcW w:w="2061" w:type="dxa"/>
            <w:vAlign w:val="center"/>
          </w:tcPr>
          <w:p w:rsidR="00045660" w:rsidRPr="00045660" w:rsidRDefault="00045660" w:rsidP="00045660">
            <w:pPr>
              <w:autoSpaceDN w:val="0"/>
              <w:rPr>
                <w:sz w:val="22"/>
                <w:szCs w:val="22"/>
              </w:rPr>
            </w:pPr>
          </w:p>
        </w:tc>
        <w:tc>
          <w:tcPr>
            <w:tcW w:w="1096" w:type="dxa"/>
            <w:vAlign w:val="center"/>
          </w:tcPr>
          <w:p w:rsidR="00045660" w:rsidRPr="00045660" w:rsidRDefault="00045660" w:rsidP="00045660">
            <w:pPr>
              <w:autoSpaceDN w:val="0"/>
              <w:jc w:val="center"/>
              <w:rPr>
                <w:rFonts w:ascii="Wingdings" w:hAnsi="Wingdings" w:cs="Arial"/>
                <w:sz w:val="22"/>
                <w:szCs w:val="22"/>
              </w:rPr>
            </w:pPr>
          </w:p>
        </w:tc>
        <w:tc>
          <w:tcPr>
            <w:tcW w:w="2270" w:type="dxa"/>
            <w:vAlign w:val="center"/>
          </w:tcPr>
          <w:p w:rsidR="00045660" w:rsidRPr="00045660" w:rsidRDefault="00045660" w:rsidP="00045660">
            <w:pPr>
              <w:autoSpaceDN w:val="0"/>
              <w:spacing w:before="40" w:after="40"/>
              <w:rPr>
                <w:sz w:val="22"/>
                <w:szCs w:val="22"/>
              </w:rPr>
            </w:pPr>
          </w:p>
        </w:tc>
        <w:tc>
          <w:tcPr>
            <w:tcW w:w="6474" w:type="dxa"/>
            <w:vAlign w:val="center"/>
          </w:tcPr>
          <w:p w:rsidR="00045660" w:rsidRPr="00045660" w:rsidRDefault="00045660" w:rsidP="00045660">
            <w:pPr>
              <w:autoSpaceDN w:val="0"/>
              <w:spacing w:before="40" w:after="40"/>
              <w:rPr>
                <w:sz w:val="22"/>
                <w:szCs w:val="22"/>
              </w:rPr>
            </w:pP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50</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47</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FERC Tariff Reference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(60 Characters)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 xml:space="preserve">The FERC tariff reference cites the document that specifies the terms and conditions under which a Seller is authorized to make transmission sales, power sales </w:t>
            </w:r>
            <w:r w:rsidRPr="00045660">
              <w:rPr>
                <w:rFonts w:eastAsia="Arial Unicode MS"/>
                <w:sz w:val="22"/>
                <w:szCs w:val="22"/>
              </w:rPr>
              <w:t>or sales of related jurisdictional services</w:t>
            </w:r>
            <w:r w:rsidRPr="00045660">
              <w:rPr>
                <w:sz w:val="22"/>
                <w:szCs w:val="22"/>
              </w:rPr>
              <w:t xml:space="preserve"> at cost-based rates or at market-based rates.  If the sales are market-based, the tariff that is specified in the FERC order granting the Seller Market Based Rate Authority must be listed.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51</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48</w:t>
            </w:r>
          </w:p>
        </w:tc>
        <w:tc>
          <w:tcPr>
            <w:tcW w:w="2061" w:type="dxa"/>
            <w:vAlign w:val="center"/>
            <w:hideMark/>
          </w:tcPr>
          <w:p w:rsidR="00045660" w:rsidRPr="00045660" w:rsidRDefault="00045660" w:rsidP="00045660">
            <w:pPr>
              <w:autoSpaceDN w:val="0"/>
              <w:rPr>
                <w:sz w:val="22"/>
                <w:szCs w:val="22"/>
              </w:rPr>
            </w:pPr>
            <w:r w:rsidRPr="00045660">
              <w:rPr>
                <w:sz w:val="22"/>
                <w:szCs w:val="22"/>
              </w:rPr>
              <w:t>Contract Service Agreement ID</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(30 Characters)</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Unique identifier given to each service agreement that can be used by the filing company to produce the agreement, if requested.  The identifier may be the number assigned by FERC for those service agreements that have been filed and approved by the Commission, or it may be generated as part of an internal identification system.</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52</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49</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 Unique Identifier</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(24 Characters)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Unique reference number assigned by the seller for each transaction.</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53</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50</w:t>
            </w:r>
          </w:p>
        </w:tc>
        <w:tc>
          <w:tcPr>
            <w:tcW w:w="2061" w:type="dxa"/>
            <w:vAlign w:val="center"/>
            <w:hideMark/>
          </w:tcPr>
          <w:p w:rsidR="00045660" w:rsidRPr="00045660" w:rsidRDefault="00045660" w:rsidP="00045660">
            <w:pPr>
              <w:autoSpaceDN w:val="0"/>
              <w:rPr>
                <w:sz w:val="22"/>
                <w:szCs w:val="22"/>
              </w:rPr>
            </w:pPr>
            <w:r w:rsidRPr="00045660">
              <w:rPr>
                <w:sz w:val="22"/>
                <w:szCs w:val="22"/>
              </w:rPr>
              <w:t>Transaction Begin Date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YYYYMMDDHHMM (</w:t>
            </w:r>
            <w:proofErr w:type="spellStart"/>
            <w:r w:rsidRPr="00045660">
              <w:rPr>
                <w:sz w:val="22"/>
                <w:szCs w:val="22"/>
              </w:rPr>
              <w:t>csv</w:t>
            </w:r>
            <w:proofErr w:type="spellEnd"/>
            <w:r w:rsidRPr="00045660">
              <w:rPr>
                <w:sz w:val="22"/>
                <w:szCs w:val="22"/>
              </w:rPr>
              <w:t xml:space="preserve"> import)</w:t>
            </w:r>
          </w:p>
          <w:p w:rsidR="00045660" w:rsidRPr="00045660" w:rsidRDefault="00045660" w:rsidP="00045660">
            <w:pPr>
              <w:autoSpaceDN w:val="0"/>
              <w:spacing w:before="40" w:after="40"/>
              <w:rPr>
                <w:sz w:val="22"/>
                <w:szCs w:val="22"/>
              </w:rPr>
            </w:pPr>
            <w:r w:rsidRPr="00045660">
              <w:rPr>
                <w:sz w:val="22"/>
                <w:szCs w:val="22"/>
              </w:rPr>
              <w:t>MMDDYYYYHHMM (manual entry)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First date and time the product is sold during the quarter.  </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54</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 End Date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YYYYMMDDHHMM (</w:t>
            </w:r>
            <w:proofErr w:type="spellStart"/>
            <w:r w:rsidRPr="00045660">
              <w:rPr>
                <w:sz w:val="22"/>
                <w:szCs w:val="22"/>
              </w:rPr>
              <w:t>csv</w:t>
            </w:r>
            <w:proofErr w:type="spellEnd"/>
            <w:r w:rsidRPr="00045660">
              <w:rPr>
                <w:sz w:val="22"/>
                <w:szCs w:val="22"/>
              </w:rPr>
              <w:t xml:space="preserve"> import)</w:t>
            </w:r>
          </w:p>
          <w:p w:rsidR="00045660" w:rsidRPr="00045660" w:rsidRDefault="00045660" w:rsidP="00045660">
            <w:pPr>
              <w:autoSpaceDN w:val="0"/>
              <w:spacing w:before="40" w:after="40"/>
              <w:rPr>
                <w:sz w:val="22"/>
                <w:szCs w:val="22"/>
              </w:rPr>
            </w:pPr>
            <w:r w:rsidRPr="00045660">
              <w:rPr>
                <w:sz w:val="22"/>
                <w:szCs w:val="22"/>
              </w:rPr>
              <w:t>MMDDYYYYHHMM (manual entry)</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 xml:space="preserve">Last date and time the product is sold during the quarter.  </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52</w:t>
            </w:r>
          </w:p>
        </w:tc>
        <w:tc>
          <w:tcPr>
            <w:tcW w:w="2061" w:type="dxa"/>
            <w:vAlign w:val="center"/>
            <w:hideMark/>
          </w:tcPr>
          <w:p w:rsidR="00045660" w:rsidRPr="00045660" w:rsidRDefault="00045660" w:rsidP="00045660">
            <w:pPr>
              <w:autoSpaceDN w:val="0"/>
              <w:rPr>
                <w:sz w:val="22"/>
                <w:szCs w:val="22"/>
              </w:rPr>
            </w:pPr>
            <w:r w:rsidRPr="00045660">
              <w:rPr>
                <w:sz w:val="22"/>
                <w:szCs w:val="22"/>
              </w:rPr>
              <w:t>Trade Date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YYYYMMDD (</w:t>
            </w:r>
            <w:proofErr w:type="spellStart"/>
            <w:r w:rsidRPr="00045660">
              <w:rPr>
                <w:sz w:val="22"/>
                <w:szCs w:val="22"/>
              </w:rPr>
              <w:t>csv</w:t>
            </w:r>
            <w:proofErr w:type="spellEnd"/>
            <w:r w:rsidRPr="00045660">
              <w:rPr>
                <w:sz w:val="22"/>
                <w:szCs w:val="22"/>
              </w:rPr>
              <w:t xml:space="preserve"> import)</w:t>
            </w:r>
            <w:r w:rsidRPr="00045660">
              <w:rPr>
                <w:sz w:val="22"/>
                <w:szCs w:val="22"/>
              </w:rPr>
              <w:br/>
              <w:t>MMDDYYYY (manual entry)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The date upon which the parties made the legally binding agreement on the price of a transaction.</w:t>
            </w:r>
          </w:p>
        </w:tc>
      </w:tr>
      <w:tr w:rsidR="00045660" w:rsidRPr="00045660" w:rsidTr="00045660">
        <w:trPr>
          <w:cantSplit/>
        </w:trPr>
        <w:tc>
          <w:tcPr>
            <w:tcW w:w="531" w:type="dxa"/>
            <w:gridSpan w:val="2"/>
            <w:shd w:val="clear" w:color="auto" w:fill="FFCC99"/>
            <w:vAlign w:val="center"/>
          </w:tcPr>
          <w:p w:rsidR="00045660" w:rsidRPr="00045660" w:rsidRDefault="00045660" w:rsidP="00045660">
            <w:pPr>
              <w:autoSpaceDN w:val="0"/>
              <w:jc w:val="center"/>
              <w:rPr>
                <w:sz w:val="22"/>
                <w:szCs w:val="22"/>
              </w:rPr>
            </w:pP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53</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Exchange/Brokerage Service</w:t>
            </w:r>
          </w:p>
        </w:tc>
        <w:tc>
          <w:tcPr>
            <w:tcW w:w="1096" w:type="dxa"/>
            <w:shd w:val="clear" w:color="auto" w:fill="FFCC99"/>
            <w:vAlign w:val="center"/>
          </w:tcPr>
          <w:p w:rsidR="00045660" w:rsidRPr="00045660" w:rsidRDefault="00045660" w:rsidP="00045660">
            <w:pPr>
              <w:autoSpaceDN w:val="0"/>
              <w:jc w:val="center"/>
              <w:rPr>
                <w:rFonts w:ascii="Wingdings" w:hAnsi="Wingdings" w:cs="Arial"/>
                <w:sz w:val="22"/>
                <w:szCs w:val="22"/>
              </w:rPr>
            </w:pP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See Exchange/Brokerage Service Table, Appendix H.</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If a broker service is used to consummate or effectuate a transaction, the term “Broker” shall be selected from the Commission-provided list.  If an exchange is used, the specific exchange that is used shall be selected from the Commission-provided list.</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54</w:t>
            </w:r>
          </w:p>
        </w:tc>
        <w:tc>
          <w:tcPr>
            <w:tcW w:w="2061" w:type="dxa"/>
            <w:vAlign w:val="center"/>
            <w:hideMark/>
          </w:tcPr>
          <w:p w:rsidR="00045660" w:rsidRPr="00045660" w:rsidRDefault="00045660" w:rsidP="00045660">
            <w:pPr>
              <w:autoSpaceDN w:val="0"/>
              <w:rPr>
                <w:sz w:val="22"/>
                <w:szCs w:val="22"/>
              </w:rPr>
            </w:pPr>
            <w:r w:rsidRPr="00045660">
              <w:rPr>
                <w:sz w:val="22"/>
                <w:szCs w:val="22"/>
              </w:rPr>
              <w:t>Type of Rate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See type of rate definitions below.</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54</w:t>
            </w:r>
          </w:p>
        </w:tc>
        <w:tc>
          <w:tcPr>
            <w:tcW w:w="2061" w:type="dxa"/>
            <w:vAlign w:val="center"/>
            <w:hideMark/>
          </w:tcPr>
          <w:p w:rsidR="00045660" w:rsidRPr="00045660" w:rsidRDefault="00045660" w:rsidP="00045660">
            <w:pPr>
              <w:autoSpaceDN w:val="0"/>
              <w:rPr>
                <w:sz w:val="22"/>
                <w:szCs w:val="22"/>
              </w:rPr>
            </w:pPr>
            <w:r w:rsidRPr="00045660">
              <w:rPr>
                <w:sz w:val="22"/>
                <w:szCs w:val="22"/>
              </w:rPr>
              <w:t>Type of Rate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Fixed</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 fixed charge per unit of consumption.</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54</w:t>
            </w:r>
          </w:p>
        </w:tc>
        <w:tc>
          <w:tcPr>
            <w:tcW w:w="2061" w:type="dxa"/>
            <w:vAlign w:val="center"/>
            <w:hideMark/>
          </w:tcPr>
          <w:p w:rsidR="00045660" w:rsidRPr="00045660" w:rsidRDefault="00045660" w:rsidP="00045660">
            <w:pPr>
              <w:autoSpaceDN w:val="0"/>
              <w:rPr>
                <w:sz w:val="22"/>
                <w:szCs w:val="22"/>
              </w:rPr>
            </w:pPr>
            <w:r w:rsidRPr="00045660">
              <w:rPr>
                <w:sz w:val="22"/>
                <w:szCs w:val="22"/>
              </w:rPr>
              <w:t>Type of Rate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Formula</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 calculation of a rate based upon a formula that does not contain an index component.</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54</w:t>
            </w:r>
          </w:p>
        </w:tc>
        <w:tc>
          <w:tcPr>
            <w:tcW w:w="2061" w:type="dxa"/>
            <w:vAlign w:val="center"/>
            <w:hideMark/>
          </w:tcPr>
          <w:p w:rsidR="00045660" w:rsidRPr="00045660" w:rsidRDefault="00045660" w:rsidP="00045660">
            <w:pPr>
              <w:autoSpaceDN w:val="0"/>
              <w:rPr>
                <w:sz w:val="22"/>
                <w:szCs w:val="22"/>
              </w:rPr>
            </w:pPr>
            <w:r w:rsidRPr="00045660">
              <w:rPr>
                <w:sz w:val="22"/>
                <w:szCs w:val="22"/>
              </w:rPr>
              <w:t>Type of Rate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Electric Index</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A calculation of a rate based upon an index or a formula that contains an index component. </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54</w:t>
            </w:r>
          </w:p>
        </w:tc>
        <w:tc>
          <w:tcPr>
            <w:tcW w:w="2061" w:type="dxa"/>
            <w:vAlign w:val="center"/>
            <w:hideMark/>
          </w:tcPr>
          <w:p w:rsidR="00045660" w:rsidRPr="00045660" w:rsidRDefault="00045660" w:rsidP="00045660">
            <w:pPr>
              <w:autoSpaceDN w:val="0"/>
              <w:rPr>
                <w:sz w:val="22"/>
                <w:szCs w:val="22"/>
              </w:rPr>
            </w:pPr>
            <w:r w:rsidRPr="00045660">
              <w:rPr>
                <w:sz w:val="22"/>
                <w:szCs w:val="22"/>
              </w:rPr>
              <w:t>Type of Rate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RTO/ISO</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 rate that is based on an RTO/ISO published price or formula that contains an RTO/ISO price component.</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55</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55</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Time Zone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See Time Zone Table, Appendix D.</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time zone in which the sales will be made under the contract.</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56</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56</w:t>
            </w:r>
          </w:p>
        </w:tc>
        <w:tc>
          <w:tcPr>
            <w:tcW w:w="2061" w:type="dxa"/>
            <w:vAlign w:val="center"/>
            <w:hideMark/>
          </w:tcPr>
          <w:p w:rsidR="00045660" w:rsidRPr="00045660" w:rsidRDefault="00045660" w:rsidP="00045660">
            <w:pPr>
              <w:autoSpaceDN w:val="0"/>
              <w:rPr>
                <w:sz w:val="22"/>
                <w:szCs w:val="22"/>
              </w:rPr>
            </w:pPr>
            <w:r w:rsidRPr="00045660">
              <w:rPr>
                <w:sz w:val="22"/>
                <w:szCs w:val="22"/>
              </w:rPr>
              <w:t>Point of Delivery Balancing Authority (PODBA)</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See Balancing Authority Table, Appendix B.</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The registered NERC Balancing Authority (formerly called NERC Control Area) abbreviation used in OASIS applications.</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57</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57</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Point of Delivery Specific Location (PODSL)</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(50 characters). If “HUB” is selected for PODBA, see Hub Table, Appendix C.</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specific location at which the product is delivered.  If receipt occurs at a trading hub, a standardized hub name must be used.</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See class name definitions below.</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F - Firm</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 sale, service or product that is not interruptible for economic reasons.</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NF - Non-firm</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 sale for which delivery or receipt of the energy may be interrupted for any reason or no reason, without liability on the part of either the buyer or seller.</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UP - Unit Power Sale</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Designates a dedicated sale of energy and capacity from one or more than one specified generation unit(s).</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BA - Billing Adjustment</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Designates an incremental material change to one or more transactions due to a change in settlement results.  “BA” may be used in a </w:t>
            </w:r>
            <w:proofErr w:type="spellStart"/>
            <w:r w:rsidRPr="00045660">
              <w:rPr>
                <w:sz w:val="22"/>
                <w:szCs w:val="22"/>
              </w:rPr>
              <w:t>refiling</w:t>
            </w:r>
            <w:proofErr w:type="spellEnd"/>
            <w:r w:rsidRPr="00045660">
              <w:rPr>
                <w:sz w:val="22"/>
                <w:szCs w:val="22"/>
              </w:rPr>
              <w:t xml:space="preserve"> after the next quarter’s filing is due to reflect the receipt of new information.  It may not be used to correct an inaccurate filing.</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58</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58</w:t>
            </w:r>
          </w:p>
        </w:tc>
        <w:tc>
          <w:tcPr>
            <w:tcW w:w="2061" w:type="dxa"/>
            <w:vAlign w:val="center"/>
            <w:hideMark/>
          </w:tcPr>
          <w:p w:rsidR="00045660" w:rsidRPr="00045660" w:rsidRDefault="00045660" w:rsidP="00045660">
            <w:pPr>
              <w:autoSpaceDN w:val="0"/>
              <w:rPr>
                <w:sz w:val="22"/>
                <w:szCs w:val="22"/>
              </w:rPr>
            </w:pPr>
            <w:r w:rsidRPr="00045660">
              <w:rPr>
                <w:sz w:val="22"/>
                <w:szCs w:val="22"/>
              </w:rPr>
              <w:t>Class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N/A - Not Applicable</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To be used only when the other available class names do not apply.</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59</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59</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Term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LT - Long Term</w:t>
            </w:r>
            <w:r w:rsidRPr="00045660">
              <w:rPr>
                <w:sz w:val="22"/>
                <w:szCs w:val="22"/>
              </w:rPr>
              <w:br w:type="page"/>
            </w:r>
          </w:p>
          <w:p w:rsidR="00045660" w:rsidRPr="00045660" w:rsidRDefault="00045660" w:rsidP="00045660">
            <w:pPr>
              <w:autoSpaceDN w:val="0"/>
              <w:spacing w:before="40" w:after="40"/>
              <w:rPr>
                <w:sz w:val="22"/>
                <w:szCs w:val="22"/>
              </w:rPr>
            </w:pPr>
            <w:r w:rsidRPr="00045660">
              <w:rPr>
                <w:sz w:val="22"/>
                <w:szCs w:val="22"/>
              </w:rPr>
              <w:t>ST - Short Term</w:t>
            </w:r>
            <w:r w:rsidRPr="00045660">
              <w:rPr>
                <w:sz w:val="22"/>
                <w:szCs w:val="22"/>
              </w:rPr>
              <w:br w:type="page"/>
              <w:t>N/A - Not Applicable</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Power sales transactions with durations of one year or greater are long-term.  Transactions with shorter durations are short-term.</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See increment name definitions below.</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H - Hourly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Terms of the particular sale set for up to 6 consecutive hours (≤ 6 consecutive hours) Includes LMP based sales in ISO/RTO markets.</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D - Daily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Terms of the particular sale set for more than 6 and up to 60 consecutive hours (&gt;6 and ≤ 60 consecutive hours).  Includes sales over a peak or off-peak block during a single day.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lastRenderedPageBreak/>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W - Weekly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Terms of the particular sale set for over 60 consecutive hours and up to 168 consecutive hours (&gt;60 and ≤ 168 consecutive hours).  Includes sales for a full week and sales for peak and off-peak blocks over a particular week. </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M - Monthly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Terms of the particular sale set for set for more than 168 consecutive hours up to, but not including, one year (&gt;168 consecutive hours and &lt; 1 year).  Includes sales for full month or multi-week sales during a given month.</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Y - Yearly</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Terms of the particular sale set for one year or more (≥ 1 year).  Includes all long-term contracts with defined pricing terms (fixed-price, formula, or index).</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60</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60</w:t>
            </w:r>
          </w:p>
        </w:tc>
        <w:tc>
          <w:tcPr>
            <w:tcW w:w="2061" w:type="dxa"/>
            <w:vAlign w:val="center"/>
            <w:hideMark/>
          </w:tcPr>
          <w:p w:rsidR="00045660" w:rsidRPr="00045660" w:rsidRDefault="00045660" w:rsidP="00045660">
            <w:pPr>
              <w:autoSpaceDN w:val="0"/>
              <w:rPr>
                <w:sz w:val="22"/>
                <w:szCs w:val="22"/>
              </w:rPr>
            </w:pPr>
            <w:r w:rsidRPr="00045660">
              <w:rPr>
                <w:sz w:val="22"/>
                <w:szCs w:val="22"/>
              </w:rPr>
              <w:t>Increment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N/A - Not Applicable</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To be used only when other available increment names do not apply.</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See definitions for increment peaking below.</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FP - Full Period</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product described was sold during Peak and Off-Peak hours.</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OP - Off-Peak</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product described was sold only during those hours designated as off-peak in the NERC region of the point of delivery.</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P - Peak</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product described was sold only during those hours designated as on-peak in the NERC region of the point of delivery.</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61</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Increment Peaking Name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N/A - Not Applicable</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To be used only when the other available increment peaking names do not apply.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62</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62</w:t>
            </w:r>
          </w:p>
        </w:tc>
        <w:tc>
          <w:tcPr>
            <w:tcW w:w="2061" w:type="dxa"/>
            <w:vAlign w:val="center"/>
            <w:hideMark/>
          </w:tcPr>
          <w:p w:rsidR="00045660" w:rsidRPr="00045660" w:rsidRDefault="00045660" w:rsidP="00045660">
            <w:pPr>
              <w:autoSpaceDN w:val="0"/>
              <w:rPr>
                <w:sz w:val="22"/>
                <w:szCs w:val="22"/>
              </w:rPr>
            </w:pPr>
            <w:r w:rsidRPr="00045660">
              <w:rPr>
                <w:sz w:val="22"/>
                <w:szCs w:val="22"/>
              </w:rPr>
              <w:t>Product Name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See Product Names Table, Appendix A.</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Description of product being offered.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63</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63</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 Quantity</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Number with up to 4 decimals.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quantity of the product in this transaction.</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64</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64</w:t>
            </w:r>
          </w:p>
        </w:tc>
        <w:tc>
          <w:tcPr>
            <w:tcW w:w="2061" w:type="dxa"/>
            <w:vAlign w:val="center"/>
            <w:hideMark/>
          </w:tcPr>
          <w:p w:rsidR="00045660" w:rsidRPr="00045660" w:rsidRDefault="00045660" w:rsidP="00045660">
            <w:pPr>
              <w:autoSpaceDN w:val="0"/>
              <w:rPr>
                <w:sz w:val="22"/>
                <w:szCs w:val="22"/>
              </w:rPr>
            </w:pPr>
            <w:r w:rsidRPr="00045660">
              <w:rPr>
                <w:sz w:val="22"/>
                <w:szCs w:val="22"/>
              </w:rPr>
              <w:t>Price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Number with up to 6 decimals.</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Actual price charged for the product per unit.  The price reported cannot be averaged or otherwise aggregated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lastRenderedPageBreak/>
              <w:t>65</w:t>
            </w: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65</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Rate Units</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See Rate Units Table, Appendix F</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 xml:space="preserve">Measure appropriate to the price of the product sold.                               </w:t>
            </w: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66</w:t>
            </w:r>
          </w:p>
        </w:tc>
        <w:tc>
          <w:tcPr>
            <w:tcW w:w="2061" w:type="dxa"/>
            <w:vAlign w:val="center"/>
            <w:hideMark/>
          </w:tcPr>
          <w:p w:rsidR="00045660" w:rsidRPr="00045660" w:rsidRDefault="00045660" w:rsidP="00045660">
            <w:pPr>
              <w:autoSpaceDN w:val="0"/>
              <w:rPr>
                <w:sz w:val="22"/>
                <w:szCs w:val="22"/>
              </w:rPr>
            </w:pPr>
            <w:r w:rsidRPr="00045660">
              <w:rPr>
                <w:sz w:val="22"/>
                <w:szCs w:val="22"/>
              </w:rPr>
              <w:t>Standardized Quantity</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Number with up to 4 decimals.</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For product names energy, capacity, and booked out power only.  Specify the quantity in </w:t>
            </w:r>
            <w:proofErr w:type="spellStart"/>
            <w:r w:rsidRPr="00045660">
              <w:rPr>
                <w:sz w:val="22"/>
                <w:szCs w:val="22"/>
              </w:rPr>
              <w:t>MWh</w:t>
            </w:r>
            <w:proofErr w:type="spellEnd"/>
            <w:r w:rsidRPr="00045660">
              <w:rPr>
                <w:sz w:val="22"/>
                <w:szCs w:val="22"/>
              </w:rPr>
              <w:t xml:space="preserve"> if the product is energy or booked out power and specify the quantity in MW if the product is capacity.</w:t>
            </w:r>
          </w:p>
        </w:tc>
      </w:tr>
      <w:tr w:rsidR="00045660" w:rsidRPr="00045660" w:rsidTr="00045660">
        <w:trPr>
          <w:cantSplit/>
        </w:trPr>
        <w:tc>
          <w:tcPr>
            <w:tcW w:w="531" w:type="dxa"/>
            <w:gridSpan w:val="2"/>
            <w:shd w:val="clear" w:color="auto" w:fill="FFCC99"/>
            <w:vAlign w:val="center"/>
          </w:tcPr>
          <w:p w:rsidR="00045660" w:rsidRPr="00045660" w:rsidRDefault="00045660" w:rsidP="00045660">
            <w:pPr>
              <w:autoSpaceDN w:val="0"/>
              <w:jc w:val="center"/>
              <w:rPr>
                <w:sz w:val="22"/>
                <w:szCs w:val="22"/>
              </w:rPr>
            </w:pP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67</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Standardized Price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Number with up to 6 decimals.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For product names energy, capacity, and booked out power only.  Specify the price in $/</w:t>
            </w:r>
            <w:proofErr w:type="spellStart"/>
            <w:r w:rsidRPr="00045660">
              <w:rPr>
                <w:sz w:val="22"/>
                <w:szCs w:val="22"/>
              </w:rPr>
              <w:t>MWh</w:t>
            </w:r>
            <w:proofErr w:type="spellEnd"/>
            <w:r w:rsidRPr="00045660">
              <w:rPr>
                <w:sz w:val="22"/>
                <w:szCs w:val="22"/>
              </w:rPr>
              <w:t xml:space="preserve"> if the product is energy or booked out power and specify the price in $/MW-month if the product is capacity.</w:t>
            </w:r>
          </w:p>
        </w:tc>
      </w:tr>
      <w:tr w:rsidR="00045660" w:rsidRPr="00045660" w:rsidTr="00045660">
        <w:trPr>
          <w:cantSplit/>
        </w:trPr>
        <w:tc>
          <w:tcPr>
            <w:tcW w:w="531" w:type="dxa"/>
            <w:gridSpan w:val="2"/>
            <w:vAlign w:val="center"/>
            <w:hideMark/>
          </w:tcPr>
          <w:p w:rsidR="00045660" w:rsidRPr="00045660" w:rsidRDefault="00045660" w:rsidP="00045660">
            <w:pPr>
              <w:autoSpaceDN w:val="0"/>
              <w:jc w:val="center"/>
              <w:rPr>
                <w:sz w:val="22"/>
                <w:szCs w:val="22"/>
              </w:rPr>
            </w:pPr>
            <w:r w:rsidRPr="00045660">
              <w:rPr>
                <w:sz w:val="22"/>
                <w:szCs w:val="22"/>
              </w:rPr>
              <w:t>66</w:t>
            </w: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68</w:t>
            </w:r>
          </w:p>
        </w:tc>
        <w:tc>
          <w:tcPr>
            <w:tcW w:w="2061" w:type="dxa"/>
            <w:vAlign w:val="center"/>
            <w:hideMark/>
          </w:tcPr>
          <w:p w:rsidR="00045660" w:rsidRPr="00045660" w:rsidRDefault="00045660" w:rsidP="00045660">
            <w:pPr>
              <w:autoSpaceDN w:val="0"/>
              <w:rPr>
                <w:sz w:val="22"/>
                <w:szCs w:val="22"/>
              </w:rPr>
            </w:pPr>
            <w:r w:rsidRPr="00045660">
              <w:rPr>
                <w:sz w:val="22"/>
                <w:szCs w:val="22"/>
              </w:rPr>
              <w:t>Total Transmission Charge</w:t>
            </w:r>
          </w:p>
        </w:tc>
        <w:tc>
          <w:tcPr>
            <w:tcW w:w="1096"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Number with up to 2 decimals</w:t>
            </w:r>
          </w:p>
        </w:tc>
        <w:tc>
          <w:tcPr>
            <w:tcW w:w="6474" w:type="dxa"/>
            <w:vAlign w:val="center"/>
            <w:hideMark/>
          </w:tcPr>
          <w:p w:rsidR="00045660" w:rsidRPr="00045660" w:rsidRDefault="00045660" w:rsidP="00045660">
            <w:pPr>
              <w:autoSpaceDN w:val="0"/>
              <w:spacing w:before="40" w:after="40"/>
              <w:rPr>
                <w:sz w:val="22"/>
                <w:szCs w:val="22"/>
              </w:rPr>
            </w:pPr>
            <w:r w:rsidRPr="00045660">
              <w:rPr>
                <w:sz w:val="22"/>
                <w:szCs w:val="22"/>
              </w:rPr>
              <w:t>Payments received for transmission services when explicitly identified.</w:t>
            </w:r>
          </w:p>
        </w:tc>
      </w:tr>
      <w:tr w:rsidR="00045660" w:rsidRPr="00045660" w:rsidTr="00045660">
        <w:trPr>
          <w:cantSplit/>
        </w:trPr>
        <w:tc>
          <w:tcPr>
            <w:tcW w:w="531" w:type="dxa"/>
            <w:gridSpan w:val="2"/>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67</w:t>
            </w:r>
          </w:p>
        </w:tc>
        <w:tc>
          <w:tcPr>
            <w:tcW w:w="532" w:type="dxa"/>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69</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Total Transaction Charge</w:t>
            </w:r>
          </w:p>
        </w:tc>
        <w:tc>
          <w:tcPr>
            <w:tcW w:w="1096"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Number with up to 2 decimals</w:t>
            </w:r>
          </w:p>
        </w:tc>
        <w:tc>
          <w:tcPr>
            <w:tcW w:w="6474"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Transaction Quantity (Field 63) times Price (Field 64) plus Total Transmission Charge (Field 66).</w:t>
            </w:r>
          </w:p>
        </w:tc>
      </w:tr>
    </w:tbl>
    <w:p w:rsidR="00045660" w:rsidRPr="00045660" w:rsidRDefault="00045660" w:rsidP="00045660">
      <w:pPr>
        <w:widowControl w:val="0"/>
        <w:autoSpaceDE w:val="0"/>
        <w:autoSpaceDN w:val="0"/>
        <w:adjustRightInd w:val="0"/>
      </w:pPr>
    </w:p>
    <w:p w:rsidR="00045660" w:rsidRPr="00045660" w:rsidRDefault="00045660" w:rsidP="00045660">
      <w:pPr>
        <w:widowControl w:val="0"/>
        <w:autoSpaceDE w:val="0"/>
        <w:autoSpaceDN w:val="0"/>
        <w:adjustRightInd w:val="0"/>
      </w:pPr>
      <w:r w:rsidRPr="00045660">
        <w:br w:type="page"/>
      </w:r>
    </w:p>
    <w:tbl>
      <w:tblPr>
        <w:tblW w:w="13035" w:type="dxa"/>
        <w:tblInd w:w="18" w:type="dxa"/>
        <w:tblLook w:val="04A0" w:firstRow="1" w:lastRow="0" w:firstColumn="1" w:lastColumn="0" w:noHBand="0" w:noVBand="1"/>
      </w:tblPr>
      <w:tblGrid>
        <w:gridCol w:w="507"/>
        <w:gridCol w:w="24"/>
        <w:gridCol w:w="532"/>
        <w:gridCol w:w="2061"/>
        <w:gridCol w:w="1182"/>
        <w:gridCol w:w="2270"/>
        <w:gridCol w:w="6459"/>
      </w:tblGrid>
      <w:tr w:rsidR="00045660" w:rsidRPr="00045660" w:rsidTr="00045660">
        <w:trPr>
          <w:cantSplit/>
          <w:tblHeader/>
        </w:trPr>
        <w:tc>
          <w:tcPr>
            <w:tcW w:w="13035" w:type="dxa"/>
            <w:gridSpan w:val="7"/>
            <w:noWrap/>
            <w:vAlign w:val="center"/>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jc w:val="center"/>
              <w:rPr>
                <w:b/>
                <w:bCs/>
                <w:sz w:val="22"/>
                <w:szCs w:val="22"/>
              </w:rPr>
            </w:pPr>
            <w:r w:rsidRPr="00045660">
              <w:rPr>
                <w:b/>
                <w:bCs/>
                <w:sz w:val="24"/>
              </w:rPr>
              <w:t>Index Reporting Data</w:t>
            </w:r>
          </w:p>
        </w:tc>
      </w:tr>
      <w:tr w:rsidR="00045660" w:rsidRPr="00045660" w:rsidTr="00045660">
        <w:trPr>
          <w:cantSplit/>
          <w:trHeight w:val="128"/>
          <w:tblHeader/>
        </w:trPr>
        <w:tc>
          <w:tcPr>
            <w:tcW w:w="1063" w:type="dxa"/>
            <w:gridSpan w:val="3"/>
            <w:noWrap/>
            <w:vAlign w:val="center"/>
            <w:hideMark/>
          </w:tcPr>
          <w:p w:rsidR="00045660" w:rsidRPr="00045660" w:rsidRDefault="00045660" w:rsidP="00045660">
            <w:pPr>
              <w:autoSpaceDN w:val="0"/>
              <w:rPr>
                <w:b/>
                <w:bCs/>
                <w:sz w:val="22"/>
                <w:szCs w:val="22"/>
              </w:rPr>
            </w:pPr>
            <w:r w:rsidRPr="00045660">
              <w:rPr>
                <w:b/>
                <w:bCs/>
                <w:sz w:val="22"/>
                <w:szCs w:val="22"/>
              </w:rPr>
              <w:t>Field #</w:t>
            </w:r>
          </w:p>
        </w:tc>
        <w:tc>
          <w:tcPr>
            <w:tcW w:w="2061"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Field</w:t>
            </w:r>
          </w:p>
        </w:tc>
        <w:tc>
          <w:tcPr>
            <w:tcW w:w="1182"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Required</w:t>
            </w:r>
          </w:p>
        </w:tc>
        <w:tc>
          <w:tcPr>
            <w:tcW w:w="2270"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Value</w:t>
            </w:r>
          </w:p>
        </w:tc>
        <w:tc>
          <w:tcPr>
            <w:tcW w:w="6459" w:type="dxa"/>
            <w:vMerge w:val="restart"/>
            <w:vAlign w:val="center"/>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cantSplit/>
          <w:trHeight w:val="127"/>
          <w:tblHeader/>
        </w:trPr>
        <w:tc>
          <w:tcPr>
            <w:tcW w:w="507" w:type="dxa"/>
            <w:noWrap/>
            <w:vAlign w:val="center"/>
            <w:hideMark/>
          </w:tcPr>
          <w:p w:rsidR="00045660" w:rsidRPr="00045660" w:rsidRDefault="00045660" w:rsidP="00045660">
            <w:pPr>
              <w:autoSpaceDN w:val="0"/>
              <w:rPr>
                <w:b/>
                <w:bCs/>
                <w:sz w:val="22"/>
                <w:szCs w:val="22"/>
              </w:rPr>
            </w:pPr>
            <w:r w:rsidRPr="00045660">
              <w:rPr>
                <w:b/>
                <w:bCs/>
                <w:sz w:val="18"/>
                <w:szCs w:val="18"/>
              </w:rPr>
              <w:t>Old</w:t>
            </w:r>
          </w:p>
        </w:tc>
        <w:tc>
          <w:tcPr>
            <w:tcW w:w="556" w:type="dxa"/>
            <w:gridSpan w:val="2"/>
            <w:vAlign w:val="center"/>
            <w:hideMark/>
          </w:tcPr>
          <w:p w:rsidR="00045660" w:rsidRPr="00045660" w:rsidRDefault="00045660" w:rsidP="00045660">
            <w:pPr>
              <w:autoSpaceDN w:val="0"/>
              <w:rPr>
                <w:b/>
                <w:bCs/>
                <w:sz w:val="22"/>
                <w:szCs w:val="22"/>
              </w:rPr>
            </w:pPr>
            <w:r w:rsidRPr="00045660">
              <w:rPr>
                <w:b/>
                <w:bCs/>
                <w:sz w:val="18"/>
                <w:szCs w:val="18"/>
              </w:rPr>
              <w:t>New</w:t>
            </w: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autoSpaceDN w:val="0"/>
              <w:jc w:val="center"/>
              <w:rPr>
                <w:sz w:val="22"/>
                <w:szCs w:val="22"/>
              </w:rPr>
            </w:pPr>
            <w:r w:rsidRPr="00045660">
              <w:rPr>
                <w:sz w:val="22"/>
                <w:szCs w:val="22"/>
              </w:rPr>
              <w:t>70</w:t>
            </w:r>
          </w:p>
        </w:tc>
        <w:tc>
          <w:tcPr>
            <w:tcW w:w="2061" w:type="dxa"/>
            <w:vAlign w:val="center"/>
            <w:hideMark/>
          </w:tcPr>
          <w:p w:rsidR="00045660" w:rsidRPr="00045660" w:rsidRDefault="00045660" w:rsidP="00045660">
            <w:pPr>
              <w:autoSpaceDN w:val="0"/>
              <w:rPr>
                <w:sz w:val="22"/>
                <w:szCs w:val="22"/>
              </w:rPr>
            </w:pPr>
            <w:r w:rsidRPr="00045660">
              <w:rPr>
                <w:sz w:val="22"/>
                <w:szCs w:val="22"/>
              </w:rPr>
              <w:t>Filer Unique Identifier</w:t>
            </w:r>
          </w:p>
        </w:tc>
        <w:tc>
          <w:tcPr>
            <w:tcW w:w="1182"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FS# (where “#” is an integer)</w:t>
            </w:r>
          </w:p>
        </w:tc>
        <w:tc>
          <w:tcPr>
            <w:tcW w:w="6459" w:type="dxa"/>
            <w:vAlign w:val="center"/>
            <w:hideMark/>
          </w:tcPr>
          <w:p w:rsidR="00045660" w:rsidRPr="00045660" w:rsidRDefault="00045660" w:rsidP="00045660">
            <w:pPr>
              <w:autoSpaceDN w:val="0"/>
              <w:spacing w:before="40" w:after="40"/>
              <w:rPr>
                <w:sz w:val="22"/>
                <w:szCs w:val="22"/>
              </w:rPr>
            </w:pPr>
            <w:r w:rsidRPr="00045660">
              <w:rPr>
                <w:sz w:val="22"/>
                <w:szCs w:val="22"/>
              </w:rPr>
              <w:t>The “FS” seller number from the ID Data table corresponding to the index reporting company.</w:t>
            </w:r>
          </w:p>
        </w:tc>
      </w:tr>
      <w:tr w:rsidR="00045660" w:rsidRPr="00045660" w:rsidTr="00045660">
        <w:trPr>
          <w:cantSplit/>
        </w:trPr>
        <w:tc>
          <w:tcPr>
            <w:tcW w:w="531" w:type="dxa"/>
            <w:gridSpan w:val="2"/>
            <w:shd w:val="clear" w:color="auto" w:fill="FFCC99"/>
            <w:vAlign w:val="center"/>
          </w:tcPr>
          <w:p w:rsidR="00045660" w:rsidRPr="00045660" w:rsidRDefault="00045660" w:rsidP="00045660">
            <w:pPr>
              <w:widowControl w:val="0"/>
              <w:autoSpaceDE w:val="0"/>
              <w:autoSpaceDN w:val="0"/>
              <w:adjustRightInd w:val="0"/>
              <w:jc w:val="center"/>
              <w:rPr>
                <w:sz w:val="22"/>
                <w:szCs w:val="22"/>
              </w:rPr>
            </w:pP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71</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Seller Company Name</w:t>
            </w:r>
          </w:p>
        </w:tc>
        <w:tc>
          <w:tcPr>
            <w:tcW w:w="1182"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459"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name of the company that is authorized to make sales as indicated in the company’s FERC tariff(s).  This name must match the name provided as a Seller's “Company Name” in Field Number 2 of the ID Data (Seller Data).</w:t>
            </w:r>
          </w:p>
        </w:tc>
      </w:tr>
      <w:tr w:rsidR="00045660" w:rsidRPr="00045660" w:rsidTr="00045660">
        <w:trPr>
          <w:cantSplit/>
        </w:trPr>
        <w:tc>
          <w:tcPr>
            <w:tcW w:w="531" w:type="dxa"/>
            <w:gridSpan w:val="2"/>
            <w:vAlign w:val="center"/>
          </w:tcPr>
          <w:p w:rsidR="00045660" w:rsidRPr="00045660" w:rsidRDefault="00045660" w:rsidP="00045660">
            <w:pPr>
              <w:widowControl w:val="0"/>
              <w:autoSpaceDE w:val="0"/>
              <w:autoSpaceDN w:val="0"/>
              <w:adjustRightInd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72</w:t>
            </w:r>
          </w:p>
        </w:tc>
        <w:tc>
          <w:tcPr>
            <w:tcW w:w="2061" w:type="dxa"/>
            <w:vAlign w:val="center"/>
            <w:hideMark/>
          </w:tcPr>
          <w:p w:rsidR="00045660" w:rsidRPr="00045660" w:rsidRDefault="00045660" w:rsidP="00045660">
            <w:pPr>
              <w:autoSpaceDN w:val="0"/>
              <w:rPr>
                <w:sz w:val="22"/>
                <w:szCs w:val="22"/>
              </w:rPr>
            </w:pPr>
            <w:r w:rsidRPr="00045660">
              <w:rPr>
                <w:color w:val="000000"/>
                <w:sz w:val="22"/>
                <w:szCs w:val="22"/>
              </w:rPr>
              <w:t>Index Price Publisher(s) To Which Sales Transactions Have Been Reported</w:t>
            </w:r>
          </w:p>
        </w:tc>
        <w:tc>
          <w:tcPr>
            <w:tcW w:w="1182" w:type="dxa"/>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color w:val="000000"/>
                <w:sz w:val="22"/>
                <w:szCs w:val="22"/>
              </w:rPr>
              <w:t></w:t>
            </w:r>
          </w:p>
        </w:tc>
        <w:tc>
          <w:tcPr>
            <w:tcW w:w="2270" w:type="dxa"/>
            <w:vAlign w:val="center"/>
            <w:hideMark/>
          </w:tcPr>
          <w:p w:rsidR="00045660" w:rsidRPr="00045660" w:rsidRDefault="00045660" w:rsidP="00045660">
            <w:pPr>
              <w:autoSpaceDN w:val="0"/>
              <w:spacing w:before="40" w:after="40"/>
              <w:rPr>
                <w:sz w:val="22"/>
                <w:szCs w:val="22"/>
              </w:rPr>
            </w:pPr>
            <w:r w:rsidRPr="00045660">
              <w:rPr>
                <w:color w:val="000000"/>
                <w:sz w:val="22"/>
                <w:szCs w:val="22"/>
              </w:rPr>
              <w:t>If "Yes" is selected for Field 12, see Index Price Publisher, Appendix G.</w:t>
            </w:r>
          </w:p>
        </w:tc>
        <w:tc>
          <w:tcPr>
            <w:tcW w:w="6459" w:type="dxa"/>
            <w:vAlign w:val="center"/>
            <w:hideMark/>
          </w:tcPr>
          <w:p w:rsidR="00045660" w:rsidRPr="00045660" w:rsidRDefault="00045660" w:rsidP="00045660">
            <w:pPr>
              <w:autoSpaceDN w:val="0"/>
              <w:spacing w:before="40" w:after="40"/>
              <w:rPr>
                <w:sz w:val="22"/>
                <w:szCs w:val="22"/>
              </w:rPr>
            </w:pPr>
            <w:r w:rsidRPr="00045660">
              <w:rPr>
                <w:color w:val="000000"/>
                <w:sz w:val="22"/>
                <w:szCs w:val="22"/>
              </w:rPr>
              <w:t>The index price publisher(s) to which sales transactions have been reported.</w:t>
            </w:r>
          </w:p>
        </w:tc>
      </w:tr>
      <w:tr w:rsidR="00045660" w:rsidRPr="00045660" w:rsidTr="00045660">
        <w:trPr>
          <w:cantSplit/>
        </w:trPr>
        <w:tc>
          <w:tcPr>
            <w:tcW w:w="531" w:type="dxa"/>
            <w:gridSpan w:val="2"/>
            <w:shd w:val="clear" w:color="auto" w:fill="FFCC99"/>
            <w:vAlign w:val="center"/>
          </w:tcPr>
          <w:p w:rsidR="00045660" w:rsidRPr="00045660" w:rsidRDefault="00045660" w:rsidP="00045660">
            <w:pPr>
              <w:autoSpaceDN w:val="0"/>
              <w:jc w:val="center"/>
              <w:rPr>
                <w:sz w:val="22"/>
                <w:szCs w:val="22"/>
              </w:rPr>
            </w:pPr>
          </w:p>
        </w:tc>
        <w:tc>
          <w:tcPr>
            <w:tcW w:w="532" w:type="dxa"/>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73</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Transactions Reported</w:t>
            </w:r>
          </w:p>
        </w:tc>
        <w:tc>
          <w:tcPr>
            <w:tcW w:w="1182"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rFonts w:ascii="Wingdings" w:hAnsi="Wingdings" w:cs="Arial"/>
                <w:color w:val="000000"/>
                <w:sz w:val="22"/>
                <w:szCs w:val="22"/>
              </w:rPr>
              <w:t></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(100 characters)</w:t>
            </w:r>
          </w:p>
        </w:tc>
        <w:tc>
          <w:tcPr>
            <w:tcW w:w="6459"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Description of the types of transactions reported to the index publisher identified in this record.</w:t>
            </w:r>
          </w:p>
        </w:tc>
      </w:tr>
    </w:tbl>
    <w:p w:rsidR="00045660" w:rsidRPr="00045660" w:rsidRDefault="00045660" w:rsidP="00045660">
      <w:pPr>
        <w:widowControl w:val="0"/>
        <w:autoSpaceDE w:val="0"/>
        <w:autoSpaceDN w:val="0"/>
        <w:adjustRightInd w:val="0"/>
      </w:pPr>
      <w:r w:rsidRPr="00045660">
        <w:br w:type="page"/>
      </w:r>
    </w:p>
    <w:tbl>
      <w:tblPr>
        <w:tblW w:w="13035" w:type="dxa"/>
        <w:tblInd w:w="18" w:type="dxa"/>
        <w:tblLook w:val="04A0" w:firstRow="1" w:lastRow="0" w:firstColumn="1" w:lastColumn="0" w:noHBand="0" w:noVBand="1"/>
      </w:tblPr>
      <w:tblGrid>
        <w:gridCol w:w="507"/>
        <w:gridCol w:w="24"/>
        <w:gridCol w:w="532"/>
        <w:gridCol w:w="2061"/>
        <w:gridCol w:w="1182"/>
        <w:gridCol w:w="2270"/>
        <w:gridCol w:w="6459"/>
      </w:tblGrid>
      <w:tr w:rsidR="00045660" w:rsidRPr="00045660" w:rsidTr="00045660">
        <w:trPr>
          <w:cantSplit/>
          <w:tblHeader/>
        </w:trPr>
        <w:tc>
          <w:tcPr>
            <w:tcW w:w="13035" w:type="dxa"/>
            <w:gridSpan w:val="7"/>
            <w:noWrap/>
            <w:vAlign w:val="center"/>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jc w:val="center"/>
              <w:rPr>
                <w:b/>
                <w:bCs/>
                <w:sz w:val="22"/>
                <w:szCs w:val="22"/>
              </w:rPr>
            </w:pPr>
            <w:r w:rsidRPr="00045660">
              <w:rPr>
                <w:b/>
                <w:bCs/>
                <w:sz w:val="24"/>
              </w:rPr>
              <w:t>e-Tag Data</w:t>
            </w:r>
          </w:p>
        </w:tc>
      </w:tr>
      <w:tr w:rsidR="00045660" w:rsidRPr="00045660" w:rsidTr="00045660">
        <w:trPr>
          <w:cantSplit/>
          <w:trHeight w:val="128"/>
          <w:tblHeader/>
        </w:trPr>
        <w:tc>
          <w:tcPr>
            <w:tcW w:w="1063" w:type="dxa"/>
            <w:gridSpan w:val="3"/>
            <w:noWrap/>
            <w:vAlign w:val="center"/>
            <w:hideMark/>
          </w:tcPr>
          <w:p w:rsidR="00045660" w:rsidRPr="00045660" w:rsidRDefault="00045660" w:rsidP="00045660">
            <w:pPr>
              <w:autoSpaceDN w:val="0"/>
              <w:rPr>
                <w:b/>
                <w:bCs/>
                <w:sz w:val="22"/>
                <w:szCs w:val="22"/>
              </w:rPr>
            </w:pPr>
            <w:r w:rsidRPr="00045660">
              <w:rPr>
                <w:b/>
                <w:bCs/>
                <w:sz w:val="22"/>
                <w:szCs w:val="22"/>
              </w:rPr>
              <w:t>Field #</w:t>
            </w:r>
          </w:p>
        </w:tc>
        <w:tc>
          <w:tcPr>
            <w:tcW w:w="2061"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Field</w:t>
            </w:r>
          </w:p>
        </w:tc>
        <w:tc>
          <w:tcPr>
            <w:tcW w:w="1182"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Required</w:t>
            </w:r>
          </w:p>
        </w:tc>
        <w:tc>
          <w:tcPr>
            <w:tcW w:w="2270" w:type="dxa"/>
            <w:vMerge w:val="restart"/>
            <w:noWrap/>
            <w:vAlign w:val="center"/>
            <w:hideMark/>
          </w:tcPr>
          <w:p w:rsidR="00045660" w:rsidRPr="00045660" w:rsidRDefault="00045660" w:rsidP="00045660">
            <w:pPr>
              <w:autoSpaceDN w:val="0"/>
              <w:rPr>
                <w:b/>
                <w:bCs/>
                <w:sz w:val="22"/>
                <w:szCs w:val="22"/>
              </w:rPr>
            </w:pPr>
            <w:r w:rsidRPr="00045660">
              <w:rPr>
                <w:b/>
                <w:bCs/>
                <w:sz w:val="22"/>
                <w:szCs w:val="22"/>
              </w:rPr>
              <w:t>Value</w:t>
            </w:r>
          </w:p>
        </w:tc>
        <w:tc>
          <w:tcPr>
            <w:tcW w:w="6459" w:type="dxa"/>
            <w:vMerge w:val="restart"/>
            <w:vAlign w:val="center"/>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cantSplit/>
          <w:trHeight w:val="127"/>
          <w:tblHeader/>
        </w:trPr>
        <w:tc>
          <w:tcPr>
            <w:tcW w:w="507" w:type="dxa"/>
            <w:noWrap/>
            <w:vAlign w:val="center"/>
            <w:hideMark/>
          </w:tcPr>
          <w:p w:rsidR="00045660" w:rsidRPr="00045660" w:rsidRDefault="00045660" w:rsidP="00045660">
            <w:pPr>
              <w:autoSpaceDN w:val="0"/>
              <w:rPr>
                <w:b/>
                <w:bCs/>
                <w:sz w:val="22"/>
                <w:szCs w:val="22"/>
              </w:rPr>
            </w:pPr>
            <w:r w:rsidRPr="00045660">
              <w:rPr>
                <w:b/>
                <w:bCs/>
                <w:sz w:val="18"/>
                <w:szCs w:val="18"/>
              </w:rPr>
              <w:t>Old</w:t>
            </w:r>
          </w:p>
        </w:tc>
        <w:tc>
          <w:tcPr>
            <w:tcW w:w="556" w:type="dxa"/>
            <w:gridSpan w:val="2"/>
            <w:vAlign w:val="center"/>
            <w:hideMark/>
          </w:tcPr>
          <w:p w:rsidR="00045660" w:rsidRPr="00045660" w:rsidRDefault="00045660" w:rsidP="00045660">
            <w:pPr>
              <w:autoSpaceDN w:val="0"/>
              <w:rPr>
                <w:b/>
                <w:bCs/>
                <w:sz w:val="22"/>
                <w:szCs w:val="22"/>
              </w:rPr>
            </w:pPr>
            <w:r w:rsidRPr="00045660">
              <w:rPr>
                <w:b/>
                <w:bCs/>
                <w:sz w:val="18"/>
                <w:szCs w:val="18"/>
              </w:rPr>
              <w:t>New</w:t>
            </w: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c>
          <w:tcPr>
            <w:tcW w:w="0" w:type="auto"/>
            <w:vMerge/>
            <w:vAlign w:val="center"/>
            <w:hideMark/>
          </w:tcPr>
          <w:p w:rsidR="00045660" w:rsidRPr="00045660" w:rsidRDefault="00045660" w:rsidP="00045660">
            <w:pPr>
              <w:rPr>
                <w:b/>
                <w:bCs/>
                <w:sz w:val="22"/>
                <w:szCs w:val="22"/>
              </w:rPr>
            </w:pPr>
          </w:p>
        </w:tc>
      </w:tr>
      <w:tr w:rsidR="00045660" w:rsidRPr="00045660" w:rsidTr="00045660">
        <w:trPr>
          <w:cantSplit/>
        </w:trPr>
        <w:tc>
          <w:tcPr>
            <w:tcW w:w="531" w:type="dxa"/>
            <w:gridSpan w:val="2"/>
            <w:vAlign w:val="center"/>
          </w:tcPr>
          <w:p w:rsidR="00045660" w:rsidRPr="00045660" w:rsidRDefault="00045660" w:rsidP="00045660">
            <w:pPr>
              <w:autoSpaceDN w:val="0"/>
              <w:jc w:val="center"/>
              <w:rPr>
                <w:sz w:val="22"/>
                <w:szCs w:val="22"/>
              </w:rPr>
            </w:pPr>
          </w:p>
        </w:tc>
        <w:tc>
          <w:tcPr>
            <w:tcW w:w="532" w:type="dxa"/>
            <w:vAlign w:val="center"/>
            <w:hideMark/>
          </w:tcPr>
          <w:p w:rsidR="00045660" w:rsidRPr="00045660" w:rsidRDefault="00045660" w:rsidP="00045660">
            <w:pPr>
              <w:autoSpaceDN w:val="0"/>
              <w:jc w:val="center"/>
              <w:rPr>
                <w:sz w:val="22"/>
                <w:szCs w:val="22"/>
              </w:rPr>
            </w:pPr>
            <w:r w:rsidRPr="00045660">
              <w:rPr>
                <w:sz w:val="22"/>
                <w:szCs w:val="22"/>
              </w:rPr>
              <w:t>74</w:t>
            </w:r>
          </w:p>
        </w:tc>
        <w:tc>
          <w:tcPr>
            <w:tcW w:w="2061" w:type="dxa"/>
            <w:vAlign w:val="center"/>
            <w:hideMark/>
          </w:tcPr>
          <w:p w:rsidR="00045660" w:rsidRPr="00045660" w:rsidRDefault="00045660" w:rsidP="00045660">
            <w:pPr>
              <w:autoSpaceDN w:val="0"/>
              <w:rPr>
                <w:sz w:val="22"/>
                <w:szCs w:val="22"/>
              </w:rPr>
            </w:pPr>
            <w:r w:rsidRPr="00045660">
              <w:rPr>
                <w:sz w:val="22"/>
                <w:szCs w:val="22"/>
              </w:rPr>
              <w:t>e-Tag ID</w:t>
            </w:r>
          </w:p>
        </w:tc>
        <w:tc>
          <w:tcPr>
            <w:tcW w:w="1182" w:type="dxa"/>
            <w:vAlign w:val="center"/>
            <w:hideMark/>
          </w:tcPr>
          <w:p w:rsidR="00045660" w:rsidRPr="00045660" w:rsidRDefault="00045660" w:rsidP="00045660">
            <w:pPr>
              <w:autoSpaceDN w:val="0"/>
              <w:jc w:val="center"/>
              <w:rPr>
                <w:rFonts w:ascii="Wingdings" w:hAnsi="Wingdings" w:cs="Arial"/>
                <w:sz w:val="22"/>
                <w:szCs w:val="22"/>
              </w:rPr>
            </w:pPr>
            <w:r w:rsidRPr="00045660">
              <w:rPr>
                <w:sz w:val="22"/>
                <w:szCs w:val="22"/>
              </w:rPr>
              <w:t>If an e-Tag ID was used to schedule the EQR transaction</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Unrestricted text (30 Characters)</w:t>
            </w:r>
          </w:p>
        </w:tc>
        <w:tc>
          <w:tcPr>
            <w:tcW w:w="6459" w:type="dxa"/>
            <w:vAlign w:val="center"/>
            <w:hideMark/>
          </w:tcPr>
          <w:p w:rsidR="00045660" w:rsidRPr="00045660" w:rsidRDefault="00045660" w:rsidP="00045660">
            <w:pPr>
              <w:autoSpaceDN w:val="0"/>
              <w:spacing w:before="40" w:after="40"/>
              <w:rPr>
                <w:sz w:val="22"/>
                <w:szCs w:val="22"/>
              </w:rPr>
            </w:pPr>
            <w:r w:rsidRPr="00045660">
              <w:rPr>
                <w:sz w:val="22"/>
                <w:szCs w:val="22"/>
              </w:rPr>
              <w:t xml:space="preserve">The e-Tag ID contains: The Source Balancing Authority where the generation is located; The Purchasing-Selling Balancing Authority Entity Code; the e-Tag Code; and the Sink Balancing Authority.   </w:t>
            </w:r>
          </w:p>
        </w:tc>
      </w:tr>
      <w:tr w:rsidR="00045660" w:rsidRPr="00045660" w:rsidTr="00045660">
        <w:trPr>
          <w:cantSplit/>
        </w:trPr>
        <w:tc>
          <w:tcPr>
            <w:tcW w:w="531" w:type="dxa"/>
            <w:gridSpan w:val="2"/>
            <w:shd w:val="clear" w:color="auto" w:fill="FFCC99"/>
            <w:vAlign w:val="center"/>
          </w:tcPr>
          <w:p w:rsidR="00045660" w:rsidRPr="00045660" w:rsidRDefault="00045660" w:rsidP="00045660">
            <w:pPr>
              <w:widowControl w:val="0"/>
              <w:autoSpaceDE w:val="0"/>
              <w:autoSpaceDN w:val="0"/>
              <w:adjustRightInd w:val="0"/>
              <w:jc w:val="center"/>
              <w:rPr>
                <w:sz w:val="22"/>
                <w:szCs w:val="22"/>
              </w:rPr>
            </w:pPr>
          </w:p>
        </w:tc>
        <w:tc>
          <w:tcPr>
            <w:tcW w:w="532" w:type="dxa"/>
            <w:shd w:val="clear" w:color="auto" w:fill="FFCC99"/>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75</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e-Tag Begin Date</w:t>
            </w:r>
          </w:p>
        </w:tc>
        <w:tc>
          <w:tcPr>
            <w:tcW w:w="1182"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sz w:val="22"/>
                <w:szCs w:val="22"/>
              </w:rPr>
              <w:t>If an e-Tag ID was used to schedule the EQR transaction</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YYYYMMDD (</w:t>
            </w:r>
            <w:proofErr w:type="spellStart"/>
            <w:r w:rsidRPr="00045660">
              <w:rPr>
                <w:sz w:val="22"/>
                <w:szCs w:val="22"/>
              </w:rPr>
              <w:t>csv</w:t>
            </w:r>
            <w:proofErr w:type="spellEnd"/>
            <w:r w:rsidRPr="00045660">
              <w:rPr>
                <w:sz w:val="22"/>
                <w:szCs w:val="22"/>
              </w:rPr>
              <w:t xml:space="preserve"> import)</w:t>
            </w:r>
            <w:r w:rsidRPr="00045660">
              <w:rPr>
                <w:sz w:val="22"/>
                <w:szCs w:val="22"/>
              </w:rPr>
              <w:br/>
              <w:t>MMDDYYYY (manual entry)</w:t>
            </w:r>
          </w:p>
        </w:tc>
        <w:tc>
          <w:tcPr>
            <w:tcW w:w="6459"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first date the transaction is scheduled using the e-Tag ID reported in Field Number 71.  Begin Date must not be before the Transaction Begin Date specified in Field Number 51 and must be reported in the same time zone specified in Field Number 56.</w:t>
            </w:r>
          </w:p>
        </w:tc>
      </w:tr>
      <w:tr w:rsidR="00045660" w:rsidRPr="00045660" w:rsidTr="00045660">
        <w:trPr>
          <w:cantSplit/>
        </w:trPr>
        <w:tc>
          <w:tcPr>
            <w:tcW w:w="531" w:type="dxa"/>
            <w:gridSpan w:val="2"/>
            <w:vAlign w:val="center"/>
          </w:tcPr>
          <w:p w:rsidR="00045660" w:rsidRPr="00045660" w:rsidRDefault="00045660" w:rsidP="00045660">
            <w:pPr>
              <w:widowControl w:val="0"/>
              <w:autoSpaceDE w:val="0"/>
              <w:autoSpaceDN w:val="0"/>
              <w:adjustRightInd w:val="0"/>
              <w:jc w:val="center"/>
              <w:rPr>
                <w:sz w:val="22"/>
                <w:szCs w:val="22"/>
              </w:rPr>
            </w:pPr>
          </w:p>
        </w:tc>
        <w:tc>
          <w:tcPr>
            <w:tcW w:w="532" w:type="dxa"/>
            <w:vAlign w:val="center"/>
            <w:hideMark/>
          </w:tcPr>
          <w:p w:rsidR="00045660" w:rsidRPr="00045660" w:rsidRDefault="00045660" w:rsidP="00045660">
            <w:pPr>
              <w:widowControl w:val="0"/>
              <w:autoSpaceDE w:val="0"/>
              <w:autoSpaceDN w:val="0"/>
              <w:adjustRightInd w:val="0"/>
              <w:jc w:val="center"/>
              <w:rPr>
                <w:sz w:val="22"/>
                <w:szCs w:val="22"/>
              </w:rPr>
            </w:pPr>
            <w:r w:rsidRPr="00045660">
              <w:rPr>
                <w:sz w:val="22"/>
                <w:szCs w:val="22"/>
              </w:rPr>
              <w:t>76</w:t>
            </w:r>
          </w:p>
        </w:tc>
        <w:tc>
          <w:tcPr>
            <w:tcW w:w="2061" w:type="dxa"/>
            <w:vAlign w:val="center"/>
            <w:hideMark/>
          </w:tcPr>
          <w:p w:rsidR="00045660" w:rsidRPr="00045660" w:rsidRDefault="00045660" w:rsidP="00045660">
            <w:pPr>
              <w:autoSpaceDN w:val="0"/>
              <w:rPr>
                <w:sz w:val="22"/>
                <w:szCs w:val="22"/>
              </w:rPr>
            </w:pPr>
            <w:r w:rsidRPr="00045660">
              <w:rPr>
                <w:sz w:val="22"/>
                <w:szCs w:val="22"/>
              </w:rPr>
              <w:t>e-Tag End Date</w:t>
            </w:r>
          </w:p>
        </w:tc>
        <w:tc>
          <w:tcPr>
            <w:tcW w:w="1182" w:type="dxa"/>
            <w:vAlign w:val="center"/>
            <w:hideMark/>
          </w:tcPr>
          <w:p w:rsidR="00045660" w:rsidRPr="00045660" w:rsidRDefault="00045660" w:rsidP="00045660">
            <w:pPr>
              <w:autoSpaceDN w:val="0"/>
              <w:jc w:val="center"/>
              <w:rPr>
                <w:rFonts w:ascii="Wingdings" w:hAnsi="Wingdings" w:cs="Arial"/>
                <w:sz w:val="22"/>
                <w:szCs w:val="22"/>
              </w:rPr>
            </w:pPr>
            <w:r w:rsidRPr="00045660">
              <w:rPr>
                <w:sz w:val="22"/>
                <w:szCs w:val="22"/>
              </w:rPr>
              <w:t>If an e-Tag ID was used to schedule the EQR transaction</w:t>
            </w:r>
          </w:p>
        </w:tc>
        <w:tc>
          <w:tcPr>
            <w:tcW w:w="2270" w:type="dxa"/>
            <w:vAlign w:val="center"/>
            <w:hideMark/>
          </w:tcPr>
          <w:p w:rsidR="00045660" w:rsidRPr="00045660" w:rsidRDefault="00045660" w:rsidP="00045660">
            <w:pPr>
              <w:autoSpaceDN w:val="0"/>
              <w:spacing w:before="40" w:after="40"/>
              <w:rPr>
                <w:sz w:val="22"/>
                <w:szCs w:val="22"/>
              </w:rPr>
            </w:pPr>
            <w:r w:rsidRPr="00045660">
              <w:rPr>
                <w:sz w:val="22"/>
                <w:szCs w:val="22"/>
              </w:rPr>
              <w:t>YYYYMMDD (</w:t>
            </w:r>
            <w:proofErr w:type="spellStart"/>
            <w:r w:rsidRPr="00045660">
              <w:rPr>
                <w:sz w:val="22"/>
                <w:szCs w:val="22"/>
              </w:rPr>
              <w:t>csv</w:t>
            </w:r>
            <w:proofErr w:type="spellEnd"/>
            <w:r w:rsidRPr="00045660">
              <w:rPr>
                <w:sz w:val="22"/>
                <w:szCs w:val="22"/>
              </w:rPr>
              <w:t xml:space="preserve"> import)</w:t>
            </w:r>
            <w:r w:rsidRPr="00045660">
              <w:rPr>
                <w:sz w:val="22"/>
                <w:szCs w:val="22"/>
              </w:rPr>
              <w:br/>
              <w:t>MMDDYYYY (manual entry)</w:t>
            </w:r>
          </w:p>
        </w:tc>
        <w:tc>
          <w:tcPr>
            <w:tcW w:w="6459" w:type="dxa"/>
            <w:vAlign w:val="center"/>
            <w:hideMark/>
          </w:tcPr>
          <w:p w:rsidR="00045660" w:rsidRPr="00045660" w:rsidRDefault="00045660" w:rsidP="00045660">
            <w:pPr>
              <w:autoSpaceDN w:val="0"/>
              <w:spacing w:before="40" w:after="40"/>
              <w:rPr>
                <w:sz w:val="22"/>
                <w:szCs w:val="22"/>
              </w:rPr>
            </w:pPr>
            <w:r w:rsidRPr="00045660">
              <w:rPr>
                <w:sz w:val="22"/>
                <w:szCs w:val="22"/>
              </w:rPr>
              <w:t>The last date the transaction is scheduled using the e-Tag ID reported in Field Number 71.  End Date must not be after the Transaction End Date specified in Field Number 52 and must be reported in the same time zone specified in Field Number 56.</w:t>
            </w:r>
          </w:p>
        </w:tc>
      </w:tr>
      <w:tr w:rsidR="00045660" w:rsidRPr="00045660" w:rsidTr="00045660">
        <w:trPr>
          <w:cantSplit/>
        </w:trPr>
        <w:tc>
          <w:tcPr>
            <w:tcW w:w="531" w:type="dxa"/>
            <w:gridSpan w:val="2"/>
            <w:shd w:val="clear" w:color="auto" w:fill="FFCC99"/>
            <w:vAlign w:val="center"/>
          </w:tcPr>
          <w:p w:rsidR="00045660" w:rsidRPr="00045660" w:rsidRDefault="00045660" w:rsidP="00045660">
            <w:pPr>
              <w:autoSpaceDN w:val="0"/>
              <w:jc w:val="center"/>
              <w:rPr>
                <w:sz w:val="22"/>
                <w:szCs w:val="22"/>
              </w:rPr>
            </w:pPr>
          </w:p>
        </w:tc>
        <w:tc>
          <w:tcPr>
            <w:tcW w:w="532" w:type="dxa"/>
            <w:shd w:val="clear" w:color="auto" w:fill="FFCC99"/>
            <w:vAlign w:val="center"/>
            <w:hideMark/>
          </w:tcPr>
          <w:p w:rsidR="00045660" w:rsidRPr="00045660" w:rsidRDefault="00045660" w:rsidP="00045660">
            <w:pPr>
              <w:autoSpaceDN w:val="0"/>
              <w:jc w:val="center"/>
              <w:rPr>
                <w:sz w:val="22"/>
                <w:szCs w:val="22"/>
              </w:rPr>
            </w:pPr>
            <w:r w:rsidRPr="00045660">
              <w:rPr>
                <w:sz w:val="22"/>
                <w:szCs w:val="22"/>
              </w:rPr>
              <w:t>77</w:t>
            </w:r>
          </w:p>
        </w:tc>
        <w:tc>
          <w:tcPr>
            <w:tcW w:w="2061" w:type="dxa"/>
            <w:shd w:val="clear" w:color="auto" w:fill="FFCC99"/>
            <w:vAlign w:val="center"/>
            <w:hideMark/>
          </w:tcPr>
          <w:p w:rsidR="00045660" w:rsidRPr="00045660" w:rsidRDefault="00045660" w:rsidP="00045660">
            <w:pPr>
              <w:autoSpaceDN w:val="0"/>
              <w:rPr>
                <w:sz w:val="22"/>
                <w:szCs w:val="22"/>
              </w:rPr>
            </w:pPr>
            <w:r w:rsidRPr="00045660">
              <w:rPr>
                <w:sz w:val="22"/>
                <w:szCs w:val="22"/>
              </w:rPr>
              <w:t>Transaction Unique Identifier</w:t>
            </w:r>
          </w:p>
        </w:tc>
        <w:tc>
          <w:tcPr>
            <w:tcW w:w="1182" w:type="dxa"/>
            <w:shd w:val="clear" w:color="auto" w:fill="FFCC99"/>
            <w:vAlign w:val="center"/>
            <w:hideMark/>
          </w:tcPr>
          <w:p w:rsidR="00045660" w:rsidRPr="00045660" w:rsidRDefault="00045660" w:rsidP="00045660">
            <w:pPr>
              <w:autoSpaceDN w:val="0"/>
              <w:jc w:val="center"/>
              <w:rPr>
                <w:rFonts w:ascii="Wingdings" w:hAnsi="Wingdings" w:cs="Arial"/>
                <w:sz w:val="22"/>
                <w:szCs w:val="22"/>
              </w:rPr>
            </w:pPr>
            <w:r w:rsidRPr="00045660">
              <w:rPr>
                <w:sz w:val="22"/>
                <w:szCs w:val="22"/>
              </w:rPr>
              <w:t>If an e-Tag ID was used to schedule the EQR transaction</w:t>
            </w:r>
          </w:p>
        </w:tc>
        <w:tc>
          <w:tcPr>
            <w:tcW w:w="2270"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Unrestricted text (24 Characters)</w:t>
            </w:r>
          </w:p>
        </w:tc>
        <w:tc>
          <w:tcPr>
            <w:tcW w:w="6459"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Unique reference number assigned by the seller for each transaction that must be the same as reported in Field Number 50.</w:t>
            </w:r>
          </w:p>
        </w:tc>
      </w:tr>
    </w:tbl>
    <w:p w:rsidR="00045660" w:rsidRPr="00045660" w:rsidRDefault="00045660" w:rsidP="00045660">
      <w:pPr>
        <w:widowControl w:val="0"/>
        <w:autoSpaceDE w:val="0"/>
        <w:autoSpaceDN w:val="0"/>
        <w:adjustRightInd w:val="0"/>
      </w:pPr>
    </w:p>
    <w:p w:rsidR="00045660" w:rsidRPr="00045660" w:rsidRDefault="00045660" w:rsidP="00045660">
      <w:pPr>
        <w:widowControl w:val="0"/>
        <w:autoSpaceDE w:val="0"/>
        <w:autoSpaceDN w:val="0"/>
        <w:adjustRightInd w:val="0"/>
      </w:pPr>
      <w:r w:rsidRPr="00045660">
        <w:br w:type="page"/>
      </w:r>
    </w:p>
    <w:tbl>
      <w:tblPr>
        <w:tblW w:w="12888" w:type="dxa"/>
        <w:tblInd w:w="90" w:type="dxa"/>
        <w:tblLook w:val="04A0" w:firstRow="1" w:lastRow="0" w:firstColumn="1" w:lastColumn="0" w:noHBand="0" w:noVBand="1"/>
      </w:tblPr>
      <w:tblGrid>
        <w:gridCol w:w="3040"/>
        <w:gridCol w:w="1060"/>
        <w:gridCol w:w="1353"/>
        <w:gridCol w:w="7435"/>
      </w:tblGrid>
      <w:tr w:rsidR="00045660" w:rsidRPr="00045660" w:rsidTr="00045660">
        <w:trPr>
          <w:cantSplit/>
          <w:tblHeader/>
        </w:trPr>
        <w:tc>
          <w:tcPr>
            <w:tcW w:w="12888" w:type="dxa"/>
            <w:gridSpan w:val="4"/>
            <w:tcBorders>
              <w:top w:val="nil"/>
              <w:left w:val="nil"/>
              <w:bottom w:val="single" w:sz="8" w:space="0" w:color="auto"/>
              <w:right w:val="nil"/>
            </w:tcBorders>
            <w:noWrap/>
            <w:vAlign w:val="bottom"/>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jc w:val="center"/>
              <w:rPr>
                <w:b/>
                <w:bCs/>
                <w:sz w:val="22"/>
                <w:szCs w:val="22"/>
              </w:rPr>
            </w:pPr>
            <w:r w:rsidRPr="00045660">
              <w:rPr>
                <w:b/>
                <w:bCs/>
                <w:sz w:val="24"/>
              </w:rPr>
              <w:t>Appendix A. Product Names</w:t>
            </w:r>
          </w:p>
        </w:tc>
      </w:tr>
      <w:tr w:rsidR="00045660" w:rsidRPr="00045660" w:rsidTr="00045660">
        <w:trPr>
          <w:cantSplit/>
          <w:tblHeader/>
        </w:trPr>
        <w:tc>
          <w:tcPr>
            <w:tcW w:w="3040" w:type="dxa"/>
            <w:tcBorders>
              <w:top w:val="single" w:sz="4" w:space="0" w:color="auto"/>
              <w:left w:val="single" w:sz="4" w:space="0" w:color="auto"/>
              <w:bottom w:val="single" w:sz="8" w:space="0" w:color="auto"/>
              <w:right w:val="single" w:sz="4" w:space="0" w:color="auto"/>
            </w:tcBorders>
            <w:noWrap/>
            <w:vAlign w:val="bottom"/>
            <w:hideMark/>
          </w:tcPr>
          <w:p w:rsidR="00045660" w:rsidRPr="00045660" w:rsidRDefault="00045660" w:rsidP="00045660">
            <w:pPr>
              <w:autoSpaceDN w:val="0"/>
              <w:rPr>
                <w:b/>
                <w:bCs/>
                <w:sz w:val="22"/>
                <w:szCs w:val="22"/>
              </w:rPr>
            </w:pPr>
            <w:r w:rsidRPr="00045660">
              <w:rPr>
                <w:b/>
                <w:bCs/>
                <w:sz w:val="22"/>
                <w:szCs w:val="22"/>
              </w:rPr>
              <w:t>Product Name</w:t>
            </w:r>
          </w:p>
        </w:tc>
        <w:tc>
          <w:tcPr>
            <w:tcW w:w="106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Contract Product</w:t>
            </w:r>
          </w:p>
        </w:tc>
        <w:tc>
          <w:tcPr>
            <w:tcW w:w="1353"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Transaction Product</w:t>
            </w:r>
          </w:p>
        </w:tc>
        <w:tc>
          <w:tcPr>
            <w:tcW w:w="7435"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BLACK START SERVICE</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Service available after a system -wide blackout where a generator participates in system restoration activities without the availability of an outside electric supply (Ancillary Service).</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BOOKED OUT POWER                                  </w:t>
            </w:r>
          </w:p>
        </w:tc>
        <w:tc>
          <w:tcPr>
            <w:tcW w:w="1060" w:type="dxa"/>
            <w:vAlign w:val="center"/>
          </w:tcPr>
          <w:p w:rsidR="00045660" w:rsidRPr="00045660" w:rsidRDefault="00045660" w:rsidP="00045660">
            <w:pPr>
              <w:autoSpaceDN w:val="0"/>
              <w:rPr>
                <w:rFonts w:ascii="Wingdings" w:hAnsi="Wingdings" w:cs="Arial"/>
                <w:b/>
                <w:bCs/>
                <w:sz w:val="22"/>
                <w:szCs w:val="22"/>
              </w:rPr>
            </w:pP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Energy or capacity contractually committed bilaterally for delivery but not actually delivered due to some offsetting or countervailing trade (Transaction only).</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CAPACITY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A quantity of demand that is charged on a $/KW or $/MW basis.</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CUSTOMER CHARGE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Fixed contractual charges assessed on a per customer basis that could include billing service.</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DIRECT ASSIGNMENT FACILITIES CHARGE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Charges for facilities or portions of facilities that are constructed or used for the sole use/benefit of a particular customer.</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EMERGENCY ENERGY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tcPr>
          <w:p w:rsidR="00045660" w:rsidRPr="00045660" w:rsidRDefault="00045660" w:rsidP="00045660">
            <w:pPr>
              <w:autoSpaceDN w:val="0"/>
              <w:rPr>
                <w:rFonts w:ascii="Wingdings" w:hAnsi="Wingdings" w:cs="Arial"/>
                <w:b/>
                <w:bCs/>
                <w:sz w:val="22"/>
                <w:szCs w:val="22"/>
              </w:rPr>
            </w:pP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Contractual provisions to supply energy or capacity to another entity during critical situations.</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ENERGY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A quantity of electricity that is sold or transmitted over a period of time.</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ENERGY IMBALANCE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E w:val="0"/>
              <w:autoSpaceDN w:val="0"/>
              <w:adjustRightInd w:val="0"/>
              <w:rPr>
                <w:sz w:val="22"/>
                <w:szCs w:val="22"/>
              </w:rPr>
            </w:pPr>
            <w:r w:rsidRPr="00045660">
              <w:rPr>
                <w:sz w:val="22"/>
                <w:szCs w:val="22"/>
              </w:rPr>
              <w:t>Service provided when a difference occurs between the scheduled and the actual delivery of energy to a load obligation (Ancillary Service). For Contracts,</w:t>
            </w:r>
          </w:p>
          <w:p w:rsidR="00045660" w:rsidRPr="00045660" w:rsidRDefault="00045660" w:rsidP="00045660">
            <w:pPr>
              <w:autoSpaceDE w:val="0"/>
              <w:autoSpaceDN w:val="0"/>
              <w:adjustRightInd w:val="0"/>
              <w:rPr>
                <w:sz w:val="22"/>
                <w:szCs w:val="22"/>
              </w:rPr>
            </w:pPr>
            <w:proofErr w:type="gramStart"/>
            <w:r w:rsidRPr="00045660">
              <w:rPr>
                <w:sz w:val="22"/>
                <w:szCs w:val="22"/>
              </w:rPr>
              <w:t>reported</w:t>
            </w:r>
            <w:proofErr w:type="gramEnd"/>
            <w:r w:rsidRPr="00045660">
              <w:rPr>
                <w:sz w:val="22"/>
                <w:szCs w:val="22"/>
              </w:rPr>
              <w:t xml:space="preserve"> if the contract provides for sale of the product. For Transactions, sales</w:t>
            </w:r>
          </w:p>
          <w:p w:rsidR="00045660" w:rsidRPr="00045660" w:rsidRDefault="00045660" w:rsidP="00045660">
            <w:pPr>
              <w:autoSpaceDN w:val="0"/>
              <w:spacing w:before="40" w:after="40"/>
              <w:rPr>
                <w:sz w:val="22"/>
                <w:szCs w:val="22"/>
              </w:rPr>
            </w:pPr>
            <w:proofErr w:type="gramStart"/>
            <w:r w:rsidRPr="00045660">
              <w:rPr>
                <w:sz w:val="22"/>
                <w:szCs w:val="22"/>
              </w:rPr>
              <w:t>by</w:t>
            </w:r>
            <w:proofErr w:type="gramEnd"/>
            <w:r w:rsidRPr="00045660">
              <w:rPr>
                <w:sz w:val="22"/>
                <w:szCs w:val="22"/>
              </w:rPr>
              <w:t xml:space="preserve"> third-party providers (i.e., non-transmission function) are reported.</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EXCHANGE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Transaction whereby the receiver accepts delivery of energy for a supplier's account and returns energy at times, rates, and in amounts as mutually agreed if the receiver is not an RTO/ISO.</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FUEL CHARGE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Charge based on the cost or amount of fuel used for generation.</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GENERATOR IMBALANCE</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E w:val="0"/>
              <w:autoSpaceDN w:val="0"/>
              <w:adjustRightInd w:val="0"/>
              <w:rPr>
                <w:sz w:val="22"/>
                <w:szCs w:val="22"/>
              </w:rPr>
            </w:pPr>
            <w:r w:rsidRPr="00045660">
              <w:rPr>
                <w:sz w:val="22"/>
                <w:szCs w:val="22"/>
              </w:rPr>
              <w:t>Service provided when a difference occurs between the output of a generator</w:t>
            </w:r>
          </w:p>
          <w:p w:rsidR="00045660" w:rsidRPr="00045660" w:rsidRDefault="00045660" w:rsidP="00045660">
            <w:pPr>
              <w:autoSpaceDE w:val="0"/>
              <w:autoSpaceDN w:val="0"/>
              <w:adjustRightInd w:val="0"/>
              <w:rPr>
                <w:sz w:val="22"/>
                <w:szCs w:val="22"/>
              </w:rPr>
            </w:pPr>
            <w:r w:rsidRPr="00045660">
              <w:rPr>
                <w:sz w:val="22"/>
                <w:szCs w:val="22"/>
              </w:rPr>
              <w:t>located in the Transmission Provider’s Control Area and a delivery schedule from</w:t>
            </w:r>
          </w:p>
          <w:p w:rsidR="00045660" w:rsidRPr="00045660" w:rsidRDefault="00045660" w:rsidP="00045660">
            <w:pPr>
              <w:autoSpaceDE w:val="0"/>
              <w:autoSpaceDN w:val="0"/>
              <w:adjustRightInd w:val="0"/>
              <w:rPr>
                <w:sz w:val="22"/>
                <w:szCs w:val="22"/>
              </w:rPr>
            </w:pPr>
            <w:r w:rsidRPr="00045660">
              <w:rPr>
                <w:sz w:val="22"/>
                <w:szCs w:val="22"/>
              </w:rPr>
              <w:t>that generator to (1) another Control Area or (2) a load within the Transmission</w:t>
            </w:r>
          </w:p>
          <w:p w:rsidR="00045660" w:rsidRPr="00045660" w:rsidRDefault="00045660" w:rsidP="00045660">
            <w:pPr>
              <w:autoSpaceDE w:val="0"/>
              <w:autoSpaceDN w:val="0"/>
              <w:adjustRightInd w:val="0"/>
              <w:rPr>
                <w:sz w:val="22"/>
                <w:szCs w:val="22"/>
              </w:rPr>
            </w:pPr>
            <w:r w:rsidRPr="00045660">
              <w:rPr>
                <w:sz w:val="22"/>
                <w:szCs w:val="22"/>
              </w:rPr>
              <w:t>Provider’s Control Area over a single hour (Ancillary Service). For Contracts, reported if the contract provides for sale of the product. For Transactions, sales by third-party providers (i.e., non-transmission function) are reported.</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lastRenderedPageBreak/>
              <w:t xml:space="preserve">GRANDFATHERED BUNDLED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Services provided for bundled transmission, ancillary services and energy under contracts effective prior to Order No. 888's OATTs.</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INTERCONNECTION AGREEMENT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tcPr>
          <w:p w:rsidR="00045660" w:rsidRPr="00045660" w:rsidRDefault="00045660" w:rsidP="00045660">
            <w:pPr>
              <w:autoSpaceDN w:val="0"/>
              <w:rPr>
                <w:rFonts w:ascii="Wingdings" w:hAnsi="Wingdings" w:cs="Arial"/>
                <w:b/>
                <w:bCs/>
                <w:sz w:val="22"/>
                <w:szCs w:val="22"/>
              </w:rPr>
            </w:pP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Contract that provides the terms and conditions for a generator, distribution system owner, transmission owner, transmission provider, or transmission system to physically connect to a transmission system or distribution system.</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MEMBERSHIP AGREEMENT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Agreement to participate and be subject to rules of a system operator.</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MUST RUN  AGREEMENT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tcPr>
          <w:p w:rsidR="00045660" w:rsidRPr="00045660" w:rsidRDefault="00045660" w:rsidP="00045660">
            <w:pPr>
              <w:autoSpaceDN w:val="0"/>
              <w:rPr>
                <w:rFonts w:ascii="Wingdings" w:hAnsi="Wingdings" w:cs="Arial"/>
                <w:b/>
                <w:bCs/>
                <w:sz w:val="22"/>
                <w:szCs w:val="22"/>
              </w:rPr>
            </w:pP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An agreement that requires a unit to run.</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NEGOTIATED-RATE TRANSMISSION</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Transmission performed under a negotiated rate contract (applies only to merchant transmission companies).</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NETWORK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tcPr>
          <w:p w:rsidR="00045660" w:rsidRPr="00045660" w:rsidRDefault="00045660" w:rsidP="00045660">
            <w:pPr>
              <w:autoSpaceDN w:val="0"/>
              <w:rPr>
                <w:rFonts w:ascii="Wingdings" w:hAnsi="Wingdings" w:cs="Arial"/>
                <w:b/>
                <w:bCs/>
                <w:sz w:val="22"/>
                <w:szCs w:val="22"/>
              </w:rPr>
            </w:pP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Transmission service under contract providing network service.</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NETWORK OPERATING AGREEMENT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An executed agreement that contains the terms and conditions under which a network customer operates its facilities and the technical and operational matters associated with the implementation of network integration transmission service.</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OTHER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Product name not otherwise included.</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POINT-TO-POINT AGREEMENT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Transmission service under contract between specified Points of Receipt and Delivery.</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REACTIVE SUPPLY &amp; VOLTAGE CONTROL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Production or absorption of reactive power to maintain voltage levels on transmission systems (Ancillary Service).</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REAL POWER TRANSMISSION LOSS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bookmarkStart w:id="1" w:name="OLE_LINK1"/>
            <w:bookmarkStart w:id="2" w:name="OLE_LINK2"/>
            <w:r w:rsidRPr="00045660">
              <w:rPr>
                <w:rFonts w:ascii="Wingdings" w:hAnsi="Wingdings" w:cs="Arial"/>
                <w:b/>
                <w:bCs/>
                <w:sz w:val="22"/>
                <w:szCs w:val="22"/>
              </w:rPr>
              <w:t></w:t>
            </w:r>
            <w:bookmarkEnd w:id="1"/>
            <w:bookmarkEnd w:id="2"/>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loss of energy, resulting from transporting power over a transmission system.</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REASSIGNMENT AGREEMENT</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tcPr>
          <w:p w:rsidR="00045660" w:rsidRPr="00045660" w:rsidRDefault="00045660" w:rsidP="00045660">
            <w:pPr>
              <w:autoSpaceDN w:val="0"/>
              <w:rPr>
                <w:rFonts w:ascii="Wingdings" w:hAnsi="Wingdings" w:cs="Arial"/>
                <w:b/>
                <w:bCs/>
                <w:sz w:val="22"/>
                <w:szCs w:val="22"/>
              </w:rPr>
            </w:pPr>
          </w:p>
        </w:tc>
        <w:tc>
          <w:tcPr>
            <w:tcW w:w="7435" w:type="dxa"/>
            <w:vAlign w:val="center"/>
            <w:hideMark/>
          </w:tcPr>
          <w:p w:rsidR="00045660" w:rsidRPr="00045660" w:rsidRDefault="00045660" w:rsidP="00045660">
            <w:pPr>
              <w:autoSpaceDE w:val="0"/>
              <w:autoSpaceDN w:val="0"/>
              <w:adjustRightInd w:val="0"/>
              <w:rPr>
                <w:sz w:val="22"/>
                <w:szCs w:val="22"/>
              </w:rPr>
            </w:pPr>
            <w:r w:rsidRPr="00045660">
              <w:rPr>
                <w:sz w:val="22"/>
                <w:szCs w:val="22"/>
              </w:rPr>
              <w:t>Transmission capacity reassignment agreement.</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lastRenderedPageBreak/>
              <w:t xml:space="preserve">REGULATION &amp; FREQUENCY RESPONSE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E w:val="0"/>
              <w:autoSpaceDN w:val="0"/>
              <w:adjustRightInd w:val="0"/>
              <w:rPr>
                <w:sz w:val="22"/>
                <w:szCs w:val="22"/>
              </w:rPr>
            </w:pPr>
            <w:r w:rsidRPr="00045660">
              <w:rPr>
                <w:sz w:val="22"/>
                <w:szCs w:val="22"/>
              </w:rPr>
              <w:t>Service providing for continuous balancing of resources (generation and interchange) with load, and for maintaining scheduled interconnection frequency by committing on-line generation where output is raised or lowered and by other non-generation resources capable of providing this service as necessary to follow the moment-by-moment changes in load (Ancillary Service). For Contracts, reported if the contract provides for sale of the product. For Transactions, sales by third-party providers (i.e., non-transmission function) are reported.</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REQUIREMENTS SERVICE</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Firm, load-following power supply necessary to serve a specified share of customer's aggregate load during the term of the agreement. Requirements service may include some or all of the energy, capacity and ancillary service products. (If the components of the requirements service are priced separately, they should be reported separately in the transactions tab.)</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SCHEDULE SYSTEM CONTROL &amp; DISPATCH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sz w:val="22"/>
                <w:szCs w:val="22"/>
              </w:rPr>
            </w:pPr>
            <w:r w:rsidRPr="00045660">
              <w:rPr>
                <w:sz w:val="22"/>
                <w:szCs w:val="22"/>
              </w:rPr>
              <w:t>Scheduling, confirming and implementing an interchange schedule with other Balancing Authorities, including intermediary Balancing Authorities providing transmission service, and ensuring operational security during the interchange transaction (Ancillary Service).</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SPINNING RESERVE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shd w:val="clear" w:color="auto" w:fill="FFCC99"/>
            <w:vAlign w:val="center"/>
            <w:hideMark/>
          </w:tcPr>
          <w:p w:rsidR="00045660" w:rsidRPr="00045660" w:rsidRDefault="00045660" w:rsidP="00045660">
            <w:pPr>
              <w:autoSpaceDE w:val="0"/>
              <w:autoSpaceDN w:val="0"/>
              <w:adjustRightInd w:val="0"/>
              <w:rPr>
                <w:sz w:val="22"/>
                <w:szCs w:val="22"/>
              </w:rPr>
            </w:pPr>
            <w:r w:rsidRPr="00045660">
              <w:rPr>
                <w:sz w:val="22"/>
                <w:szCs w:val="22"/>
              </w:rPr>
              <w:t>Unloaded synchronized generating capacity that is immediately responsive to system frequency and that is capable of being loaded in a short time period or non-generation resources capable of providing this service (Ancillary Service). For Contracts, reported if the contract provides for sale of the product. For Transactions, sales by third-party providers (i.e., non-transmission function) are reported.</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 xml:space="preserve">SUPPLEMENTAL RESERVE                              </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E w:val="0"/>
              <w:autoSpaceDN w:val="0"/>
              <w:adjustRightInd w:val="0"/>
              <w:rPr>
                <w:sz w:val="22"/>
                <w:szCs w:val="22"/>
              </w:rPr>
            </w:pPr>
            <w:r w:rsidRPr="00045660">
              <w:rPr>
                <w:sz w:val="22"/>
                <w:szCs w:val="22"/>
              </w:rPr>
              <w:t>Service needed to serve load in the event of a system contingency, available with greater delay than SPINNING RESERVE.  This service may be provided by generating units that are on-line but unloaded, by quick-start generation, or by interruptible load or other non-generation resources capable of providing this service (Ancillary Service). For Contracts, reported if the contract provides for sale of the product. For Transactions, sales by third-party providers (i.e., non-transmission function) are reported.</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lastRenderedPageBreak/>
              <w:t xml:space="preserve">SYSTEM OPERATING AGREEMENTS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An executed agreement that contains the terms and conditions under which a system or network customer shall operate its facilities and the technical and operational matters associated with the implementation of network.</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TOLLING ENERGY</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iCs/>
                <w:sz w:val="22"/>
                <w:szCs w:val="22"/>
              </w:rPr>
            </w:pPr>
            <w:r w:rsidRPr="00045660">
              <w:rPr>
                <w:iCs/>
                <w:sz w:val="22"/>
                <w:szCs w:val="22"/>
              </w:rPr>
              <w:t>Energy sold from a plant whereby the buyer provides fuel to a generator (seller) and receives power in return for pre-established fees.</w:t>
            </w:r>
          </w:p>
        </w:tc>
      </w:tr>
      <w:tr w:rsidR="00045660" w:rsidRPr="00045660" w:rsidTr="00045660">
        <w:trPr>
          <w:cantSplit/>
        </w:trPr>
        <w:tc>
          <w:tcPr>
            <w:tcW w:w="3040"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TRANSMISSION OWNERS AGREEMENT                     </w:t>
            </w:r>
          </w:p>
        </w:tc>
        <w:tc>
          <w:tcPr>
            <w:tcW w:w="1060" w:type="dxa"/>
            <w:shd w:val="clear" w:color="auto" w:fill="FFCC99"/>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shd w:val="clear" w:color="auto" w:fill="FFCC99"/>
            <w:vAlign w:val="center"/>
          </w:tcPr>
          <w:p w:rsidR="00045660" w:rsidRPr="00045660" w:rsidRDefault="00045660" w:rsidP="00045660">
            <w:pPr>
              <w:autoSpaceDN w:val="0"/>
              <w:rPr>
                <w:rFonts w:ascii="Wingdings" w:hAnsi="Wingdings" w:cs="Arial"/>
                <w:b/>
                <w:bCs/>
                <w:sz w:val="22"/>
                <w:szCs w:val="22"/>
              </w:rPr>
            </w:pPr>
          </w:p>
        </w:tc>
        <w:tc>
          <w:tcPr>
            <w:tcW w:w="7435" w:type="dxa"/>
            <w:shd w:val="clear" w:color="auto" w:fill="FFCC99"/>
            <w:noWrap/>
            <w:vAlign w:val="bottom"/>
            <w:hideMark/>
          </w:tcPr>
          <w:p w:rsidR="00045660" w:rsidRPr="00045660" w:rsidRDefault="00045660" w:rsidP="00045660">
            <w:pPr>
              <w:autoSpaceDN w:val="0"/>
              <w:spacing w:before="40" w:after="40"/>
              <w:rPr>
                <w:sz w:val="22"/>
                <w:szCs w:val="22"/>
              </w:rPr>
            </w:pPr>
            <w:r w:rsidRPr="00045660">
              <w:rPr>
                <w:sz w:val="22"/>
                <w:szCs w:val="22"/>
              </w:rPr>
              <w:t>The agreement that establishes the terms and conditions under which a transmission owner transfers operational control over designated transmission facilities.</w:t>
            </w:r>
          </w:p>
        </w:tc>
      </w:tr>
      <w:tr w:rsidR="00045660" w:rsidRPr="00045660" w:rsidTr="00045660">
        <w:trPr>
          <w:cantSplit/>
        </w:trPr>
        <w:tc>
          <w:tcPr>
            <w:tcW w:w="3040" w:type="dxa"/>
            <w:vAlign w:val="center"/>
            <w:hideMark/>
          </w:tcPr>
          <w:p w:rsidR="00045660" w:rsidRPr="00045660" w:rsidRDefault="00045660" w:rsidP="00045660">
            <w:pPr>
              <w:autoSpaceDN w:val="0"/>
              <w:rPr>
                <w:sz w:val="22"/>
                <w:szCs w:val="22"/>
              </w:rPr>
            </w:pPr>
            <w:r w:rsidRPr="00045660">
              <w:rPr>
                <w:sz w:val="22"/>
                <w:szCs w:val="22"/>
              </w:rPr>
              <w:t>UPLIFT</w:t>
            </w:r>
          </w:p>
        </w:tc>
        <w:tc>
          <w:tcPr>
            <w:tcW w:w="1060"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1353" w:type="dxa"/>
            <w:vAlign w:val="center"/>
            <w:hideMark/>
          </w:tcPr>
          <w:p w:rsidR="00045660" w:rsidRPr="00045660" w:rsidRDefault="00045660" w:rsidP="00045660">
            <w:pPr>
              <w:autoSpaceDN w:val="0"/>
              <w:rPr>
                <w:rFonts w:ascii="Wingdings" w:hAnsi="Wingdings" w:cs="Arial"/>
                <w:b/>
                <w:bCs/>
                <w:sz w:val="22"/>
                <w:szCs w:val="22"/>
              </w:rPr>
            </w:pPr>
            <w:r w:rsidRPr="00045660">
              <w:rPr>
                <w:rFonts w:ascii="Wingdings" w:hAnsi="Wingdings" w:cs="Arial"/>
                <w:b/>
                <w:bCs/>
                <w:sz w:val="22"/>
                <w:szCs w:val="22"/>
              </w:rPr>
              <w:t></w:t>
            </w:r>
          </w:p>
        </w:tc>
        <w:tc>
          <w:tcPr>
            <w:tcW w:w="7435" w:type="dxa"/>
            <w:vAlign w:val="center"/>
            <w:hideMark/>
          </w:tcPr>
          <w:p w:rsidR="00045660" w:rsidRPr="00045660" w:rsidRDefault="00045660" w:rsidP="00045660">
            <w:pPr>
              <w:autoSpaceDN w:val="0"/>
              <w:spacing w:before="40" w:after="40"/>
              <w:rPr>
                <w:iCs/>
                <w:sz w:val="22"/>
                <w:szCs w:val="22"/>
              </w:rPr>
            </w:pPr>
            <w:r w:rsidRPr="00045660">
              <w:rPr>
                <w:iCs/>
                <w:sz w:val="22"/>
                <w:szCs w:val="22"/>
              </w:rPr>
              <w:t>A make-whole payment by an RTO/ISO to a utility.</w:t>
            </w:r>
          </w:p>
        </w:tc>
      </w:tr>
    </w:tbl>
    <w:p w:rsidR="00045660" w:rsidRPr="00045660" w:rsidRDefault="00045660" w:rsidP="00045660">
      <w:pPr>
        <w:widowControl w:val="0"/>
        <w:autoSpaceDE w:val="0"/>
        <w:autoSpaceDN w:val="0"/>
        <w:adjustRightInd w:val="0"/>
        <w:spacing w:line="480" w:lineRule="auto"/>
        <w:jc w:val="center"/>
        <w:rPr>
          <w:b/>
          <w:sz w:val="40"/>
          <w:szCs w:val="40"/>
          <w:u w:val="single"/>
        </w:rPr>
      </w:pPr>
    </w:p>
    <w:p w:rsidR="00045660" w:rsidRPr="00045660" w:rsidRDefault="00045660" w:rsidP="00045660">
      <w:pPr>
        <w:widowControl w:val="0"/>
        <w:autoSpaceDE w:val="0"/>
        <w:autoSpaceDN w:val="0"/>
        <w:adjustRightInd w:val="0"/>
        <w:spacing w:line="480" w:lineRule="auto"/>
        <w:jc w:val="center"/>
        <w:rPr>
          <w:b/>
          <w:sz w:val="40"/>
          <w:szCs w:val="40"/>
          <w:u w:val="single"/>
        </w:rPr>
      </w:pPr>
    </w:p>
    <w:p w:rsidR="00045660" w:rsidRPr="00045660" w:rsidRDefault="00045660" w:rsidP="00045660">
      <w:pPr>
        <w:spacing w:line="480" w:lineRule="auto"/>
        <w:rPr>
          <w:b/>
          <w:sz w:val="40"/>
          <w:szCs w:val="40"/>
          <w:u w:val="single"/>
        </w:rPr>
        <w:sectPr w:rsidR="00045660" w:rsidRPr="00045660">
          <w:pgSz w:w="15840" w:h="12240" w:orient="landscape"/>
          <w:pgMar w:top="1440" w:right="1440" w:bottom="1440" w:left="1440" w:header="1440" w:footer="720" w:gutter="0"/>
          <w:pgNumType w:fmt="numberInDash"/>
          <w:cols w:space="720"/>
        </w:sectPr>
      </w:pPr>
    </w:p>
    <w:tbl>
      <w:tblPr>
        <w:tblW w:w="10626" w:type="dxa"/>
        <w:jc w:val="center"/>
        <w:tblLook w:val="04A0" w:firstRow="1" w:lastRow="0" w:firstColumn="1" w:lastColumn="0" w:noHBand="0" w:noVBand="1"/>
      </w:tblPr>
      <w:tblGrid>
        <w:gridCol w:w="7168"/>
        <w:gridCol w:w="1950"/>
        <w:gridCol w:w="1508"/>
      </w:tblGrid>
      <w:tr w:rsidR="00045660" w:rsidRPr="00045660" w:rsidTr="00045660">
        <w:trPr>
          <w:tblHeader/>
          <w:jc w:val="center"/>
        </w:trPr>
        <w:tc>
          <w:tcPr>
            <w:tcW w:w="10626" w:type="dxa"/>
            <w:gridSpan w:val="3"/>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jc w:val="center"/>
              <w:rPr>
                <w:b/>
                <w:bCs/>
                <w:sz w:val="24"/>
              </w:rPr>
            </w:pPr>
            <w:r w:rsidRPr="00045660">
              <w:rPr>
                <w:b/>
                <w:bCs/>
                <w:sz w:val="24"/>
              </w:rPr>
              <w:lastRenderedPageBreak/>
              <w:t>EQR Data Dictionary</w:t>
            </w:r>
          </w:p>
          <w:p w:rsidR="00045660" w:rsidRPr="00045660" w:rsidRDefault="00045660" w:rsidP="00045660">
            <w:pPr>
              <w:autoSpaceDN w:val="0"/>
              <w:jc w:val="center"/>
              <w:rPr>
                <w:b/>
                <w:bCs/>
                <w:sz w:val="22"/>
                <w:szCs w:val="22"/>
              </w:rPr>
            </w:pPr>
            <w:r w:rsidRPr="00045660">
              <w:rPr>
                <w:b/>
                <w:bCs/>
                <w:sz w:val="24"/>
              </w:rPr>
              <w:t>Appendix B. Balancing Authority</w:t>
            </w:r>
          </w:p>
        </w:tc>
      </w:tr>
      <w:tr w:rsidR="00045660" w:rsidRPr="00045660" w:rsidTr="00045660">
        <w:trPr>
          <w:tblHeader/>
          <w:jc w:val="center"/>
        </w:trPr>
        <w:tc>
          <w:tcPr>
            <w:tcW w:w="7168"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Balancing Authority</w:t>
            </w:r>
          </w:p>
        </w:tc>
        <w:tc>
          <w:tcPr>
            <w:tcW w:w="195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Abbreviation</w:t>
            </w:r>
          </w:p>
        </w:tc>
        <w:tc>
          <w:tcPr>
            <w:tcW w:w="1508" w:type="dxa"/>
            <w:tcBorders>
              <w:top w:val="single" w:sz="4" w:space="0" w:color="auto"/>
              <w:left w:val="nil"/>
              <w:bottom w:val="single" w:sz="8" w:space="0" w:color="auto"/>
              <w:right w:val="single" w:sz="4" w:space="0" w:color="auto"/>
            </w:tcBorders>
            <w:hideMark/>
          </w:tcPr>
          <w:p w:rsidR="00045660" w:rsidRPr="00045660" w:rsidRDefault="00045660" w:rsidP="00045660">
            <w:pPr>
              <w:autoSpaceDN w:val="0"/>
              <w:jc w:val="center"/>
              <w:rPr>
                <w:b/>
                <w:bCs/>
                <w:sz w:val="22"/>
                <w:szCs w:val="22"/>
              </w:rPr>
            </w:pPr>
            <w:r w:rsidRPr="00045660">
              <w:rPr>
                <w:b/>
                <w:bCs/>
                <w:sz w:val="22"/>
                <w:szCs w:val="22"/>
              </w:rPr>
              <w:t>Outside US</w:t>
            </w:r>
            <w:r w:rsidRPr="00045660">
              <w:rPr>
                <w:b/>
                <w:bCs/>
                <w:sz w:val="22"/>
                <w:szCs w:val="22"/>
                <w:vertAlign w:val="superscript"/>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AESC, LLC - Wheatland CIN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AEWC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Alabama Electric Cooperative,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AEC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Alberta Electric System Operator</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AESO</w:t>
            </w:r>
          </w:p>
        </w:tc>
        <w:tc>
          <w:tcPr>
            <w:tcW w:w="1508" w:type="dxa"/>
            <w:shd w:val="clear" w:color="auto" w:fill="FFCC99"/>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Alliant Energy Corporate Services, LLC - East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ALTE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Alliant Energy Corporate Services, LLC- West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ALTW</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Ameren Transmission. Illinois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AMIL</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Ameren Transmission. Missouri</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AMMO</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American Transmission Systems,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Aquila Networks – Kansas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WPEK</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lang w:val="fr-FR"/>
              </w:rPr>
            </w:pPr>
            <w:r w:rsidRPr="00045660">
              <w:rPr>
                <w:sz w:val="22"/>
                <w:szCs w:val="22"/>
                <w:lang w:val="fr-FR"/>
              </w:rPr>
              <w:t>Aquila Networks - Missouri Public Service</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MPS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Aquila Networks - West Plains Dispatch</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WPEC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Arizona Public Service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AZPS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Associated Electric Cooperative, Inc.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AECI</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Avista</w:t>
            </w:r>
            <w:proofErr w:type="spellEnd"/>
            <w:r w:rsidRPr="00045660">
              <w:rPr>
                <w:sz w:val="22"/>
                <w:szCs w:val="22"/>
              </w:rPr>
              <w:t xml:space="preserve"> Corp.</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AVA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Batesville Balancing Authority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BBA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BC Hydro T &amp; D - Grid Operations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BCHA</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Big Rivers Electric Corp.</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BREC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Board of Public Utilities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KACY</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Bonneville Power Administration Transmission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BPAT</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British Columbia Transmission Corporation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BCTC</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California Independent System Operator</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CISO</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Carolina Power &amp; Light Company - CPLW</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CPLW</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Carolina Power and Light Company - East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CPLE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Central and Southwest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CSWS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Chelan County PUD</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CHPD</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Cinergy Corporation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CIN</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City of Homestead</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HST</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City of Independence P&amp;L Dept.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INDN</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City of Tallahassee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TAL</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City Water Light &amp; Power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CWLP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City Utilities of Springfield</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SPRM</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Cleco</w:t>
            </w:r>
            <w:proofErr w:type="spellEnd"/>
            <w:r w:rsidRPr="00045660">
              <w:rPr>
                <w:sz w:val="22"/>
                <w:szCs w:val="22"/>
              </w:rPr>
              <w:t xml:space="preserve"> Power LLC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CLEC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lastRenderedPageBreak/>
              <w:t>Columbia Water &amp; Light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CWLD</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Comision</w:t>
            </w:r>
            <w:proofErr w:type="spellEnd"/>
            <w:r w:rsidRPr="00045660">
              <w:rPr>
                <w:sz w:val="22"/>
                <w:szCs w:val="22"/>
              </w:rPr>
              <w:t xml:space="preserve"> Federal de </w:t>
            </w:r>
            <w:proofErr w:type="spellStart"/>
            <w:r w:rsidRPr="00045660">
              <w:rPr>
                <w:sz w:val="22"/>
                <w:szCs w:val="22"/>
              </w:rPr>
              <w:t>Electricidad</w:t>
            </w:r>
            <w:proofErr w:type="spellEnd"/>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CFE</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Comision</w:t>
            </w:r>
            <w:proofErr w:type="spellEnd"/>
            <w:r w:rsidRPr="00045660">
              <w:rPr>
                <w:sz w:val="22"/>
                <w:szCs w:val="22"/>
              </w:rPr>
              <w:t xml:space="preserve"> Federal de </w:t>
            </w:r>
            <w:proofErr w:type="spellStart"/>
            <w:r w:rsidRPr="00045660">
              <w:rPr>
                <w:sz w:val="22"/>
                <w:szCs w:val="22"/>
              </w:rPr>
              <w:t>Electricidad</w:t>
            </w:r>
            <w:proofErr w:type="spellEnd"/>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CFEN</w:t>
            </w:r>
          </w:p>
        </w:tc>
        <w:tc>
          <w:tcPr>
            <w:tcW w:w="1508" w:type="dxa"/>
            <w:shd w:val="clear" w:color="auto" w:fill="FFCC99"/>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GRIF</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Arkansas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PUPP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City of Benton, AR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BUBA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City of Ruston, LA</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DERS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Conway, Arkansas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CNWY</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Gila River</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GRMA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Glacier Wind Energy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GWA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 xml:space="preserve">Constellation Energy Control and Dispatch - </w:t>
            </w:r>
            <w:proofErr w:type="spellStart"/>
            <w:r w:rsidRPr="00045660">
              <w:rPr>
                <w:sz w:val="22"/>
                <w:szCs w:val="22"/>
              </w:rPr>
              <w:t>Harquehala</w:t>
            </w:r>
            <w:proofErr w:type="spellEnd"/>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HGMA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North Little Rock, AK</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DENL</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Osceola Municipal Light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OMLP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Plum Point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PLUM</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Red Mesa</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REDM</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Constellation Energy Control and Dispatch - West Memphis, Arkansas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WMUC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Dairyland</w:t>
            </w:r>
            <w:proofErr w:type="spellEnd"/>
            <w:r w:rsidRPr="00045660">
              <w:rPr>
                <w:sz w:val="22"/>
                <w:szCs w:val="22"/>
              </w:rPr>
              <w:t xml:space="preserve"> Power Cooperative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DPC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DECA, LLC - Arlington Valley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DEAA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Duke Energy Corporation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DUK</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East Kentucky Power Cooperative,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EKPC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El Paso Electric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EPE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Electric Energy,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EEI</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Empire District Electric Co., The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EDE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Entergy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EES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ERCOT ISO</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ERCO</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Florida Municipal Power Pool</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FMPP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Florida Power &amp; Light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FPL</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Florida Power Corporation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FPC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Gainesville Regional Utilities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GVL</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Grand River Dam Authority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GRDA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Grant County PUD No.2</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GCPD</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Great River Energy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lastRenderedPageBreak/>
              <w:t>Great River Energy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Great River Energy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GREN</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Great River Energy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GRES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GridAmerica</w:t>
            </w:r>
            <w:proofErr w:type="spellEnd"/>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GA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Hoosier Energy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 xml:space="preserve">Hydro-Quebec, </w:t>
            </w:r>
            <w:proofErr w:type="spellStart"/>
            <w:r w:rsidRPr="00045660">
              <w:rPr>
                <w:sz w:val="22"/>
                <w:szCs w:val="22"/>
              </w:rPr>
              <w:t>TransEnergie</w:t>
            </w:r>
            <w:proofErr w:type="spellEnd"/>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HQT</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Idaho Power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IPCO</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Imperial Irrigation District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IID</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Indianapolis Power &amp; Light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IPL</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ISO New England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ISNE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JEA</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JEA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Kansas City Power &amp; Light, Co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KCPL</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Lafayette Utilities System</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LAFA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LG&amp;E Energy Transmission Services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LGEE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Lincoln Electric System</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LES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Los Angeles Department of Water and Power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LDWP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Louisiana Energy &amp; Power Authority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LEPA</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Louisiana Generating, LLC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LAGN</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Louisiana Generating, LLC - City of Conway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CWAY</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Louisiana Generating, LLC - City of West Memphis</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WMU</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Louisiana Generating, LLC - North Little Rock</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NLR</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Madison Gas and Electric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MGE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Manitoba Hydro Electric Board, Transmission Services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MHEB</w:t>
            </w:r>
          </w:p>
        </w:tc>
        <w:tc>
          <w:tcPr>
            <w:tcW w:w="1508" w:type="dxa"/>
            <w:shd w:val="clear" w:color="auto" w:fill="FFCC99"/>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Michigan Electric Coordinated System</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MECS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Michigan Electric Coordinated System - CONS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CONS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Michigan Electric Coordinated System - DECO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DECO</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MidAmerican Energy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Midwest ISO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MISO</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Minnesota Power, Inc.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Montana-Dakota Utilities Co.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MDU</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Muscatine Power and Water</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MPW</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Nebraska Public Power District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NPPD</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lastRenderedPageBreak/>
              <w:t>Nevada Power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NEVP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New Brunswick System Operator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b/>
                <w:sz w:val="22"/>
                <w:szCs w:val="22"/>
              </w:rPr>
            </w:pPr>
            <w:r w:rsidRPr="00045660">
              <w:rPr>
                <w:sz w:val="22"/>
                <w:szCs w:val="22"/>
              </w:rPr>
              <w:t>NBSO</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New Horizons Electric Cooperative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NHC1</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New York Independent System Operator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NYIS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Northern Indiana Public Service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NIPS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Northern States Power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NSP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NorthWestern</w:t>
            </w:r>
            <w:proofErr w:type="spellEnd"/>
            <w:r w:rsidRPr="00045660">
              <w:rPr>
                <w:sz w:val="22"/>
                <w:szCs w:val="22"/>
              </w:rPr>
              <w:t xml:space="preserve"> Energy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NWMT</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Ohio Valley Electric Corporation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OVEC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Oklahoma Gas and Electric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OKGE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Ontario - Independent Electricity System Operator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ONT</w:t>
            </w:r>
          </w:p>
        </w:tc>
        <w:tc>
          <w:tcPr>
            <w:tcW w:w="1508" w:type="dxa"/>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OPPD CA/TP</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OPPD</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Otter Tail Power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OTP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P.U.D. No. 1 of Douglas County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DOPD</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PacifiCorp-East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PACE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PacifiCorp-West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PACW</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PJM Interconnection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PJM</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Portland General Electric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PGE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Public Service Company of Colorado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PSCO</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Public Service Company of New Mexico</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PNM</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Puget Sound Energy Transmission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PSEI</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trHeight w:val="387"/>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Reedy Creek Improvement District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RC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Sacramento Municipal Utility District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SMUD</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Salt River Project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SRP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Santee Cooper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SaskPower</w:t>
            </w:r>
            <w:proofErr w:type="spellEnd"/>
            <w:r w:rsidRPr="00045660">
              <w:rPr>
                <w:sz w:val="22"/>
                <w:szCs w:val="22"/>
              </w:rPr>
              <w:t xml:space="preserve"> Grid Control Centre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SPC</w:t>
            </w:r>
          </w:p>
        </w:tc>
        <w:tc>
          <w:tcPr>
            <w:tcW w:w="1508" w:type="dxa"/>
            <w:shd w:val="clear" w:color="auto" w:fill="FFCC99"/>
            <w:hideMark/>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r w:rsidRPr="00045660">
              <w:rPr>
                <w:rFonts w:ascii="Wingdings" w:hAnsi="Wingdings" w:cs="Arial"/>
                <w:b/>
                <w:bCs/>
                <w:sz w:val="22"/>
                <w:szCs w:val="22"/>
              </w:rPr>
              <w:t></w:t>
            </w: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Seattle City Light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SCL</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Seminole Electric Cooperative</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Sierra Pacific Power Co. - Transmission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SPPC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 Carolina Electric &amp; Gas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SCEG</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 Mississippi Electric Power Association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SME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 Mississippi Electric Power Association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SMEE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Southeastern Power Administration - Hartwell</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SEHA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lastRenderedPageBreak/>
              <w:t>Southeastern Power Administration - Russell</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SERU</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Southeastern Power Administration - Thurmond</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SETH</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Southern Company Services, Inc.</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SOCO</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Southern Illinois Power Cooperative</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SIPC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Southern Indiana Gas &amp; Electric Co.</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SIGE</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Southern Minnesota Municipal Power Agency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SMP</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Southwest Power Pool</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SWPP</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Southwestern Power Administration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SPA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Southwestern Public Service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SPS</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Sunflower Electric Power Corporation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SECI</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Tacoma Power</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TPWR</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Tampa Electric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TEC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Tennessee Valley Authority ESO</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TVA</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Trading Hub</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HUB</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proofErr w:type="spellStart"/>
            <w:r w:rsidRPr="00045660">
              <w:rPr>
                <w:sz w:val="22"/>
                <w:szCs w:val="22"/>
              </w:rPr>
              <w:t>TRANSLink</w:t>
            </w:r>
            <w:proofErr w:type="spellEnd"/>
            <w:r w:rsidRPr="00045660">
              <w:rPr>
                <w:sz w:val="22"/>
                <w:szCs w:val="22"/>
              </w:rPr>
              <w:t xml:space="preserve"> Management Company</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TLKN</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Tucson Electric Power Company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TEPC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Turlock Irrigation District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TIDC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Upper Peninsula Power Co.</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UPPC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Utilities Commission, City of New Smyrna Beach</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NSB</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 xml:space="preserve">Westar Energy - </w:t>
            </w:r>
            <w:proofErr w:type="spellStart"/>
            <w:r w:rsidRPr="00045660">
              <w:rPr>
                <w:sz w:val="22"/>
                <w:szCs w:val="22"/>
              </w:rPr>
              <w:t>MoPEP</w:t>
            </w:r>
            <w:proofErr w:type="spellEnd"/>
            <w:r w:rsidRPr="00045660">
              <w:rPr>
                <w:sz w:val="22"/>
                <w:szCs w:val="22"/>
              </w:rPr>
              <w:t xml:space="preserve"> Cities</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MOWR</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Western Area Power Administration - Colorado-Missouri</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WACM</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Western Area Power Administration - Lower Colorado</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WALC</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Western Area Power Administration - Upper Great Plains East</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WAUE</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Western Area Power Administration - Upper Great Plains West</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WAUW</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Western Farmers Electric Cooperative</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WFEC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 xml:space="preserve">Western Resources </w:t>
            </w:r>
            <w:proofErr w:type="spellStart"/>
            <w:r w:rsidRPr="00045660">
              <w:rPr>
                <w:sz w:val="22"/>
                <w:szCs w:val="22"/>
              </w:rPr>
              <w:t>dba</w:t>
            </w:r>
            <w:proofErr w:type="spellEnd"/>
            <w:r w:rsidRPr="00045660">
              <w:rPr>
                <w:sz w:val="22"/>
                <w:szCs w:val="22"/>
              </w:rPr>
              <w:t xml:space="preserve"> Westar Energy</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WR</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Wisconsin Energy Corporation</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WEC</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Wisconsin Public Service Corporation</w:t>
            </w:r>
          </w:p>
        </w:tc>
        <w:tc>
          <w:tcPr>
            <w:tcW w:w="1950" w:type="dxa"/>
            <w:shd w:val="clear" w:color="auto" w:fill="FFCC99"/>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WPS</w:t>
            </w:r>
          </w:p>
        </w:tc>
        <w:tc>
          <w:tcPr>
            <w:tcW w:w="1508" w:type="dxa"/>
            <w:shd w:val="clear" w:color="auto" w:fill="FFCC99"/>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r w:rsidR="00045660" w:rsidRPr="00045660" w:rsidTr="00045660">
        <w:trPr>
          <w:jc w:val="center"/>
        </w:trPr>
        <w:tc>
          <w:tcPr>
            <w:tcW w:w="7168"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Yadkin, Inc.</w:t>
            </w:r>
          </w:p>
        </w:tc>
        <w:tc>
          <w:tcPr>
            <w:tcW w:w="1950" w:type="dxa"/>
            <w:vAlign w:val="center"/>
            <w:hideMark/>
          </w:tcPr>
          <w:p w:rsidR="00045660" w:rsidRPr="00045660" w:rsidRDefault="00045660" w:rsidP="00045660">
            <w:pPr>
              <w:widowControl w:val="0"/>
              <w:autoSpaceDE w:val="0"/>
              <w:autoSpaceDN w:val="0"/>
              <w:adjustRightInd w:val="0"/>
              <w:spacing w:beforeLines="40" w:before="96" w:afterLines="40" w:after="96" w:line="180" w:lineRule="exact"/>
              <w:rPr>
                <w:sz w:val="22"/>
                <w:szCs w:val="22"/>
              </w:rPr>
            </w:pPr>
            <w:r w:rsidRPr="00045660">
              <w:rPr>
                <w:sz w:val="22"/>
                <w:szCs w:val="22"/>
              </w:rPr>
              <w:t>YAD</w:t>
            </w:r>
          </w:p>
        </w:tc>
        <w:tc>
          <w:tcPr>
            <w:tcW w:w="1508" w:type="dxa"/>
          </w:tcPr>
          <w:p w:rsidR="00045660" w:rsidRPr="00045660" w:rsidRDefault="00045660" w:rsidP="00045660">
            <w:pPr>
              <w:widowControl w:val="0"/>
              <w:autoSpaceDE w:val="0"/>
              <w:autoSpaceDN w:val="0"/>
              <w:adjustRightInd w:val="0"/>
              <w:spacing w:beforeLines="40" w:before="96" w:afterLines="40" w:after="96" w:line="180" w:lineRule="exact"/>
              <w:jc w:val="center"/>
              <w:rPr>
                <w:sz w:val="22"/>
                <w:szCs w:val="22"/>
              </w:rPr>
            </w:pPr>
          </w:p>
        </w:tc>
      </w:tr>
    </w:tbl>
    <w:p w:rsidR="00045660" w:rsidRPr="00045660" w:rsidRDefault="00045660" w:rsidP="00045660">
      <w:pPr>
        <w:widowControl w:val="0"/>
        <w:autoSpaceDE w:val="0"/>
        <w:autoSpaceDN w:val="0"/>
        <w:adjustRightInd w:val="0"/>
        <w:spacing w:before="60"/>
      </w:pPr>
      <w:r w:rsidRPr="00045660">
        <w:t>* Balancing authorities outside the United States may only be used in the Contract Data section to identify specified receipt/delivery points in jurisdictional transmission contracts.</w:t>
      </w:r>
    </w:p>
    <w:p w:rsidR="00045660" w:rsidRPr="00045660" w:rsidRDefault="00045660" w:rsidP="00045660">
      <w:pPr>
        <w:sectPr w:rsidR="00045660" w:rsidRPr="00045660">
          <w:pgSz w:w="12240" w:h="15840"/>
          <w:pgMar w:top="1440" w:right="1440" w:bottom="1440" w:left="1440" w:header="1440" w:footer="720" w:gutter="0"/>
          <w:pgNumType w:fmt="numberInDash"/>
          <w:cols w:space="720"/>
        </w:sectPr>
      </w:pPr>
    </w:p>
    <w:p w:rsidR="00045660" w:rsidRPr="00045660" w:rsidRDefault="00045660" w:rsidP="00045660">
      <w:pPr>
        <w:widowControl w:val="0"/>
        <w:autoSpaceDE w:val="0"/>
        <w:autoSpaceDN w:val="0"/>
        <w:adjustRightInd w:val="0"/>
        <w:spacing w:before="60"/>
      </w:pPr>
    </w:p>
    <w:tbl>
      <w:tblPr>
        <w:tblW w:w="12960" w:type="dxa"/>
        <w:tblInd w:w="90" w:type="dxa"/>
        <w:tblLook w:val="04A0" w:firstRow="1" w:lastRow="0" w:firstColumn="1" w:lastColumn="0" w:noHBand="0" w:noVBand="1"/>
      </w:tblPr>
      <w:tblGrid>
        <w:gridCol w:w="3658"/>
        <w:gridCol w:w="9230"/>
        <w:gridCol w:w="72"/>
      </w:tblGrid>
      <w:tr w:rsidR="00045660" w:rsidRPr="00045660" w:rsidTr="00045660">
        <w:trPr>
          <w:gridAfter w:val="1"/>
          <w:wAfter w:w="72" w:type="dxa"/>
          <w:tblHeader/>
        </w:trPr>
        <w:tc>
          <w:tcPr>
            <w:tcW w:w="12888" w:type="dxa"/>
            <w:gridSpan w:val="2"/>
            <w:tcBorders>
              <w:top w:val="nil"/>
              <w:left w:val="nil"/>
              <w:bottom w:val="single" w:sz="8" w:space="0" w:color="auto"/>
              <w:right w:val="nil"/>
            </w:tcBorders>
            <w:noWrap/>
            <w:vAlign w:val="bottom"/>
            <w:hideMark/>
          </w:tcPr>
          <w:p w:rsidR="00045660" w:rsidRPr="00045660" w:rsidRDefault="00045660" w:rsidP="00045660">
            <w:pPr>
              <w:autoSpaceDN w:val="0"/>
              <w:jc w:val="center"/>
              <w:rPr>
                <w:b/>
                <w:bCs/>
                <w:sz w:val="24"/>
              </w:rPr>
            </w:pPr>
            <w:r w:rsidRPr="00045660">
              <w:rPr>
                <w:b/>
                <w:bCs/>
                <w:sz w:val="24"/>
              </w:rPr>
              <w:t>EQR Data Dictionary</w:t>
            </w:r>
          </w:p>
          <w:p w:rsidR="00045660" w:rsidRPr="00045660" w:rsidRDefault="00045660" w:rsidP="00045660">
            <w:pPr>
              <w:autoSpaceDN w:val="0"/>
              <w:jc w:val="center"/>
              <w:rPr>
                <w:b/>
                <w:bCs/>
                <w:sz w:val="24"/>
                <w:szCs w:val="22"/>
              </w:rPr>
            </w:pPr>
            <w:r w:rsidRPr="00045660">
              <w:rPr>
                <w:b/>
                <w:bCs/>
                <w:sz w:val="24"/>
              </w:rPr>
              <w:t>Appendix C. Hub</w:t>
            </w:r>
          </w:p>
        </w:tc>
      </w:tr>
      <w:tr w:rsidR="00045660" w:rsidRPr="00045660" w:rsidTr="00045660">
        <w:tc>
          <w:tcPr>
            <w:tcW w:w="3658" w:type="dxa"/>
            <w:tcBorders>
              <w:top w:val="single" w:sz="4" w:space="0" w:color="auto"/>
              <w:left w:val="single" w:sz="4" w:space="0" w:color="auto"/>
              <w:bottom w:val="single" w:sz="8" w:space="0" w:color="auto"/>
              <w:right w:val="single" w:sz="4" w:space="0" w:color="auto"/>
            </w:tcBorders>
            <w:shd w:val="clear" w:color="auto" w:fill="FFFFFF"/>
            <w:vAlign w:val="bottom"/>
            <w:hideMark/>
          </w:tcPr>
          <w:p w:rsidR="00045660" w:rsidRPr="00045660" w:rsidRDefault="00045660" w:rsidP="00045660">
            <w:pPr>
              <w:autoSpaceDN w:val="0"/>
              <w:rPr>
                <w:b/>
                <w:bCs/>
                <w:sz w:val="22"/>
                <w:szCs w:val="22"/>
              </w:rPr>
            </w:pPr>
            <w:r w:rsidRPr="00045660">
              <w:rPr>
                <w:b/>
                <w:bCs/>
                <w:sz w:val="22"/>
                <w:szCs w:val="22"/>
              </w:rPr>
              <w:t>HUB</w:t>
            </w:r>
          </w:p>
        </w:tc>
        <w:tc>
          <w:tcPr>
            <w:tcW w:w="9302" w:type="dxa"/>
            <w:gridSpan w:val="2"/>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ADHUB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Locational Marginal Price (“LMP”) nodes defined by PJM Interconnection, LLC as the AEP/Dayton Hub.</w:t>
            </w:r>
          </w:p>
        </w:tc>
      </w:tr>
      <w:tr w:rsidR="00045660" w:rsidRPr="00045660" w:rsidTr="00045660">
        <w:tc>
          <w:tcPr>
            <w:tcW w:w="3658" w:type="dxa"/>
            <w:vAlign w:val="center"/>
            <w:hideMark/>
          </w:tcPr>
          <w:p w:rsidR="00045660" w:rsidRPr="00045660" w:rsidRDefault="00045660" w:rsidP="00045660">
            <w:pPr>
              <w:autoSpaceDN w:val="0"/>
              <w:rPr>
                <w:sz w:val="22"/>
                <w:szCs w:val="22"/>
              </w:rPr>
            </w:pPr>
            <w:proofErr w:type="spellStart"/>
            <w:r w:rsidRPr="00045660">
              <w:rPr>
                <w:sz w:val="22"/>
                <w:szCs w:val="22"/>
              </w:rPr>
              <w:t>AEPGenHub</w:t>
            </w:r>
            <w:proofErr w:type="spellEnd"/>
          </w:p>
        </w:tc>
        <w:tc>
          <w:tcPr>
            <w:tcW w:w="9302" w:type="dxa"/>
            <w:gridSpan w:val="2"/>
            <w:vAlign w:val="center"/>
            <w:hideMark/>
          </w:tcPr>
          <w:p w:rsidR="00045660" w:rsidRPr="00045660" w:rsidRDefault="00045660" w:rsidP="00045660">
            <w:pPr>
              <w:autoSpaceDN w:val="0"/>
              <w:spacing w:before="40" w:after="40"/>
              <w:rPr>
                <w:sz w:val="22"/>
                <w:szCs w:val="22"/>
              </w:rPr>
            </w:pPr>
            <w:r w:rsidRPr="00045660">
              <w:rPr>
                <w:sz w:val="22"/>
                <w:szCs w:val="22"/>
              </w:rPr>
              <w:t xml:space="preserve">The aggregated Locational Marginal Price (“LMP”) nodes defined by PJM Interconnection, LLC as the </w:t>
            </w:r>
            <w:proofErr w:type="spellStart"/>
            <w:r w:rsidRPr="00045660">
              <w:rPr>
                <w:sz w:val="22"/>
                <w:szCs w:val="22"/>
              </w:rPr>
              <w:t>AEPGenHub</w:t>
            </w:r>
            <w:proofErr w:type="spellEnd"/>
            <w:r w:rsidRPr="00045660">
              <w:rPr>
                <w:sz w:val="22"/>
                <w:szCs w:val="22"/>
              </w:rPr>
              <w:t>.</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COB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along the California-Oregon commonly identified as and agreed to by the counterparties to constitute the COB Hub.</w:t>
            </w:r>
          </w:p>
        </w:tc>
      </w:tr>
      <w:tr w:rsidR="00045660" w:rsidRPr="00045660" w:rsidTr="00045660">
        <w:tc>
          <w:tcPr>
            <w:tcW w:w="3658" w:type="dxa"/>
            <w:vAlign w:val="center"/>
            <w:hideMark/>
          </w:tcPr>
          <w:p w:rsidR="00045660" w:rsidRPr="00045660" w:rsidRDefault="00045660" w:rsidP="00045660">
            <w:pPr>
              <w:autoSpaceDN w:val="0"/>
              <w:rPr>
                <w:sz w:val="22"/>
                <w:szCs w:val="22"/>
              </w:rPr>
            </w:pPr>
            <w:r w:rsidRPr="00045660">
              <w:rPr>
                <w:sz w:val="22"/>
                <w:szCs w:val="22"/>
              </w:rPr>
              <w:t xml:space="preserve">Cinergy (into)   </w:t>
            </w:r>
          </w:p>
        </w:tc>
        <w:tc>
          <w:tcPr>
            <w:tcW w:w="9302" w:type="dxa"/>
            <w:gridSpan w:val="2"/>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commonly identified as and agreed to by the counterparties to constitute delivery into the Cinergy balancing authority.</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Cinergy Hub (MISO)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Elemental Pricing nodes ("</w:t>
            </w:r>
            <w:proofErr w:type="spellStart"/>
            <w:r w:rsidRPr="00045660">
              <w:rPr>
                <w:sz w:val="22"/>
                <w:szCs w:val="22"/>
              </w:rPr>
              <w:t>Epnodes</w:t>
            </w:r>
            <w:proofErr w:type="spellEnd"/>
            <w:r w:rsidRPr="00045660">
              <w:rPr>
                <w:sz w:val="22"/>
                <w:szCs w:val="22"/>
              </w:rPr>
              <w:t>") defined by the Midwest Independent Transmission System Operator, Inc., as Cinergy Hub (MISO).</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Entergy (into)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commonly identified as and agreed to by the counterparties to constitute delivery into the Entergy balancing authority.</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FE Hub</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Elemental Pricing nodes ("</w:t>
            </w:r>
            <w:proofErr w:type="spellStart"/>
            <w:r w:rsidRPr="00045660">
              <w:rPr>
                <w:sz w:val="22"/>
                <w:szCs w:val="22"/>
              </w:rPr>
              <w:t>Epnodes</w:t>
            </w:r>
            <w:proofErr w:type="spellEnd"/>
            <w:r w:rsidRPr="00045660">
              <w:rPr>
                <w:sz w:val="22"/>
                <w:szCs w:val="22"/>
              </w:rPr>
              <w:t>") defined by the Midwest Independent Transmission System Operator, Inc., as FE Hub (MISO).</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Four Corners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at the Four Corners power plant commonly identified as and agreed to by the counterparties to constitute the Four Corners 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Illinois Hub (MISO)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Elemental Pricing nodes ("</w:t>
            </w:r>
            <w:proofErr w:type="spellStart"/>
            <w:r w:rsidRPr="00045660">
              <w:rPr>
                <w:sz w:val="22"/>
                <w:szCs w:val="22"/>
              </w:rPr>
              <w:t>Epnodes</w:t>
            </w:r>
            <w:proofErr w:type="spellEnd"/>
            <w:r w:rsidRPr="00045660">
              <w:rPr>
                <w:sz w:val="22"/>
                <w:szCs w:val="22"/>
              </w:rPr>
              <w:t>") defined by the Midwest Independent Transmission System Operator, Inc., as Illinois Hub (MISO).</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Mead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at or near Hoover Dam commonly identified as and agreed to by the counterparties to constitute the Mead 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Michigan Hub (MISO)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Elemental Pricing nodes ("</w:t>
            </w:r>
            <w:proofErr w:type="spellStart"/>
            <w:r w:rsidRPr="00045660">
              <w:rPr>
                <w:sz w:val="22"/>
                <w:szCs w:val="22"/>
              </w:rPr>
              <w:t>Epnodes</w:t>
            </w:r>
            <w:proofErr w:type="spellEnd"/>
            <w:r w:rsidRPr="00045660">
              <w:rPr>
                <w:sz w:val="22"/>
                <w:szCs w:val="22"/>
              </w:rPr>
              <w:t>") defined by the Midwest Independent Transmission System Operator, Inc., as Michigan Hub (MISO).</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Mid-Columbia (Mid-C)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along the Columbia River commonly identified as and agreed to by the counterparties to constitute the Mid-Columbia 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Minnesota Hub (MISO)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Elemental Pricing nodes ("</w:t>
            </w:r>
            <w:proofErr w:type="spellStart"/>
            <w:r w:rsidRPr="00045660">
              <w:rPr>
                <w:sz w:val="22"/>
                <w:szCs w:val="22"/>
              </w:rPr>
              <w:t>Epnodes</w:t>
            </w:r>
            <w:proofErr w:type="spellEnd"/>
            <w:r w:rsidRPr="00045660">
              <w:rPr>
                <w:sz w:val="22"/>
                <w:szCs w:val="22"/>
              </w:rPr>
              <w:t>") defined by the Midwest Independent Transmission System Operator, Inc., as Minnesota Hub (MISO).</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NEPOOL (Mass Hub)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 xml:space="preserve">The aggregated Locational Marginal Price (“LMP”) nodes defined by ISO New England Inc., as Mass </w:t>
            </w:r>
            <w:r w:rsidRPr="00045660">
              <w:rPr>
                <w:sz w:val="22"/>
                <w:szCs w:val="22"/>
              </w:rPr>
              <w:lastRenderedPageBreak/>
              <w:t>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lastRenderedPageBreak/>
              <w:t xml:space="preserve">NIHUB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Locational Marginal Price (“LMP”) nodes defined by PJM Interconnection, LLC as the Northern Illinois Hub.</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NOB   </w:t>
            </w:r>
          </w:p>
        </w:tc>
        <w:tc>
          <w:tcPr>
            <w:tcW w:w="9302" w:type="dxa"/>
            <w:gridSpan w:val="2"/>
            <w:shd w:val="clear" w:color="auto" w:fill="FFFFFF"/>
            <w:vAlign w:val="center"/>
            <w:hideMark/>
          </w:tcPr>
          <w:p w:rsidR="00045660" w:rsidRPr="00045660" w:rsidRDefault="00045660" w:rsidP="00045660">
            <w:pPr>
              <w:widowControl w:val="0"/>
              <w:autoSpaceDE w:val="0"/>
              <w:autoSpaceDN w:val="0"/>
              <w:adjustRightInd w:val="0"/>
              <w:spacing w:before="40" w:after="40"/>
              <w:rPr>
                <w:sz w:val="22"/>
                <w:szCs w:val="22"/>
              </w:rPr>
            </w:pPr>
            <w:r w:rsidRPr="00045660">
              <w:rPr>
                <w:sz w:val="22"/>
                <w:szCs w:val="22"/>
              </w:rPr>
              <w:t>The set of delivery points along the Nevada-Oregon border commonly identified as and agreed to by the counterparties to constitute the NOB Hub. </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NP15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north of Path 15 on the California transmission grid commonly identified as and agreed to by the counterparties to constitute the NP15 Hub.</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NWMT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commonly identified as and agreed to by the counterparties to constitute delivery into the Northwestern Energy Montana balancing authority.</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PJM East Hub   </w:t>
            </w:r>
          </w:p>
        </w:tc>
        <w:tc>
          <w:tcPr>
            <w:tcW w:w="9302" w:type="dxa"/>
            <w:gridSpan w:val="2"/>
            <w:shd w:val="clear" w:color="auto" w:fill="FFCC99"/>
            <w:vAlign w:val="center"/>
            <w:hideMark/>
          </w:tcPr>
          <w:p w:rsidR="00045660" w:rsidRPr="00045660" w:rsidRDefault="00045660" w:rsidP="00045660">
            <w:pPr>
              <w:widowControl w:val="0"/>
              <w:autoSpaceDE w:val="0"/>
              <w:autoSpaceDN w:val="0"/>
              <w:adjustRightInd w:val="0"/>
              <w:spacing w:before="40" w:after="40"/>
              <w:rPr>
                <w:sz w:val="22"/>
                <w:szCs w:val="22"/>
              </w:rPr>
            </w:pPr>
            <w:r w:rsidRPr="00045660">
              <w:rPr>
                <w:sz w:val="22"/>
                <w:szCs w:val="22"/>
              </w:rPr>
              <w:t>The aggregated Locational Marginal Price nodes (“LMP”) defined by PJM Interconnection, LLC as the PJM East Hub. </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PJM South Hub</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aggregated Locational Marginal Price (“LMP”) nodes defined by PJM Interconnection, LLC as the PJM South 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PJM West Hub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aggregated Locational Marginal Price (“LMP”) nodes defined by PJM Interconnection, LLC as the PJM Western Hub.</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Palo Verde   </w:t>
            </w:r>
          </w:p>
        </w:tc>
        <w:tc>
          <w:tcPr>
            <w:tcW w:w="9302" w:type="dxa"/>
            <w:gridSpan w:val="2"/>
            <w:shd w:val="clear" w:color="auto" w:fill="FFFFFF"/>
            <w:vAlign w:val="center"/>
            <w:hideMark/>
          </w:tcPr>
          <w:p w:rsidR="00045660" w:rsidRPr="00045660" w:rsidRDefault="00045660" w:rsidP="00045660">
            <w:pPr>
              <w:widowControl w:val="0"/>
              <w:autoSpaceDE w:val="0"/>
              <w:autoSpaceDN w:val="0"/>
              <w:adjustRightInd w:val="0"/>
              <w:spacing w:before="40" w:after="40"/>
              <w:rPr>
                <w:sz w:val="22"/>
                <w:szCs w:val="22"/>
              </w:rPr>
            </w:pPr>
            <w:r w:rsidRPr="00045660">
              <w:rPr>
                <w:sz w:val="22"/>
                <w:szCs w:val="22"/>
              </w:rPr>
              <w:t xml:space="preserve">The switch yard at the Palo Verde nuclear power station west of Phoenix in Arizona.  Palo Verde Hub includes the </w:t>
            </w:r>
            <w:proofErr w:type="spellStart"/>
            <w:r w:rsidRPr="00045660">
              <w:rPr>
                <w:rFonts w:eastAsia="Arial Unicode MS"/>
                <w:sz w:val="22"/>
                <w:szCs w:val="22"/>
              </w:rPr>
              <w:t>Hassayampa</w:t>
            </w:r>
            <w:proofErr w:type="spellEnd"/>
            <w:r w:rsidRPr="00045660">
              <w:rPr>
                <w:rFonts w:eastAsia="Arial Unicode MS"/>
                <w:sz w:val="22"/>
                <w:szCs w:val="22"/>
              </w:rPr>
              <w:t xml:space="preserve"> switchyard 2 miles south of Palo Verde.</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SOCO (into)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commonly identified as and agreed to by the counterparties to constitute delivery into the Southern Company balancing authority.</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SP15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south of Path 15 on the California transmission grid commonly identified as and agreed to by the counterparties to constitute the SP15 Hub.</w:t>
            </w:r>
          </w:p>
        </w:tc>
      </w:tr>
      <w:tr w:rsidR="00045660" w:rsidRPr="00045660" w:rsidTr="00045660">
        <w:tc>
          <w:tcPr>
            <w:tcW w:w="3658" w:type="dxa"/>
            <w:shd w:val="clear" w:color="auto" w:fill="FFCC99"/>
            <w:vAlign w:val="center"/>
            <w:hideMark/>
          </w:tcPr>
          <w:p w:rsidR="00045660" w:rsidRPr="00045660" w:rsidRDefault="00045660" w:rsidP="00045660">
            <w:pPr>
              <w:autoSpaceDN w:val="0"/>
              <w:rPr>
                <w:sz w:val="22"/>
                <w:szCs w:val="22"/>
              </w:rPr>
            </w:pPr>
            <w:r w:rsidRPr="00045660">
              <w:rPr>
                <w:sz w:val="22"/>
                <w:szCs w:val="22"/>
              </w:rPr>
              <w:t xml:space="preserve">TVA (into)   </w:t>
            </w:r>
          </w:p>
        </w:tc>
        <w:tc>
          <w:tcPr>
            <w:tcW w:w="9302" w:type="dxa"/>
            <w:gridSpan w:val="2"/>
            <w:shd w:val="clear" w:color="auto" w:fill="FFCC99"/>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commonly identified as and agreed to by the counterparties to constitute delivery into the Tennessee Valley Authority balancing authority.</w:t>
            </w:r>
          </w:p>
        </w:tc>
      </w:tr>
      <w:tr w:rsidR="00045660" w:rsidRPr="00045660" w:rsidTr="00045660">
        <w:tc>
          <w:tcPr>
            <w:tcW w:w="3658" w:type="dxa"/>
            <w:shd w:val="clear" w:color="auto" w:fill="FFFFFF"/>
            <w:vAlign w:val="center"/>
            <w:hideMark/>
          </w:tcPr>
          <w:p w:rsidR="00045660" w:rsidRPr="00045660" w:rsidRDefault="00045660" w:rsidP="00045660">
            <w:pPr>
              <w:autoSpaceDN w:val="0"/>
              <w:rPr>
                <w:sz w:val="22"/>
                <w:szCs w:val="22"/>
              </w:rPr>
            </w:pPr>
            <w:r w:rsidRPr="00045660">
              <w:rPr>
                <w:sz w:val="22"/>
                <w:szCs w:val="22"/>
              </w:rPr>
              <w:t xml:space="preserve">ZP26   </w:t>
            </w:r>
          </w:p>
        </w:tc>
        <w:tc>
          <w:tcPr>
            <w:tcW w:w="9302" w:type="dxa"/>
            <w:gridSpan w:val="2"/>
            <w:shd w:val="clear" w:color="auto" w:fill="FFFFFF"/>
            <w:vAlign w:val="center"/>
            <w:hideMark/>
          </w:tcPr>
          <w:p w:rsidR="00045660" w:rsidRPr="00045660" w:rsidRDefault="00045660" w:rsidP="00045660">
            <w:pPr>
              <w:autoSpaceDN w:val="0"/>
              <w:spacing w:before="40" w:after="40"/>
              <w:rPr>
                <w:sz w:val="22"/>
                <w:szCs w:val="22"/>
              </w:rPr>
            </w:pPr>
            <w:r w:rsidRPr="00045660">
              <w:rPr>
                <w:sz w:val="22"/>
                <w:szCs w:val="22"/>
              </w:rPr>
              <w:t>The set of delivery points associated with Path 26 on the California transmission grid commonly identified as and agreed to by the counterparties to constitute the ZP26 Hub.</w:t>
            </w:r>
          </w:p>
        </w:tc>
      </w:tr>
    </w:tbl>
    <w:p w:rsidR="00045660" w:rsidRPr="00045660" w:rsidRDefault="00045660" w:rsidP="00045660">
      <w:pPr>
        <w:widowControl w:val="0"/>
        <w:autoSpaceDE w:val="0"/>
        <w:autoSpaceDN w:val="0"/>
        <w:adjustRightInd w:val="0"/>
        <w:spacing w:line="480" w:lineRule="auto"/>
        <w:jc w:val="center"/>
        <w:rPr>
          <w:b/>
          <w:sz w:val="40"/>
          <w:szCs w:val="40"/>
          <w:u w:val="single"/>
        </w:rPr>
      </w:pPr>
      <w:r w:rsidRPr="00045660">
        <w:br w:type="page"/>
      </w:r>
    </w:p>
    <w:tbl>
      <w:tblPr>
        <w:tblW w:w="4020" w:type="dxa"/>
        <w:jc w:val="center"/>
        <w:tblLook w:val="04A0" w:firstRow="1" w:lastRow="0" w:firstColumn="1" w:lastColumn="0" w:noHBand="0" w:noVBand="1"/>
      </w:tblPr>
      <w:tblGrid>
        <w:gridCol w:w="1380"/>
        <w:gridCol w:w="2640"/>
      </w:tblGrid>
      <w:tr w:rsidR="00045660" w:rsidRPr="00045660" w:rsidTr="00045660">
        <w:trPr>
          <w:trHeight w:val="300"/>
          <w:jc w:val="center"/>
        </w:trPr>
        <w:tc>
          <w:tcPr>
            <w:tcW w:w="4020" w:type="dxa"/>
            <w:gridSpan w:val="2"/>
            <w:tcBorders>
              <w:top w:val="nil"/>
              <w:left w:val="nil"/>
              <w:bottom w:val="single" w:sz="8" w:space="0" w:color="auto"/>
              <w:right w:val="nil"/>
            </w:tcBorders>
            <w:vAlign w:val="bottom"/>
            <w:hideMark/>
          </w:tcPr>
          <w:p w:rsidR="00045660" w:rsidRPr="00045660" w:rsidRDefault="00045660" w:rsidP="00045660">
            <w:pPr>
              <w:autoSpaceDN w:val="0"/>
              <w:jc w:val="center"/>
              <w:rPr>
                <w:b/>
                <w:bCs/>
                <w:sz w:val="22"/>
                <w:szCs w:val="22"/>
              </w:rPr>
            </w:pPr>
            <w:r w:rsidRPr="00045660">
              <w:rPr>
                <w:b/>
                <w:bCs/>
                <w:sz w:val="22"/>
                <w:szCs w:val="22"/>
              </w:rPr>
              <w:lastRenderedPageBreak/>
              <w:t>EQR Data Dictionary</w:t>
            </w:r>
          </w:p>
          <w:p w:rsidR="00045660" w:rsidRPr="00045660" w:rsidRDefault="00045660" w:rsidP="00045660">
            <w:pPr>
              <w:autoSpaceDN w:val="0"/>
              <w:jc w:val="center"/>
              <w:rPr>
                <w:b/>
                <w:bCs/>
                <w:sz w:val="22"/>
                <w:szCs w:val="22"/>
              </w:rPr>
            </w:pPr>
            <w:r w:rsidRPr="00045660">
              <w:rPr>
                <w:b/>
                <w:bCs/>
                <w:sz w:val="22"/>
                <w:szCs w:val="22"/>
              </w:rPr>
              <w:t>Appendix D. Time Zone</w:t>
            </w:r>
          </w:p>
        </w:tc>
      </w:tr>
      <w:tr w:rsidR="00045660" w:rsidRPr="00045660" w:rsidTr="00045660">
        <w:trPr>
          <w:trHeight w:val="300"/>
          <w:jc w:val="center"/>
        </w:trPr>
        <w:tc>
          <w:tcPr>
            <w:tcW w:w="1380"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Time Zone</w:t>
            </w:r>
          </w:p>
        </w:tc>
        <w:tc>
          <w:tcPr>
            <w:tcW w:w="264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AD</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Atlantic Daylight</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AP</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Atlantic Prevailing</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AS</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Atlantic Standard</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CD</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Central Daylight</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CP</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Central Prevailing</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CS</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Central Standard</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ED</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Eastern Daylight</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EP</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Eastern Prevailing</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ES</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Eastern Standard</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MD</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Mountain Daylight</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MP</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Mountain Prevailing</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MS</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Mountain Standard</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NA</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Not Applicable</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PD</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Pacific Daylight</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PP</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Pacific Prevailing</w:t>
            </w:r>
          </w:p>
        </w:tc>
      </w:tr>
      <w:tr w:rsidR="00045660" w:rsidRPr="00045660" w:rsidTr="00045660">
        <w:trPr>
          <w:trHeight w:val="300"/>
          <w:jc w:val="center"/>
        </w:trPr>
        <w:tc>
          <w:tcPr>
            <w:tcW w:w="1380" w:type="dxa"/>
            <w:vAlign w:val="center"/>
            <w:hideMark/>
          </w:tcPr>
          <w:p w:rsidR="00045660" w:rsidRPr="00045660" w:rsidRDefault="00045660" w:rsidP="00045660">
            <w:pPr>
              <w:autoSpaceDN w:val="0"/>
              <w:rPr>
                <w:sz w:val="22"/>
                <w:szCs w:val="22"/>
              </w:rPr>
            </w:pPr>
            <w:r w:rsidRPr="00045660">
              <w:rPr>
                <w:sz w:val="22"/>
                <w:szCs w:val="22"/>
              </w:rPr>
              <w:t>PS</w:t>
            </w:r>
          </w:p>
        </w:tc>
        <w:tc>
          <w:tcPr>
            <w:tcW w:w="2640" w:type="dxa"/>
            <w:vAlign w:val="center"/>
            <w:hideMark/>
          </w:tcPr>
          <w:p w:rsidR="00045660" w:rsidRPr="00045660" w:rsidRDefault="00045660" w:rsidP="00045660">
            <w:pPr>
              <w:autoSpaceDN w:val="0"/>
              <w:rPr>
                <w:i/>
                <w:iCs/>
                <w:sz w:val="22"/>
                <w:szCs w:val="22"/>
              </w:rPr>
            </w:pPr>
            <w:r w:rsidRPr="00045660">
              <w:rPr>
                <w:i/>
                <w:iCs/>
                <w:sz w:val="22"/>
                <w:szCs w:val="22"/>
              </w:rPr>
              <w:t>Pacific Standard</w:t>
            </w:r>
          </w:p>
        </w:tc>
      </w:tr>
      <w:tr w:rsidR="00045660" w:rsidRPr="00045660" w:rsidTr="00045660">
        <w:trPr>
          <w:trHeight w:val="300"/>
          <w:jc w:val="center"/>
        </w:trPr>
        <w:tc>
          <w:tcPr>
            <w:tcW w:w="1380" w:type="dxa"/>
            <w:shd w:val="clear" w:color="auto" w:fill="FFCC99"/>
            <w:vAlign w:val="center"/>
            <w:hideMark/>
          </w:tcPr>
          <w:p w:rsidR="00045660" w:rsidRPr="00045660" w:rsidRDefault="00045660" w:rsidP="00045660">
            <w:pPr>
              <w:autoSpaceDN w:val="0"/>
              <w:rPr>
                <w:sz w:val="22"/>
                <w:szCs w:val="22"/>
              </w:rPr>
            </w:pPr>
            <w:r w:rsidRPr="00045660">
              <w:rPr>
                <w:sz w:val="22"/>
                <w:szCs w:val="22"/>
              </w:rPr>
              <w:t>UT</w:t>
            </w:r>
          </w:p>
        </w:tc>
        <w:tc>
          <w:tcPr>
            <w:tcW w:w="2640" w:type="dxa"/>
            <w:shd w:val="clear" w:color="auto" w:fill="FFCC99"/>
            <w:vAlign w:val="center"/>
            <w:hideMark/>
          </w:tcPr>
          <w:p w:rsidR="00045660" w:rsidRPr="00045660" w:rsidRDefault="00045660" w:rsidP="00045660">
            <w:pPr>
              <w:autoSpaceDN w:val="0"/>
              <w:rPr>
                <w:i/>
                <w:iCs/>
                <w:sz w:val="22"/>
                <w:szCs w:val="22"/>
              </w:rPr>
            </w:pPr>
            <w:r w:rsidRPr="00045660">
              <w:rPr>
                <w:i/>
                <w:iCs/>
                <w:sz w:val="22"/>
                <w:szCs w:val="22"/>
              </w:rPr>
              <w:t>Universal Time</w:t>
            </w:r>
          </w:p>
        </w:tc>
      </w:tr>
    </w:tbl>
    <w:p w:rsidR="00045660" w:rsidRPr="00045660" w:rsidRDefault="00045660" w:rsidP="00045660">
      <w:pPr>
        <w:widowControl w:val="0"/>
        <w:autoSpaceDE w:val="0"/>
        <w:autoSpaceDN w:val="0"/>
        <w:adjustRightInd w:val="0"/>
        <w:spacing w:line="480" w:lineRule="auto"/>
        <w:jc w:val="center"/>
        <w:rPr>
          <w:b/>
          <w:sz w:val="40"/>
          <w:szCs w:val="40"/>
          <w:u w:val="single"/>
        </w:rPr>
      </w:pPr>
    </w:p>
    <w:p w:rsidR="00045660" w:rsidRPr="00045660" w:rsidRDefault="00045660" w:rsidP="00045660">
      <w:pPr>
        <w:widowControl w:val="0"/>
        <w:autoSpaceDE w:val="0"/>
        <w:autoSpaceDN w:val="0"/>
        <w:adjustRightInd w:val="0"/>
        <w:spacing w:line="480" w:lineRule="auto"/>
        <w:jc w:val="center"/>
        <w:rPr>
          <w:b/>
          <w:sz w:val="40"/>
          <w:szCs w:val="40"/>
          <w:u w:val="single"/>
        </w:rPr>
      </w:pPr>
    </w:p>
    <w:p w:rsidR="00045660" w:rsidRPr="00045660" w:rsidRDefault="00045660" w:rsidP="00045660">
      <w:pPr>
        <w:widowControl w:val="0"/>
        <w:autoSpaceDE w:val="0"/>
        <w:autoSpaceDN w:val="0"/>
        <w:adjustRightInd w:val="0"/>
        <w:spacing w:line="480" w:lineRule="auto"/>
        <w:jc w:val="center"/>
        <w:rPr>
          <w:b/>
          <w:sz w:val="40"/>
          <w:szCs w:val="40"/>
          <w:u w:val="single"/>
        </w:rPr>
      </w:pPr>
    </w:p>
    <w:tbl>
      <w:tblPr>
        <w:tblW w:w="4390" w:type="dxa"/>
        <w:jc w:val="center"/>
        <w:tblInd w:w="-250" w:type="dxa"/>
        <w:tblLook w:val="04A0" w:firstRow="1" w:lastRow="0" w:firstColumn="1" w:lastColumn="0" w:noHBand="0" w:noVBand="1"/>
      </w:tblPr>
      <w:tblGrid>
        <w:gridCol w:w="1550"/>
        <w:gridCol w:w="2840"/>
      </w:tblGrid>
      <w:tr w:rsidR="00045660" w:rsidRPr="00045660" w:rsidTr="00045660">
        <w:trPr>
          <w:trHeight w:val="300"/>
          <w:jc w:val="center"/>
        </w:trPr>
        <w:tc>
          <w:tcPr>
            <w:tcW w:w="4390" w:type="dxa"/>
            <w:gridSpan w:val="2"/>
            <w:tcBorders>
              <w:top w:val="nil"/>
              <w:left w:val="nil"/>
              <w:bottom w:val="single" w:sz="8" w:space="0" w:color="auto"/>
              <w:right w:val="nil"/>
            </w:tcBorders>
            <w:vAlign w:val="bottom"/>
            <w:hideMark/>
          </w:tcPr>
          <w:p w:rsidR="00045660" w:rsidRPr="00045660" w:rsidRDefault="00045660" w:rsidP="00045660">
            <w:pPr>
              <w:autoSpaceDN w:val="0"/>
              <w:jc w:val="center"/>
              <w:rPr>
                <w:b/>
                <w:bCs/>
                <w:sz w:val="22"/>
                <w:szCs w:val="22"/>
              </w:rPr>
            </w:pPr>
            <w:r w:rsidRPr="00045660">
              <w:rPr>
                <w:b/>
                <w:bCs/>
                <w:sz w:val="22"/>
                <w:szCs w:val="22"/>
              </w:rPr>
              <w:t>EQR Data Dictionary</w:t>
            </w:r>
          </w:p>
          <w:p w:rsidR="00045660" w:rsidRPr="00045660" w:rsidRDefault="00045660" w:rsidP="00045660">
            <w:pPr>
              <w:autoSpaceDN w:val="0"/>
              <w:jc w:val="center"/>
              <w:rPr>
                <w:b/>
                <w:bCs/>
                <w:sz w:val="22"/>
                <w:szCs w:val="22"/>
              </w:rPr>
            </w:pPr>
            <w:r w:rsidRPr="00045660">
              <w:rPr>
                <w:b/>
                <w:bCs/>
                <w:sz w:val="22"/>
                <w:szCs w:val="22"/>
              </w:rPr>
              <w:t>Appendix E. Units</w:t>
            </w:r>
          </w:p>
        </w:tc>
      </w:tr>
      <w:tr w:rsidR="00045660" w:rsidRPr="00045660" w:rsidTr="00045660">
        <w:trPr>
          <w:trHeight w:val="300"/>
          <w:jc w:val="center"/>
        </w:trPr>
        <w:tc>
          <w:tcPr>
            <w:tcW w:w="1550"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lastRenderedPageBreak/>
              <w:t>Units</w:t>
            </w:r>
          </w:p>
        </w:tc>
        <w:tc>
          <w:tcPr>
            <w:tcW w:w="284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KV</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Kilovolt</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KVA</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Kilovolt Amperes</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KVR</w:t>
            </w:r>
          </w:p>
        </w:tc>
        <w:tc>
          <w:tcPr>
            <w:tcW w:w="2840" w:type="dxa"/>
            <w:shd w:val="clear" w:color="auto" w:fill="FFCC99"/>
            <w:noWrap/>
            <w:vAlign w:val="bottom"/>
            <w:hideMark/>
          </w:tcPr>
          <w:p w:rsidR="00045660" w:rsidRPr="00045660" w:rsidRDefault="00045660" w:rsidP="00045660">
            <w:pPr>
              <w:autoSpaceDN w:val="0"/>
              <w:rPr>
                <w:i/>
                <w:iCs/>
                <w:sz w:val="22"/>
                <w:szCs w:val="22"/>
              </w:rPr>
            </w:pPr>
            <w:proofErr w:type="spellStart"/>
            <w:r w:rsidRPr="00045660">
              <w:rPr>
                <w:i/>
                <w:iCs/>
                <w:sz w:val="22"/>
                <w:szCs w:val="22"/>
              </w:rPr>
              <w:t>Kilovar</w:t>
            </w:r>
            <w:proofErr w:type="spellEnd"/>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Kilowatt</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KWH</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Kilowatt Hour</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KW-DAY</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Kilowatt Day</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KW-MO</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Kilowatt Month</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KW-WK</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Kilowatt Week</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KW-YR</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Kilowatt Year</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MVAR-YR</w:t>
            </w:r>
          </w:p>
        </w:tc>
        <w:tc>
          <w:tcPr>
            <w:tcW w:w="2840" w:type="dxa"/>
            <w:shd w:val="clear" w:color="auto" w:fill="FFFFFF"/>
            <w:noWrap/>
            <w:vAlign w:val="bottom"/>
            <w:hideMark/>
          </w:tcPr>
          <w:p w:rsidR="00045660" w:rsidRPr="00045660" w:rsidRDefault="00045660" w:rsidP="00045660">
            <w:pPr>
              <w:autoSpaceDN w:val="0"/>
              <w:rPr>
                <w:i/>
                <w:iCs/>
                <w:sz w:val="22"/>
                <w:szCs w:val="22"/>
              </w:rPr>
            </w:pPr>
            <w:proofErr w:type="spellStart"/>
            <w:r w:rsidRPr="00045660">
              <w:rPr>
                <w:i/>
                <w:iCs/>
                <w:sz w:val="22"/>
                <w:szCs w:val="22"/>
              </w:rPr>
              <w:t>Megavar</w:t>
            </w:r>
            <w:proofErr w:type="spellEnd"/>
            <w:r w:rsidRPr="00045660">
              <w:rPr>
                <w:i/>
                <w:iCs/>
                <w:sz w:val="22"/>
                <w:szCs w:val="22"/>
              </w:rPr>
              <w:t xml:space="preserve"> Year</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Megawatt</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MWH</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Megawatt Hour</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MW-DAY</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Megawatt Day</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MW-MO</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Megawatt Month</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MW-WK</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Megawatt Week</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MW-YR</w:t>
            </w:r>
          </w:p>
        </w:tc>
        <w:tc>
          <w:tcPr>
            <w:tcW w:w="284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Megawatt Year</w:t>
            </w:r>
          </w:p>
        </w:tc>
      </w:tr>
      <w:tr w:rsidR="00045660" w:rsidRPr="00045660" w:rsidTr="00045660">
        <w:trPr>
          <w:trHeight w:val="300"/>
          <w:jc w:val="center"/>
        </w:trPr>
        <w:tc>
          <w:tcPr>
            <w:tcW w:w="155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RKVA</w:t>
            </w:r>
          </w:p>
        </w:tc>
        <w:tc>
          <w:tcPr>
            <w:tcW w:w="284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Reactive Kilovolt Amperes</w:t>
            </w:r>
          </w:p>
        </w:tc>
      </w:tr>
      <w:tr w:rsidR="00045660" w:rsidRPr="00045660" w:rsidTr="00045660">
        <w:trPr>
          <w:trHeight w:val="300"/>
          <w:jc w:val="center"/>
        </w:trPr>
        <w:tc>
          <w:tcPr>
            <w:tcW w:w="155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FLAT RATE</w:t>
            </w:r>
          </w:p>
        </w:tc>
        <w:tc>
          <w:tcPr>
            <w:tcW w:w="2840" w:type="dxa"/>
            <w:shd w:val="clear" w:color="auto" w:fill="FFFFFF"/>
            <w:noWrap/>
            <w:vAlign w:val="bottom"/>
            <w:hideMark/>
          </w:tcPr>
          <w:p w:rsidR="00045660" w:rsidRPr="00045660" w:rsidRDefault="00045660" w:rsidP="00045660">
            <w:pPr>
              <w:autoSpaceDN w:val="0"/>
              <w:rPr>
                <w:i/>
                <w:sz w:val="22"/>
                <w:szCs w:val="22"/>
              </w:rPr>
            </w:pPr>
            <w:r w:rsidRPr="00045660">
              <w:rPr>
                <w:sz w:val="22"/>
                <w:szCs w:val="22"/>
              </w:rPr>
              <w:t> </w:t>
            </w:r>
            <w:r w:rsidRPr="00045660">
              <w:rPr>
                <w:i/>
                <w:sz w:val="22"/>
                <w:szCs w:val="22"/>
              </w:rPr>
              <w:t>Flat Rate</w:t>
            </w:r>
          </w:p>
        </w:tc>
      </w:tr>
    </w:tbl>
    <w:p w:rsidR="00045660" w:rsidRPr="00045660" w:rsidRDefault="00045660" w:rsidP="00045660">
      <w:pPr>
        <w:widowControl w:val="0"/>
        <w:autoSpaceDE w:val="0"/>
        <w:autoSpaceDN w:val="0"/>
        <w:adjustRightInd w:val="0"/>
        <w:spacing w:line="480" w:lineRule="auto"/>
        <w:jc w:val="center"/>
        <w:rPr>
          <w:b/>
          <w:sz w:val="40"/>
          <w:szCs w:val="40"/>
          <w:u w:val="single"/>
        </w:rPr>
      </w:pPr>
      <w:r w:rsidRPr="00045660">
        <w:rPr>
          <w:b/>
          <w:sz w:val="40"/>
          <w:szCs w:val="40"/>
          <w:u w:val="single"/>
        </w:rPr>
        <w:br w:type="page"/>
      </w:r>
    </w:p>
    <w:tbl>
      <w:tblPr>
        <w:tblW w:w="5260" w:type="dxa"/>
        <w:jc w:val="center"/>
        <w:tblLook w:val="04A0" w:firstRow="1" w:lastRow="0" w:firstColumn="1" w:lastColumn="0" w:noHBand="0" w:noVBand="1"/>
      </w:tblPr>
      <w:tblGrid>
        <w:gridCol w:w="1500"/>
        <w:gridCol w:w="3760"/>
      </w:tblGrid>
      <w:tr w:rsidR="00045660" w:rsidRPr="00045660" w:rsidTr="00045660">
        <w:trPr>
          <w:trHeight w:val="300"/>
          <w:jc w:val="center"/>
        </w:trPr>
        <w:tc>
          <w:tcPr>
            <w:tcW w:w="5260" w:type="dxa"/>
            <w:gridSpan w:val="2"/>
            <w:tcBorders>
              <w:top w:val="nil"/>
              <w:left w:val="nil"/>
              <w:bottom w:val="single" w:sz="8" w:space="0" w:color="auto"/>
              <w:right w:val="nil"/>
            </w:tcBorders>
            <w:vAlign w:val="bottom"/>
            <w:hideMark/>
          </w:tcPr>
          <w:p w:rsidR="00045660" w:rsidRPr="00045660" w:rsidRDefault="00045660" w:rsidP="00045660">
            <w:pPr>
              <w:autoSpaceDN w:val="0"/>
              <w:jc w:val="center"/>
              <w:rPr>
                <w:b/>
                <w:bCs/>
                <w:sz w:val="22"/>
                <w:szCs w:val="22"/>
              </w:rPr>
            </w:pPr>
            <w:r w:rsidRPr="00045660">
              <w:rPr>
                <w:b/>
                <w:bCs/>
                <w:sz w:val="22"/>
                <w:szCs w:val="22"/>
              </w:rPr>
              <w:lastRenderedPageBreak/>
              <w:t>EQR Data Dictionary</w:t>
            </w:r>
          </w:p>
          <w:p w:rsidR="00045660" w:rsidRPr="00045660" w:rsidRDefault="00045660" w:rsidP="00045660">
            <w:pPr>
              <w:autoSpaceDN w:val="0"/>
              <w:jc w:val="center"/>
              <w:rPr>
                <w:b/>
                <w:bCs/>
                <w:sz w:val="22"/>
                <w:szCs w:val="22"/>
              </w:rPr>
            </w:pPr>
            <w:r w:rsidRPr="00045660">
              <w:rPr>
                <w:b/>
                <w:bCs/>
                <w:sz w:val="22"/>
                <w:szCs w:val="22"/>
              </w:rPr>
              <w:t>Appendix F. Rate Units</w:t>
            </w:r>
          </w:p>
        </w:tc>
      </w:tr>
      <w:tr w:rsidR="00045660" w:rsidRPr="00045660" w:rsidTr="00045660">
        <w:trPr>
          <w:trHeight w:val="300"/>
          <w:jc w:val="center"/>
        </w:trPr>
        <w:tc>
          <w:tcPr>
            <w:tcW w:w="1500"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Rate Units</w:t>
            </w:r>
          </w:p>
        </w:tc>
        <w:tc>
          <w:tcPr>
            <w:tcW w:w="376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trHeight w:val="300"/>
          <w:jc w:val="center"/>
        </w:trPr>
        <w:tc>
          <w:tcPr>
            <w:tcW w:w="1500" w:type="dxa"/>
            <w:shd w:val="clear" w:color="auto" w:fill="FFCC99"/>
            <w:vAlign w:val="center"/>
            <w:hideMark/>
          </w:tcPr>
          <w:p w:rsidR="00045660" w:rsidRPr="00045660" w:rsidRDefault="00045660" w:rsidP="00045660">
            <w:pPr>
              <w:autoSpaceDN w:val="0"/>
              <w:rPr>
                <w:sz w:val="22"/>
                <w:szCs w:val="22"/>
              </w:rPr>
            </w:pPr>
            <w:r w:rsidRPr="00045660">
              <w:rPr>
                <w:sz w:val="22"/>
                <w:szCs w:val="22"/>
              </w:rPr>
              <w:t>$/KV</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kilovolt</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$/KVA</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kilovolt amperes</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$/KVR</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 xml:space="preserve">dollars per </w:t>
            </w:r>
            <w:proofErr w:type="spellStart"/>
            <w:r w:rsidRPr="00045660">
              <w:rPr>
                <w:i/>
                <w:iCs/>
                <w:sz w:val="22"/>
                <w:szCs w:val="22"/>
              </w:rPr>
              <w:t>kilovar</w:t>
            </w:r>
            <w:proofErr w:type="spellEnd"/>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kilowatt</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$/KWH</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kilowatt hour</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$/KW-DAY</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kilowatt day</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$/KW-MO</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kilowatt month</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$/KW-WK</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kilowatt week</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$/KW-YR</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kilowatt year</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megawatt</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$/MWH</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megawatt hour</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$/MW-DAY</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megawatt day</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$/MW-MO</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megawatt month</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$/MW-WK</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dollars per megawatt week</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$/MW-YR</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dollars per megawatt year</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$/MVAR-YR</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 xml:space="preserve">dollars per </w:t>
            </w:r>
            <w:proofErr w:type="spellStart"/>
            <w:r w:rsidRPr="00045660">
              <w:rPr>
                <w:i/>
                <w:iCs/>
                <w:sz w:val="22"/>
                <w:szCs w:val="22"/>
              </w:rPr>
              <w:t>megavar</w:t>
            </w:r>
            <w:proofErr w:type="spellEnd"/>
            <w:r w:rsidRPr="00045660">
              <w:rPr>
                <w:i/>
                <w:iCs/>
                <w:sz w:val="22"/>
                <w:szCs w:val="22"/>
              </w:rPr>
              <w:t xml:space="preserve"> year</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$/RKVA</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 xml:space="preserve">dollars per reactive </w:t>
            </w:r>
            <w:proofErr w:type="spellStart"/>
            <w:r w:rsidRPr="00045660">
              <w:rPr>
                <w:i/>
                <w:iCs/>
                <w:sz w:val="22"/>
                <w:szCs w:val="22"/>
              </w:rPr>
              <w:t>kilovar</w:t>
            </w:r>
            <w:proofErr w:type="spellEnd"/>
            <w:r w:rsidRPr="00045660">
              <w:rPr>
                <w:i/>
                <w:iCs/>
                <w:sz w:val="22"/>
                <w:szCs w:val="22"/>
              </w:rPr>
              <w:t xml:space="preserve"> amperes</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CENTS</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cents</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CENTS/KVR</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cents per kilovolt amperes</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CENTS/KWH</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cents per kilowatt hour</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FLAT RATE</w:t>
            </w:r>
          </w:p>
        </w:tc>
        <w:tc>
          <w:tcPr>
            <w:tcW w:w="3760" w:type="dxa"/>
            <w:shd w:val="clear" w:color="auto" w:fill="FFCC99"/>
            <w:noWrap/>
            <w:vAlign w:val="bottom"/>
            <w:hideMark/>
          </w:tcPr>
          <w:p w:rsidR="00045660" w:rsidRPr="00045660" w:rsidRDefault="00045660" w:rsidP="00045660">
            <w:pPr>
              <w:autoSpaceDE w:val="0"/>
              <w:autoSpaceDN w:val="0"/>
              <w:adjustRightInd w:val="0"/>
              <w:rPr>
                <w:i/>
                <w:sz w:val="22"/>
                <w:szCs w:val="22"/>
              </w:rPr>
            </w:pPr>
            <w:r w:rsidRPr="00045660">
              <w:rPr>
                <w:i/>
                <w:sz w:val="22"/>
                <w:szCs w:val="22"/>
              </w:rPr>
              <w:t>rate not specified in any other units</w:t>
            </w:r>
          </w:p>
        </w:tc>
      </w:tr>
    </w:tbl>
    <w:p w:rsidR="00045660" w:rsidRPr="00045660" w:rsidRDefault="00045660" w:rsidP="00045660">
      <w:pPr>
        <w:widowControl w:val="0"/>
        <w:autoSpaceDE w:val="0"/>
        <w:autoSpaceDN w:val="0"/>
        <w:adjustRightInd w:val="0"/>
        <w:spacing w:line="480" w:lineRule="auto"/>
        <w:jc w:val="center"/>
        <w:rPr>
          <w:b/>
          <w:sz w:val="40"/>
          <w:szCs w:val="40"/>
          <w:u w:val="single"/>
        </w:rPr>
      </w:pPr>
    </w:p>
    <w:p w:rsidR="00045660" w:rsidRPr="00045660" w:rsidRDefault="00045660" w:rsidP="00045660">
      <w:pPr>
        <w:widowControl w:val="0"/>
        <w:autoSpaceDE w:val="0"/>
        <w:autoSpaceDN w:val="0"/>
        <w:adjustRightInd w:val="0"/>
      </w:pPr>
      <w:r w:rsidRPr="00045660">
        <w:br w:type="page"/>
      </w:r>
    </w:p>
    <w:tbl>
      <w:tblPr>
        <w:tblW w:w="5260" w:type="dxa"/>
        <w:jc w:val="center"/>
        <w:tblLook w:val="04A0" w:firstRow="1" w:lastRow="0" w:firstColumn="1" w:lastColumn="0" w:noHBand="0" w:noVBand="1"/>
      </w:tblPr>
      <w:tblGrid>
        <w:gridCol w:w="1500"/>
        <w:gridCol w:w="3760"/>
      </w:tblGrid>
      <w:tr w:rsidR="00045660" w:rsidRPr="00045660" w:rsidTr="00045660">
        <w:trPr>
          <w:trHeight w:val="300"/>
          <w:jc w:val="center"/>
        </w:trPr>
        <w:tc>
          <w:tcPr>
            <w:tcW w:w="5260" w:type="dxa"/>
            <w:gridSpan w:val="2"/>
            <w:tcBorders>
              <w:top w:val="nil"/>
              <w:left w:val="nil"/>
              <w:bottom w:val="single" w:sz="8" w:space="0" w:color="auto"/>
              <w:right w:val="nil"/>
            </w:tcBorders>
            <w:vAlign w:val="bottom"/>
            <w:hideMark/>
          </w:tcPr>
          <w:p w:rsidR="00045660" w:rsidRPr="00045660" w:rsidRDefault="00045660" w:rsidP="00045660">
            <w:pPr>
              <w:autoSpaceDN w:val="0"/>
              <w:jc w:val="center"/>
              <w:rPr>
                <w:b/>
                <w:bCs/>
                <w:sz w:val="22"/>
                <w:szCs w:val="22"/>
              </w:rPr>
            </w:pPr>
            <w:r w:rsidRPr="00045660">
              <w:rPr>
                <w:b/>
                <w:bCs/>
                <w:sz w:val="22"/>
                <w:szCs w:val="22"/>
              </w:rPr>
              <w:lastRenderedPageBreak/>
              <w:t>EQR Data Dictionary</w:t>
            </w:r>
          </w:p>
          <w:p w:rsidR="00045660" w:rsidRPr="00045660" w:rsidRDefault="00045660" w:rsidP="00045660">
            <w:pPr>
              <w:autoSpaceDN w:val="0"/>
              <w:jc w:val="center"/>
              <w:rPr>
                <w:b/>
                <w:bCs/>
                <w:sz w:val="22"/>
                <w:szCs w:val="22"/>
              </w:rPr>
            </w:pPr>
            <w:r w:rsidRPr="00045660">
              <w:rPr>
                <w:b/>
                <w:bCs/>
                <w:sz w:val="22"/>
                <w:szCs w:val="22"/>
              </w:rPr>
              <w:t>Appendix G. Index Price Publisher</w:t>
            </w:r>
          </w:p>
        </w:tc>
      </w:tr>
      <w:tr w:rsidR="00045660" w:rsidRPr="00045660" w:rsidTr="00045660">
        <w:trPr>
          <w:trHeight w:val="300"/>
          <w:jc w:val="center"/>
        </w:trPr>
        <w:tc>
          <w:tcPr>
            <w:tcW w:w="1500"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Index Price Publisher Abbreviation</w:t>
            </w:r>
          </w:p>
        </w:tc>
        <w:tc>
          <w:tcPr>
            <w:tcW w:w="376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Index Price Publisher</w:t>
            </w:r>
          </w:p>
        </w:tc>
      </w:tr>
      <w:tr w:rsidR="00045660" w:rsidRPr="00045660" w:rsidTr="00045660">
        <w:trPr>
          <w:trHeight w:val="300"/>
          <w:jc w:val="center"/>
        </w:trPr>
        <w:tc>
          <w:tcPr>
            <w:tcW w:w="1500" w:type="dxa"/>
            <w:shd w:val="clear" w:color="auto" w:fill="FFCC99"/>
            <w:vAlign w:val="center"/>
            <w:hideMark/>
          </w:tcPr>
          <w:p w:rsidR="00045660" w:rsidRPr="00045660" w:rsidRDefault="00045660" w:rsidP="00045660">
            <w:pPr>
              <w:autoSpaceDN w:val="0"/>
              <w:rPr>
                <w:sz w:val="22"/>
                <w:szCs w:val="22"/>
              </w:rPr>
            </w:pPr>
            <w:r w:rsidRPr="00045660">
              <w:rPr>
                <w:sz w:val="22"/>
                <w:szCs w:val="22"/>
              </w:rPr>
              <w:t>AM</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Argus Media</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EIG</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Energy Intelligence Group, Inc.</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IP</w:t>
            </w:r>
          </w:p>
        </w:tc>
        <w:tc>
          <w:tcPr>
            <w:tcW w:w="3760" w:type="dxa"/>
            <w:shd w:val="clear" w:color="auto" w:fill="FFCC99"/>
            <w:noWrap/>
            <w:vAlign w:val="bottom"/>
            <w:hideMark/>
          </w:tcPr>
          <w:p w:rsidR="00045660" w:rsidRPr="00045660" w:rsidRDefault="00045660" w:rsidP="00045660">
            <w:pPr>
              <w:autoSpaceDE w:val="0"/>
              <w:autoSpaceDN w:val="0"/>
              <w:adjustRightInd w:val="0"/>
              <w:rPr>
                <w:i/>
                <w:sz w:val="22"/>
                <w:szCs w:val="22"/>
              </w:rPr>
            </w:pPr>
            <w:r w:rsidRPr="00045660">
              <w:rPr>
                <w:i/>
                <w:iCs/>
                <w:sz w:val="22"/>
                <w:szCs w:val="22"/>
              </w:rPr>
              <w:t>Intelligence Press</w:t>
            </w:r>
          </w:p>
        </w:tc>
      </w:tr>
      <w:tr w:rsidR="00045660" w:rsidRPr="00045660" w:rsidTr="00045660">
        <w:trPr>
          <w:trHeight w:val="300"/>
          <w:jc w:val="center"/>
        </w:trPr>
        <w:tc>
          <w:tcPr>
            <w:tcW w:w="1500" w:type="dxa"/>
            <w:noWrap/>
            <w:vAlign w:val="bottom"/>
            <w:hideMark/>
          </w:tcPr>
          <w:p w:rsidR="00045660" w:rsidRPr="00045660" w:rsidRDefault="00045660" w:rsidP="00045660">
            <w:pPr>
              <w:autoSpaceDN w:val="0"/>
              <w:rPr>
                <w:sz w:val="22"/>
                <w:szCs w:val="22"/>
              </w:rPr>
            </w:pPr>
            <w:r w:rsidRPr="00045660">
              <w:rPr>
                <w:sz w:val="22"/>
                <w:szCs w:val="22"/>
              </w:rPr>
              <w:t>P</w:t>
            </w:r>
          </w:p>
        </w:tc>
        <w:tc>
          <w:tcPr>
            <w:tcW w:w="3760" w:type="dxa"/>
            <w:noWrap/>
            <w:vAlign w:val="bottom"/>
            <w:hideMark/>
          </w:tcPr>
          <w:p w:rsidR="00045660" w:rsidRPr="00045660" w:rsidRDefault="00045660" w:rsidP="00045660">
            <w:pPr>
              <w:autoSpaceDE w:val="0"/>
              <w:autoSpaceDN w:val="0"/>
              <w:adjustRightInd w:val="0"/>
              <w:rPr>
                <w:i/>
                <w:iCs/>
                <w:sz w:val="22"/>
                <w:szCs w:val="22"/>
              </w:rPr>
            </w:pPr>
            <w:proofErr w:type="spellStart"/>
            <w:r w:rsidRPr="00045660">
              <w:rPr>
                <w:i/>
                <w:iCs/>
                <w:sz w:val="22"/>
                <w:szCs w:val="22"/>
              </w:rPr>
              <w:t>Platts</w:t>
            </w:r>
            <w:proofErr w:type="spellEnd"/>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B</w:t>
            </w:r>
          </w:p>
        </w:tc>
        <w:tc>
          <w:tcPr>
            <w:tcW w:w="3760" w:type="dxa"/>
            <w:shd w:val="clear" w:color="auto" w:fill="FFCC99"/>
            <w:noWrap/>
            <w:vAlign w:val="bottom"/>
            <w:hideMark/>
          </w:tcPr>
          <w:p w:rsidR="00045660" w:rsidRPr="00045660" w:rsidRDefault="00045660" w:rsidP="00045660">
            <w:pPr>
              <w:autoSpaceDE w:val="0"/>
              <w:autoSpaceDN w:val="0"/>
              <w:adjustRightInd w:val="0"/>
              <w:rPr>
                <w:i/>
                <w:iCs/>
                <w:sz w:val="22"/>
                <w:szCs w:val="22"/>
              </w:rPr>
            </w:pPr>
            <w:r w:rsidRPr="00045660">
              <w:rPr>
                <w:i/>
                <w:iCs/>
                <w:sz w:val="22"/>
                <w:szCs w:val="22"/>
              </w:rPr>
              <w:t>Bloomberg</w:t>
            </w:r>
          </w:p>
        </w:tc>
      </w:tr>
      <w:tr w:rsidR="00045660" w:rsidRPr="00045660" w:rsidTr="00045660">
        <w:trPr>
          <w:trHeight w:val="300"/>
          <w:jc w:val="center"/>
        </w:trPr>
        <w:tc>
          <w:tcPr>
            <w:tcW w:w="1500" w:type="dxa"/>
            <w:noWrap/>
            <w:vAlign w:val="bottom"/>
            <w:hideMark/>
          </w:tcPr>
          <w:p w:rsidR="00045660" w:rsidRPr="00045660" w:rsidRDefault="00045660" w:rsidP="00045660">
            <w:pPr>
              <w:autoSpaceDN w:val="0"/>
              <w:rPr>
                <w:sz w:val="22"/>
                <w:szCs w:val="22"/>
              </w:rPr>
            </w:pPr>
            <w:r w:rsidRPr="00045660">
              <w:rPr>
                <w:sz w:val="22"/>
                <w:szCs w:val="22"/>
              </w:rPr>
              <w:t>DJ</w:t>
            </w:r>
          </w:p>
        </w:tc>
        <w:tc>
          <w:tcPr>
            <w:tcW w:w="3760" w:type="dxa"/>
            <w:noWrap/>
            <w:vAlign w:val="bottom"/>
            <w:hideMark/>
          </w:tcPr>
          <w:p w:rsidR="00045660" w:rsidRPr="00045660" w:rsidRDefault="00045660" w:rsidP="00045660">
            <w:pPr>
              <w:autoSpaceDE w:val="0"/>
              <w:autoSpaceDN w:val="0"/>
              <w:adjustRightInd w:val="0"/>
              <w:rPr>
                <w:i/>
                <w:iCs/>
                <w:sz w:val="22"/>
                <w:szCs w:val="22"/>
              </w:rPr>
            </w:pPr>
            <w:r w:rsidRPr="00045660">
              <w:rPr>
                <w:i/>
                <w:iCs/>
                <w:sz w:val="22"/>
                <w:szCs w:val="22"/>
              </w:rPr>
              <w:t>Dow Jones</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proofErr w:type="spellStart"/>
            <w:r w:rsidRPr="00045660">
              <w:rPr>
                <w:sz w:val="22"/>
                <w:szCs w:val="22"/>
              </w:rPr>
              <w:t>Pdx</w:t>
            </w:r>
            <w:proofErr w:type="spellEnd"/>
          </w:p>
        </w:tc>
        <w:tc>
          <w:tcPr>
            <w:tcW w:w="3760" w:type="dxa"/>
            <w:shd w:val="clear" w:color="auto" w:fill="FFCC99"/>
            <w:noWrap/>
            <w:vAlign w:val="bottom"/>
            <w:hideMark/>
          </w:tcPr>
          <w:p w:rsidR="00045660" w:rsidRPr="00045660" w:rsidRDefault="00045660" w:rsidP="00045660">
            <w:pPr>
              <w:autoSpaceDE w:val="0"/>
              <w:autoSpaceDN w:val="0"/>
              <w:adjustRightInd w:val="0"/>
              <w:rPr>
                <w:i/>
                <w:iCs/>
                <w:sz w:val="22"/>
                <w:szCs w:val="22"/>
              </w:rPr>
            </w:pPr>
            <w:proofErr w:type="spellStart"/>
            <w:r w:rsidRPr="00045660">
              <w:rPr>
                <w:i/>
                <w:iCs/>
                <w:sz w:val="22"/>
                <w:szCs w:val="22"/>
              </w:rPr>
              <w:t>Powerdex</w:t>
            </w:r>
            <w:proofErr w:type="spellEnd"/>
          </w:p>
        </w:tc>
      </w:tr>
      <w:tr w:rsidR="00045660" w:rsidRPr="00045660" w:rsidTr="00045660">
        <w:trPr>
          <w:trHeight w:val="300"/>
          <w:jc w:val="center"/>
        </w:trPr>
        <w:tc>
          <w:tcPr>
            <w:tcW w:w="1500" w:type="dxa"/>
            <w:noWrap/>
            <w:vAlign w:val="bottom"/>
            <w:hideMark/>
          </w:tcPr>
          <w:p w:rsidR="00045660" w:rsidRPr="00045660" w:rsidRDefault="00045660" w:rsidP="00045660">
            <w:pPr>
              <w:autoSpaceDN w:val="0"/>
              <w:rPr>
                <w:sz w:val="22"/>
                <w:szCs w:val="22"/>
              </w:rPr>
            </w:pPr>
            <w:r w:rsidRPr="00045660">
              <w:rPr>
                <w:sz w:val="22"/>
                <w:szCs w:val="22"/>
              </w:rPr>
              <w:t>SNL</w:t>
            </w:r>
          </w:p>
        </w:tc>
        <w:tc>
          <w:tcPr>
            <w:tcW w:w="3760" w:type="dxa"/>
            <w:noWrap/>
            <w:vAlign w:val="bottom"/>
            <w:hideMark/>
          </w:tcPr>
          <w:p w:rsidR="00045660" w:rsidRPr="00045660" w:rsidRDefault="00045660" w:rsidP="00045660">
            <w:pPr>
              <w:autoSpaceDE w:val="0"/>
              <w:autoSpaceDN w:val="0"/>
              <w:adjustRightInd w:val="0"/>
              <w:rPr>
                <w:i/>
                <w:iCs/>
                <w:sz w:val="22"/>
                <w:szCs w:val="22"/>
              </w:rPr>
            </w:pPr>
            <w:r w:rsidRPr="00045660">
              <w:rPr>
                <w:i/>
                <w:iCs/>
                <w:sz w:val="22"/>
                <w:szCs w:val="22"/>
              </w:rPr>
              <w:t>SNL Energy</w:t>
            </w:r>
          </w:p>
        </w:tc>
      </w:tr>
    </w:tbl>
    <w:p w:rsidR="00045660" w:rsidRPr="00045660" w:rsidRDefault="00045660" w:rsidP="00045660">
      <w:pPr>
        <w:widowControl w:val="0"/>
        <w:autoSpaceDE w:val="0"/>
        <w:autoSpaceDN w:val="0"/>
        <w:adjustRightInd w:val="0"/>
      </w:pPr>
    </w:p>
    <w:p w:rsidR="00045660" w:rsidRPr="00045660" w:rsidRDefault="00045660" w:rsidP="00045660">
      <w:pPr>
        <w:widowControl w:val="0"/>
        <w:autoSpaceDE w:val="0"/>
        <w:autoSpaceDN w:val="0"/>
        <w:adjustRightInd w:val="0"/>
      </w:pPr>
      <w:r w:rsidRPr="00045660">
        <w:br w:type="page"/>
      </w:r>
    </w:p>
    <w:p w:rsidR="00045660" w:rsidRPr="00045660" w:rsidRDefault="00045660" w:rsidP="00045660">
      <w:pPr>
        <w:widowControl w:val="0"/>
        <w:autoSpaceDE w:val="0"/>
        <w:autoSpaceDN w:val="0"/>
        <w:adjustRightInd w:val="0"/>
      </w:pPr>
    </w:p>
    <w:p w:rsidR="00045660" w:rsidRPr="00045660" w:rsidRDefault="00045660" w:rsidP="00045660">
      <w:pPr>
        <w:widowControl w:val="0"/>
        <w:autoSpaceDE w:val="0"/>
        <w:autoSpaceDN w:val="0"/>
        <w:adjustRightInd w:val="0"/>
      </w:pPr>
    </w:p>
    <w:tbl>
      <w:tblPr>
        <w:tblW w:w="5260" w:type="dxa"/>
        <w:jc w:val="center"/>
        <w:tblLook w:val="04A0" w:firstRow="1" w:lastRow="0" w:firstColumn="1" w:lastColumn="0" w:noHBand="0" w:noVBand="1"/>
      </w:tblPr>
      <w:tblGrid>
        <w:gridCol w:w="2184"/>
        <w:gridCol w:w="3760"/>
      </w:tblGrid>
      <w:tr w:rsidR="00045660" w:rsidRPr="00045660" w:rsidTr="00045660">
        <w:trPr>
          <w:trHeight w:val="300"/>
          <w:jc w:val="center"/>
        </w:trPr>
        <w:tc>
          <w:tcPr>
            <w:tcW w:w="5260" w:type="dxa"/>
            <w:gridSpan w:val="2"/>
            <w:tcBorders>
              <w:top w:val="nil"/>
              <w:left w:val="nil"/>
              <w:bottom w:val="single" w:sz="8" w:space="0" w:color="auto"/>
              <w:right w:val="nil"/>
            </w:tcBorders>
            <w:vAlign w:val="bottom"/>
            <w:hideMark/>
          </w:tcPr>
          <w:p w:rsidR="00045660" w:rsidRPr="00045660" w:rsidRDefault="00045660" w:rsidP="00045660">
            <w:pPr>
              <w:autoSpaceDN w:val="0"/>
              <w:jc w:val="center"/>
              <w:rPr>
                <w:b/>
                <w:bCs/>
                <w:sz w:val="22"/>
                <w:szCs w:val="22"/>
              </w:rPr>
            </w:pPr>
            <w:r w:rsidRPr="00045660">
              <w:rPr>
                <w:b/>
                <w:bCs/>
                <w:sz w:val="22"/>
                <w:szCs w:val="22"/>
              </w:rPr>
              <w:t>EQR Data Dictionary</w:t>
            </w:r>
          </w:p>
          <w:p w:rsidR="00045660" w:rsidRPr="00045660" w:rsidRDefault="00045660" w:rsidP="00045660">
            <w:pPr>
              <w:autoSpaceDN w:val="0"/>
              <w:jc w:val="center"/>
              <w:rPr>
                <w:b/>
                <w:bCs/>
                <w:sz w:val="22"/>
                <w:szCs w:val="22"/>
              </w:rPr>
            </w:pPr>
            <w:r w:rsidRPr="00045660">
              <w:rPr>
                <w:b/>
                <w:bCs/>
                <w:sz w:val="22"/>
                <w:szCs w:val="22"/>
              </w:rPr>
              <w:t>Appendix H. Exchange/Broker Services</w:t>
            </w:r>
          </w:p>
        </w:tc>
      </w:tr>
      <w:tr w:rsidR="00045660" w:rsidRPr="00045660" w:rsidTr="00045660">
        <w:trPr>
          <w:trHeight w:val="300"/>
          <w:jc w:val="center"/>
        </w:trPr>
        <w:tc>
          <w:tcPr>
            <w:tcW w:w="1500" w:type="dxa"/>
            <w:tcBorders>
              <w:top w:val="single" w:sz="4" w:space="0" w:color="auto"/>
              <w:left w:val="single" w:sz="4" w:space="0" w:color="auto"/>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Exchange/Brokerage Service</w:t>
            </w:r>
          </w:p>
        </w:tc>
        <w:tc>
          <w:tcPr>
            <w:tcW w:w="3760" w:type="dxa"/>
            <w:tcBorders>
              <w:top w:val="single" w:sz="4" w:space="0" w:color="auto"/>
              <w:left w:val="nil"/>
              <w:bottom w:val="single" w:sz="8" w:space="0" w:color="auto"/>
              <w:right w:val="single" w:sz="4" w:space="0" w:color="auto"/>
            </w:tcBorders>
            <w:vAlign w:val="bottom"/>
            <w:hideMark/>
          </w:tcPr>
          <w:p w:rsidR="00045660" w:rsidRPr="00045660" w:rsidRDefault="00045660" w:rsidP="00045660">
            <w:pPr>
              <w:autoSpaceDN w:val="0"/>
              <w:rPr>
                <w:b/>
                <w:bCs/>
                <w:sz w:val="22"/>
                <w:szCs w:val="22"/>
              </w:rPr>
            </w:pPr>
            <w:r w:rsidRPr="00045660">
              <w:rPr>
                <w:b/>
                <w:bCs/>
                <w:sz w:val="22"/>
                <w:szCs w:val="22"/>
              </w:rPr>
              <w:t>Definition</w:t>
            </w:r>
          </w:p>
        </w:tc>
      </w:tr>
      <w:tr w:rsidR="00045660" w:rsidRPr="00045660" w:rsidTr="00045660">
        <w:trPr>
          <w:trHeight w:val="300"/>
          <w:jc w:val="center"/>
        </w:trPr>
        <w:tc>
          <w:tcPr>
            <w:tcW w:w="1500" w:type="dxa"/>
            <w:shd w:val="clear" w:color="auto" w:fill="FFCC99"/>
            <w:vAlign w:val="center"/>
            <w:hideMark/>
          </w:tcPr>
          <w:p w:rsidR="00045660" w:rsidRPr="00045660" w:rsidRDefault="00045660" w:rsidP="00045660">
            <w:pPr>
              <w:autoSpaceDN w:val="0"/>
              <w:rPr>
                <w:sz w:val="22"/>
                <w:szCs w:val="22"/>
              </w:rPr>
            </w:pPr>
            <w:r w:rsidRPr="00045660">
              <w:rPr>
                <w:sz w:val="22"/>
                <w:szCs w:val="22"/>
              </w:rPr>
              <w:t>BROKER</w:t>
            </w:r>
          </w:p>
        </w:tc>
        <w:tc>
          <w:tcPr>
            <w:tcW w:w="3760" w:type="dxa"/>
            <w:shd w:val="clear" w:color="auto" w:fill="FFCC99"/>
            <w:noWrap/>
            <w:vAlign w:val="bottom"/>
            <w:hideMark/>
          </w:tcPr>
          <w:p w:rsidR="00045660" w:rsidRPr="00045660" w:rsidRDefault="00045660" w:rsidP="00045660">
            <w:pPr>
              <w:autoSpaceDN w:val="0"/>
              <w:rPr>
                <w:i/>
                <w:iCs/>
                <w:sz w:val="22"/>
                <w:szCs w:val="22"/>
              </w:rPr>
            </w:pPr>
            <w:r w:rsidRPr="00045660">
              <w:rPr>
                <w:i/>
                <w:iCs/>
                <w:sz w:val="22"/>
                <w:szCs w:val="22"/>
              </w:rPr>
              <w:t xml:space="preserve">A broker was used to consummate or effectuate the transaction. </w:t>
            </w:r>
          </w:p>
        </w:tc>
      </w:tr>
      <w:tr w:rsidR="00045660" w:rsidRPr="00045660" w:rsidTr="00045660">
        <w:trPr>
          <w:trHeight w:val="300"/>
          <w:jc w:val="center"/>
        </w:trPr>
        <w:tc>
          <w:tcPr>
            <w:tcW w:w="1500" w:type="dxa"/>
            <w:shd w:val="clear" w:color="auto" w:fill="FFFFFF"/>
            <w:noWrap/>
            <w:vAlign w:val="bottom"/>
            <w:hideMark/>
          </w:tcPr>
          <w:p w:rsidR="00045660" w:rsidRPr="00045660" w:rsidRDefault="00045660" w:rsidP="00045660">
            <w:pPr>
              <w:autoSpaceDN w:val="0"/>
              <w:rPr>
                <w:sz w:val="22"/>
                <w:szCs w:val="22"/>
              </w:rPr>
            </w:pPr>
            <w:r w:rsidRPr="00045660">
              <w:rPr>
                <w:sz w:val="22"/>
                <w:szCs w:val="22"/>
              </w:rPr>
              <w:t>ICE</w:t>
            </w:r>
          </w:p>
        </w:tc>
        <w:tc>
          <w:tcPr>
            <w:tcW w:w="3760" w:type="dxa"/>
            <w:shd w:val="clear" w:color="auto" w:fill="FFFFFF"/>
            <w:noWrap/>
            <w:vAlign w:val="bottom"/>
            <w:hideMark/>
          </w:tcPr>
          <w:p w:rsidR="00045660" w:rsidRPr="00045660" w:rsidRDefault="00045660" w:rsidP="00045660">
            <w:pPr>
              <w:autoSpaceDN w:val="0"/>
              <w:rPr>
                <w:i/>
                <w:iCs/>
                <w:sz w:val="22"/>
                <w:szCs w:val="22"/>
              </w:rPr>
            </w:pPr>
            <w:r w:rsidRPr="00045660">
              <w:rPr>
                <w:i/>
                <w:iCs/>
                <w:sz w:val="22"/>
                <w:szCs w:val="22"/>
              </w:rPr>
              <w:t>Intercontinental Exchange</w:t>
            </w:r>
          </w:p>
        </w:tc>
      </w:tr>
      <w:tr w:rsidR="00045660" w:rsidRPr="00045660" w:rsidTr="00045660">
        <w:trPr>
          <w:trHeight w:val="300"/>
          <w:jc w:val="center"/>
        </w:trPr>
        <w:tc>
          <w:tcPr>
            <w:tcW w:w="1500" w:type="dxa"/>
            <w:shd w:val="clear" w:color="auto" w:fill="FFCC99"/>
            <w:noWrap/>
            <w:vAlign w:val="bottom"/>
            <w:hideMark/>
          </w:tcPr>
          <w:p w:rsidR="00045660" w:rsidRPr="00045660" w:rsidRDefault="00045660" w:rsidP="00045660">
            <w:pPr>
              <w:autoSpaceDN w:val="0"/>
              <w:rPr>
                <w:sz w:val="22"/>
                <w:szCs w:val="22"/>
              </w:rPr>
            </w:pPr>
            <w:r w:rsidRPr="00045660">
              <w:rPr>
                <w:sz w:val="22"/>
                <w:szCs w:val="22"/>
              </w:rPr>
              <w:t>NYMEX</w:t>
            </w:r>
          </w:p>
        </w:tc>
        <w:tc>
          <w:tcPr>
            <w:tcW w:w="3760" w:type="dxa"/>
            <w:shd w:val="clear" w:color="auto" w:fill="FFCC99"/>
            <w:noWrap/>
            <w:vAlign w:val="bottom"/>
            <w:hideMark/>
          </w:tcPr>
          <w:p w:rsidR="00045660" w:rsidRPr="00045660" w:rsidRDefault="00045660" w:rsidP="00045660">
            <w:pPr>
              <w:autoSpaceDE w:val="0"/>
              <w:autoSpaceDN w:val="0"/>
              <w:adjustRightInd w:val="0"/>
              <w:rPr>
                <w:i/>
                <w:sz w:val="22"/>
                <w:szCs w:val="22"/>
              </w:rPr>
            </w:pPr>
            <w:r w:rsidRPr="00045660">
              <w:rPr>
                <w:i/>
                <w:sz w:val="22"/>
                <w:szCs w:val="22"/>
              </w:rPr>
              <w:t>New York Mercantile Exchange</w:t>
            </w:r>
          </w:p>
        </w:tc>
      </w:tr>
    </w:tbl>
    <w:p w:rsidR="00045660" w:rsidRPr="00045660" w:rsidRDefault="00045660" w:rsidP="00045660">
      <w:pPr>
        <w:sectPr w:rsidR="00045660" w:rsidRPr="00045660">
          <w:pgSz w:w="15840" w:h="12240" w:orient="landscape"/>
          <w:pgMar w:top="1440" w:right="1440" w:bottom="1440" w:left="1440" w:header="720" w:footer="720" w:gutter="0"/>
          <w:cols w:space="720"/>
        </w:sectPr>
      </w:pPr>
    </w:p>
    <w:p w:rsidR="0078241C" w:rsidRDefault="0078241C">
      <w:bookmarkStart w:id="3" w:name="_GoBack"/>
      <w:bookmarkEnd w:id="3"/>
    </w:p>
    <w:sectPr w:rsidR="007824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948ABC"/>
    <w:lvl w:ilvl="0">
      <w:start w:val="1"/>
      <w:numFmt w:val="decimal"/>
      <w:pStyle w:val="ListNumber3"/>
      <w:lvlText w:val="%1."/>
      <w:lvlJc w:val="left"/>
      <w:pPr>
        <w:tabs>
          <w:tab w:val="num" w:pos="1800"/>
        </w:tabs>
        <w:ind w:left="1800" w:hanging="360"/>
      </w:pPr>
    </w:lvl>
  </w:abstractNum>
  <w:abstractNum w:abstractNumId="1">
    <w:nsid w:val="FFFFFF7D"/>
    <w:multiLevelType w:val="singleLevel"/>
    <w:tmpl w:val="6FFCA8DE"/>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B3B0EB6C"/>
    <w:lvl w:ilvl="0">
      <w:start w:val="1"/>
      <w:numFmt w:val="decimal"/>
      <w:pStyle w:val="ListNumber"/>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4">
    <w:nsid w:val="FFFFFF80"/>
    <w:multiLevelType w:val="singleLevel"/>
    <w:tmpl w:val="306AC5EA"/>
    <w:lvl w:ilvl="0">
      <w:start w:val="1"/>
      <w:numFmt w:val="bullet"/>
      <w:pStyle w:val="ListBullet3"/>
      <w:lvlText w:val=""/>
      <w:lvlJc w:val="left"/>
      <w:pPr>
        <w:tabs>
          <w:tab w:val="num" w:pos="1800"/>
        </w:tabs>
        <w:ind w:left="1800" w:hanging="360"/>
      </w:pPr>
      <w:rPr>
        <w:rFonts w:ascii="Symbol" w:hAnsi="Symbol" w:hint="default"/>
      </w:rPr>
    </w:lvl>
  </w:abstractNum>
  <w:abstractNum w:abstractNumId="5">
    <w:nsid w:val="FFFFFF81"/>
    <w:multiLevelType w:val="singleLevel"/>
    <w:tmpl w:val="10725618"/>
    <w:lvl w:ilvl="0">
      <w:start w:val="1"/>
      <w:numFmt w:val="bullet"/>
      <w:pStyle w:val="ListBullet2"/>
      <w:lvlText w:val=""/>
      <w:lvlJc w:val="left"/>
      <w:pPr>
        <w:tabs>
          <w:tab w:val="num" w:pos="1440"/>
        </w:tabs>
        <w:ind w:left="1440" w:hanging="360"/>
      </w:pPr>
      <w:rPr>
        <w:rFonts w:ascii="Symbol" w:hAnsi="Symbol" w:hint="default"/>
      </w:rPr>
    </w:lvl>
  </w:abstractNum>
  <w:abstractNum w:abstractNumId="6">
    <w:nsid w:val="FFFFFF82"/>
    <w:multiLevelType w:val="singleLevel"/>
    <w:tmpl w:val="233E7090"/>
    <w:lvl w:ilvl="0">
      <w:start w:val="1"/>
      <w:numFmt w:val="bullet"/>
      <w:pStyle w:val="ListBullet"/>
      <w:lvlText w:val=""/>
      <w:lvlJc w:val="left"/>
      <w:pPr>
        <w:tabs>
          <w:tab w:val="num" w:pos="1080"/>
        </w:tabs>
        <w:ind w:left="1080" w:hanging="360"/>
      </w:pPr>
      <w:rPr>
        <w:rFonts w:ascii="Symbol" w:hAnsi="Symbol" w:hint="default"/>
      </w:rPr>
    </w:lvl>
  </w:abstractNum>
  <w:abstractNum w:abstractNumId="7">
    <w:nsid w:val="FFFFFF83"/>
    <w:multiLevelType w:val="singleLevel"/>
    <w:tmpl w:val="93CA291A"/>
    <w:lvl w:ilvl="0">
      <w:start w:val="1"/>
      <w:numFmt w:val="bullet"/>
      <w:pStyle w:val="List5"/>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9">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0">
    <w:nsid w:val="31971ECD"/>
    <w:multiLevelType w:val="multilevel"/>
    <w:tmpl w:val="99A6225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720"/>
        </w:tabs>
        <w:ind w:left="0" w:firstLine="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160"/>
        </w:tabs>
        <w:ind w:left="2160" w:firstLine="0"/>
      </w:pPr>
    </w:lvl>
    <w:lvl w:ilvl="4">
      <w:start w:val="1"/>
      <w:numFmt w:val="lowerRoman"/>
      <w:pStyle w:val="Heading5"/>
      <w:lvlText w:val="%5."/>
      <w:lvlJc w:val="left"/>
      <w:pPr>
        <w:tabs>
          <w:tab w:val="num" w:pos="2160"/>
        </w:tabs>
        <w:ind w:left="2160" w:firstLine="0"/>
      </w:pPr>
      <w:rPr>
        <w:strike w:val="0"/>
        <w:dstrike w:val="0"/>
        <w:u w:val="none"/>
        <w:effect w:val="none"/>
      </w:r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2160"/>
        </w:tabs>
        <w:ind w:left="2160" w:hanging="2016"/>
      </w:pPr>
    </w:lvl>
    <w:lvl w:ilvl="8">
      <w:start w:val="1"/>
      <w:numFmt w:val="decimalZero"/>
      <w:pStyle w:val="Heading9"/>
      <w:lvlText w:val="(%9)"/>
      <w:lvlJc w:val="left"/>
      <w:pPr>
        <w:tabs>
          <w:tab w:val="num" w:pos="3600"/>
        </w:tabs>
        <w:ind w:left="3600" w:hanging="720"/>
      </w:p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4E4DD3"/>
    <w:multiLevelType w:val="hybridMultilevel"/>
    <w:tmpl w:val="72A215CC"/>
    <w:lvl w:ilvl="0" w:tplc="9ED4A15A">
      <w:start w:val="1"/>
      <w:numFmt w:val="decimal"/>
      <w:pStyle w:val="Hyperlink"/>
      <w:lvlText w:val="%1."/>
      <w:lvlJc w:val="left"/>
      <w:pPr>
        <w:tabs>
          <w:tab w:val="num" w:pos="720"/>
        </w:tabs>
        <w:ind w:left="0" w:firstLine="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num>
  <w:num w:numId="4">
    <w:abstractNumId w:val="2"/>
    <w:lvlOverride w:ilvl="0">
      <w:startOverride w:val="1"/>
    </w:lvlOverride>
  </w:num>
  <w:num w:numId="5">
    <w:abstractNumId w:val="9"/>
    <w:lvlOverride w:ilvl="0"/>
  </w:num>
  <w:num w:numId="6">
    <w:abstractNumId w:val="7"/>
    <w:lvlOverride w:ilvl="0"/>
  </w:num>
  <w:num w:numId="7">
    <w:abstractNumId w:val="5"/>
    <w:lvlOverride w:ilvl="0"/>
  </w:num>
  <w:num w:numId="8">
    <w:abstractNumId w:val="4"/>
    <w:lvlOverride w:ilvl="0"/>
  </w:num>
  <w:num w:numId="9">
    <w:abstractNumId w:val="1"/>
    <w:lvlOverride w:ilvl="0">
      <w:startOverride w:val="1"/>
    </w:lvlOverride>
  </w:num>
  <w:num w:numId="10">
    <w:abstractNumId w:val="0"/>
    <w:lvlOverride w:ilvl="0">
      <w:startOverride w:val="1"/>
    </w:lvlOverride>
  </w:num>
  <w:num w:numId="11">
    <w:abstractNumId w:val="8"/>
    <w:lvlOverride w:ilvl="0">
      <w:startOverride w:val="1"/>
    </w:lvlOverride>
  </w:num>
  <w:num w:numId="12">
    <w:abstractNumId w:val="3"/>
    <w:lvlOverride w:ilvl="0">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60"/>
    <w:rsid w:val="00000BFF"/>
    <w:rsid w:val="00000E1E"/>
    <w:rsid w:val="0000111F"/>
    <w:rsid w:val="0000179C"/>
    <w:rsid w:val="00002138"/>
    <w:rsid w:val="00002DD0"/>
    <w:rsid w:val="00005CA5"/>
    <w:rsid w:val="000103AD"/>
    <w:rsid w:val="00011104"/>
    <w:rsid w:val="00011EC3"/>
    <w:rsid w:val="00013BAE"/>
    <w:rsid w:val="00013D8E"/>
    <w:rsid w:val="00014EBA"/>
    <w:rsid w:val="0001540F"/>
    <w:rsid w:val="00015DFB"/>
    <w:rsid w:val="000160E9"/>
    <w:rsid w:val="00016366"/>
    <w:rsid w:val="000166E9"/>
    <w:rsid w:val="00016824"/>
    <w:rsid w:val="00017297"/>
    <w:rsid w:val="0001738D"/>
    <w:rsid w:val="00017BF1"/>
    <w:rsid w:val="000215AD"/>
    <w:rsid w:val="00021E51"/>
    <w:rsid w:val="0002248F"/>
    <w:rsid w:val="000229E0"/>
    <w:rsid w:val="000243C1"/>
    <w:rsid w:val="00024558"/>
    <w:rsid w:val="0002485A"/>
    <w:rsid w:val="00024C33"/>
    <w:rsid w:val="00025663"/>
    <w:rsid w:val="00026108"/>
    <w:rsid w:val="00026834"/>
    <w:rsid w:val="000268DE"/>
    <w:rsid w:val="00026C8B"/>
    <w:rsid w:val="00030628"/>
    <w:rsid w:val="000309DC"/>
    <w:rsid w:val="00032163"/>
    <w:rsid w:val="00032B97"/>
    <w:rsid w:val="00033037"/>
    <w:rsid w:val="000331DC"/>
    <w:rsid w:val="00033235"/>
    <w:rsid w:val="000332F0"/>
    <w:rsid w:val="00034FA1"/>
    <w:rsid w:val="0003503E"/>
    <w:rsid w:val="000354BD"/>
    <w:rsid w:val="0003553F"/>
    <w:rsid w:val="000359B6"/>
    <w:rsid w:val="00035C86"/>
    <w:rsid w:val="00036952"/>
    <w:rsid w:val="00037220"/>
    <w:rsid w:val="00041FAA"/>
    <w:rsid w:val="00042E61"/>
    <w:rsid w:val="0004365E"/>
    <w:rsid w:val="00043C4F"/>
    <w:rsid w:val="00043F66"/>
    <w:rsid w:val="00045660"/>
    <w:rsid w:val="00046117"/>
    <w:rsid w:val="00046484"/>
    <w:rsid w:val="00047A31"/>
    <w:rsid w:val="00047E3C"/>
    <w:rsid w:val="00051BFD"/>
    <w:rsid w:val="000542FC"/>
    <w:rsid w:val="00056C81"/>
    <w:rsid w:val="00057929"/>
    <w:rsid w:val="0006073F"/>
    <w:rsid w:val="000611CB"/>
    <w:rsid w:val="000617AE"/>
    <w:rsid w:val="0006211C"/>
    <w:rsid w:val="0006333F"/>
    <w:rsid w:val="00063871"/>
    <w:rsid w:val="000647D1"/>
    <w:rsid w:val="000649B8"/>
    <w:rsid w:val="000658B4"/>
    <w:rsid w:val="000660FC"/>
    <w:rsid w:val="00066A4F"/>
    <w:rsid w:val="00066CF0"/>
    <w:rsid w:val="0006712A"/>
    <w:rsid w:val="00071084"/>
    <w:rsid w:val="00073A5D"/>
    <w:rsid w:val="0007548B"/>
    <w:rsid w:val="00075EA3"/>
    <w:rsid w:val="00076960"/>
    <w:rsid w:val="00077204"/>
    <w:rsid w:val="00077845"/>
    <w:rsid w:val="0008013C"/>
    <w:rsid w:val="00080661"/>
    <w:rsid w:val="000818AF"/>
    <w:rsid w:val="0008230C"/>
    <w:rsid w:val="00083B85"/>
    <w:rsid w:val="00086982"/>
    <w:rsid w:val="00086BFC"/>
    <w:rsid w:val="00087070"/>
    <w:rsid w:val="000904CA"/>
    <w:rsid w:val="000905A1"/>
    <w:rsid w:val="00092876"/>
    <w:rsid w:val="00092FA5"/>
    <w:rsid w:val="000948B3"/>
    <w:rsid w:val="000958EC"/>
    <w:rsid w:val="000959FA"/>
    <w:rsid w:val="00095A76"/>
    <w:rsid w:val="00095E70"/>
    <w:rsid w:val="000972E6"/>
    <w:rsid w:val="00097B4E"/>
    <w:rsid w:val="000A01E2"/>
    <w:rsid w:val="000A08F9"/>
    <w:rsid w:val="000A1E3B"/>
    <w:rsid w:val="000A2949"/>
    <w:rsid w:val="000A30B7"/>
    <w:rsid w:val="000A3CB2"/>
    <w:rsid w:val="000A4094"/>
    <w:rsid w:val="000A4289"/>
    <w:rsid w:val="000A42D9"/>
    <w:rsid w:val="000A48A3"/>
    <w:rsid w:val="000A4CA8"/>
    <w:rsid w:val="000A50AD"/>
    <w:rsid w:val="000A5843"/>
    <w:rsid w:val="000A636D"/>
    <w:rsid w:val="000A64B6"/>
    <w:rsid w:val="000A679F"/>
    <w:rsid w:val="000B0B40"/>
    <w:rsid w:val="000B24B2"/>
    <w:rsid w:val="000B2DB6"/>
    <w:rsid w:val="000B4097"/>
    <w:rsid w:val="000B505A"/>
    <w:rsid w:val="000B59EC"/>
    <w:rsid w:val="000C01F5"/>
    <w:rsid w:val="000C0F4C"/>
    <w:rsid w:val="000C1EFC"/>
    <w:rsid w:val="000C3088"/>
    <w:rsid w:val="000C3DFB"/>
    <w:rsid w:val="000C50E6"/>
    <w:rsid w:val="000C5A4A"/>
    <w:rsid w:val="000C5D2D"/>
    <w:rsid w:val="000C60BF"/>
    <w:rsid w:val="000C6569"/>
    <w:rsid w:val="000C76D3"/>
    <w:rsid w:val="000D0AF2"/>
    <w:rsid w:val="000D0E1E"/>
    <w:rsid w:val="000D0E28"/>
    <w:rsid w:val="000D0FE7"/>
    <w:rsid w:val="000D1825"/>
    <w:rsid w:val="000D2D81"/>
    <w:rsid w:val="000D33F2"/>
    <w:rsid w:val="000D650C"/>
    <w:rsid w:val="000D655D"/>
    <w:rsid w:val="000D6AFC"/>
    <w:rsid w:val="000D7559"/>
    <w:rsid w:val="000D76A8"/>
    <w:rsid w:val="000D7E99"/>
    <w:rsid w:val="000E130E"/>
    <w:rsid w:val="000E2E2C"/>
    <w:rsid w:val="000E2E90"/>
    <w:rsid w:val="000E3EE2"/>
    <w:rsid w:val="000E4565"/>
    <w:rsid w:val="000E48CF"/>
    <w:rsid w:val="000E48EF"/>
    <w:rsid w:val="000E628E"/>
    <w:rsid w:val="000E720A"/>
    <w:rsid w:val="000E74C2"/>
    <w:rsid w:val="000F07BB"/>
    <w:rsid w:val="000F0F6E"/>
    <w:rsid w:val="000F38BA"/>
    <w:rsid w:val="000F428C"/>
    <w:rsid w:val="000F522C"/>
    <w:rsid w:val="000F53A7"/>
    <w:rsid w:val="00100210"/>
    <w:rsid w:val="001003A3"/>
    <w:rsid w:val="0010052F"/>
    <w:rsid w:val="0010143B"/>
    <w:rsid w:val="00101CAA"/>
    <w:rsid w:val="001041EA"/>
    <w:rsid w:val="00105436"/>
    <w:rsid w:val="00106015"/>
    <w:rsid w:val="00110808"/>
    <w:rsid w:val="00110A16"/>
    <w:rsid w:val="00113EFA"/>
    <w:rsid w:val="00114E07"/>
    <w:rsid w:val="00114F64"/>
    <w:rsid w:val="0011531D"/>
    <w:rsid w:val="00115651"/>
    <w:rsid w:val="001158B3"/>
    <w:rsid w:val="00116D2E"/>
    <w:rsid w:val="00117390"/>
    <w:rsid w:val="001203F5"/>
    <w:rsid w:val="00120FF7"/>
    <w:rsid w:val="0012195B"/>
    <w:rsid w:val="00122A1E"/>
    <w:rsid w:val="00122A35"/>
    <w:rsid w:val="001231BF"/>
    <w:rsid w:val="0012372C"/>
    <w:rsid w:val="00123D72"/>
    <w:rsid w:val="001249FE"/>
    <w:rsid w:val="001250FE"/>
    <w:rsid w:val="001309B3"/>
    <w:rsid w:val="0013124B"/>
    <w:rsid w:val="00131F76"/>
    <w:rsid w:val="001325CC"/>
    <w:rsid w:val="00136793"/>
    <w:rsid w:val="00137463"/>
    <w:rsid w:val="001374D7"/>
    <w:rsid w:val="001379EE"/>
    <w:rsid w:val="00137BBB"/>
    <w:rsid w:val="001408F2"/>
    <w:rsid w:val="0014169F"/>
    <w:rsid w:val="001425A2"/>
    <w:rsid w:val="00142ABD"/>
    <w:rsid w:val="00143883"/>
    <w:rsid w:val="001449AE"/>
    <w:rsid w:val="001452BC"/>
    <w:rsid w:val="00146B0C"/>
    <w:rsid w:val="00147529"/>
    <w:rsid w:val="0014786E"/>
    <w:rsid w:val="001523D2"/>
    <w:rsid w:val="00153E31"/>
    <w:rsid w:val="001543E3"/>
    <w:rsid w:val="00154C30"/>
    <w:rsid w:val="001560C9"/>
    <w:rsid w:val="001568AB"/>
    <w:rsid w:val="00157CE6"/>
    <w:rsid w:val="00157EE4"/>
    <w:rsid w:val="0016210B"/>
    <w:rsid w:val="00163EA0"/>
    <w:rsid w:val="00164366"/>
    <w:rsid w:val="00167A79"/>
    <w:rsid w:val="00167DD7"/>
    <w:rsid w:val="001708CD"/>
    <w:rsid w:val="00170A15"/>
    <w:rsid w:val="0017258A"/>
    <w:rsid w:val="00172B58"/>
    <w:rsid w:val="00172CA8"/>
    <w:rsid w:val="00174B4C"/>
    <w:rsid w:val="00175704"/>
    <w:rsid w:val="00175B85"/>
    <w:rsid w:val="00175EDD"/>
    <w:rsid w:val="00176F29"/>
    <w:rsid w:val="001800BA"/>
    <w:rsid w:val="0018059C"/>
    <w:rsid w:val="00181822"/>
    <w:rsid w:val="00181FD2"/>
    <w:rsid w:val="001822F9"/>
    <w:rsid w:val="001826AF"/>
    <w:rsid w:val="00182A65"/>
    <w:rsid w:val="001836E4"/>
    <w:rsid w:val="00184197"/>
    <w:rsid w:val="001843ED"/>
    <w:rsid w:val="00184E20"/>
    <w:rsid w:val="0018552C"/>
    <w:rsid w:val="00185D4F"/>
    <w:rsid w:val="00187933"/>
    <w:rsid w:val="00187934"/>
    <w:rsid w:val="0019075B"/>
    <w:rsid w:val="00190D57"/>
    <w:rsid w:val="0019372A"/>
    <w:rsid w:val="001942D5"/>
    <w:rsid w:val="00196C1D"/>
    <w:rsid w:val="001A0447"/>
    <w:rsid w:val="001A18C0"/>
    <w:rsid w:val="001A2538"/>
    <w:rsid w:val="001A2DA3"/>
    <w:rsid w:val="001A3630"/>
    <w:rsid w:val="001A5AD2"/>
    <w:rsid w:val="001A7FF3"/>
    <w:rsid w:val="001B128C"/>
    <w:rsid w:val="001B2CA2"/>
    <w:rsid w:val="001B3405"/>
    <w:rsid w:val="001B3AC3"/>
    <w:rsid w:val="001B4334"/>
    <w:rsid w:val="001B479D"/>
    <w:rsid w:val="001B574E"/>
    <w:rsid w:val="001B6797"/>
    <w:rsid w:val="001B69E8"/>
    <w:rsid w:val="001B6CED"/>
    <w:rsid w:val="001B70FA"/>
    <w:rsid w:val="001B7B3C"/>
    <w:rsid w:val="001C266B"/>
    <w:rsid w:val="001C27E3"/>
    <w:rsid w:val="001C3DB5"/>
    <w:rsid w:val="001C3E4C"/>
    <w:rsid w:val="001C4265"/>
    <w:rsid w:val="001C4498"/>
    <w:rsid w:val="001C4A08"/>
    <w:rsid w:val="001C4A3D"/>
    <w:rsid w:val="001C6227"/>
    <w:rsid w:val="001C6753"/>
    <w:rsid w:val="001C6EF2"/>
    <w:rsid w:val="001C6F57"/>
    <w:rsid w:val="001D0018"/>
    <w:rsid w:val="001D02EC"/>
    <w:rsid w:val="001D1628"/>
    <w:rsid w:val="001D425C"/>
    <w:rsid w:val="001D4924"/>
    <w:rsid w:val="001D519B"/>
    <w:rsid w:val="001D67AC"/>
    <w:rsid w:val="001E0BA6"/>
    <w:rsid w:val="001E16CA"/>
    <w:rsid w:val="001E1E3A"/>
    <w:rsid w:val="001E21B6"/>
    <w:rsid w:val="001E29AE"/>
    <w:rsid w:val="001E3816"/>
    <w:rsid w:val="001E568F"/>
    <w:rsid w:val="001E5E4C"/>
    <w:rsid w:val="001E741A"/>
    <w:rsid w:val="001F14D8"/>
    <w:rsid w:val="001F19B9"/>
    <w:rsid w:val="001F312B"/>
    <w:rsid w:val="001F53F3"/>
    <w:rsid w:val="00200275"/>
    <w:rsid w:val="00201B3B"/>
    <w:rsid w:val="002030FF"/>
    <w:rsid w:val="002058A1"/>
    <w:rsid w:val="002063E3"/>
    <w:rsid w:val="00206ED6"/>
    <w:rsid w:val="0020712E"/>
    <w:rsid w:val="0020754C"/>
    <w:rsid w:val="00207AF1"/>
    <w:rsid w:val="002106D2"/>
    <w:rsid w:val="0021151C"/>
    <w:rsid w:val="002118AF"/>
    <w:rsid w:val="00212858"/>
    <w:rsid w:val="00212C70"/>
    <w:rsid w:val="00213D8C"/>
    <w:rsid w:val="002142FA"/>
    <w:rsid w:val="00215DDD"/>
    <w:rsid w:val="00216F72"/>
    <w:rsid w:val="00220ADA"/>
    <w:rsid w:val="00220C5A"/>
    <w:rsid w:val="00220F31"/>
    <w:rsid w:val="0022218D"/>
    <w:rsid w:val="00222869"/>
    <w:rsid w:val="0022338C"/>
    <w:rsid w:val="00223493"/>
    <w:rsid w:val="002235BE"/>
    <w:rsid w:val="002248B0"/>
    <w:rsid w:val="00226A24"/>
    <w:rsid w:val="00226FDD"/>
    <w:rsid w:val="00227567"/>
    <w:rsid w:val="00227887"/>
    <w:rsid w:val="002320F5"/>
    <w:rsid w:val="002334F3"/>
    <w:rsid w:val="002339B5"/>
    <w:rsid w:val="00236FE5"/>
    <w:rsid w:val="00237673"/>
    <w:rsid w:val="0023781F"/>
    <w:rsid w:val="00237E46"/>
    <w:rsid w:val="0024226D"/>
    <w:rsid w:val="002428D7"/>
    <w:rsid w:val="00244B8C"/>
    <w:rsid w:val="00246237"/>
    <w:rsid w:val="00247568"/>
    <w:rsid w:val="002512B7"/>
    <w:rsid w:val="002528E3"/>
    <w:rsid w:val="00252A74"/>
    <w:rsid w:val="00252CC4"/>
    <w:rsid w:val="00252D1D"/>
    <w:rsid w:val="002544F3"/>
    <w:rsid w:val="00254767"/>
    <w:rsid w:val="0025571C"/>
    <w:rsid w:val="00255EC8"/>
    <w:rsid w:val="002573CA"/>
    <w:rsid w:val="00257BF2"/>
    <w:rsid w:val="002618D8"/>
    <w:rsid w:val="00261B29"/>
    <w:rsid w:val="00261FD2"/>
    <w:rsid w:val="00262434"/>
    <w:rsid w:val="00262BF8"/>
    <w:rsid w:val="00262EE1"/>
    <w:rsid w:val="0026369F"/>
    <w:rsid w:val="00264711"/>
    <w:rsid w:val="00264C1C"/>
    <w:rsid w:val="00265A58"/>
    <w:rsid w:val="00267720"/>
    <w:rsid w:val="002677BA"/>
    <w:rsid w:val="00267C5A"/>
    <w:rsid w:val="00270C46"/>
    <w:rsid w:val="00270D61"/>
    <w:rsid w:val="0027161D"/>
    <w:rsid w:val="002727A1"/>
    <w:rsid w:val="00273249"/>
    <w:rsid w:val="002739E7"/>
    <w:rsid w:val="00273DF8"/>
    <w:rsid w:val="002776FC"/>
    <w:rsid w:val="0027772E"/>
    <w:rsid w:val="002800F0"/>
    <w:rsid w:val="00280B43"/>
    <w:rsid w:val="0028204B"/>
    <w:rsid w:val="00282209"/>
    <w:rsid w:val="00282771"/>
    <w:rsid w:val="00282942"/>
    <w:rsid w:val="00284856"/>
    <w:rsid w:val="0029028B"/>
    <w:rsid w:val="00294865"/>
    <w:rsid w:val="00295545"/>
    <w:rsid w:val="002A1355"/>
    <w:rsid w:val="002A1FC1"/>
    <w:rsid w:val="002A36F9"/>
    <w:rsid w:val="002A5116"/>
    <w:rsid w:val="002A694E"/>
    <w:rsid w:val="002A6C58"/>
    <w:rsid w:val="002B08CA"/>
    <w:rsid w:val="002B1102"/>
    <w:rsid w:val="002B3756"/>
    <w:rsid w:val="002B49BE"/>
    <w:rsid w:val="002B56CC"/>
    <w:rsid w:val="002B62A0"/>
    <w:rsid w:val="002C0ECB"/>
    <w:rsid w:val="002C1B2E"/>
    <w:rsid w:val="002C3211"/>
    <w:rsid w:val="002C4BD1"/>
    <w:rsid w:val="002C703D"/>
    <w:rsid w:val="002C73BA"/>
    <w:rsid w:val="002C7B75"/>
    <w:rsid w:val="002D0077"/>
    <w:rsid w:val="002D1FE5"/>
    <w:rsid w:val="002D26EF"/>
    <w:rsid w:val="002D2B50"/>
    <w:rsid w:val="002D484B"/>
    <w:rsid w:val="002D531B"/>
    <w:rsid w:val="002D7E22"/>
    <w:rsid w:val="002E1539"/>
    <w:rsid w:val="002E21C2"/>
    <w:rsid w:val="002E228D"/>
    <w:rsid w:val="002E396E"/>
    <w:rsid w:val="002E3ECA"/>
    <w:rsid w:val="002E46FE"/>
    <w:rsid w:val="002E4EC9"/>
    <w:rsid w:val="002E5E9D"/>
    <w:rsid w:val="002E6999"/>
    <w:rsid w:val="002E7739"/>
    <w:rsid w:val="002F000D"/>
    <w:rsid w:val="002F12AE"/>
    <w:rsid w:val="002F1594"/>
    <w:rsid w:val="002F1CC3"/>
    <w:rsid w:val="002F203C"/>
    <w:rsid w:val="002F28D4"/>
    <w:rsid w:val="002F2BBF"/>
    <w:rsid w:val="002F2DED"/>
    <w:rsid w:val="002F343E"/>
    <w:rsid w:val="002F5ED8"/>
    <w:rsid w:val="002F695F"/>
    <w:rsid w:val="002F7074"/>
    <w:rsid w:val="002F7621"/>
    <w:rsid w:val="002F79E8"/>
    <w:rsid w:val="002F7F87"/>
    <w:rsid w:val="00300655"/>
    <w:rsid w:val="00300AF2"/>
    <w:rsid w:val="003025E0"/>
    <w:rsid w:val="00302720"/>
    <w:rsid w:val="00302C32"/>
    <w:rsid w:val="00306393"/>
    <w:rsid w:val="00306672"/>
    <w:rsid w:val="00307D58"/>
    <w:rsid w:val="00310669"/>
    <w:rsid w:val="003109CF"/>
    <w:rsid w:val="00311968"/>
    <w:rsid w:val="00312284"/>
    <w:rsid w:val="003128DB"/>
    <w:rsid w:val="00312BC7"/>
    <w:rsid w:val="00313487"/>
    <w:rsid w:val="0031422D"/>
    <w:rsid w:val="00315A69"/>
    <w:rsid w:val="003161C0"/>
    <w:rsid w:val="0031699E"/>
    <w:rsid w:val="00317016"/>
    <w:rsid w:val="0032045C"/>
    <w:rsid w:val="00320E19"/>
    <w:rsid w:val="00320E90"/>
    <w:rsid w:val="00321769"/>
    <w:rsid w:val="003219A8"/>
    <w:rsid w:val="00322539"/>
    <w:rsid w:val="00323F0D"/>
    <w:rsid w:val="00325A5D"/>
    <w:rsid w:val="00325B87"/>
    <w:rsid w:val="00326353"/>
    <w:rsid w:val="00327D49"/>
    <w:rsid w:val="00331FE2"/>
    <w:rsid w:val="00332A2B"/>
    <w:rsid w:val="00334998"/>
    <w:rsid w:val="00334CEA"/>
    <w:rsid w:val="003354A8"/>
    <w:rsid w:val="00335671"/>
    <w:rsid w:val="00340015"/>
    <w:rsid w:val="0034018F"/>
    <w:rsid w:val="003403DA"/>
    <w:rsid w:val="0034090C"/>
    <w:rsid w:val="00341DC4"/>
    <w:rsid w:val="00342B18"/>
    <w:rsid w:val="00342B84"/>
    <w:rsid w:val="00342DE1"/>
    <w:rsid w:val="00344F9D"/>
    <w:rsid w:val="00345383"/>
    <w:rsid w:val="0034596A"/>
    <w:rsid w:val="0034728E"/>
    <w:rsid w:val="0034784B"/>
    <w:rsid w:val="00353059"/>
    <w:rsid w:val="00353843"/>
    <w:rsid w:val="00353C1B"/>
    <w:rsid w:val="00353FC5"/>
    <w:rsid w:val="0035470C"/>
    <w:rsid w:val="003547DB"/>
    <w:rsid w:val="00354F71"/>
    <w:rsid w:val="003559A2"/>
    <w:rsid w:val="0035668C"/>
    <w:rsid w:val="00360217"/>
    <w:rsid w:val="0036149A"/>
    <w:rsid w:val="00365F84"/>
    <w:rsid w:val="00366101"/>
    <w:rsid w:val="00367BE7"/>
    <w:rsid w:val="00371F67"/>
    <w:rsid w:val="00373105"/>
    <w:rsid w:val="00374DE5"/>
    <w:rsid w:val="00375C70"/>
    <w:rsid w:val="00376F14"/>
    <w:rsid w:val="00377F82"/>
    <w:rsid w:val="003825F8"/>
    <w:rsid w:val="00382821"/>
    <w:rsid w:val="00383419"/>
    <w:rsid w:val="00384525"/>
    <w:rsid w:val="0038513D"/>
    <w:rsid w:val="003869DA"/>
    <w:rsid w:val="00390412"/>
    <w:rsid w:val="00390D4F"/>
    <w:rsid w:val="003920F7"/>
    <w:rsid w:val="00392ED2"/>
    <w:rsid w:val="003937C6"/>
    <w:rsid w:val="00393F49"/>
    <w:rsid w:val="0039438B"/>
    <w:rsid w:val="003948D5"/>
    <w:rsid w:val="00394ED0"/>
    <w:rsid w:val="00395D41"/>
    <w:rsid w:val="00396E61"/>
    <w:rsid w:val="00396F90"/>
    <w:rsid w:val="00397697"/>
    <w:rsid w:val="00397A51"/>
    <w:rsid w:val="00397B96"/>
    <w:rsid w:val="003A0954"/>
    <w:rsid w:val="003A15B9"/>
    <w:rsid w:val="003A1D7A"/>
    <w:rsid w:val="003A2BE4"/>
    <w:rsid w:val="003A3EFE"/>
    <w:rsid w:val="003A4AB4"/>
    <w:rsid w:val="003A5BE9"/>
    <w:rsid w:val="003A61B5"/>
    <w:rsid w:val="003A61EC"/>
    <w:rsid w:val="003A63C4"/>
    <w:rsid w:val="003A6566"/>
    <w:rsid w:val="003A6904"/>
    <w:rsid w:val="003A6B53"/>
    <w:rsid w:val="003A7175"/>
    <w:rsid w:val="003B0151"/>
    <w:rsid w:val="003B0333"/>
    <w:rsid w:val="003B0EDE"/>
    <w:rsid w:val="003B1CE2"/>
    <w:rsid w:val="003B20F3"/>
    <w:rsid w:val="003B228D"/>
    <w:rsid w:val="003B33D5"/>
    <w:rsid w:val="003B4702"/>
    <w:rsid w:val="003B4B0C"/>
    <w:rsid w:val="003B4EAF"/>
    <w:rsid w:val="003B50CA"/>
    <w:rsid w:val="003B5500"/>
    <w:rsid w:val="003B68EF"/>
    <w:rsid w:val="003B697B"/>
    <w:rsid w:val="003B69D2"/>
    <w:rsid w:val="003C03A8"/>
    <w:rsid w:val="003C11A1"/>
    <w:rsid w:val="003C1C10"/>
    <w:rsid w:val="003C1F91"/>
    <w:rsid w:val="003C20CA"/>
    <w:rsid w:val="003C40F7"/>
    <w:rsid w:val="003C43C4"/>
    <w:rsid w:val="003C5DAA"/>
    <w:rsid w:val="003D00B5"/>
    <w:rsid w:val="003D03E9"/>
    <w:rsid w:val="003D1DF3"/>
    <w:rsid w:val="003D1E2A"/>
    <w:rsid w:val="003D2AFB"/>
    <w:rsid w:val="003D392D"/>
    <w:rsid w:val="003D3A20"/>
    <w:rsid w:val="003D5200"/>
    <w:rsid w:val="003D5992"/>
    <w:rsid w:val="003D7902"/>
    <w:rsid w:val="003E010F"/>
    <w:rsid w:val="003E3773"/>
    <w:rsid w:val="003E3D0B"/>
    <w:rsid w:val="003E49B2"/>
    <w:rsid w:val="003E4B5C"/>
    <w:rsid w:val="003E5766"/>
    <w:rsid w:val="003E6258"/>
    <w:rsid w:val="003E7593"/>
    <w:rsid w:val="003F22E0"/>
    <w:rsid w:val="003F22F2"/>
    <w:rsid w:val="003F38AE"/>
    <w:rsid w:val="003F5539"/>
    <w:rsid w:val="003F5BA2"/>
    <w:rsid w:val="003F639A"/>
    <w:rsid w:val="003F6EF5"/>
    <w:rsid w:val="00404BF9"/>
    <w:rsid w:val="00404F2B"/>
    <w:rsid w:val="00410929"/>
    <w:rsid w:val="00410CD7"/>
    <w:rsid w:val="00411150"/>
    <w:rsid w:val="004122F8"/>
    <w:rsid w:val="0041294B"/>
    <w:rsid w:val="00413152"/>
    <w:rsid w:val="00414E59"/>
    <w:rsid w:val="004161F9"/>
    <w:rsid w:val="004216D6"/>
    <w:rsid w:val="0042268A"/>
    <w:rsid w:val="0042362D"/>
    <w:rsid w:val="00425AF9"/>
    <w:rsid w:val="004262DC"/>
    <w:rsid w:val="004263BB"/>
    <w:rsid w:val="00426566"/>
    <w:rsid w:val="00427790"/>
    <w:rsid w:val="004279F8"/>
    <w:rsid w:val="00430BF3"/>
    <w:rsid w:val="00430C35"/>
    <w:rsid w:val="0043146C"/>
    <w:rsid w:val="00433042"/>
    <w:rsid w:val="004342B9"/>
    <w:rsid w:val="00434304"/>
    <w:rsid w:val="00434839"/>
    <w:rsid w:val="0043678A"/>
    <w:rsid w:val="00437650"/>
    <w:rsid w:val="004402C3"/>
    <w:rsid w:val="00440608"/>
    <w:rsid w:val="00440619"/>
    <w:rsid w:val="0044211A"/>
    <w:rsid w:val="00442C81"/>
    <w:rsid w:val="00446CE8"/>
    <w:rsid w:val="00446E26"/>
    <w:rsid w:val="00447BEA"/>
    <w:rsid w:val="004500BC"/>
    <w:rsid w:val="0045033C"/>
    <w:rsid w:val="00450E69"/>
    <w:rsid w:val="00451E7D"/>
    <w:rsid w:val="00452165"/>
    <w:rsid w:val="00453FC7"/>
    <w:rsid w:val="0045571F"/>
    <w:rsid w:val="00457EDE"/>
    <w:rsid w:val="004600A8"/>
    <w:rsid w:val="004601F6"/>
    <w:rsid w:val="004611E8"/>
    <w:rsid w:val="00461A18"/>
    <w:rsid w:val="004625F7"/>
    <w:rsid w:val="00462D41"/>
    <w:rsid w:val="004638AD"/>
    <w:rsid w:val="00464766"/>
    <w:rsid w:val="00464FEE"/>
    <w:rsid w:val="0046524A"/>
    <w:rsid w:val="00465874"/>
    <w:rsid w:val="004658AA"/>
    <w:rsid w:val="00466810"/>
    <w:rsid w:val="00467183"/>
    <w:rsid w:val="0047089E"/>
    <w:rsid w:val="00470BB0"/>
    <w:rsid w:val="00473CC6"/>
    <w:rsid w:val="00473FF9"/>
    <w:rsid w:val="00476C07"/>
    <w:rsid w:val="00476D2C"/>
    <w:rsid w:val="00476EF4"/>
    <w:rsid w:val="00480B75"/>
    <w:rsid w:val="00481BF1"/>
    <w:rsid w:val="00485524"/>
    <w:rsid w:val="00485E45"/>
    <w:rsid w:val="0048620A"/>
    <w:rsid w:val="00487256"/>
    <w:rsid w:val="00487267"/>
    <w:rsid w:val="0048791D"/>
    <w:rsid w:val="00487C68"/>
    <w:rsid w:val="0049037C"/>
    <w:rsid w:val="00493D14"/>
    <w:rsid w:val="004949B6"/>
    <w:rsid w:val="00495426"/>
    <w:rsid w:val="004961E7"/>
    <w:rsid w:val="00497211"/>
    <w:rsid w:val="0049746E"/>
    <w:rsid w:val="004975CD"/>
    <w:rsid w:val="004A205C"/>
    <w:rsid w:val="004A2B6D"/>
    <w:rsid w:val="004A2CD1"/>
    <w:rsid w:val="004A5A42"/>
    <w:rsid w:val="004B04DB"/>
    <w:rsid w:val="004B089C"/>
    <w:rsid w:val="004B1047"/>
    <w:rsid w:val="004B1C66"/>
    <w:rsid w:val="004B2CB1"/>
    <w:rsid w:val="004B4A87"/>
    <w:rsid w:val="004B5D14"/>
    <w:rsid w:val="004B76F7"/>
    <w:rsid w:val="004C002D"/>
    <w:rsid w:val="004C002F"/>
    <w:rsid w:val="004C17D6"/>
    <w:rsid w:val="004C1BF8"/>
    <w:rsid w:val="004C2759"/>
    <w:rsid w:val="004C2F00"/>
    <w:rsid w:val="004C2F58"/>
    <w:rsid w:val="004C351E"/>
    <w:rsid w:val="004C35C1"/>
    <w:rsid w:val="004C5206"/>
    <w:rsid w:val="004D0937"/>
    <w:rsid w:val="004D0F05"/>
    <w:rsid w:val="004D15FB"/>
    <w:rsid w:val="004D4540"/>
    <w:rsid w:val="004D4A3F"/>
    <w:rsid w:val="004D4BFE"/>
    <w:rsid w:val="004D5347"/>
    <w:rsid w:val="004D56C5"/>
    <w:rsid w:val="004D570E"/>
    <w:rsid w:val="004D68BC"/>
    <w:rsid w:val="004D6927"/>
    <w:rsid w:val="004D78E3"/>
    <w:rsid w:val="004E023A"/>
    <w:rsid w:val="004E0A65"/>
    <w:rsid w:val="004E0F8D"/>
    <w:rsid w:val="004E1C78"/>
    <w:rsid w:val="004E3266"/>
    <w:rsid w:val="004E6E9B"/>
    <w:rsid w:val="004E7A27"/>
    <w:rsid w:val="004E7D53"/>
    <w:rsid w:val="004F0006"/>
    <w:rsid w:val="004F0716"/>
    <w:rsid w:val="004F111E"/>
    <w:rsid w:val="004F4048"/>
    <w:rsid w:val="004F44FC"/>
    <w:rsid w:val="004F4AF1"/>
    <w:rsid w:val="004F5BFF"/>
    <w:rsid w:val="004F5D3E"/>
    <w:rsid w:val="004F6C83"/>
    <w:rsid w:val="004F7DEF"/>
    <w:rsid w:val="004F7F1A"/>
    <w:rsid w:val="005010F5"/>
    <w:rsid w:val="005010FE"/>
    <w:rsid w:val="005031C4"/>
    <w:rsid w:val="005047AF"/>
    <w:rsid w:val="005056DE"/>
    <w:rsid w:val="00505B21"/>
    <w:rsid w:val="00505E6F"/>
    <w:rsid w:val="00506443"/>
    <w:rsid w:val="0050758E"/>
    <w:rsid w:val="00507E63"/>
    <w:rsid w:val="00507FBB"/>
    <w:rsid w:val="00510DA2"/>
    <w:rsid w:val="00511001"/>
    <w:rsid w:val="00511296"/>
    <w:rsid w:val="0051449D"/>
    <w:rsid w:val="00516173"/>
    <w:rsid w:val="00516E69"/>
    <w:rsid w:val="00520922"/>
    <w:rsid w:val="005214F0"/>
    <w:rsid w:val="0052189D"/>
    <w:rsid w:val="005218AE"/>
    <w:rsid w:val="0052216B"/>
    <w:rsid w:val="0052274C"/>
    <w:rsid w:val="00522E20"/>
    <w:rsid w:val="005236FE"/>
    <w:rsid w:val="005257B7"/>
    <w:rsid w:val="00525C67"/>
    <w:rsid w:val="00526012"/>
    <w:rsid w:val="005260AE"/>
    <w:rsid w:val="00526BBD"/>
    <w:rsid w:val="00526BFD"/>
    <w:rsid w:val="00526EC1"/>
    <w:rsid w:val="00531076"/>
    <w:rsid w:val="00531085"/>
    <w:rsid w:val="00533588"/>
    <w:rsid w:val="00534286"/>
    <w:rsid w:val="00535064"/>
    <w:rsid w:val="005353FE"/>
    <w:rsid w:val="00535732"/>
    <w:rsid w:val="00536072"/>
    <w:rsid w:val="0053690E"/>
    <w:rsid w:val="00537967"/>
    <w:rsid w:val="00537969"/>
    <w:rsid w:val="00537982"/>
    <w:rsid w:val="0054025F"/>
    <w:rsid w:val="00542D86"/>
    <w:rsid w:val="00543297"/>
    <w:rsid w:val="00543970"/>
    <w:rsid w:val="0054439A"/>
    <w:rsid w:val="0054477B"/>
    <w:rsid w:val="00544ABC"/>
    <w:rsid w:val="00544D28"/>
    <w:rsid w:val="00545199"/>
    <w:rsid w:val="00545F6D"/>
    <w:rsid w:val="00546B3B"/>
    <w:rsid w:val="00547E74"/>
    <w:rsid w:val="00550162"/>
    <w:rsid w:val="0055090B"/>
    <w:rsid w:val="005509AD"/>
    <w:rsid w:val="005528CA"/>
    <w:rsid w:val="00553231"/>
    <w:rsid w:val="00553424"/>
    <w:rsid w:val="00554FE2"/>
    <w:rsid w:val="00555B3A"/>
    <w:rsid w:val="00556923"/>
    <w:rsid w:val="00556AC8"/>
    <w:rsid w:val="00556C76"/>
    <w:rsid w:val="00556CDF"/>
    <w:rsid w:val="00557A5F"/>
    <w:rsid w:val="00560FC9"/>
    <w:rsid w:val="00562C9D"/>
    <w:rsid w:val="00563C59"/>
    <w:rsid w:val="00563DDF"/>
    <w:rsid w:val="00564277"/>
    <w:rsid w:val="005647D4"/>
    <w:rsid w:val="0057033E"/>
    <w:rsid w:val="00570515"/>
    <w:rsid w:val="00571964"/>
    <w:rsid w:val="00571DBB"/>
    <w:rsid w:val="005724EF"/>
    <w:rsid w:val="00572821"/>
    <w:rsid w:val="005733A6"/>
    <w:rsid w:val="0057346C"/>
    <w:rsid w:val="0057416E"/>
    <w:rsid w:val="00574962"/>
    <w:rsid w:val="00575C96"/>
    <w:rsid w:val="00576DB8"/>
    <w:rsid w:val="00577D7F"/>
    <w:rsid w:val="0058032E"/>
    <w:rsid w:val="0058117F"/>
    <w:rsid w:val="00582DD1"/>
    <w:rsid w:val="00584A16"/>
    <w:rsid w:val="00590287"/>
    <w:rsid w:val="005916D2"/>
    <w:rsid w:val="00594530"/>
    <w:rsid w:val="00595B6B"/>
    <w:rsid w:val="00595B75"/>
    <w:rsid w:val="00596B1C"/>
    <w:rsid w:val="00597227"/>
    <w:rsid w:val="005977EC"/>
    <w:rsid w:val="005A1EF5"/>
    <w:rsid w:val="005A20CD"/>
    <w:rsid w:val="005A26B1"/>
    <w:rsid w:val="005A3331"/>
    <w:rsid w:val="005A45C9"/>
    <w:rsid w:val="005A565F"/>
    <w:rsid w:val="005A56A4"/>
    <w:rsid w:val="005A62C3"/>
    <w:rsid w:val="005A6B0A"/>
    <w:rsid w:val="005A6FC3"/>
    <w:rsid w:val="005A7330"/>
    <w:rsid w:val="005B0CB8"/>
    <w:rsid w:val="005B1ED6"/>
    <w:rsid w:val="005B27E7"/>
    <w:rsid w:val="005B4C81"/>
    <w:rsid w:val="005B4E81"/>
    <w:rsid w:val="005B52F9"/>
    <w:rsid w:val="005B5451"/>
    <w:rsid w:val="005B5F52"/>
    <w:rsid w:val="005B6303"/>
    <w:rsid w:val="005B6A98"/>
    <w:rsid w:val="005C1ECF"/>
    <w:rsid w:val="005C2341"/>
    <w:rsid w:val="005C29D0"/>
    <w:rsid w:val="005C2F84"/>
    <w:rsid w:val="005C31A7"/>
    <w:rsid w:val="005C3C6C"/>
    <w:rsid w:val="005C4970"/>
    <w:rsid w:val="005C56C4"/>
    <w:rsid w:val="005C5BB9"/>
    <w:rsid w:val="005C5DDC"/>
    <w:rsid w:val="005C61A1"/>
    <w:rsid w:val="005C62F9"/>
    <w:rsid w:val="005C70B1"/>
    <w:rsid w:val="005C71B9"/>
    <w:rsid w:val="005C7AC1"/>
    <w:rsid w:val="005D0AED"/>
    <w:rsid w:val="005D1E6A"/>
    <w:rsid w:val="005D25EF"/>
    <w:rsid w:val="005D2709"/>
    <w:rsid w:val="005D2F47"/>
    <w:rsid w:val="005D3144"/>
    <w:rsid w:val="005D388C"/>
    <w:rsid w:val="005D4D9D"/>
    <w:rsid w:val="005D58E9"/>
    <w:rsid w:val="005D71D6"/>
    <w:rsid w:val="005D7CC9"/>
    <w:rsid w:val="005E0535"/>
    <w:rsid w:val="005E1DD8"/>
    <w:rsid w:val="005E1DDC"/>
    <w:rsid w:val="005E21EA"/>
    <w:rsid w:val="005E280F"/>
    <w:rsid w:val="005E2D2E"/>
    <w:rsid w:val="005E35F7"/>
    <w:rsid w:val="005E3EDD"/>
    <w:rsid w:val="005E5A47"/>
    <w:rsid w:val="005E63B7"/>
    <w:rsid w:val="005F0924"/>
    <w:rsid w:val="005F097B"/>
    <w:rsid w:val="005F0996"/>
    <w:rsid w:val="005F2EBB"/>
    <w:rsid w:val="005F37EB"/>
    <w:rsid w:val="005F3B37"/>
    <w:rsid w:val="005F427A"/>
    <w:rsid w:val="005F65A0"/>
    <w:rsid w:val="005F723E"/>
    <w:rsid w:val="005F7857"/>
    <w:rsid w:val="0060027A"/>
    <w:rsid w:val="00600742"/>
    <w:rsid w:val="00600B42"/>
    <w:rsid w:val="006020B5"/>
    <w:rsid w:val="0060352C"/>
    <w:rsid w:val="00603A37"/>
    <w:rsid w:val="00604B5D"/>
    <w:rsid w:val="00607BD8"/>
    <w:rsid w:val="00610AE0"/>
    <w:rsid w:val="0061207B"/>
    <w:rsid w:val="006124B6"/>
    <w:rsid w:val="00612BF9"/>
    <w:rsid w:val="00612EB6"/>
    <w:rsid w:val="00613AFD"/>
    <w:rsid w:val="00613CE4"/>
    <w:rsid w:val="00614260"/>
    <w:rsid w:val="00615014"/>
    <w:rsid w:val="006156B5"/>
    <w:rsid w:val="00615D18"/>
    <w:rsid w:val="00621C49"/>
    <w:rsid w:val="00623730"/>
    <w:rsid w:val="0062502B"/>
    <w:rsid w:val="006266DE"/>
    <w:rsid w:val="0062739E"/>
    <w:rsid w:val="006275DD"/>
    <w:rsid w:val="0063093F"/>
    <w:rsid w:val="00631A99"/>
    <w:rsid w:val="00634229"/>
    <w:rsid w:val="006352D1"/>
    <w:rsid w:val="00635578"/>
    <w:rsid w:val="006359E4"/>
    <w:rsid w:val="00635F7F"/>
    <w:rsid w:val="00636031"/>
    <w:rsid w:val="0063733B"/>
    <w:rsid w:val="00637535"/>
    <w:rsid w:val="0064006D"/>
    <w:rsid w:val="00640B37"/>
    <w:rsid w:val="00640EE4"/>
    <w:rsid w:val="00641243"/>
    <w:rsid w:val="00642FD5"/>
    <w:rsid w:val="006435ED"/>
    <w:rsid w:val="0064388F"/>
    <w:rsid w:val="00643917"/>
    <w:rsid w:val="00644A22"/>
    <w:rsid w:val="00644B5D"/>
    <w:rsid w:val="00646FAF"/>
    <w:rsid w:val="00651A91"/>
    <w:rsid w:val="0065221B"/>
    <w:rsid w:val="00655245"/>
    <w:rsid w:val="00656549"/>
    <w:rsid w:val="00657C18"/>
    <w:rsid w:val="0066043B"/>
    <w:rsid w:val="006604C8"/>
    <w:rsid w:val="00661360"/>
    <w:rsid w:val="006624A2"/>
    <w:rsid w:val="006627B1"/>
    <w:rsid w:val="00662EE0"/>
    <w:rsid w:val="006630C8"/>
    <w:rsid w:val="00663C96"/>
    <w:rsid w:val="006645A5"/>
    <w:rsid w:val="00665B52"/>
    <w:rsid w:val="00665D4F"/>
    <w:rsid w:val="0066736B"/>
    <w:rsid w:val="00667D91"/>
    <w:rsid w:val="006701ED"/>
    <w:rsid w:val="00670B49"/>
    <w:rsid w:val="0067167E"/>
    <w:rsid w:val="00673913"/>
    <w:rsid w:val="00673AB3"/>
    <w:rsid w:val="00676ED0"/>
    <w:rsid w:val="0067719E"/>
    <w:rsid w:val="00677C28"/>
    <w:rsid w:val="00680045"/>
    <w:rsid w:val="006808B1"/>
    <w:rsid w:val="00680B13"/>
    <w:rsid w:val="00681879"/>
    <w:rsid w:val="00683DE4"/>
    <w:rsid w:val="006849F5"/>
    <w:rsid w:val="00684F90"/>
    <w:rsid w:val="00686034"/>
    <w:rsid w:val="00687009"/>
    <w:rsid w:val="00687BAD"/>
    <w:rsid w:val="006914BC"/>
    <w:rsid w:val="00691D1A"/>
    <w:rsid w:val="006921AC"/>
    <w:rsid w:val="00692DAC"/>
    <w:rsid w:val="00693BBE"/>
    <w:rsid w:val="00694BA6"/>
    <w:rsid w:val="00695E26"/>
    <w:rsid w:val="00696A94"/>
    <w:rsid w:val="00696AD1"/>
    <w:rsid w:val="006A004A"/>
    <w:rsid w:val="006A0117"/>
    <w:rsid w:val="006A1F3C"/>
    <w:rsid w:val="006A2B5A"/>
    <w:rsid w:val="006A3007"/>
    <w:rsid w:val="006A32F1"/>
    <w:rsid w:val="006A33F7"/>
    <w:rsid w:val="006A38B2"/>
    <w:rsid w:val="006A3965"/>
    <w:rsid w:val="006A7DBE"/>
    <w:rsid w:val="006B062E"/>
    <w:rsid w:val="006B0B44"/>
    <w:rsid w:val="006B0FD1"/>
    <w:rsid w:val="006B1780"/>
    <w:rsid w:val="006B1B71"/>
    <w:rsid w:val="006B313D"/>
    <w:rsid w:val="006B476D"/>
    <w:rsid w:val="006B5268"/>
    <w:rsid w:val="006B57D4"/>
    <w:rsid w:val="006B5D33"/>
    <w:rsid w:val="006B6177"/>
    <w:rsid w:val="006B75F9"/>
    <w:rsid w:val="006B7937"/>
    <w:rsid w:val="006B7972"/>
    <w:rsid w:val="006C0380"/>
    <w:rsid w:val="006C0388"/>
    <w:rsid w:val="006C0A24"/>
    <w:rsid w:val="006C0F4C"/>
    <w:rsid w:val="006C3B03"/>
    <w:rsid w:val="006C5079"/>
    <w:rsid w:val="006C56DF"/>
    <w:rsid w:val="006C750D"/>
    <w:rsid w:val="006D066D"/>
    <w:rsid w:val="006D29F5"/>
    <w:rsid w:val="006D3272"/>
    <w:rsid w:val="006D39C5"/>
    <w:rsid w:val="006D41C9"/>
    <w:rsid w:val="006D4CC0"/>
    <w:rsid w:val="006D5572"/>
    <w:rsid w:val="006D6106"/>
    <w:rsid w:val="006D6647"/>
    <w:rsid w:val="006D6910"/>
    <w:rsid w:val="006D6D33"/>
    <w:rsid w:val="006D7EDD"/>
    <w:rsid w:val="006E005F"/>
    <w:rsid w:val="006E06A3"/>
    <w:rsid w:val="006E0935"/>
    <w:rsid w:val="006E1AFC"/>
    <w:rsid w:val="006E2361"/>
    <w:rsid w:val="006E239D"/>
    <w:rsid w:val="006E3476"/>
    <w:rsid w:val="006E3DA0"/>
    <w:rsid w:val="006E406A"/>
    <w:rsid w:val="006E50DD"/>
    <w:rsid w:val="006E5D56"/>
    <w:rsid w:val="006E7D66"/>
    <w:rsid w:val="006F0100"/>
    <w:rsid w:val="006F0BCB"/>
    <w:rsid w:val="006F1620"/>
    <w:rsid w:val="006F2024"/>
    <w:rsid w:val="006F2200"/>
    <w:rsid w:val="006F27AC"/>
    <w:rsid w:val="006F2C8B"/>
    <w:rsid w:val="006F67A0"/>
    <w:rsid w:val="006F6D3A"/>
    <w:rsid w:val="00700423"/>
    <w:rsid w:val="00700786"/>
    <w:rsid w:val="007009C1"/>
    <w:rsid w:val="00702E16"/>
    <w:rsid w:val="00703ACC"/>
    <w:rsid w:val="00704C99"/>
    <w:rsid w:val="00704E09"/>
    <w:rsid w:val="00704FB6"/>
    <w:rsid w:val="007050B2"/>
    <w:rsid w:val="00705175"/>
    <w:rsid w:val="007052D8"/>
    <w:rsid w:val="00706E8D"/>
    <w:rsid w:val="00707426"/>
    <w:rsid w:val="0070758F"/>
    <w:rsid w:val="00707DE6"/>
    <w:rsid w:val="007105FE"/>
    <w:rsid w:val="007113B6"/>
    <w:rsid w:val="00711DCF"/>
    <w:rsid w:val="00714529"/>
    <w:rsid w:val="00714D30"/>
    <w:rsid w:val="00715630"/>
    <w:rsid w:val="00716AB5"/>
    <w:rsid w:val="00716AB8"/>
    <w:rsid w:val="00717ED6"/>
    <w:rsid w:val="00720D9A"/>
    <w:rsid w:val="0072138D"/>
    <w:rsid w:val="0072241E"/>
    <w:rsid w:val="00722B81"/>
    <w:rsid w:val="007242E9"/>
    <w:rsid w:val="007243F5"/>
    <w:rsid w:val="00724B5A"/>
    <w:rsid w:val="00725797"/>
    <w:rsid w:val="007260FC"/>
    <w:rsid w:val="0072643A"/>
    <w:rsid w:val="00726D1A"/>
    <w:rsid w:val="007270D9"/>
    <w:rsid w:val="007277F4"/>
    <w:rsid w:val="00730725"/>
    <w:rsid w:val="00731FD0"/>
    <w:rsid w:val="00732ADB"/>
    <w:rsid w:val="007342D1"/>
    <w:rsid w:val="007345A1"/>
    <w:rsid w:val="00735CAE"/>
    <w:rsid w:val="007363F7"/>
    <w:rsid w:val="00736A30"/>
    <w:rsid w:val="007370BC"/>
    <w:rsid w:val="007370F4"/>
    <w:rsid w:val="0073756C"/>
    <w:rsid w:val="00740B63"/>
    <w:rsid w:val="00743A95"/>
    <w:rsid w:val="00743E9A"/>
    <w:rsid w:val="00744108"/>
    <w:rsid w:val="00744DDB"/>
    <w:rsid w:val="00745D9B"/>
    <w:rsid w:val="0074650E"/>
    <w:rsid w:val="007518B7"/>
    <w:rsid w:val="00752060"/>
    <w:rsid w:val="007521F1"/>
    <w:rsid w:val="00752C24"/>
    <w:rsid w:val="00753470"/>
    <w:rsid w:val="007550A1"/>
    <w:rsid w:val="0075523B"/>
    <w:rsid w:val="00755FE2"/>
    <w:rsid w:val="00757D39"/>
    <w:rsid w:val="00760E47"/>
    <w:rsid w:val="0076167B"/>
    <w:rsid w:val="0076208A"/>
    <w:rsid w:val="00762F61"/>
    <w:rsid w:val="00764082"/>
    <w:rsid w:val="00764D0F"/>
    <w:rsid w:val="00770966"/>
    <w:rsid w:val="00770EAD"/>
    <w:rsid w:val="007713C8"/>
    <w:rsid w:val="007720C7"/>
    <w:rsid w:val="007727BE"/>
    <w:rsid w:val="00773159"/>
    <w:rsid w:val="00777D8B"/>
    <w:rsid w:val="007808BE"/>
    <w:rsid w:val="00781568"/>
    <w:rsid w:val="0078241C"/>
    <w:rsid w:val="007829D2"/>
    <w:rsid w:val="00783882"/>
    <w:rsid w:val="007857E0"/>
    <w:rsid w:val="00787A98"/>
    <w:rsid w:val="007909A0"/>
    <w:rsid w:val="00790BD2"/>
    <w:rsid w:val="00791B32"/>
    <w:rsid w:val="00792612"/>
    <w:rsid w:val="00793091"/>
    <w:rsid w:val="00793972"/>
    <w:rsid w:val="00793FA8"/>
    <w:rsid w:val="007947A4"/>
    <w:rsid w:val="007950EC"/>
    <w:rsid w:val="00795D69"/>
    <w:rsid w:val="007967D2"/>
    <w:rsid w:val="007A012C"/>
    <w:rsid w:val="007A0228"/>
    <w:rsid w:val="007A07FC"/>
    <w:rsid w:val="007A14FB"/>
    <w:rsid w:val="007A1CA2"/>
    <w:rsid w:val="007A226C"/>
    <w:rsid w:val="007A2C74"/>
    <w:rsid w:val="007A3BE0"/>
    <w:rsid w:val="007A47A3"/>
    <w:rsid w:val="007B0C88"/>
    <w:rsid w:val="007B1E19"/>
    <w:rsid w:val="007B3DEF"/>
    <w:rsid w:val="007B3FB2"/>
    <w:rsid w:val="007B465C"/>
    <w:rsid w:val="007B489A"/>
    <w:rsid w:val="007B6062"/>
    <w:rsid w:val="007B6136"/>
    <w:rsid w:val="007B7C50"/>
    <w:rsid w:val="007C0650"/>
    <w:rsid w:val="007C1D94"/>
    <w:rsid w:val="007C2335"/>
    <w:rsid w:val="007C2F5C"/>
    <w:rsid w:val="007C3C39"/>
    <w:rsid w:val="007C4DA3"/>
    <w:rsid w:val="007C54D7"/>
    <w:rsid w:val="007C5B32"/>
    <w:rsid w:val="007C5B9B"/>
    <w:rsid w:val="007C6DF4"/>
    <w:rsid w:val="007C7010"/>
    <w:rsid w:val="007D0BF4"/>
    <w:rsid w:val="007D114B"/>
    <w:rsid w:val="007D19AD"/>
    <w:rsid w:val="007D2476"/>
    <w:rsid w:val="007D3BD4"/>
    <w:rsid w:val="007D52D6"/>
    <w:rsid w:val="007D66F0"/>
    <w:rsid w:val="007D67C2"/>
    <w:rsid w:val="007D6E07"/>
    <w:rsid w:val="007D6EB6"/>
    <w:rsid w:val="007E35FE"/>
    <w:rsid w:val="007E4A2A"/>
    <w:rsid w:val="007E525A"/>
    <w:rsid w:val="007E58BB"/>
    <w:rsid w:val="007E6281"/>
    <w:rsid w:val="007E65E7"/>
    <w:rsid w:val="007E6EB6"/>
    <w:rsid w:val="007E77FC"/>
    <w:rsid w:val="007F107C"/>
    <w:rsid w:val="007F4CDD"/>
    <w:rsid w:val="007F516E"/>
    <w:rsid w:val="007F7C04"/>
    <w:rsid w:val="008007A8"/>
    <w:rsid w:val="0080128E"/>
    <w:rsid w:val="008038FC"/>
    <w:rsid w:val="00811E88"/>
    <w:rsid w:val="008124E7"/>
    <w:rsid w:val="00812D1D"/>
    <w:rsid w:val="00812D96"/>
    <w:rsid w:val="008141B7"/>
    <w:rsid w:val="008156DE"/>
    <w:rsid w:val="00817BDD"/>
    <w:rsid w:val="00817D31"/>
    <w:rsid w:val="00820BD1"/>
    <w:rsid w:val="00821060"/>
    <w:rsid w:val="00821D2D"/>
    <w:rsid w:val="0082200E"/>
    <w:rsid w:val="00822535"/>
    <w:rsid w:val="008230D3"/>
    <w:rsid w:val="0082424A"/>
    <w:rsid w:val="00824C35"/>
    <w:rsid w:val="008263F2"/>
    <w:rsid w:val="00826F06"/>
    <w:rsid w:val="00827A7D"/>
    <w:rsid w:val="00830011"/>
    <w:rsid w:val="008337F3"/>
    <w:rsid w:val="00833E10"/>
    <w:rsid w:val="00836DDB"/>
    <w:rsid w:val="00837F74"/>
    <w:rsid w:val="00840329"/>
    <w:rsid w:val="008427CE"/>
    <w:rsid w:val="008428CE"/>
    <w:rsid w:val="00843D3C"/>
    <w:rsid w:val="0084449B"/>
    <w:rsid w:val="008450E0"/>
    <w:rsid w:val="0084517E"/>
    <w:rsid w:val="00846067"/>
    <w:rsid w:val="00846431"/>
    <w:rsid w:val="00846D12"/>
    <w:rsid w:val="008472BA"/>
    <w:rsid w:val="00847556"/>
    <w:rsid w:val="00847833"/>
    <w:rsid w:val="0085118E"/>
    <w:rsid w:val="00851A62"/>
    <w:rsid w:val="00851C80"/>
    <w:rsid w:val="00852E7D"/>
    <w:rsid w:val="008533F2"/>
    <w:rsid w:val="008538C1"/>
    <w:rsid w:val="00854779"/>
    <w:rsid w:val="00856169"/>
    <w:rsid w:val="008569FC"/>
    <w:rsid w:val="00857286"/>
    <w:rsid w:val="008579B5"/>
    <w:rsid w:val="00861D71"/>
    <w:rsid w:val="00862117"/>
    <w:rsid w:val="00863A3A"/>
    <w:rsid w:val="00864B12"/>
    <w:rsid w:val="00867A5E"/>
    <w:rsid w:val="00867E53"/>
    <w:rsid w:val="00867E56"/>
    <w:rsid w:val="00870735"/>
    <w:rsid w:val="008716CF"/>
    <w:rsid w:val="00871A18"/>
    <w:rsid w:val="008729B3"/>
    <w:rsid w:val="008745FA"/>
    <w:rsid w:val="00874F17"/>
    <w:rsid w:val="00875D11"/>
    <w:rsid w:val="0087680C"/>
    <w:rsid w:val="008779D5"/>
    <w:rsid w:val="0088020A"/>
    <w:rsid w:val="00881348"/>
    <w:rsid w:val="0088264C"/>
    <w:rsid w:val="00882E4C"/>
    <w:rsid w:val="00883678"/>
    <w:rsid w:val="00884111"/>
    <w:rsid w:val="00884CC9"/>
    <w:rsid w:val="008856B1"/>
    <w:rsid w:val="008857D1"/>
    <w:rsid w:val="0088652F"/>
    <w:rsid w:val="00886769"/>
    <w:rsid w:val="00886A53"/>
    <w:rsid w:val="00886B24"/>
    <w:rsid w:val="008871EE"/>
    <w:rsid w:val="00887285"/>
    <w:rsid w:val="00887990"/>
    <w:rsid w:val="00890FF3"/>
    <w:rsid w:val="008911A7"/>
    <w:rsid w:val="00892083"/>
    <w:rsid w:val="00895AFC"/>
    <w:rsid w:val="00896342"/>
    <w:rsid w:val="008965A3"/>
    <w:rsid w:val="00896B9A"/>
    <w:rsid w:val="00896D78"/>
    <w:rsid w:val="00897B99"/>
    <w:rsid w:val="008A0CCF"/>
    <w:rsid w:val="008A2F50"/>
    <w:rsid w:val="008A606A"/>
    <w:rsid w:val="008A6B6A"/>
    <w:rsid w:val="008A6DB4"/>
    <w:rsid w:val="008A7016"/>
    <w:rsid w:val="008A76ED"/>
    <w:rsid w:val="008B0F76"/>
    <w:rsid w:val="008B13D9"/>
    <w:rsid w:val="008B28EE"/>
    <w:rsid w:val="008B3A98"/>
    <w:rsid w:val="008B77A0"/>
    <w:rsid w:val="008C0E33"/>
    <w:rsid w:val="008C1ADC"/>
    <w:rsid w:val="008C1CD0"/>
    <w:rsid w:val="008C43CF"/>
    <w:rsid w:val="008C4AF7"/>
    <w:rsid w:val="008C5C81"/>
    <w:rsid w:val="008C6660"/>
    <w:rsid w:val="008C798B"/>
    <w:rsid w:val="008D00C5"/>
    <w:rsid w:val="008D021F"/>
    <w:rsid w:val="008D075C"/>
    <w:rsid w:val="008D0D6C"/>
    <w:rsid w:val="008D1B34"/>
    <w:rsid w:val="008D3643"/>
    <w:rsid w:val="008D7162"/>
    <w:rsid w:val="008D7381"/>
    <w:rsid w:val="008D7976"/>
    <w:rsid w:val="008E023D"/>
    <w:rsid w:val="008E07A2"/>
    <w:rsid w:val="008E22AF"/>
    <w:rsid w:val="008F018E"/>
    <w:rsid w:val="008F0EB3"/>
    <w:rsid w:val="008F1E2F"/>
    <w:rsid w:val="008F334D"/>
    <w:rsid w:val="008F49A8"/>
    <w:rsid w:val="008F543F"/>
    <w:rsid w:val="008F5714"/>
    <w:rsid w:val="008F643D"/>
    <w:rsid w:val="008F68D0"/>
    <w:rsid w:val="008F712C"/>
    <w:rsid w:val="008F74FE"/>
    <w:rsid w:val="008F7702"/>
    <w:rsid w:val="008F777B"/>
    <w:rsid w:val="009002F8"/>
    <w:rsid w:val="00901A73"/>
    <w:rsid w:val="00901B3D"/>
    <w:rsid w:val="00901BBA"/>
    <w:rsid w:val="00903E8F"/>
    <w:rsid w:val="00905233"/>
    <w:rsid w:val="0090544A"/>
    <w:rsid w:val="00905874"/>
    <w:rsid w:val="00905C0B"/>
    <w:rsid w:val="00907A8E"/>
    <w:rsid w:val="00910C7C"/>
    <w:rsid w:val="00914024"/>
    <w:rsid w:val="0091404D"/>
    <w:rsid w:val="00914DBD"/>
    <w:rsid w:val="00916457"/>
    <w:rsid w:val="0091686D"/>
    <w:rsid w:val="00916FAC"/>
    <w:rsid w:val="0091716F"/>
    <w:rsid w:val="00920EBE"/>
    <w:rsid w:val="0092204D"/>
    <w:rsid w:val="0092283E"/>
    <w:rsid w:val="009229F2"/>
    <w:rsid w:val="00922B8A"/>
    <w:rsid w:val="0092322E"/>
    <w:rsid w:val="00923B9E"/>
    <w:rsid w:val="00924A7F"/>
    <w:rsid w:val="00924C08"/>
    <w:rsid w:val="00924D76"/>
    <w:rsid w:val="00925F62"/>
    <w:rsid w:val="009261FF"/>
    <w:rsid w:val="009270C5"/>
    <w:rsid w:val="00931ABF"/>
    <w:rsid w:val="00931BF0"/>
    <w:rsid w:val="009360FC"/>
    <w:rsid w:val="00936159"/>
    <w:rsid w:val="00936E82"/>
    <w:rsid w:val="0093788D"/>
    <w:rsid w:val="009413A4"/>
    <w:rsid w:val="0094519F"/>
    <w:rsid w:val="0094621D"/>
    <w:rsid w:val="00946737"/>
    <w:rsid w:val="00946892"/>
    <w:rsid w:val="009468F0"/>
    <w:rsid w:val="00946ED5"/>
    <w:rsid w:val="00946F87"/>
    <w:rsid w:val="0094737A"/>
    <w:rsid w:val="00950913"/>
    <w:rsid w:val="00951E61"/>
    <w:rsid w:val="00951F37"/>
    <w:rsid w:val="009527D1"/>
    <w:rsid w:val="00952F46"/>
    <w:rsid w:val="00953E78"/>
    <w:rsid w:val="0095519E"/>
    <w:rsid w:val="0095567B"/>
    <w:rsid w:val="00955C12"/>
    <w:rsid w:val="00956FFA"/>
    <w:rsid w:val="00960047"/>
    <w:rsid w:val="009609CE"/>
    <w:rsid w:val="00964BD1"/>
    <w:rsid w:val="00966168"/>
    <w:rsid w:val="00967419"/>
    <w:rsid w:val="00967BBA"/>
    <w:rsid w:val="00971C16"/>
    <w:rsid w:val="00971C56"/>
    <w:rsid w:val="009720FD"/>
    <w:rsid w:val="00973769"/>
    <w:rsid w:val="0097408C"/>
    <w:rsid w:val="0097556F"/>
    <w:rsid w:val="009756BB"/>
    <w:rsid w:val="009756BD"/>
    <w:rsid w:val="0097789E"/>
    <w:rsid w:val="00980894"/>
    <w:rsid w:val="0098162C"/>
    <w:rsid w:val="00981985"/>
    <w:rsid w:val="00981D3C"/>
    <w:rsid w:val="009822FA"/>
    <w:rsid w:val="00982706"/>
    <w:rsid w:val="0098329E"/>
    <w:rsid w:val="009835A7"/>
    <w:rsid w:val="00983661"/>
    <w:rsid w:val="00983DA3"/>
    <w:rsid w:val="0098402D"/>
    <w:rsid w:val="00986B31"/>
    <w:rsid w:val="00987F91"/>
    <w:rsid w:val="00990204"/>
    <w:rsid w:val="0099038C"/>
    <w:rsid w:val="00990AF7"/>
    <w:rsid w:val="00991EBE"/>
    <w:rsid w:val="00992AA1"/>
    <w:rsid w:val="00992BDE"/>
    <w:rsid w:val="00993177"/>
    <w:rsid w:val="00993A2C"/>
    <w:rsid w:val="00994A0E"/>
    <w:rsid w:val="00994B51"/>
    <w:rsid w:val="00994F8C"/>
    <w:rsid w:val="00995F64"/>
    <w:rsid w:val="0099624A"/>
    <w:rsid w:val="009A0273"/>
    <w:rsid w:val="009A18CD"/>
    <w:rsid w:val="009A2C5B"/>
    <w:rsid w:val="009A37AB"/>
    <w:rsid w:val="009A40A4"/>
    <w:rsid w:val="009A4F04"/>
    <w:rsid w:val="009A57DA"/>
    <w:rsid w:val="009A7BD7"/>
    <w:rsid w:val="009B028F"/>
    <w:rsid w:val="009B03D9"/>
    <w:rsid w:val="009B15B1"/>
    <w:rsid w:val="009B2C1F"/>
    <w:rsid w:val="009B2EC2"/>
    <w:rsid w:val="009B3C16"/>
    <w:rsid w:val="009B597C"/>
    <w:rsid w:val="009B61C0"/>
    <w:rsid w:val="009B6ABB"/>
    <w:rsid w:val="009B75CD"/>
    <w:rsid w:val="009C0128"/>
    <w:rsid w:val="009C201B"/>
    <w:rsid w:val="009C30D4"/>
    <w:rsid w:val="009C3A49"/>
    <w:rsid w:val="009C4573"/>
    <w:rsid w:val="009C4A33"/>
    <w:rsid w:val="009C4A7C"/>
    <w:rsid w:val="009C59CA"/>
    <w:rsid w:val="009C5CF7"/>
    <w:rsid w:val="009C62D2"/>
    <w:rsid w:val="009C681F"/>
    <w:rsid w:val="009D090A"/>
    <w:rsid w:val="009D159A"/>
    <w:rsid w:val="009D417B"/>
    <w:rsid w:val="009D43F6"/>
    <w:rsid w:val="009D5498"/>
    <w:rsid w:val="009D5E5C"/>
    <w:rsid w:val="009D6504"/>
    <w:rsid w:val="009D6B6B"/>
    <w:rsid w:val="009E0A3E"/>
    <w:rsid w:val="009E19AB"/>
    <w:rsid w:val="009E1E45"/>
    <w:rsid w:val="009E224F"/>
    <w:rsid w:val="009E2C41"/>
    <w:rsid w:val="009E3C29"/>
    <w:rsid w:val="009E48AB"/>
    <w:rsid w:val="009E7AE9"/>
    <w:rsid w:val="009F0309"/>
    <w:rsid w:val="009F065F"/>
    <w:rsid w:val="009F3BD3"/>
    <w:rsid w:val="009F44DF"/>
    <w:rsid w:val="009F49CD"/>
    <w:rsid w:val="009F4CE9"/>
    <w:rsid w:val="009F7BB7"/>
    <w:rsid w:val="00A00D5D"/>
    <w:rsid w:val="00A02311"/>
    <w:rsid w:val="00A027F2"/>
    <w:rsid w:val="00A02DC9"/>
    <w:rsid w:val="00A032AA"/>
    <w:rsid w:val="00A04231"/>
    <w:rsid w:val="00A0475E"/>
    <w:rsid w:val="00A05AC5"/>
    <w:rsid w:val="00A067CC"/>
    <w:rsid w:val="00A07793"/>
    <w:rsid w:val="00A109D7"/>
    <w:rsid w:val="00A127F6"/>
    <w:rsid w:val="00A1298A"/>
    <w:rsid w:val="00A13B7F"/>
    <w:rsid w:val="00A14549"/>
    <w:rsid w:val="00A16A1E"/>
    <w:rsid w:val="00A1735C"/>
    <w:rsid w:val="00A17FE3"/>
    <w:rsid w:val="00A24794"/>
    <w:rsid w:val="00A25507"/>
    <w:rsid w:val="00A25BFA"/>
    <w:rsid w:val="00A25C8C"/>
    <w:rsid w:val="00A26C2F"/>
    <w:rsid w:val="00A30589"/>
    <w:rsid w:val="00A30E26"/>
    <w:rsid w:val="00A32018"/>
    <w:rsid w:val="00A32D26"/>
    <w:rsid w:val="00A3308A"/>
    <w:rsid w:val="00A33825"/>
    <w:rsid w:val="00A34488"/>
    <w:rsid w:val="00A36812"/>
    <w:rsid w:val="00A37BA8"/>
    <w:rsid w:val="00A40796"/>
    <w:rsid w:val="00A41E7B"/>
    <w:rsid w:val="00A428A4"/>
    <w:rsid w:val="00A463E2"/>
    <w:rsid w:val="00A469DE"/>
    <w:rsid w:val="00A46F65"/>
    <w:rsid w:val="00A50110"/>
    <w:rsid w:val="00A5040B"/>
    <w:rsid w:val="00A50B00"/>
    <w:rsid w:val="00A50B10"/>
    <w:rsid w:val="00A51039"/>
    <w:rsid w:val="00A5199B"/>
    <w:rsid w:val="00A51DAA"/>
    <w:rsid w:val="00A521AD"/>
    <w:rsid w:val="00A527F1"/>
    <w:rsid w:val="00A54128"/>
    <w:rsid w:val="00A548CE"/>
    <w:rsid w:val="00A55079"/>
    <w:rsid w:val="00A5519C"/>
    <w:rsid w:val="00A56034"/>
    <w:rsid w:val="00A56E19"/>
    <w:rsid w:val="00A56E1C"/>
    <w:rsid w:val="00A56FB0"/>
    <w:rsid w:val="00A60F37"/>
    <w:rsid w:val="00A61920"/>
    <w:rsid w:val="00A65CC8"/>
    <w:rsid w:val="00A67139"/>
    <w:rsid w:val="00A7113C"/>
    <w:rsid w:val="00A71385"/>
    <w:rsid w:val="00A72C19"/>
    <w:rsid w:val="00A7440E"/>
    <w:rsid w:val="00A749E7"/>
    <w:rsid w:val="00A76650"/>
    <w:rsid w:val="00A77057"/>
    <w:rsid w:val="00A812DA"/>
    <w:rsid w:val="00A827B0"/>
    <w:rsid w:val="00A83851"/>
    <w:rsid w:val="00A83C80"/>
    <w:rsid w:val="00A85DB8"/>
    <w:rsid w:val="00A860E9"/>
    <w:rsid w:val="00A872AB"/>
    <w:rsid w:val="00A914F0"/>
    <w:rsid w:val="00A918AD"/>
    <w:rsid w:val="00A918D2"/>
    <w:rsid w:val="00A935E8"/>
    <w:rsid w:val="00A9404A"/>
    <w:rsid w:val="00A97870"/>
    <w:rsid w:val="00A97A3B"/>
    <w:rsid w:val="00AA1372"/>
    <w:rsid w:val="00AA23B1"/>
    <w:rsid w:val="00AA2966"/>
    <w:rsid w:val="00AA3C6F"/>
    <w:rsid w:val="00AA4CDC"/>
    <w:rsid w:val="00AA4E4D"/>
    <w:rsid w:val="00AA4F13"/>
    <w:rsid w:val="00AA5EBC"/>
    <w:rsid w:val="00AB00B0"/>
    <w:rsid w:val="00AB0A99"/>
    <w:rsid w:val="00AB3082"/>
    <w:rsid w:val="00AB41F2"/>
    <w:rsid w:val="00AB4835"/>
    <w:rsid w:val="00AB4A1D"/>
    <w:rsid w:val="00AB58DA"/>
    <w:rsid w:val="00AB612B"/>
    <w:rsid w:val="00AB6622"/>
    <w:rsid w:val="00AC1233"/>
    <w:rsid w:val="00AC19EF"/>
    <w:rsid w:val="00AC52D7"/>
    <w:rsid w:val="00AC5685"/>
    <w:rsid w:val="00AC79AD"/>
    <w:rsid w:val="00AD005F"/>
    <w:rsid w:val="00AD282E"/>
    <w:rsid w:val="00AD2E46"/>
    <w:rsid w:val="00AD3C87"/>
    <w:rsid w:val="00AD47C4"/>
    <w:rsid w:val="00AD5629"/>
    <w:rsid w:val="00AE1295"/>
    <w:rsid w:val="00AE1371"/>
    <w:rsid w:val="00AE18F2"/>
    <w:rsid w:val="00AE23FB"/>
    <w:rsid w:val="00AE305B"/>
    <w:rsid w:val="00AE36BA"/>
    <w:rsid w:val="00AE79DA"/>
    <w:rsid w:val="00AE7CF6"/>
    <w:rsid w:val="00AF0DEC"/>
    <w:rsid w:val="00AF15AC"/>
    <w:rsid w:val="00AF1C1D"/>
    <w:rsid w:val="00AF2717"/>
    <w:rsid w:val="00AF2E3E"/>
    <w:rsid w:val="00AF3DFB"/>
    <w:rsid w:val="00AF4891"/>
    <w:rsid w:val="00AF505D"/>
    <w:rsid w:val="00AF5B53"/>
    <w:rsid w:val="00AF5D14"/>
    <w:rsid w:val="00AF6716"/>
    <w:rsid w:val="00AF6F3F"/>
    <w:rsid w:val="00B0086B"/>
    <w:rsid w:val="00B00E29"/>
    <w:rsid w:val="00B01048"/>
    <w:rsid w:val="00B01B7C"/>
    <w:rsid w:val="00B03003"/>
    <w:rsid w:val="00B053F0"/>
    <w:rsid w:val="00B05A7E"/>
    <w:rsid w:val="00B064DB"/>
    <w:rsid w:val="00B07F57"/>
    <w:rsid w:val="00B103FD"/>
    <w:rsid w:val="00B10957"/>
    <w:rsid w:val="00B11551"/>
    <w:rsid w:val="00B123F7"/>
    <w:rsid w:val="00B12538"/>
    <w:rsid w:val="00B1286F"/>
    <w:rsid w:val="00B12C82"/>
    <w:rsid w:val="00B133C3"/>
    <w:rsid w:val="00B14504"/>
    <w:rsid w:val="00B16886"/>
    <w:rsid w:val="00B178D1"/>
    <w:rsid w:val="00B2118A"/>
    <w:rsid w:val="00B21347"/>
    <w:rsid w:val="00B2193D"/>
    <w:rsid w:val="00B21C8F"/>
    <w:rsid w:val="00B224EA"/>
    <w:rsid w:val="00B2297D"/>
    <w:rsid w:val="00B22A31"/>
    <w:rsid w:val="00B22B17"/>
    <w:rsid w:val="00B2344D"/>
    <w:rsid w:val="00B24C67"/>
    <w:rsid w:val="00B25F04"/>
    <w:rsid w:val="00B263FF"/>
    <w:rsid w:val="00B267CF"/>
    <w:rsid w:val="00B27290"/>
    <w:rsid w:val="00B30E29"/>
    <w:rsid w:val="00B30E3A"/>
    <w:rsid w:val="00B30E8F"/>
    <w:rsid w:val="00B31552"/>
    <w:rsid w:val="00B31AD9"/>
    <w:rsid w:val="00B32543"/>
    <w:rsid w:val="00B33775"/>
    <w:rsid w:val="00B356DF"/>
    <w:rsid w:val="00B356E6"/>
    <w:rsid w:val="00B36342"/>
    <w:rsid w:val="00B3717B"/>
    <w:rsid w:val="00B40400"/>
    <w:rsid w:val="00B43588"/>
    <w:rsid w:val="00B457D2"/>
    <w:rsid w:val="00B47C57"/>
    <w:rsid w:val="00B51747"/>
    <w:rsid w:val="00B525EC"/>
    <w:rsid w:val="00B529E0"/>
    <w:rsid w:val="00B53DEE"/>
    <w:rsid w:val="00B5477E"/>
    <w:rsid w:val="00B5495E"/>
    <w:rsid w:val="00B56A9C"/>
    <w:rsid w:val="00B56D13"/>
    <w:rsid w:val="00B604D3"/>
    <w:rsid w:val="00B638DE"/>
    <w:rsid w:val="00B64C5F"/>
    <w:rsid w:val="00B65B63"/>
    <w:rsid w:val="00B65F40"/>
    <w:rsid w:val="00B66B99"/>
    <w:rsid w:val="00B66BEA"/>
    <w:rsid w:val="00B6709C"/>
    <w:rsid w:val="00B67E71"/>
    <w:rsid w:val="00B72ED6"/>
    <w:rsid w:val="00B747E1"/>
    <w:rsid w:val="00B75278"/>
    <w:rsid w:val="00B75595"/>
    <w:rsid w:val="00B75A2A"/>
    <w:rsid w:val="00B81E7A"/>
    <w:rsid w:val="00B82302"/>
    <w:rsid w:val="00B82ABD"/>
    <w:rsid w:val="00B82CE5"/>
    <w:rsid w:val="00B8306F"/>
    <w:rsid w:val="00B831D4"/>
    <w:rsid w:val="00B84259"/>
    <w:rsid w:val="00B85F38"/>
    <w:rsid w:val="00B87E82"/>
    <w:rsid w:val="00B90AAE"/>
    <w:rsid w:val="00B92AE1"/>
    <w:rsid w:val="00B93B93"/>
    <w:rsid w:val="00B94205"/>
    <w:rsid w:val="00B954EF"/>
    <w:rsid w:val="00B955FA"/>
    <w:rsid w:val="00B95E61"/>
    <w:rsid w:val="00B965E7"/>
    <w:rsid w:val="00B96B3A"/>
    <w:rsid w:val="00B96CD8"/>
    <w:rsid w:val="00B9736E"/>
    <w:rsid w:val="00BA1231"/>
    <w:rsid w:val="00BA15E9"/>
    <w:rsid w:val="00BA1643"/>
    <w:rsid w:val="00BA23B4"/>
    <w:rsid w:val="00BA2D3C"/>
    <w:rsid w:val="00BA3813"/>
    <w:rsid w:val="00BA510F"/>
    <w:rsid w:val="00BA5F20"/>
    <w:rsid w:val="00BA640B"/>
    <w:rsid w:val="00BA712D"/>
    <w:rsid w:val="00BA7CFF"/>
    <w:rsid w:val="00BA7EE6"/>
    <w:rsid w:val="00BB0D8E"/>
    <w:rsid w:val="00BB1A9D"/>
    <w:rsid w:val="00BB35A8"/>
    <w:rsid w:val="00BB3DBD"/>
    <w:rsid w:val="00BB4F69"/>
    <w:rsid w:val="00BB549B"/>
    <w:rsid w:val="00BB7DB5"/>
    <w:rsid w:val="00BC189B"/>
    <w:rsid w:val="00BC268C"/>
    <w:rsid w:val="00BC2ED2"/>
    <w:rsid w:val="00BC367B"/>
    <w:rsid w:val="00BC4297"/>
    <w:rsid w:val="00BC7722"/>
    <w:rsid w:val="00BD2F34"/>
    <w:rsid w:val="00BD392F"/>
    <w:rsid w:val="00BD68EF"/>
    <w:rsid w:val="00BD757E"/>
    <w:rsid w:val="00BE078B"/>
    <w:rsid w:val="00BE1822"/>
    <w:rsid w:val="00BE184D"/>
    <w:rsid w:val="00BE2989"/>
    <w:rsid w:val="00BE3593"/>
    <w:rsid w:val="00BE379C"/>
    <w:rsid w:val="00BE3E7B"/>
    <w:rsid w:val="00BE5370"/>
    <w:rsid w:val="00BE54F7"/>
    <w:rsid w:val="00BE55E9"/>
    <w:rsid w:val="00BE6772"/>
    <w:rsid w:val="00BE707B"/>
    <w:rsid w:val="00BE7B7E"/>
    <w:rsid w:val="00BE7BF6"/>
    <w:rsid w:val="00BF0770"/>
    <w:rsid w:val="00BF1D7E"/>
    <w:rsid w:val="00BF2EEB"/>
    <w:rsid w:val="00BF31DD"/>
    <w:rsid w:val="00BF518A"/>
    <w:rsid w:val="00BF546A"/>
    <w:rsid w:val="00BF69F1"/>
    <w:rsid w:val="00BF6B2D"/>
    <w:rsid w:val="00BF7DF8"/>
    <w:rsid w:val="00C008EC"/>
    <w:rsid w:val="00C0117A"/>
    <w:rsid w:val="00C01358"/>
    <w:rsid w:val="00C01410"/>
    <w:rsid w:val="00C0160A"/>
    <w:rsid w:val="00C01CF9"/>
    <w:rsid w:val="00C02349"/>
    <w:rsid w:val="00C044BC"/>
    <w:rsid w:val="00C045EE"/>
    <w:rsid w:val="00C06A4B"/>
    <w:rsid w:val="00C102BE"/>
    <w:rsid w:val="00C1100F"/>
    <w:rsid w:val="00C1170C"/>
    <w:rsid w:val="00C1192E"/>
    <w:rsid w:val="00C1265A"/>
    <w:rsid w:val="00C145B2"/>
    <w:rsid w:val="00C14E7A"/>
    <w:rsid w:val="00C158CE"/>
    <w:rsid w:val="00C16393"/>
    <w:rsid w:val="00C16579"/>
    <w:rsid w:val="00C166CB"/>
    <w:rsid w:val="00C174B9"/>
    <w:rsid w:val="00C20814"/>
    <w:rsid w:val="00C21AAC"/>
    <w:rsid w:val="00C225E8"/>
    <w:rsid w:val="00C2298D"/>
    <w:rsid w:val="00C26CB5"/>
    <w:rsid w:val="00C31CB5"/>
    <w:rsid w:val="00C365F6"/>
    <w:rsid w:val="00C36CDB"/>
    <w:rsid w:val="00C371DA"/>
    <w:rsid w:val="00C37323"/>
    <w:rsid w:val="00C37FF0"/>
    <w:rsid w:val="00C4083B"/>
    <w:rsid w:val="00C40D57"/>
    <w:rsid w:val="00C40E49"/>
    <w:rsid w:val="00C415AA"/>
    <w:rsid w:val="00C4189B"/>
    <w:rsid w:val="00C419C3"/>
    <w:rsid w:val="00C43068"/>
    <w:rsid w:val="00C433C2"/>
    <w:rsid w:val="00C44BEB"/>
    <w:rsid w:val="00C46F38"/>
    <w:rsid w:val="00C472BF"/>
    <w:rsid w:val="00C50D23"/>
    <w:rsid w:val="00C515BD"/>
    <w:rsid w:val="00C52D3B"/>
    <w:rsid w:val="00C55075"/>
    <w:rsid w:val="00C6021D"/>
    <w:rsid w:val="00C60A7C"/>
    <w:rsid w:val="00C60E2A"/>
    <w:rsid w:val="00C61816"/>
    <w:rsid w:val="00C64262"/>
    <w:rsid w:val="00C66063"/>
    <w:rsid w:val="00C662BB"/>
    <w:rsid w:val="00C66F39"/>
    <w:rsid w:val="00C67414"/>
    <w:rsid w:val="00C70DB9"/>
    <w:rsid w:val="00C71D19"/>
    <w:rsid w:val="00C71DE0"/>
    <w:rsid w:val="00C71E37"/>
    <w:rsid w:val="00C726A4"/>
    <w:rsid w:val="00C73160"/>
    <w:rsid w:val="00C735F4"/>
    <w:rsid w:val="00C7368B"/>
    <w:rsid w:val="00C74366"/>
    <w:rsid w:val="00C745CE"/>
    <w:rsid w:val="00C75511"/>
    <w:rsid w:val="00C77063"/>
    <w:rsid w:val="00C80B84"/>
    <w:rsid w:val="00C8192C"/>
    <w:rsid w:val="00C823BA"/>
    <w:rsid w:val="00C82521"/>
    <w:rsid w:val="00C826A7"/>
    <w:rsid w:val="00C835EC"/>
    <w:rsid w:val="00C84130"/>
    <w:rsid w:val="00C84274"/>
    <w:rsid w:val="00C847D3"/>
    <w:rsid w:val="00C85003"/>
    <w:rsid w:val="00C910D6"/>
    <w:rsid w:val="00C92271"/>
    <w:rsid w:val="00C92714"/>
    <w:rsid w:val="00C92F37"/>
    <w:rsid w:val="00C93280"/>
    <w:rsid w:val="00C96040"/>
    <w:rsid w:val="00C962B8"/>
    <w:rsid w:val="00C9686F"/>
    <w:rsid w:val="00C968BF"/>
    <w:rsid w:val="00C976E2"/>
    <w:rsid w:val="00C978E2"/>
    <w:rsid w:val="00CA1AF0"/>
    <w:rsid w:val="00CA29B1"/>
    <w:rsid w:val="00CA2BB3"/>
    <w:rsid w:val="00CA475E"/>
    <w:rsid w:val="00CA63D2"/>
    <w:rsid w:val="00CA6B85"/>
    <w:rsid w:val="00CA6C3A"/>
    <w:rsid w:val="00CA765C"/>
    <w:rsid w:val="00CB0214"/>
    <w:rsid w:val="00CB03D4"/>
    <w:rsid w:val="00CB0C61"/>
    <w:rsid w:val="00CB1B6B"/>
    <w:rsid w:val="00CB2322"/>
    <w:rsid w:val="00CB249F"/>
    <w:rsid w:val="00CB2703"/>
    <w:rsid w:val="00CB37FE"/>
    <w:rsid w:val="00CB38FA"/>
    <w:rsid w:val="00CB4347"/>
    <w:rsid w:val="00CB58E9"/>
    <w:rsid w:val="00CB5EF8"/>
    <w:rsid w:val="00CB6703"/>
    <w:rsid w:val="00CB789C"/>
    <w:rsid w:val="00CB7BC7"/>
    <w:rsid w:val="00CB7F73"/>
    <w:rsid w:val="00CC023E"/>
    <w:rsid w:val="00CC0295"/>
    <w:rsid w:val="00CC27F0"/>
    <w:rsid w:val="00CC3048"/>
    <w:rsid w:val="00CC3403"/>
    <w:rsid w:val="00CC4247"/>
    <w:rsid w:val="00CC5613"/>
    <w:rsid w:val="00CC6B83"/>
    <w:rsid w:val="00CD1135"/>
    <w:rsid w:val="00CD18F0"/>
    <w:rsid w:val="00CD1B21"/>
    <w:rsid w:val="00CD29A8"/>
    <w:rsid w:val="00CD37C3"/>
    <w:rsid w:val="00CD391B"/>
    <w:rsid w:val="00CD39AD"/>
    <w:rsid w:val="00CD40B4"/>
    <w:rsid w:val="00CD4AB2"/>
    <w:rsid w:val="00CD4B79"/>
    <w:rsid w:val="00CD5632"/>
    <w:rsid w:val="00CD5CD2"/>
    <w:rsid w:val="00CD64E8"/>
    <w:rsid w:val="00CD72A1"/>
    <w:rsid w:val="00CD75C1"/>
    <w:rsid w:val="00CD7E3E"/>
    <w:rsid w:val="00CE0686"/>
    <w:rsid w:val="00CE1F8A"/>
    <w:rsid w:val="00CE26A7"/>
    <w:rsid w:val="00CE2706"/>
    <w:rsid w:val="00CE37EF"/>
    <w:rsid w:val="00CE5683"/>
    <w:rsid w:val="00CE7222"/>
    <w:rsid w:val="00CF0299"/>
    <w:rsid w:val="00CF29D9"/>
    <w:rsid w:val="00CF3106"/>
    <w:rsid w:val="00CF3346"/>
    <w:rsid w:val="00CF3801"/>
    <w:rsid w:val="00CF450E"/>
    <w:rsid w:val="00CF4D23"/>
    <w:rsid w:val="00CF4E93"/>
    <w:rsid w:val="00CF5A96"/>
    <w:rsid w:val="00CF61C6"/>
    <w:rsid w:val="00CF6345"/>
    <w:rsid w:val="00CF6B8C"/>
    <w:rsid w:val="00CF74D9"/>
    <w:rsid w:val="00D0094F"/>
    <w:rsid w:val="00D009E1"/>
    <w:rsid w:val="00D00DEF"/>
    <w:rsid w:val="00D017D8"/>
    <w:rsid w:val="00D033D3"/>
    <w:rsid w:val="00D035E1"/>
    <w:rsid w:val="00D03F94"/>
    <w:rsid w:val="00D04E06"/>
    <w:rsid w:val="00D06A47"/>
    <w:rsid w:val="00D0724F"/>
    <w:rsid w:val="00D079CF"/>
    <w:rsid w:val="00D1193E"/>
    <w:rsid w:val="00D126F7"/>
    <w:rsid w:val="00D1345F"/>
    <w:rsid w:val="00D138A5"/>
    <w:rsid w:val="00D14F2C"/>
    <w:rsid w:val="00D14F4F"/>
    <w:rsid w:val="00D15698"/>
    <w:rsid w:val="00D1720D"/>
    <w:rsid w:val="00D202E2"/>
    <w:rsid w:val="00D20AC1"/>
    <w:rsid w:val="00D2251E"/>
    <w:rsid w:val="00D226DF"/>
    <w:rsid w:val="00D23973"/>
    <w:rsid w:val="00D24B24"/>
    <w:rsid w:val="00D2642A"/>
    <w:rsid w:val="00D27078"/>
    <w:rsid w:val="00D27E7C"/>
    <w:rsid w:val="00D30B60"/>
    <w:rsid w:val="00D31327"/>
    <w:rsid w:val="00D32C36"/>
    <w:rsid w:val="00D34559"/>
    <w:rsid w:val="00D347CE"/>
    <w:rsid w:val="00D35AF8"/>
    <w:rsid w:val="00D361BA"/>
    <w:rsid w:val="00D407B5"/>
    <w:rsid w:val="00D40A66"/>
    <w:rsid w:val="00D428A0"/>
    <w:rsid w:val="00D4363E"/>
    <w:rsid w:val="00D43E34"/>
    <w:rsid w:val="00D44E28"/>
    <w:rsid w:val="00D4570D"/>
    <w:rsid w:val="00D46C93"/>
    <w:rsid w:val="00D46DEC"/>
    <w:rsid w:val="00D475BF"/>
    <w:rsid w:val="00D528C7"/>
    <w:rsid w:val="00D53B04"/>
    <w:rsid w:val="00D564D8"/>
    <w:rsid w:val="00D5712F"/>
    <w:rsid w:val="00D6120B"/>
    <w:rsid w:val="00D63FB8"/>
    <w:rsid w:val="00D64122"/>
    <w:rsid w:val="00D65473"/>
    <w:rsid w:val="00D66425"/>
    <w:rsid w:val="00D66809"/>
    <w:rsid w:val="00D66E80"/>
    <w:rsid w:val="00D67C85"/>
    <w:rsid w:val="00D67EEA"/>
    <w:rsid w:val="00D71272"/>
    <w:rsid w:val="00D712D5"/>
    <w:rsid w:val="00D71E59"/>
    <w:rsid w:val="00D72CCC"/>
    <w:rsid w:val="00D73810"/>
    <w:rsid w:val="00D74A6E"/>
    <w:rsid w:val="00D74B21"/>
    <w:rsid w:val="00D74CFF"/>
    <w:rsid w:val="00D74DCC"/>
    <w:rsid w:val="00D74E2A"/>
    <w:rsid w:val="00D74F40"/>
    <w:rsid w:val="00D756A5"/>
    <w:rsid w:val="00D762F7"/>
    <w:rsid w:val="00D77823"/>
    <w:rsid w:val="00D77C9A"/>
    <w:rsid w:val="00D80B15"/>
    <w:rsid w:val="00D8186A"/>
    <w:rsid w:val="00D81886"/>
    <w:rsid w:val="00D823A3"/>
    <w:rsid w:val="00D84D2F"/>
    <w:rsid w:val="00D86248"/>
    <w:rsid w:val="00D86A4C"/>
    <w:rsid w:val="00D87B9B"/>
    <w:rsid w:val="00D90605"/>
    <w:rsid w:val="00D933BD"/>
    <w:rsid w:val="00D94293"/>
    <w:rsid w:val="00D95CA4"/>
    <w:rsid w:val="00D96155"/>
    <w:rsid w:val="00D963AF"/>
    <w:rsid w:val="00D97E29"/>
    <w:rsid w:val="00DA0A47"/>
    <w:rsid w:val="00DA0A65"/>
    <w:rsid w:val="00DA1E85"/>
    <w:rsid w:val="00DA227F"/>
    <w:rsid w:val="00DA2806"/>
    <w:rsid w:val="00DA283F"/>
    <w:rsid w:val="00DA2D93"/>
    <w:rsid w:val="00DA3030"/>
    <w:rsid w:val="00DA370A"/>
    <w:rsid w:val="00DA3F09"/>
    <w:rsid w:val="00DA5077"/>
    <w:rsid w:val="00DB27C3"/>
    <w:rsid w:val="00DB424F"/>
    <w:rsid w:val="00DB4D88"/>
    <w:rsid w:val="00DB4F1D"/>
    <w:rsid w:val="00DB502D"/>
    <w:rsid w:val="00DB6B19"/>
    <w:rsid w:val="00DB7DFE"/>
    <w:rsid w:val="00DB7F87"/>
    <w:rsid w:val="00DC0044"/>
    <w:rsid w:val="00DC0977"/>
    <w:rsid w:val="00DC183F"/>
    <w:rsid w:val="00DC1F46"/>
    <w:rsid w:val="00DC21D3"/>
    <w:rsid w:val="00DC2C88"/>
    <w:rsid w:val="00DC3241"/>
    <w:rsid w:val="00DC54CB"/>
    <w:rsid w:val="00DC586E"/>
    <w:rsid w:val="00DC5C25"/>
    <w:rsid w:val="00DC5DF9"/>
    <w:rsid w:val="00DC686E"/>
    <w:rsid w:val="00DC694B"/>
    <w:rsid w:val="00DD0ACB"/>
    <w:rsid w:val="00DD1FD7"/>
    <w:rsid w:val="00DD20F2"/>
    <w:rsid w:val="00DD270E"/>
    <w:rsid w:val="00DD2EB0"/>
    <w:rsid w:val="00DD3CA7"/>
    <w:rsid w:val="00DD4024"/>
    <w:rsid w:val="00DD71C4"/>
    <w:rsid w:val="00DD7A67"/>
    <w:rsid w:val="00DD7E4F"/>
    <w:rsid w:val="00DE3F19"/>
    <w:rsid w:val="00DE5093"/>
    <w:rsid w:val="00DE64B3"/>
    <w:rsid w:val="00DE66FF"/>
    <w:rsid w:val="00DF1094"/>
    <w:rsid w:val="00DF1FF4"/>
    <w:rsid w:val="00DF3E80"/>
    <w:rsid w:val="00DF476C"/>
    <w:rsid w:val="00DF5282"/>
    <w:rsid w:val="00DF5BC6"/>
    <w:rsid w:val="00DF617B"/>
    <w:rsid w:val="00DF62D1"/>
    <w:rsid w:val="00DF7358"/>
    <w:rsid w:val="00E017DD"/>
    <w:rsid w:val="00E03C99"/>
    <w:rsid w:val="00E043DE"/>
    <w:rsid w:val="00E04D28"/>
    <w:rsid w:val="00E05E7F"/>
    <w:rsid w:val="00E06E60"/>
    <w:rsid w:val="00E1029F"/>
    <w:rsid w:val="00E10613"/>
    <w:rsid w:val="00E10C3E"/>
    <w:rsid w:val="00E11A83"/>
    <w:rsid w:val="00E1276B"/>
    <w:rsid w:val="00E12A93"/>
    <w:rsid w:val="00E1307D"/>
    <w:rsid w:val="00E13E95"/>
    <w:rsid w:val="00E14C69"/>
    <w:rsid w:val="00E15295"/>
    <w:rsid w:val="00E155A6"/>
    <w:rsid w:val="00E15668"/>
    <w:rsid w:val="00E15C90"/>
    <w:rsid w:val="00E163D3"/>
    <w:rsid w:val="00E16533"/>
    <w:rsid w:val="00E20157"/>
    <w:rsid w:val="00E21A10"/>
    <w:rsid w:val="00E2244E"/>
    <w:rsid w:val="00E23C01"/>
    <w:rsid w:val="00E264B2"/>
    <w:rsid w:val="00E27392"/>
    <w:rsid w:val="00E27A1C"/>
    <w:rsid w:val="00E310B1"/>
    <w:rsid w:val="00E317AD"/>
    <w:rsid w:val="00E32756"/>
    <w:rsid w:val="00E3371E"/>
    <w:rsid w:val="00E33FD8"/>
    <w:rsid w:val="00E34098"/>
    <w:rsid w:val="00E344FE"/>
    <w:rsid w:val="00E35BCB"/>
    <w:rsid w:val="00E363B3"/>
    <w:rsid w:val="00E366CD"/>
    <w:rsid w:val="00E37774"/>
    <w:rsid w:val="00E4108C"/>
    <w:rsid w:val="00E41478"/>
    <w:rsid w:val="00E43BFB"/>
    <w:rsid w:val="00E46608"/>
    <w:rsid w:val="00E46C6A"/>
    <w:rsid w:val="00E510D3"/>
    <w:rsid w:val="00E55103"/>
    <w:rsid w:val="00E551F7"/>
    <w:rsid w:val="00E557EE"/>
    <w:rsid w:val="00E57768"/>
    <w:rsid w:val="00E57F06"/>
    <w:rsid w:val="00E6009E"/>
    <w:rsid w:val="00E60174"/>
    <w:rsid w:val="00E60976"/>
    <w:rsid w:val="00E61803"/>
    <w:rsid w:val="00E621B8"/>
    <w:rsid w:val="00E627F2"/>
    <w:rsid w:val="00E62E1B"/>
    <w:rsid w:val="00E64067"/>
    <w:rsid w:val="00E71F4C"/>
    <w:rsid w:val="00E721AC"/>
    <w:rsid w:val="00E73E1F"/>
    <w:rsid w:val="00E73FCD"/>
    <w:rsid w:val="00E75DA7"/>
    <w:rsid w:val="00E76879"/>
    <w:rsid w:val="00E77791"/>
    <w:rsid w:val="00E8074B"/>
    <w:rsid w:val="00E82A22"/>
    <w:rsid w:val="00E82A35"/>
    <w:rsid w:val="00E831FA"/>
    <w:rsid w:val="00E837B7"/>
    <w:rsid w:val="00E907C4"/>
    <w:rsid w:val="00E91089"/>
    <w:rsid w:val="00E919D2"/>
    <w:rsid w:val="00E92069"/>
    <w:rsid w:val="00E93AE4"/>
    <w:rsid w:val="00E9646F"/>
    <w:rsid w:val="00EA1AEF"/>
    <w:rsid w:val="00EA3DB8"/>
    <w:rsid w:val="00EA40B1"/>
    <w:rsid w:val="00EA548B"/>
    <w:rsid w:val="00EA5739"/>
    <w:rsid w:val="00EA5B2B"/>
    <w:rsid w:val="00EA69F9"/>
    <w:rsid w:val="00EA73C5"/>
    <w:rsid w:val="00EA799A"/>
    <w:rsid w:val="00EB19C4"/>
    <w:rsid w:val="00EB2AD5"/>
    <w:rsid w:val="00EB3EA8"/>
    <w:rsid w:val="00EB4322"/>
    <w:rsid w:val="00EB4618"/>
    <w:rsid w:val="00EB6447"/>
    <w:rsid w:val="00EB78C3"/>
    <w:rsid w:val="00EC085F"/>
    <w:rsid w:val="00EC5032"/>
    <w:rsid w:val="00EC5BBA"/>
    <w:rsid w:val="00EC60E8"/>
    <w:rsid w:val="00EC61D7"/>
    <w:rsid w:val="00EC62C0"/>
    <w:rsid w:val="00EC6564"/>
    <w:rsid w:val="00EC71CB"/>
    <w:rsid w:val="00EC7E07"/>
    <w:rsid w:val="00ED0ADD"/>
    <w:rsid w:val="00ED179F"/>
    <w:rsid w:val="00ED1CAD"/>
    <w:rsid w:val="00ED2719"/>
    <w:rsid w:val="00ED357C"/>
    <w:rsid w:val="00ED6BE9"/>
    <w:rsid w:val="00EE0510"/>
    <w:rsid w:val="00EE0620"/>
    <w:rsid w:val="00EE0F51"/>
    <w:rsid w:val="00EE1DFA"/>
    <w:rsid w:val="00EE25EB"/>
    <w:rsid w:val="00EE2E1D"/>
    <w:rsid w:val="00EE3449"/>
    <w:rsid w:val="00EE3D07"/>
    <w:rsid w:val="00EE6AFB"/>
    <w:rsid w:val="00EE6D6B"/>
    <w:rsid w:val="00EE7926"/>
    <w:rsid w:val="00EE7C4E"/>
    <w:rsid w:val="00EE7EAC"/>
    <w:rsid w:val="00EE7EEE"/>
    <w:rsid w:val="00EF1465"/>
    <w:rsid w:val="00EF2334"/>
    <w:rsid w:val="00EF2504"/>
    <w:rsid w:val="00EF3264"/>
    <w:rsid w:val="00EF4625"/>
    <w:rsid w:val="00EF4DE6"/>
    <w:rsid w:val="00EF5B08"/>
    <w:rsid w:val="00EF6815"/>
    <w:rsid w:val="00EF6F70"/>
    <w:rsid w:val="00EF7094"/>
    <w:rsid w:val="00F003A2"/>
    <w:rsid w:val="00F01266"/>
    <w:rsid w:val="00F01D82"/>
    <w:rsid w:val="00F01FBE"/>
    <w:rsid w:val="00F0372F"/>
    <w:rsid w:val="00F040C2"/>
    <w:rsid w:val="00F047C0"/>
    <w:rsid w:val="00F051CA"/>
    <w:rsid w:val="00F057F2"/>
    <w:rsid w:val="00F05E3D"/>
    <w:rsid w:val="00F067B5"/>
    <w:rsid w:val="00F07412"/>
    <w:rsid w:val="00F076F5"/>
    <w:rsid w:val="00F07C92"/>
    <w:rsid w:val="00F07CFA"/>
    <w:rsid w:val="00F1091B"/>
    <w:rsid w:val="00F131B1"/>
    <w:rsid w:val="00F1337C"/>
    <w:rsid w:val="00F14BFD"/>
    <w:rsid w:val="00F15BAC"/>
    <w:rsid w:val="00F171F0"/>
    <w:rsid w:val="00F17D46"/>
    <w:rsid w:val="00F215DA"/>
    <w:rsid w:val="00F22124"/>
    <w:rsid w:val="00F22CA3"/>
    <w:rsid w:val="00F2401D"/>
    <w:rsid w:val="00F242B9"/>
    <w:rsid w:val="00F2565C"/>
    <w:rsid w:val="00F26A63"/>
    <w:rsid w:val="00F26DC3"/>
    <w:rsid w:val="00F274C5"/>
    <w:rsid w:val="00F3047B"/>
    <w:rsid w:val="00F309A3"/>
    <w:rsid w:val="00F311CD"/>
    <w:rsid w:val="00F32322"/>
    <w:rsid w:val="00F32412"/>
    <w:rsid w:val="00F32827"/>
    <w:rsid w:val="00F33540"/>
    <w:rsid w:val="00F33EE4"/>
    <w:rsid w:val="00F353AD"/>
    <w:rsid w:val="00F357C1"/>
    <w:rsid w:val="00F35BA1"/>
    <w:rsid w:val="00F3791E"/>
    <w:rsid w:val="00F37A1B"/>
    <w:rsid w:val="00F37BA7"/>
    <w:rsid w:val="00F37C20"/>
    <w:rsid w:val="00F434A3"/>
    <w:rsid w:val="00F44712"/>
    <w:rsid w:val="00F44A3B"/>
    <w:rsid w:val="00F4519E"/>
    <w:rsid w:val="00F45515"/>
    <w:rsid w:val="00F45FC8"/>
    <w:rsid w:val="00F46495"/>
    <w:rsid w:val="00F47515"/>
    <w:rsid w:val="00F47CF6"/>
    <w:rsid w:val="00F47F15"/>
    <w:rsid w:val="00F51BB5"/>
    <w:rsid w:val="00F51C3D"/>
    <w:rsid w:val="00F5386A"/>
    <w:rsid w:val="00F57146"/>
    <w:rsid w:val="00F57297"/>
    <w:rsid w:val="00F57417"/>
    <w:rsid w:val="00F5756F"/>
    <w:rsid w:val="00F57D46"/>
    <w:rsid w:val="00F6001E"/>
    <w:rsid w:val="00F62950"/>
    <w:rsid w:val="00F62EFE"/>
    <w:rsid w:val="00F633E0"/>
    <w:rsid w:val="00F647ED"/>
    <w:rsid w:val="00F64DBC"/>
    <w:rsid w:val="00F65267"/>
    <w:rsid w:val="00F66987"/>
    <w:rsid w:val="00F66E6B"/>
    <w:rsid w:val="00F70AE6"/>
    <w:rsid w:val="00F70BC5"/>
    <w:rsid w:val="00F71424"/>
    <w:rsid w:val="00F714B2"/>
    <w:rsid w:val="00F7203F"/>
    <w:rsid w:val="00F720B2"/>
    <w:rsid w:val="00F72696"/>
    <w:rsid w:val="00F73D41"/>
    <w:rsid w:val="00F7511C"/>
    <w:rsid w:val="00F75B25"/>
    <w:rsid w:val="00F760FA"/>
    <w:rsid w:val="00F76D7C"/>
    <w:rsid w:val="00F80BAE"/>
    <w:rsid w:val="00F82020"/>
    <w:rsid w:val="00F82183"/>
    <w:rsid w:val="00F8299E"/>
    <w:rsid w:val="00F83796"/>
    <w:rsid w:val="00F856ED"/>
    <w:rsid w:val="00F863D6"/>
    <w:rsid w:val="00F8654A"/>
    <w:rsid w:val="00F867CE"/>
    <w:rsid w:val="00F87EBA"/>
    <w:rsid w:val="00F90D26"/>
    <w:rsid w:val="00F90E71"/>
    <w:rsid w:val="00F913DE"/>
    <w:rsid w:val="00F9149D"/>
    <w:rsid w:val="00F91F11"/>
    <w:rsid w:val="00F92E8B"/>
    <w:rsid w:val="00F93811"/>
    <w:rsid w:val="00F93ACD"/>
    <w:rsid w:val="00F94F42"/>
    <w:rsid w:val="00FA0DE4"/>
    <w:rsid w:val="00FA16D9"/>
    <w:rsid w:val="00FA2505"/>
    <w:rsid w:val="00FA2A52"/>
    <w:rsid w:val="00FA2B07"/>
    <w:rsid w:val="00FA2D26"/>
    <w:rsid w:val="00FA3214"/>
    <w:rsid w:val="00FA3BEF"/>
    <w:rsid w:val="00FA5529"/>
    <w:rsid w:val="00FA5B34"/>
    <w:rsid w:val="00FA6C8E"/>
    <w:rsid w:val="00FA78F1"/>
    <w:rsid w:val="00FB0ED8"/>
    <w:rsid w:val="00FB1C13"/>
    <w:rsid w:val="00FB6736"/>
    <w:rsid w:val="00FB6D65"/>
    <w:rsid w:val="00FC0280"/>
    <w:rsid w:val="00FC0CAA"/>
    <w:rsid w:val="00FC0F41"/>
    <w:rsid w:val="00FC293C"/>
    <w:rsid w:val="00FC34B3"/>
    <w:rsid w:val="00FC3C49"/>
    <w:rsid w:val="00FC47D9"/>
    <w:rsid w:val="00FC664D"/>
    <w:rsid w:val="00FC6EA2"/>
    <w:rsid w:val="00FC6FAE"/>
    <w:rsid w:val="00FC7575"/>
    <w:rsid w:val="00FD10EC"/>
    <w:rsid w:val="00FD11D8"/>
    <w:rsid w:val="00FD1294"/>
    <w:rsid w:val="00FD1D71"/>
    <w:rsid w:val="00FD1F7F"/>
    <w:rsid w:val="00FD5006"/>
    <w:rsid w:val="00FD5DEC"/>
    <w:rsid w:val="00FD7BCF"/>
    <w:rsid w:val="00FE001B"/>
    <w:rsid w:val="00FE0BF8"/>
    <w:rsid w:val="00FE0CD1"/>
    <w:rsid w:val="00FE13CA"/>
    <w:rsid w:val="00FE13DE"/>
    <w:rsid w:val="00FE1A78"/>
    <w:rsid w:val="00FE2619"/>
    <w:rsid w:val="00FE3ACC"/>
    <w:rsid w:val="00FE3AEC"/>
    <w:rsid w:val="00FE40F2"/>
    <w:rsid w:val="00FE457E"/>
    <w:rsid w:val="00FE66F1"/>
    <w:rsid w:val="00FE689A"/>
    <w:rsid w:val="00FF0B26"/>
    <w:rsid w:val="00FF2C67"/>
    <w:rsid w:val="00FF2CAF"/>
    <w:rsid w:val="00FF37C1"/>
    <w:rsid w:val="00FF391A"/>
    <w:rsid w:val="00FF4D03"/>
    <w:rsid w:val="00FF4D96"/>
    <w:rsid w:val="00FF52C2"/>
    <w:rsid w:val="00FF5CE7"/>
    <w:rsid w:val="00FF6798"/>
    <w:rsid w:val="00FF68F4"/>
    <w:rsid w:val="00FF6C0F"/>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FERCparanumber"/>
    <w:link w:val="Heading1Char"/>
    <w:qFormat/>
    <w:rsid w:val="00045660"/>
    <w:pPr>
      <w:keepNext/>
      <w:keepLines/>
      <w:numPr>
        <w:numId w:val="2"/>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link w:val="Heading2Char"/>
    <w:semiHidden/>
    <w:unhideWhenUsed/>
    <w:qFormat/>
    <w:rsid w:val="00045660"/>
    <w:pPr>
      <w:keepNext/>
      <w:keepLines/>
      <w:numPr>
        <w:ilvl w:val="1"/>
        <w:numId w:val="2"/>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link w:val="Heading3Char"/>
    <w:semiHidden/>
    <w:unhideWhenUsed/>
    <w:qFormat/>
    <w:rsid w:val="00045660"/>
    <w:pPr>
      <w:keepNext/>
      <w:keepLines/>
      <w:numPr>
        <w:ilvl w:val="2"/>
        <w:numId w:val="2"/>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link w:val="Heading4Char"/>
    <w:semiHidden/>
    <w:unhideWhenUsed/>
    <w:qFormat/>
    <w:rsid w:val="00045660"/>
    <w:pPr>
      <w:keepNext/>
      <w:keepLines/>
      <w:numPr>
        <w:ilvl w:val="3"/>
        <w:numId w:val="2"/>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link w:val="Heading5Char"/>
    <w:semiHidden/>
    <w:unhideWhenUsed/>
    <w:qFormat/>
    <w:rsid w:val="00045660"/>
    <w:pPr>
      <w:keepNext/>
      <w:keepLines/>
      <w:numPr>
        <w:ilvl w:val="4"/>
        <w:numId w:val="2"/>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link w:val="Heading6Char"/>
    <w:semiHidden/>
    <w:unhideWhenUsed/>
    <w:qFormat/>
    <w:rsid w:val="00045660"/>
    <w:pPr>
      <w:keepNext/>
      <w:keepLines/>
      <w:numPr>
        <w:ilvl w:val="5"/>
        <w:numId w:val="2"/>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link w:val="Heading7Char"/>
    <w:semiHidden/>
    <w:unhideWhenUsed/>
    <w:qFormat/>
    <w:rsid w:val="00045660"/>
    <w:pPr>
      <w:widowControl w:val="0"/>
      <w:numPr>
        <w:ilvl w:val="6"/>
        <w:numId w:val="2"/>
      </w:numPr>
      <w:autoSpaceDE w:val="0"/>
      <w:autoSpaceDN w:val="0"/>
      <w:adjustRightInd w:val="0"/>
      <w:spacing w:after="260"/>
      <w:outlineLvl w:val="6"/>
    </w:pPr>
    <w:rPr>
      <w:b/>
      <w:kern w:val="32"/>
      <w:u w:val="single"/>
    </w:rPr>
  </w:style>
  <w:style w:type="paragraph" w:styleId="Heading8">
    <w:name w:val="heading 8"/>
    <w:basedOn w:val="Normal"/>
    <w:next w:val="FERCparanumber"/>
    <w:link w:val="Heading8Char"/>
    <w:semiHidden/>
    <w:unhideWhenUsed/>
    <w:qFormat/>
    <w:rsid w:val="00045660"/>
    <w:pPr>
      <w:keepNext/>
      <w:keepLines/>
      <w:numPr>
        <w:ilvl w:val="7"/>
        <w:numId w:val="2"/>
      </w:numPr>
      <w:autoSpaceDE w:val="0"/>
      <w:autoSpaceDN w:val="0"/>
      <w:adjustRightInd w:val="0"/>
      <w:spacing w:after="260"/>
      <w:outlineLvl w:val="7"/>
    </w:pPr>
    <w:rPr>
      <w:b/>
      <w:iCs/>
      <w:kern w:val="32"/>
      <w:u w:val="single"/>
    </w:rPr>
  </w:style>
  <w:style w:type="paragraph" w:styleId="Heading9">
    <w:name w:val="heading 9"/>
    <w:basedOn w:val="Normal"/>
    <w:next w:val="FERCparanumber"/>
    <w:link w:val="Heading9Char"/>
    <w:semiHidden/>
    <w:unhideWhenUsed/>
    <w:qFormat/>
    <w:rsid w:val="00045660"/>
    <w:pPr>
      <w:keepNext/>
      <w:keepLines/>
      <w:numPr>
        <w:ilvl w:val="8"/>
        <w:numId w:val="2"/>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o1,fr1,o2,fr2,o3,fr3,Style 12,Style 15,Style 17,Style 9,Style 18,(NECG) Footnote Reference,Style 20,Style 7,Style 8,Style 19,Style 28,Style 11,Style 16,Styl"/>
    <w:basedOn w:val="DefaultParagraphFont"/>
    <w:rsid w:val="00487256"/>
    <w:rPr>
      <w:rFonts w:ascii="Times New Roman" w:hAnsi="Times New Roman"/>
      <w:b/>
      <w:sz w:val="26"/>
      <w:szCs w:val="26"/>
      <w:vertAlign w:val="superscript"/>
    </w:rPr>
  </w:style>
  <w:style w:type="paragraph" w:styleId="FootnoteText">
    <w:name w:val="footnote text"/>
    <w:aliases w:val="Style 13,fn,Footnote Text Char1,Footnote Text Char Char,Footnote Text Char1 Char,Footnote Text Char Char Char,ft Char,Footnote Text Char3 Char Char Char,Footnote Text Char Char1 Char Char Char,Footnote Text Char2,ft,fn1"/>
    <w:basedOn w:val="Normal"/>
    <w:link w:val="FootnoteTextChar3"/>
    <w:rsid w:val="00487256"/>
    <w:pPr>
      <w:spacing w:after="260"/>
      <w:ind w:firstLine="720"/>
    </w:pPr>
    <w:rPr>
      <w:szCs w:val="20"/>
    </w:rPr>
  </w:style>
  <w:style w:type="character" w:customStyle="1" w:styleId="Heading1Char">
    <w:name w:val="Heading 1 Char"/>
    <w:basedOn w:val="DefaultParagraphFont"/>
    <w:link w:val="Heading1"/>
    <w:rsid w:val="00045660"/>
    <w:rPr>
      <w:b/>
      <w:bCs/>
      <w:kern w:val="32"/>
      <w:sz w:val="26"/>
      <w:szCs w:val="32"/>
      <w:u w:val="single"/>
    </w:rPr>
  </w:style>
  <w:style w:type="character" w:customStyle="1" w:styleId="Heading2Char">
    <w:name w:val="Heading 2 Char"/>
    <w:basedOn w:val="DefaultParagraphFont"/>
    <w:link w:val="Heading2"/>
    <w:semiHidden/>
    <w:rsid w:val="00045660"/>
    <w:rPr>
      <w:b/>
      <w:bCs/>
      <w:iCs/>
      <w:kern w:val="32"/>
      <w:sz w:val="26"/>
      <w:szCs w:val="28"/>
      <w:u w:val="single"/>
    </w:rPr>
  </w:style>
  <w:style w:type="character" w:customStyle="1" w:styleId="Heading3Char">
    <w:name w:val="Heading 3 Char"/>
    <w:basedOn w:val="DefaultParagraphFont"/>
    <w:link w:val="Heading3"/>
    <w:semiHidden/>
    <w:rsid w:val="00045660"/>
    <w:rPr>
      <w:b/>
      <w:bCs/>
      <w:kern w:val="32"/>
      <w:sz w:val="26"/>
      <w:szCs w:val="26"/>
      <w:u w:val="single"/>
    </w:rPr>
  </w:style>
  <w:style w:type="character" w:customStyle="1" w:styleId="Heading4Char">
    <w:name w:val="Heading 4 Char"/>
    <w:basedOn w:val="DefaultParagraphFont"/>
    <w:link w:val="Heading4"/>
    <w:semiHidden/>
    <w:rsid w:val="00045660"/>
    <w:rPr>
      <w:b/>
      <w:bCs/>
      <w:kern w:val="32"/>
      <w:sz w:val="26"/>
      <w:szCs w:val="28"/>
      <w:u w:val="single"/>
    </w:rPr>
  </w:style>
  <w:style w:type="character" w:customStyle="1" w:styleId="Heading5Char">
    <w:name w:val="Heading 5 Char"/>
    <w:basedOn w:val="DefaultParagraphFont"/>
    <w:link w:val="Heading5"/>
    <w:semiHidden/>
    <w:rsid w:val="00045660"/>
    <w:rPr>
      <w:b/>
      <w:bCs/>
      <w:iCs/>
      <w:kern w:val="32"/>
      <w:sz w:val="26"/>
      <w:szCs w:val="26"/>
      <w:u w:val="single"/>
    </w:rPr>
  </w:style>
  <w:style w:type="character" w:customStyle="1" w:styleId="Heading6Char">
    <w:name w:val="Heading 6 Char"/>
    <w:basedOn w:val="DefaultParagraphFont"/>
    <w:link w:val="Heading6"/>
    <w:semiHidden/>
    <w:rsid w:val="00045660"/>
    <w:rPr>
      <w:b/>
      <w:bCs/>
      <w:kern w:val="32"/>
      <w:sz w:val="26"/>
      <w:szCs w:val="22"/>
      <w:u w:val="single"/>
    </w:rPr>
  </w:style>
  <w:style w:type="character" w:customStyle="1" w:styleId="Heading7Char">
    <w:name w:val="Heading 7 Char"/>
    <w:basedOn w:val="DefaultParagraphFont"/>
    <w:link w:val="Heading7"/>
    <w:semiHidden/>
    <w:rsid w:val="00045660"/>
    <w:rPr>
      <w:b/>
      <w:kern w:val="32"/>
      <w:sz w:val="26"/>
      <w:szCs w:val="24"/>
      <w:u w:val="single"/>
    </w:rPr>
  </w:style>
  <w:style w:type="character" w:customStyle="1" w:styleId="Heading8Char">
    <w:name w:val="Heading 8 Char"/>
    <w:basedOn w:val="DefaultParagraphFont"/>
    <w:link w:val="Heading8"/>
    <w:semiHidden/>
    <w:rsid w:val="00045660"/>
    <w:rPr>
      <w:b/>
      <w:iCs/>
      <w:kern w:val="32"/>
      <w:sz w:val="26"/>
      <w:szCs w:val="24"/>
      <w:u w:val="single"/>
    </w:rPr>
  </w:style>
  <w:style w:type="character" w:customStyle="1" w:styleId="Heading9Char">
    <w:name w:val="Heading 9 Char"/>
    <w:basedOn w:val="DefaultParagraphFont"/>
    <w:link w:val="Heading9"/>
    <w:semiHidden/>
    <w:rsid w:val="00045660"/>
    <w:rPr>
      <w:b/>
      <w:kern w:val="32"/>
      <w:sz w:val="26"/>
      <w:szCs w:val="22"/>
      <w:u w:val="single"/>
    </w:rPr>
  </w:style>
  <w:style w:type="numbering" w:customStyle="1" w:styleId="NoList1">
    <w:name w:val="No List1"/>
    <w:next w:val="NoList"/>
    <w:uiPriority w:val="99"/>
    <w:semiHidden/>
    <w:unhideWhenUsed/>
    <w:rsid w:val="00045660"/>
  </w:style>
  <w:style w:type="character" w:styleId="Hyperlink">
    <w:name w:val="Hyperlink"/>
    <w:basedOn w:val="DefaultParagraphFont"/>
    <w:unhideWhenUsed/>
    <w:rsid w:val="00045660"/>
    <w:rPr>
      <w:color w:val="0000FF"/>
      <w:u w:val="single"/>
    </w:rPr>
  </w:style>
  <w:style w:type="character" w:styleId="FollowedHyperlink">
    <w:name w:val="FollowedHyperlink"/>
    <w:basedOn w:val="DefaultParagraphFont"/>
    <w:unhideWhenUsed/>
    <w:rsid w:val="00045660"/>
    <w:rPr>
      <w:color w:val="800080"/>
      <w:u w:val="single"/>
    </w:rPr>
  </w:style>
  <w:style w:type="paragraph" w:styleId="HTMLAddress">
    <w:name w:val="HTML Address"/>
    <w:basedOn w:val="Normal"/>
    <w:link w:val="HTMLAddressChar"/>
    <w:unhideWhenUsed/>
    <w:rsid w:val="00045660"/>
    <w:pPr>
      <w:widowControl w:val="0"/>
      <w:autoSpaceDE w:val="0"/>
      <w:autoSpaceDN w:val="0"/>
      <w:adjustRightInd w:val="0"/>
    </w:pPr>
    <w:rPr>
      <w:i/>
      <w:iCs/>
    </w:rPr>
  </w:style>
  <w:style w:type="character" w:customStyle="1" w:styleId="HTMLAddressChar">
    <w:name w:val="HTML Address Char"/>
    <w:basedOn w:val="DefaultParagraphFont"/>
    <w:link w:val="HTMLAddress"/>
    <w:rsid w:val="00045660"/>
    <w:rPr>
      <w:i/>
      <w:iCs/>
      <w:sz w:val="26"/>
      <w:szCs w:val="24"/>
    </w:rPr>
  </w:style>
  <w:style w:type="paragraph" w:styleId="HTMLPreformatted">
    <w:name w:val="HTML Preformatted"/>
    <w:basedOn w:val="Normal"/>
    <w:link w:val="HTMLPreformattedChar"/>
    <w:unhideWhenUsed/>
    <w:rsid w:val="000456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045660"/>
    <w:rPr>
      <w:rFonts w:ascii="Courier New" w:hAnsi="Courier New" w:cs="Courier New"/>
    </w:rPr>
  </w:style>
  <w:style w:type="paragraph" w:styleId="NormalWeb">
    <w:name w:val="Normal (Web)"/>
    <w:basedOn w:val="Normal"/>
    <w:unhideWhenUsed/>
    <w:rsid w:val="00045660"/>
    <w:pPr>
      <w:widowControl w:val="0"/>
      <w:autoSpaceDE w:val="0"/>
      <w:autoSpaceDN w:val="0"/>
      <w:adjustRightInd w:val="0"/>
    </w:pPr>
    <w:rPr>
      <w:sz w:val="24"/>
    </w:rPr>
  </w:style>
  <w:style w:type="paragraph" w:styleId="Index1">
    <w:name w:val="index 1"/>
    <w:basedOn w:val="Normal"/>
    <w:next w:val="Normal"/>
    <w:autoRedefine/>
    <w:unhideWhenUsed/>
    <w:rsid w:val="00045660"/>
    <w:pPr>
      <w:widowControl w:val="0"/>
      <w:autoSpaceDE w:val="0"/>
      <w:autoSpaceDN w:val="0"/>
      <w:adjustRightInd w:val="0"/>
      <w:ind w:left="260" w:hanging="260"/>
    </w:pPr>
  </w:style>
  <w:style w:type="paragraph" w:styleId="Index2">
    <w:name w:val="index 2"/>
    <w:basedOn w:val="Normal"/>
    <w:next w:val="Normal"/>
    <w:autoRedefine/>
    <w:unhideWhenUsed/>
    <w:rsid w:val="00045660"/>
    <w:pPr>
      <w:widowControl w:val="0"/>
      <w:autoSpaceDE w:val="0"/>
      <w:autoSpaceDN w:val="0"/>
      <w:adjustRightInd w:val="0"/>
      <w:ind w:left="520" w:hanging="260"/>
    </w:pPr>
  </w:style>
  <w:style w:type="paragraph" w:styleId="Index3">
    <w:name w:val="index 3"/>
    <w:basedOn w:val="Normal"/>
    <w:next w:val="Normal"/>
    <w:autoRedefine/>
    <w:unhideWhenUsed/>
    <w:rsid w:val="00045660"/>
    <w:pPr>
      <w:widowControl w:val="0"/>
      <w:autoSpaceDE w:val="0"/>
      <w:autoSpaceDN w:val="0"/>
      <w:adjustRightInd w:val="0"/>
      <w:ind w:left="780" w:hanging="260"/>
    </w:pPr>
  </w:style>
  <w:style w:type="paragraph" w:styleId="Index4">
    <w:name w:val="index 4"/>
    <w:basedOn w:val="Normal"/>
    <w:next w:val="Normal"/>
    <w:autoRedefine/>
    <w:unhideWhenUsed/>
    <w:rsid w:val="00045660"/>
    <w:pPr>
      <w:widowControl w:val="0"/>
      <w:autoSpaceDE w:val="0"/>
      <w:autoSpaceDN w:val="0"/>
      <w:adjustRightInd w:val="0"/>
      <w:ind w:left="1040" w:hanging="260"/>
    </w:pPr>
  </w:style>
  <w:style w:type="paragraph" w:styleId="Index5">
    <w:name w:val="index 5"/>
    <w:basedOn w:val="Normal"/>
    <w:next w:val="Normal"/>
    <w:autoRedefine/>
    <w:unhideWhenUsed/>
    <w:rsid w:val="00045660"/>
    <w:pPr>
      <w:widowControl w:val="0"/>
      <w:autoSpaceDE w:val="0"/>
      <w:autoSpaceDN w:val="0"/>
      <w:adjustRightInd w:val="0"/>
      <w:ind w:left="1300" w:hanging="260"/>
    </w:pPr>
  </w:style>
  <w:style w:type="paragraph" w:styleId="Index6">
    <w:name w:val="index 6"/>
    <w:basedOn w:val="Normal"/>
    <w:next w:val="Normal"/>
    <w:autoRedefine/>
    <w:unhideWhenUsed/>
    <w:rsid w:val="00045660"/>
    <w:pPr>
      <w:widowControl w:val="0"/>
      <w:autoSpaceDE w:val="0"/>
      <w:autoSpaceDN w:val="0"/>
      <w:adjustRightInd w:val="0"/>
      <w:ind w:left="1560" w:hanging="260"/>
    </w:pPr>
  </w:style>
  <w:style w:type="paragraph" w:styleId="Index7">
    <w:name w:val="index 7"/>
    <w:basedOn w:val="Normal"/>
    <w:next w:val="Normal"/>
    <w:autoRedefine/>
    <w:unhideWhenUsed/>
    <w:rsid w:val="00045660"/>
    <w:pPr>
      <w:widowControl w:val="0"/>
      <w:autoSpaceDE w:val="0"/>
      <w:autoSpaceDN w:val="0"/>
      <w:adjustRightInd w:val="0"/>
      <w:ind w:left="1820" w:hanging="260"/>
    </w:pPr>
  </w:style>
  <w:style w:type="paragraph" w:styleId="Index8">
    <w:name w:val="index 8"/>
    <w:basedOn w:val="Normal"/>
    <w:next w:val="Normal"/>
    <w:autoRedefine/>
    <w:unhideWhenUsed/>
    <w:rsid w:val="00045660"/>
    <w:pPr>
      <w:widowControl w:val="0"/>
      <w:autoSpaceDE w:val="0"/>
      <w:autoSpaceDN w:val="0"/>
      <w:adjustRightInd w:val="0"/>
      <w:ind w:left="2080" w:hanging="260"/>
    </w:pPr>
  </w:style>
  <w:style w:type="paragraph" w:styleId="Index9">
    <w:name w:val="index 9"/>
    <w:basedOn w:val="Normal"/>
    <w:next w:val="Normal"/>
    <w:autoRedefine/>
    <w:unhideWhenUsed/>
    <w:rsid w:val="00045660"/>
    <w:pPr>
      <w:widowControl w:val="0"/>
      <w:autoSpaceDE w:val="0"/>
      <w:autoSpaceDN w:val="0"/>
      <w:adjustRightInd w:val="0"/>
      <w:ind w:left="2340" w:hanging="260"/>
    </w:pPr>
  </w:style>
  <w:style w:type="paragraph" w:styleId="TOC1">
    <w:name w:val="toc 1"/>
    <w:basedOn w:val="Normal"/>
    <w:next w:val="Normal"/>
    <w:autoRedefine/>
    <w:unhideWhenUsed/>
    <w:rsid w:val="00045660"/>
    <w:pPr>
      <w:widowControl w:val="0"/>
      <w:autoSpaceDE w:val="0"/>
      <w:autoSpaceDN w:val="0"/>
      <w:adjustRightInd w:val="0"/>
    </w:pPr>
  </w:style>
  <w:style w:type="paragraph" w:styleId="TOC2">
    <w:name w:val="toc 2"/>
    <w:basedOn w:val="Normal"/>
    <w:next w:val="Normal"/>
    <w:autoRedefine/>
    <w:unhideWhenUsed/>
    <w:rsid w:val="00045660"/>
    <w:pPr>
      <w:widowControl w:val="0"/>
      <w:autoSpaceDE w:val="0"/>
      <w:autoSpaceDN w:val="0"/>
      <w:adjustRightInd w:val="0"/>
      <w:ind w:left="260"/>
    </w:pPr>
  </w:style>
  <w:style w:type="paragraph" w:styleId="TOC3">
    <w:name w:val="toc 3"/>
    <w:basedOn w:val="Normal"/>
    <w:next w:val="Normal"/>
    <w:autoRedefine/>
    <w:unhideWhenUsed/>
    <w:rsid w:val="00045660"/>
    <w:pPr>
      <w:widowControl w:val="0"/>
      <w:autoSpaceDE w:val="0"/>
      <w:autoSpaceDN w:val="0"/>
      <w:adjustRightInd w:val="0"/>
      <w:ind w:left="520"/>
    </w:pPr>
  </w:style>
  <w:style w:type="paragraph" w:styleId="TOC4">
    <w:name w:val="toc 4"/>
    <w:basedOn w:val="Normal"/>
    <w:next w:val="Normal"/>
    <w:autoRedefine/>
    <w:unhideWhenUsed/>
    <w:rsid w:val="00045660"/>
    <w:pPr>
      <w:widowControl w:val="0"/>
      <w:autoSpaceDE w:val="0"/>
      <w:autoSpaceDN w:val="0"/>
      <w:adjustRightInd w:val="0"/>
      <w:ind w:left="780"/>
    </w:pPr>
  </w:style>
  <w:style w:type="paragraph" w:styleId="TOC5">
    <w:name w:val="toc 5"/>
    <w:basedOn w:val="Normal"/>
    <w:next w:val="Normal"/>
    <w:autoRedefine/>
    <w:unhideWhenUsed/>
    <w:rsid w:val="00045660"/>
    <w:pPr>
      <w:widowControl w:val="0"/>
      <w:autoSpaceDE w:val="0"/>
      <w:autoSpaceDN w:val="0"/>
      <w:adjustRightInd w:val="0"/>
      <w:ind w:left="1040"/>
    </w:pPr>
  </w:style>
  <w:style w:type="paragraph" w:styleId="TOC6">
    <w:name w:val="toc 6"/>
    <w:basedOn w:val="Normal"/>
    <w:next w:val="Normal"/>
    <w:autoRedefine/>
    <w:unhideWhenUsed/>
    <w:rsid w:val="00045660"/>
    <w:pPr>
      <w:widowControl w:val="0"/>
      <w:autoSpaceDE w:val="0"/>
      <w:autoSpaceDN w:val="0"/>
      <w:adjustRightInd w:val="0"/>
      <w:ind w:left="1300"/>
    </w:pPr>
  </w:style>
  <w:style w:type="paragraph" w:styleId="TOC7">
    <w:name w:val="toc 7"/>
    <w:basedOn w:val="Normal"/>
    <w:next w:val="Normal"/>
    <w:autoRedefine/>
    <w:unhideWhenUsed/>
    <w:rsid w:val="00045660"/>
    <w:pPr>
      <w:widowControl w:val="0"/>
      <w:autoSpaceDE w:val="0"/>
      <w:autoSpaceDN w:val="0"/>
      <w:adjustRightInd w:val="0"/>
      <w:ind w:left="1560"/>
    </w:pPr>
  </w:style>
  <w:style w:type="paragraph" w:styleId="TOC8">
    <w:name w:val="toc 8"/>
    <w:basedOn w:val="Normal"/>
    <w:next w:val="Normal"/>
    <w:autoRedefine/>
    <w:unhideWhenUsed/>
    <w:rsid w:val="00045660"/>
    <w:pPr>
      <w:widowControl w:val="0"/>
      <w:autoSpaceDE w:val="0"/>
      <w:autoSpaceDN w:val="0"/>
      <w:adjustRightInd w:val="0"/>
      <w:ind w:left="1820"/>
    </w:pPr>
  </w:style>
  <w:style w:type="paragraph" w:styleId="TOC9">
    <w:name w:val="toc 9"/>
    <w:basedOn w:val="Normal"/>
    <w:next w:val="Normal"/>
    <w:autoRedefine/>
    <w:unhideWhenUsed/>
    <w:rsid w:val="00045660"/>
    <w:pPr>
      <w:widowControl w:val="0"/>
      <w:autoSpaceDE w:val="0"/>
      <w:autoSpaceDN w:val="0"/>
      <w:adjustRightInd w:val="0"/>
      <w:ind w:left="2080"/>
    </w:pPr>
  </w:style>
  <w:style w:type="paragraph" w:styleId="NormalIndent">
    <w:name w:val="Normal Indent"/>
    <w:basedOn w:val="Normal"/>
    <w:unhideWhenUsed/>
    <w:rsid w:val="00045660"/>
    <w:pPr>
      <w:widowControl w:val="0"/>
      <w:autoSpaceDE w:val="0"/>
      <w:autoSpaceDN w:val="0"/>
      <w:adjustRightInd w:val="0"/>
      <w:ind w:left="720"/>
    </w:pPr>
  </w:style>
  <w:style w:type="character" w:customStyle="1" w:styleId="FootnoteTextChar3">
    <w:name w:val="Footnote Text Char3"/>
    <w:aliases w:val="Style 13 Char,fn Char,Footnote Text Char1 Char1,Footnote Text Char Char Char1,Footnote Text Char1 Char Char,Footnote Text Char Char Char Char,ft Char Char,Footnote Text Char3 Char Char Char Char,Footnote Text Char2 Char1,ft Char1"/>
    <w:link w:val="FootnoteText"/>
    <w:locked/>
    <w:rsid w:val="00045660"/>
    <w:rPr>
      <w:sz w:val="26"/>
    </w:rPr>
  </w:style>
  <w:style w:type="character" w:customStyle="1" w:styleId="FootnoteTextChar">
    <w:name w:val="Footnote Text Char"/>
    <w:aliases w:val="Style 13 Char1,fn Char1,Footnote Text Char1 Char2,Footnote Text Char Char Char2,Footnote Text Char1 Char Char1,Footnote Text Char Char Char Char1,ft Char Char1,Footnote Text Char3 Char Char Char Char1,Footnote Text Char2 Char,ft Char2"/>
    <w:basedOn w:val="DefaultParagraphFont"/>
    <w:uiPriority w:val="99"/>
    <w:semiHidden/>
    <w:rsid w:val="00045660"/>
  </w:style>
  <w:style w:type="paragraph" w:styleId="CommentText">
    <w:name w:val="annotation text"/>
    <w:basedOn w:val="Normal"/>
    <w:link w:val="CommentTextChar"/>
    <w:unhideWhenUsed/>
    <w:rsid w:val="00045660"/>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045660"/>
  </w:style>
  <w:style w:type="paragraph" w:styleId="Header">
    <w:name w:val="header"/>
    <w:basedOn w:val="Normal"/>
    <w:link w:val="HeaderChar"/>
    <w:unhideWhenUsed/>
    <w:rsid w:val="00045660"/>
    <w:pPr>
      <w:widowControl w:val="0"/>
      <w:tabs>
        <w:tab w:val="right" w:pos="8640"/>
      </w:tabs>
      <w:autoSpaceDE w:val="0"/>
      <w:autoSpaceDN w:val="0"/>
      <w:adjustRightInd w:val="0"/>
      <w:spacing w:after="120"/>
    </w:pPr>
  </w:style>
  <w:style w:type="character" w:customStyle="1" w:styleId="HeaderChar">
    <w:name w:val="Header Char"/>
    <w:basedOn w:val="DefaultParagraphFont"/>
    <w:link w:val="Header"/>
    <w:rsid w:val="00045660"/>
    <w:rPr>
      <w:sz w:val="26"/>
      <w:szCs w:val="24"/>
    </w:rPr>
  </w:style>
  <w:style w:type="paragraph" w:styleId="Footer">
    <w:name w:val="footer"/>
    <w:basedOn w:val="Normal"/>
    <w:link w:val="FooterChar"/>
    <w:unhideWhenUsed/>
    <w:rsid w:val="00045660"/>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045660"/>
    <w:rPr>
      <w:sz w:val="26"/>
      <w:szCs w:val="24"/>
    </w:rPr>
  </w:style>
  <w:style w:type="paragraph" w:styleId="IndexHeading">
    <w:name w:val="index heading"/>
    <w:basedOn w:val="Normal"/>
    <w:next w:val="Index1"/>
    <w:unhideWhenUsed/>
    <w:rsid w:val="00045660"/>
    <w:pPr>
      <w:widowControl w:val="0"/>
      <w:autoSpaceDE w:val="0"/>
      <w:autoSpaceDN w:val="0"/>
      <w:adjustRightInd w:val="0"/>
    </w:pPr>
    <w:rPr>
      <w:rFonts w:ascii="Arial" w:hAnsi="Arial" w:cs="Arial"/>
      <w:b/>
      <w:bCs/>
    </w:rPr>
  </w:style>
  <w:style w:type="paragraph" w:styleId="Caption">
    <w:name w:val="caption"/>
    <w:basedOn w:val="Normal"/>
    <w:next w:val="Normal"/>
    <w:semiHidden/>
    <w:unhideWhenUsed/>
    <w:qFormat/>
    <w:rsid w:val="00045660"/>
    <w:pPr>
      <w:widowControl w:val="0"/>
      <w:autoSpaceDE w:val="0"/>
      <w:autoSpaceDN w:val="0"/>
      <w:adjustRightInd w:val="0"/>
      <w:spacing w:before="120" w:after="120"/>
    </w:pPr>
    <w:rPr>
      <w:b/>
      <w:bCs/>
      <w:sz w:val="20"/>
      <w:szCs w:val="20"/>
    </w:rPr>
  </w:style>
  <w:style w:type="paragraph" w:styleId="TableofFigures">
    <w:name w:val="table of figures"/>
    <w:basedOn w:val="Normal"/>
    <w:next w:val="Normal"/>
    <w:unhideWhenUsed/>
    <w:rsid w:val="00045660"/>
    <w:pPr>
      <w:widowControl w:val="0"/>
      <w:autoSpaceDE w:val="0"/>
      <w:autoSpaceDN w:val="0"/>
      <w:adjustRightInd w:val="0"/>
      <w:ind w:left="520" w:hanging="520"/>
    </w:pPr>
  </w:style>
  <w:style w:type="paragraph" w:styleId="EnvelopeAddress">
    <w:name w:val="envelope address"/>
    <w:basedOn w:val="Normal"/>
    <w:unhideWhenUsed/>
    <w:rsid w:val="00045660"/>
    <w:pPr>
      <w:framePr w:w="7920" w:h="1980"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unhideWhenUsed/>
    <w:rsid w:val="00045660"/>
    <w:pPr>
      <w:widowControl w:val="0"/>
      <w:autoSpaceDE w:val="0"/>
      <w:autoSpaceDN w:val="0"/>
      <w:adjustRightInd w:val="0"/>
    </w:pPr>
    <w:rPr>
      <w:rFonts w:ascii="Arial" w:hAnsi="Arial" w:cs="Arial"/>
      <w:sz w:val="20"/>
      <w:szCs w:val="20"/>
    </w:rPr>
  </w:style>
  <w:style w:type="paragraph" w:styleId="EndnoteText">
    <w:name w:val="endnote text"/>
    <w:basedOn w:val="Normal"/>
    <w:link w:val="EndnoteTextChar"/>
    <w:unhideWhenUsed/>
    <w:rsid w:val="00045660"/>
    <w:pPr>
      <w:widowControl w:val="0"/>
      <w:autoSpaceDE w:val="0"/>
      <w:autoSpaceDN w:val="0"/>
      <w:adjustRightInd w:val="0"/>
    </w:pPr>
    <w:rPr>
      <w:sz w:val="20"/>
      <w:szCs w:val="20"/>
    </w:rPr>
  </w:style>
  <w:style w:type="character" w:customStyle="1" w:styleId="EndnoteTextChar">
    <w:name w:val="Endnote Text Char"/>
    <w:basedOn w:val="DefaultParagraphFont"/>
    <w:link w:val="EndnoteText"/>
    <w:rsid w:val="00045660"/>
  </w:style>
  <w:style w:type="paragraph" w:styleId="TableofAuthorities">
    <w:name w:val="table of authorities"/>
    <w:basedOn w:val="Normal"/>
    <w:next w:val="Normal"/>
    <w:unhideWhenUsed/>
    <w:rsid w:val="00045660"/>
    <w:pPr>
      <w:widowControl w:val="0"/>
      <w:autoSpaceDE w:val="0"/>
      <w:autoSpaceDN w:val="0"/>
      <w:adjustRightInd w:val="0"/>
      <w:ind w:left="260" w:hanging="260"/>
    </w:pPr>
  </w:style>
  <w:style w:type="paragraph" w:styleId="MacroText">
    <w:name w:val="macro"/>
    <w:link w:val="MacroTextChar"/>
    <w:unhideWhenUsed/>
    <w:rsid w:val="0004566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045660"/>
    <w:rPr>
      <w:rFonts w:ascii="Courier New" w:hAnsi="Courier New" w:cs="Courier New"/>
    </w:rPr>
  </w:style>
  <w:style w:type="paragraph" w:styleId="TOAHeading">
    <w:name w:val="toa heading"/>
    <w:basedOn w:val="Normal"/>
    <w:next w:val="Normal"/>
    <w:unhideWhenUsed/>
    <w:rsid w:val="00045660"/>
    <w:pPr>
      <w:widowControl w:val="0"/>
      <w:autoSpaceDE w:val="0"/>
      <w:autoSpaceDN w:val="0"/>
      <w:adjustRightInd w:val="0"/>
      <w:spacing w:before="120"/>
    </w:pPr>
    <w:rPr>
      <w:rFonts w:ascii="Arial" w:hAnsi="Arial" w:cs="Arial"/>
      <w:b/>
      <w:bCs/>
      <w:sz w:val="24"/>
    </w:rPr>
  </w:style>
  <w:style w:type="paragraph" w:styleId="List">
    <w:name w:val="List"/>
    <w:basedOn w:val="Normal"/>
    <w:unhideWhenUsed/>
    <w:rsid w:val="00045660"/>
    <w:pPr>
      <w:widowControl w:val="0"/>
      <w:autoSpaceDE w:val="0"/>
      <w:autoSpaceDN w:val="0"/>
      <w:adjustRightInd w:val="0"/>
      <w:ind w:left="360" w:hanging="360"/>
    </w:pPr>
  </w:style>
  <w:style w:type="paragraph" w:styleId="ListBullet">
    <w:name w:val="List Bullet"/>
    <w:basedOn w:val="Normal"/>
    <w:unhideWhenUsed/>
    <w:rsid w:val="00045660"/>
    <w:pPr>
      <w:widowControl w:val="0"/>
      <w:numPr>
        <w:numId w:val="3"/>
      </w:numPr>
      <w:tabs>
        <w:tab w:val="num" w:pos="360"/>
      </w:tabs>
      <w:autoSpaceDE w:val="0"/>
      <w:autoSpaceDN w:val="0"/>
      <w:adjustRightInd w:val="0"/>
      <w:ind w:left="360"/>
    </w:pPr>
  </w:style>
  <w:style w:type="paragraph" w:styleId="ListNumber">
    <w:name w:val="List Number"/>
    <w:basedOn w:val="Normal"/>
    <w:unhideWhenUsed/>
    <w:rsid w:val="00045660"/>
    <w:pPr>
      <w:widowControl w:val="0"/>
      <w:numPr>
        <w:numId w:val="4"/>
      </w:numPr>
      <w:tabs>
        <w:tab w:val="num" w:pos="360"/>
      </w:tabs>
      <w:autoSpaceDE w:val="0"/>
      <w:autoSpaceDN w:val="0"/>
      <w:adjustRightInd w:val="0"/>
      <w:ind w:left="360"/>
    </w:pPr>
  </w:style>
  <w:style w:type="paragraph" w:styleId="List2">
    <w:name w:val="List 2"/>
    <w:basedOn w:val="Normal"/>
    <w:unhideWhenUsed/>
    <w:rsid w:val="00045660"/>
    <w:pPr>
      <w:widowControl w:val="0"/>
      <w:autoSpaceDE w:val="0"/>
      <w:autoSpaceDN w:val="0"/>
      <w:adjustRightInd w:val="0"/>
      <w:ind w:left="720" w:hanging="360"/>
    </w:pPr>
  </w:style>
  <w:style w:type="paragraph" w:styleId="List3">
    <w:name w:val="List 3"/>
    <w:basedOn w:val="Normal"/>
    <w:unhideWhenUsed/>
    <w:rsid w:val="00045660"/>
    <w:pPr>
      <w:widowControl w:val="0"/>
      <w:autoSpaceDE w:val="0"/>
      <w:autoSpaceDN w:val="0"/>
      <w:adjustRightInd w:val="0"/>
      <w:ind w:left="1080" w:hanging="360"/>
    </w:pPr>
  </w:style>
  <w:style w:type="paragraph" w:styleId="List4">
    <w:name w:val="List 4"/>
    <w:basedOn w:val="Normal"/>
    <w:unhideWhenUsed/>
    <w:rsid w:val="00045660"/>
    <w:pPr>
      <w:widowControl w:val="0"/>
      <w:numPr>
        <w:numId w:val="5"/>
      </w:numPr>
      <w:autoSpaceDE w:val="0"/>
      <w:autoSpaceDN w:val="0"/>
      <w:adjustRightInd w:val="0"/>
      <w:ind w:left="1440"/>
    </w:pPr>
  </w:style>
  <w:style w:type="paragraph" w:styleId="List5">
    <w:name w:val="List 5"/>
    <w:basedOn w:val="Normal"/>
    <w:unhideWhenUsed/>
    <w:rsid w:val="00045660"/>
    <w:pPr>
      <w:widowControl w:val="0"/>
      <w:numPr>
        <w:numId w:val="6"/>
      </w:numPr>
      <w:autoSpaceDE w:val="0"/>
      <w:autoSpaceDN w:val="0"/>
      <w:adjustRightInd w:val="0"/>
      <w:ind w:left="1800"/>
    </w:pPr>
  </w:style>
  <w:style w:type="paragraph" w:styleId="ListBullet2">
    <w:name w:val="List Bullet 2"/>
    <w:basedOn w:val="Normal"/>
    <w:unhideWhenUsed/>
    <w:rsid w:val="00045660"/>
    <w:pPr>
      <w:widowControl w:val="0"/>
      <w:numPr>
        <w:numId w:val="7"/>
      </w:numPr>
      <w:tabs>
        <w:tab w:val="num" w:pos="720"/>
      </w:tabs>
      <w:autoSpaceDE w:val="0"/>
      <w:autoSpaceDN w:val="0"/>
      <w:adjustRightInd w:val="0"/>
      <w:ind w:left="720"/>
    </w:pPr>
  </w:style>
  <w:style w:type="paragraph" w:styleId="ListBullet3">
    <w:name w:val="List Bullet 3"/>
    <w:basedOn w:val="Normal"/>
    <w:unhideWhenUsed/>
    <w:rsid w:val="00045660"/>
    <w:pPr>
      <w:widowControl w:val="0"/>
      <w:numPr>
        <w:numId w:val="8"/>
      </w:numPr>
      <w:tabs>
        <w:tab w:val="num" w:pos="1080"/>
      </w:tabs>
      <w:autoSpaceDE w:val="0"/>
      <w:autoSpaceDN w:val="0"/>
      <w:adjustRightInd w:val="0"/>
      <w:ind w:left="1080"/>
    </w:pPr>
  </w:style>
  <w:style w:type="paragraph" w:styleId="ListBullet4">
    <w:name w:val="List Bullet 4"/>
    <w:basedOn w:val="Normal"/>
    <w:unhideWhenUsed/>
    <w:rsid w:val="00045660"/>
    <w:pPr>
      <w:widowControl w:val="0"/>
      <w:numPr>
        <w:numId w:val="6"/>
      </w:numPr>
      <w:autoSpaceDE w:val="0"/>
      <w:autoSpaceDN w:val="0"/>
      <w:adjustRightInd w:val="0"/>
    </w:pPr>
  </w:style>
  <w:style w:type="paragraph" w:styleId="ListBullet5">
    <w:name w:val="List Bullet 5"/>
    <w:basedOn w:val="Normal"/>
    <w:unhideWhenUsed/>
    <w:rsid w:val="00045660"/>
    <w:pPr>
      <w:widowControl w:val="0"/>
      <w:numPr>
        <w:numId w:val="7"/>
      </w:numPr>
      <w:autoSpaceDE w:val="0"/>
      <w:autoSpaceDN w:val="0"/>
      <w:adjustRightInd w:val="0"/>
    </w:pPr>
  </w:style>
  <w:style w:type="paragraph" w:styleId="ListNumber2">
    <w:name w:val="List Number 2"/>
    <w:basedOn w:val="Normal"/>
    <w:unhideWhenUsed/>
    <w:rsid w:val="00045660"/>
    <w:pPr>
      <w:widowControl w:val="0"/>
      <w:numPr>
        <w:numId w:val="9"/>
      </w:numPr>
      <w:tabs>
        <w:tab w:val="num" w:pos="720"/>
      </w:tabs>
      <w:autoSpaceDE w:val="0"/>
      <w:autoSpaceDN w:val="0"/>
      <w:adjustRightInd w:val="0"/>
      <w:ind w:left="720"/>
    </w:pPr>
  </w:style>
  <w:style w:type="paragraph" w:styleId="ListNumber3">
    <w:name w:val="List Number 3"/>
    <w:basedOn w:val="Normal"/>
    <w:unhideWhenUsed/>
    <w:rsid w:val="00045660"/>
    <w:pPr>
      <w:widowControl w:val="0"/>
      <w:numPr>
        <w:numId w:val="10"/>
      </w:numPr>
      <w:tabs>
        <w:tab w:val="num" w:pos="1080"/>
      </w:tabs>
      <w:autoSpaceDE w:val="0"/>
      <w:autoSpaceDN w:val="0"/>
      <w:adjustRightInd w:val="0"/>
      <w:ind w:left="1080"/>
    </w:pPr>
  </w:style>
  <w:style w:type="paragraph" w:styleId="ListNumber4">
    <w:name w:val="List Number 4"/>
    <w:basedOn w:val="Normal"/>
    <w:unhideWhenUsed/>
    <w:rsid w:val="00045660"/>
    <w:pPr>
      <w:widowControl w:val="0"/>
      <w:numPr>
        <w:numId w:val="8"/>
      </w:numPr>
      <w:autoSpaceDE w:val="0"/>
      <w:autoSpaceDN w:val="0"/>
      <w:adjustRightInd w:val="0"/>
    </w:pPr>
  </w:style>
  <w:style w:type="paragraph" w:styleId="ListNumber5">
    <w:name w:val="List Number 5"/>
    <w:basedOn w:val="Normal"/>
    <w:unhideWhenUsed/>
    <w:rsid w:val="00045660"/>
    <w:pPr>
      <w:widowControl w:val="0"/>
      <w:numPr>
        <w:numId w:val="9"/>
      </w:numPr>
      <w:autoSpaceDE w:val="0"/>
      <w:autoSpaceDN w:val="0"/>
      <w:adjustRightInd w:val="0"/>
    </w:pPr>
  </w:style>
  <w:style w:type="paragraph" w:styleId="Title">
    <w:name w:val="Title"/>
    <w:basedOn w:val="Normal"/>
    <w:link w:val="TitleChar"/>
    <w:qFormat/>
    <w:rsid w:val="00045660"/>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45660"/>
    <w:rPr>
      <w:rFonts w:ascii="Arial" w:hAnsi="Arial" w:cs="Arial"/>
      <w:b/>
      <w:bCs/>
      <w:kern w:val="28"/>
      <w:sz w:val="32"/>
      <w:szCs w:val="32"/>
    </w:rPr>
  </w:style>
  <w:style w:type="paragraph" w:styleId="Closing">
    <w:name w:val="Closing"/>
    <w:basedOn w:val="Normal"/>
    <w:link w:val="ClosingChar"/>
    <w:unhideWhenUsed/>
    <w:rsid w:val="00045660"/>
    <w:pPr>
      <w:widowControl w:val="0"/>
      <w:autoSpaceDE w:val="0"/>
      <w:autoSpaceDN w:val="0"/>
      <w:adjustRightInd w:val="0"/>
      <w:ind w:left="4320"/>
    </w:pPr>
  </w:style>
  <w:style w:type="character" w:customStyle="1" w:styleId="ClosingChar">
    <w:name w:val="Closing Char"/>
    <w:basedOn w:val="DefaultParagraphFont"/>
    <w:link w:val="Closing"/>
    <w:rsid w:val="00045660"/>
    <w:rPr>
      <w:sz w:val="26"/>
      <w:szCs w:val="24"/>
    </w:rPr>
  </w:style>
  <w:style w:type="paragraph" w:styleId="Signature">
    <w:name w:val="Signature"/>
    <w:basedOn w:val="Normal"/>
    <w:link w:val="SignatureChar"/>
    <w:unhideWhenUsed/>
    <w:rsid w:val="00045660"/>
    <w:pPr>
      <w:widowControl w:val="0"/>
      <w:autoSpaceDE w:val="0"/>
      <w:autoSpaceDN w:val="0"/>
      <w:adjustRightInd w:val="0"/>
      <w:ind w:left="4320"/>
    </w:pPr>
  </w:style>
  <w:style w:type="character" w:customStyle="1" w:styleId="SignatureChar">
    <w:name w:val="Signature Char"/>
    <w:basedOn w:val="DefaultParagraphFont"/>
    <w:link w:val="Signature"/>
    <w:rsid w:val="00045660"/>
    <w:rPr>
      <w:sz w:val="26"/>
      <w:szCs w:val="24"/>
    </w:rPr>
  </w:style>
  <w:style w:type="paragraph" w:styleId="BodyText">
    <w:name w:val="Body Text"/>
    <w:basedOn w:val="Normal"/>
    <w:link w:val="BodyTextChar"/>
    <w:unhideWhenUsed/>
    <w:rsid w:val="00045660"/>
    <w:pPr>
      <w:widowControl w:val="0"/>
      <w:autoSpaceDE w:val="0"/>
      <w:autoSpaceDN w:val="0"/>
      <w:adjustRightInd w:val="0"/>
      <w:spacing w:after="120"/>
    </w:pPr>
  </w:style>
  <w:style w:type="character" w:customStyle="1" w:styleId="BodyTextChar">
    <w:name w:val="Body Text Char"/>
    <w:basedOn w:val="DefaultParagraphFont"/>
    <w:link w:val="BodyText"/>
    <w:rsid w:val="00045660"/>
    <w:rPr>
      <w:sz w:val="26"/>
      <w:szCs w:val="24"/>
    </w:rPr>
  </w:style>
  <w:style w:type="paragraph" w:styleId="BodyTextIndent">
    <w:name w:val="Body Text Indent"/>
    <w:basedOn w:val="Normal"/>
    <w:link w:val="BodyTextIndentChar"/>
    <w:unhideWhenUsed/>
    <w:rsid w:val="00045660"/>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045660"/>
    <w:rPr>
      <w:sz w:val="26"/>
      <w:szCs w:val="24"/>
    </w:rPr>
  </w:style>
  <w:style w:type="paragraph" w:styleId="ListContinue">
    <w:name w:val="List Continue"/>
    <w:basedOn w:val="Normal"/>
    <w:unhideWhenUsed/>
    <w:rsid w:val="00045660"/>
    <w:pPr>
      <w:autoSpaceDN w:val="0"/>
      <w:spacing w:after="120"/>
      <w:ind w:left="360"/>
    </w:pPr>
  </w:style>
  <w:style w:type="paragraph" w:styleId="ListContinue2">
    <w:name w:val="List Continue 2"/>
    <w:basedOn w:val="Normal"/>
    <w:unhideWhenUsed/>
    <w:rsid w:val="00045660"/>
    <w:pPr>
      <w:widowControl w:val="0"/>
      <w:autoSpaceDE w:val="0"/>
      <w:autoSpaceDN w:val="0"/>
      <w:adjustRightInd w:val="0"/>
      <w:spacing w:after="120"/>
      <w:ind w:left="720"/>
    </w:pPr>
  </w:style>
  <w:style w:type="paragraph" w:styleId="ListContinue3">
    <w:name w:val="List Continue 3"/>
    <w:basedOn w:val="Normal"/>
    <w:unhideWhenUsed/>
    <w:rsid w:val="00045660"/>
    <w:pPr>
      <w:widowControl w:val="0"/>
      <w:autoSpaceDE w:val="0"/>
      <w:autoSpaceDN w:val="0"/>
      <w:adjustRightInd w:val="0"/>
      <w:spacing w:after="120"/>
      <w:ind w:left="1080"/>
    </w:pPr>
  </w:style>
  <w:style w:type="paragraph" w:styleId="ListContinue4">
    <w:name w:val="List Continue 4"/>
    <w:basedOn w:val="Normal"/>
    <w:unhideWhenUsed/>
    <w:rsid w:val="00045660"/>
    <w:pPr>
      <w:widowControl w:val="0"/>
      <w:numPr>
        <w:numId w:val="11"/>
      </w:numPr>
      <w:autoSpaceDE w:val="0"/>
      <w:autoSpaceDN w:val="0"/>
      <w:adjustRightInd w:val="0"/>
      <w:spacing w:after="120"/>
      <w:ind w:left="1440" w:firstLine="0"/>
    </w:pPr>
  </w:style>
  <w:style w:type="paragraph" w:styleId="ListContinue5">
    <w:name w:val="List Continue 5"/>
    <w:basedOn w:val="Normal"/>
    <w:unhideWhenUsed/>
    <w:rsid w:val="00045660"/>
    <w:pPr>
      <w:widowControl w:val="0"/>
      <w:numPr>
        <w:numId w:val="12"/>
      </w:numPr>
      <w:autoSpaceDE w:val="0"/>
      <w:autoSpaceDN w:val="0"/>
      <w:adjustRightInd w:val="0"/>
      <w:spacing w:after="120"/>
      <w:ind w:left="1800" w:firstLine="0"/>
    </w:pPr>
  </w:style>
  <w:style w:type="paragraph" w:styleId="MessageHeader">
    <w:name w:val="Message Header"/>
    <w:basedOn w:val="Normal"/>
    <w:link w:val="MessageHeaderChar"/>
    <w:unhideWhenUsed/>
    <w:rsid w:val="00045660"/>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 w:val="24"/>
    </w:rPr>
  </w:style>
  <w:style w:type="character" w:customStyle="1" w:styleId="MessageHeaderChar">
    <w:name w:val="Message Header Char"/>
    <w:basedOn w:val="DefaultParagraphFont"/>
    <w:link w:val="MessageHeader"/>
    <w:rsid w:val="00045660"/>
    <w:rPr>
      <w:rFonts w:ascii="Arial" w:hAnsi="Arial" w:cs="Arial"/>
      <w:sz w:val="24"/>
      <w:szCs w:val="24"/>
      <w:shd w:val="pct20" w:color="auto" w:fill="auto"/>
    </w:rPr>
  </w:style>
  <w:style w:type="paragraph" w:styleId="Subtitle">
    <w:name w:val="Subtitle"/>
    <w:basedOn w:val="Normal"/>
    <w:link w:val="SubtitleChar"/>
    <w:qFormat/>
    <w:rsid w:val="00045660"/>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045660"/>
    <w:rPr>
      <w:rFonts w:ascii="Arial" w:hAnsi="Arial" w:cs="Arial"/>
      <w:sz w:val="24"/>
      <w:szCs w:val="24"/>
    </w:rPr>
  </w:style>
  <w:style w:type="paragraph" w:styleId="Salutation">
    <w:name w:val="Salutation"/>
    <w:basedOn w:val="Normal"/>
    <w:next w:val="Normal"/>
    <w:link w:val="SalutationChar"/>
    <w:unhideWhenUsed/>
    <w:rsid w:val="00045660"/>
    <w:pPr>
      <w:widowControl w:val="0"/>
      <w:autoSpaceDE w:val="0"/>
      <w:autoSpaceDN w:val="0"/>
      <w:adjustRightInd w:val="0"/>
    </w:pPr>
  </w:style>
  <w:style w:type="character" w:customStyle="1" w:styleId="SalutationChar">
    <w:name w:val="Salutation Char"/>
    <w:basedOn w:val="DefaultParagraphFont"/>
    <w:link w:val="Salutation"/>
    <w:rsid w:val="00045660"/>
    <w:rPr>
      <w:sz w:val="26"/>
      <w:szCs w:val="24"/>
    </w:rPr>
  </w:style>
  <w:style w:type="paragraph" w:styleId="Date">
    <w:name w:val="Date"/>
    <w:basedOn w:val="Normal"/>
    <w:next w:val="Normal"/>
    <w:link w:val="DateChar"/>
    <w:unhideWhenUsed/>
    <w:rsid w:val="00045660"/>
    <w:pPr>
      <w:widowControl w:val="0"/>
      <w:autoSpaceDE w:val="0"/>
      <w:autoSpaceDN w:val="0"/>
      <w:adjustRightInd w:val="0"/>
    </w:pPr>
  </w:style>
  <w:style w:type="character" w:customStyle="1" w:styleId="DateChar">
    <w:name w:val="Date Char"/>
    <w:basedOn w:val="DefaultParagraphFont"/>
    <w:link w:val="Date"/>
    <w:rsid w:val="00045660"/>
    <w:rPr>
      <w:sz w:val="26"/>
      <w:szCs w:val="24"/>
    </w:rPr>
  </w:style>
  <w:style w:type="paragraph" w:styleId="BodyTextFirstIndent">
    <w:name w:val="Body Text First Indent"/>
    <w:basedOn w:val="BodyText"/>
    <w:link w:val="BodyTextFirstIndentChar"/>
    <w:unhideWhenUsed/>
    <w:rsid w:val="00045660"/>
    <w:pPr>
      <w:ind w:firstLine="210"/>
    </w:pPr>
  </w:style>
  <w:style w:type="character" w:customStyle="1" w:styleId="BodyTextFirstIndentChar">
    <w:name w:val="Body Text First Indent Char"/>
    <w:basedOn w:val="BodyTextChar"/>
    <w:link w:val="BodyTextFirstIndent"/>
    <w:rsid w:val="00045660"/>
    <w:rPr>
      <w:sz w:val="26"/>
      <w:szCs w:val="24"/>
    </w:rPr>
  </w:style>
  <w:style w:type="paragraph" w:styleId="BodyTextFirstIndent2">
    <w:name w:val="Body Text First Indent 2"/>
    <w:basedOn w:val="BodyTextIndent"/>
    <w:link w:val="BodyTextFirstIndent2Char"/>
    <w:unhideWhenUsed/>
    <w:rsid w:val="00045660"/>
    <w:pPr>
      <w:ind w:firstLine="210"/>
    </w:pPr>
  </w:style>
  <w:style w:type="character" w:customStyle="1" w:styleId="BodyTextFirstIndent2Char">
    <w:name w:val="Body Text First Indent 2 Char"/>
    <w:basedOn w:val="BodyTextIndentChar"/>
    <w:link w:val="BodyTextFirstIndent2"/>
    <w:rsid w:val="00045660"/>
    <w:rPr>
      <w:sz w:val="26"/>
      <w:szCs w:val="24"/>
    </w:rPr>
  </w:style>
  <w:style w:type="paragraph" w:styleId="NoteHeading">
    <w:name w:val="Note Heading"/>
    <w:basedOn w:val="Normal"/>
    <w:next w:val="Normal"/>
    <w:link w:val="NoteHeadingChar"/>
    <w:unhideWhenUsed/>
    <w:rsid w:val="00045660"/>
    <w:pPr>
      <w:widowControl w:val="0"/>
      <w:autoSpaceDE w:val="0"/>
      <w:autoSpaceDN w:val="0"/>
      <w:adjustRightInd w:val="0"/>
    </w:pPr>
  </w:style>
  <w:style w:type="character" w:customStyle="1" w:styleId="NoteHeadingChar">
    <w:name w:val="Note Heading Char"/>
    <w:basedOn w:val="DefaultParagraphFont"/>
    <w:link w:val="NoteHeading"/>
    <w:rsid w:val="00045660"/>
    <w:rPr>
      <w:sz w:val="26"/>
      <w:szCs w:val="24"/>
    </w:rPr>
  </w:style>
  <w:style w:type="paragraph" w:styleId="BodyText2">
    <w:name w:val="Body Text 2"/>
    <w:basedOn w:val="Normal"/>
    <w:link w:val="BodyText2Char"/>
    <w:unhideWhenUsed/>
    <w:rsid w:val="00045660"/>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rsid w:val="00045660"/>
    <w:rPr>
      <w:sz w:val="26"/>
      <w:szCs w:val="24"/>
    </w:rPr>
  </w:style>
  <w:style w:type="paragraph" w:styleId="BodyText3">
    <w:name w:val="Body Text 3"/>
    <w:basedOn w:val="Normal"/>
    <w:link w:val="BodyText3Char"/>
    <w:unhideWhenUsed/>
    <w:rsid w:val="0004566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045660"/>
    <w:rPr>
      <w:sz w:val="16"/>
      <w:szCs w:val="16"/>
    </w:rPr>
  </w:style>
  <w:style w:type="paragraph" w:styleId="BodyTextIndent2">
    <w:name w:val="Body Text Indent 2"/>
    <w:basedOn w:val="Normal"/>
    <w:link w:val="BodyTextIndent2Char"/>
    <w:unhideWhenUsed/>
    <w:rsid w:val="00045660"/>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045660"/>
    <w:rPr>
      <w:sz w:val="26"/>
      <w:szCs w:val="24"/>
    </w:rPr>
  </w:style>
  <w:style w:type="paragraph" w:styleId="BodyTextIndent3">
    <w:name w:val="Body Text Indent 3"/>
    <w:basedOn w:val="Normal"/>
    <w:link w:val="BodyTextIndent3Char"/>
    <w:unhideWhenUsed/>
    <w:rsid w:val="00045660"/>
    <w:pPr>
      <w:widowControl w:val="0"/>
      <w:autoSpaceDE w:val="0"/>
      <w:autoSpaceDN w:val="0"/>
      <w:adjustRightInd w:val="0"/>
      <w:spacing w:after="120"/>
      <w:ind w:left="360"/>
    </w:pPr>
    <w:rPr>
      <w:sz w:val="16"/>
      <w:szCs w:val="16"/>
    </w:rPr>
  </w:style>
  <w:style w:type="character" w:customStyle="1" w:styleId="BodyTextIndent3Char">
    <w:name w:val="Body Text Indent 3 Char"/>
    <w:basedOn w:val="DefaultParagraphFont"/>
    <w:link w:val="BodyTextIndent3"/>
    <w:rsid w:val="00045660"/>
    <w:rPr>
      <w:sz w:val="16"/>
      <w:szCs w:val="16"/>
    </w:rPr>
  </w:style>
  <w:style w:type="paragraph" w:styleId="BlockText">
    <w:name w:val="Block Text"/>
    <w:basedOn w:val="Normal"/>
    <w:unhideWhenUsed/>
    <w:rsid w:val="00045660"/>
    <w:pPr>
      <w:widowControl w:val="0"/>
      <w:autoSpaceDE w:val="0"/>
      <w:autoSpaceDN w:val="0"/>
      <w:adjustRightInd w:val="0"/>
      <w:spacing w:after="120"/>
      <w:ind w:left="1440" w:right="1440"/>
    </w:pPr>
  </w:style>
  <w:style w:type="paragraph" w:styleId="DocumentMap">
    <w:name w:val="Document Map"/>
    <w:basedOn w:val="Normal"/>
    <w:link w:val="DocumentMapChar"/>
    <w:unhideWhenUsed/>
    <w:rsid w:val="00045660"/>
    <w:pPr>
      <w:widowControl w:val="0"/>
      <w:shd w:val="clear" w:color="auto" w:fill="000080"/>
      <w:autoSpaceDE w:val="0"/>
      <w:autoSpaceDN w:val="0"/>
      <w:adjustRightInd w:val="0"/>
    </w:pPr>
    <w:rPr>
      <w:rFonts w:ascii="Tahoma" w:hAnsi="Tahoma" w:cs="Tahoma"/>
    </w:rPr>
  </w:style>
  <w:style w:type="character" w:customStyle="1" w:styleId="DocumentMapChar">
    <w:name w:val="Document Map Char"/>
    <w:basedOn w:val="DefaultParagraphFont"/>
    <w:link w:val="DocumentMap"/>
    <w:rsid w:val="00045660"/>
    <w:rPr>
      <w:rFonts w:ascii="Tahoma" w:hAnsi="Tahoma" w:cs="Tahoma"/>
      <w:sz w:val="26"/>
      <w:szCs w:val="24"/>
      <w:shd w:val="clear" w:color="auto" w:fill="000080"/>
    </w:rPr>
  </w:style>
  <w:style w:type="paragraph" w:styleId="PlainText">
    <w:name w:val="Plain Text"/>
    <w:basedOn w:val="Normal"/>
    <w:link w:val="PlainTextChar"/>
    <w:unhideWhenUsed/>
    <w:rsid w:val="00045660"/>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045660"/>
    <w:rPr>
      <w:rFonts w:ascii="Courier New" w:hAnsi="Courier New" w:cs="Courier New"/>
    </w:rPr>
  </w:style>
  <w:style w:type="paragraph" w:styleId="E-mailSignature">
    <w:name w:val="E-mail Signature"/>
    <w:basedOn w:val="Normal"/>
    <w:link w:val="E-mailSignatureChar"/>
    <w:unhideWhenUsed/>
    <w:rsid w:val="00045660"/>
    <w:pPr>
      <w:widowControl w:val="0"/>
      <w:autoSpaceDE w:val="0"/>
      <w:autoSpaceDN w:val="0"/>
      <w:adjustRightInd w:val="0"/>
    </w:pPr>
  </w:style>
  <w:style w:type="character" w:customStyle="1" w:styleId="E-mailSignatureChar">
    <w:name w:val="E-mail Signature Char"/>
    <w:basedOn w:val="DefaultParagraphFont"/>
    <w:link w:val="E-mailSignature"/>
    <w:rsid w:val="00045660"/>
    <w:rPr>
      <w:sz w:val="26"/>
      <w:szCs w:val="24"/>
    </w:rPr>
  </w:style>
  <w:style w:type="paragraph" w:styleId="CommentSubject">
    <w:name w:val="annotation subject"/>
    <w:basedOn w:val="CommentText"/>
    <w:next w:val="CommentText"/>
    <w:link w:val="CommentSubjectChar"/>
    <w:unhideWhenUsed/>
    <w:rsid w:val="00045660"/>
    <w:rPr>
      <w:b/>
      <w:bCs/>
    </w:rPr>
  </w:style>
  <w:style w:type="character" w:customStyle="1" w:styleId="CommentSubjectChar">
    <w:name w:val="Comment Subject Char"/>
    <w:basedOn w:val="CommentTextChar"/>
    <w:link w:val="CommentSubject"/>
    <w:rsid w:val="00045660"/>
    <w:rPr>
      <w:b/>
      <w:bCs/>
    </w:rPr>
  </w:style>
  <w:style w:type="paragraph" w:styleId="BalloonText">
    <w:name w:val="Balloon Text"/>
    <w:basedOn w:val="Normal"/>
    <w:link w:val="BalloonTextChar"/>
    <w:unhideWhenUsed/>
    <w:rsid w:val="00045660"/>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rsid w:val="00045660"/>
    <w:rPr>
      <w:rFonts w:ascii="Tahoma" w:hAnsi="Tahoma" w:cs="Tahoma"/>
      <w:sz w:val="16"/>
      <w:szCs w:val="16"/>
    </w:rPr>
  </w:style>
  <w:style w:type="character" w:customStyle="1" w:styleId="FERCparanumberChar">
    <w:name w:val="FERC paranumber Char"/>
    <w:link w:val="FERCparanumber"/>
    <w:locked/>
    <w:rsid w:val="00045660"/>
    <w:rPr>
      <w:sz w:val="26"/>
      <w:szCs w:val="24"/>
    </w:rPr>
  </w:style>
  <w:style w:type="paragraph" w:customStyle="1" w:styleId="BodyFootnote">
    <w:name w:val="Body Footnote"/>
    <w:basedOn w:val="FootnoteText"/>
    <w:rsid w:val="00045660"/>
    <w:pPr>
      <w:widowControl w:val="0"/>
      <w:autoSpaceDE w:val="0"/>
      <w:autoSpaceDN w:val="0"/>
      <w:adjustRightInd w:val="0"/>
      <w:spacing w:after="240"/>
    </w:pPr>
    <w:rPr>
      <w:szCs w:val="26"/>
    </w:rPr>
  </w:style>
  <w:style w:type="paragraph" w:customStyle="1" w:styleId="Non-TOCStyle">
    <w:name w:val="Non-TOC Style"/>
    <w:basedOn w:val="Normal"/>
    <w:next w:val="FERCparanumber"/>
    <w:rsid w:val="00045660"/>
    <w:pPr>
      <w:widowControl w:val="0"/>
      <w:autoSpaceDE w:val="0"/>
      <w:autoSpaceDN w:val="0"/>
      <w:adjustRightInd w:val="0"/>
      <w:spacing w:after="240"/>
      <w:ind w:left="1440"/>
    </w:pPr>
    <w:rPr>
      <w:b/>
      <w:szCs w:val="26"/>
      <w:u w:val="single"/>
    </w:rPr>
  </w:style>
  <w:style w:type="paragraph" w:customStyle="1" w:styleId="myTOC1">
    <w:name w:val="myTOC 1"/>
    <w:basedOn w:val="Normal"/>
    <w:next w:val="Normal"/>
    <w:rsid w:val="00045660"/>
    <w:pPr>
      <w:widowControl w:val="0"/>
      <w:tabs>
        <w:tab w:val="left" w:leader="dot" w:pos="9648"/>
      </w:tabs>
      <w:autoSpaceDE w:val="0"/>
      <w:autoSpaceDN w:val="0"/>
      <w:adjustRightInd w:val="0"/>
      <w:spacing w:before="120"/>
    </w:pPr>
    <w:rPr>
      <w:szCs w:val="26"/>
    </w:rPr>
  </w:style>
  <w:style w:type="paragraph" w:customStyle="1" w:styleId="myTOC2">
    <w:name w:val="myTOC 2"/>
    <w:basedOn w:val="Normal"/>
    <w:next w:val="Normal"/>
    <w:rsid w:val="00045660"/>
    <w:pPr>
      <w:widowControl w:val="0"/>
      <w:tabs>
        <w:tab w:val="left" w:leader="dot" w:pos="9648"/>
      </w:tabs>
      <w:autoSpaceDE w:val="0"/>
      <w:autoSpaceDN w:val="0"/>
      <w:adjustRightInd w:val="0"/>
      <w:ind w:left="288"/>
    </w:pPr>
    <w:rPr>
      <w:szCs w:val="26"/>
    </w:rPr>
  </w:style>
  <w:style w:type="paragraph" w:customStyle="1" w:styleId="myTOC3">
    <w:name w:val="myTOC 3"/>
    <w:basedOn w:val="Normal"/>
    <w:next w:val="Normal"/>
    <w:rsid w:val="00045660"/>
    <w:pPr>
      <w:widowControl w:val="0"/>
      <w:tabs>
        <w:tab w:val="left" w:leader="dot" w:pos="9648"/>
      </w:tabs>
      <w:autoSpaceDE w:val="0"/>
      <w:autoSpaceDN w:val="0"/>
      <w:adjustRightInd w:val="0"/>
      <w:ind w:left="576"/>
    </w:pPr>
    <w:rPr>
      <w:szCs w:val="26"/>
    </w:rPr>
  </w:style>
  <w:style w:type="paragraph" w:customStyle="1" w:styleId="myTOC4">
    <w:name w:val="myTOC 4"/>
    <w:basedOn w:val="Normal"/>
    <w:next w:val="Normal"/>
    <w:rsid w:val="00045660"/>
    <w:pPr>
      <w:widowControl w:val="0"/>
      <w:tabs>
        <w:tab w:val="left" w:leader="dot" w:pos="9648"/>
      </w:tabs>
      <w:autoSpaceDE w:val="0"/>
      <w:autoSpaceDN w:val="0"/>
      <w:adjustRightInd w:val="0"/>
      <w:ind w:left="864"/>
    </w:pPr>
    <w:rPr>
      <w:szCs w:val="26"/>
    </w:rPr>
  </w:style>
  <w:style w:type="paragraph" w:customStyle="1" w:styleId="myTOC5">
    <w:name w:val="myTOC 5"/>
    <w:basedOn w:val="Normal"/>
    <w:next w:val="Normal"/>
    <w:rsid w:val="00045660"/>
    <w:pPr>
      <w:widowControl w:val="0"/>
      <w:tabs>
        <w:tab w:val="left" w:leader="dot" w:pos="9648"/>
      </w:tabs>
      <w:autoSpaceDE w:val="0"/>
      <w:autoSpaceDN w:val="0"/>
      <w:adjustRightInd w:val="0"/>
      <w:ind w:left="1152"/>
    </w:pPr>
    <w:rPr>
      <w:szCs w:val="26"/>
    </w:rPr>
  </w:style>
  <w:style w:type="paragraph" w:customStyle="1" w:styleId="BlockIndent">
    <w:name w:val="Block Indent"/>
    <w:basedOn w:val="Normal"/>
    <w:next w:val="FERCparanumber"/>
    <w:rsid w:val="00045660"/>
    <w:pPr>
      <w:autoSpaceDE w:val="0"/>
      <w:autoSpaceDN w:val="0"/>
      <w:adjustRightInd w:val="0"/>
      <w:spacing w:after="240"/>
      <w:ind w:left="1440" w:right="1440"/>
    </w:pPr>
  </w:style>
  <w:style w:type="paragraph" w:customStyle="1" w:styleId="myTOC6">
    <w:name w:val="myTOC 6"/>
    <w:basedOn w:val="Normal"/>
    <w:next w:val="Normal"/>
    <w:rsid w:val="00045660"/>
    <w:pPr>
      <w:tabs>
        <w:tab w:val="left" w:leader="dot" w:pos="9648"/>
      </w:tabs>
      <w:autoSpaceDN w:val="0"/>
      <w:ind w:left="1440"/>
    </w:pPr>
    <w:rPr>
      <w:szCs w:val="26"/>
    </w:rPr>
  </w:style>
  <w:style w:type="paragraph" w:customStyle="1" w:styleId="myTOC7">
    <w:name w:val="myTOC 7"/>
    <w:basedOn w:val="Normal"/>
    <w:next w:val="Normal"/>
    <w:rsid w:val="00045660"/>
    <w:pPr>
      <w:tabs>
        <w:tab w:val="left" w:leader="dot" w:pos="9648"/>
      </w:tabs>
      <w:autoSpaceDN w:val="0"/>
      <w:ind w:left="1728"/>
    </w:pPr>
    <w:rPr>
      <w:szCs w:val="26"/>
    </w:rPr>
  </w:style>
  <w:style w:type="paragraph" w:customStyle="1" w:styleId="myTOC8">
    <w:name w:val="myTOC 8"/>
    <w:basedOn w:val="Normal"/>
    <w:next w:val="Normal"/>
    <w:rsid w:val="00045660"/>
    <w:pPr>
      <w:tabs>
        <w:tab w:val="left" w:leader="dot" w:pos="9648"/>
      </w:tabs>
      <w:autoSpaceDN w:val="0"/>
      <w:ind w:left="2016"/>
    </w:pPr>
    <w:rPr>
      <w:szCs w:val="26"/>
    </w:rPr>
  </w:style>
  <w:style w:type="paragraph" w:customStyle="1" w:styleId="myTOC9">
    <w:name w:val="myTOC 9"/>
    <w:basedOn w:val="Normal"/>
    <w:next w:val="Normal"/>
    <w:rsid w:val="00045660"/>
    <w:pPr>
      <w:tabs>
        <w:tab w:val="left" w:leader="dot" w:pos="9648"/>
      </w:tabs>
      <w:autoSpaceDN w:val="0"/>
      <w:ind w:left="2304"/>
    </w:pPr>
    <w:rPr>
      <w:szCs w:val="26"/>
    </w:rPr>
  </w:style>
  <w:style w:type="paragraph" w:customStyle="1" w:styleId="StyleLinespacingDouble">
    <w:name w:val="Style Line spacing:  Double"/>
    <w:basedOn w:val="Normal"/>
    <w:rsid w:val="00045660"/>
    <w:pPr>
      <w:widowControl w:val="0"/>
      <w:autoSpaceDE w:val="0"/>
      <w:autoSpaceDN w:val="0"/>
      <w:adjustRightInd w:val="0"/>
      <w:spacing w:line="480" w:lineRule="auto"/>
    </w:pPr>
    <w:rPr>
      <w:szCs w:val="20"/>
    </w:rPr>
  </w:style>
  <w:style w:type="paragraph" w:customStyle="1" w:styleId="LegalFormat">
    <w:name w:val="Legal Format"/>
    <w:basedOn w:val="ListContinue"/>
    <w:rsid w:val="00045660"/>
    <w:pPr>
      <w:tabs>
        <w:tab w:val="num" w:pos="720"/>
      </w:tabs>
      <w:spacing w:after="0"/>
      <w:ind w:left="720" w:hanging="720"/>
    </w:pPr>
    <w:rPr>
      <w:szCs w:val="26"/>
    </w:rPr>
  </w:style>
  <w:style w:type="character" w:styleId="CommentReference">
    <w:name w:val="annotation reference"/>
    <w:basedOn w:val="DefaultParagraphFont"/>
    <w:unhideWhenUsed/>
    <w:rsid w:val="00045660"/>
    <w:rPr>
      <w:sz w:val="16"/>
      <w:szCs w:val="16"/>
    </w:rPr>
  </w:style>
  <w:style w:type="character" w:customStyle="1" w:styleId="FERCparanumberChar1">
    <w:name w:val="FERC paranumber Char1"/>
    <w:basedOn w:val="DefaultParagraphFont"/>
    <w:rsid w:val="00045660"/>
    <w:rPr>
      <w:sz w:val="26"/>
      <w:szCs w:val="26"/>
      <w:lang w:val="en-US" w:eastAsia="en-US" w:bidi="ar-SA"/>
    </w:rPr>
  </w:style>
  <w:style w:type="character" w:customStyle="1" w:styleId="EmailStyle115">
    <w:name w:val="EmailStyle115"/>
    <w:basedOn w:val="DefaultParagraphFont"/>
    <w:semiHidden/>
    <w:rsid w:val="00045660"/>
    <w:rPr>
      <w:rFonts w:ascii="Arial" w:hAnsi="Arial" w:cs="Arial" w:hint="default"/>
      <w:color w:val="auto"/>
      <w:sz w:val="20"/>
      <w:szCs w:val="20"/>
    </w:rPr>
  </w:style>
  <w:style w:type="character" w:customStyle="1" w:styleId="EmailStyle116">
    <w:name w:val="EmailStyle116"/>
    <w:basedOn w:val="DefaultParagraphFont"/>
    <w:semiHidden/>
    <w:rsid w:val="00045660"/>
    <w:rPr>
      <w:rFonts w:ascii="Calibri" w:hAnsi="Calibri" w:cs="Arial" w:hint="default"/>
      <w:b w:val="0"/>
      <w:bCs w:val="0"/>
      <w:i w:val="0"/>
      <w:iCs w:val="0"/>
      <w:color w:val="auto"/>
      <w:sz w:val="22"/>
      <w:szCs w:val="20"/>
    </w:rPr>
  </w:style>
  <w:style w:type="character" w:customStyle="1" w:styleId="term1">
    <w:name w:val="term1"/>
    <w:rsid w:val="00045660"/>
    <w:rPr>
      <w:b/>
      <w:bCs/>
    </w:rPr>
  </w:style>
  <w:style w:type="table" w:styleId="TableGrid">
    <w:name w:val="Table Grid"/>
    <w:basedOn w:val="TableNormal"/>
    <w:rsid w:val="000456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FERCparanumber"/>
    <w:link w:val="Heading1Char"/>
    <w:qFormat/>
    <w:rsid w:val="00045660"/>
    <w:pPr>
      <w:keepNext/>
      <w:keepLines/>
      <w:numPr>
        <w:numId w:val="2"/>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link w:val="Heading2Char"/>
    <w:semiHidden/>
    <w:unhideWhenUsed/>
    <w:qFormat/>
    <w:rsid w:val="00045660"/>
    <w:pPr>
      <w:keepNext/>
      <w:keepLines/>
      <w:numPr>
        <w:ilvl w:val="1"/>
        <w:numId w:val="2"/>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link w:val="Heading3Char"/>
    <w:semiHidden/>
    <w:unhideWhenUsed/>
    <w:qFormat/>
    <w:rsid w:val="00045660"/>
    <w:pPr>
      <w:keepNext/>
      <w:keepLines/>
      <w:numPr>
        <w:ilvl w:val="2"/>
        <w:numId w:val="2"/>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link w:val="Heading4Char"/>
    <w:semiHidden/>
    <w:unhideWhenUsed/>
    <w:qFormat/>
    <w:rsid w:val="00045660"/>
    <w:pPr>
      <w:keepNext/>
      <w:keepLines/>
      <w:numPr>
        <w:ilvl w:val="3"/>
        <w:numId w:val="2"/>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link w:val="Heading5Char"/>
    <w:semiHidden/>
    <w:unhideWhenUsed/>
    <w:qFormat/>
    <w:rsid w:val="00045660"/>
    <w:pPr>
      <w:keepNext/>
      <w:keepLines/>
      <w:numPr>
        <w:ilvl w:val="4"/>
        <w:numId w:val="2"/>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link w:val="Heading6Char"/>
    <w:semiHidden/>
    <w:unhideWhenUsed/>
    <w:qFormat/>
    <w:rsid w:val="00045660"/>
    <w:pPr>
      <w:keepNext/>
      <w:keepLines/>
      <w:numPr>
        <w:ilvl w:val="5"/>
        <w:numId w:val="2"/>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link w:val="Heading7Char"/>
    <w:semiHidden/>
    <w:unhideWhenUsed/>
    <w:qFormat/>
    <w:rsid w:val="00045660"/>
    <w:pPr>
      <w:widowControl w:val="0"/>
      <w:numPr>
        <w:ilvl w:val="6"/>
        <w:numId w:val="2"/>
      </w:numPr>
      <w:autoSpaceDE w:val="0"/>
      <w:autoSpaceDN w:val="0"/>
      <w:adjustRightInd w:val="0"/>
      <w:spacing w:after="260"/>
      <w:outlineLvl w:val="6"/>
    </w:pPr>
    <w:rPr>
      <w:b/>
      <w:kern w:val="32"/>
      <w:u w:val="single"/>
    </w:rPr>
  </w:style>
  <w:style w:type="paragraph" w:styleId="Heading8">
    <w:name w:val="heading 8"/>
    <w:basedOn w:val="Normal"/>
    <w:next w:val="FERCparanumber"/>
    <w:link w:val="Heading8Char"/>
    <w:semiHidden/>
    <w:unhideWhenUsed/>
    <w:qFormat/>
    <w:rsid w:val="00045660"/>
    <w:pPr>
      <w:keepNext/>
      <w:keepLines/>
      <w:numPr>
        <w:ilvl w:val="7"/>
        <w:numId w:val="2"/>
      </w:numPr>
      <w:autoSpaceDE w:val="0"/>
      <w:autoSpaceDN w:val="0"/>
      <w:adjustRightInd w:val="0"/>
      <w:spacing w:after="260"/>
      <w:outlineLvl w:val="7"/>
    </w:pPr>
    <w:rPr>
      <w:b/>
      <w:iCs/>
      <w:kern w:val="32"/>
      <w:u w:val="single"/>
    </w:rPr>
  </w:style>
  <w:style w:type="paragraph" w:styleId="Heading9">
    <w:name w:val="heading 9"/>
    <w:basedOn w:val="Normal"/>
    <w:next w:val="FERCparanumber"/>
    <w:link w:val="Heading9Char"/>
    <w:semiHidden/>
    <w:unhideWhenUsed/>
    <w:qFormat/>
    <w:rsid w:val="00045660"/>
    <w:pPr>
      <w:keepNext/>
      <w:keepLines/>
      <w:numPr>
        <w:ilvl w:val="8"/>
        <w:numId w:val="2"/>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o1,fr1,o2,fr2,o3,fr3,Style 12,Style 15,Style 17,Style 9,Style 18,(NECG) Footnote Reference,Style 20,Style 7,Style 8,Style 19,Style 28,Style 11,Style 16,Styl"/>
    <w:basedOn w:val="DefaultParagraphFont"/>
    <w:rsid w:val="00487256"/>
    <w:rPr>
      <w:rFonts w:ascii="Times New Roman" w:hAnsi="Times New Roman"/>
      <w:b/>
      <w:sz w:val="26"/>
      <w:szCs w:val="26"/>
      <w:vertAlign w:val="superscript"/>
    </w:rPr>
  </w:style>
  <w:style w:type="paragraph" w:styleId="FootnoteText">
    <w:name w:val="footnote text"/>
    <w:aliases w:val="Style 13,fn,Footnote Text Char1,Footnote Text Char Char,Footnote Text Char1 Char,Footnote Text Char Char Char,ft Char,Footnote Text Char3 Char Char Char,Footnote Text Char Char1 Char Char Char,Footnote Text Char2,ft,fn1"/>
    <w:basedOn w:val="Normal"/>
    <w:link w:val="FootnoteTextChar3"/>
    <w:rsid w:val="00487256"/>
    <w:pPr>
      <w:spacing w:after="260"/>
      <w:ind w:firstLine="720"/>
    </w:pPr>
    <w:rPr>
      <w:szCs w:val="20"/>
    </w:rPr>
  </w:style>
  <w:style w:type="character" w:customStyle="1" w:styleId="Heading1Char">
    <w:name w:val="Heading 1 Char"/>
    <w:basedOn w:val="DefaultParagraphFont"/>
    <w:link w:val="Heading1"/>
    <w:rsid w:val="00045660"/>
    <w:rPr>
      <w:b/>
      <w:bCs/>
      <w:kern w:val="32"/>
      <w:sz w:val="26"/>
      <w:szCs w:val="32"/>
      <w:u w:val="single"/>
    </w:rPr>
  </w:style>
  <w:style w:type="character" w:customStyle="1" w:styleId="Heading2Char">
    <w:name w:val="Heading 2 Char"/>
    <w:basedOn w:val="DefaultParagraphFont"/>
    <w:link w:val="Heading2"/>
    <w:semiHidden/>
    <w:rsid w:val="00045660"/>
    <w:rPr>
      <w:b/>
      <w:bCs/>
      <w:iCs/>
      <w:kern w:val="32"/>
      <w:sz w:val="26"/>
      <w:szCs w:val="28"/>
      <w:u w:val="single"/>
    </w:rPr>
  </w:style>
  <w:style w:type="character" w:customStyle="1" w:styleId="Heading3Char">
    <w:name w:val="Heading 3 Char"/>
    <w:basedOn w:val="DefaultParagraphFont"/>
    <w:link w:val="Heading3"/>
    <w:semiHidden/>
    <w:rsid w:val="00045660"/>
    <w:rPr>
      <w:b/>
      <w:bCs/>
      <w:kern w:val="32"/>
      <w:sz w:val="26"/>
      <w:szCs w:val="26"/>
      <w:u w:val="single"/>
    </w:rPr>
  </w:style>
  <w:style w:type="character" w:customStyle="1" w:styleId="Heading4Char">
    <w:name w:val="Heading 4 Char"/>
    <w:basedOn w:val="DefaultParagraphFont"/>
    <w:link w:val="Heading4"/>
    <w:semiHidden/>
    <w:rsid w:val="00045660"/>
    <w:rPr>
      <w:b/>
      <w:bCs/>
      <w:kern w:val="32"/>
      <w:sz w:val="26"/>
      <w:szCs w:val="28"/>
      <w:u w:val="single"/>
    </w:rPr>
  </w:style>
  <w:style w:type="character" w:customStyle="1" w:styleId="Heading5Char">
    <w:name w:val="Heading 5 Char"/>
    <w:basedOn w:val="DefaultParagraphFont"/>
    <w:link w:val="Heading5"/>
    <w:semiHidden/>
    <w:rsid w:val="00045660"/>
    <w:rPr>
      <w:b/>
      <w:bCs/>
      <w:iCs/>
      <w:kern w:val="32"/>
      <w:sz w:val="26"/>
      <w:szCs w:val="26"/>
      <w:u w:val="single"/>
    </w:rPr>
  </w:style>
  <w:style w:type="character" w:customStyle="1" w:styleId="Heading6Char">
    <w:name w:val="Heading 6 Char"/>
    <w:basedOn w:val="DefaultParagraphFont"/>
    <w:link w:val="Heading6"/>
    <w:semiHidden/>
    <w:rsid w:val="00045660"/>
    <w:rPr>
      <w:b/>
      <w:bCs/>
      <w:kern w:val="32"/>
      <w:sz w:val="26"/>
      <w:szCs w:val="22"/>
      <w:u w:val="single"/>
    </w:rPr>
  </w:style>
  <w:style w:type="character" w:customStyle="1" w:styleId="Heading7Char">
    <w:name w:val="Heading 7 Char"/>
    <w:basedOn w:val="DefaultParagraphFont"/>
    <w:link w:val="Heading7"/>
    <w:semiHidden/>
    <w:rsid w:val="00045660"/>
    <w:rPr>
      <w:b/>
      <w:kern w:val="32"/>
      <w:sz w:val="26"/>
      <w:szCs w:val="24"/>
      <w:u w:val="single"/>
    </w:rPr>
  </w:style>
  <w:style w:type="character" w:customStyle="1" w:styleId="Heading8Char">
    <w:name w:val="Heading 8 Char"/>
    <w:basedOn w:val="DefaultParagraphFont"/>
    <w:link w:val="Heading8"/>
    <w:semiHidden/>
    <w:rsid w:val="00045660"/>
    <w:rPr>
      <w:b/>
      <w:iCs/>
      <w:kern w:val="32"/>
      <w:sz w:val="26"/>
      <w:szCs w:val="24"/>
      <w:u w:val="single"/>
    </w:rPr>
  </w:style>
  <w:style w:type="character" w:customStyle="1" w:styleId="Heading9Char">
    <w:name w:val="Heading 9 Char"/>
    <w:basedOn w:val="DefaultParagraphFont"/>
    <w:link w:val="Heading9"/>
    <w:semiHidden/>
    <w:rsid w:val="00045660"/>
    <w:rPr>
      <w:b/>
      <w:kern w:val="32"/>
      <w:sz w:val="26"/>
      <w:szCs w:val="22"/>
      <w:u w:val="single"/>
    </w:rPr>
  </w:style>
  <w:style w:type="numbering" w:customStyle="1" w:styleId="NoList1">
    <w:name w:val="No List1"/>
    <w:next w:val="NoList"/>
    <w:uiPriority w:val="99"/>
    <w:semiHidden/>
    <w:unhideWhenUsed/>
    <w:rsid w:val="00045660"/>
  </w:style>
  <w:style w:type="character" w:styleId="Hyperlink">
    <w:name w:val="Hyperlink"/>
    <w:basedOn w:val="DefaultParagraphFont"/>
    <w:unhideWhenUsed/>
    <w:rsid w:val="00045660"/>
    <w:rPr>
      <w:color w:val="0000FF"/>
      <w:u w:val="single"/>
    </w:rPr>
  </w:style>
  <w:style w:type="character" w:styleId="FollowedHyperlink">
    <w:name w:val="FollowedHyperlink"/>
    <w:basedOn w:val="DefaultParagraphFont"/>
    <w:unhideWhenUsed/>
    <w:rsid w:val="00045660"/>
    <w:rPr>
      <w:color w:val="800080"/>
      <w:u w:val="single"/>
    </w:rPr>
  </w:style>
  <w:style w:type="paragraph" w:styleId="HTMLAddress">
    <w:name w:val="HTML Address"/>
    <w:basedOn w:val="Normal"/>
    <w:link w:val="HTMLAddressChar"/>
    <w:unhideWhenUsed/>
    <w:rsid w:val="00045660"/>
    <w:pPr>
      <w:widowControl w:val="0"/>
      <w:autoSpaceDE w:val="0"/>
      <w:autoSpaceDN w:val="0"/>
      <w:adjustRightInd w:val="0"/>
    </w:pPr>
    <w:rPr>
      <w:i/>
      <w:iCs/>
    </w:rPr>
  </w:style>
  <w:style w:type="character" w:customStyle="1" w:styleId="HTMLAddressChar">
    <w:name w:val="HTML Address Char"/>
    <w:basedOn w:val="DefaultParagraphFont"/>
    <w:link w:val="HTMLAddress"/>
    <w:rsid w:val="00045660"/>
    <w:rPr>
      <w:i/>
      <w:iCs/>
      <w:sz w:val="26"/>
      <w:szCs w:val="24"/>
    </w:rPr>
  </w:style>
  <w:style w:type="paragraph" w:styleId="HTMLPreformatted">
    <w:name w:val="HTML Preformatted"/>
    <w:basedOn w:val="Normal"/>
    <w:link w:val="HTMLPreformattedChar"/>
    <w:unhideWhenUsed/>
    <w:rsid w:val="000456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045660"/>
    <w:rPr>
      <w:rFonts w:ascii="Courier New" w:hAnsi="Courier New" w:cs="Courier New"/>
    </w:rPr>
  </w:style>
  <w:style w:type="paragraph" w:styleId="NormalWeb">
    <w:name w:val="Normal (Web)"/>
    <w:basedOn w:val="Normal"/>
    <w:unhideWhenUsed/>
    <w:rsid w:val="00045660"/>
    <w:pPr>
      <w:widowControl w:val="0"/>
      <w:autoSpaceDE w:val="0"/>
      <w:autoSpaceDN w:val="0"/>
      <w:adjustRightInd w:val="0"/>
    </w:pPr>
    <w:rPr>
      <w:sz w:val="24"/>
    </w:rPr>
  </w:style>
  <w:style w:type="paragraph" w:styleId="Index1">
    <w:name w:val="index 1"/>
    <w:basedOn w:val="Normal"/>
    <w:next w:val="Normal"/>
    <w:autoRedefine/>
    <w:unhideWhenUsed/>
    <w:rsid w:val="00045660"/>
    <w:pPr>
      <w:widowControl w:val="0"/>
      <w:autoSpaceDE w:val="0"/>
      <w:autoSpaceDN w:val="0"/>
      <w:adjustRightInd w:val="0"/>
      <w:ind w:left="260" w:hanging="260"/>
    </w:pPr>
  </w:style>
  <w:style w:type="paragraph" w:styleId="Index2">
    <w:name w:val="index 2"/>
    <w:basedOn w:val="Normal"/>
    <w:next w:val="Normal"/>
    <w:autoRedefine/>
    <w:unhideWhenUsed/>
    <w:rsid w:val="00045660"/>
    <w:pPr>
      <w:widowControl w:val="0"/>
      <w:autoSpaceDE w:val="0"/>
      <w:autoSpaceDN w:val="0"/>
      <w:adjustRightInd w:val="0"/>
      <w:ind w:left="520" w:hanging="260"/>
    </w:pPr>
  </w:style>
  <w:style w:type="paragraph" w:styleId="Index3">
    <w:name w:val="index 3"/>
    <w:basedOn w:val="Normal"/>
    <w:next w:val="Normal"/>
    <w:autoRedefine/>
    <w:unhideWhenUsed/>
    <w:rsid w:val="00045660"/>
    <w:pPr>
      <w:widowControl w:val="0"/>
      <w:autoSpaceDE w:val="0"/>
      <w:autoSpaceDN w:val="0"/>
      <w:adjustRightInd w:val="0"/>
      <w:ind w:left="780" w:hanging="260"/>
    </w:pPr>
  </w:style>
  <w:style w:type="paragraph" w:styleId="Index4">
    <w:name w:val="index 4"/>
    <w:basedOn w:val="Normal"/>
    <w:next w:val="Normal"/>
    <w:autoRedefine/>
    <w:unhideWhenUsed/>
    <w:rsid w:val="00045660"/>
    <w:pPr>
      <w:widowControl w:val="0"/>
      <w:autoSpaceDE w:val="0"/>
      <w:autoSpaceDN w:val="0"/>
      <w:adjustRightInd w:val="0"/>
      <w:ind w:left="1040" w:hanging="260"/>
    </w:pPr>
  </w:style>
  <w:style w:type="paragraph" w:styleId="Index5">
    <w:name w:val="index 5"/>
    <w:basedOn w:val="Normal"/>
    <w:next w:val="Normal"/>
    <w:autoRedefine/>
    <w:unhideWhenUsed/>
    <w:rsid w:val="00045660"/>
    <w:pPr>
      <w:widowControl w:val="0"/>
      <w:autoSpaceDE w:val="0"/>
      <w:autoSpaceDN w:val="0"/>
      <w:adjustRightInd w:val="0"/>
      <w:ind w:left="1300" w:hanging="260"/>
    </w:pPr>
  </w:style>
  <w:style w:type="paragraph" w:styleId="Index6">
    <w:name w:val="index 6"/>
    <w:basedOn w:val="Normal"/>
    <w:next w:val="Normal"/>
    <w:autoRedefine/>
    <w:unhideWhenUsed/>
    <w:rsid w:val="00045660"/>
    <w:pPr>
      <w:widowControl w:val="0"/>
      <w:autoSpaceDE w:val="0"/>
      <w:autoSpaceDN w:val="0"/>
      <w:adjustRightInd w:val="0"/>
      <w:ind w:left="1560" w:hanging="260"/>
    </w:pPr>
  </w:style>
  <w:style w:type="paragraph" w:styleId="Index7">
    <w:name w:val="index 7"/>
    <w:basedOn w:val="Normal"/>
    <w:next w:val="Normal"/>
    <w:autoRedefine/>
    <w:unhideWhenUsed/>
    <w:rsid w:val="00045660"/>
    <w:pPr>
      <w:widowControl w:val="0"/>
      <w:autoSpaceDE w:val="0"/>
      <w:autoSpaceDN w:val="0"/>
      <w:adjustRightInd w:val="0"/>
      <w:ind w:left="1820" w:hanging="260"/>
    </w:pPr>
  </w:style>
  <w:style w:type="paragraph" w:styleId="Index8">
    <w:name w:val="index 8"/>
    <w:basedOn w:val="Normal"/>
    <w:next w:val="Normal"/>
    <w:autoRedefine/>
    <w:unhideWhenUsed/>
    <w:rsid w:val="00045660"/>
    <w:pPr>
      <w:widowControl w:val="0"/>
      <w:autoSpaceDE w:val="0"/>
      <w:autoSpaceDN w:val="0"/>
      <w:adjustRightInd w:val="0"/>
      <w:ind w:left="2080" w:hanging="260"/>
    </w:pPr>
  </w:style>
  <w:style w:type="paragraph" w:styleId="Index9">
    <w:name w:val="index 9"/>
    <w:basedOn w:val="Normal"/>
    <w:next w:val="Normal"/>
    <w:autoRedefine/>
    <w:unhideWhenUsed/>
    <w:rsid w:val="00045660"/>
    <w:pPr>
      <w:widowControl w:val="0"/>
      <w:autoSpaceDE w:val="0"/>
      <w:autoSpaceDN w:val="0"/>
      <w:adjustRightInd w:val="0"/>
      <w:ind w:left="2340" w:hanging="260"/>
    </w:pPr>
  </w:style>
  <w:style w:type="paragraph" w:styleId="TOC1">
    <w:name w:val="toc 1"/>
    <w:basedOn w:val="Normal"/>
    <w:next w:val="Normal"/>
    <w:autoRedefine/>
    <w:unhideWhenUsed/>
    <w:rsid w:val="00045660"/>
    <w:pPr>
      <w:widowControl w:val="0"/>
      <w:autoSpaceDE w:val="0"/>
      <w:autoSpaceDN w:val="0"/>
      <w:adjustRightInd w:val="0"/>
    </w:pPr>
  </w:style>
  <w:style w:type="paragraph" w:styleId="TOC2">
    <w:name w:val="toc 2"/>
    <w:basedOn w:val="Normal"/>
    <w:next w:val="Normal"/>
    <w:autoRedefine/>
    <w:unhideWhenUsed/>
    <w:rsid w:val="00045660"/>
    <w:pPr>
      <w:widowControl w:val="0"/>
      <w:autoSpaceDE w:val="0"/>
      <w:autoSpaceDN w:val="0"/>
      <w:adjustRightInd w:val="0"/>
      <w:ind w:left="260"/>
    </w:pPr>
  </w:style>
  <w:style w:type="paragraph" w:styleId="TOC3">
    <w:name w:val="toc 3"/>
    <w:basedOn w:val="Normal"/>
    <w:next w:val="Normal"/>
    <w:autoRedefine/>
    <w:unhideWhenUsed/>
    <w:rsid w:val="00045660"/>
    <w:pPr>
      <w:widowControl w:val="0"/>
      <w:autoSpaceDE w:val="0"/>
      <w:autoSpaceDN w:val="0"/>
      <w:adjustRightInd w:val="0"/>
      <w:ind w:left="520"/>
    </w:pPr>
  </w:style>
  <w:style w:type="paragraph" w:styleId="TOC4">
    <w:name w:val="toc 4"/>
    <w:basedOn w:val="Normal"/>
    <w:next w:val="Normal"/>
    <w:autoRedefine/>
    <w:unhideWhenUsed/>
    <w:rsid w:val="00045660"/>
    <w:pPr>
      <w:widowControl w:val="0"/>
      <w:autoSpaceDE w:val="0"/>
      <w:autoSpaceDN w:val="0"/>
      <w:adjustRightInd w:val="0"/>
      <w:ind w:left="780"/>
    </w:pPr>
  </w:style>
  <w:style w:type="paragraph" w:styleId="TOC5">
    <w:name w:val="toc 5"/>
    <w:basedOn w:val="Normal"/>
    <w:next w:val="Normal"/>
    <w:autoRedefine/>
    <w:unhideWhenUsed/>
    <w:rsid w:val="00045660"/>
    <w:pPr>
      <w:widowControl w:val="0"/>
      <w:autoSpaceDE w:val="0"/>
      <w:autoSpaceDN w:val="0"/>
      <w:adjustRightInd w:val="0"/>
      <w:ind w:left="1040"/>
    </w:pPr>
  </w:style>
  <w:style w:type="paragraph" w:styleId="TOC6">
    <w:name w:val="toc 6"/>
    <w:basedOn w:val="Normal"/>
    <w:next w:val="Normal"/>
    <w:autoRedefine/>
    <w:unhideWhenUsed/>
    <w:rsid w:val="00045660"/>
    <w:pPr>
      <w:widowControl w:val="0"/>
      <w:autoSpaceDE w:val="0"/>
      <w:autoSpaceDN w:val="0"/>
      <w:adjustRightInd w:val="0"/>
      <w:ind w:left="1300"/>
    </w:pPr>
  </w:style>
  <w:style w:type="paragraph" w:styleId="TOC7">
    <w:name w:val="toc 7"/>
    <w:basedOn w:val="Normal"/>
    <w:next w:val="Normal"/>
    <w:autoRedefine/>
    <w:unhideWhenUsed/>
    <w:rsid w:val="00045660"/>
    <w:pPr>
      <w:widowControl w:val="0"/>
      <w:autoSpaceDE w:val="0"/>
      <w:autoSpaceDN w:val="0"/>
      <w:adjustRightInd w:val="0"/>
      <w:ind w:left="1560"/>
    </w:pPr>
  </w:style>
  <w:style w:type="paragraph" w:styleId="TOC8">
    <w:name w:val="toc 8"/>
    <w:basedOn w:val="Normal"/>
    <w:next w:val="Normal"/>
    <w:autoRedefine/>
    <w:unhideWhenUsed/>
    <w:rsid w:val="00045660"/>
    <w:pPr>
      <w:widowControl w:val="0"/>
      <w:autoSpaceDE w:val="0"/>
      <w:autoSpaceDN w:val="0"/>
      <w:adjustRightInd w:val="0"/>
      <w:ind w:left="1820"/>
    </w:pPr>
  </w:style>
  <w:style w:type="paragraph" w:styleId="TOC9">
    <w:name w:val="toc 9"/>
    <w:basedOn w:val="Normal"/>
    <w:next w:val="Normal"/>
    <w:autoRedefine/>
    <w:unhideWhenUsed/>
    <w:rsid w:val="00045660"/>
    <w:pPr>
      <w:widowControl w:val="0"/>
      <w:autoSpaceDE w:val="0"/>
      <w:autoSpaceDN w:val="0"/>
      <w:adjustRightInd w:val="0"/>
      <w:ind w:left="2080"/>
    </w:pPr>
  </w:style>
  <w:style w:type="paragraph" w:styleId="NormalIndent">
    <w:name w:val="Normal Indent"/>
    <w:basedOn w:val="Normal"/>
    <w:unhideWhenUsed/>
    <w:rsid w:val="00045660"/>
    <w:pPr>
      <w:widowControl w:val="0"/>
      <w:autoSpaceDE w:val="0"/>
      <w:autoSpaceDN w:val="0"/>
      <w:adjustRightInd w:val="0"/>
      <w:ind w:left="720"/>
    </w:pPr>
  </w:style>
  <w:style w:type="character" w:customStyle="1" w:styleId="FootnoteTextChar3">
    <w:name w:val="Footnote Text Char3"/>
    <w:aliases w:val="Style 13 Char,fn Char,Footnote Text Char1 Char1,Footnote Text Char Char Char1,Footnote Text Char1 Char Char,Footnote Text Char Char Char Char,ft Char Char,Footnote Text Char3 Char Char Char Char,Footnote Text Char2 Char1,ft Char1"/>
    <w:link w:val="FootnoteText"/>
    <w:locked/>
    <w:rsid w:val="00045660"/>
    <w:rPr>
      <w:sz w:val="26"/>
    </w:rPr>
  </w:style>
  <w:style w:type="character" w:customStyle="1" w:styleId="FootnoteTextChar">
    <w:name w:val="Footnote Text Char"/>
    <w:aliases w:val="Style 13 Char1,fn Char1,Footnote Text Char1 Char2,Footnote Text Char Char Char2,Footnote Text Char1 Char Char1,Footnote Text Char Char Char Char1,ft Char Char1,Footnote Text Char3 Char Char Char Char1,Footnote Text Char2 Char,ft Char2"/>
    <w:basedOn w:val="DefaultParagraphFont"/>
    <w:uiPriority w:val="99"/>
    <w:semiHidden/>
    <w:rsid w:val="00045660"/>
  </w:style>
  <w:style w:type="paragraph" w:styleId="CommentText">
    <w:name w:val="annotation text"/>
    <w:basedOn w:val="Normal"/>
    <w:link w:val="CommentTextChar"/>
    <w:unhideWhenUsed/>
    <w:rsid w:val="00045660"/>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045660"/>
  </w:style>
  <w:style w:type="paragraph" w:styleId="Header">
    <w:name w:val="header"/>
    <w:basedOn w:val="Normal"/>
    <w:link w:val="HeaderChar"/>
    <w:unhideWhenUsed/>
    <w:rsid w:val="00045660"/>
    <w:pPr>
      <w:widowControl w:val="0"/>
      <w:tabs>
        <w:tab w:val="right" w:pos="8640"/>
      </w:tabs>
      <w:autoSpaceDE w:val="0"/>
      <w:autoSpaceDN w:val="0"/>
      <w:adjustRightInd w:val="0"/>
      <w:spacing w:after="120"/>
    </w:pPr>
  </w:style>
  <w:style w:type="character" w:customStyle="1" w:styleId="HeaderChar">
    <w:name w:val="Header Char"/>
    <w:basedOn w:val="DefaultParagraphFont"/>
    <w:link w:val="Header"/>
    <w:rsid w:val="00045660"/>
    <w:rPr>
      <w:sz w:val="26"/>
      <w:szCs w:val="24"/>
    </w:rPr>
  </w:style>
  <w:style w:type="paragraph" w:styleId="Footer">
    <w:name w:val="footer"/>
    <w:basedOn w:val="Normal"/>
    <w:link w:val="FooterChar"/>
    <w:unhideWhenUsed/>
    <w:rsid w:val="00045660"/>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045660"/>
    <w:rPr>
      <w:sz w:val="26"/>
      <w:szCs w:val="24"/>
    </w:rPr>
  </w:style>
  <w:style w:type="paragraph" w:styleId="IndexHeading">
    <w:name w:val="index heading"/>
    <w:basedOn w:val="Normal"/>
    <w:next w:val="Index1"/>
    <w:unhideWhenUsed/>
    <w:rsid w:val="00045660"/>
    <w:pPr>
      <w:widowControl w:val="0"/>
      <w:autoSpaceDE w:val="0"/>
      <w:autoSpaceDN w:val="0"/>
      <w:adjustRightInd w:val="0"/>
    </w:pPr>
    <w:rPr>
      <w:rFonts w:ascii="Arial" w:hAnsi="Arial" w:cs="Arial"/>
      <w:b/>
      <w:bCs/>
    </w:rPr>
  </w:style>
  <w:style w:type="paragraph" w:styleId="Caption">
    <w:name w:val="caption"/>
    <w:basedOn w:val="Normal"/>
    <w:next w:val="Normal"/>
    <w:semiHidden/>
    <w:unhideWhenUsed/>
    <w:qFormat/>
    <w:rsid w:val="00045660"/>
    <w:pPr>
      <w:widowControl w:val="0"/>
      <w:autoSpaceDE w:val="0"/>
      <w:autoSpaceDN w:val="0"/>
      <w:adjustRightInd w:val="0"/>
      <w:spacing w:before="120" w:after="120"/>
    </w:pPr>
    <w:rPr>
      <w:b/>
      <w:bCs/>
      <w:sz w:val="20"/>
      <w:szCs w:val="20"/>
    </w:rPr>
  </w:style>
  <w:style w:type="paragraph" w:styleId="TableofFigures">
    <w:name w:val="table of figures"/>
    <w:basedOn w:val="Normal"/>
    <w:next w:val="Normal"/>
    <w:unhideWhenUsed/>
    <w:rsid w:val="00045660"/>
    <w:pPr>
      <w:widowControl w:val="0"/>
      <w:autoSpaceDE w:val="0"/>
      <w:autoSpaceDN w:val="0"/>
      <w:adjustRightInd w:val="0"/>
      <w:ind w:left="520" w:hanging="520"/>
    </w:pPr>
  </w:style>
  <w:style w:type="paragraph" w:styleId="EnvelopeAddress">
    <w:name w:val="envelope address"/>
    <w:basedOn w:val="Normal"/>
    <w:unhideWhenUsed/>
    <w:rsid w:val="00045660"/>
    <w:pPr>
      <w:framePr w:w="7920" w:h="1980"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unhideWhenUsed/>
    <w:rsid w:val="00045660"/>
    <w:pPr>
      <w:widowControl w:val="0"/>
      <w:autoSpaceDE w:val="0"/>
      <w:autoSpaceDN w:val="0"/>
      <w:adjustRightInd w:val="0"/>
    </w:pPr>
    <w:rPr>
      <w:rFonts w:ascii="Arial" w:hAnsi="Arial" w:cs="Arial"/>
      <w:sz w:val="20"/>
      <w:szCs w:val="20"/>
    </w:rPr>
  </w:style>
  <w:style w:type="paragraph" w:styleId="EndnoteText">
    <w:name w:val="endnote text"/>
    <w:basedOn w:val="Normal"/>
    <w:link w:val="EndnoteTextChar"/>
    <w:unhideWhenUsed/>
    <w:rsid w:val="00045660"/>
    <w:pPr>
      <w:widowControl w:val="0"/>
      <w:autoSpaceDE w:val="0"/>
      <w:autoSpaceDN w:val="0"/>
      <w:adjustRightInd w:val="0"/>
    </w:pPr>
    <w:rPr>
      <w:sz w:val="20"/>
      <w:szCs w:val="20"/>
    </w:rPr>
  </w:style>
  <w:style w:type="character" w:customStyle="1" w:styleId="EndnoteTextChar">
    <w:name w:val="Endnote Text Char"/>
    <w:basedOn w:val="DefaultParagraphFont"/>
    <w:link w:val="EndnoteText"/>
    <w:rsid w:val="00045660"/>
  </w:style>
  <w:style w:type="paragraph" w:styleId="TableofAuthorities">
    <w:name w:val="table of authorities"/>
    <w:basedOn w:val="Normal"/>
    <w:next w:val="Normal"/>
    <w:unhideWhenUsed/>
    <w:rsid w:val="00045660"/>
    <w:pPr>
      <w:widowControl w:val="0"/>
      <w:autoSpaceDE w:val="0"/>
      <w:autoSpaceDN w:val="0"/>
      <w:adjustRightInd w:val="0"/>
      <w:ind w:left="260" w:hanging="260"/>
    </w:pPr>
  </w:style>
  <w:style w:type="paragraph" w:styleId="MacroText">
    <w:name w:val="macro"/>
    <w:link w:val="MacroTextChar"/>
    <w:unhideWhenUsed/>
    <w:rsid w:val="0004566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045660"/>
    <w:rPr>
      <w:rFonts w:ascii="Courier New" w:hAnsi="Courier New" w:cs="Courier New"/>
    </w:rPr>
  </w:style>
  <w:style w:type="paragraph" w:styleId="TOAHeading">
    <w:name w:val="toa heading"/>
    <w:basedOn w:val="Normal"/>
    <w:next w:val="Normal"/>
    <w:unhideWhenUsed/>
    <w:rsid w:val="00045660"/>
    <w:pPr>
      <w:widowControl w:val="0"/>
      <w:autoSpaceDE w:val="0"/>
      <w:autoSpaceDN w:val="0"/>
      <w:adjustRightInd w:val="0"/>
      <w:spacing w:before="120"/>
    </w:pPr>
    <w:rPr>
      <w:rFonts w:ascii="Arial" w:hAnsi="Arial" w:cs="Arial"/>
      <w:b/>
      <w:bCs/>
      <w:sz w:val="24"/>
    </w:rPr>
  </w:style>
  <w:style w:type="paragraph" w:styleId="List">
    <w:name w:val="List"/>
    <w:basedOn w:val="Normal"/>
    <w:unhideWhenUsed/>
    <w:rsid w:val="00045660"/>
    <w:pPr>
      <w:widowControl w:val="0"/>
      <w:autoSpaceDE w:val="0"/>
      <w:autoSpaceDN w:val="0"/>
      <w:adjustRightInd w:val="0"/>
      <w:ind w:left="360" w:hanging="360"/>
    </w:pPr>
  </w:style>
  <w:style w:type="paragraph" w:styleId="ListBullet">
    <w:name w:val="List Bullet"/>
    <w:basedOn w:val="Normal"/>
    <w:unhideWhenUsed/>
    <w:rsid w:val="00045660"/>
    <w:pPr>
      <w:widowControl w:val="0"/>
      <w:numPr>
        <w:numId w:val="3"/>
      </w:numPr>
      <w:tabs>
        <w:tab w:val="num" w:pos="360"/>
      </w:tabs>
      <w:autoSpaceDE w:val="0"/>
      <w:autoSpaceDN w:val="0"/>
      <w:adjustRightInd w:val="0"/>
      <w:ind w:left="360"/>
    </w:pPr>
  </w:style>
  <w:style w:type="paragraph" w:styleId="ListNumber">
    <w:name w:val="List Number"/>
    <w:basedOn w:val="Normal"/>
    <w:unhideWhenUsed/>
    <w:rsid w:val="00045660"/>
    <w:pPr>
      <w:widowControl w:val="0"/>
      <w:numPr>
        <w:numId w:val="4"/>
      </w:numPr>
      <w:tabs>
        <w:tab w:val="num" w:pos="360"/>
      </w:tabs>
      <w:autoSpaceDE w:val="0"/>
      <w:autoSpaceDN w:val="0"/>
      <w:adjustRightInd w:val="0"/>
      <w:ind w:left="360"/>
    </w:pPr>
  </w:style>
  <w:style w:type="paragraph" w:styleId="List2">
    <w:name w:val="List 2"/>
    <w:basedOn w:val="Normal"/>
    <w:unhideWhenUsed/>
    <w:rsid w:val="00045660"/>
    <w:pPr>
      <w:widowControl w:val="0"/>
      <w:autoSpaceDE w:val="0"/>
      <w:autoSpaceDN w:val="0"/>
      <w:adjustRightInd w:val="0"/>
      <w:ind w:left="720" w:hanging="360"/>
    </w:pPr>
  </w:style>
  <w:style w:type="paragraph" w:styleId="List3">
    <w:name w:val="List 3"/>
    <w:basedOn w:val="Normal"/>
    <w:unhideWhenUsed/>
    <w:rsid w:val="00045660"/>
    <w:pPr>
      <w:widowControl w:val="0"/>
      <w:autoSpaceDE w:val="0"/>
      <w:autoSpaceDN w:val="0"/>
      <w:adjustRightInd w:val="0"/>
      <w:ind w:left="1080" w:hanging="360"/>
    </w:pPr>
  </w:style>
  <w:style w:type="paragraph" w:styleId="List4">
    <w:name w:val="List 4"/>
    <w:basedOn w:val="Normal"/>
    <w:unhideWhenUsed/>
    <w:rsid w:val="00045660"/>
    <w:pPr>
      <w:widowControl w:val="0"/>
      <w:numPr>
        <w:numId w:val="5"/>
      </w:numPr>
      <w:autoSpaceDE w:val="0"/>
      <w:autoSpaceDN w:val="0"/>
      <w:adjustRightInd w:val="0"/>
      <w:ind w:left="1440"/>
    </w:pPr>
  </w:style>
  <w:style w:type="paragraph" w:styleId="List5">
    <w:name w:val="List 5"/>
    <w:basedOn w:val="Normal"/>
    <w:unhideWhenUsed/>
    <w:rsid w:val="00045660"/>
    <w:pPr>
      <w:widowControl w:val="0"/>
      <w:numPr>
        <w:numId w:val="6"/>
      </w:numPr>
      <w:autoSpaceDE w:val="0"/>
      <w:autoSpaceDN w:val="0"/>
      <w:adjustRightInd w:val="0"/>
      <w:ind w:left="1800"/>
    </w:pPr>
  </w:style>
  <w:style w:type="paragraph" w:styleId="ListBullet2">
    <w:name w:val="List Bullet 2"/>
    <w:basedOn w:val="Normal"/>
    <w:unhideWhenUsed/>
    <w:rsid w:val="00045660"/>
    <w:pPr>
      <w:widowControl w:val="0"/>
      <w:numPr>
        <w:numId w:val="7"/>
      </w:numPr>
      <w:tabs>
        <w:tab w:val="num" w:pos="720"/>
      </w:tabs>
      <w:autoSpaceDE w:val="0"/>
      <w:autoSpaceDN w:val="0"/>
      <w:adjustRightInd w:val="0"/>
      <w:ind w:left="720"/>
    </w:pPr>
  </w:style>
  <w:style w:type="paragraph" w:styleId="ListBullet3">
    <w:name w:val="List Bullet 3"/>
    <w:basedOn w:val="Normal"/>
    <w:unhideWhenUsed/>
    <w:rsid w:val="00045660"/>
    <w:pPr>
      <w:widowControl w:val="0"/>
      <w:numPr>
        <w:numId w:val="8"/>
      </w:numPr>
      <w:tabs>
        <w:tab w:val="num" w:pos="1080"/>
      </w:tabs>
      <w:autoSpaceDE w:val="0"/>
      <w:autoSpaceDN w:val="0"/>
      <w:adjustRightInd w:val="0"/>
      <w:ind w:left="1080"/>
    </w:pPr>
  </w:style>
  <w:style w:type="paragraph" w:styleId="ListBullet4">
    <w:name w:val="List Bullet 4"/>
    <w:basedOn w:val="Normal"/>
    <w:unhideWhenUsed/>
    <w:rsid w:val="00045660"/>
    <w:pPr>
      <w:widowControl w:val="0"/>
      <w:numPr>
        <w:numId w:val="6"/>
      </w:numPr>
      <w:autoSpaceDE w:val="0"/>
      <w:autoSpaceDN w:val="0"/>
      <w:adjustRightInd w:val="0"/>
    </w:pPr>
  </w:style>
  <w:style w:type="paragraph" w:styleId="ListBullet5">
    <w:name w:val="List Bullet 5"/>
    <w:basedOn w:val="Normal"/>
    <w:unhideWhenUsed/>
    <w:rsid w:val="00045660"/>
    <w:pPr>
      <w:widowControl w:val="0"/>
      <w:numPr>
        <w:numId w:val="7"/>
      </w:numPr>
      <w:autoSpaceDE w:val="0"/>
      <w:autoSpaceDN w:val="0"/>
      <w:adjustRightInd w:val="0"/>
    </w:pPr>
  </w:style>
  <w:style w:type="paragraph" w:styleId="ListNumber2">
    <w:name w:val="List Number 2"/>
    <w:basedOn w:val="Normal"/>
    <w:unhideWhenUsed/>
    <w:rsid w:val="00045660"/>
    <w:pPr>
      <w:widowControl w:val="0"/>
      <w:numPr>
        <w:numId w:val="9"/>
      </w:numPr>
      <w:tabs>
        <w:tab w:val="num" w:pos="720"/>
      </w:tabs>
      <w:autoSpaceDE w:val="0"/>
      <w:autoSpaceDN w:val="0"/>
      <w:adjustRightInd w:val="0"/>
      <w:ind w:left="720"/>
    </w:pPr>
  </w:style>
  <w:style w:type="paragraph" w:styleId="ListNumber3">
    <w:name w:val="List Number 3"/>
    <w:basedOn w:val="Normal"/>
    <w:unhideWhenUsed/>
    <w:rsid w:val="00045660"/>
    <w:pPr>
      <w:widowControl w:val="0"/>
      <w:numPr>
        <w:numId w:val="10"/>
      </w:numPr>
      <w:tabs>
        <w:tab w:val="num" w:pos="1080"/>
      </w:tabs>
      <w:autoSpaceDE w:val="0"/>
      <w:autoSpaceDN w:val="0"/>
      <w:adjustRightInd w:val="0"/>
      <w:ind w:left="1080"/>
    </w:pPr>
  </w:style>
  <w:style w:type="paragraph" w:styleId="ListNumber4">
    <w:name w:val="List Number 4"/>
    <w:basedOn w:val="Normal"/>
    <w:unhideWhenUsed/>
    <w:rsid w:val="00045660"/>
    <w:pPr>
      <w:widowControl w:val="0"/>
      <w:numPr>
        <w:numId w:val="8"/>
      </w:numPr>
      <w:autoSpaceDE w:val="0"/>
      <w:autoSpaceDN w:val="0"/>
      <w:adjustRightInd w:val="0"/>
    </w:pPr>
  </w:style>
  <w:style w:type="paragraph" w:styleId="ListNumber5">
    <w:name w:val="List Number 5"/>
    <w:basedOn w:val="Normal"/>
    <w:unhideWhenUsed/>
    <w:rsid w:val="00045660"/>
    <w:pPr>
      <w:widowControl w:val="0"/>
      <w:numPr>
        <w:numId w:val="9"/>
      </w:numPr>
      <w:autoSpaceDE w:val="0"/>
      <w:autoSpaceDN w:val="0"/>
      <w:adjustRightInd w:val="0"/>
    </w:pPr>
  </w:style>
  <w:style w:type="paragraph" w:styleId="Title">
    <w:name w:val="Title"/>
    <w:basedOn w:val="Normal"/>
    <w:link w:val="TitleChar"/>
    <w:qFormat/>
    <w:rsid w:val="00045660"/>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45660"/>
    <w:rPr>
      <w:rFonts w:ascii="Arial" w:hAnsi="Arial" w:cs="Arial"/>
      <w:b/>
      <w:bCs/>
      <w:kern w:val="28"/>
      <w:sz w:val="32"/>
      <w:szCs w:val="32"/>
    </w:rPr>
  </w:style>
  <w:style w:type="paragraph" w:styleId="Closing">
    <w:name w:val="Closing"/>
    <w:basedOn w:val="Normal"/>
    <w:link w:val="ClosingChar"/>
    <w:unhideWhenUsed/>
    <w:rsid w:val="00045660"/>
    <w:pPr>
      <w:widowControl w:val="0"/>
      <w:autoSpaceDE w:val="0"/>
      <w:autoSpaceDN w:val="0"/>
      <w:adjustRightInd w:val="0"/>
      <w:ind w:left="4320"/>
    </w:pPr>
  </w:style>
  <w:style w:type="character" w:customStyle="1" w:styleId="ClosingChar">
    <w:name w:val="Closing Char"/>
    <w:basedOn w:val="DefaultParagraphFont"/>
    <w:link w:val="Closing"/>
    <w:rsid w:val="00045660"/>
    <w:rPr>
      <w:sz w:val="26"/>
      <w:szCs w:val="24"/>
    </w:rPr>
  </w:style>
  <w:style w:type="paragraph" w:styleId="Signature">
    <w:name w:val="Signature"/>
    <w:basedOn w:val="Normal"/>
    <w:link w:val="SignatureChar"/>
    <w:unhideWhenUsed/>
    <w:rsid w:val="00045660"/>
    <w:pPr>
      <w:widowControl w:val="0"/>
      <w:autoSpaceDE w:val="0"/>
      <w:autoSpaceDN w:val="0"/>
      <w:adjustRightInd w:val="0"/>
      <w:ind w:left="4320"/>
    </w:pPr>
  </w:style>
  <w:style w:type="character" w:customStyle="1" w:styleId="SignatureChar">
    <w:name w:val="Signature Char"/>
    <w:basedOn w:val="DefaultParagraphFont"/>
    <w:link w:val="Signature"/>
    <w:rsid w:val="00045660"/>
    <w:rPr>
      <w:sz w:val="26"/>
      <w:szCs w:val="24"/>
    </w:rPr>
  </w:style>
  <w:style w:type="paragraph" w:styleId="BodyText">
    <w:name w:val="Body Text"/>
    <w:basedOn w:val="Normal"/>
    <w:link w:val="BodyTextChar"/>
    <w:unhideWhenUsed/>
    <w:rsid w:val="00045660"/>
    <w:pPr>
      <w:widowControl w:val="0"/>
      <w:autoSpaceDE w:val="0"/>
      <w:autoSpaceDN w:val="0"/>
      <w:adjustRightInd w:val="0"/>
      <w:spacing w:after="120"/>
    </w:pPr>
  </w:style>
  <w:style w:type="character" w:customStyle="1" w:styleId="BodyTextChar">
    <w:name w:val="Body Text Char"/>
    <w:basedOn w:val="DefaultParagraphFont"/>
    <w:link w:val="BodyText"/>
    <w:rsid w:val="00045660"/>
    <w:rPr>
      <w:sz w:val="26"/>
      <w:szCs w:val="24"/>
    </w:rPr>
  </w:style>
  <w:style w:type="paragraph" w:styleId="BodyTextIndent">
    <w:name w:val="Body Text Indent"/>
    <w:basedOn w:val="Normal"/>
    <w:link w:val="BodyTextIndentChar"/>
    <w:unhideWhenUsed/>
    <w:rsid w:val="00045660"/>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045660"/>
    <w:rPr>
      <w:sz w:val="26"/>
      <w:szCs w:val="24"/>
    </w:rPr>
  </w:style>
  <w:style w:type="paragraph" w:styleId="ListContinue">
    <w:name w:val="List Continue"/>
    <w:basedOn w:val="Normal"/>
    <w:unhideWhenUsed/>
    <w:rsid w:val="00045660"/>
    <w:pPr>
      <w:autoSpaceDN w:val="0"/>
      <w:spacing w:after="120"/>
      <w:ind w:left="360"/>
    </w:pPr>
  </w:style>
  <w:style w:type="paragraph" w:styleId="ListContinue2">
    <w:name w:val="List Continue 2"/>
    <w:basedOn w:val="Normal"/>
    <w:unhideWhenUsed/>
    <w:rsid w:val="00045660"/>
    <w:pPr>
      <w:widowControl w:val="0"/>
      <w:autoSpaceDE w:val="0"/>
      <w:autoSpaceDN w:val="0"/>
      <w:adjustRightInd w:val="0"/>
      <w:spacing w:after="120"/>
      <w:ind w:left="720"/>
    </w:pPr>
  </w:style>
  <w:style w:type="paragraph" w:styleId="ListContinue3">
    <w:name w:val="List Continue 3"/>
    <w:basedOn w:val="Normal"/>
    <w:unhideWhenUsed/>
    <w:rsid w:val="00045660"/>
    <w:pPr>
      <w:widowControl w:val="0"/>
      <w:autoSpaceDE w:val="0"/>
      <w:autoSpaceDN w:val="0"/>
      <w:adjustRightInd w:val="0"/>
      <w:spacing w:after="120"/>
      <w:ind w:left="1080"/>
    </w:pPr>
  </w:style>
  <w:style w:type="paragraph" w:styleId="ListContinue4">
    <w:name w:val="List Continue 4"/>
    <w:basedOn w:val="Normal"/>
    <w:unhideWhenUsed/>
    <w:rsid w:val="00045660"/>
    <w:pPr>
      <w:widowControl w:val="0"/>
      <w:numPr>
        <w:numId w:val="11"/>
      </w:numPr>
      <w:autoSpaceDE w:val="0"/>
      <w:autoSpaceDN w:val="0"/>
      <w:adjustRightInd w:val="0"/>
      <w:spacing w:after="120"/>
      <w:ind w:left="1440" w:firstLine="0"/>
    </w:pPr>
  </w:style>
  <w:style w:type="paragraph" w:styleId="ListContinue5">
    <w:name w:val="List Continue 5"/>
    <w:basedOn w:val="Normal"/>
    <w:unhideWhenUsed/>
    <w:rsid w:val="00045660"/>
    <w:pPr>
      <w:widowControl w:val="0"/>
      <w:numPr>
        <w:numId w:val="12"/>
      </w:numPr>
      <w:autoSpaceDE w:val="0"/>
      <w:autoSpaceDN w:val="0"/>
      <w:adjustRightInd w:val="0"/>
      <w:spacing w:after="120"/>
      <w:ind w:left="1800" w:firstLine="0"/>
    </w:pPr>
  </w:style>
  <w:style w:type="paragraph" w:styleId="MessageHeader">
    <w:name w:val="Message Header"/>
    <w:basedOn w:val="Normal"/>
    <w:link w:val="MessageHeaderChar"/>
    <w:unhideWhenUsed/>
    <w:rsid w:val="00045660"/>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 w:val="24"/>
    </w:rPr>
  </w:style>
  <w:style w:type="character" w:customStyle="1" w:styleId="MessageHeaderChar">
    <w:name w:val="Message Header Char"/>
    <w:basedOn w:val="DefaultParagraphFont"/>
    <w:link w:val="MessageHeader"/>
    <w:rsid w:val="00045660"/>
    <w:rPr>
      <w:rFonts w:ascii="Arial" w:hAnsi="Arial" w:cs="Arial"/>
      <w:sz w:val="24"/>
      <w:szCs w:val="24"/>
      <w:shd w:val="pct20" w:color="auto" w:fill="auto"/>
    </w:rPr>
  </w:style>
  <w:style w:type="paragraph" w:styleId="Subtitle">
    <w:name w:val="Subtitle"/>
    <w:basedOn w:val="Normal"/>
    <w:link w:val="SubtitleChar"/>
    <w:qFormat/>
    <w:rsid w:val="00045660"/>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045660"/>
    <w:rPr>
      <w:rFonts w:ascii="Arial" w:hAnsi="Arial" w:cs="Arial"/>
      <w:sz w:val="24"/>
      <w:szCs w:val="24"/>
    </w:rPr>
  </w:style>
  <w:style w:type="paragraph" w:styleId="Salutation">
    <w:name w:val="Salutation"/>
    <w:basedOn w:val="Normal"/>
    <w:next w:val="Normal"/>
    <w:link w:val="SalutationChar"/>
    <w:unhideWhenUsed/>
    <w:rsid w:val="00045660"/>
    <w:pPr>
      <w:widowControl w:val="0"/>
      <w:autoSpaceDE w:val="0"/>
      <w:autoSpaceDN w:val="0"/>
      <w:adjustRightInd w:val="0"/>
    </w:pPr>
  </w:style>
  <w:style w:type="character" w:customStyle="1" w:styleId="SalutationChar">
    <w:name w:val="Salutation Char"/>
    <w:basedOn w:val="DefaultParagraphFont"/>
    <w:link w:val="Salutation"/>
    <w:rsid w:val="00045660"/>
    <w:rPr>
      <w:sz w:val="26"/>
      <w:szCs w:val="24"/>
    </w:rPr>
  </w:style>
  <w:style w:type="paragraph" w:styleId="Date">
    <w:name w:val="Date"/>
    <w:basedOn w:val="Normal"/>
    <w:next w:val="Normal"/>
    <w:link w:val="DateChar"/>
    <w:unhideWhenUsed/>
    <w:rsid w:val="00045660"/>
    <w:pPr>
      <w:widowControl w:val="0"/>
      <w:autoSpaceDE w:val="0"/>
      <w:autoSpaceDN w:val="0"/>
      <w:adjustRightInd w:val="0"/>
    </w:pPr>
  </w:style>
  <w:style w:type="character" w:customStyle="1" w:styleId="DateChar">
    <w:name w:val="Date Char"/>
    <w:basedOn w:val="DefaultParagraphFont"/>
    <w:link w:val="Date"/>
    <w:rsid w:val="00045660"/>
    <w:rPr>
      <w:sz w:val="26"/>
      <w:szCs w:val="24"/>
    </w:rPr>
  </w:style>
  <w:style w:type="paragraph" w:styleId="BodyTextFirstIndent">
    <w:name w:val="Body Text First Indent"/>
    <w:basedOn w:val="BodyText"/>
    <w:link w:val="BodyTextFirstIndentChar"/>
    <w:unhideWhenUsed/>
    <w:rsid w:val="00045660"/>
    <w:pPr>
      <w:ind w:firstLine="210"/>
    </w:pPr>
  </w:style>
  <w:style w:type="character" w:customStyle="1" w:styleId="BodyTextFirstIndentChar">
    <w:name w:val="Body Text First Indent Char"/>
    <w:basedOn w:val="BodyTextChar"/>
    <w:link w:val="BodyTextFirstIndent"/>
    <w:rsid w:val="00045660"/>
    <w:rPr>
      <w:sz w:val="26"/>
      <w:szCs w:val="24"/>
    </w:rPr>
  </w:style>
  <w:style w:type="paragraph" w:styleId="BodyTextFirstIndent2">
    <w:name w:val="Body Text First Indent 2"/>
    <w:basedOn w:val="BodyTextIndent"/>
    <w:link w:val="BodyTextFirstIndent2Char"/>
    <w:unhideWhenUsed/>
    <w:rsid w:val="00045660"/>
    <w:pPr>
      <w:ind w:firstLine="210"/>
    </w:pPr>
  </w:style>
  <w:style w:type="character" w:customStyle="1" w:styleId="BodyTextFirstIndent2Char">
    <w:name w:val="Body Text First Indent 2 Char"/>
    <w:basedOn w:val="BodyTextIndentChar"/>
    <w:link w:val="BodyTextFirstIndent2"/>
    <w:rsid w:val="00045660"/>
    <w:rPr>
      <w:sz w:val="26"/>
      <w:szCs w:val="24"/>
    </w:rPr>
  </w:style>
  <w:style w:type="paragraph" w:styleId="NoteHeading">
    <w:name w:val="Note Heading"/>
    <w:basedOn w:val="Normal"/>
    <w:next w:val="Normal"/>
    <w:link w:val="NoteHeadingChar"/>
    <w:unhideWhenUsed/>
    <w:rsid w:val="00045660"/>
    <w:pPr>
      <w:widowControl w:val="0"/>
      <w:autoSpaceDE w:val="0"/>
      <w:autoSpaceDN w:val="0"/>
      <w:adjustRightInd w:val="0"/>
    </w:pPr>
  </w:style>
  <w:style w:type="character" w:customStyle="1" w:styleId="NoteHeadingChar">
    <w:name w:val="Note Heading Char"/>
    <w:basedOn w:val="DefaultParagraphFont"/>
    <w:link w:val="NoteHeading"/>
    <w:rsid w:val="00045660"/>
    <w:rPr>
      <w:sz w:val="26"/>
      <w:szCs w:val="24"/>
    </w:rPr>
  </w:style>
  <w:style w:type="paragraph" w:styleId="BodyText2">
    <w:name w:val="Body Text 2"/>
    <w:basedOn w:val="Normal"/>
    <w:link w:val="BodyText2Char"/>
    <w:unhideWhenUsed/>
    <w:rsid w:val="00045660"/>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rsid w:val="00045660"/>
    <w:rPr>
      <w:sz w:val="26"/>
      <w:szCs w:val="24"/>
    </w:rPr>
  </w:style>
  <w:style w:type="paragraph" w:styleId="BodyText3">
    <w:name w:val="Body Text 3"/>
    <w:basedOn w:val="Normal"/>
    <w:link w:val="BodyText3Char"/>
    <w:unhideWhenUsed/>
    <w:rsid w:val="0004566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045660"/>
    <w:rPr>
      <w:sz w:val="16"/>
      <w:szCs w:val="16"/>
    </w:rPr>
  </w:style>
  <w:style w:type="paragraph" w:styleId="BodyTextIndent2">
    <w:name w:val="Body Text Indent 2"/>
    <w:basedOn w:val="Normal"/>
    <w:link w:val="BodyTextIndent2Char"/>
    <w:unhideWhenUsed/>
    <w:rsid w:val="00045660"/>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045660"/>
    <w:rPr>
      <w:sz w:val="26"/>
      <w:szCs w:val="24"/>
    </w:rPr>
  </w:style>
  <w:style w:type="paragraph" w:styleId="BodyTextIndent3">
    <w:name w:val="Body Text Indent 3"/>
    <w:basedOn w:val="Normal"/>
    <w:link w:val="BodyTextIndent3Char"/>
    <w:unhideWhenUsed/>
    <w:rsid w:val="00045660"/>
    <w:pPr>
      <w:widowControl w:val="0"/>
      <w:autoSpaceDE w:val="0"/>
      <w:autoSpaceDN w:val="0"/>
      <w:adjustRightInd w:val="0"/>
      <w:spacing w:after="120"/>
      <w:ind w:left="360"/>
    </w:pPr>
    <w:rPr>
      <w:sz w:val="16"/>
      <w:szCs w:val="16"/>
    </w:rPr>
  </w:style>
  <w:style w:type="character" w:customStyle="1" w:styleId="BodyTextIndent3Char">
    <w:name w:val="Body Text Indent 3 Char"/>
    <w:basedOn w:val="DefaultParagraphFont"/>
    <w:link w:val="BodyTextIndent3"/>
    <w:rsid w:val="00045660"/>
    <w:rPr>
      <w:sz w:val="16"/>
      <w:szCs w:val="16"/>
    </w:rPr>
  </w:style>
  <w:style w:type="paragraph" w:styleId="BlockText">
    <w:name w:val="Block Text"/>
    <w:basedOn w:val="Normal"/>
    <w:unhideWhenUsed/>
    <w:rsid w:val="00045660"/>
    <w:pPr>
      <w:widowControl w:val="0"/>
      <w:autoSpaceDE w:val="0"/>
      <w:autoSpaceDN w:val="0"/>
      <w:adjustRightInd w:val="0"/>
      <w:spacing w:after="120"/>
      <w:ind w:left="1440" w:right="1440"/>
    </w:pPr>
  </w:style>
  <w:style w:type="paragraph" w:styleId="DocumentMap">
    <w:name w:val="Document Map"/>
    <w:basedOn w:val="Normal"/>
    <w:link w:val="DocumentMapChar"/>
    <w:unhideWhenUsed/>
    <w:rsid w:val="00045660"/>
    <w:pPr>
      <w:widowControl w:val="0"/>
      <w:shd w:val="clear" w:color="auto" w:fill="000080"/>
      <w:autoSpaceDE w:val="0"/>
      <w:autoSpaceDN w:val="0"/>
      <w:adjustRightInd w:val="0"/>
    </w:pPr>
    <w:rPr>
      <w:rFonts w:ascii="Tahoma" w:hAnsi="Tahoma" w:cs="Tahoma"/>
    </w:rPr>
  </w:style>
  <w:style w:type="character" w:customStyle="1" w:styleId="DocumentMapChar">
    <w:name w:val="Document Map Char"/>
    <w:basedOn w:val="DefaultParagraphFont"/>
    <w:link w:val="DocumentMap"/>
    <w:rsid w:val="00045660"/>
    <w:rPr>
      <w:rFonts w:ascii="Tahoma" w:hAnsi="Tahoma" w:cs="Tahoma"/>
      <w:sz w:val="26"/>
      <w:szCs w:val="24"/>
      <w:shd w:val="clear" w:color="auto" w:fill="000080"/>
    </w:rPr>
  </w:style>
  <w:style w:type="paragraph" w:styleId="PlainText">
    <w:name w:val="Plain Text"/>
    <w:basedOn w:val="Normal"/>
    <w:link w:val="PlainTextChar"/>
    <w:unhideWhenUsed/>
    <w:rsid w:val="00045660"/>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045660"/>
    <w:rPr>
      <w:rFonts w:ascii="Courier New" w:hAnsi="Courier New" w:cs="Courier New"/>
    </w:rPr>
  </w:style>
  <w:style w:type="paragraph" w:styleId="E-mailSignature">
    <w:name w:val="E-mail Signature"/>
    <w:basedOn w:val="Normal"/>
    <w:link w:val="E-mailSignatureChar"/>
    <w:unhideWhenUsed/>
    <w:rsid w:val="00045660"/>
    <w:pPr>
      <w:widowControl w:val="0"/>
      <w:autoSpaceDE w:val="0"/>
      <w:autoSpaceDN w:val="0"/>
      <w:adjustRightInd w:val="0"/>
    </w:pPr>
  </w:style>
  <w:style w:type="character" w:customStyle="1" w:styleId="E-mailSignatureChar">
    <w:name w:val="E-mail Signature Char"/>
    <w:basedOn w:val="DefaultParagraphFont"/>
    <w:link w:val="E-mailSignature"/>
    <w:rsid w:val="00045660"/>
    <w:rPr>
      <w:sz w:val="26"/>
      <w:szCs w:val="24"/>
    </w:rPr>
  </w:style>
  <w:style w:type="paragraph" w:styleId="CommentSubject">
    <w:name w:val="annotation subject"/>
    <w:basedOn w:val="CommentText"/>
    <w:next w:val="CommentText"/>
    <w:link w:val="CommentSubjectChar"/>
    <w:unhideWhenUsed/>
    <w:rsid w:val="00045660"/>
    <w:rPr>
      <w:b/>
      <w:bCs/>
    </w:rPr>
  </w:style>
  <w:style w:type="character" w:customStyle="1" w:styleId="CommentSubjectChar">
    <w:name w:val="Comment Subject Char"/>
    <w:basedOn w:val="CommentTextChar"/>
    <w:link w:val="CommentSubject"/>
    <w:rsid w:val="00045660"/>
    <w:rPr>
      <w:b/>
      <w:bCs/>
    </w:rPr>
  </w:style>
  <w:style w:type="paragraph" w:styleId="BalloonText">
    <w:name w:val="Balloon Text"/>
    <w:basedOn w:val="Normal"/>
    <w:link w:val="BalloonTextChar"/>
    <w:unhideWhenUsed/>
    <w:rsid w:val="00045660"/>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rsid w:val="00045660"/>
    <w:rPr>
      <w:rFonts w:ascii="Tahoma" w:hAnsi="Tahoma" w:cs="Tahoma"/>
      <w:sz w:val="16"/>
      <w:szCs w:val="16"/>
    </w:rPr>
  </w:style>
  <w:style w:type="character" w:customStyle="1" w:styleId="FERCparanumberChar">
    <w:name w:val="FERC paranumber Char"/>
    <w:link w:val="FERCparanumber"/>
    <w:locked/>
    <w:rsid w:val="00045660"/>
    <w:rPr>
      <w:sz w:val="26"/>
      <w:szCs w:val="24"/>
    </w:rPr>
  </w:style>
  <w:style w:type="paragraph" w:customStyle="1" w:styleId="BodyFootnote">
    <w:name w:val="Body Footnote"/>
    <w:basedOn w:val="FootnoteText"/>
    <w:rsid w:val="00045660"/>
    <w:pPr>
      <w:widowControl w:val="0"/>
      <w:autoSpaceDE w:val="0"/>
      <w:autoSpaceDN w:val="0"/>
      <w:adjustRightInd w:val="0"/>
      <w:spacing w:after="240"/>
    </w:pPr>
    <w:rPr>
      <w:szCs w:val="26"/>
    </w:rPr>
  </w:style>
  <w:style w:type="paragraph" w:customStyle="1" w:styleId="Non-TOCStyle">
    <w:name w:val="Non-TOC Style"/>
    <w:basedOn w:val="Normal"/>
    <w:next w:val="FERCparanumber"/>
    <w:rsid w:val="00045660"/>
    <w:pPr>
      <w:widowControl w:val="0"/>
      <w:autoSpaceDE w:val="0"/>
      <w:autoSpaceDN w:val="0"/>
      <w:adjustRightInd w:val="0"/>
      <w:spacing w:after="240"/>
      <w:ind w:left="1440"/>
    </w:pPr>
    <w:rPr>
      <w:b/>
      <w:szCs w:val="26"/>
      <w:u w:val="single"/>
    </w:rPr>
  </w:style>
  <w:style w:type="paragraph" w:customStyle="1" w:styleId="myTOC1">
    <w:name w:val="myTOC 1"/>
    <w:basedOn w:val="Normal"/>
    <w:next w:val="Normal"/>
    <w:rsid w:val="00045660"/>
    <w:pPr>
      <w:widowControl w:val="0"/>
      <w:tabs>
        <w:tab w:val="left" w:leader="dot" w:pos="9648"/>
      </w:tabs>
      <w:autoSpaceDE w:val="0"/>
      <w:autoSpaceDN w:val="0"/>
      <w:adjustRightInd w:val="0"/>
      <w:spacing w:before="120"/>
    </w:pPr>
    <w:rPr>
      <w:szCs w:val="26"/>
    </w:rPr>
  </w:style>
  <w:style w:type="paragraph" w:customStyle="1" w:styleId="myTOC2">
    <w:name w:val="myTOC 2"/>
    <w:basedOn w:val="Normal"/>
    <w:next w:val="Normal"/>
    <w:rsid w:val="00045660"/>
    <w:pPr>
      <w:widowControl w:val="0"/>
      <w:tabs>
        <w:tab w:val="left" w:leader="dot" w:pos="9648"/>
      </w:tabs>
      <w:autoSpaceDE w:val="0"/>
      <w:autoSpaceDN w:val="0"/>
      <w:adjustRightInd w:val="0"/>
      <w:ind w:left="288"/>
    </w:pPr>
    <w:rPr>
      <w:szCs w:val="26"/>
    </w:rPr>
  </w:style>
  <w:style w:type="paragraph" w:customStyle="1" w:styleId="myTOC3">
    <w:name w:val="myTOC 3"/>
    <w:basedOn w:val="Normal"/>
    <w:next w:val="Normal"/>
    <w:rsid w:val="00045660"/>
    <w:pPr>
      <w:widowControl w:val="0"/>
      <w:tabs>
        <w:tab w:val="left" w:leader="dot" w:pos="9648"/>
      </w:tabs>
      <w:autoSpaceDE w:val="0"/>
      <w:autoSpaceDN w:val="0"/>
      <w:adjustRightInd w:val="0"/>
      <w:ind w:left="576"/>
    </w:pPr>
    <w:rPr>
      <w:szCs w:val="26"/>
    </w:rPr>
  </w:style>
  <w:style w:type="paragraph" w:customStyle="1" w:styleId="myTOC4">
    <w:name w:val="myTOC 4"/>
    <w:basedOn w:val="Normal"/>
    <w:next w:val="Normal"/>
    <w:rsid w:val="00045660"/>
    <w:pPr>
      <w:widowControl w:val="0"/>
      <w:tabs>
        <w:tab w:val="left" w:leader="dot" w:pos="9648"/>
      </w:tabs>
      <w:autoSpaceDE w:val="0"/>
      <w:autoSpaceDN w:val="0"/>
      <w:adjustRightInd w:val="0"/>
      <w:ind w:left="864"/>
    </w:pPr>
    <w:rPr>
      <w:szCs w:val="26"/>
    </w:rPr>
  </w:style>
  <w:style w:type="paragraph" w:customStyle="1" w:styleId="myTOC5">
    <w:name w:val="myTOC 5"/>
    <w:basedOn w:val="Normal"/>
    <w:next w:val="Normal"/>
    <w:rsid w:val="00045660"/>
    <w:pPr>
      <w:widowControl w:val="0"/>
      <w:tabs>
        <w:tab w:val="left" w:leader="dot" w:pos="9648"/>
      </w:tabs>
      <w:autoSpaceDE w:val="0"/>
      <w:autoSpaceDN w:val="0"/>
      <w:adjustRightInd w:val="0"/>
      <w:ind w:left="1152"/>
    </w:pPr>
    <w:rPr>
      <w:szCs w:val="26"/>
    </w:rPr>
  </w:style>
  <w:style w:type="paragraph" w:customStyle="1" w:styleId="BlockIndent">
    <w:name w:val="Block Indent"/>
    <w:basedOn w:val="Normal"/>
    <w:next w:val="FERCparanumber"/>
    <w:rsid w:val="00045660"/>
    <w:pPr>
      <w:autoSpaceDE w:val="0"/>
      <w:autoSpaceDN w:val="0"/>
      <w:adjustRightInd w:val="0"/>
      <w:spacing w:after="240"/>
      <w:ind w:left="1440" w:right="1440"/>
    </w:pPr>
  </w:style>
  <w:style w:type="paragraph" w:customStyle="1" w:styleId="myTOC6">
    <w:name w:val="myTOC 6"/>
    <w:basedOn w:val="Normal"/>
    <w:next w:val="Normal"/>
    <w:rsid w:val="00045660"/>
    <w:pPr>
      <w:tabs>
        <w:tab w:val="left" w:leader="dot" w:pos="9648"/>
      </w:tabs>
      <w:autoSpaceDN w:val="0"/>
      <w:ind w:left="1440"/>
    </w:pPr>
    <w:rPr>
      <w:szCs w:val="26"/>
    </w:rPr>
  </w:style>
  <w:style w:type="paragraph" w:customStyle="1" w:styleId="myTOC7">
    <w:name w:val="myTOC 7"/>
    <w:basedOn w:val="Normal"/>
    <w:next w:val="Normal"/>
    <w:rsid w:val="00045660"/>
    <w:pPr>
      <w:tabs>
        <w:tab w:val="left" w:leader="dot" w:pos="9648"/>
      </w:tabs>
      <w:autoSpaceDN w:val="0"/>
      <w:ind w:left="1728"/>
    </w:pPr>
    <w:rPr>
      <w:szCs w:val="26"/>
    </w:rPr>
  </w:style>
  <w:style w:type="paragraph" w:customStyle="1" w:styleId="myTOC8">
    <w:name w:val="myTOC 8"/>
    <w:basedOn w:val="Normal"/>
    <w:next w:val="Normal"/>
    <w:rsid w:val="00045660"/>
    <w:pPr>
      <w:tabs>
        <w:tab w:val="left" w:leader="dot" w:pos="9648"/>
      </w:tabs>
      <w:autoSpaceDN w:val="0"/>
      <w:ind w:left="2016"/>
    </w:pPr>
    <w:rPr>
      <w:szCs w:val="26"/>
    </w:rPr>
  </w:style>
  <w:style w:type="paragraph" w:customStyle="1" w:styleId="myTOC9">
    <w:name w:val="myTOC 9"/>
    <w:basedOn w:val="Normal"/>
    <w:next w:val="Normal"/>
    <w:rsid w:val="00045660"/>
    <w:pPr>
      <w:tabs>
        <w:tab w:val="left" w:leader="dot" w:pos="9648"/>
      </w:tabs>
      <w:autoSpaceDN w:val="0"/>
      <w:ind w:left="2304"/>
    </w:pPr>
    <w:rPr>
      <w:szCs w:val="26"/>
    </w:rPr>
  </w:style>
  <w:style w:type="paragraph" w:customStyle="1" w:styleId="StyleLinespacingDouble">
    <w:name w:val="Style Line spacing:  Double"/>
    <w:basedOn w:val="Normal"/>
    <w:rsid w:val="00045660"/>
    <w:pPr>
      <w:widowControl w:val="0"/>
      <w:autoSpaceDE w:val="0"/>
      <w:autoSpaceDN w:val="0"/>
      <w:adjustRightInd w:val="0"/>
      <w:spacing w:line="480" w:lineRule="auto"/>
    </w:pPr>
    <w:rPr>
      <w:szCs w:val="20"/>
    </w:rPr>
  </w:style>
  <w:style w:type="paragraph" w:customStyle="1" w:styleId="LegalFormat">
    <w:name w:val="Legal Format"/>
    <w:basedOn w:val="ListContinue"/>
    <w:rsid w:val="00045660"/>
    <w:pPr>
      <w:tabs>
        <w:tab w:val="num" w:pos="720"/>
      </w:tabs>
      <w:spacing w:after="0"/>
      <w:ind w:left="720" w:hanging="720"/>
    </w:pPr>
    <w:rPr>
      <w:szCs w:val="26"/>
    </w:rPr>
  </w:style>
  <w:style w:type="character" w:styleId="CommentReference">
    <w:name w:val="annotation reference"/>
    <w:basedOn w:val="DefaultParagraphFont"/>
    <w:unhideWhenUsed/>
    <w:rsid w:val="00045660"/>
    <w:rPr>
      <w:sz w:val="16"/>
      <w:szCs w:val="16"/>
    </w:rPr>
  </w:style>
  <w:style w:type="character" w:customStyle="1" w:styleId="FERCparanumberChar1">
    <w:name w:val="FERC paranumber Char1"/>
    <w:basedOn w:val="DefaultParagraphFont"/>
    <w:rsid w:val="00045660"/>
    <w:rPr>
      <w:sz w:val="26"/>
      <w:szCs w:val="26"/>
      <w:lang w:val="en-US" w:eastAsia="en-US" w:bidi="ar-SA"/>
    </w:rPr>
  </w:style>
  <w:style w:type="character" w:customStyle="1" w:styleId="EmailStyle115">
    <w:name w:val="EmailStyle115"/>
    <w:basedOn w:val="DefaultParagraphFont"/>
    <w:semiHidden/>
    <w:rsid w:val="00045660"/>
    <w:rPr>
      <w:rFonts w:ascii="Arial" w:hAnsi="Arial" w:cs="Arial" w:hint="default"/>
      <w:color w:val="auto"/>
      <w:sz w:val="20"/>
      <w:szCs w:val="20"/>
    </w:rPr>
  </w:style>
  <w:style w:type="character" w:customStyle="1" w:styleId="EmailStyle116">
    <w:name w:val="EmailStyle116"/>
    <w:basedOn w:val="DefaultParagraphFont"/>
    <w:semiHidden/>
    <w:rsid w:val="00045660"/>
    <w:rPr>
      <w:rFonts w:ascii="Calibri" w:hAnsi="Calibri" w:cs="Arial" w:hint="default"/>
      <w:b w:val="0"/>
      <w:bCs w:val="0"/>
      <w:i w:val="0"/>
      <w:iCs w:val="0"/>
      <w:color w:val="auto"/>
      <w:sz w:val="22"/>
      <w:szCs w:val="20"/>
    </w:rPr>
  </w:style>
  <w:style w:type="character" w:customStyle="1" w:styleId="term1">
    <w:name w:val="term1"/>
    <w:rsid w:val="00045660"/>
    <w:rPr>
      <w:b/>
      <w:bCs/>
    </w:rPr>
  </w:style>
  <w:style w:type="table" w:styleId="TableGrid">
    <w:name w:val="Table Grid"/>
    <w:basedOn w:val="TableNormal"/>
    <w:rsid w:val="000456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7140</Words>
  <Characters>38831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2013-02-04T20:42:00Z</dcterms:created>
  <dcterms:modified xsi:type="dcterms:W3CDTF">2013-02-04T20:53:00Z</dcterms:modified>
</cp:coreProperties>
</file>