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767313"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FERC-715 (Annual Electric Balancing Authority Area and Planning Area Report</w:t>
      </w:r>
      <w:r w:rsidR="00FD66F1" w:rsidRPr="00035845">
        <w:rPr>
          <w:rFonts w:ascii="Times New Roman" w:hAnsi="Times New Roman" w:cs="Times New Roman"/>
          <w:b/>
          <w:sz w:val="24"/>
          <w:szCs w:val="24"/>
        </w:rPr>
        <w:t>)</w:t>
      </w:r>
    </w:p>
    <w:p w:rsidR="00FD66F1" w:rsidRDefault="00FD66F1" w:rsidP="00FD66F1">
      <w:pPr>
        <w:spacing w:after="0"/>
        <w:jc w:val="center"/>
        <w:rPr>
          <w:rFonts w:ascii="Times New Roman" w:hAnsi="Times New Roman" w:cs="Times New Roman"/>
          <w:sz w:val="24"/>
          <w:szCs w:val="24"/>
        </w:rPr>
      </w:pPr>
    </w:p>
    <w:p w:rsidR="00773AEB" w:rsidRDefault="00767313" w:rsidP="00FD66F1">
      <w:pPr>
        <w:spacing w:after="0"/>
        <w:rPr>
          <w:rFonts w:ascii="Times New Roman" w:hAnsi="Times New Roman" w:cs="Times New Roman"/>
          <w:sz w:val="24"/>
          <w:szCs w:val="24"/>
        </w:rPr>
      </w:pPr>
      <w:r w:rsidRPr="00767313">
        <w:rPr>
          <w:rFonts w:ascii="Times New Roman" w:hAnsi="Times New Roman" w:cs="Times New Roman"/>
          <w:sz w:val="24"/>
          <w:szCs w:val="24"/>
        </w:rPr>
        <w:t>The Federal Energy Regulatory Commission (Commission or FERC) requests that the Office of Management and Budget (OMB) review and approve FERC-715, Annual Transmission Planning and Evaluation Report, for a three year period.  FERC-715 (OMB Control No. 1902-0171) is an existing Co</w:t>
      </w:r>
      <w:r>
        <w:rPr>
          <w:rFonts w:ascii="Times New Roman" w:hAnsi="Times New Roman" w:cs="Times New Roman"/>
          <w:sz w:val="24"/>
          <w:szCs w:val="24"/>
        </w:rPr>
        <w:t>mmission data collection (reporting</w:t>
      </w:r>
      <w:r w:rsidRPr="00767313">
        <w:rPr>
          <w:rFonts w:ascii="Times New Roman" w:hAnsi="Times New Roman" w:cs="Times New Roman"/>
          <w:sz w:val="24"/>
          <w:szCs w:val="24"/>
        </w:rPr>
        <w:t xml:space="preserve"> requirements), as stated by 18 Code of Federal Regulations (CFR) 141.300.</w:t>
      </w:r>
      <w:r w:rsidR="00BA1C7D">
        <w:rPr>
          <w:rFonts w:ascii="Times New Roman" w:hAnsi="Times New Roman" w:cs="Times New Roman"/>
          <w:sz w:val="24"/>
          <w:szCs w:val="24"/>
        </w:rPr>
        <w:t xml:space="preserve"> </w:t>
      </w:r>
    </w:p>
    <w:p w:rsidR="00A72E7B" w:rsidRDefault="00A72E7B" w:rsidP="00FD66F1">
      <w:pPr>
        <w:spacing w:after="0"/>
        <w:rPr>
          <w:rFonts w:ascii="Times New Roman" w:hAnsi="Times New Roman" w:cs="Times New Roman"/>
          <w:sz w:val="24"/>
          <w:szCs w:val="24"/>
        </w:rPr>
      </w:pPr>
    </w:p>
    <w:p w:rsidR="002B0C93" w:rsidRPr="002B0C93" w:rsidRDefault="002B0C93" w:rsidP="002B0C93">
      <w:pPr>
        <w:pStyle w:val="ListParagraph"/>
        <w:numPr>
          <w:ilvl w:val="0"/>
          <w:numId w:val="5"/>
        </w:numPr>
        <w:spacing w:after="0"/>
        <w:rPr>
          <w:rFonts w:ascii="Times New Roman" w:hAnsi="Times New Roman" w:cs="Times New Roman"/>
          <w:b/>
          <w:sz w:val="24"/>
          <w:szCs w:val="24"/>
          <w:u w:val="single"/>
        </w:rPr>
      </w:pPr>
      <w:r w:rsidRPr="002B0C93">
        <w:rPr>
          <w:rFonts w:ascii="Times New Roman" w:hAnsi="Times New Roman" w:cs="Times New Roman"/>
          <w:b/>
          <w:sz w:val="24"/>
          <w:szCs w:val="24"/>
          <w:u w:val="single"/>
        </w:rPr>
        <w:t>Justification</w:t>
      </w: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767313" w:rsidRPr="00767313" w:rsidRDefault="00767313" w:rsidP="00767313">
      <w:pPr>
        <w:spacing w:after="0"/>
        <w:rPr>
          <w:rFonts w:ascii="Times New Roman" w:hAnsi="Times New Roman" w:cs="Times New Roman"/>
          <w:sz w:val="24"/>
          <w:szCs w:val="24"/>
        </w:rPr>
      </w:pPr>
      <w:r w:rsidRPr="00767313">
        <w:rPr>
          <w:rFonts w:ascii="Times New Roman" w:hAnsi="Times New Roman" w:cs="Times New Roman"/>
          <w:sz w:val="24"/>
          <w:szCs w:val="24"/>
        </w:rPr>
        <w:t>The Energy Policy Act of 1992 provided the Commission authority with which it may mandate bulk power transmission owners to provide access to their transmission grids to third parties when requested.  This allowed transmission systems to be more accessible to outside customers.  In spite of the added accessibility, transmission owners retained a flexibility of service that transmission customers did not also receive.  Moreover, timely permission to use the transmission grid did not occur since the Commission had to review requests on a case-by-case basis.  To remedy these problems, the Commission issued Order No. 888</w:t>
      </w:r>
      <w:r w:rsidR="00AE543C" w:rsidRPr="00AE543C">
        <w:rPr>
          <w:rStyle w:val="FootnoteReference"/>
          <w:rFonts w:ascii="Times New Roman" w:hAnsi="Times New Roman" w:cs="Times New Roman"/>
          <w:sz w:val="24"/>
          <w:szCs w:val="24"/>
          <w:vertAlign w:val="superscript"/>
        </w:rPr>
        <w:footnoteReference w:id="1"/>
      </w:r>
      <w:r w:rsidRPr="00767313">
        <w:rPr>
          <w:rFonts w:ascii="Times New Roman" w:hAnsi="Times New Roman" w:cs="Times New Roman"/>
          <w:sz w:val="24"/>
          <w:szCs w:val="24"/>
        </w:rPr>
        <w:t xml:space="preserve">.  Order No. 888 required utilities owning bulk power transmission facilities to treat any of their own wholesale and purchases of energy over their own transmission facilities under the same transmission tariffs they apply to others. </w:t>
      </w:r>
    </w:p>
    <w:p w:rsidR="00767313" w:rsidRPr="00767313" w:rsidRDefault="00767313" w:rsidP="00767313">
      <w:pPr>
        <w:spacing w:after="0"/>
        <w:rPr>
          <w:rFonts w:ascii="Times New Roman" w:hAnsi="Times New Roman" w:cs="Times New Roman"/>
          <w:sz w:val="24"/>
          <w:szCs w:val="24"/>
        </w:rPr>
      </w:pPr>
    </w:p>
    <w:p w:rsidR="00767313" w:rsidRPr="00767313" w:rsidRDefault="00767313" w:rsidP="00767313">
      <w:pPr>
        <w:spacing w:after="0"/>
        <w:rPr>
          <w:rFonts w:ascii="Times New Roman" w:hAnsi="Times New Roman" w:cs="Times New Roman"/>
          <w:sz w:val="24"/>
          <w:szCs w:val="24"/>
        </w:rPr>
      </w:pPr>
      <w:r w:rsidRPr="00767313">
        <w:rPr>
          <w:rFonts w:ascii="Times New Roman" w:hAnsi="Times New Roman" w:cs="Times New Roman"/>
          <w:sz w:val="24"/>
          <w:szCs w:val="24"/>
        </w:rPr>
        <w:t>The Energy Policy Act of 2005 further granted significant new responsibilities and authority to discharge these responsibilities by modifying the Federal Power Act</w:t>
      </w:r>
      <w:r w:rsidR="00E91CCD">
        <w:rPr>
          <w:rFonts w:ascii="Times New Roman" w:hAnsi="Times New Roman" w:cs="Times New Roman"/>
          <w:sz w:val="24"/>
          <w:szCs w:val="24"/>
        </w:rPr>
        <w:t xml:space="preserve"> (FPA)</w:t>
      </w:r>
      <w:r w:rsidRPr="00767313">
        <w:rPr>
          <w:rFonts w:ascii="Times New Roman" w:hAnsi="Times New Roman" w:cs="Times New Roman"/>
          <w:sz w:val="24"/>
          <w:szCs w:val="24"/>
        </w:rPr>
        <w:t>, the Natural Gas Act, and the Public Utility Regulatory Policies Act of 1978 (PURPA).  These new res</w:t>
      </w:r>
      <w:r w:rsidR="008A22DB">
        <w:rPr>
          <w:rFonts w:ascii="Times New Roman" w:hAnsi="Times New Roman" w:cs="Times New Roman"/>
          <w:sz w:val="24"/>
          <w:szCs w:val="24"/>
        </w:rPr>
        <w:t>ponsibilities included (but</w:t>
      </w:r>
      <w:r w:rsidRPr="00767313">
        <w:rPr>
          <w:rFonts w:ascii="Times New Roman" w:hAnsi="Times New Roman" w:cs="Times New Roman"/>
          <w:sz w:val="24"/>
          <w:szCs w:val="24"/>
        </w:rPr>
        <w:t xml:space="preserve"> not limited to):</w:t>
      </w:r>
    </w:p>
    <w:p w:rsidR="00767313" w:rsidRPr="00767313" w:rsidRDefault="00767313" w:rsidP="00767313">
      <w:pPr>
        <w:spacing w:after="0"/>
        <w:rPr>
          <w:rFonts w:ascii="Times New Roman" w:hAnsi="Times New Roman" w:cs="Times New Roman"/>
          <w:sz w:val="24"/>
          <w:szCs w:val="24"/>
        </w:rPr>
      </w:pPr>
      <w:r w:rsidRPr="00767313">
        <w:rPr>
          <w:rFonts w:ascii="Times New Roman" w:hAnsi="Times New Roman" w:cs="Times New Roman"/>
          <w:sz w:val="24"/>
          <w:szCs w:val="24"/>
        </w:rPr>
        <w:t>•</w:t>
      </w:r>
      <w:r w:rsidRPr="00767313">
        <w:rPr>
          <w:rFonts w:ascii="Times New Roman" w:hAnsi="Times New Roman" w:cs="Times New Roman"/>
          <w:sz w:val="24"/>
          <w:szCs w:val="24"/>
        </w:rPr>
        <w:tab/>
        <w:t>Overseeing the reliability of the nation</w:t>
      </w:r>
      <w:r w:rsidR="00116779">
        <w:rPr>
          <w:rFonts w:ascii="Times New Roman" w:hAnsi="Times New Roman" w:cs="Times New Roman"/>
          <w:sz w:val="24"/>
          <w:szCs w:val="24"/>
        </w:rPr>
        <w:t>’</w:t>
      </w:r>
      <w:r w:rsidRPr="00767313">
        <w:rPr>
          <w:rFonts w:ascii="Times New Roman" w:hAnsi="Times New Roman" w:cs="Times New Roman"/>
          <w:sz w:val="24"/>
          <w:szCs w:val="24"/>
        </w:rPr>
        <w:t>s electricity transmission grid</w:t>
      </w:r>
      <w:r w:rsidR="00E91CCD">
        <w:rPr>
          <w:rFonts w:ascii="Times New Roman" w:hAnsi="Times New Roman" w:cs="Times New Roman"/>
          <w:sz w:val="24"/>
          <w:szCs w:val="24"/>
        </w:rPr>
        <w:t>;</w:t>
      </w:r>
    </w:p>
    <w:p w:rsidR="00767313" w:rsidRPr="00767313" w:rsidRDefault="00767313" w:rsidP="00767313">
      <w:pPr>
        <w:spacing w:after="0"/>
        <w:rPr>
          <w:rFonts w:ascii="Times New Roman" w:hAnsi="Times New Roman" w:cs="Times New Roman"/>
          <w:sz w:val="24"/>
          <w:szCs w:val="24"/>
        </w:rPr>
      </w:pPr>
      <w:r w:rsidRPr="00767313">
        <w:rPr>
          <w:rFonts w:ascii="Times New Roman" w:hAnsi="Times New Roman" w:cs="Times New Roman"/>
          <w:sz w:val="24"/>
          <w:szCs w:val="24"/>
        </w:rPr>
        <w:t>•</w:t>
      </w:r>
      <w:r w:rsidRPr="00767313">
        <w:rPr>
          <w:rFonts w:ascii="Times New Roman" w:hAnsi="Times New Roman" w:cs="Times New Roman"/>
          <w:sz w:val="24"/>
          <w:szCs w:val="24"/>
        </w:rPr>
        <w:tab/>
        <w:t>Im</w:t>
      </w:r>
      <w:r w:rsidR="00116779">
        <w:rPr>
          <w:rFonts w:ascii="Times New Roman" w:hAnsi="Times New Roman" w:cs="Times New Roman"/>
          <w:sz w:val="24"/>
          <w:szCs w:val="24"/>
        </w:rPr>
        <w:t>plementing new tolls (including</w:t>
      </w:r>
      <w:r w:rsidRPr="00767313">
        <w:rPr>
          <w:rFonts w:ascii="Times New Roman" w:hAnsi="Times New Roman" w:cs="Times New Roman"/>
          <w:sz w:val="24"/>
          <w:szCs w:val="24"/>
        </w:rPr>
        <w:t xml:space="preserve"> penalty authority) to prevent market manipulation</w:t>
      </w:r>
      <w:r w:rsidR="00E91CCD">
        <w:rPr>
          <w:rFonts w:ascii="Times New Roman" w:hAnsi="Times New Roman" w:cs="Times New Roman"/>
          <w:sz w:val="24"/>
          <w:szCs w:val="24"/>
        </w:rPr>
        <w:t>;</w:t>
      </w:r>
    </w:p>
    <w:p w:rsidR="00767313" w:rsidRPr="00767313" w:rsidRDefault="00767313" w:rsidP="00767313">
      <w:pPr>
        <w:spacing w:after="0"/>
        <w:rPr>
          <w:rFonts w:ascii="Times New Roman" w:hAnsi="Times New Roman" w:cs="Times New Roman"/>
          <w:sz w:val="24"/>
          <w:szCs w:val="24"/>
        </w:rPr>
      </w:pPr>
      <w:r w:rsidRPr="00767313">
        <w:rPr>
          <w:rFonts w:ascii="Times New Roman" w:hAnsi="Times New Roman" w:cs="Times New Roman"/>
          <w:sz w:val="24"/>
          <w:szCs w:val="24"/>
        </w:rPr>
        <w:t>•</w:t>
      </w:r>
      <w:r w:rsidRPr="00767313">
        <w:rPr>
          <w:rFonts w:ascii="Times New Roman" w:hAnsi="Times New Roman" w:cs="Times New Roman"/>
          <w:sz w:val="24"/>
          <w:szCs w:val="24"/>
        </w:rPr>
        <w:tab/>
        <w:t>Providing rate incentives to promote electric transmission investment</w:t>
      </w:r>
      <w:r w:rsidR="00E91CCD">
        <w:rPr>
          <w:rFonts w:ascii="Times New Roman" w:hAnsi="Times New Roman" w:cs="Times New Roman"/>
          <w:sz w:val="24"/>
          <w:szCs w:val="24"/>
        </w:rPr>
        <w:t>;</w:t>
      </w:r>
    </w:p>
    <w:p w:rsidR="00767313" w:rsidRPr="00767313" w:rsidRDefault="00767313" w:rsidP="00767313">
      <w:pPr>
        <w:spacing w:after="0"/>
        <w:rPr>
          <w:rFonts w:ascii="Times New Roman" w:hAnsi="Times New Roman" w:cs="Times New Roman"/>
          <w:sz w:val="24"/>
          <w:szCs w:val="24"/>
        </w:rPr>
      </w:pPr>
      <w:r w:rsidRPr="00767313">
        <w:rPr>
          <w:rFonts w:ascii="Times New Roman" w:hAnsi="Times New Roman" w:cs="Times New Roman"/>
          <w:sz w:val="24"/>
          <w:szCs w:val="24"/>
        </w:rPr>
        <w:t>•</w:t>
      </w:r>
      <w:r w:rsidRPr="00767313">
        <w:rPr>
          <w:rFonts w:ascii="Times New Roman" w:hAnsi="Times New Roman" w:cs="Times New Roman"/>
          <w:sz w:val="24"/>
          <w:szCs w:val="24"/>
        </w:rPr>
        <w:tab/>
        <w:t>Supplementing state transmission siting efforts in national interest electric transmission corridors and</w:t>
      </w:r>
      <w:r w:rsidR="00E91CCD">
        <w:rPr>
          <w:rFonts w:ascii="Times New Roman" w:hAnsi="Times New Roman" w:cs="Times New Roman"/>
          <w:sz w:val="24"/>
          <w:szCs w:val="24"/>
        </w:rPr>
        <w:t>;</w:t>
      </w:r>
    </w:p>
    <w:p w:rsidR="00EB3E6F" w:rsidRDefault="00767313" w:rsidP="00767313">
      <w:pPr>
        <w:spacing w:after="0"/>
        <w:rPr>
          <w:rFonts w:ascii="Times New Roman" w:hAnsi="Times New Roman" w:cs="Times New Roman"/>
          <w:sz w:val="24"/>
          <w:szCs w:val="24"/>
        </w:rPr>
      </w:pPr>
      <w:r w:rsidRPr="00767313">
        <w:rPr>
          <w:rFonts w:ascii="Times New Roman" w:hAnsi="Times New Roman" w:cs="Times New Roman"/>
          <w:sz w:val="24"/>
          <w:szCs w:val="24"/>
        </w:rPr>
        <w:t>•</w:t>
      </w:r>
      <w:r w:rsidRPr="00767313">
        <w:rPr>
          <w:rFonts w:ascii="Times New Roman" w:hAnsi="Times New Roman" w:cs="Times New Roman"/>
          <w:sz w:val="24"/>
          <w:szCs w:val="24"/>
        </w:rPr>
        <w:tab/>
        <w:t>Reviewing certain holding company mergers and acquisitions involving electric utility facilities as well as certain public utility acquisitions of generating facilities.</w:t>
      </w:r>
    </w:p>
    <w:p w:rsidR="0086457D" w:rsidRDefault="0086457D" w:rsidP="00767313">
      <w:pPr>
        <w:spacing w:after="0"/>
        <w:rPr>
          <w:rFonts w:ascii="Times New Roman" w:hAnsi="Times New Roman" w:cs="Times New Roman"/>
          <w:sz w:val="24"/>
          <w:szCs w:val="24"/>
        </w:rPr>
      </w:pPr>
    </w:p>
    <w:p w:rsidR="0086457D" w:rsidRPr="00116779" w:rsidRDefault="0086457D" w:rsidP="0086457D">
      <w:pPr>
        <w:spacing w:after="0"/>
        <w:rPr>
          <w:rFonts w:ascii="Times New Roman" w:hAnsi="Times New Roman" w:cs="Times New Roman"/>
          <w:sz w:val="24"/>
          <w:szCs w:val="24"/>
        </w:rPr>
      </w:pPr>
      <w:r w:rsidRPr="00116779">
        <w:rPr>
          <w:rFonts w:ascii="Times New Roman" w:hAnsi="Times New Roman" w:cs="Times New Roman"/>
          <w:sz w:val="24"/>
          <w:szCs w:val="24"/>
        </w:rPr>
        <w:t>FPA Section 213</w:t>
      </w:r>
      <w:r w:rsidR="005B6E7A" w:rsidRPr="005B6E7A">
        <w:rPr>
          <w:rStyle w:val="FootnoteReference"/>
          <w:rFonts w:ascii="Times New Roman" w:hAnsi="Times New Roman" w:cs="Times New Roman"/>
          <w:sz w:val="24"/>
          <w:szCs w:val="24"/>
          <w:vertAlign w:val="superscript"/>
        </w:rPr>
        <w:footnoteReference w:id="2"/>
      </w:r>
      <w:r w:rsidRPr="00116779">
        <w:rPr>
          <w:rFonts w:ascii="Times New Roman" w:hAnsi="Times New Roman" w:cs="Times New Roman"/>
          <w:sz w:val="24"/>
          <w:szCs w:val="24"/>
        </w:rPr>
        <w:t xml:space="preserve"> requires each transmitting utility that operates integrated transmis</w:t>
      </w:r>
      <w:r>
        <w:rPr>
          <w:rFonts w:ascii="Times New Roman" w:hAnsi="Times New Roman" w:cs="Times New Roman"/>
          <w:sz w:val="24"/>
          <w:szCs w:val="24"/>
        </w:rPr>
        <w:t xml:space="preserve">sion system facilities </w:t>
      </w:r>
      <w:r w:rsidRPr="00116779">
        <w:rPr>
          <w:rFonts w:ascii="Times New Roman" w:hAnsi="Times New Roman" w:cs="Times New Roman"/>
          <w:sz w:val="24"/>
          <w:szCs w:val="24"/>
        </w:rPr>
        <w:t>rated abov</w:t>
      </w:r>
      <w:r>
        <w:rPr>
          <w:rFonts w:ascii="Times New Roman" w:hAnsi="Times New Roman" w:cs="Times New Roman"/>
          <w:sz w:val="24"/>
          <w:szCs w:val="24"/>
        </w:rPr>
        <w:t>e 100 kilovolts (kV) to</w:t>
      </w:r>
      <w:r w:rsidRPr="00116779">
        <w:rPr>
          <w:rFonts w:ascii="Times New Roman" w:hAnsi="Times New Roman" w:cs="Times New Roman"/>
          <w:sz w:val="24"/>
          <w:szCs w:val="24"/>
        </w:rPr>
        <w:t xml:space="preserve"> submit</w:t>
      </w:r>
      <w:r>
        <w:rPr>
          <w:rFonts w:ascii="Times New Roman" w:hAnsi="Times New Roman" w:cs="Times New Roman"/>
          <w:sz w:val="24"/>
          <w:szCs w:val="24"/>
        </w:rPr>
        <w:t xml:space="preserve"> annually</w:t>
      </w:r>
      <w:r w:rsidRPr="00116779">
        <w:rPr>
          <w:rFonts w:ascii="Times New Roman" w:hAnsi="Times New Roman" w:cs="Times New Roman"/>
          <w:sz w:val="24"/>
          <w:szCs w:val="24"/>
        </w:rPr>
        <w:t>:</w:t>
      </w:r>
    </w:p>
    <w:p w:rsidR="0086457D" w:rsidRPr="00116779" w:rsidRDefault="0086457D" w:rsidP="0086457D">
      <w:pPr>
        <w:spacing w:after="0"/>
        <w:rPr>
          <w:rFonts w:ascii="Times New Roman" w:hAnsi="Times New Roman" w:cs="Times New Roman"/>
          <w:sz w:val="24"/>
          <w:szCs w:val="24"/>
        </w:rPr>
      </w:pPr>
      <w:r w:rsidRPr="00116779">
        <w:rPr>
          <w:rFonts w:ascii="Times New Roman" w:hAnsi="Times New Roman" w:cs="Times New Roman"/>
          <w:sz w:val="24"/>
          <w:szCs w:val="24"/>
        </w:rPr>
        <w:lastRenderedPageBreak/>
        <w:t>•</w:t>
      </w:r>
      <w:r w:rsidRPr="00116779">
        <w:rPr>
          <w:rFonts w:ascii="Times New Roman" w:hAnsi="Times New Roman" w:cs="Times New Roman"/>
          <w:sz w:val="24"/>
          <w:szCs w:val="24"/>
        </w:rPr>
        <w:tab/>
        <w:t>Contact information for the FERC-715;</w:t>
      </w:r>
    </w:p>
    <w:p w:rsidR="0086457D" w:rsidRPr="00116779" w:rsidRDefault="0086457D" w:rsidP="0086457D">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Base case power flow data (if it does not participate in the development and use of regional power flow data);</w:t>
      </w:r>
    </w:p>
    <w:p w:rsidR="0086457D" w:rsidRPr="00116779" w:rsidRDefault="0086457D" w:rsidP="0086457D">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Transmission system maps and diagrams used by the respondent for transmission planning;</w:t>
      </w:r>
    </w:p>
    <w:p w:rsidR="0086457D" w:rsidRPr="00116779" w:rsidRDefault="0086457D" w:rsidP="0086457D">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A detailed description of the transmission planning reliability criteria used to evaluate system performance for time frames and planning horizons used in regional and corporate planning;</w:t>
      </w:r>
    </w:p>
    <w:p w:rsidR="0086457D" w:rsidRPr="00116779" w:rsidRDefault="0086457D" w:rsidP="0086457D">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A detailed description of the respondent’s transmission planning assessment practices (including, but not limited to, how reliability criteria are applied and the steps taken in performing transmission planning studies); and</w:t>
      </w:r>
    </w:p>
    <w:p w:rsidR="0086457D" w:rsidRPr="00116779" w:rsidRDefault="0086457D" w:rsidP="0086457D">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A detailed evaluation of the respondent’s anticipated system performance as measured against its stated reliability criteria using its stated assessment practices</w:t>
      </w:r>
      <w:r>
        <w:rPr>
          <w:rFonts w:ascii="Times New Roman" w:hAnsi="Times New Roman" w:cs="Times New Roman"/>
          <w:sz w:val="24"/>
          <w:szCs w:val="24"/>
        </w:rPr>
        <w:t>.</w:t>
      </w:r>
      <w:r w:rsidRPr="0086457D">
        <w:rPr>
          <w:rStyle w:val="FootnoteReference"/>
          <w:rFonts w:ascii="Times New Roman" w:hAnsi="Times New Roman" w:cs="Times New Roman"/>
          <w:sz w:val="24"/>
          <w:szCs w:val="24"/>
          <w:vertAlign w:val="superscript"/>
        </w:rPr>
        <w:footnoteReference w:id="3"/>
      </w:r>
    </w:p>
    <w:p w:rsidR="00EB3E6F" w:rsidRPr="00EB3E6F" w:rsidRDefault="00EB3E6F" w:rsidP="00EB3E6F">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116779" w:rsidRPr="00116779" w:rsidRDefault="00116779" w:rsidP="00116779">
      <w:pPr>
        <w:spacing w:after="0"/>
        <w:rPr>
          <w:rFonts w:ascii="Times New Roman" w:hAnsi="Times New Roman" w:cs="Times New Roman"/>
          <w:sz w:val="24"/>
          <w:szCs w:val="24"/>
        </w:rPr>
      </w:pPr>
    </w:p>
    <w:p w:rsidR="00116779" w:rsidRP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The FERC-715 enables the Commission to use the information as part of their regulatory oversight functions which includes:</w:t>
      </w:r>
    </w:p>
    <w:p w:rsidR="00116779" w:rsidRP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The review of rates and charges;</w:t>
      </w:r>
    </w:p>
    <w:p w:rsidR="00116779" w:rsidRP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The disposition of jurisdictional facilities;</w:t>
      </w:r>
    </w:p>
    <w:p w:rsidR="00116779" w:rsidRP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The consolidation and mergers;</w:t>
      </w:r>
    </w:p>
    <w:p w:rsidR="00116779" w:rsidRP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The adequacy of supply and;</w:t>
      </w:r>
    </w:p>
    <w:p w:rsidR="00116779" w:rsidRP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w:t>
      </w:r>
      <w:r w:rsidRPr="00116779">
        <w:rPr>
          <w:rFonts w:ascii="Times New Roman" w:hAnsi="Times New Roman" w:cs="Times New Roman"/>
          <w:sz w:val="24"/>
          <w:szCs w:val="24"/>
        </w:rPr>
        <w:tab/>
        <w:t>Reliability of nation’s transmission grid</w:t>
      </w:r>
    </w:p>
    <w:p w:rsidR="00116779" w:rsidRPr="00116779" w:rsidRDefault="00116779" w:rsidP="00116779">
      <w:pPr>
        <w:spacing w:after="0"/>
        <w:rPr>
          <w:rFonts w:ascii="Times New Roman" w:hAnsi="Times New Roman" w:cs="Times New Roman"/>
          <w:sz w:val="24"/>
          <w:szCs w:val="24"/>
        </w:rPr>
      </w:pPr>
    </w:p>
    <w:p w:rsidR="00116779" w:rsidRP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 xml:space="preserve">The FERC-715 enables the Commission to facilitate and resolve transmission disputes.  Additionally, the Office of Electric Reliability (OER) uses the FERC-715 data to help protect and improve the reliability and security of the nation’s bulk power system. </w:t>
      </w:r>
      <w:r w:rsidR="00C3522F">
        <w:rPr>
          <w:rFonts w:ascii="Times New Roman" w:hAnsi="Times New Roman" w:cs="Times New Roman"/>
          <w:sz w:val="24"/>
          <w:szCs w:val="24"/>
        </w:rPr>
        <w:t xml:space="preserve"> </w:t>
      </w:r>
      <w:r w:rsidRPr="00116779">
        <w:rPr>
          <w:rFonts w:ascii="Times New Roman" w:hAnsi="Times New Roman" w:cs="Times New Roman"/>
          <w:sz w:val="24"/>
          <w:szCs w:val="24"/>
        </w:rPr>
        <w:t>OER oversees the development and review of mandatory rel</w:t>
      </w:r>
      <w:r w:rsidR="0086457D">
        <w:rPr>
          <w:rFonts w:ascii="Times New Roman" w:hAnsi="Times New Roman" w:cs="Times New Roman"/>
          <w:sz w:val="24"/>
          <w:szCs w:val="24"/>
        </w:rPr>
        <w:t>iability and security standards</w:t>
      </w:r>
      <w:r w:rsidRPr="00116779">
        <w:rPr>
          <w:rFonts w:ascii="Times New Roman" w:hAnsi="Times New Roman" w:cs="Times New Roman"/>
          <w:sz w:val="24"/>
          <w:szCs w:val="24"/>
        </w:rPr>
        <w:t xml:space="preserve"> and ensures compliance with the approved standards by the users, owners, and operators of the bulk power system. OER also monitors and addresses issues concerning the nation’s bulk power system including assessments of resource adequacy and reliability.  </w:t>
      </w:r>
    </w:p>
    <w:p w:rsidR="00116779" w:rsidRPr="00116779" w:rsidRDefault="00116779" w:rsidP="00116779">
      <w:pPr>
        <w:spacing w:after="0"/>
        <w:rPr>
          <w:rFonts w:ascii="Times New Roman" w:hAnsi="Times New Roman" w:cs="Times New Roman"/>
          <w:sz w:val="24"/>
          <w:szCs w:val="24"/>
        </w:rPr>
      </w:pPr>
    </w:p>
    <w:p w:rsidR="00EB3E6F"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Without the FERC-715 data, the Commission would be unable to evaluate planned projects or requests related to transmission.</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116779" w:rsidRP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The Commission allows the FERC-715 application to be eFiled within eLibrary.</w:t>
      </w:r>
    </w:p>
    <w:p w:rsidR="00116779" w:rsidRPr="00116779" w:rsidRDefault="00116779" w:rsidP="00116779">
      <w:pPr>
        <w:spacing w:after="0"/>
        <w:rPr>
          <w:rFonts w:ascii="Times New Roman" w:hAnsi="Times New Roman" w:cs="Times New Roman"/>
          <w:sz w:val="24"/>
          <w:szCs w:val="24"/>
        </w:rPr>
      </w:pPr>
    </w:p>
    <w:p w:rsidR="00116779" w:rsidRDefault="00116779" w:rsidP="00116779">
      <w:pPr>
        <w:spacing w:after="0"/>
        <w:rPr>
          <w:rFonts w:ascii="Times New Roman" w:hAnsi="Times New Roman" w:cs="Times New Roman"/>
          <w:sz w:val="24"/>
          <w:szCs w:val="24"/>
        </w:rPr>
      </w:pPr>
      <w:r w:rsidRPr="00116779">
        <w:rPr>
          <w:rFonts w:ascii="Times New Roman" w:hAnsi="Times New Roman" w:cs="Times New Roman"/>
          <w:sz w:val="24"/>
          <w:szCs w:val="24"/>
        </w:rPr>
        <w:t xml:space="preserve">For current information on the FERC-715 submission guidelines, go to </w:t>
      </w:r>
      <w:hyperlink r:id="rId9" w:history="1">
        <w:r w:rsidRPr="002C0EC2">
          <w:rPr>
            <w:rStyle w:val="Hyperlink"/>
            <w:rFonts w:ascii="Times New Roman" w:hAnsi="Times New Roman" w:cs="Times New Roman"/>
            <w:sz w:val="24"/>
            <w:szCs w:val="24"/>
          </w:rPr>
          <w:t>http://www.ferc.gov/docs-filing/efiling/filing.pdf</w:t>
        </w:r>
      </w:hyperlink>
      <w:r w:rsidRPr="00116779">
        <w:rPr>
          <w:rFonts w:ascii="Times New Roman" w:hAnsi="Times New Roman" w:cs="Times New Roman"/>
          <w:sz w:val="24"/>
          <w:szCs w:val="24"/>
        </w:rPr>
        <w:t xml:space="preserve">.  For more specific guidance on filing the FERC-715, go to </w:t>
      </w:r>
      <w:hyperlink r:id="rId10" w:anchor="715" w:history="1">
        <w:r w:rsidRPr="002C0EC2">
          <w:rPr>
            <w:rStyle w:val="Hyperlink"/>
            <w:rFonts w:ascii="Times New Roman" w:hAnsi="Times New Roman" w:cs="Times New Roman"/>
            <w:sz w:val="24"/>
            <w:szCs w:val="24"/>
          </w:rPr>
          <w:t>http://www.ferc.gov/docs-filing/forms.asp#715</w:t>
        </w:r>
      </w:hyperlink>
      <w:r>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EB3E6F" w:rsidRDefault="0086457D" w:rsidP="00571C5E">
      <w:pPr>
        <w:spacing w:after="0"/>
        <w:rPr>
          <w:rFonts w:ascii="Times New Roman" w:hAnsi="Times New Roman" w:cs="Times New Roman"/>
          <w:sz w:val="24"/>
          <w:szCs w:val="24"/>
        </w:rPr>
      </w:pPr>
      <w:r w:rsidRPr="0086457D">
        <w:rPr>
          <w:rFonts w:ascii="Times New Roman" w:hAnsi="Times New Roman" w:cs="Times New Roman"/>
          <w:sz w:val="24"/>
          <w:szCs w:val="24"/>
        </w:rPr>
        <w:t>The Commission published a not</w:t>
      </w:r>
      <w:r w:rsidR="00E91CCD">
        <w:rPr>
          <w:rFonts w:ascii="Times New Roman" w:hAnsi="Times New Roman" w:cs="Times New Roman"/>
          <w:sz w:val="24"/>
          <w:szCs w:val="24"/>
        </w:rPr>
        <w:t>ice within the Federal Register</w:t>
      </w:r>
      <w:r w:rsidRPr="0086457D">
        <w:rPr>
          <w:rFonts w:ascii="Times New Roman" w:hAnsi="Times New Roman" w:cs="Times New Roman"/>
          <w:sz w:val="24"/>
          <w:szCs w:val="24"/>
        </w:rPr>
        <w:t xml:space="preserve"> to help identify any duplication of the information in FERC-</w:t>
      </w:r>
      <w:r w:rsidRPr="00E91CCD">
        <w:rPr>
          <w:rFonts w:ascii="Times New Roman" w:hAnsi="Times New Roman" w:cs="Times New Roman"/>
          <w:sz w:val="24"/>
          <w:szCs w:val="24"/>
        </w:rPr>
        <w:t>715.  The Commission received no comments regarding</w:t>
      </w:r>
      <w:r>
        <w:rPr>
          <w:rFonts w:ascii="Times New Roman" w:hAnsi="Times New Roman" w:cs="Times New Roman"/>
          <w:sz w:val="24"/>
          <w:szCs w:val="24"/>
        </w:rPr>
        <w:t xml:space="preserve"> this collection</w:t>
      </w:r>
      <w:r w:rsidRPr="0086457D">
        <w:rPr>
          <w:rFonts w:ascii="Times New Roman" w:hAnsi="Times New Roman" w:cs="Times New Roman"/>
          <w:sz w:val="24"/>
          <w:szCs w:val="24"/>
        </w:rPr>
        <w:t>.  No similar information can be used or modified. There are no other Federal agencies responsible for the collection of power flow simulation data, transmission line diagrams, or detailed transmission planning reports.</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EB3E6F" w:rsidRDefault="0086457D" w:rsidP="00571C5E">
      <w:pPr>
        <w:spacing w:after="0"/>
        <w:rPr>
          <w:rFonts w:ascii="Times New Roman" w:hAnsi="Times New Roman" w:cs="Times New Roman"/>
          <w:sz w:val="24"/>
          <w:szCs w:val="24"/>
        </w:rPr>
      </w:pPr>
      <w:r w:rsidRPr="00E91CCD">
        <w:rPr>
          <w:rFonts w:ascii="Times New Roman" w:hAnsi="Times New Roman" w:cs="Times New Roman"/>
          <w:sz w:val="24"/>
          <w:szCs w:val="24"/>
        </w:rPr>
        <w:t>The Commission uses eFiling for the FERC-715 as a means of reducing burden for respondents including small entities.</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EB3E6F" w:rsidRDefault="0086457D" w:rsidP="006166FA">
      <w:pPr>
        <w:spacing w:after="0"/>
        <w:rPr>
          <w:rFonts w:ascii="Times New Roman" w:hAnsi="Times New Roman" w:cs="Times New Roman"/>
          <w:sz w:val="24"/>
          <w:szCs w:val="24"/>
        </w:rPr>
      </w:pPr>
      <w:r w:rsidRPr="0086457D">
        <w:rPr>
          <w:rFonts w:ascii="Times New Roman" w:hAnsi="Times New Roman" w:cs="Times New Roman"/>
          <w:sz w:val="24"/>
          <w:szCs w:val="24"/>
        </w:rPr>
        <w:t>The</w:t>
      </w:r>
      <w:r>
        <w:rPr>
          <w:rFonts w:ascii="Times New Roman" w:hAnsi="Times New Roman" w:cs="Times New Roman"/>
          <w:sz w:val="24"/>
          <w:szCs w:val="24"/>
        </w:rPr>
        <w:t xml:space="preserve"> Commission </w:t>
      </w:r>
      <w:r w:rsidR="00283C46">
        <w:rPr>
          <w:rFonts w:ascii="Times New Roman" w:hAnsi="Times New Roman" w:cs="Times New Roman"/>
          <w:sz w:val="24"/>
          <w:szCs w:val="24"/>
        </w:rPr>
        <w:t xml:space="preserve">continually </w:t>
      </w:r>
      <w:r>
        <w:rPr>
          <w:rFonts w:ascii="Times New Roman" w:hAnsi="Times New Roman" w:cs="Times New Roman"/>
          <w:sz w:val="24"/>
          <w:szCs w:val="24"/>
        </w:rPr>
        <w:t>uses the</w:t>
      </w:r>
      <w:r w:rsidRPr="0086457D">
        <w:rPr>
          <w:rFonts w:ascii="Times New Roman" w:hAnsi="Times New Roman" w:cs="Times New Roman"/>
          <w:sz w:val="24"/>
          <w:szCs w:val="24"/>
        </w:rPr>
        <w:t xml:space="preserve"> information collected </w:t>
      </w:r>
      <w:r w:rsidR="00283C46">
        <w:rPr>
          <w:rFonts w:ascii="Times New Roman" w:hAnsi="Times New Roman" w:cs="Times New Roman"/>
          <w:sz w:val="24"/>
          <w:szCs w:val="24"/>
        </w:rPr>
        <w:t>to review reliability issues and market structure relationships.  The Commission also uses the data to review</w:t>
      </w:r>
      <w:r w:rsidRPr="0086457D">
        <w:rPr>
          <w:rFonts w:ascii="Times New Roman" w:hAnsi="Times New Roman" w:cs="Times New Roman"/>
          <w:sz w:val="24"/>
          <w:szCs w:val="24"/>
        </w:rPr>
        <w:t xml:space="preserve"> </w:t>
      </w:r>
      <w:r w:rsidR="009B52C8">
        <w:rPr>
          <w:rFonts w:ascii="Times New Roman" w:hAnsi="Times New Roman" w:cs="Times New Roman"/>
          <w:sz w:val="24"/>
          <w:szCs w:val="24"/>
        </w:rPr>
        <w:t>merger analysis.  T</w:t>
      </w:r>
      <w:r w:rsidR="00283C46">
        <w:rPr>
          <w:rFonts w:ascii="Times New Roman" w:hAnsi="Times New Roman" w:cs="Times New Roman"/>
          <w:sz w:val="24"/>
          <w:szCs w:val="24"/>
        </w:rPr>
        <w:t xml:space="preserve">he </w:t>
      </w:r>
      <w:r w:rsidRPr="0086457D">
        <w:rPr>
          <w:rFonts w:ascii="Times New Roman" w:hAnsi="Times New Roman" w:cs="Times New Roman"/>
          <w:sz w:val="24"/>
          <w:szCs w:val="24"/>
        </w:rPr>
        <w:t>United States</w:t>
      </w:r>
      <w:r w:rsidR="00283C46">
        <w:rPr>
          <w:rFonts w:ascii="Times New Roman" w:hAnsi="Times New Roman" w:cs="Times New Roman"/>
          <w:sz w:val="24"/>
          <w:szCs w:val="24"/>
        </w:rPr>
        <w:t xml:space="preserve"> Department of Justice (DOJ)</w:t>
      </w:r>
      <w:r w:rsidR="009B52C8">
        <w:rPr>
          <w:rFonts w:ascii="Times New Roman" w:hAnsi="Times New Roman" w:cs="Times New Roman"/>
          <w:sz w:val="24"/>
          <w:szCs w:val="24"/>
        </w:rPr>
        <w:t xml:space="preserve"> uses the data for merger analysis </w:t>
      </w:r>
      <w:r w:rsidR="00283C46">
        <w:rPr>
          <w:rFonts w:ascii="Times New Roman" w:hAnsi="Times New Roman" w:cs="Times New Roman"/>
          <w:sz w:val="24"/>
          <w:szCs w:val="24"/>
        </w:rPr>
        <w:t>and</w:t>
      </w:r>
      <w:r w:rsidRPr="0086457D">
        <w:rPr>
          <w:rFonts w:ascii="Times New Roman" w:hAnsi="Times New Roman" w:cs="Times New Roman"/>
          <w:sz w:val="24"/>
          <w:szCs w:val="24"/>
        </w:rPr>
        <w:t xml:space="preserve"> </w:t>
      </w:r>
      <w:r w:rsidR="009B52C8">
        <w:rPr>
          <w:rFonts w:ascii="Times New Roman" w:hAnsi="Times New Roman" w:cs="Times New Roman"/>
          <w:sz w:val="24"/>
          <w:szCs w:val="24"/>
        </w:rPr>
        <w:t>transmission line relief (TLR) calculation.  T</w:t>
      </w:r>
      <w:r w:rsidRPr="0086457D">
        <w:rPr>
          <w:rFonts w:ascii="Times New Roman" w:hAnsi="Times New Roman" w:cs="Times New Roman"/>
          <w:sz w:val="24"/>
          <w:szCs w:val="24"/>
        </w:rPr>
        <w:t>he Energy Info</w:t>
      </w:r>
      <w:r w:rsidR="00283C46">
        <w:rPr>
          <w:rFonts w:ascii="Times New Roman" w:hAnsi="Times New Roman" w:cs="Times New Roman"/>
          <w:sz w:val="24"/>
          <w:szCs w:val="24"/>
        </w:rPr>
        <w:t>rmation Administration (EIA)</w:t>
      </w:r>
      <w:r w:rsidR="009B52C8">
        <w:rPr>
          <w:rFonts w:ascii="Times New Roman" w:hAnsi="Times New Roman" w:cs="Times New Roman"/>
          <w:sz w:val="24"/>
          <w:szCs w:val="24"/>
        </w:rPr>
        <w:t xml:space="preserve"> uses the data</w:t>
      </w:r>
      <w:r w:rsidR="00283C46">
        <w:rPr>
          <w:rFonts w:ascii="Times New Roman" w:hAnsi="Times New Roman" w:cs="Times New Roman"/>
          <w:sz w:val="24"/>
          <w:szCs w:val="24"/>
        </w:rPr>
        <w:t xml:space="preserve"> </w:t>
      </w:r>
      <w:r w:rsidR="009B52C8">
        <w:rPr>
          <w:rFonts w:ascii="Times New Roman" w:hAnsi="Times New Roman" w:cs="Times New Roman"/>
          <w:sz w:val="24"/>
          <w:szCs w:val="24"/>
        </w:rPr>
        <w:t>to</w:t>
      </w:r>
      <w:r w:rsidRPr="0086457D">
        <w:rPr>
          <w:rFonts w:ascii="Times New Roman" w:hAnsi="Times New Roman" w:cs="Times New Roman"/>
          <w:sz w:val="24"/>
          <w:szCs w:val="24"/>
        </w:rPr>
        <w:t xml:space="preserve"> model</w:t>
      </w:r>
      <w:r w:rsidR="00283C46">
        <w:rPr>
          <w:rFonts w:ascii="Times New Roman" w:hAnsi="Times New Roman" w:cs="Times New Roman"/>
          <w:sz w:val="24"/>
          <w:szCs w:val="24"/>
        </w:rPr>
        <w:t xml:space="preserve"> various electricity markets.  Finally, </w:t>
      </w:r>
      <w:r w:rsidR="009B52C8" w:rsidRPr="0086457D">
        <w:rPr>
          <w:rFonts w:ascii="Times New Roman" w:hAnsi="Times New Roman" w:cs="Times New Roman"/>
          <w:sz w:val="24"/>
          <w:szCs w:val="24"/>
        </w:rPr>
        <w:t xml:space="preserve">state regulatory authorities and potential transmission customers </w:t>
      </w:r>
      <w:r w:rsidR="009B52C8">
        <w:rPr>
          <w:rFonts w:ascii="Times New Roman" w:hAnsi="Times New Roman" w:cs="Times New Roman"/>
          <w:sz w:val="24"/>
          <w:szCs w:val="24"/>
        </w:rPr>
        <w:t>use the data</w:t>
      </w:r>
      <w:r w:rsidRPr="0086457D">
        <w:rPr>
          <w:rFonts w:ascii="Times New Roman" w:hAnsi="Times New Roman" w:cs="Times New Roman"/>
          <w:sz w:val="24"/>
          <w:szCs w:val="24"/>
        </w:rPr>
        <w:t xml:space="preserve"> to assess whether transmission capacity is available</w:t>
      </w:r>
      <w:r w:rsidRPr="00E91CCD">
        <w:rPr>
          <w:rFonts w:ascii="Times New Roman" w:hAnsi="Times New Roman" w:cs="Times New Roman"/>
          <w:sz w:val="24"/>
          <w:szCs w:val="24"/>
        </w:rPr>
        <w:t xml:space="preserve">.  </w:t>
      </w:r>
      <w:r w:rsidR="00283C46">
        <w:rPr>
          <w:rFonts w:ascii="Times New Roman" w:hAnsi="Times New Roman" w:cs="Times New Roman"/>
          <w:sz w:val="24"/>
          <w:szCs w:val="24"/>
        </w:rPr>
        <w:t>T</w:t>
      </w:r>
      <w:r w:rsidRPr="00E91CCD">
        <w:rPr>
          <w:rFonts w:ascii="Times New Roman" w:hAnsi="Times New Roman" w:cs="Times New Roman"/>
          <w:sz w:val="24"/>
          <w:szCs w:val="24"/>
        </w:rPr>
        <w:t>he Commission would be unable to perform its mandated review in a timely and accurate manner</w:t>
      </w:r>
      <w:r w:rsidR="00283C46" w:rsidRPr="00283C46">
        <w:rPr>
          <w:rFonts w:ascii="Times New Roman" w:hAnsi="Times New Roman" w:cs="Times New Roman"/>
          <w:sz w:val="24"/>
          <w:szCs w:val="24"/>
        </w:rPr>
        <w:t xml:space="preserve"> </w:t>
      </w:r>
      <w:r w:rsidR="00283C46">
        <w:rPr>
          <w:rFonts w:ascii="Times New Roman" w:hAnsi="Times New Roman" w:cs="Times New Roman"/>
          <w:sz w:val="24"/>
          <w:szCs w:val="24"/>
        </w:rPr>
        <w:t xml:space="preserve">if they </w:t>
      </w:r>
      <w:r w:rsidR="00283C46" w:rsidRPr="00E91CCD">
        <w:rPr>
          <w:rFonts w:ascii="Times New Roman" w:hAnsi="Times New Roman" w:cs="Times New Roman"/>
          <w:sz w:val="24"/>
          <w:szCs w:val="24"/>
        </w:rPr>
        <w:t>collected this information less frequently</w:t>
      </w:r>
      <w:r w:rsidRPr="00E91CCD">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Pr="00CA59C3" w:rsidRDefault="00C84FE6" w:rsidP="00C84FE6">
      <w:pPr>
        <w:spacing w:after="0"/>
        <w:rPr>
          <w:rFonts w:ascii="Times New Roman" w:hAnsi="Times New Roman" w:cs="Times New Roman"/>
          <w:sz w:val="24"/>
          <w:szCs w:val="24"/>
        </w:rPr>
      </w:pPr>
      <w:r w:rsidRPr="00C84FE6">
        <w:rPr>
          <w:rFonts w:ascii="Times New Roman" w:hAnsi="Times New Roman" w:cs="Times New Roman"/>
          <w:sz w:val="24"/>
          <w:szCs w:val="24"/>
        </w:rPr>
        <w:t xml:space="preserve">The form meets all of OMB's section 1320.5 requirements.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C84FE6" w:rsidP="00C84FE6">
      <w:pPr>
        <w:spacing w:after="0"/>
        <w:rPr>
          <w:rFonts w:ascii="Times New Roman" w:hAnsi="Times New Roman" w:cs="Times New Roman"/>
          <w:sz w:val="24"/>
          <w:szCs w:val="24"/>
        </w:rPr>
      </w:pPr>
      <w:r w:rsidRPr="00C84FE6">
        <w:rPr>
          <w:rFonts w:ascii="Times New Roman" w:hAnsi="Times New Roman" w:cs="Times New Roman"/>
          <w:sz w:val="24"/>
          <w:szCs w:val="24"/>
        </w:rPr>
        <w:t>In a</w:t>
      </w:r>
      <w:r w:rsidR="00C3522F">
        <w:rPr>
          <w:rFonts w:ascii="Times New Roman" w:hAnsi="Times New Roman" w:cs="Times New Roman"/>
          <w:sz w:val="24"/>
          <w:szCs w:val="24"/>
        </w:rPr>
        <w:t>ccordance with OMB requirements</w:t>
      </w:r>
      <w:r w:rsidRPr="00C84FE6">
        <w:rPr>
          <w:rFonts w:ascii="Times New Roman" w:hAnsi="Times New Roman" w:cs="Times New Roman"/>
          <w:sz w:val="24"/>
          <w:szCs w:val="24"/>
        </w:rPr>
        <w:t>, the Commission published a 60-day notice</w:t>
      </w:r>
      <w:r w:rsidR="00E91CCD" w:rsidRPr="00906BC3">
        <w:rPr>
          <w:rStyle w:val="FootnoteReference"/>
          <w:rFonts w:ascii="Times New Roman" w:hAnsi="Times New Roman" w:cs="Times New Roman"/>
          <w:sz w:val="24"/>
          <w:szCs w:val="24"/>
          <w:vertAlign w:val="superscript"/>
        </w:rPr>
        <w:footnoteReference w:id="4"/>
      </w:r>
      <w:r w:rsidRPr="00C84FE6">
        <w:rPr>
          <w:rFonts w:ascii="Times New Roman" w:hAnsi="Times New Roman" w:cs="Times New Roman"/>
          <w:sz w:val="24"/>
          <w:szCs w:val="24"/>
        </w:rPr>
        <w:t xml:space="preserve">  and a 30-day notice</w:t>
      </w:r>
      <w:r w:rsidR="00906BC3" w:rsidRPr="00906BC3">
        <w:rPr>
          <w:rStyle w:val="FootnoteReference"/>
          <w:rFonts w:ascii="Times New Roman" w:hAnsi="Times New Roman" w:cs="Times New Roman"/>
          <w:sz w:val="24"/>
          <w:szCs w:val="24"/>
          <w:vertAlign w:val="superscript"/>
        </w:rPr>
        <w:footnoteReference w:id="5"/>
      </w:r>
      <w:r w:rsidR="00906BC3">
        <w:rPr>
          <w:rFonts w:ascii="Times New Roman" w:hAnsi="Times New Roman" w:cs="Times New Roman"/>
          <w:sz w:val="24"/>
          <w:szCs w:val="24"/>
        </w:rPr>
        <w:t xml:space="preserve"> </w:t>
      </w:r>
      <w:r w:rsidRPr="00C84FE6">
        <w:rPr>
          <w:rFonts w:ascii="Times New Roman" w:hAnsi="Times New Roman" w:cs="Times New Roman"/>
          <w:sz w:val="24"/>
          <w:szCs w:val="24"/>
        </w:rPr>
        <w:t xml:space="preserve">to the public regarding </w:t>
      </w:r>
      <w:r w:rsidR="00E91CCD">
        <w:rPr>
          <w:rFonts w:ascii="Times New Roman" w:hAnsi="Times New Roman" w:cs="Times New Roman"/>
          <w:sz w:val="24"/>
          <w:szCs w:val="24"/>
        </w:rPr>
        <w:t>this information collection on 9/4</w:t>
      </w:r>
      <w:r w:rsidRPr="00C84FE6">
        <w:rPr>
          <w:rFonts w:ascii="Times New Roman" w:hAnsi="Times New Roman" w:cs="Times New Roman"/>
          <w:sz w:val="24"/>
          <w:szCs w:val="24"/>
        </w:rPr>
        <w:t xml:space="preserve">/2012 </w:t>
      </w:r>
      <w:r w:rsidRPr="000D4A24">
        <w:rPr>
          <w:rFonts w:ascii="Times New Roman" w:hAnsi="Times New Roman" w:cs="Times New Roman"/>
          <w:sz w:val="24"/>
          <w:szCs w:val="24"/>
        </w:rPr>
        <w:t xml:space="preserve">and </w:t>
      </w:r>
      <w:r w:rsidR="000D4A24" w:rsidRPr="000D4A24">
        <w:rPr>
          <w:rFonts w:ascii="Times New Roman" w:hAnsi="Times New Roman" w:cs="Times New Roman"/>
          <w:sz w:val="24"/>
          <w:szCs w:val="24"/>
        </w:rPr>
        <w:t>11/20</w:t>
      </w:r>
      <w:r w:rsidRPr="000D4A24">
        <w:rPr>
          <w:rFonts w:ascii="Times New Roman" w:hAnsi="Times New Roman" w:cs="Times New Roman"/>
          <w:sz w:val="24"/>
          <w:szCs w:val="24"/>
        </w:rPr>
        <w:t>/2012</w:t>
      </w:r>
      <w:r w:rsidRPr="00C84FE6">
        <w:rPr>
          <w:rFonts w:ascii="Times New Roman" w:hAnsi="Times New Roman" w:cs="Times New Roman"/>
          <w:sz w:val="24"/>
          <w:szCs w:val="24"/>
        </w:rPr>
        <w:t xml:space="preserve"> respectively. Within the public notice, the Commission noted that it would be requesting a three-year extension of the public reporting burden with no change to the existing requirements concer</w:t>
      </w:r>
      <w:r w:rsidR="00906BC3">
        <w:rPr>
          <w:rFonts w:ascii="Times New Roman" w:hAnsi="Times New Roman" w:cs="Times New Roman"/>
          <w:sz w:val="24"/>
          <w:szCs w:val="24"/>
        </w:rPr>
        <w:t>ning the collection of data.  The Commission received 0 comments regarding this information collection</w:t>
      </w:r>
      <w:r w:rsidRPr="00C84FE6">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84FE6" w:rsidP="00F12DC2">
      <w:pPr>
        <w:spacing w:after="0"/>
        <w:rPr>
          <w:rFonts w:ascii="Times New Roman" w:hAnsi="Times New Roman" w:cs="Times New Roman"/>
          <w:sz w:val="24"/>
          <w:szCs w:val="24"/>
        </w:rPr>
      </w:pPr>
      <w:r w:rsidRPr="00C84FE6">
        <w:rPr>
          <w:rFonts w:ascii="Times New Roman" w:hAnsi="Times New Roman" w:cs="Times New Roman"/>
          <w:sz w:val="24"/>
          <w:szCs w:val="24"/>
        </w:rPr>
        <w:t>There are no payments or gifts to FERC-715 respondents.</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D80FBD" w:rsidRDefault="00C84FE6" w:rsidP="008A21A4">
      <w:pPr>
        <w:spacing w:after="0"/>
        <w:rPr>
          <w:rFonts w:ascii="Times New Roman" w:hAnsi="Times New Roman" w:cs="Times New Roman"/>
          <w:sz w:val="24"/>
          <w:szCs w:val="24"/>
        </w:rPr>
      </w:pPr>
      <w:r w:rsidRPr="00C84FE6">
        <w:rPr>
          <w:rFonts w:ascii="Times New Roman" w:hAnsi="Times New Roman" w:cs="Times New Roman"/>
          <w:sz w:val="24"/>
          <w:szCs w:val="24"/>
        </w:rPr>
        <w:t xml:space="preserve">The Commission considers the information collected in FERC-715 filings to be Critical Energy Infrastructure Information (CEII). The </w:t>
      </w:r>
      <w:r w:rsidR="00906BC3">
        <w:rPr>
          <w:rFonts w:ascii="Times New Roman" w:hAnsi="Times New Roman" w:cs="Times New Roman"/>
          <w:sz w:val="24"/>
          <w:szCs w:val="24"/>
        </w:rPr>
        <w:t xml:space="preserve">Commission releases this </w:t>
      </w:r>
      <w:r w:rsidRPr="00C84FE6">
        <w:rPr>
          <w:rFonts w:ascii="Times New Roman" w:hAnsi="Times New Roman" w:cs="Times New Roman"/>
          <w:sz w:val="24"/>
          <w:szCs w:val="24"/>
        </w:rPr>
        <w:t>information only to requestors that file a request for CEII un</w:t>
      </w:r>
      <w:r>
        <w:rPr>
          <w:rFonts w:ascii="Times New Roman" w:hAnsi="Times New Roman" w:cs="Times New Roman"/>
          <w:sz w:val="24"/>
          <w:szCs w:val="24"/>
        </w:rPr>
        <w:t>der the appropriate regulations</w:t>
      </w:r>
      <w:r w:rsidRPr="00C84FE6">
        <w:rPr>
          <w:rFonts w:ascii="Times New Roman" w:hAnsi="Times New Roman" w:cs="Times New Roman"/>
          <w:sz w:val="24"/>
          <w:szCs w:val="24"/>
        </w:rPr>
        <w:t>.</w:t>
      </w:r>
      <w:r w:rsidRPr="00906BC3">
        <w:rPr>
          <w:rStyle w:val="FootnoteReference"/>
          <w:rFonts w:ascii="Times New Roman" w:hAnsi="Times New Roman" w:cs="Times New Roman"/>
          <w:sz w:val="24"/>
          <w:szCs w:val="24"/>
          <w:vertAlign w:val="superscript"/>
        </w:rPr>
        <w:footnoteReference w:id="6"/>
      </w:r>
      <w:r w:rsidRPr="00C84FE6">
        <w:rPr>
          <w:rFonts w:ascii="Times New Roman" w:hAnsi="Times New Roman" w:cs="Times New Roman"/>
          <w:sz w:val="24"/>
          <w:szCs w:val="24"/>
        </w:rPr>
        <w:t xml:space="preserve">  </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D80FBD" w:rsidRDefault="00C84FE6" w:rsidP="008A21A4">
      <w:pPr>
        <w:spacing w:after="0"/>
        <w:rPr>
          <w:rFonts w:ascii="Times New Roman" w:hAnsi="Times New Roman" w:cs="Times New Roman"/>
          <w:sz w:val="24"/>
          <w:szCs w:val="24"/>
        </w:rPr>
      </w:pPr>
      <w:r w:rsidRPr="00C84FE6">
        <w:rPr>
          <w:rFonts w:ascii="Times New Roman" w:hAnsi="Times New Roman" w:cs="Times New Roman"/>
          <w:sz w:val="24"/>
          <w:szCs w:val="24"/>
        </w:rPr>
        <w:t>The Commission does not consider any of the questions within the FERC-715 of a sensitive nature that would be considered private.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8A21A4" w:rsidRDefault="008A21A4"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Public Reporting Burden for </w:t>
      </w:r>
      <w:r w:rsidR="00BA7C56">
        <w:rPr>
          <w:rFonts w:ascii="Times New Roman" w:hAnsi="Times New Roman" w:cs="Times New Roman"/>
          <w:sz w:val="24"/>
          <w:szCs w:val="24"/>
        </w:rPr>
        <w:t>this information collection as:</w:t>
      </w:r>
    </w:p>
    <w:tbl>
      <w:tblPr>
        <w:tblpPr w:leftFromText="180" w:rightFromText="180" w:vertAnchor="text" w:horzAnchor="margin" w:tblpX="36" w:tblpY="22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530"/>
        <w:gridCol w:w="1800"/>
        <w:gridCol w:w="2178"/>
      </w:tblGrid>
      <w:tr w:rsidR="008E0240" w:rsidRPr="00D80FBD" w:rsidTr="008E0240">
        <w:trPr>
          <w:trHeight w:val="260"/>
        </w:trPr>
        <w:tc>
          <w:tcPr>
            <w:tcW w:w="8748" w:type="dxa"/>
            <w:gridSpan w:val="5"/>
            <w:shd w:val="clear" w:color="auto" w:fill="D9D9D9"/>
            <w:vAlign w:val="bottom"/>
          </w:tcPr>
          <w:p w:rsidR="008E0240" w:rsidRPr="00D80FBD" w:rsidRDefault="008E0240"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FERC-715:  Annual Electric Balancing Authority Area and Planning Area Report</w:t>
            </w:r>
          </w:p>
        </w:tc>
      </w:tr>
      <w:tr w:rsidR="008E0240" w:rsidRPr="00D80FBD" w:rsidTr="008E0240">
        <w:trPr>
          <w:trHeight w:val="1250"/>
        </w:trPr>
        <w:tc>
          <w:tcPr>
            <w:tcW w:w="1530" w:type="dxa"/>
            <w:shd w:val="clear" w:color="auto" w:fill="D9D9D9"/>
            <w:vAlign w:val="bottom"/>
          </w:tcPr>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Responses Per Respondent</w:t>
            </w:r>
          </w:p>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530" w:type="dxa"/>
            <w:shd w:val="clear" w:color="auto" w:fill="D9D9D9"/>
            <w:vAlign w:val="bottom"/>
          </w:tcPr>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(A)x(B)=(C)</w:t>
            </w:r>
          </w:p>
        </w:tc>
        <w:tc>
          <w:tcPr>
            <w:tcW w:w="1800" w:type="dxa"/>
            <w:shd w:val="clear" w:color="auto" w:fill="D9D9D9"/>
            <w:vAlign w:val="bottom"/>
          </w:tcPr>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2178" w:type="dxa"/>
            <w:shd w:val="clear" w:color="auto" w:fill="D9D9D9"/>
            <w:vAlign w:val="bottom"/>
          </w:tcPr>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8E0240" w:rsidRPr="00D80FBD" w:rsidRDefault="008E0240"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8E0240" w:rsidRPr="00D80FBD" w:rsidTr="008E0240">
        <w:tc>
          <w:tcPr>
            <w:tcW w:w="1530" w:type="dxa"/>
            <w:vAlign w:val="bottom"/>
          </w:tcPr>
          <w:p w:rsidR="008E0240" w:rsidRPr="00D80FBD" w:rsidRDefault="008E0240" w:rsidP="00D80FBD">
            <w:pPr>
              <w:pStyle w:val="LegalFormat"/>
              <w:numPr>
                <w:ilvl w:val="0"/>
                <w:numId w:val="0"/>
              </w:numPr>
              <w:spacing w:line="240" w:lineRule="auto"/>
              <w:jc w:val="right"/>
              <w:rPr>
                <w:sz w:val="24"/>
                <w:u w:val="none"/>
              </w:rPr>
            </w:pPr>
            <w:r>
              <w:rPr>
                <w:sz w:val="24"/>
                <w:u w:val="none"/>
              </w:rPr>
              <w:t>110</w:t>
            </w:r>
          </w:p>
        </w:tc>
        <w:tc>
          <w:tcPr>
            <w:tcW w:w="1710" w:type="dxa"/>
            <w:vAlign w:val="bottom"/>
          </w:tcPr>
          <w:p w:rsidR="008E0240" w:rsidRPr="00D80FBD" w:rsidRDefault="008E0240"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8E0240" w:rsidRPr="00D80FBD" w:rsidRDefault="008E0240" w:rsidP="00D80FBD">
            <w:pPr>
              <w:pStyle w:val="LegalFormat"/>
              <w:numPr>
                <w:ilvl w:val="0"/>
                <w:numId w:val="0"/>
              </w:numPr>
              <w:spacing w:line="240" w:lineRule="auto"/>
              <w:jc w:val="right"/>
              <w:rPr>
                <w:sz w:val="24"/>
                <w:u w:val="none"/>
              </w:rPr>
            </w:pPr>
            <w:r>
              <w:rPr>
                <w:sz w:val="24"/>
                <w:u w:val="none"/>
              </w:rPr>
              <w:t>110</w:t>
            </w:r>
          </w:p>
        </w:tc>
        <w:tc>
          <w:tcPr>
            <w:tcW w:w="1800" w:type="dxa"/>
            <w:vAlign w:val="bottom"/>
          </w:tcPr>
          <w:p w:rsidR="008E0240" w:rsidRPr="00D80FBD" w:rsidRDefault="008E0240" w:rsidP="00D80FBD">
            <w:pPr>
              <w:pStyle w:val="LegalFormat"/>
              <w:numPr>
                <w:ilvl w:val="0"/>
                <w:numId w:val="0"/>
              </w:numPr>
              <w:spacing w:line="240" w:lineRule="auto"/>
              <w:jc w:val="right"/>
              <w:rPr>
                <w:sz w:val="24"/>
                <w:u w:val="none"/>
              </w:rPr>
            </w:pPr>
            <w:r>
              <w:rPr>
                <w:sz w:val="24"/>
                <w:u w:val="none"/>
              </w:rPr>
              <w:t>160</w:t>
            </w:r>
          </w:p>
        </w:tc>
        <w:tc>
          <w:tcPr>
            <w:tcW w:w="2178" w:type="dxa"/>
            <w:vAlign w:val="bottom"/>
          </w:tcPr>
          <w:p w:rsidR="008E0240" w:rsidRPr="00D80FBD" w:rsidRDefault="008E0240" w:rsidP="00D80FBD">
            <w:pPr>
              <w:pStyle w:val="LegalFormat"/>
              <w:numPr>
                <w:ilvl w:val="0"/>
                <w:numId w:val="0"/>
              </w:numPr>
              <w:spacing w:line="240" w:lineRule="auto"/>
              <w:jc w:val="right"/>
              <w:rPr>
                <w:sz w:val="24"/>
                <w:u w:val="none"/>
              </w:rPr>
            </w:pPr>
            <w:r>
              <w:rPr>
                <w:sz w:val="24"/>
                <w:u w:val="none"/>
              </w:rPr>
              <w:t>17,600</w:t>
            </w:r>
          </w:p>
        </w:tc>
      </w:tr>
    </w:tbl>
    <w:p w:rsidR="00D80FBD" w:rsidRDefault="00D80FBD" w:rsidP="00D80FBD">
      <w:pPr>
        <w:spacing w:after="0"/>
        <w:rPr>
          <w:rFonts w:ascii="Times New Roman" w:hAnsi="Times New Roman" w:cs="Times New Roman"/>
          <w:sz w:val="24"/>
          <w:szCs w:val="24"/>
        </w:rPr>
      </w:pPr>
    </w:p>
    <w:p w:rsidR="008E0240" w:rsidRDefault="008E0240" w:rsidP="00D80FBD">
      <w:pPr>
        <w:spacing w:after="0"/>
        <w:rPr>
          <w:rFonts w:ascii="Times New Roman" w:hAnsi="Times New Roman" w:cs="Times New Roman"/>
          <w:sz w:val="24"/>
          <w:szCs w:val="24"/>
        </w:rPr>
      </w:pPr>
    </w:p>
    <w:p w:rsidR="008E0240" w:rsidRDefault="008E0240" w:rsidP="00D80FBD">
      <w:pPr>
        <w:spacing w:after="0"/>
        <w:rPr>
          <w:rFonts w:ascii="Times New Roman" w:hAnsi="Times New Roman" w:cs="Times New Roman"/>
          <w:sz w:val="24"/>
          <w:szCs w:val="24"/>
        </w:rPr>
      </w:pPr>
    </w:p>
    <w:p w:rsidR="008E0240" w:rsidRDefault="008E0240" w:rsidP="00D80FBD">
      <w:pPr>
        <w:spacing w:after="0"/>
        <w:rPr>
          <w:rFonts w:ascii="Times New Roman" w:hAnsi="Times New Roman" w:cs="Times New Roman"/>
          <w:sz w:val="24"/>
          <w:szCs w:val="24"/>
        </w:rPr>
      </w:pPr>
    </w:p>
    <w:p w:rsidR="008E0240" w:rsidRDefault="008E0240" w:rsidP="00D80FBD">
      <w:pPr>
        <w:spacing w:after="0"/>
        <w:rPr>
          <w:rFonts w:ascii="Times New Roman" w:hAnsi="Times New Roman" w:cs="Times New Roman"/>
          <w:sz w:val="24"/>
          <w:szCs w:val="24"/>
        </w:rPr>
      </w:pPr>
    </w:p>
    <w:p w:rsidR="008E0240" w:rsidRDefault="008E0240" w:rsidP="00D80FBD">
      <w:pPr>
        <w:spacing w:after="0"/>
        <w:rPr>
          <w:rFonts w:ascii="Times New Roman" w:hAnsi="Times New Roman" w:cs="Times New Roman"/>
          <w:sz w:val="24"/>
          <w:szCs w:val="24"/>
        </w:rPr>
      </w:pPr>
    </w:p>
    <w:p w:rsidR="008E0240" w:rsidRDefault="008E0240" w:rsidP="00D80FBD">
      <w:pPr>
        <w:spacing w:after="0"/>
        <w:rPr>
          <w:rFonts w:ascii="Times New Roman" w:hAnsi="Times New Roman" w:cs="Times New Roman"/>
          <w:sz w:val="24"/>
          <w:szCs w:val="24"/>
        </w:rPr>
      </w:pPr>
    </w:p>
    <w:p w:rsidR="00E11CA6" w:rsidRDefault="00E11CA6" w:rsidP="00D80FBD">
      <w:pPr>
        <w:spacing w:after="0"/>
        <w:rPr>
          <w:rFonts w:ascii="Times New Roman" w:hAnsi="Times New Roman" w:cs="Times New Roman"/>
          <w:sz w:val="24"/>
          <w:szCs w:val="24"/>
        </w:rPr>
      </w:pPr>
      <w:r>
        <w:rPr>
          <w:rFonts w:ascii="Times New Roman" w:hAnsi="Times New Roman" w:cs="Times New Roman"/>
          <w:sz w:val="24"/>
          <w:szCs w:val="24"/>
        </w:rPr>
        <w:t>The following table shows the labor cost associated with the burden hours.</w:t>
      </w:r>
    </w:p>
    <w:p w:rsidR="00BA7C56" w:rsidRDefault="00BA7C56" w:rsidP="00D80FBD">
      <w:pPr>
        <w:spacing w:after="0"/>
        <w:rPr>
          <w:rFonts w:ascii="Times New Roman" w:hAnsi="Times New Roman" w:cs="Times New Roman"/>
          <w:sz w:val="24"/>
          <w:szCs w:val="24"/>
        </w:rPr>
      </w:pPr>
    </w:p>
    <w:tbl>
      <w:tblPr>
        <w:tblW w:w="7417"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2385"/>
        <w:gridCol w:w="2062"/>
        <w:gridCol w:w="2970"/>
      </w:tblGrid>
      <w:tr w:rsidR="00D360ED" w:rsidRPr="00E636D7" w:rsidTr="00D360ED">
        <w:trPr>
          <w:trHeight w:val="395"/>
          <w:tblHeader/>
        </w:trPr>
        <w:tc>
          <w:tcPr>
            <w:tcW w:w="2385" w:type="dxa"/>
            <w:tcBorders>
              <w:bottom w:val="single" w:sz="6" w:space="0" w:color="auto"/>
            </w:tcBorders>
            <w:shd w:val="clear" w:color="auto" w:fill="D9D9D9"/>
            <w:vAlign w:val="bottom"/>
          </w:tcPr>
          <w:p w:rsidR="00D360ED" w:rsidRPr="00E636D7" w:rsidRDefault="00D360ED"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 xml:space="preserve">Annual Burden Hours </w:t>
            </w:r>
          </w:p>
          <w:p w:rsidR="00D360ED" w:rsidRPr="00E636D7" w:rsidRDefault="00D360ED"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w:t>
            </w:r>
          </w:p>
        </w:tc>
        <w:tc>
          <w:tcPr>
            <w:tcW w:w="2062" w:type="dxa"/>
            <w:tcBorders>
              <w:bottom w:val="single" w:sz="6" w:space="0" w:color="auto"/>
            </w:tcBorders>
            <w:shd w:val="clear" w:color="auto" w:fill="D9D9D9"/>
            <w:vAlign w:val="bottom"/>
          </w:tcPr>
          <w:p w:rsidR="00D360ED" w:rsidRPr="00E636D7" w:rsidRDefault="00D360ED"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Hourly Cost ($)</w:t>
            </w:r>
          </w:p>
          <w:p w:rsidR="00D360ED" w:rsidRPr="00E636D7" w:rsidRDefault="00D360ED"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(2)</w:t>
            </w:r>
          </w:p>
        </w:tc>
        <w:tc>
          <w:tcPr>
            <w:tcW w:w="2970" w:type="dxa"/>
            <w:tcBorders>
              <w:bottom w:val="single" w:sz="6" w:space="0" w:color="auto"/>
            </w:tcBorders>
            <w:shd w:val="clear" w:color="auto" w:fill="D9D9D9"/>
            <w:vAlign w:val="bottom"/>
          </w:tcPr>
          <w:p w:rsidR="00D360ED" w:rsidRPr="00E636D7" w:rsidRDefault="00D360ED"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Total  Annual Cost to Respondents ($)</w:t>
            </w:r>
          </w:p>
          <w:p w:rsidR="00D360ED" w:rsidRPr="00E636D7" w:rsidRDefault="00D360ED"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 X (2)</w:t>
            </w:r>
          </w:p>
        </w:tc>
      </w:tr>
      <w:tr w:rsidR="00D360ED" w:rsidRPr="00E636D7" w:rsidTr="00D360ED">
        <w:trPr>
          <w:trHeight w:val="219"/>
        </w:trPr>
        <w:tc>
          <w:tcPr>
            <w:tcW w:w="2385" w:type="dxa"/>
            <w:tcBorders>
              <w:top w:val="single" w:sz="6" w:space="0" w:color="auto"/>
            </w:tcBorders>
            <w:shd w:val="clear" w:color="auto" w:fill="auto"/>
            <w:vAlign w:val="center"/>
          </w:tcPr>
          <w:p w:rsidR="00D360ED" w:rsidRPr="00E636D7" w:rsidRDefault="00D360ED"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17,600</w:t>
            </w:r>
          </w:p>
        </w:tc>
        <w:tc>
          <w:tcPr>
            <w:tcW w:w="2062" w:type="dxa"/>
            <w:tcBorders>
              <w:top w:val="single" w:sz="6" w:space="0" w:color="auto"/>
            </w:tcBorders>
            <w:shd w:val="clear" w:color="auto" w:fill="auto"/>
            <w:vAlign w:val="center"/>
          </w:tcPr>
          <w:p w:rsidR="00D360ED" w:rsidRPr="00E636D7" w:rsidRDefault="00D360ED"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$69.01</w:t>
            </w:r>
            <w:r w:rsidRPr="001A6397">
              <w:rPr>
                <w:rStyle w:val="FootnoteReference"/>
                <w:rFonts w:ascii="Times New Roman" w:hAnsi="Times New Roman" w:cs="Times New Roman"/>
                <w:sz w:val="24"/>
                <w:szCs w:val="24"/>
                <w:vertAlign w:val="superscript"/>
              </w:rPr>
              <w:footnoteReference w:id="7"/>
            </w:r>
          </w:p>
        </w:tc>
        <w:tc>
          <w:tcPr>
            <w:tcW w:w="2970" w:type="dxa"/>
            <w:tcBorders>
              <w:top w:val="single" w:sz="6" w:space="0" w:color="auto"/>
            </w:tcBorders>
            <w:shd w:val="clear" w:color="auto" w:fill="auto"/>
            <w:vAlign w:val="center"/>
          </w:tcPr>
          <w:p w:rsidR="00D360ED" w:rsidRPr="00E636D7" w:rsidRDefault="00D360ED"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$1,214,576</w:t>
            </w:r>
          </w:p>
        </w:tc>
      </w:tr>
    </w:tbl>
    <w:p w:rsidR="00D80FBD" w:rsidRPr="00D80FBD" w:rsidRDefault="00D80FBD" w:rsidP="00D80FBD">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906BC3" w:rsidRDefault="00906BC3" w:rsidP="00E636D7">
      <w:pPr>
        <w:spacing w:after="0"/>
        <w:rPr>
          <w:rFonts w:ascii="Times New Roman" w:hAnsi="Times New Roman" w:cs="Times New Roman"/>
          <w:sz w:val="24"/>
          <w:szCs w:val="24"/>
        </w:rPr>
      </w:pPr>
    </w:p>
    <w:p w:rsidR="005F1C3C" w:rsidRPr="00560C20" w:rsidRDefault="005F1C3C" w:rsidP="00E636D7">
      <w:pPr>
        <w:spacing w:after="0"/>
        <w:rPr>
          <w:rFonts w:ascii="Times New Roman" w:hAnsi="Times New Roman" w:cs="Times New Roman"/>
          <w:sz w:val="24"/>
          <w:szCs w:val="24"/>
        </w:rPr>
      </w:pPr>
      <w:r w:rsidRPr="00560C20">
        <w:rPr>
          <w:rFonts w:ascii="Times New Roman" w:hAnsi="Times New Roman" w:cs="Times New Roman"/>
          <w:sz w:val="24"/>
          <w:szCs w:val="24"/>
        </w:rPr>
        <w:t>Total Cap</w:t>
      </w:r>
      <w:r w:rsidR="00560C20">
        <w:rPr>
          <w:rFonts w:ascii="Times New Roman" w:hAnsi="Times New Roman" w:cs="Times New Roman"/>
          <w:sz w:val="24"/>
          <w:szCs w:val="24"/>
        </w:rPr>
        <w:t>ital and Start-up cost: $0</w:t>
      </w:r>
    </w:p>
    <w:p w:rsidR="00E636D7" w:rsidRDefault="005F1C3C" w:rsidP="00E636D7">
      <w:pPr>
        <w:spacing w:after="0"/>
        <w:rPr>
          <w:rFonts w:ascii="Times New Roman" w:hAnsi="Times New Roman" w:cs="Times New Roman"/>
          <w:sz w:val="24"/>
          <w:szCs w:val="24"/>
        </w:rPr>
      </w:pPr>
      <w:r w:rsidRPr="00560C20">
        <w:rPr>
          <w:rFonts w:ascii="Times New Roman" w:hAnsi="Times New Roman" w:cs="Times New Roman"/>
          <w:sz w:val="24"/>
          <w:szCs w:val="24"/>
        </w:rPr>
        <w:t>Total Operation, Maintenance, and Purchase of Services</w:t>
      </w:r>
      <w:r w:rsidR="00560C20">
        <w:rPr>
          <w:rFonts w:ascii="Times New Roman" w:hAnsi="Times New Roman" w:cs="Times New Roman"/>
          <w:sz w:val="24"/>
          <w:szCs w:val="24"/>
        </w:rPr>
        <w:t>: $0</w:t>
      </w:r>
    </w:p>
    <w:p w:rsidR="00E636D7" w:rsidRPr="00E636D7" w:rsidRDefault="00E636D7" w:rsidP="00E636D7">
      <w:pPr>
        <w:spacing w:after="0"/>
        <w:rPr>
          <w:rFonts w:ascii="Times New Roman" w:hAnsi="Times New Roman" w:cs="Times New Roman"/>
          <w:sz w:val="24"/>
          <w:szCs w:val="24"/>
        </w:rPr>
      </w:pPr>
    </w:p>
    <w:p w:rsidR="008A21A4" w:rsidRPr="001F5574" w:rsidRDefault="00A276F5" w:rsidP="0053287C">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575B67" w:rsidRPr="00A276F5" w:rsidTr="007E120C">
        <w:tc>
          <w:tcPr>
            <w:tcW w:w="3182" w:type="dxa"/>
            <w:shd w:val="clear" w:color="auto" w:fill="CCCCCC"/>
          </w:tcPr>
          <w:p w:rsidR="00575B67" w:rsidRPr="00A276F5" w:rsidRDefault="00575B67" w:rsidP="007E120C">
            <w:pPr>
              <w:spacing w:after="0" w:line="240" w:lineRule="auto"/>
              <w:rPr>
                <w:rFonts w:ascii="Times New Roman" w:hAnsi="Times New Roman" w:cs="Times New Roman"/>
                <w:sz w:val="24"/>
                <w:szCs w:val="24"/>
              </w:rPr>
            </w:pPr>
          </w:p>
        </w:tc>
        <w:tc>
          <w:tcPr>
            <w:tcW w:w="3201" w:type="dxa"/>
            <w:shd w:val="clear" w:color="auto" w:fill="CCCCCC"/>
          </w:tcPr>
          <w:p w:rsidR="00575B67" w:rsidRPr="00A276F5" w:rsidRDefault="00575B67" w:rsidP="007E120C">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rsidR="00575B67" w:rsidRPr="00A276F5" w:rsidRDefault="00575B67" w:rsidP="007E120C">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575B67" w:rsidRPr="00A276F5" w:rsidTr="007E120C">
        <w:tc>
          <w:tcPr>
            <w:tcW w:w="3182" w:type="dxa"/>
            <w:shd w:val="clear" w:color="auto" w:fill="auto"/>
          </w:tcPr>
          <w:p w:rsidR="00575B67" w:rsidRPr="00A276F5" w:rsidRDefault="00575B67" w:rsidP="007E120C">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8"/>
            </w:r>
          </w:p>
        </w:tc>
        <w:tc>
          <w:tcPr>
            <w:tcW w:w="3201" w:type="dxa"/>
            <w:tcBorders>
              <w:bottom w:val="single" w:sz="4" w:space="0" w:color="auto"/>
            </w:tcBorders>
            <w:shd w:val="clear" w:color="auto" w:fill="auto"/>
            <w:vAlign w:val="center"/>
          </w:tcPr>
          <w:p w:rsidR="00575B67" w:rsidRPr="00A276F5" w:rsidRDefault="00575B67" w:rsidP="007E120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0.048</w:t>
            </w:r>
          </w:p>
        </w:tc>
        <w:tc>
          <w:tcPr>
            <w:tcW w:w="2995" w:type="dxa"/>
            <w:shd w:val="clear" w:color="auto" w:fill="auto"/>
            <w:vAlign w:val="center"/>
          </w:tcPr>
          <w:p w:rsidR="00575B67" w:rsidRPr="00701737" w:rsidRDefault="00575B67" w:rsidP="007E120C">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w:t>
            </w:r>
            <w:r>
              <w:rPr>
                <w:rFonts w:ascii="Times New Roman" w:hAnsi="Times New Roman" w:cs="Times New Roman"/>
                <w:sz w:val="24"/>
                <w:szCs w:val="24"/>
              </w:rPr>
              <w:t>6,890</w:t>
            </w:r>
          </w:p>
        </w:tc>
      </w:tr>
      <w:tr w:rsidR="00575B67" w:rsidRPr="00A276F5" w:rsidTr="007E120C">
        <w:tc>
          <w:tcPr>
            <w:tcW w:w="3182" w:type="dxa"/>
            <w:shd w:val="clear" w:color="auto" w:fill="auto"/>
          </w:tcPr>
          <w:p w:rsidR="00575B67" w:rsidRPr="00A276F5" w:rsidRDefault="00575B67" w:rsidP="007E120C">
            <w:pPr>
              <w:spacing w:after="0" w:line="240" w:lineRule="auto"/>
              <w:rPr>
                <w:rFonts w:ascii="Times New Roman" w:hAnsi="Times New Roman" w:cs="Times New Roman"/>
                <w:sz w:val="24"/>
                <w:szCs w:val="24"/>
              </w:rPr>
            </w:pPr>
            <w:r>
              <w:rPr>
                <w:rFonts w:ascii="Times New Roman" w:hAnsi="Times New Roman" w:cs="Times New Roman"/>
                <w:sz w:val="24"/>
                <w:szCs w:val="24"/>
              </w:rPr>
              <w:t>PRA</w:t>
            </w:r>
            <w:r w:rsidRPr="0094624A">
              <w:rPr>
                <w:rStyle w:val="FootnoteReference"/>
                <w:rFonts w:ascii="Times New Roman" w:hAnsi="Times New Roman" w:cs="Times New Roman"/>
                <w:sz w:val="24"/>
                <w:szCs w:val="24"/>
                <w:vertAlign w:val="superscript"/>
              </w:rPr>
              <w:footnoteReference w:id="9"/>
            </w:r>
            <w:r>
              <w:rPr>
                <w:rFonts w:ascii="Times New Roman" w:hAnsi="Times New Roman" w:cs="Times New Roman"/>
                <w:sz w:val="24"/>
                <w:szCs w:val="24"/>
              </w:rPr>
              <w:t xml:space="preserve"> Administrative Cost</w:t>
            </w:r>
            <w:r w:rsidRPr="0094624A">
              <w:rPr>
                <w:rStyle w:val="FootnoteReference"/>
                <w:rFonts w:ascii="Times New Roman" w:hAnsi="Times New Roman" w:cs="Times New Roman"/>
                <w:sz w:val="24"/>
                <w:szCs w:val="24"/>
                <w:vertAlign w:val="superscript"/>
              </w:rPr>
              <w:footnoteReference w:id="10"/>
            </w:r>
          </w:p>
        </w:tc>
        <w:tc>
          <w:tcPr>
            <w:tcW w:w="3201" w:type="dxa"/>
            <w:vMerge w:val="restart"/>
            <w:shd w:val="clear" w:color="auto" w:fill="D9D9D9" w:themeFill="background1" w:themeFillShade="D9"/>
            <w:vAlign w:val="center"/>
          </w:tcPr>
          <w:p w:rsidR="00575B67" w:rsidRPr="00A276F5" w:rsidRDefault="00575B67" w:rsidP="007E120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75B67" w:rsidRPr="00701737" w:rsidRDefault="00575B67" w:rsidP="007E120C">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$1,588</w:t>
            </w:r>
          </w:p>
        </w:tc>
      </w:tr>
      <w:tr w:rsidR="00575B67" w:rsidRPr="00A276F5" w:rsidTr="007E120C">
        <w:tc>
          <w:tcPr>
            <w:tcW w:w="3182" w:type="dxa"/>
            <w:shd w:val="clear" w:color="auto" w:fill="auto"/>
          </w:tcPr>
          <w:p w:rsidR="00575B67" w:rsidRPr="00A276F5" w:rsidRDefault="00575B67" w:rsidP="007E120C">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75B67" w:rsidRPr="00A276F5" w:rsidRDefault="00575B67" w:rsidP="007E120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75B67" w:rsidRPr="00701737" w:rsidRDefault="00575B67" w:rsidP="007E120C">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w:t>
            </w:r>
            <w:r>
              <w:rPr>
                <w:rFonts w:ascii="Times New Roman" w:hAnsi="Times New Roman" w:cs="Times New Roman"/>
                <w:sz w:val="24"/>
                <w:szCs w:val="24"/>
              </w:rPr>
              <w:t>8,478</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654245" w:rsidRDefault="001F5574" w:rsidP="00654245">
      <w:pPr>
        <w:spacing w:after="0"/>
        <w:rPr>
          <w:rFonts w:ascii="Times New Roman" w:hAnsi="Times New Roman" w:cs="Times New Roman"/>
          <w:sz w:val="24"/>
          <w:szCs w:val="24"/>
        </w:rPr>
      </w:pPr>
      <w:r w:rsidRPr="001F5574">
        <w:rPr>
          <w:rFonts w:ascii="Times New Roman" w:hAnsi="Times New Roman" w:cs="Times New Roman"/>
          <w:sz w:val="24"/>
          <w:szCs w:val="24"/>
        </w:rPr>
        <w:t>The requirements within FERC-715 did not change.  Thus, there is no significant change in burden from the last date of submittal.</w:t>
      </w:r>
      <w:r w:rsidR="00654245">
        <w:rPr>
          <w:rFonts w:ascii="Times New Roman" w:hAnsi="Times New Roman" w:cs="Times New Roman"/>
          <w:sz w:val="24"/>
          <w:szCs w:val="24"/>
        </w:rPr>
        <w:t xml:space="preserve">  The decrease in the number of filers is due primarily to filers electing to collaborate and submit a single, regional filings in lieu of multiple company-specific filings.</w:t>
      </w:r>
      <w:r w:rsidR="002B0C93">
        <w:rPr>
          <w:rFonts w:ascii="Times New Roman" w:hAnsi="Times New Roman" w:cs="Times New Roman"/>
          <w:sz w:val="24"/>
          <w:szCs w:val="24"/>
        </w:rPr>
        <w:t xml:space="preserve">  Specifically, the estimated burden here is based on FERC’s receipt of exactly 110 responses in 2012.</w:t>
      </w:r>
    </w:p>
    <w:p w:rsidR="0057700F" w:rsidRDefault="0057700F" w:rsidP="0057700F">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lastRenderedPageBreak/>
              <w:t>FERC-</w:t>
            </w:r>
            <w:r w:rsidR="00575B67">
              <w:rPr>
                <w:rFonts w:ascii="Times New Roman" w:hAnsi="Times New Roman" w:cs="Times New Roman"/>
                <w:b/>
                <w:sz w:val="24"/>
                <w:szCs w:val="24"/>
              </w:rPr>
              <w:t>715</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110</w:t>
            </w:r>
          </w:p>
        </w:tc>
        <w:tc>
          <w:tcPr>
            <w:tcW w:w="162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120</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17,600</w:t>
            </w:r>
          </w:p>
        </w:tc>
        <w:tc>
          <w:tcPr>
            <w:tcW w:w="162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19,200</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1,600</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D80FBD" w:rsidRDefault="001F5574" w:rsidP="00575B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75B67">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$1,184,280</w:t>
            </w:r>
          </w:p>
        </w:tc>
        <w:tc>
          <w:tcPr>
            <w:tcW w:w="1800" w:type="dxa"/>
            <w:tcBorders>
              <w:bottom w:val="single" w:sz="4" w:space="0" w:color="auto"/>
            </w:tcBorders>
            <w:shd w:val="clear" w:color="auto" w:fill="auto"/>
            <w:vAlign w:val="center"/>
          </w:tcPr>
          <w:p w:rsidR="00C01698" w:rsidRPr="00D80FBD" w:rsidRDefault="00575B67" w:rsidP="00575B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F5574">
              <w:rPr>
                <w:rFonts w:ascii="Times New Roman" w:hAnsi="Times New Roman" w:cs="Times New Roman"/>
                <w:sz w:val="24"/>
                <w:szCs w:val="24"/>
              </w:rPr>
              <w:t>$</w:t>
            </w:r>
            <w:r>
              <w:rPr>
                <w:rFonts w:ascii="Times New Roman" w:hAnsi="Times New Roman" w:cs="Times New Roman"/>
                <w:sz w:val="24"/>
                <w:szCs w:val="24"/>
              </w:rPr>
              <w:t>1,184,280</w:t>
            </w:r>
          </w:p>
        </w:tc>
        <w:tc>
          <w:tcPr>
            <w:tcW w:w="1800" w:type="dxa"/>
            <w:tcBorders>
              <w:bottom w:val="single" w:sz="4" w:space="0" w:color="auto"/>
            </w:tcBorders>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C01698" w:rsidRDefault="00C01698" w:rsidP="00A276F5">
      <w:pPr>
        <w:spacing w:after="0"/>
        <w:rPr>
          <w:rFonts w:ascii="Times New Roman" w:hAnsi="Times New Roman" w:cs="Times New Roman"/>
          <w:sz w:val="24"/>
          <w:szCs w:val="24"/>
        </w:rPr>
      </w:pPr>
    </w:p>
    <w:p w:rsidR="00CC778C" w:rsidRDefault="00CC778C" w:rsidP="00A276F5">
      <w:pPr>
        <w:spacing w:after="0"/>
        <w:rPr>
          <w:rFonts w:ascii="Times New Roman" w:hAnsi="Times New Roman" w:cs="Times New Roman"/>
          <w:sz w:val="24"/>
          <w:szCs w:val="24"/>
        </w:rPr>
      </w:pPr>
      <w:r w:rsidRPr="00CC778C">
        <w:rPr>
          <w:rFonts w:ascii="Times New Roman" w:hAnsi="Times New Roman" w:cs="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w:t>
      </w:r>
      <w:r w:rsidR="003F52BD">
        <w:rPr>
          <w:rFonts w:ascii="Times New Roman" w:hAnsi="Times New Roman" w:cs="Times New Roman"/>
          <w:sz w:val="24"/>
          <w:szCs w:val="24"/>
        </w:rPr>
        <w:t>den reported in hours</w:t>
      </w:r>
      <w:r w:rsidRPr="00CC778C">
        <w:rPr>
          <w:rFonts w:ascii="Times New Roman" w:hAnsi="Times New Roman" w:cs="Times New Roman"/>
          <w:sz w:val="24"/>
          <w:szCs w:val="24"/>
        </w:rPr>
        <w:t>.  Therefore, Commission staff corrected the industry’s annual cost burden within the ROCIS metadata to show that the Commission associates no cost to capital investment or other non-labor costs.  The Commission estimates the monetary cost related to the burden hours in #1</w:t>
      </w:r>
      <w:r w:rsidR="00AC4EBC">
        <w:rPr>
          <w:rFonts w:ascii="Times New Roman" w:hAnsi="Times New Roman" w:cs="Times New Roman"/>
          <w:sz w:val="24"/>
          <w:szCs w:val="24"/>
        </w:rPr>
        <w:t>2</w:t>
      </w:r>
      <w:bookmarkStart w:id="0" w:name="_GoBack"/>
      <w:bookmarkEnd w:id="0"/>
      <w:r w:rsidRPr="00CC778C">
        <w:rPr>
          <w:rFonts w:ascii="Times New Roman" w:hAnsi="Times New Roman" w:cs="Times New Roman"/>
          <w:sz w:val="24"/>
          <w:szCs w:val="24"/>
        </w:rPr>
        <w:t xml:space="preserve"> (above).  Th</w:t>
      </w:r>
      <w:r w:rsidR="002028BB">
        <w:rPr>
          <w:rFonts w:ascii="Times New Roman" w:hAnsi="Times New Roman" w:cs="Times New Roman"/>
          <w:sz w:val="24"/>
          <w:szCs w:val="24"/>
        </w:rPr>
        <w:t>e</w:t>
      </w:r>
      <w:r w:rsidRPr="00CC778C">
        <w:rPr>
          <w:rFonts w:ascii="Times New Roman" w:hAnsi="Times New Roman" w:cs="Times New Roman"/>
          <w:sz w:val="24"/>
          <w:szCs w:val="24"/>
        </w:rPr>
        <w:t xml:space="preserve"> Commission erroneously represented</w:t>
      </w:r>
      <w:r>
        <w:rPr>
          <w:rFonts w:ascii="Times New Roman" w:hAnsi="Times New Roman" w:cs="Times New Roman"/>
          <w:sz w:val="24"/>
          <w:szCs w:val="24"/>
        </w:rPr>
        <w:t xml:space="preserve"> these data in previous FERC-715</w:t>
      </w:r>
      <w:r w:rsidRPr="00CC778C">
        <w:rPr>
          <w:rFonts w:ascii="Times New Roman" w:hAnsi="Times New Roman" w:cs="Times New Roman"/>
          <w:sz w:val="24"/>
          <w:szCs w:val="24"/>
        </w:rPr>
        <w:t xml:space="preserve"> supporting statements.  Commission staff corrected the error within the current proposed clearance package.</w:t>
      </w:r>
    </w:p>
    <w:p w:rsidR="00CC778C" w:rsidRDefault="00CC778C" w:rsidP="00A276F5">
      <w:pPr>
        <w:spacing w:after="0"/>
        <w:rPr>
          <w:rFonts w:ascii="Times New Roman" w:hAnsi="Times New Roman" w:cs="Times New Roman"/>
          <w:sz w:val="24"/>
          <w:szCs w:val="24"/>
        </w:rPr>
      </w:pPr>
    </w:p>
    <w:p w:rsidR="00B71E9C"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The format, label, and definitions of the table above follow the ROCIS system’s “ICR Summar</w:t>
      </w:r>
      <w:r w:rsidR="00BA7C56">
        <w:rPr>
          <w:rFonts w:ascii="Times New Roman" w:hAnsi="Times New Roman" w:cs="Times New Roman"/>
          <w:sz w:val="24"/>
          <w:szCs w:val="24"/>
        </w:rPr>
        <w:t>y of Burden” for the meta-data.</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7700F" w:rsidRDefault="001F5574" w:rsidP="0057700F">
      <w:pPr>
        <w:spacing w:after="0"/>
        <w:rPr>
          <w:rFonts w:ascii="Times New Roman" w:hAnsi="Times New Roman" w:cs="Times New Roman"/>
          <w:sz w:val="24"/>
          <w:szCs w:val="24"/>
        </w:rPr>
      </w:pPr>
      <w:r w:rsidRPr="001F5574">
        <w:rPr>
          <w:rFonts w:ascii="Times New Roman" w:hAnsi="Times New Roman" w:cs="Times New Roman"/>
          <w:sz w:val="24"/>
          <w:szCs w:val="24"/>
        </w:rPr>
        <w:t>There are no tabulating, statistical or tabulating analysis or publication plans for the collection of information.  The data are used for regulatory purposes only.</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7700F" w:rsidRDefault="001F5574" w:rsidP="0057700F">
      <w:pPr>
        <w:spacing w:after="0"/>
        <w:rPr>
          <w:rFonts w:ascii="Times New Roman" w:hAnsi="Times New Roman" w:cs="Times New Roman"/>
          <w:sz w:val="24"/>
          <w:szCs w:val="24"/>
        </w:rPr>
      </w:pPr>
      <w:r w:rsidRPr="001F5574">
        <w:rPr>
          <w:rFonts w:ascii="Times New Roman" w:hAnsi="Times New Roman" w:cs="Times New Roman"/>
          <w:sz w:val="24"/>
          <w:szCs w:val="24"/>
        </w:rPr>
        <w:t>It is not appropriate to display the expiration date for OMB approval of the information collection pursuant to 18 CFR 141.300.  The</w:t>
      </w:r>
      <w:r>
        <w:rPr>
          <w:rFonts w:ascii="Times New Roman" w:hAnsi="Times New Roman" w:cs="Times New Roman"/>
          <w:sz w:val="24"/>
          <w:szCs w:val="24"/>
        </w:rPr>
        <w:t xml:space="preserve"> Commission does not collect the</w:t>
      </w:r>
      <w:r w:rsidRPr="001F5574">
        <w:rPr>
          <w:rFonts w:ascii="Times New Roman" w:hAnsi="Times New Roman" w:cs="Times New Roman"/>
          <w:sz w:val="24"/>
          <w:szCs w:val="24"/>
        </w:rPr>
        <w:t xml:space="preserve"> information upon a standard form which would facilitate the display of the expiration date for OMB approval.</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970FE4" w:rsidRDefault="001F5574" w:rsidP="0057700F">
      <w:pPr>
        <w:spacing w:after="0"/>
        <w:rPr>
          <w:rFonts w:ascii="Times New Roman" w:hAnsi="Times New Roman" w:cs="Times New Roman"/>
          <w:sz w:val="24"/>
          <w:szCs w:val="24"/>
        </w:rPr>
      </w:pPr>
      <w:r w:rsidRPr="001F5574">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1F5574">
        <w:rPr>
          <w:rFonts w:ascii="Times New Roman" w:hAnsi="Times New Roman" w:cs="Times New Roman"/>
          <w:sz w:val="24"/>
          <w:szCs w:val="24"/>
        </w:rPr>
        <w:t>i</w:t>
      </w:r>
      <w:proofErr w:type="spellEnd"/>
      <w:r w:rsidRPr="001F5574">
        <w:rPr>
          <w:rFonts w:ascii="Times New Roman" w:hAnsi="Times New Roman" w:cs="Times New Roman"/>
          <w:sz w:val="24"/>
          <w:szCs w:val="24"/>
        </w:rPr>
        <w:t>) of the certification to OMB "effective and efficient statistical survey methodology."  The information collected is case specific to each information collection.</w:t>
      </w:r>
    </w:p>
    <w:p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C7" w:rsidRDefault="001B24C7" w:rsidP="00FD66F1">
      <w:pPr>
        <w:spacing w:after="0" w:line="240" w:lineRule="auto"/>
      </w:pPr>
      <w:r>
        <w:separator/>
      </w:r>
    </w:p>
  </w:endnote>
  <w:endnote w:type="continuationSeparator" w:id="0">
    <w:p w:rsidR="001B24C7" w:rsidRDefault="001B24C7"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C7" w:rsidRDefault="001B24C7" w:rsidP="00FD66F1">
      <w:pPr>
        <w:spacing w:after="0" w:line="240" w:lineRule="auto"/>
      </w:pPr>
      <w:r>
        <w:separator/>
      </w:r>
    </w:p>
  </w:footnote>
  <w:footnote w:type="continuationSeparator" w:id="0">
    <w:p w:rsidR="001B24C7" w:rsidRDefault="001B24C7" w:rsidP="00FD66F1">
      <w:pPr>
        <w:spacing w:after="0" w:line="240" w:lineRule="auto"/>
      </w:pPr>
      <w:r>
        <w:continuationSeparator/>
      </w:r>
    </w:p>
  </w:footnote>
  <w:footnote w:id="1">
    <w:p w:rsidR="00D360ED" w:rsidRDefault="00D360ED">
      <w:pPr>
        <w:pStyle w:val="FootnoteText"/>
      </w:pPr>
      <w:r>
        <w:rPr>
          <w:rStyle w:val="FootnoteReference"/>
        </w:rPr>
        <w:footnoteRef/>
      </w:r>
      <w:r>
        <w:t xml:space="preserve"> 75 FR 61080</w:t>
      </w:r>
    </w:p>
  </w:footnote>
  <w:footnote w:id="2">
    <w:p w:rsidR="00D360ED" w:rsidRDefault="00D360ED">
      <w:pPr>
        <w:pStyle w:val="FootnoteText"/>
      </w:pPr>
      <w:r>
        <w:rPr>
          <w:rStyle w:val="FootnoteReference"/>
        </w:rPr>
        <w:footnoteRef/>
      </w:r>
      <w:r>
        <w:t xml:space="preserve"> 16 USC 842l</w:t>
      </w:r>
    </w:p>
  </w:footnote>
  <w:footnote w:id="3">
    <w:p w:rsidR="00D360ED" w:rsidRDefault="00D360ED">
      <w:pPr>
        <w:pStyle w:val="FootnoteText"/>
      </w:pPr>
      <w:r>
        <w:rPr>
          <w:rStyle w:val="FootnoteReference"/>
        </w:rPr>
        <w:footnoteRef/>
      </w:r>
      <w:r>
        <w:t xml:space="preserve"> </w:t>
      </w:r>
      <w:hyperlink r:id="rId1" w:history="1">
        <w:r>
          <w:rPr>
            <w:rStyle w:val="Hyperlink"/>
          </w:rPr>
          <w:t>http://www.ferc.gov/docs-filing/forms/form-715/overview.asp</w:t>
        </w:r>
      </w:hyperlink>
    </w:p>
  </w:footnote>
  <w:footnote w:id="4">
    <w:p w:rsidR="00D360ED" w:rsidRDefault="00D360ED">
      <w:pPr>
        <w:pStyle w:val="FootnoteText"/>
      </w:pPr>
      <w:r>
        <w:rPr>
          <w:rStyle w:val="FootnoteReference"/>
        </w:rPr>
        <w:footnoteRef/>
      </w:r>
      <w:r>
        <w:t xml:space="preserve"> 77 FR 53877</w:t>
      </w:r>
    </w:p>
  </w:footnote>
  <w:footnote w:id="5">
    <w:p w:rsidR="00D360ED" w:rsidRDefault="00D360ED">
      <w:pPr>
        <w:pStyle w:val="FootnoteText"/>
      </w:pPr>
      <w:r>
        <w:rPr>
          <w:rStyle w:val="FootnoteReference"/>
        </w:rPr>
        <w:footnoteRef/>
      </w:r>
      <w:r>
        <w:t xml:space="preserve"> 77 FR </w:t>
      </w:r>
      <w:r w:rsidR="000D4A24">
        <w:t>69615</w:t>
      </w:r>
    </w:p>
  </w:footnote>
  <w:footnote w:id="6">
    <w:p w:rsidR="00D360ED" w:rsidRDefault="00D360ED">
      <w:pPr>
        <w:pStyle w:val="FootnoteText"/>
      </w:pPr>
      <w:r>
        <w:rPr>
          <w:rStyle w:val="FootnoteReference"/>
        </w:rPr>
        <w:footnoteRef/>
      </w:r>
      <w:r>
        <w:t xml:space="preserve"> 18 CFR 388.113</w:t>
      </w:r>
    </w:p>
  </w:footnote>
  <w:footnote w:id="7">
    <w:p w:rsidR="00D360ED" w:rsidRDefault="00D360ED">
      <w:pPr>
        <w:pStyle w:val="FootnoteText"/>
      </w:pPr>
      <w:r>
        <w:rPr>
          <w:rStyle w:val="FootnoteReference"/>
        </w:rPr>
        <w:footnoteRef/>
      </w:r>
      <w:r>
        <w:t xml:space="preserve"> This figure is rounded to the nearest cent</w:t>
      </w:r>
    </w:p>
  </w:footnote>
  <w:footnote w:id="8">
    <w:p w:rsidR="00D360ED" w:rsidRPr="002E1D1B" w:rsidRDefault="00D360ED" w:rsidP="00575B67">
      <w:pPr>
        <w:pStyle w:val="FootnoteText"/>
      </w:pPr>
      <w:r w:rsidRPr="002E1D1B">
        <w:rPr>
          <w:rStyle w:val="FootnoteReference"/>
        </w:rPr>
        <w:footnoteRef/>
      </w:r>
      <w:r w:rsidRPr="002E1D1B">
        <w:t xml:space="preserve"> Based upon 2012 FTE average salary</w:t>
      </w:r>
      <w:r>
        <w:t xml:space="preserve"> plus benefits</w:t>
      </w:r>
      <w:r w:rsidRPr="002E1D1B">
        <w:t xml:space="preserve"> ($143,540)</w:t>
      </w:r>
    </w:p>
  </w:footnote>
  <w:footnote w:id="9">
    <w:p w:rsidR="00D360ED" w:rsidRPr="002E1D1B" w:rsidRDefault="00D360ED" w:rsidP="00575B67">
      <w:pPr>
        <w:pStyle w:val="FootnoteText"/>
      </w:pPr>
      <w:r w:rsidRPr="002E1D1B">
        <w:rPr>
          <w:rStyle w:val="FootnoteReference"/>
        </w:rPr>
        <w:footnoteRef/>
      </w:r>
      <w:r w:rsidRPr="002E1D1B">
        <w:t xml:space="preserve"> Paperwork Reduction Act of 1995 (PRA)</w:t>
      </w:r>
    </w:p>
  </w:footnote>
  <w:footnote w:id="10">
    <w:p w:rsidR="00D360ED" w:rsidRPr="002E1D1B" w:rsidRDefault="00D360ED" w:rsidP="00575B67">
      <w:pPr>
        <w:pStyle w:val="FootnoteText"/>
      </w:pPr>
      <w:r w:rsidRPr="002E1D1B">
        <w:rPr>
          <w:rStyle w:val="FootnoteReference"/>
        </w:rPr>
        <w:footnoteRef/>
      </w:r>
      <w:r w:rsidRPr="002E1D1B">
        <w:t xml:space="preserve"> Based upon 24 hours of Commission staff time/effort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ED" w:rsidRDefault="00D360ED">
    <w:pPr>
      <w:pStyle w:val="Header"/>
      <w:rPr>
        <w:rFonts w:ascii="Times New Roman" w:hAnsi="Times New Roman" w:cs="Times New Roman"/>
        <w:sz w:val="24"/>
        <w:szCs w:val="24"/>
      </w:rPr>
    </w:pPr>
    <w:r>
      <w:rPr>
        <w:rFonts w:ascii="Times New Roman" w:hAnsi="Times New Roman" w:cs="Times New Roman"/>
        <w:sz w:val="24"/>
        <w:szCs w:val="24"/>
      </w:rPr>
      <w:t>FERC-715 (OMB Control No. 1902-0171)</w:t>
    </w:r>
  </w:p>
  <w:p w:rsidR="00A23357" w:rsidRDefault="00A23357">
    <w:pPr>
      <w:pStyle w:val="Header"/>
    </w:pPr>
    <w:r>
      <w:rPr>
        <w:rFonts w:ascii="Times New Roman" w:hAnsi="Times New Roman" w:cs="Times New Roman"/>
        <w:sz w:val="24"/>
        <w:szCs w:val="24"/>
      </w:rPr>
      <w:t>(</w:t>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3/2</w:t>
    </w:r>
    <w:r w:rsidR="001964FE">
      <w:rPr>
        <w:rFonts w:ascii="Times New Roman" w:hAnsi="Times New Roman" w:cs="Times New Roman"/>
        <w:sz w:val="24"/>
        <w:szCs w:val="24"/>
      </w:rPr>
      <w:t>7</w:t>
    </w:r>
    <w:r>
      <w:rPr>
        <w:rFonts w:ascii="Times New Roman" w:hAnsi="Times New Roman" w:cs="Times New Roman"/>
        <w:sz w:val="24"/>
        <w:szCs w:val="24"/>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10A7"/>
    <w:multiLevelType w:val="hybridMultilevel"/>
    <w:tmpl w:val="8A241F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35845"/>
    <w:rsid w:val="0007328D"/>
    <w:rsid w:val="000B0C37"/>
    <w:rsid w:val="000D4A24"/>
    <w:rsid w:val="00116779"/>
    <w:rsid w:val="00143103"/>
    <w:rsid w:val="00181727"/>
    <w:rsid w:val="00185730"/>
    <w:rsid w:val="001964FE"/>
    <w:rsid w:val="001A6397"/>
    <w:rsid w:val="001B24C7"/>
    <w:rsid w:val="001F5574"/>
    <w:rsid w:val="002028BB"/>
    <w:rsid w:val="0026674D"/>
    <w:rsid w:val="00283C46"/>
    <w:rsid w:val="002B0C93"/>
    <w:rsid w:val="00347FD8"/>
    <w:rsid w:val="003A11C2"/>
    <w:rsid w:val="003F52BD"/>
    <w:rsid w:val="00414F32"/>
    <w:rsid w:val="004C4C89"/>
    <w:rsid w:val="004F6977"/>
    <w:rsid w:val="00522F69"/>
    <w:rsid w:val="0053287C"/>
    <w:rsid w:val="00560C20"/>
    <w:rsid w:val="00571C5E"/>
    <w:rsid w:val="00575B67"/>
    <w:rsid w:val="0057700F"/>
    <w:rsid w:val="005A2792"/>
    <w:rsid w:val="005B6E7A"/>
    <w:rsid w:val="005B77CE"/>
    <w:rsid w:val="005F1C3C"/>
    <w:rsid w:val="006166FA"/>
    <w:rsid w:val="00654245"/>
    <w:rsid w:val="00664BC0"/>
    <w:rsid w:val="00690136"/>
    <w:rsid w:val="00767313"/>
    <w:rsid w:val="00773AEB"/>
    <w:rsid w:val="00787670"/>
    <w:rsid w:val="007A2F92"/>
    <w:rsid w:val="007E120C"/>
    <w:rsid w:val="007E7C0F"/>
    <w:rsid w:val="008619E1"/>
    <w:rsid w:val="0086457D"/>
    <w:rsid w:val="00876F75"/>
    <w:rsid w:val="008A21A4"/>
    <w:rsid w:val="008A22DB"/>
    <w:rsid w:val="008C288D"/>
    <w:rsid w:val="008E0240"/>
    <w:rsid w:val="008E70CD"/>
    <w:rsid w:val="00906BC3"/>
    <w:rsid w:val="00913A8B"/>
    <w:rsid w:val="00970FE4"/>
    <w:rsid w:val="009B52C8"/>
    <w:rsid w:val="009E1190"/>
    <w:rsid w:val="00A23357"/>
    <w:rsid w:val="00A276F5"/>
    <w:rsid w:val="00A72E7B"/>
    <w:rsid w:val="00A96B65"/>
    <w:rsid w:val="00AC4EBC"/>
    <w:rsid w:val="00AD3DE5"/>
    <w:rsid w:val="00AE543C"/>
    <w:rsid w:val="00B71E9C"/>
    <w:rsid w:val="00BA1C7D"/>
    <w:rsid w:val="00BA7C56"/>
    <w:rsid w:val="00C01698"/>
    <w:rsid w:val="00C3522F"/>
    <w:rsid w:val="00C510DD"/>
    <w:rsid w:val="00C84FE6"/>
    <w:rsid w:val="00CA59C3"/>
    <w:rsid w:val="00CC778C"/>
    <w:rsid w:val="00D360ED"/>
    <w:rsid w:val="00D80FBD"/>
    <w:rsid w:val="00DC4E36"/>
    <w:rsid w:val="00E11CA6"/>
    <w:rsid w:val="00E14565"/>
    <w:rsid w:val="00E20612"/>
    <w:rsid w:val="00E636D7"/>
    <w:rsid w:val="00E8043B"/>
    <w:rsid w:val="00E87A4F"/>
    <w:rsid w:val="00E91CCD"/>
    <w:rsid w:val="00EB3E6F"/>
    <w:rsid w:val="00ED5560"/>
    <w:rsid w:val="00EF35DC"/>
    <w:rsid w:val="00F12DC2"/>
    <w:rsid w:val="00F152DF"/>
    <w:rsid w:val="00F62F79"/>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E91C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E91C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erc.gov/docs-filing/forms.asp" TargetMode="External"/><Relationship Id="rId4" Type="http://schemas.microsoft.com/office/2007/relationships/stylesWithEffects" Target="stylesWithEffects.xml"/><Relationship Id="rId9" Type="http://schemas.openxmlformats.org/officeDocument/2006/relationships/hyperlink" Target="http://www.ferc.gov/docs-filing/efiling/filing.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erc.gov/docs-filing/forms/form-715/overview.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8FA7-FB38-4580-9ACC-CCAAE276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10017</Characters>
  <Application>Microsoft Office Word</Application>
  <DocSecurity>0</DocSecurity>
  <Lines>164</Lines>
  <Paragraphs>41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2013-04-25T17:35:00Z</dcterms:created>
  <dcterms:modified xsi:type="dcterms:W3CDTF">2013-04-25T17:35:00Z</dcterms:modified>
</cp:coreProperties>
</file>