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402" w:rsidRDefault="00017402" w:rsidP="00017402">
      <w:pPr>
        <w:pStyle w:val="Title"/>
        <w:jc w:val="left"/>
        <w:rPr>
          <w:rFonts w:asciiTheme="minorHAnsi" w:eastAsiaTheme="minorEastAsia" w:hAnsiTheme="minorHAnsi" w:cstheme="minorBidi"/>
          <w:bCs w:val="0"/>
          <w:caps/>
          <w:color w:val="4F81BD" w:themeColor="accent1"/>
          <w:spacing w:val="10"/>
          <w:szCs w:val="52"/>
          <w:lang w:bidi="en-US"/>
        </w:rPr>
      </w:pPr>
      <w:bookmarkStart w:id="0" w:name="_GoBack"/>
      <w:bookmarkEnd w:id="0"/>
      <w:r w:rsidRPr="00017402">
        <w:rPr>
          <w:rFonts w:asciiTheme="minorHAnsi" w:eastAsiaTheme="minorEastAsia" w:hAnsiTheme="minorHAnsi" w:cstheme="minorBidi"/>
          <w:bCs w:val="0"/>
          <w:caps/>
          <w:color w:val="4F81BD" w:themeColor="accent1"/>
          <w:spacing w:val="10"/>
          <w:szCs w:val="52"/>
          <w:lang w:bidi="en-US"/>
        </w:rPr>
        <w:t>Attachment 6: Office of Human Subjects Research Protections email about IRB and evaluation</w:t>
      </w:r>
    </w:p>
    <w:p w:rsidR="00017402" w:rsidRPr="00017402" w:rsidRDefault="00017402" w:rsidP="00333FC8">
      <w:pPr>
        <w:pStyle w:val="Heading1"/>
      </w:pPr>
      <w:r>
        <w:t>IRB and Evaluation Memo</w:t>
      </w:r>
    </w:p>
    <w:p w:rsidR="00333FC8" w:rsidRDefault="00333FC8" w:rsidP="00017402">
      <w:pPr>
        <w:rPr>
          <w:rFonts w:ascii="Times New Roman" w:eastAsia="Times New Roman" w:hAnsi="Times New Roman"/>
          <w:b/>
          <w:bCs/>
        </w:rPr>
      </w:pPr>
      <w:bookmarkStart w:id="1" w:name="_MailOriginal"/>
    </w:p>
    <w:p w:rsidR="00017402" w:rsidRPr="00017402" w:rsidRDefault="00017402" w:rsidP="00017402">
      <w:pPr>
        <w:rPr>
          <w:rFonts w:ascii="Times New Roman" w:eastAsia="Times New Roman" w:hAnsi="Times New Roman"/>
        </w:rPr>
      </w:pPr>
      <w:r w:rsidRPr="00017402">
        <w:rPr>
          <w:rFonts w:ascii="Times New Roman" w:eastAsia="Times New Roman" w:hAnsi="Times New Roman"/>
          <w:b/>
          <w:bCs/>
        </w:rPr>
        <w:t>From:</w:t>
      </w:r>
      <w:r w:rsidRPr="00017402">
        <w:rPr>
          <w:rFonts w:ascii="Times New Roman" w:eastAsia="Times New Roman" w:hAnsi="Times New Roman"/>
        </w:rPr>
        <w:t xml:space="preserve"> Pursley-Crotteau, Suzanne (NIH/OD) [E] </w:t>
      </w:r>
      <w:r w:rsidRPr="00017402">
        <w:rPr>
          <w:rFonts w:ascii="Times New Roman" w:eastAsia="Times New Roman" w:hAnsi="Times New Roman"/>
        </w:rPr>
        <w:br/>
      </w:r>
      <w:r w:rsidRPr="00017402">
        <w:rPr>
          <w:rFonts w:ascii="Times New Roman" w:eastAsia="Times New Roman" w:hAnsi="Times New Roman"/>
          <w:b/>
          <w:bCs/>
        </w:rPr>
        <w:t>Sent:</w:t>
      </w:r>
      <w:r w:rsidRPr="00017402">
        <w:rPr>
          <w:rFonts w:ascii="Times New Roman" w:eastAsia="Times New Roman" w:hAnsi="Times New Roman"/>
        </w:rPr>
        <w:t xml:space="preserve"> Tuesday, October 18, 2011 12:03 PM</w:t>
      </w:r>
      <w:r w:rsidRPr="00017402">
        <w:rPr>
          <w:rFonts w:ascii="Times New Roman" w:eastAsia="Times New Roman" w:hAnsi="Times New Roman"/>
        </w:rPr>
        <w:br/>
      </w:r>
      <w:r w:rsidRPr="00017402">
        <w:rPr>
          <w:rFonts w:ascii="Times New Roman" w:eastAsia="Times New Roman" w:hAnsi="Times New Roman"/>
          <w:b/>
          <w:bCs/>
        </w:rPr>
        <w:t>To:</w:t>
      </w:r>
      <w:r w:rsidRPr="00017402">
        <w:rPr>
          <w:rFonts w:ascii="Times New Roman" w:eastAsia="Times New Roman" w:hAnsi="Times New Roman"/>
        </w:rPr>
        <w:t xml:space="preserve"> Greene, Amanda (NIH/NINR) [E</w:t>
      </w:r>
      <w:proofErr w:type="gramStart"/>
      <w:r w:rsidRPr="00017402">
        <w:rPr>
          <w:rFonts w:ascii="Times New Roman" w:eastAsia="Times New Roman" w:hAnsi="Times New Roman"/>
        </w:rPr>
        <w:t>]</w:t>
      </w:r>
      <w:proofErr w:type="gramEnd"/>
      <w:r w:rsidRPr="00017402">
        <w:rPr>
          <w:rFonts w:ascii="Times New Roman" w:eastAsia="Times New Roman" w:hAnsi="Times New Roman"/>
        </w:rPr>
        <w:br/>
      </w:r>
      <w:r w:rsidRPr="00017402">
        <w:rPr>
          <w:rFonts w:ascii="Times New Roman" w:eastAsia="Times New Roman" w:hAnsi="Times New Roman"/>
          <w:b/>
          <w:bCs/>
        </w:rPr>
        <w:t>Subject:</w:t>
      </w:r>
      <w:r w:rsidRPr="00017402">
        <w:rPr>
          <w:rFonts w:ascii="Times New Roman" w:eastAsia="Times New Roman" w:hAnsi="Times New Roman"/>
        </w:rPr>
        <w:t xml:space="preserve"> RE: IRB &amp; evaluation</w:t>
      </w:r>
    </w:p>
    <w:p w:rsidR="00017402" w:rsidRPr="00017402" w:rsidRDefault="00017402" w:rsidP="00017402">
      <w:pPr>
        <w:rPr>
          <w:rFonts w:ascii="Times New Roman" w:hAnsi="Times New Roman"/>
        </w:rPr>
      </w:pPr>
      <w:r w:rsidRPr="00017402">
        <w:rPr>
          <w:rFonts w:ascii="Times New Roman" w:hAnsi="Times New Roman"/>
        </w:rPr>
        <w:t>Good Morning Amanda,</w:t>
      </w:r>
    </w:p>
    <w:p w:rsidR="00017402" w:rsidRPr="00017402" w:rsidRDefault="00017402" w:rsidP="00017402">
      <w:pPr>
        <w:rPr>
          <w:rFonts w:ascii="Times New Roman" w:hAnsi="Times New Roman"/>
        </w:rPr>
      </w:pPr>
      <w:r w:rsidRPr="00017402">
        <w:rPr>
          <w:rFonts w:ascii="Times New Roman" w:hAnsi="Times New Roman"/>
        </w:rPr>
        <w:t>Here is the information we discussed. If you decide that the project does not meet the criteria for an internal evaluation; then you can submit an OHSRP Request for Review.</w:t>
      </w:r>
    </w:p>
    <w:p w:rsidR="00017402" w:rsidRPr="00017402" w:rsidRDefault="00017402" w:rsidP="00017402">
      <w:pPr>
        <w:spacing w:after="0"/>
        <w:rPr>
          <w:rFonts w:ascii="Times New Roman" w:hAnsi="Times New Roman"/>
        </w:rPr>
      </w:pPr>
      <w:r w:rsidRPr="00017402">
        <w:rPr>
          <w:rFonts w:ascii="Times New Roman" w:hAnsi="Times New Roman"/>
        </w:rPr>
        <w:t>Best regards,</w:t>
      </w:r>
    </w:p>
    <w:p w:rsidR="00017402" w:rsidRPr="00017402" w:rsidRDefault="00017402" w:rsidP="00017402">
      <w:pPr>
        <w:spacing w:after="0"/>
        <w:rPr>
          <w:rFonts w:ascii="Times New Roman" w:hAnsi="Times New Roman"/>
        </w:rPr>
      </w:pPr>
      <w:r w:rsidRPr="00017402">
        <w:rPr>
          <w:rFonts w:ascii="Times New Roman" w:hAnsi="Times New Roman"/>
        </w:rPr>
        <w:t>Suzanne</w:t>
      </w:r>
    </w:p>
    <w:p w:rsidR="00017402" w:rsidRPr="00017402" w:rsidRDefault="00017402" w:rsidP="00017402">
      <w:pPr>
        <w:spacing w:after="0" w:line="240" w:lineRule="auto"/>
        <w:rPr>
          <w:rFonts w:ascii="Times New Roman" w:hAnsi="Times New Roman"/>
        </w:rPr>
      </w:pPr>
      <w:r w:rsidRPr="00017402">
        <w:rPr>
          <w:rFonts w:ascii="Times New Roman" w:hAnsi="Times New Roman"/>
        </w:rPr>
        <w:t>M. Suzanne Pursley-Crotteau, Ph.D., R.N.</w:t>
      </w:r>
    </w:p>
    <w:p w:rsidR="00017402" w:rsidRPr="00017402" w:rsidRDefault="00017402" w:rsidP="00017402">
      <w:pPr>
        <w:spacing w:after="0" w:line="240" w:lineRule="auto"/>
        <w:rPr>
          <w:rFonts w:ascii="Times New Roman" w:hAnsi="Times New Roman"/>
        </w:rPr>
      </w:pPr>
      <w:r w:rsidRPr="00017402">
        <w:rPr>
          <w:rFonts w:ascii="Times New Roman" w:hAnsi="Times New Roman"/>
        </w:rPr>
        <w:t>Senior Health Policy Analyst</w:t>
      </w:r>
    </w:p>
    <w:p w:rsidR="00017402" w:rsidRPr="00017402" w:rsidRDefault="00017402" w:rsidP="00017402">
      <w:pPr>
        <w:spacing w:after="0" w:line="240" w:lineRule="auto"/>
        <w:rPr>
          <w:rFonts w:ascii="Times New Roman" w:hAnsi="Times New Roman"/>
        </w:rPr>
      </w:pPr>
      <w:r w:rsidRPr="00017402">
        <w:rPr>
          <w:rFonts w:ascii="Times New Roman" w:hAnsi="Times New Roman"/>
        </w:rPr>
        <w:t>Office of Human Subjects Research Protections</w:t>
      </w:r>
    </w:p>
    <w:p w:rsidR="00017402" w:rsidRPr="00017402" w:rsidRDefault="00017402" w:rsidP="00017402">
      <w:pPr>
        <w:spacing w:after="0" w:line="240" w:lineRule="auto"/>
        <w:rPr>
          <w:rFonts w:ascii="Times New Roman" w:hAnsi="Times New Roman"/>
        </w:rPr>
      </w:pPr>
      <w:r w:rsidRPr="00017402">
        <w:rPr>
          <w:rFonts w:ascii="Times New Roman" w:hAnsi="Times New Roman"/>
        </w:rPr>
        <w:t>Office of Intramural Research</w:t>
      </w:r>
    </w:p>
    <w:p w:rsidR="00017402" w:rsidRPr="00017402" w:rsidRDefault="00017402" w:rsidP="00017402">
      <w:pPr>
        <w:spacing w:after="0" w:line="240" w:lineRule="auto"/>
        <w:rPr>
          <w:rFonts w:ascii="Times New Roman" w:hAnsi="Times New Roman"/>
        </w:rPr>
      </w:pPr>
      <w:r w:rsidRPr="00017402">
        <w:rPr>
          <w:rFonts w:ascii="Times New Roman" w:hAnsi="Times New Roman"/>
        </w:rPr>
        <w:t>National Institutes of Health</w:t>
      </w:r>
    </w:p>
    <w:p w:rsidR="00017402" w:rsidRPr="00017402" w:rsidRDefault="00017402" w:rsidP="00017402">
      <w:pPr>
        <w:spacing w:after="0" w:line="240" w:lineRule="auto"/>
        <w:rPr>
          <w:rFonts w:ascii="Times New Roman" w:hAnsi="Times New Roman"/>
        </w:rPr>
      </w:pPr>
      <w:r w:rsidRPr="00017402">
        <w:rPr>
          <w:rFonts w:ascii="Times New Roman" w:hAnsi="Times New Roman"/>
        </w:rPr>
        <w:t>Bldg. 10, Room 2C146</w:t>
      </w:r>
    </w:p>
    <w:p w:rsidR="00017402" w:rsidRPr="00017402" w:rsidRDefault="00017402" w:rsidP="00017402">
      <w:pPr>
        <w:spacing w:after="0" w:line="240" w:lineRule="auto"/>
        <w:rPr>
          <w:rFonts w:ascii="Times New Roman" w:hAnsi="Times New Roman"/>
        </w:rPr>
      </w:pPr>
      <w:r w:rsidRPr="00017402">
        <w:rPr>
          <w:rFonts w:ascii="Times New Roman" w:hAnsi="Times New Roman"/>
        </w:rPr>
        <w:t>Bethesda, MD 20892</w:t>
      </w:r>
    </w:p>
    <w:p w:rsidR="00017402" w:rsidRPr="00017402" w:rsidRDefault="00017402" w:rsidP="00017402">
      <w:pPr>
        <w:spacing w:after="0" w:line="240" w:lineRule="auto"/>
        <w:rPr>
          <w:rFonts w:ascii="Times New Roman" w:hAnsi="Times New Roman"/>
        </w:rPr>
      </w:pPr>
      <w:r w:rsidRPr="00017402">
        <w:rPr>
          <w:rFonts w:ascii="Times New Roman" w:hAnsi="Times New Roman"/>
        </w:rPr>
        <w:t>Direct Line: (301) 402-4504</w:t>
      </w:r>
    </w:p>
    <w:p w:rsidR="00017402" w:rsidRPr="00017402" w:rsidRDefault="00017402" w:rsidP="00017402">
      <w:pPr>
        <w:spacing w:after="0" w:line="240" w:lineRule="auto"/>
        <w:rPr>
          <w:rFonts w:ascii="Times New Roman" w:hAnsi="Times New Roman"/>
        </w:rPr>
      </w:pPr>
      <w:r w:rsidRPr="00017402">
        <w:rPr>
          <w:rFonts w:ascii="Times New Roman" w:hAnsi="Times New Roman"/>
        </w:rPr>
        <w:t>Office Telephone: (301) 402-3444</w:t>
      </w:r>
    </w:p>
    <w:p w:rsidR="00017402" w:rsidRPr="00017402" w:rsidRDefault="00017402" w:rsidP="00017402">
      <w:pPr>
        <w:spacing w:after="0" w:line="240" w:lineRule="auto"/>
        <w:rPr>
          <w:rFonts w:ascii="Times New Roman" w:hAnsi="Times New Roman"/>
        </w:rPr>
      </w:pPr>
      <w:r w:rsidRPr="00017402">
        <w:rPr>
          <w:rFonts w:ascii="Times New Roman" w:hAnsi="Times New Roman"/>
        </w:rPr>
        <w:t>Office Fax: (301) 402-3443</w:t>
      </w:r>
    </w:p>
    <w:p w:rsidR="00017402" w:rsidRPr="00017402" w:rsidRDefault="00E92577" w:rsidP="00017402">
      <w:pPr>
        <w:spacing w:after="0" w:line="240" w:lineRule="auto"/>
        <w:rPr>
          <w:rFonts w:ascii="Times New Roman" w:hAnsi="Times New Roman"/>
        </w:rPr>
      </w:pPr>
      <w:hyperlink r:id="rId8" w:history="1">
        <w:r w:rsidR="00017402" w:rsidRPr="00017402">
          <w:rPr>
            <w:rStyle w:val="Hyperlink"/>
            <w:rFonts w:ascii="Times New Roman" w:hAnsi="Times New Roman"/>
          </w:rPr>
          <w:t>pursleys@mail.nih.gov</w:t>
        </w:r>
      </w:hyperlink>
    </w:p>
    <w:bookmarkEnd w:id="1"/>
    <w:p w:rsidR="00017402" w:rsidRDefault="00017402" w:rsidP="00017402">
      <w:pPr>
        <w:pBdr>
          <w:bottom w:val="single" w:sz="4" w:space="1" w:color="auto"/>
        </w:pBdr>
        <w:rPr>
          <w:rFonts w:cs="Calibri"/>
        </w:rPr>
      </w:pPr>
    </w:p>
    <w:p w:rsidR="00017402" w:rsidRPr="00DC2A47" w:rsidRDefault="00017402" w:rsidP="00017402">
      <w:pPr>
        <w:rPr>
          <w:b/>
          <w:bCs/>
          <w:color w:val="FF0000"/>
          <w:u w:val="single"/>
        </w:rPr>
      </w:pPr>
      <w:proofErr w:type="gramStart"/>
      <w:r w:rsidRPr="00DC2A47">
        <w:rPr>
          <w:b/>
          <w:bCs/>
          <w:color w:val="FF0000"/>
          <w:u w:val="single"/>
        </w:rPr>
        <w:t>DRAFT  FROM</w:t>
      </w:r>
      <w:proofErr w:type="gramEnd"/>
      <w:r w:rsidRPr="00DC2A47">
        <w:rPr>
          <w:b/>
          <w:bCs/>
          <w:color w:val="FF0000"/>
          <w:u w:val="single"/>
        </w:rPr>
        <w:t xml:space="preserve"> POLICY – REPRESENTS OHSRP CURRENT THINKING AND PRACTICE</w:t>
      </w:r>
    </w:p>
    <w:p w:rsidR="00017402" w:rsidRPr="00017402" w:rsidRDefault="00017402" w:rsidP="00017402">
      <w:pPr>
        <w:rPr>
          <w:bCs/>
          <w:u w:val="single"/>
        </w:rPr>
      </w:pPr>
      <w:r w:rsidRPr="00017402">
        <w:rPr>
          <w:bCs/>
          <w:u w:val="single"/>
        </w:rPr>
        <w:t xml:space="preserve">The NIH Office of Human Subjects Research Protections (OHSRP) has authority to make certain determinations pertaining to NIH research activities, in lieu of an NIH IRB.  Many NIH research activities are not categorized as human subjects research and do not require any type of approval, but some of these activities involving data and specimens do require a </w:t>
      </w:r>
      <w:proofErr w:type="gramStart"/>
      <w:r w:rsidRPr="00017402">
        <w:rPr>
          <w:bCs/>
          <w:u w:val="single"/>
        </w:rPr>
        <w:t>formal  OHRP</w:t>
      </w:r>
      <w:proofErr w:type="gramEnd"/>
      <w:r w:rsidRPr="00017402">
        <w:rPr>
          <w:bCs/>
          <w:u w:val="single"/>
        </w:rPr>
        <w:t xml:space="preserve"> determination.  Certain activities fall under the exempt categories, set forth in 45 CFR 46, meaning they are human subjects research, but do not require IRB approval.  The purpose of this website is to guide NIH researchers through NIH policy and procedures. </w:t>
      </w:r>
    </w:p>
    <w:p w:rsidR="00017402" w:rsidRPr="00017402" w:rsidRDefault="00017402" w:rsidP="00017402">
      <w:pPr>
        <w:rPr>
          <w:bCs/>
        </w:rPr>
      </w:pPr>
      <w:r w:rsidRPr="00017402">
        <w:rPr>
          <w:bCs/>
        </w:rPr>
        <w:t xml:space="preserve">NIH ACTIVITIES WITH CERTAIN TYPES OF DATA AND/OR SPECIMENS DO </w:t>
      </w:r>
      <w:r w:rsidRPr="00017402">
        <w:rPr>
          <w:bCs/>
          <w:u w:val="single"/>
        </w:rPr>
        <w:t>NOT</w:t>
      </w:r>
      <w:r w:rsidRPr="00017402">
        <w:rPr>
          <w:bCs/>
        </w:rPr>
        <w:t xml:space="preserve"> REQUIRE APPROVAL EITHER FROM AN IRB OR OHSRP:  </w:t>
      </w:r>
    </w:p>
    <w:p w:rsidR="00017402" w:rsidRPr="00017402" w:rsidRDefault="00017402" w:rsidP="00017402">
      <w:pPr>
        <w:numPr>
          <w:ilvl w:val="0"/>
          <w:numId w:val="2"/>
        </w:numPr>
        <w:spacing w:line="240" w:lineRule="auto"/>
        <w:rPr>
          <w:bCs/>
        </w:rPr>
      </w:pPr>
      <w:r w:rsidRPr="00017402">
        <w:rPr>
          <w:bCs/>
        </w:rPr>
        <w:lastRenderedPageBreak/>
        <w:t xml:space="preserve">NIH policy is that </w:t>
      </w:r>
      <w:proofErr w:type="gramStart"/>
      <w:r w:rsidRPr="00017402">
        <w:rPr>
          <w:bCs/>
        </w:rPr>
        <w:t>research with the following types of specimens/data do</w:t>
      </w:r>
      <w:proofErr w:type="gramEnd"/>
      <w:r w:rsidRPr="00017402">
        <w:rPr>
          <w:bCs/>
        </w:rPr>
        <w:t xml:space="preserve"> not require any type of formal determination. Activities in this group include:</w:t>
      </w:r>
    </w:p>
    <w:p w:rsidR="00017402" w:rsidRPr="00017402" w:rsidRDefault="00017402" w:rsidP="00017402">
      <w:pPr>
        <w:numPr>
          <w:ilvl w:val="0"/>
          <w:numId w:val="1"/>
        </w:numPr>
        <w:spacing w:after="60" w:line="240" w:lineRule="auto"/>
        <w:ind w:left="1080"/>
        <w:rPr>
          <w:bCs/>
        </w:rPr>
      </w:pPr>
      <w:r w:rsidRPr="00017402">
        <w:rPr>
          <w:bCs/>
        </w:rPr>
        <w:t>Human specimens/data from deceased individuals.</w:t>
      </w:r>
    </w:p>
    <w:p w:rsidR="00017402" w:rsidRPr="00017402" w:rsidRDefault="00017402" w:rsidP="00017402">
      <w:pPr>
        <w:numPr>
          <w:ilvl w:val="0"/>
          <w:numId w:val="1"/>
        </w:numPr>
        <w:spacing w:after="60" w:line="240" w:lineRule="auto"/>
        <w:ind w:left="1080"/>
        <w:rPr>
          <w:bCs/>
        </w:rPr>
      </w:pPr>
      <w:r w:rsidRPr="00017402">
        <w:rPr>
          <w:bCs/>
        </w:rPr>
        <w:t>Human specimens/data from commercial repositories that do not contain information which can identify the providers of the specimens.</w:t>
      </w:r>
    </w:p>
    <w:p w:rsidR="00017402" w:rsidRPr="00017402" w:rsidRDefault="00017402" w:rsidP="00017402">
      <w:pPr>
        <w:numPr>
          <w:ilvl w:val="0"/>
          <w:numId w:val="1"/>
        </w:numPr>
        <w:spacing w:after="60" w:line="240" w:lineRule="auto"/>
        <w:ind w:left="1080"/>
        <w:rPr>
          <w:bCs/>
        </w:rPr>
      </w:pPr>
      <w:r w:rsidRPr="00017402">
        <w:rPr>
          <w:bCs/>
        </w:rPr>
        <w:t>Human specimens from established cell lines that are available to qualified scientific investigators, provided that they are not identifiable to NIH researchers and provided that NIH researchers do not have access to a code linking the cell line to the individual from whom the line was derived.</w:t>
      </w:r>
    </w:p>
    <w:p w:rsidR="00017402" w:rsidRPr="00017402" w:rsidRDefault="00017402" w:rsidP="00017402">
      <w:pPr>
        <w:numPr>
          <w:ilvl w:val="0"/>
          <w:numId w:val="1"/>
        </w:numPr>
        <w:spacing w:after="120" w:line="240" w:lineRule="auto"/>
        <w:ind w:left="1080"/>
        <w:rPr>
          <w:bCs/>
        </w:rPr>
      </w:pPr>
      <w:r w:rsidRPr="00017402">
        <w:rPr>
          <w:bCs/>
        </w:rPr>
        <w:t>Derivatives of materials originally obtained from humans if those materials are either (1) not identified or (2) coded but none of the NIH researchers will be given access to the code.</w:t>
      </w:r>
    </w:p>
    <w:p w:rsidR="00017402" w:rsidRPr="00017402" w:rsidRDefault="00017402" w:rsidP="00017402">
      <w:pPr>
        <w:ind w:left="360"/>
        <w:rPr>
          <w:bCs/>
        </w:rPr>
      </w:pPr>
      <w:r w:rsidRPr="00017402">
        <w:rPr>
          <w:bCs/>
        </w:rPr>
        <w:t xml:space="preserve">B. NIH policy is that some activities with data and/or specimens are NOT characterized as </w:t>
      </w:r>
      <w:proofErr w:type="gramStart"/>
      <w:r w:rsidRPr="00017402">
        <w:rPr>
          <w:bCs/>
        </w:rPr>
        <w:t>research,</w:t>
      </w:r>
      <w:proofErr w:type="gramEnd"/>
      <w:r w:rsidRPr="00017402">
        <w:rPr>
          <w:bCs/>
        </w:rPr>
        <w:t xml:space="preserve"> consequently 45 CFR 46 requirements do not apply.  Activities in this group include:</w:t>
      </w:r>
    </w:p>
    <w:p w:rsidR="00017402" w:rsidRPr="00017402" w:rsidRDefault="00017402" w:rsidP="00017402">
      <w:pPr>
        <w:numPr>
          <w:ilvl w:val="0"/>
          <w:numId w:val="1"/>
        </w:numPr>
        <w:spacing w:after="120" w:line="240" w:lineRule="auto"/>
        <w:ind w:left="1080"/>
        <w:rPr>
          <w:bCs/>
        </w:rPr>
      </w:pPr>
      <w:r w:rsidRPr="00017402">
        <w:rPr>
          <w:bCs/>
        </w:rPr>
        <w:t>Use of Specimens/data for diagnostic purposes only.</w:t>
      </w:r>
    </w:p>
    <w:p w:rsidR="00017402" w:rsidRPr="00017402" w:rsidRDefault="00017402" w:rsidP="00017402">
      <w:pPr>
        <w:numPr>
          <w:ilvl w:val="0"/>
          <w:numId w:val="1"/>
        </w:numPr>
        <w:spacing w:after="120" w:line="240" w:lineRule="auto"/>
        <w:ind w:left="1080"/>
        <w:rPr>
          <w:bCs/>
        </w:rPr>
      </w:pPr>
      <w:r w:rsidRPr="00017402">
        <w:rPr>
          <w:bCs/>
        </w:rPr>
        <w:t xml:space="preserve">Single case reports, if the report meets three (3) criteria: 1) the information is compiled by person(s) already involved with patient care; 2) the information is presented in de-identified form; and 3) no changes are made in the patient’s care or diagnostic testing for the sake of </w:t>
      </w:r>
      <w:proofErr w:type="spellStart"/>
      <w:r w:rsidRPr="00017402">
        <w:rPr>
          <w:bCs/>
        </w:rPr>
        <w:t>reportability</w:t>
      </w:r>
      <w:proofErr w:type="spellEnd"/>
      <w:r w:rsidRPr="00017402">
        <w:rPr>
          <w:bCs/>
        </w:rPr>
        <w:t>.</w:t>
      </w:r>
    </w:p>
    <w:p w:rsidR="00017402" w:rsidRPr="00017402" w:rsidRDefault="00017402" w:rsidP="00017402">
      <w:pPr>
        <w:numPr>
          <w:ilvl w:val="0"/>
          <w:numId w:val="1"/>
        </w:numPr>
        <w:spacing w:after="120" w:line="240" w:lineRule="auto"/>
        <w:ind w:left="1080"/>
        <w:rPr>
          <w:bCs/>
        </w:rPr>
      </w:pPr>
      <w:r w:rsidRPr="00017402">
        <w:rPr>
          <w:bCs/>
        </w:rPr>
        <w:t>Program evaluations in which the results of the evaluation are shared only w</w:t>
      </w:r>
      <w:r w:rsidR="00333FC8">
        <w:rPr>
          <w:bCs/>
        </w:rPr>
        <w:t>ithin the program or entity in</w:t>
      </w:r>
      <w:r w:rsidRPr="00017402">
        <w:rPr>
          <w:bCs/>
        </w:rPr>
        <w:t xml:space="preserve"> which the program operates, i.e., the data from the activity are produced by the program and returned to the program.</w:t>
      </w:r>
    </w:p>
    <w:sectPr w:rsidR="00017402" w:rsidRPr="0001740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577" w:rsidRDefault="00E92577" w:rsidP="00333FC8">
      <w:pPr>
        <w:spacing w:after="0" w:line="240" w:lineRule="auto"/>
      </w:pPr>
      <w:r>
        <w:separator/>
      </w:r>
    </w:p>
  </w:endnote>
  <w:endnote w:type="continuationSeparator" w:id="0">
    <w:p w:rsidR="00E92577" w:rsidRDefault="00E92577" w:rsidP="00333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Arial-BoldMT">
    <w:altName w:val="Arial"/>
    <w:panose1 w:val="00000000000000000000"/>
    <w:charset w:val="4D"/>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8201649"/>
      <w:docPartObj>
        <w:docPartGallery w:val="Page Numbers (Bottom of Page)"/>
        <w:docPartUnique/>
      </w:docPartObj>
    </w:sdtPr>
    <w:sdtEndPr/>
    <w:sdtContent>
      <w:sdt>
        <w:sdtPr>
          <w:id w:val="98381352"/>
          <w:docPartObj>
            <w:docPartGallery w:val="Page Numbers (Top of Page)"/>
            <w:docPartUnique/>
          </w:docPartObj>
        </w:sdtPr>
        <w:sdtEndPr/>
        <w:sdtContent>
          <w:p w:rsidR="00333FC8" w:rsidRDefault="00333FC8" w:rsidP="00333FC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B4A3E">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B4A3E">
              <w:rPr>
                <w:b/>
                <w:bCs/>
                <w:noProof/>
              </w:rPr>
              <w:t>2</w:t>
            </w:r>
            <w:r>
              <w:rPr>
                <w:b/>
                <w:bCs/>
                <w:sz w:val="24"/>
                <w:szCs w:val="24"/>
              </w:rPr>
              <w:fldChar w:fldCharType="end"/>
            </w:r>
          </w:p>
        </w:sdtContent>
      </w:sdt>
    </w:sdtContent>
  </w:sdt>
  <w:p w:rsidR="00333FC8" w:rsidRDefault="00333FC8" w:rsidP="00333FC8">
    <w:pPr>
      <w:pStyle w:val="Footer"/>
      <w:tabs>
        <w:tab w:val="clear" w:pos="4680"/>
        <w:tab w:val="clear" w:pos="9360"/>
        <w:tab w:val="left" w:pos="274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577" w:rsidRDefault="00E92577" w:rsidP="00333FC8">
      <w:pPr>
        <w:spacing w:after="0" w:line="240" w:lineRule="auto"/>
      </w:pPr>
      <w:r>
        <w:separator/>
      </w:r>
    </w:p>
  </w:footnote>
  <w:footnote w:type="continuationSeparator" w:id="0">
    <w:p w:rsidR="00E92577" w:rsidRDefault="00E92577" w:rsidP="00333F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E0090"/>
    <w:multiLevelType w:val="hybridMultilevel"/>
    <w:tmpl w:val="F774C5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51E3FC6"/>
    <w:multiLevelType w:val="hybridMultilevel"/>
    <w:tmpl w:val="93549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402"/>
    <w:rsid w:val="00017402"/>
    <w:rsid w:val="000D437E"/>
    <w:rsid w:val="002D46C1"/>
    <w:rsid w:val="00333FC8"/>
    <w:rsid w:val="005200E5"/>
    <w:rsid w:val="00E92577"/>
    <w:rsid w:val="00EB4A3E"/>
    <w:rsid w:val="00FD2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333FC8"/>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after="0"/>
      <w:outlineLvl w:val="0"/>
    </w:pPr>
    <w:rPr>
      <w:rFonts w:asciiTheme="minorHAnsi" w:eastAsiaTheme="minorEastAsia" w:hAnsiTheme="minorHAnsi" w:cstheme="minorBidi"/>
      <w:b/>
      <w:bCs/>
      <w:caps/>
      <w:color w:val="FFFFFF" w:themeColor="background1"/>
      <w:spacing w:val="15"/>
      <w:sz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D437E"/>
    <w:pPr>
      <w:spacing w:before="120" w:after="120" w:line="240" w:lineRule="auto"/>
    </w:pPr>
    <w:rPr>
      <w:rFonts w:ascii="Arial" w:eastAsia="Cambria" w:hAnsi="Arial" w:cs="Arial-BoldMT"/>
      <w:bCs/>
      <w:szCs w:val="24"/>
    </w:rPr>
  </w:style>
  <w:style w:type="character" w:customStyle="1" w:styleId="BodyTextChar">
    <w:name w:val="Body Text Char"/>
    <w:link w:val="BodyText"/>
    <w:rsid w:val="000D437E"/>
    <w:rPr>
      <w:rFonts w:ascii="Arial" w:eastAsia="Cambria" w:hAnsi="Arial" w:cs="Arial-BoldMT"/>
      <w:bCs/>
      <w:szCs w:val="24"/>
    </w:rPr>
  </w:style>
  <w:style w:type="character" w:styleId="Hyperlink">
    <w:name w:val="Hyperlink"/>
    <w:uiPriority w:val="99"/>
    <w:semiHidden/>
    <w:unhideWhenUsed/>
    <w:rsid w:val="00017402"/>
    <w:rPr>
      <w:color w:val="0000FF"/>
      <w:u w:val="single"/>
    </w:rPr>
  </w:style>
  <w:style w:type="paragraph" w:styleId="Title">
    <w:name w:val="Title"/>
    <w:basedOn w:val="Normal"/>
    <w:next w:val="Normal"/>
    <w:link w:val="TitleChar"/>
    <w:uiPriority w:val="10"/>
    <w:qFormat/>
    <w:rsid w:val="0001740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017402"/>
    <w:rPr>
      <w:rFonts w:asciiTheme="majorHAnsi" w:eastAsiaTheme="majorEastAsia" w:hAnsiTheme="majorHAnsi" w:cstheme="majorBidi"/>
      <w:b/>
      <w:bCs/>
      <w:kern w:val="28"/>
      <w:sz w:val="32"/>
      <w:szCs w:val="32"/>
    </w:rPr>
  </w:style>
  <w:style w:type="character" w:customStyle="1" w:styleId="Heading1Char">
    <w:name w:val="Heading 1 Char"/>
    <w:basedOn w:val="DefaultParagraphFont"/>
    <w:link w:val="Heading1"/>
    <w:uiPriority w:val="9"/>
    <w:rsid w:val="00333FC8"/>
    <w:rPr>
      <w:rFonts w:asciiTheme="minorHAnsi" w:eastAsiaTheme="minorEastAsia" w:hAnsiTheme="minorHAnsi" w:cstheme="minorBidi"/>
      <w:b/>
      <w:bCs/>
      <w:caps/>
      <w:color w:val="FFFFFF" w:themeColor="background1"/>
      <w:spacing w:val="15"/>
      <w:sz w:val="28"/>
      <w:szCs w:val="22"/>
      <w:shd w:val="clear" w:color="auto" w:fill="4F81BD" w:themeFill="accent1"/>
      <w:lang w:bidi="en-US"/>
    </w:rPr>
  </w:style>
  <w:style w:type="paragraph" w:styleId="Header">
    <w:name w:val="header"/>
    <w:basedOn w:val="Normal"/>
    <w:link w:val="HeaderChar"/>
    <w:uiPriority w:val="99"/>
    <w:unhideWhenUsed/>
    <w:rsid w:val="00333F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FC8"/>
    <w:rPr>
      <w:sz w:val="22"/>
      <w:szCs w:val="22"/>
    </w:rPr>
  </w:style>
  <w:style w:type="paragraph" w:styleId="Footer">
    <w:name w:val="footer"/>
    <w:basedOn w:val="Normal"/>
    <w:link w:val="FooterChar"/>
    <w:uiPriority w:val="99"/>
    <w:unhideWhenUsed/>
    <w:rsid w:val="00333F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3FC8"/>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333FC8"/>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after="0"/>
      <w:outlineLvl w:val="0"/>
    </w:pPr>
    <w:rPr>
      <w:rFonts w:asciiTheme="minorHAnsi" w:eastAsiaTheme="minorEastAsia" w:hAnsiTheme="minorHAnsi" w:cstheme="minorBidi"/>
      <w:b/>
      <w:bCs/>
      <w:caps/>
      <w:color w:val="FFFFFF" w:themeColor="background1"/>
      <w:spacing w:val="15"/>
      <w:sz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D437E"/>
    <w:pPr>
      <w:spacing w:before="120" w:after="120" w:line="240" w:lineRule="auto"/>
    </w:pPr>
    <w:rPr>
      <w:rFonts w:ascii="Arial" w:eastAsia="Cambria" w:hAnsi="Arial" w:cs="Arial-BoldMT"/>
      <w:bCs/>
      <w:szCs w:val="24"/>
    </w:rPr>
  </w:style>
  <w:style w:type="character" w:customStyle="1" w:styleId="BodyTextChar">
    <w:name w:val="Body Text Char"/>
    <w:link w:val="BodyText"/>
    <w:rsid w:val="000D437E"/>
    <w:rPr>
      <w:rFonts w:ascii="Arial" w:eastAsia="Cambria" w:hAnsi="Arial" w:cs="Arial-BoldMT"/>
      <w:bCs/>
      <w:szCs w:val="24"/>
    </w:rPr>
  </w:style>
  <w:style w:type="character" w:styleId="Hyperlink">
    <w:name w:val="Hyperlink"/>
    <w:uiPriority w:val="99"/>
    <w:semiHidden/>
    <w:unhideWhenUsed/>
    <w:rsid w:val="00017402"/>
    <w:rPr>
      <w:color w:val="0000FF"/>
      <w:u w:val="single"/>
    </w:rPr>
  </w:style>
  <w:style w:type="paragraph" w:styleId="Title">
    <w:name w:val="Title"/>
    <w:basedOn w:val="Normal"/>
    <w:next w:val="Normal"/>
    <w:link w:val="TitleChar"/>
    <w:uiPriority w:val="10"/>
    <w:qFormat/>
    <w:rsid w:val="0001740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017402"/>
    <w:rPr>
      <w:rFonts w:asciiTheme="majorHAnsi" w:eastAsiaTheme="majorEastAsia" w:hAnsiTheme="majorHAnsi" w:cstheme="majorBidi"/>
      <w:b/>
      <w:bCs/>
      <w:kern w:val="28"/>
      <w:sz w:val="32"/>
      <w:szCs w:val="32"/>
    </w:rPr>
  </w:style>
  <w:style w:type="character" w:customStyle="1" w:styleId="Heading1Char">
    <w:name w:val="Heading 1 Char"/>
    <w:basedOn w:val="DefaultParagraphFont"/>
    <w:link w:val="Heading1"/>
    <w:uiPriority w:val="9"/>
    <w:rsid w:val="00333FC8"/>
    <w:rPr>
      <w:rFonts w:asciiTheme="minorHAnsi" w:eastAsiaTheme="minorEastAsia" w:hAnsiTheme="minorHAnsi" w:cstheme="minorBidi"/>
      <w:b/>
      <w:bCs/>
      <w:caps/>
      <w:color w:val="FFFFFF" w:themeColor="background1"/>
      <w:spacing w:val="15"/>
      <w:sz w:val="28"/>
      <w:szCs w:val="22"/>
      <w:shd w:val="clear" w:color="auto" w:fill="4F81BD" w:themeFill="accent1"/>
      <w:lang w:bidi="en-US"/>
    </w:rPr>
  </w:style>
  <w:style w:type="paragraph" w:styleId="Header">
    <w:name w:val="header"/>
    <w:basedOn w:val="Normal"/>
    <w:link w:val="HeaderChar"/>
    <w:uiPriority w:val="99"/>
    <w:unhideWhenUsed/>
    <w:rsid w:val="00333F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FC8"/>
    <w:rPr>
      <w:sz w:val="22"/>
      <w:szCs w:val="22"/>
    </w:rPr>
  </w:style>
  <w:style w:type="paragraph" w:styleId="Footer">
    <w:name w:val="footer"/>
    <w:basedOn w:val="Normal"/>
    <w:link w:val="FooterChar"/>
    <w:uiPriority w:val="99"/>
    <w:unhideWhenUsed/>
    <w:rsid w:val="00333F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3FC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438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rsleys@mail.nih.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484</Words>
  <Characters>2761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NCI</Company>
  <LinksUpToDate>false</LinksUpToDate>
  <CharactersWithSpaces>3239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greeneama</dc:creator>
  <cp:lastModifiedBy>curriem</cp:lastModifiedBy>
  <cp:revision>2</cp:revision>
  <dcterms:created xsi:type="dcterms:W3CDTF">2012-11-13T15:03:00Z</dcterms:created>
  <dcterms:modified xsi:type="dcterms:W3CDTF">2012-11-13T15:03:00Z</dcterms:modified>
</cp:coreProperties>
</file>