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83" w:rsidRPr="001E5583" w:rsidRDefault="001E5583" w:rsidP="000C6B2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E5583">
        <w:rPr>
          <w:b/>
          <w:bCs/>
          <w:sz w:val="28"/>
          <w:szCs w:val="28"/>
        </w:rPr>
        <w:t xml:space="preserve">Appendix </w:t>
      </w:r>
      <w:r w:rsidR="00F354C7">
        <w:rPr>
          <w:b/>
          <w:bCs/>
          <w:sz w:val="28"/>
          <w:szCs w:val="28"/>
        </w:rPr>
        <w:t>I</w:t>
      </w:r>
    </w:p>
    <w:p w:rsidR="002C4783" w:rsidRDefault="00C67DAE" w:rsidP="000C6B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Katrina and Rita Exposures Registry</w:t>
      </w:r>
      <w:r w:rsidR="002C4783">
        <w:rPr>
          <w:b/>
          <w:bCs/>
          <w:sz w:val="36"/>
          <w:szCs w:val="36"/>
        </w:rPr>
        <w:t>:</w:t>
      </w:r>
    </w:p>
    <w:p w:rsidR="000C6B2F" w:rsidRPr="001D76F7" w:rsidRDefault="002C4783" w:rsidP="000C6B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Feasibility </w:t>
      </w:r>
      <w:r w:rsidR="00CF639C">
        <w:rPr>
          <w:b/>
          <w:bCs/>
          <w:sz w:val="36"/>
          <w:szCs w:val="36"/>
        </w:rPr>
        <w:t>Sample Selection</w:t>
      </w:r>
    </w:p>
    <w:p w:rsidR="000C6B2F" w:rsidRDefault="000C6B2F" w:rsidP="0001118D">
      <w:r>
        <w:t>This document descri</w:t>
      </w:r>
      <w:r w:rsidR="00AE294E">
        <w:t>bes the sampling plan for the Katrina</w:t>
      </w:r>
      <w:r w:rsidR="00F64B2A">
        <w:t xml:space="preserve"> and </w:t>
      </w:r>
      <w:r w:rsidR="00AE294E">
        <w:t>Rita</w:t>
      </w:r>
      <w:r w:rsidR="00F64B2A">
        <w:t xml:space="preserve"> Exposures (KARE)</w:t>
      </w:r>
      <w:r w:rsidR="00AE294E">
        <w:t xml:space="preserve"> Registry </w:t>
      </w:r>
      <w:r w:rsidR="00F64B2A">
        <w:t>Pilot</w:t>
      </w:r>
      <w:r>
        <w:t xml:space="preserve"> </w:t>
      </w:r>
      <w:r w:rsidR="002C4783">
        <w:t xml:space="preserve">feasibility </w:t>
      </w:r>
      <w:r>
        <w:t>study.</w:t>
      </w:r>
      <w:r w:rsidR="00AE294E">
        <w:t xml:space="preserve"> It contains the following sections: (1)</w:t>
      </w:r>
      <w:r w:rsidR="00941E7B">
        <w:t xml:space="preserve"> </w:t>
      </w:r>
      <w:r w:rsidR="00AE294E">
        <w:t xml:space="preserve">sampling </w:t>
      </w:r>
      <w:r w:rsidR="00941E7B">
        <w:t>fram</w:t>
      </w:r>
      <w:r w:rsidR="00AE294E">
        <w:t>e development, (2) stratification, (3) sampl</w:t>
      </w:r>
      <w:r w:rsidR="0001118D">
        <w:t xml:space="preserve">e allocation, </w:t>
      </w:r>
      <w:r w:rsidR="003D0B9D">
        <w:t>(4) applicant selection</w:t>
      </w:r>
      <w:r w:rsidR="0001118D">
        <w:t>, (5) snowball sampling, and (6) de-duplication of final data file</w:t>
      </w:r>
      <w:r w:rsidR="00AE294E">
        <w:t>.</w:t>
      </w:r>
    </w:p>
    <w:p w:rsidR="005C728D" w:rsidRPr="005C728D" w:rsidRDefault="00AE294E" w:rsidP="005C728D">
      <w:pPr>
        <w:pStyle w:val="ListParagraph"/>
        <w:numPr>
          <w:ilvl w:val="0"/>
          <w:numId w:val="6"/>
        </w:num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Sampling Frame Development</w:t>
      </w:r>
    </w:p>
    <w:p w:rsidR="000C6B2F" w:rsidRPr="000C6B2F" w:rsidRDefault="004A539B" w:rsidP="000C6B2F">
      <w:r>
        <w:t>The sam</w:t>
      </w:r>
      <w:r w:rsidR="0028565A">
        <w:t xml:space="preserve">ple </w:t>
      </w:r>
      <w:r w:rsidR="00AE294E">
        <w:t>will be</w:t>
      </w:r>
      <w:r w:rsidR="000453FE">
        <w:t xml:space="preserve"> based on </w:t>
      </w:r>
      <w:r>
        <w:t xml:space="preserve">the </w:t>
      </w:r>
      <w:r w:rsidR="00AE294E">
        <w:t>Feder</w:t>
      </w:r>
      <w:r w:rsidR="00AF7E23">
        <w:t xml:space="preserve">al Emergency Management Agency (FEMA) </w:t>
      </w:r>
      <w:r>
        <w:t>database</w:t>
      </w:r>
      <w:r w:rsidR="00AE294E">
        <w:t xml:space="preserve"> provided by Centers for Dise</w:t>
      </w:r>
      <w:r w:rsidR="00AF7E23">
        <w:t>ase Control and Prevention</w:t>
      </w:r>
      <w:r>
        <w:t>. The F</w:t>
      </w:r>
      <w:r w:rsidR="0089508D">
        <w:t>EMA database is a list of adult applicants for temporary housing units (THU)</w:t>
      </w:r>
      <w:r>
        <w:t>, where each adult represents a household</w:t>
      </w:r>
      <w:r w:rsidR="002C4783">
        <w:t xml:space="preserve"> that lived in a</w:t>
      </w:r>
      <w:r w:rsidR="0089508D">
        <w:t xml:space="preserve"> THU</w:t>
      </w:r>
      <w:r w:rsidR="00AE294E">
        <w:t>.</w:t>
      </w:r>
      <w:r w:rsidR="003D103D">
        <w:t xml:space="preserve"> </w:t>
      </w:r>
      <w:r w:rsidR="0028565A">
        <w:t xml:space="preserve">Each applicant has a unique registration identification number. </w:t>
      </w:r>
      <w:r w:rsidR="003D103D">
        <w:t>For registration identification numbers that had multi</w:t>
      </w:r>
      <w:r w:rsidR="00241736">
        <w:t>ple observations in the database</w:t>
      </w:r>
      <w:r w:rsidR="003D103D">
        <w:t xml:space="preserve">, one observation was selected at random so that </w:t>
      </w:r>
      <w:r w:rsidR="00241736">
        <w:t>each observation in the database</w:t>
      </w:r>
      <w:r w:rsidR="003D103D">
        <w:t xml:space="preserve"> represented a unique registration identification number. This resulted in a</w:t>
      </w:r>
      <w:r w:rsidR="00697A5C">
        <w:t xml:space="preserve"> database that contained 118,684</w:t>
      </w:r>
      <w:r w:rsidR="003D103D">
        <w:t xml:space="preserve"> observations</w:t>
      </w:r>
      <w:r w:rsidR="00241736">
        <w:t xml:space="preserve">. See Appendix A: Distribution of Applicants for a map that shows the density of applicants across counties/parishes. For the feasibility study, sample selection will occur in </w:t>
      </w:r>
      <w:r w:rsidR="00697A5C">
        <w:t xml:space="preserve">Alabama, Louisiana, </w:t>
      </w:r>
      <w:r w:rsidR="00241736">
        <w:t>Mississippi</w:t>
      </w:r>
      <w:r w:rsidR="00697A5C">
        <w:t>, and Texas.  The database has 114,292</w:t>
      </w:r>
      <w:r w:rsidR="00241736">
        <w:t xml:space="preserve"> observations with </w:t>
      </w:r>
      <w:r w:rsidR="003D103D">
        <w:t>a geocoded address in</w:t>
      </w:r>
      <w:r w:rsidR="00697A5C">
        <w:t xml:space="preserve"> Alabama (2,447), Louisiana (70,832), Mississippi (34,482), and Texas (6,531)</w:t>
      </w:r>
      <w:r w:rsidR="003D103D">
        <w:t>.</w:t>
      </w:r>
    </w:p>
    <w:p w:rsidR="005513D9" w:rsidRPr="00AF7E23" w:rsidRDefault="00AF7E23" w:rsidP="00AF7E23">
      <w:pPr>
        <w:pStyle w:val="ListParagraph"/>
        <w:numPr>
          <w:ilvl w:val="0"/>
          <w:numId w:val="6"/>
        </w:num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Stratification</w:t>
      </w:r>
    </w:p>
    <w:p w:rsidR="003A1DE9" w:rsidRDefault="00AF7E23" w:rsidP="00915249">
      <w:r>
        <w:t xml:space="preserve">For the </w:t>
      </w:r>
      <w:r w:rsidR="00162583">
        <w:t>KARE</w:t>
      </w:r>
      <w:r>
        <w:t xml:space="preserve"> feasibility study, the explicit stratification will consists of designated counties/parishes.</w:t>
      </w:r>
      <w:r w:rsidR="003D0B9D">
        <w:t xml:space="preserve"> That is, designated counties/parishes will be the sampling strata.</w:t>
      </w:r>
      <w:r w:rsidR="003D23B6">
        <w:t xml:space="preserve"> There is one county in Alabama, three parishes in Louisiana, three</w:t>
      </w:r>
      <w:r w:rsidR="0013726A">
        <w:t xml:space="preserve"> counties in Mississippi</w:t>
      </w:r>
      <w:r w:rsidR="003D23B6">
        <w:t>, and six counties in Texas</w:t>
      </w:r>
      <w:r w:rsidR="0013726A">
        <w:t xml:space="preserve"> designated to be in the feasibility study</w:t>
      </w:r>
      <w:r w:rsidR="002B43AC">
        <w:t>.</w:t>
      </w:r>
      <w:r w:rsidR="003D23B6">
        <w:t xml:space="preserve"> In each state the counties/parishes are contiguous</w:t>
      </w:r>
      <w:r w:rsidR="0013726A">
        <w:t xml:space="preserve">. </w:t>
      </w:r>
      <w:r w:rsidR="003A1DE9">
        <w:t xml:space="preserve">Table 1: Feasibility Study Counties/Parishes </w:t>
      </w:r>
      <w:proofErr w:type="gramStart"/>
      <w:r w:rsidR="003A1DE9">
        <w:t>lists</w:t>
      </w:r>
      <w:proofErr w:type="gramEnd"/>
      <w:r w:rsidR="003A1DE9">
        <w:t xml:space="preserve"> the counties/parishes that will be included in the feasibility study</w:t>
      </w:r>
      <w:r w:rsidR="00DA1562">
        <w:t xml:space="preserve"> and the number of applicants in each county/parish</w:t>
      </w:r>
      <w:r w:rsidR="003A1DE9">
        <w:t>.</w:t>
      </w:r>
    </w:p>
    <w:p w:rsidR="00DA1562" w:rsidRPr="00DA1562" w:rsidRDefault="00DA1562" w:rsidP="00915249">
      <w:pPr>
        <w:rPr>
          <w:b/>
          <w:bCs/>
        </w:rPr>
      </w:pPr>
      <w:proofErr w:type="gramStart"/>
      <w:r>
        <w:rPr>
          <w:b/>
          <w:bCs/>
        </w:rPr>
        <w:t>Table 1.</w:t>
      </w:r>
      <w:proofErr w:type="gramEnd"/>
      <w:r>
        <w:rPr>
          <w:b/>
          <w:bCs/>
        </w:rPr>
        <w:t xml:space="preserve"> Feasibility Study Counties/Parishes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A1DE9" w:rsidTr="003A1DE9">
        <w:tc>
          <w:tcPr>
            <w:tcW w:w="3192" w:type="dxa"/>
          </w:tcPr>
          <w:p w:rsidR="003A1DE9" w:rsidRPr="002A1D99" w:rsidRDefault="00697A5C" w:rsidP="00915249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3192" w:type="dxa"/>
          </w:tcPr>
          <w:p w:rsidR="003A1DE9" w:rsidRPr="002A1D99" w:rsidRDefault="003A1DE9" w:rsidP="00915249">
            <w:pPr>
              <w:rPr>
                <w:b/>
                <w:bCs/>
              </w:rPr>
            </w:pPr>
            <w:r w:rsidRPr="002A1D99">
              <w:rPr>
                <w:b/>
                <w:bCs/>
              </w:rPr>
              <w:t>County, State</w:t>
            </w:r>
          </w:p>
        </w:tc>
        <w:tc>
          <w:tcPr>
            <w:tcW w:w="3192" w:type="dxa"/>
          </w:tcPr>
          <w:p w:rsidR="003A1DE9" w:rsidRPr="002A1D99" w:rsidRDefault="003A1DE9" w:rsidP="00915249">
            <w:pPr>
              <w:rPr>
                <w:b/>
                <w:bCs/>
              </w:rPr>
            </w:pPr>
            <w:r w:rsidRPr="002A1D99">
              <w:rPr>
                <w:b/>
                <w:bCs/>
              </w:rPr>
              <w:t>Applicants</w:t>
            </w:r>
          </w:p>
        </w:tc>
      </w:tr>
      <w:tr w:rsidR="00697A5C" w:rsidTr="003A1DE9">
        <w:tc>
          <w:tcPr>
            <w:tcW w:w="3192" w:type="dxa"/>
          </w:tcPr>
          <w:p w:rsidR="00697A5C" w:rsidRDefault="00697A5C" w:rsidP="00915249"/>
        </w:tc>
        <w:tc>
          <w:tcPr>
            <w:tcW w:w="3192" w:type="dxa"/>
          </w:tcPr>
          <w:p w:rsidR="00697A5C" w:rsidRDefault="00697A5C" w:rsidP="00915249"/>
        </w:tc>
        <w:tc>
          <w:tcPr>
            <w:tcW w:w="3192" w:type="dxa"/>
          </w:tcPr>
          <w:p w:rsidR="00697A5C" w:rsidRDefault="00697A5C" w:rsidP="00915A50">
            <w:pPr>
              <w:rPr>
                <w:rFonts w:ascii="Calibri" w:hAnsi="Calibri"/>
                <w:color w:val="000000"/>
              </w:rPr>
            </w:pPr>
          </w:p>
        </w:tc>
      </w:tr>
      <w:tr w:rsidR="00697A5C" w:rsidTr="003A1DE9">
        <w:tc>
          <w:tcPr>
            <w:tcW w:w="3192" w:type="dxa"/>
          </w:tcPr>
          <w:p w:rsidR="00697A5C" w:rsidRDefault="00697A5C" w:rsidP="00915249">
            <w:r>
              <w:t>Alabama</w:t>
            </w:r>
          </w:p>
        </w:tc>
        <w:tc>
          <w:tcPr>
            <w:tcW w:w="3192" w:type="dxa"/>
          </w:tcPr>
          <w:p w:rsidR="00697A5C" w:rsidRDefault="00697A5C" w:rsidP="00915249">
            <w:r>
              <w:t>Mobile, AL</w:t>
            </w:r>
          </w:p>
        </w:tc>
        <w:tc>
          <w:tcPr>
            <w:tcW w:w="3192" w:type="dxa"/>
          </w:tcPr>
          <w:p w:rsidR="00697A5C" w:rsidRDefault="00697A5C" w:rsidP="00915A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1,788</w:t>
            </w:r>
          </w:p>
        </w:tc>
      </w:tr>
      <w:tr w:rsidR="00DA1562" w:rsidTr="003A1DE9">
        <w:tc>
          <w:tcPr>
            <w:tcW w:w="3192" w:type="dxa"/>
          </w:tcPr>
          <w:p w:rsidR="00DA1562" w:rsidRDefault="00DA1562" w:rsidP="00915249"/>
        </w:tc>
        <w:tc>
          <w:tcPr>
            <w:tcW w:w="3192" w:type="dxa"/>
          </w:tcPr>
          <w:p w:rsidR="00DA1562" w:rsidRDefault="00DA1562" w:rsidP="00915249"/>
        </w:tc>
        <w:tc>
          <w:tcPr>
            <w:tcW w:w="3192" w:type="dxa"/>
          </w:tcPr>
          <w:p w:rsidR="00DA1562" w:rsidRDefault="00DA1562" w:rsidP="00915A50">
            <w:pPr>
              <w:rPr>
                <w:rFonts w:ascii="Calibri" w:hAnsi="Calibri"/>
                <w:color w:val="000000"/>
              </w:rPr>
            </w:pPr>
          </w:p>
        </w:tc>
      </w:tr>
      <w:tr w:rsidR="003A1DE9" w:rsidTr="003A1DE9">
        <w:tc>
          <w:tcPr>
            <w:tcW w:w="3192" w:type="dxa"/>
          </w:tcPr>
          <w:p w:rsidR="003A1DE9" w:rsidRDefault="00697A5C" w:rsidP="00915249">
            <w:r>
              <w:t>Louisiana</w:t>
            </w:r>
          </w:p>
        </w:tc>
        <w:tc>
          <w:tcPr>
            <w:tcW w:w="3192" w:type="dxa"/>
          </w:tcPr>
          <w:p w:rsidR="003A1DE9" w:rsidRDefault="00915A50" w:rsidP="00915249">
            <w:r>
              <w:t>Orleans, LA</w:t>
            </w:r>
          </w:p>
        </w:tc>
        <w:tc>
          <w:tcPr>
            <w:tcW w:w="3192" w:type="dxa"/>
          </w:tcPr>
          <w:p w:rsidR="003A1DE9" w:rsidRPr="00915A50" w:rsidRDefault="00915A50" w:rsidP="00915A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24,239</w:t>
            </w:r>
          </w:p>
        </w:tc>
      </w:tr>
      <w:tr w:rsidR="003A1DE9" w:rsidTr="003A1DE9">
        <w:tc>
          <w:tcPr>
            <w:tcW w:w="3192" w:type="dxa"/>
          </w:tcPr>
          <w:p w:rsidR="003A1DE9" w:rsidRDefault="00697A5C" w:rsidP="00915249">
            <w:r>
              <w:t>Louisiana</w:t>
            </w:r>
          </w:p>
        </w:tc>
        <w:tc>
          <w:tcPr>
            <w:tcW w:w="3192" w:type="dxa"/>
          </w:tcPr>
          <w:p w:rsidR="003A1DE9" w:rsidRDefault="00915A50" w:rsidP="00915249">
            <w:r>
              <w:t>Jefferson, LA</w:t>
            </w:r>
          </w:p>
        </w:tc>
        <w:tc>
          <w:tcPr>
            <w:tcW w:w="3192" w:type="dxa"/>
          </w:tcPr>
          <w:p w:rsidR="003A1DE9" w:rsidRPr="00DA1562" w:rsidRDefault="00DA1562" w:rsidP="00DA15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19,504</w:t>
            </w:r>
          </w:p>
        </w:tc>
      </w:tr>
      <w:tr w:rsidR="003A1DE9" w:rsidTr="003A1DE9">
        <w:tc>
          <w:tcPr>
            <w:tcW w:w="3192" w:type="dxa"/>
          </w:tcPr>
          <w:p w:rsidR="003A1DE9" w:rsidRDefault="00697A5C" w:rsidP="00915249">
            <w:r>
              <w:t>Louisiana</w:t>
            </w:r>
          </w:p>
        </w:tc>
        <w:tc>
          <w:tcPr>
            <w:tcW w:w="3192" w:type="dxa"/>
          </w:tcPr>
          <w:p w:rsidR="003A1DE9" w:rsidRDefault="00915A50" w:rsidP="00915249">
            <w:r>
              <w:t>St. Tammany, LA</w:t>
            </w:r>
          </w:p>
        </w:tc>
        <w:tc>
          <w:tcPr>
            <w:tcW w:w="3192" w:type="dxa"/>
          </w:tcPr>
          <w:p w:rsidR="003A1DE9" w:rsidRPr="00DA1562" w:rsidRDefault="00DA1562" w:rsidP="00DA15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11,889</w:t>
            </w:r>
          </w:p>
        </w:tc>
      </w:tr>
      <w:tr w:rsidR="003A1DE9" w:rsidTr="003A1DE9">
        <w:tc>
          <w:tcPr>
            <w:tcW w:w="3192" w:type="dxa"/>
          </w:tcPr>
          <w:p w:rsidR="003A1DE9" w:rsidRDefault="003A1DE9" w:rsidP="00915249"/>
        </w:tc>
        <w:tc>
          <w:tcPr>
            <w:tcW w:w="3192" w:type="dxa"/>
          </w:tcPr>
          <w:p w:rsidR="003A1DE9" w:rsidRDefault="003A1DE9" w:rsidP="00915249"/>
        </w:tc>
        <w:tc>
          <w:tcPr>
            <w:tcW w:w="3192" w:type="dxa"/>
          </w:tcPr>
          <w:p w:rsidR="003A1DE9" w:rsidRPr="00DA1562" w:rsidRDefault="003A1DE9" w:rsidP="00DA1562">
            <w:pPr>
              <w:rPr>
                <w:rFonts w:ascii="Calibri" w:hAnsi="Calibri"/>
                <w:color w:val="000000"/>
              </w:rPr>
            </w:pPr>
          </w:p>
        </w:tc>
      </w:tr>
      <w:tr w:rsidR="00697A5C" w:rsidTr="003A1DE9">
        <w:tc>
          <w:tcPr>
            <w:tcW w:w="3192" w:type="dxa"/>
          </w:tcPr>
          <w:p w:rsidR="00697A5C" w:rsidRDefault="00697A5C" w:rsidP="00915249">
            <w:r>
              <w:lastRenderedPageBreak/>
              <w:t>Mississippi</w:t>
            </w:r>
          </w:p>
        </w:tc>
        <w:tc>
          <w:tcPr>
            <w:tcW w:w="3192" w:type="dxa"/>
          </w:tcPr>
          <w:p w:rsidR="00697A5C" w:rsidRDefault="00697A5C" w:rsidP="00915249">
            <w:r>
              <w:t>Harrison, MS</w:t>
            </w:r>
          </w:p>
        </w:tc>
        <w:tc>
          <w:tcPr>
            <w:tcW w:w="3192" w:type="dxa"/>
          </w:tcPr>
          <w:p w:rsidR="00697A5C" w:rsidRDefault="00697A5C" w:rsidP="00915249">
            <w:r>
              <w:t>11,577</w:t>
            </w:r>
          </w:p>
        </w:tc>
      </w:tr>
      <w:tr w:rsidR="00697A5C" w:rsidTr="003A1DE9">
        <w:tc>
          <w:tcPr>
            <w:tcW w:w="3192" w:type="dxa"/>
          </w:tcPr>
          <w:p w:rsidR="00697A5C" w:rsidRDefault="00697A5C" w:rsidP="00915249">
            <w:r>
              <w:t>Mississippi</w:t>
            </w:r>
          </w:p>
        </w:tc>
        <w:tc>
          <w:tcPr>
            <w:tcW w:w="3192" w:type="dxa"/>
          </w:tcPr>
          <w:p w:rsidR="00697A5C" w:rsidRDefault="00697A5C" w:rsidP="00915249">
            <w:r>
              <w:t>Jackson, MS</w:t>
            </w:r>
          </w:p>
        </w:tc>
        <w:tc>
          <w:tcPr>
            <w:tcW w:w="3192" w:type="dxa"/>
          </w:tcPr>
          <w:p w:rsidR="00697A5C" w:rsidRPr="00DA1562" w:rsidRDefault="00697A5C" w:rsidP="00DA15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8,928</w:t>
            </w:r>
          </w:p>
        </w:tc>
      </w:tr>
      <w:tr w:rsidR="00697A5C" w:rsidTr="003A1DE9">
        <w:tc>
          <w:tcPr>
            <w:tcW w:w="3192" w:type="dxa"/>
          </w:tcPr>
          <w:p w:rsidR="00697A5C" w:rsidRDefault="00697A5C" w:rsidP="00915249">
            <w:r>
              <w:t>Mississippi</w:t>
            </w:r>
          </w:p>
        </w:tc>
        <w:tc>
          <w:tcPr>
            <w:tcW w:w="3192" w:type="dxa"/>
          </w:tcPr>
          <w:p w:rsidR="00697A5C" w:rsidRDefault="00697A5C" w:rsidP="00915249">
            <w:r>
              <w:t>Hancock, MS</w:t>
            </w:r>
          </w:p>
        </w:tc>
        <w:tc>
          <w:tcPr>
            <w:tcW w:w="3192" w:type="dxa"/>
          </w:tcPr>
          <w:p w:rsidR="00697A5C" w:rsidRPr="00DA1562" w:rsidRDefault="00697A5C" w:rsidP="00DA15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7,451</w:t>
            </w:r>
          </w:p>
        </w:tc>
      </w:tr>
      <w:tr w:rsidR="00697A5C" w:rsidTr="003A1DE9">
        <w:tc>
          <w:tcPr>
            <w:tcW w:w="3192" w:type="dxa"/>
          </w:tcPr>
          <w:p w:rsidR="00697A5C" w:rsidRDefault="00697A5C" w:rsidP="00915249"/>
        </w:tc>
        <w:tc>
          <w:tcPr>
            <w:tcW w:w="3192" w:type="dxa"/>
          </w:tcPr>
          <w:p w:rsidR="00697A5C" w:rsidRDefault="00697A5C" w:rsidP="00915249"/>
        </w:tc>
        <w:tc>
          <w:tcPr>
            <w:tcW w:w="3192" w:type="dxa"/>
          </w:tcPr>
          <w:p w:rsidR="00697A5C" w:rsidRDefault="00697A5C" w:rsidP="00915249"/>
        </w:tc>
      </w:tr>
      <w:tr w:rsidR="00697A5C" w:rsidTr="003A1DE9">
        <w:tc>
          <w:tcPr>
            <w:tcW w:w="3192" w:type="dxa"/>
          </w:tcPr>
          <w:p w:rsidR="00697A5C" w:rsidRDefault="00C84095" w:rsidP="00915249">
            <w:r>
              <w:t>Texas</w:t>
            </w:r>
          </w:p>
        </w:tc>
        <w:tc>
          <w:tcPr>
            <w:tcW w:w="3192" w:type="dxa"/>
          </w:tcPr>
          <w:p w:rsidR="00697A5C" w:rsidRDefault="00C84095" w:rsidP="00915249">
            <w:r>
              <w:t>Jefferson, TX</w:t>
            </w:r>
          </w:p>
        </w:tc>
        <w:tc>
          <w:tcPr>
            <w:tcW w:w="3192" w:type="dxa"/>
          </w:tcPr>
          <w:p w:rsidR="00697A5C" w:rsidRPr="00DA1562" w:rsidRDefault="00C84095" w:rsidP="00DA15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1,604</w:t>
            </w:r>
          </w:p>
        </w:tc>
      </w:tr>
      <w:tr w:rsidR="00697A5C" w:rsidTr="003A1DE9">
        <w:tc>
          <w:tcPr>
            <w:tcW w:w="3192" w:type="dxa"/>
          </w:tcPr>
          <w:p w:rsidR="00697A5C" w:rsidRDefault="00C84095" w:rsidP="00915249">
            <w:r>
              <w:t>Texas</w:t>
            </w:r>
          </w:p>
        </w:tc>
        <w:tc>
          <w:tcPr>
            <w:tcW w:w="3192" w:type="dxa"/>
          </w:tcPr>
          <w:p w:rsidR="00697A5C" w:rsidRDefault="00C84095" w:rsidP="00915249">
            <w:r>
              <w:t>Orange, TX</w:t>
            </w:r>
          </w:p>
        </w:tc>
        <w:tc>
          <w:tcPr>
            <w:tcW w:w="3192" w:type="dxa"/>
          </w:tcPr>
          <w:p w:rsidR="00697A5C" w:rsidRPr="00DA1562" w:rsidRDefault="00C84095" w:rsidP="00DA156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953</w:t>
            </w:r>
          </w:p>
        </w:tc>
      </w:tr>
      <w:tr w:rsidR="00697A5C" w:rsidTr="003A1DE9">
        <w:tc>
          <w:tcPr>
            <w:tcW w:w="3192" w:type="dxa"/>
          </w:tcPr>
          <w:p w:rsidR="00697A5C" w:rsidRDefault="00C84095" w:rsidP="00915249">
            <w:r>
              <w:t>Texas</w:t>
            </w:r>
          </w:p>
        </w:tc>
        <w:tc>
          <w:tcPr>
            <w:tcW w:w="3192" w:type="dxa"/>
          </w:tcPr>
          <w:p w:rsidR="00697A5C" w:rsidRDefault="00C84095" w:rsidP="00915249">
            <w:r>
              <w:t>Hardin, TX</w:t>
            </w:r>
          </w:p>
        </w:tc>
        <w:tc>
          <w:tcPr>
            <w:tcW w:w="3192" w:type="dxa"/>
          </w:tcPr>
          <w:p w:rsidR="00697A5C" w:rsidRDefault="00C84095" w:rsidP="00915249">
            <w:r>
              <w:t>522</w:t>
            </w:r>
          </w:p>
        </w:tc>
      </w:tr>
      <w:tr w:rsidR="00697A5C" w:rsidTr="003A1DE9">
        <w:tc>
          <w:tcPr>
            <w:tcW w:w="3192" w:type="dxa"/>
          </w:tcPr>
          <w:p w:rsidR="00697A5C" w:rsidRDefault="00C84095" w:rsidP="00915249">
            <w:r>
              <w:t>Texas</w:t>
            </w:r>
          </w:p>
        </w:tc>
        <w:tc>
          <w:tcPr>
            <w:tcW w:w="3192" w:type="dxa"/>
          </w:tcPr>
          <w:p w:rsidR="00697A5C" w:rsidRDefault="00C84095" w:rsidP="00915249">
            <w:r>
              <w:t>Jasper, TX</w:t>
            </w:r>
          </w:p>
        </w:tc>
        <w:tc>
          <w:tcPr>
            <w:tcW w:w="3192" w:type="dxa"/>
          </w:tcPr>
          <w:p w:rsidR="00697A5C" w:rsidRDefault="00C84095" w:rsidP="00915249">
            <w:r>
              <w:t>435</w:t>
            </w:r>
          </w:p>
        </w:tc>
      </w:tr>
      <w:tr w:rsidR="00697A5C" w:rsidTr="003A1DE9">
        <w:tc>
          <w:tcPr>
            <w:tcW w:w="3192" w:type="dxa"/>
          </w:tcPr>
          <w:p w:rsidR="00697A5C" w:rsidRDefault="00C84095" w:rsidP="00915249">
            <w:r>
              <w:t>Texas</w:t>
            </w:r>
          </w:p>
        </w:tc>
        <w:tc>
          <w:tcPr>
            <w:tcW w:w="3192" w:type="dxa"/>
          </w:tcPr>
          <w:p w:rsidR="00697A5C" w:rsidRDefault="00C84095" w:rsidP="00915249">
            <w:r>
              <w:t>Tyler, TX</w:t>
            </w:r>
          </w:p>
        </w:tc>
        <w:tc>
          <w:tcPr>
            <w:tcW w:w="3192" w:type="dxa"/>
          </w:tcPr>
          <w:p w:rsidR="00697A5C" w:rsidRDefault="00C84095" w:rsidP="00915249">
            <w:r>
              <w:t>245</w:t>
            </w:r>
          </w:p>
        </w:tc>
      </w:tr>
      <w:tr w:rsidR="00697A5C" w:rsidTr="003A1DE9">
        <w:tc>
          <w:tcPr>
            <w:tcW w:w="3192" w:type="dxa"/>
          </w:tcPr>
          <w:p w:rsidR="00697A5C" w:rsidRDefault="00C84095" w:rsidP="00915249">
            <w:r>
              <w:t>Texas</w:t>
            </w:r>
          </w:p>
        </w:tc>
        <w:tc>
          <w:tcPr>
            <w:tcW w:w="3192" w:type="dxa"/>
          </w:tcPr>
          <w:p w:rsidR="00697A5C" w:rsidRDefault="00C84095" w:rsidP="00915249">
            <w:r>
              <w:t>Newton, TX</w:t>
            </w:r>
          </w:p>
        </w:tc>
        <w:tc>
          <w:tcPr>
            <w:tcW w:w="3192" w:type="dxa"/>
          </w:tcPr>
          <w:p w:rsidR="00697A5C" w:rsidRDefault="00C84095" w:rsidP="00915249">
            <w:r>
              <w:t>175</w:t>
            </w:r>
          </w:p>
        </w:tc>
      </w:tr>
      <w:tr w:rsidR="00C84095" w:rsidTr="003A1DE9">
        <w:tc>
          <w:tcPr>
            <w:tcW w:w="3192" w:type="dxa"/>
          </w:tcPr>
          <w:p w:rsidR="00C84095" w:rsidRDefault="00C84095" w:rsidP="00915249"/>
        </w:tc>
        <w:tc>
          <w:tcPr>
            <w:tcW w:w="3192" w:type="dxa"/>
          </w:tcPr>
          <w:p w:rsidR="00C84095" w:rsidRDefault="00C84095" w:rsidP="00915249"/>
        </w:tc>
        <w:tc>
          <w:tcPr>
            <w:tcW w:w="3192" w:type="dxa"/>
          </w:tcPr>
          <w:p w:rsidR="00C84095" w:rsidRDefault="00C84095" w:rsidP="00915249"/>
        </w:tc>
      </w:tr>
    </w:tbl>
    <w:p w:rsidR="003A1DE9" w:rsidRDefault="003A1DE9" w:rsidP="00915249"/>
    <w:p w:rsidR="001D76F7" w:rsidRPr="001D76F7" w:rsidRDefault="0013726A" w:rsidP="00915249">
      <w:r>
        <w:t>The counties/parishes represent a mix of ru</w:t>
      </w:r>
      <w:r w:rsidR="0010377E">
        <w:t>ral and urban parishes/counties.</w:t>
      </w:r>
      <w:r w:rsidR="002B43AC">
        <w:t xml:space="preserve"> </w:t>
      </w:r>
      <w:r w:rsidR="005513D9">
        <w:t xml:space="preserve">See Appendix </w:t>
      </w:r>
      <w:r w:rsidR="00864D24">
        <w:t>B: St</w:t>
      </w:r>
      <w:r w:rsidR="00915249">
        <w:t>udy Counties/Parishes for a map</w:t>
      </w:r>
      <w:r w:rsidR="00864D24">
        <w:t xml:space="preserve"> of study counties/paris</w:t>
      </w:r>
      <w:r w:rsidR="00915249">
        <w:t>hes</w:t>
      </w:r>
      <w:r w:rsidR="005513D9">
        <w:t>.</w:t>
      </w:r>
      <w:r w:rsidR="00241736">
        <w:t xml:space="preserve"> </w:t>
      </w:r>
      <w:r w:rsidR="005513D9">
        <w:t>Within e</w:t>
      </w:r>
      <w:r w:rsidR="002B43AC">
        <w:t>ach of th</w:t>
      </w:r>
      <w:r w:rsidR="00241736">
        <w:t xml:space="preserve">ese counties/parishes, </w:t>
      </w:r>
      <w:r w:rsidR="002B43AC">
        <w:t xml:space="preserve">we </w:t>
      </w:r>
      <w:r w:rsidR="00241736">
        <w:t>will use</w:t>
      </w:r>
      <w:r w:rsidR="005513D9">
        <w:t xml:space="preserve"> implicit stratification by Census tract to allocate the sample within the explicit sampling strata.</w:t>
      </w:r>
    </w:p>
    <w:p w:rsidR="005513D9" w:rsidRPr="000332B5" w:rsidRDefault="000332B5" w:rsidP="000332B5">
      <w:pPr>
        <w:pStyle w:val="ListParagraph"/>
        <w:numPr>
          <w:ilvl w:val="0"/>
          <w:numId w:val="6"/>
        </w:num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Sample Allocation</w:t>
      </w:r>
    </w:p>
    <w:p w:rsidR="00520F2C" w:rsidRDefault="000332B5" w:rsidP="003D23B6">
      <w:r>
        <w:t>The sample size for the feasibility study was set at</w:t>
      </w:r>
      <w:r w:rsidR="00366A69">
        <w:t xml:space="preserve"> 10</w:t>
      </w:r>
      <w:r>
        <w:t xml:space="preserve">,000 applicants. The sample will be allocated proportionally </w:t>
      </w:r>
      <w:r w:rsidR="003D23B6">
        <w:t xml:space="preserve">based on the number of applicants </w:t>
      </w:r>
      <w:r>
        <w:t xml:space="preserve">across </w:t>
      </w:r>
      <w:r w:rsidR="00C84095">
        <w:t xml:space="preserve">Alabama, Louisiana, </w:t>
      </w:r>
      <w:r>
        <w:t>Mississippi</w:t>
      </w:r>
      <w:r w:rsidR="00C84095">
        <w:t>, and Texas. About 2</w:t>
      </w:r>
      <w:r>
        <w:t>% of the sampl</w:t>
      </w:r>
      <w:r w:rsidR="00C84095">
        <w:t>e will be allocated to Alabama</w:t>
      </w:r>
      <w:r>
        <w:t>,</w:t>
      </w:r>
      <w:r w:rsidR="00C84095">
        <w:t xml:space="preserve"> about 62% </w:t>
      </w:r>
      <w:r w:rsidR="003D23B6">
        <w:t>t</w:t>
      </w:r>
      <w:r w:rsidR="00C84095">
        <w:t>o Louisiana,</w:t>
      </w:r>
      <w:r>
        <w:t xml:space="preserve"> about 31% to Mississippi</w:t>
      </w:r>
      <w:r w:rsidR="00C84095">
        <w:t>, and about 4% to Texas</w:t>
      </w:r>
      <w:r>
        <w:t xml:space="preserve">. </w:t>
      </w:r>
      <w:r w:rsidR="00241736">
        <w:t>These percentages represent the approximate population proportions of the applicants based on the applicant counts for</w:t>
      </w:r>
      <w:r w:rsidR="00C84095">
        <w:t xml:space="preserve"> Alabama (2%), Louisiana (62%), </w:t>
      </w:r>
      <w:r w:rsidR="00241736">
        <w:t>Mississippi</w:t>
      </w:r>
      <w:r w:rsidR="00C84095">
        <w:t xml:space="preserve"> (30%), and Texas (6%)</w:t>
      </w:r>
      <w:r w:rsidR="00241736">
        <w:t xml:space="preserve">. </w:t>
      </w:r>
      <w:r>
        <w:t xml:space="preserve">Within each of the states, the sample will be allocated proportionally to the </w:t>
      </w:r>
      <w:r w:rsidR="003D0B9D">
        <w:t xml:space="preserve">designated </w:t>
      </w:r>
      <w:r>
        <w:t xml:space="preserve">counties/parishes within the state. </w:t>
      </w:r>
      <w:r w:rsidR="003D0B9D">
        <w:t>Within each of the designated counties, the sample will be</w:t>
      </w:r>
      <w:r w:rsidR="000E7805">
        <w:t xml:space="preserve"> proportionally allocated to the Census t</w:t>
      </w:r>
      <w:r w:rsidR="003D0B9D">
        <w:t>racts</w:t>
      </w:r>
      <w:r w:rsidR="000E7805">
        <w:t>. Appendix C:  Feasibility</w:t>
      </w:r>
      <w:r w:rsidR="00915249">
        <w:t xml:space="preserve"> Study Counties/Paris</w:t>
      </w:r>
      <w:r w:rsidR="003D0B9D">
        <w:t xml:space="preserve">hes </w:t>
      </w:r>
      <w:r w:rsidR="00915249">
        <w:t>Sample Allocati</w:t>
      </w:r>
      <w:r w:rsidR="00520F2C">
        <w:t>on has</w:t>
      </w:r>
      <w:r w:rsidR="000E7805">
        <w:t xml:space="preserve"> a list of feasibility</w:t>
      </w:r>
      <w:r w:rsidR="00915249">
        <w:t xml:space="preserve"> study counties/parishes </w:t>
      </w:r>
      <w:r w:rsidR="003D0B9D">
        <w:t>and the sample allocation for these counties/parishes.</w:t>
      </w:r>
    </w:p>
    <w:p w:rsidR="003D0B9D" w:rsidRPr="00AF7E23" w:rsidRDefault="003D0B9D" w:rsidP="003D0B9D">
      <w:pPr>
        <w:pStyle w:val="ListParagraph"/>
        <w:numPr>
          <w:ilvl w:val="0"/>
          <w:numId w:val="6"/>
        </w:num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Applicant Selection</w:t>
      </w:r>
    </w:p>
    <w:p w:rsidR="00941E7B" w:rsidRDefault="00520F2C" w:rsidP="003D0B9D">
      <w:r>
        <w:t>In general, sample selection will be stratified simple random sampling</w:t>
      </w:r>
      <w:r w:rsidR="004014CE">
        <w:t xml:space="preserve"> with </w:t>
      </w:r>
      <w:r w:rsidR="00E71694">
        <w:t>proporti</w:t>
      </w:r>
      <w:r w:rsidR="003D0B9D">
        <w:t>onal allocation</w:t>
      </w:r>
      <w:r w:rsidR="00E71694">
        <w:t>.</w:t>
      </w:r>
      <w:r w:rsidR="003D0B9D">
        <w:t xml:space="preserve"> </w:t>
      </w:r>
      <w:r w:rsidR="00ED5735">
        <w:t>The prob</w:t>
      </w:r>
      <w:r w:rsidR="004014CE">
        <w:t>ability</w:t>
      </w:r>
      <w:r w:rsidR="00BC41F6">
        <w:t xml:space="preserve"> of</w:t>
      </w:r>
      <w:r w:rsidR="003D0B9D">
        <w:t xml:space="preserve"> selection for the applicant will</w:t>
      </w:r>
      <w:r w:rsidR="00BC41F6">
        <w:t xml:space="preserve"> </w:t>
      </w:r>
      <w:r w:rsidR="003D77A1">
        <w:t xml:space="preserve">be </w:t>
      </w:r>
      <w:r w:rsidR="00BC41F6">
        <w:t>the number of applicant</w:t>
      </w:r>
      <w:r w:rsidR="004014CE">
        <w:t>s</w:t>
      </w:r>
      <w:r w:rsidR="00ED5735">
        <w:t xml:space="preserve"> selected </w:t>
      </w:r>
      <w:r w:rsidR="003D0B9D">
        <w:t xml:space="preserve">for the sample </w:t>
      </w:r>
      <w:r w:rsidR="00ED5735">
        <w:t>in a sampling stratum divided b</w:t>
      </w:r>
      <w:r w:rsidR="00BC41F6">
        <w:t>y the total number of applicant</w:t>
      </w:r>
      <w:r w:rsidR="004014CE">
        <w:t>s in the sampling stratum. T</w:t>
      </w:r>
      <w:r w:rsidR="00ED5735">
        <w:t xml:space="preserve">hat </w:t>
      </w:r>
      <w:r w:rsidR="004014CE">
        <w:t xml:space="preserve">is, </w:t>
      </w:r>
      <w:r w:rsidR="00ED5735">
        <w:t xml:space="preserve">the probability of selection for the </w:t>
      </w:r>
      <w:proofErr w:type="spellStart"/>
      <w:r w:rsidR="00ED5735" w:rsidRPr="00ED5735">
        <w:rPr>
          <w:i/>
          <w:iCs/>
        </w:rPr>
        <w:t>i</w:t>
      </w:r>
      <w:r w:rsidR="00ED5735" w:rsidRPr="00ED5735">
        <w:rPr>
          <w:i/>
          <w:iCs/>
          <w:vertAlign w:val="superscript"/>
        </w:rPr>
        <w:t>th</w:t>
      </w:r>
      <w:proofErr w:type="spellEnd"/>
      <w:r w:rsidR="00BC41F6">
        <w:t xml:space="preserve"> applicant</w:t>
      </w:r>
      <w:r w:rsidR="004014CE">
        <w:t xml:space="preserve"> </w:t>
      </w:r>
      <w:r w:rsidR="00ED5735">
        <w:t xml:space="preserve">in the </w:t>
      </w:r>
      <w:proofErr w:type="spellStart"/>
      <w:r w:rsidR="00ED5735" w:rsidRPr="00ED5735">
        <w:rPr>
          <w:i/>
          <w:iCs/>
        </w:rPr>
        <w:t>h</w:t>
      </w:r>
      <w:r w:rsidR="00ED5735" w:rsidRPr="00ED5735">
        <w:rPr>
          <w:i/>
          <w:iCs/>
          <w:vertAlign w:val="superscript"/>
        </w:rPr>
        <w:t>th</w:t>
      </w:r>
      <w:proofErr w:type="spellEnd"/>
      <w:r w:rsidR="00ED5735">
        <w:t xml:space="preserve"> sampling stratum is, </w:t>
      </w:r>
      <w:r w:rsidR="00ED5735" w:rsidRPr="00ED5735">
        <w:rPr>
          <w:i/>
          <w:iCs/>
        </w:rPr>
        <w:t>p</w:t>
      </w:r>
      <w:r w:rsidR="00ED5735" w:rsidRPr="00ED5735">
        <w:rPr>
          <w:i/>
          <w:iCs/>
          <w:vertAlign w:val="subscript"/>
        </w:rPr>
        <w:t>hi</w:t>
      </w:r>
      <w:r w:rsidR="003D77A1">
        <w:t>, will be</w:t>
      </w:r>
      <w:r w:rsidR="00ED5735">
        <w:t xml:space="preserve">  </w:t>
      </w:r>
    </w:p>
    <w:p w:rsidR="00ED5735" w:rsidRDefault="00D467A6" w:rsidP="00ED5735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hi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den>
        </m:f>
      </m:oMath>
      <w:r w:rsidR="00ED5735">
        <w:t>,</w:t>
      </w:r>
    </w:p>
    <w:p w:rsidR="008E3682" w:rsidRDefault="00ED5735" w:rsidP="003D0B9D">
      <w:proofErr w:type="gramStart"/>
      <w:r>
        <w:t>where</w:t>
      </w:r>
      <w:proofErr w:type="gramEnd"/>
      <w:r>
        <w:t xml:space="preserve"> </w:t>
      </w:r>
      <w:proofErr w:type="spellStart"/>
      <w:r w:rsidRPr="00ED5735">
        <w:rPr>
          <w:i/>
          <w:iCs/>
        </w:rPr>
        <w:t>n</w:t>
      </w:r>
      <w:r w:rsidRPr="00ED5735">
        <w:rPr>
          <w:i/>
          <w:iCs/>
          <w:vertAlign w:val="subscript"/>
        </w:rPr>
        <w:t>h</w:t>
      </w:r>
      <w:proofErr w:type="spellEnd"/>
      <w:r w:rsidR="00BC41F6">
        <w:t xml:space="preserve"> is the number of applicant</w:t>
      </w:r>
      <w:r w:rsidR="004014CE">
        <w:t>s</w:t>
      </w:r>
      <w:r>
        <w:t xml:space="preserve"> selected </w:t>
      </w:r>
      <w:r w:rsidR="003D0B9D">
        <w:t xml:space="preserve">for the sample </w:t>
      </w:r>
      <w:r>
        <w:t xml:space="preserve">in the </w:t>
      </w:r>
      <w:proofErr w:type="spellStart"/>
      <w:r w:rsidRPr="00ED5735">
        <w:rPr>
          <w:i/>
          <w:iCs/>
        </w:rPr>
        <w:t>h</w:t>
      </w:r>
      <w:r w:rsidRPr="00ED5735">
        <w:rPr>
          <w:i/>
          <w:iCs/>
          <w:vertAlign w:val="superscript"/>
        </w:rPr>
        <w:t>th</w:t>
      </w:r>
      <w:proofErr w:type="spellEnd"/>
      <w:r w:rsidRPr="00ED5735">
        <w:rPr>
          <w:vertAlign w:val="superscript"/>
        </w:rPr>
        <w:t xml:space="preserve"> </w:t>
      </w:r>
      <w:r>
        <w:t xml:space="preserve">sampling stratum and </w:t>
      </w:r>
      <w:proofErr w:type="spellStart"/>
      <w:r w:rsidRPr="00ED5735">
        <w:rPr>
          <w:i/>
          <w:iCs/>
        </w:rPr>
        <w:t>N</w:t>
      </w:r>
      <w:r w:rsidRPr="00ED5735">
        <w:rPr>
          <w:i/>
          <w:iCs/>
          <w:vertAlign w:val="subscript"/>
        </w:rPr>
        <w:t>h</w:t>
      </w:r>
      <w:proofErr w:type="spellEnd"/>
      <w:r>
        <w:t xml:space="preserve"> i</w:t>
      </w:r>
      <w:r w:rsidR="00BC41F6">
        <w:t>s the total number of applicant</w:t>
      </w:r>
      <w:r w:rsidR="004014CE">
        <w:t>s</w:t>
      </w:r>
      <w:r>
        <w:t xml:space="preserve"> in the </w:t>
      </w:r>
      <w:proofErr w:type="spellStart"/>
      <w:r w:rsidRPr="00ED5735">
        <w:rPr>
          <w:i/>
          <w:iCs/>
        </w:rPr>
        <w:t>h</w:t>
      </w:r>
      <w:r w:rsidRPr="00ED5735">
        <w:rPr>
          <w:i/>
          <w:iCs/>
          <w:vertAlign w:val="superscript"/>
        </w:rPr>
        <w:t>th</w:t>
      </w:r>
      <w:proofErr w:type="spellEnd"/>
      <w:r w:rsidR="003D0B9D">
        <w:t xml:space="preserve"> sampling stratum. </w:t>
      </w:r>
      <w:r w:rsidR="008E3682">
        <w:t>T</w:t>
      </w:r>
      <w:r w:rsidR="003D77A1">
        <w:t>he design weight for an applicant will be</w:t>
      </w:r>
      <w:r w:rsidR="008E3682">
        <w:t xml:space="preserve"> t</w:t>
      </w:r>
      <w:r w:rsidR="003D77A1">
        <w:t xml:space="preserve">he inverse of the applicant </w:t>
      </w:r>
      <w:r w:rsidR="008E3682">
        <w:t xml:space="preserve">probability of selection. That is, the design weight for the for the </w:t>
      </w:r>
      <w:proofErr w:type="spellStart"/>
      <w:r w:rsidR="008E3682" w:rsidRPr="00ED5735">
        <w:rPr>
          <w:i/>
          <w:iCs/>
        </w:rPr>
        <w:t>i</w:t>
      </w:r>
      <w:r w:rsidR="008E3682" w:rsidRPr="00ED5735">
        <w:rPr>
          <w:i/>
          <w:iCs/>
          <w:vertAlign w:val="superscript"/>
        </w:rPr>
        <w:t>th</w:t>
      </w:r>
      <w:proofErr w:type="spellEnd"/>
      <w:r w:rsidR="003D77A1">
        <w:t xml:space="preserve"> applicant</w:t>
      </w:r>
      <w:r w:rsidR="008E3682">
        <w:t xml:space="preserve"> in the </w:t>
      </w:r>
      <w:proofErr w:type="spellStart"/>
      <w:r w:rsidR="008E3682" w:rsidRPr="00ED5735">
        <w:rPr>
          <w:i/>
          <w:iCs/>
        </w:rPr>
        <w:t>h</w:t>
      </w:r>
      <w:r w:rsidR="008E3682" w:rsidRPr="00ED5735">
        <w:rPr>
          <w:i/>
          <w:iCs/>
          <w:vertAlign w:val="superscript"/>
        </w:rPr>
        <w:t>th</w:t>
      </w:r>
      <w:proofErr w:type="spellEnd"/>
      <w:r w:rsidR="008E3682">
        <w:t xml:space="preserve"> sampling stratum, </w:t>
      </w:r>
      <w:proofErr w:type="spellStart"/>
      <w:r w:rsidR="008E3682">
        <w:rPr>
          <w:i/>
          <w:iCs/>
        </w:rPr>
        <w:t>d</w:t>
      </w:r>
      <w:r w:rsidR="008E3682" w:rsidRPr="00ED5735">
        <w:rPr>
          <w:i/>
          <w:iCs/>
          <w:vertAlign w:val="subscript"/>
        </w:rPr>
        <w:t>hi</w:t>
      </w:r>
      <w:proofErr w:type="spellEnd"/>
      <w:r w:rsidR="003D77A1">
        <w:t>, will be</w:t>
      </w:r>
      <w:r w:rsidR="008E3682">
        <w:t xml:space="preserve">  </w:t>
      </w:r>
    </w:p>
    <w:p w:rsidR="0001118D" w:rsidRDefault="00D467A6" w:rsidP="00DA1562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hi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hi</m:t>
                </m:r>
              </m:sub>
            </m:sSub>
          </m:den>
        </m:f>
      </m:oMath>
      <w:r w:rsidR="008E3682">
        <w:t>.</w:t>
      </w:r>
    </w:p>
    <w:p w:rsidR="009A59F3" w:rsidRDefault="008B5802" w:rsidP="000A5EF8">
      <w:pPr>
        <w:rPr>
          <w:b/>
          <w:bCs/>
        </w:rPr>
      </w:pPr>
      <w:r w:rsidRPr="00DA1562">
        <w:rPr>
          <w:b/>
          <w:bCs/>
        </w:rPr>
        <w:t xml:space="preserve">Appendix A: </w:t>
      </w:r>
      <w:r w:rsidR="003D77A1" w:rsidRPr="00DA1562">
        <w:rPr>
          <w:b/>
          <w:bCs/>
        </w:rPr>
        <w:t xml:space="preserve"> Distribution of Applicants</w:t>
      </w:r>
    </w:p>
    <w:p w:rsidR="002A1D99" w:rsidRDefault="00C9681A">
      <w:r>
        <w:rPr>
          <w:noProof/>
        </w:rPr>
        <w:drawing>
          <wp:inline distT="0" distB="0" distL="0" distR="0" wp14:anchorId="6D70E3EE" wp14:editId="1EE51A9F">
            <wp:extent cx="5943600" cy="4592955"/>
            <wp:effectExtent l="19050" t="0" r="0" b="0"/>
            <wp:docPr id="1" name="Picture 0" descr="Density_June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sity_June20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1D99">
        <w:br w:type="page"/>
      </w:r>
    </w:p>
    <w:p w:rsidR="005F532A" w:rsidRPr="00DA1562" w:rsidRDefault="003D77A1">
      <w:pPr>
        <w:rPr>
          <w:b/>
          <w:bCs/>
        </w:rPr>
      </w:pPr>
      <w:r w:rsidRPr="00DA1562">
        <w:rPr>
          <w:b/>
          <w:bCs/>
        </w:rPr>
        <w:lastRenderedPageBreak/>
        <w:t>Appendix B: Study Counties/Parishes</w:t>
      </w:r>
    </w:p>
    <w:p w:rsidR="00DA1562" w:rsidRDefault="00C9681A">
      <w:r>
        <w:rPr>
          <w:noProof/>
        </w:rPr>
        <w:drawing>
          <wp:inline distT="0" distB="0" distL="0" distR="0" wp14:anchorId="563B14A9" wp14:editId="33947B80">
            <wp:extent cx="5943600" cy="4592955"/>
            <wp:effectExtent l="19050" t="0" r="0" b="0"/>
            <wp:docPr id="2" name="Picture 1" descr="FeasCounties_2_June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asCounties_2_June20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562" w:rsidRDefault="00C9681A">
      <w:r>
        <w:rPr>
          <w:noProof/>
        </w:rPr>
        <w:lastRenderedPageBreak/>
        <w:drawing>
          <wp:inline distT="0" distB="0" distL="0" distR="0" wp14:anchorId="6252AAC0" wp14:editId="186D6C02">
            <wp:extent cx="5943600" cy="4592955"/>
            <wp:effectExtent l="19050" t="0" r="0" b="0"/>
            <wp:docPr id="3" name="Picture 2" descr="FeasCountiesJune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asCountiesJune201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212" w:rsidRDefault="00916212"/>
    <w:p w:rsidR="00916212" w:rsidRDefault="00916212">
      <w:pPr>
        <w:sectPr w:rsidR="00916212" w:rsidSect="005F53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5A50" w:rsidRPr="006F491E" w:rsidRDefault="00915249" w:rsidP="006F491E">
      <w:pPr>
        <w:rPr>
          <w:b/>
          <w:bCs/>
        </w:rPr>
      </w:pPr>
      <w:r w:rsidRPr="00DA1562">
        <w:rPr>
          <w:b/>
          <w:bCs/>
        </w:rPr>
        <w:lastRenderedPageBreak/>
        <w:t xml:space="preserve">Appendix C: </w:t>
      </w:r>
      <w:r w:rsidR="00332B98" w:rsidRPr="00DA1562">
        <w:rPr>
          <w:b/>
          <w:bCs/>
        </w:rPr>
        <w:t xml:space="preserve"> </w:t>
      </w:r>
      <w:r w:rsidR="00AC2468" w:rsidRPr="00DA1562">
        <w:rPr>
          <w:b/>
          <w:bCs/>
        </w:rPr>
        <w:t>Feasibilit</w:t>
      </w:r>
      <w:r w:rsidR="004568D6" w:rsidRPr="00DA1562">
        <w:rPr>
          <w:b/>
          <w:bCs/>
        </w:rPr>
        <w:t xml:space="preserve">y Study Counties/Parishes </w:t>
      </w:r>
      <w:r w:rsidR="00AC2468" w:rsidRPr="00DA1562">
        <w:rPr>
          <w:b/>
          <w:bCs/>
        </w:rPr>
        <w:t>Sample Allocation</w:t>
      </w:r>
      <w:r w:rsidR="006F491E">
        <w:rPr>
          <w:b/>
          <w:bCs/>
        </w:rPr>
        <w:t xml:space="preserve"> </w:t>
      </w:r>
      <w:r w:rsidR="006F491E">
        <w:rPr>
          <w:sz w:val="20"/>
          <w:szCs w:val="20"/>
        </w:rPr>
        <w:t>(</w:t>
      </w:r>
      <w:r w:rsidR="001B1664" w:rsidRPr="00916212">
        <w:rPr>
          <w:sz w:val="20"/>
          <w:szCs w:val="20"/>
        </w:rPr>
        <w:t>POS is the probability of selection and DW is the design weight.</w:t>
      </w:r>
      <w:r w:rsidR="006F491E">
        <w:rPr>
          <w:sz w:val="20"/>
          <w:szCs w:val="20"/>
        </w:rPr>
        <w:t>)</w:t>
      </w:r>
    </w:p>
    <w:tbl>
      <w:tblPr>
        <w:tblW w:w="12500" w:type="dxa"/>
        <w:tblInd w:w="93" w:type="dxa"/>
        <w:tblLook w:val="04A0" w:firstRow="1" w:lastRow="0" w:firstColumn="1" w:lastColumn="0" w:noHBand="0" w:noVBand="1"/>
      </w:tblPr>
      <w:tblGrid>
        <w:gridCol w:w="1560"/>
        <w:gridCol w:w="2220"/>
        <w:gridCol w:w="1280"/>
        <w:gridCol w:w="960"/>
        <w:gridCol w:w="1420"/>
        <w:gridCol w:w="960"/>
        <w:gridCol w:w="1220"/>
        <w:gridCol w:w="960"/>
        <w:gridCol w:w="960"/>
        <w:gridCol w:w="960"/>
      </w:tblGrid>
      <w:tr w:rsidR="005B28FB" w:rsidRPr="005B28FB" w:rsidTr="005B28FB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stateAlphaCode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County, State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Population</w:t>
            </w: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Sample</w:t>
            </w: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DW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Mobile, 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8.9400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 Sample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0.02002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Sample 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Jefferson, TX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8.9409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Orange, TX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8.9409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Hardin, TX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8.9409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Jasper, TX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8.9409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Tyler, TX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8.9409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Newton, TX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8.9409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 Sample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Sample 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Orleans, 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24,239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8.9310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Jefferson, 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19,504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8.9310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Tammany, 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8.9310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 Sample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0.6229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Sample 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6,229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Harrison, MS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8.9310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Jackson, MS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8.9310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Hancock, MS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8.9310</w:t>
            </w: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27,956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 Sample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Sample 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B28FB" w:rsidRPr="005B28FB" w:rsidTr="005B28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States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Sample Size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FB" w:rsidRPr="005B28FB" w:rsidRDefault="005B28FB" w:rsidP="005B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28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9,999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8FB" w:rsidRPr="005B28FB" w:rsidRDefault="005B28FB" w:rsidP="005B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AC2468" w:rsidRDefault="005B28FB" w:rsidP="005B28F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Target</w:t>
      </w:r>
      <w:r>
        <w:tab/>
      </w:r>
      <w:r>
        <w:tab/>
        <w:t>Actual</w:t>
      </w:r>
    </w:p>
    <w:sectPr w:rsidR="00AC2468" w:rsidSect="00C1439C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A6" w:rsidRDefault="00D467A6" w:rsidP="00D516DA">
      <w:pPr>
        <w:spacing w:after="0" w:line="240" w:lineRule="auto"/>
      </w:pPr>
      <w:r>
        <w:separator/>
      </w:r>
    </w:p>
  </w:endnote>
  <w:endnote w:type="continuationSeparator" w:id="0">
    <w:p w:rsidR="00D467A6" w:rsidRDefault="00D467A6" w:rsidP="00D5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A6" w:rsidRDefault="00D467A6" w:rsidP="00D516DA">
      <w:pPr>
        <w:spacing w:after="0" w:line="240" w:lineRule="auto"/>
      </w:pPr>
      <w:r>
        <w:separator/>
      </w:r>
    </w:p>
  </w:footnote>
  <w:footnote w:type="continuationSeparator" w:id="0">
    <w:p w:rsidR="00D467A6" w:rsidRDefault="00D467A6" w:rsidP="00D51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713"/>
    <w:multiLevelType w:val="hybridMultilevel"/>
    <w:tmpl w:val="0A223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01405"/>
    <w:multiLevelType w:val="hybridMultilevel"/>
    <w:tmpl w:val="878CA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20997"/>
    <w:multiLevelType w:val="hybridMultilevel"/>
    <w:tmpl w:val="DDB88916"/>
    <w:lvl w:ilvl="0" w:tplc="6004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03615"/>
    <w:multiLevelType w:val="hybridMultilevel"/>
    <w:tmpl w:val="25F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19EF"/>
    <w:multiLevelType w:val="hybridMultilevel"/>
    <w:tmpl w:val="1E04F162"/>
    <w:lvl w:ilvl="0" w:tplc="E1C49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149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36A4E30"/>
    <w:multiLevelType w:val="hybridMultilevel"/>
    <w:tmpl w:val="7BA6F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010D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73415AD7"/>
    <w:multiLevelType w:val="hybridMultilevel"/>
    <w:tmpl w:val="84D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2F"/>
    <w:rsid w:val="00006727"/>
    <w:rsid w:val="0001118D"/>
    <w:rsid w:val="00015DD9"/>
    <w:rsid w:val="000332B5"/>
    <w:rsid w:val="000453FE"/>
    <w:rsid w:val="000545DC"/>
    <w:rsid w:val="00062024"/>
    <w:rsid w:val="000A5EF8"/>
    <w:rsid w:val="000C6B2F"/>
    <w:rsid w:val="000E7805"/>
    <w:rsid w:val="0010377E"/>
    <w:rsid w:val="001216FB"/>
    <w:rsid w:val="00130893"/>
    <w:rsid w:val="0013726A"/>
    <w:rsid w:val="00157F14"/>
    <w:rsid w:val="00162583"/>
    <w:rsid w:val="00197260"/>
    <w:rsid w:val="001B1664"/>
    <w:rsid w:val="001C7E4A"/>
    <w:rsid w:val="001D76F7"/>
    <w:rsid w:val="001D77D0"/>
    <w:rsid w:val="001E0CBF"/>
    <w:rsid w:val="001E5583"/>
    <w:rsid w:val="001F2C3C"/>
    <w:rsid w:val="00241736"/>
    <w:rsid w:val="00273F0F"/>
    <w:rsid w:val="0027406D"/>
    <w:rsid w:val="0028565A"/>
    <w:rsid w:val="002A1D99"/>
    <w:rsid w:val="002B43AC"/>
    <w:rsid w:val="002C4783"/>
    <w:rsid w:val="002E7A63"/>
    <w:rsid w:val="00332B98"/>
    <w:rsid w:val="00366A69"/>
    <w:rsid w:val="00371439"/>
    <w:rsid w:val="003A1DE9"/>
    <w:rsid w:val="003D0B9D"/>
    <w:rsid w:val="003D103D"/>
    <w:rsid w:val="003D23B6"/>
    <w:rsid w:val="003D77A1"/>
    <w:rsid w:val="004014CE"/>
    <w:rsid w:val="00425F4F"/>
    <w:rsid w:val="004568D6"/>
    <w:rsid w:val="004A539B"/>
    <w:rsid w:val="004F4239"/>
    <w:rsid w:val="00520F2C"/>
    <w:rsid w:val="005513D9"/>
    <w:rsid w:val="00556FC0"/>
    <w:rsid w:val="00570790"/>
    <w:rsid w:val="00576A24"/>
    <w:rsid w:val="005B28FB"/>
    <w:rsid w:val="005C45F1"/>
    <w:rsid w:val="005C728D"/>
    <w:rsid w:val="005F5235"/>
    <w:rsid w:val="005F532A"/>
    <w:rsid w:val="006120F2"/>
    <w:rsid w:val="006563B0"/>
    <w:rsid w:val="00697A5C"/>
    <w:rsid w:val="006D20D9"/>
    <w:rsid w:val="006F446F"/>
    <w:rsid w:val="006F491E"/>
    <w:rsid w:val="006F6EDF"/>
    <w:rsid w:val="00715428"/>
    <w:rsid w:val="00740991"/>
    <w:rsid w:val="00770F41"/>
    <w:rsid w:val="007801D4"/>
    <w:rsid w:val="007A64C2"/>
    <w:rsid w:val="007B0978"/>
    <w:rsid w:val="007C200F"/>
    <w:rsid w:val="00853204"/>
    <w:rsid w:val="00856508"/>
    <w:rsid w:val="00864D24"/>
    <w:rsid w:val="0089508D"/>
    <w:rsid w:val="008B1C18"/>
    <w:rsid w:val="008B5802"/>
    <w:rsid w:val="008D116F"/>
    <w:rsid w:val="008E3329"/>
    <w:rsid w:val="008E3682"/>
    <w:rsid w:val="00910BB2"/>
    <w:rsid w:val="00915249"/>
    <w:rsid w:val="00915A50"/>
    <w:rsid w:val="00916212"/>
    <w:rsid w:val="0093322C"/>
    <w:rsid w:val="00941E7B"/>
    <w:rsid w:val="009761A3"/>
    <w:rsid w:val="00984368"/>
    <w:rsid w:val="00995330"/>
    <w:rsid w:val="009A59F3"/>
    <w:rsid w:val="00A15C39"/>
    <w:rsid w:val="00A96FBA"/>
    <w:rsid w:val="00AB1003"/>
    <w:rsid w:val="00AB1188"/>
    <w:rsid w:val="00AB60ED"/>
    <w:rsid w:val="00AC2468"/>
    <w:rsid w:val="00AC485D"/>
    <w:rsid w:val="00AD67FE"/>
    <w:rsid w:val="00AE294E"/>
    <w:rsid w:val="00AF2FE3"/>
    <w:rsid w:val="00AF7E23"/>
    <w:rsid w:val="00B37394"/>
    <w:rsid w:val="00B56D54"/>
    <w:rsid w:val="00B66E03"/>
    <w:rsid w:val="00BC41F6"/>
    <w:rsid w:val="00BE2463"/>
    <w:rsid w:val="00C1439C"/>
    <w:rsid w:val="00C26ECA"/>
    <w:rsid w:val="00C4575E"/>
    <w:rsid w:val="00C5665D"/>
    <w:rsid w:val="00C67DAE"/>
    <w:rsid w:val="00C84095"/>
    <w:rsid w:val="00C908B4"/>
    <w:rsid w:val="00C91A35"/>
    <w:rsid w:val="00C9681A"/>
    <w:rsid w:val="00C97075"/>
    <w:rsid w:val="00CF639C"/>
    <w:rsid w:val="00D2670A"/>
    <w:rsid w:val="00D467A6"/>
    <w:rsid w:val="00D516DA"/>
    <w:rsid w:val="00D756E4"/>
    <w:rsid w:val="00D93693"/>
    <w:rsid w:val="00DA1562"/>
    <w:rsid w:val="00DB10C2"/>
    <w:rsid w:val="00E40784"/>
    <w:rsid w:val="00E5181F"/>
    <w:rsid w:val="00E71694"/>
    <w:rsid w:val="00E801BD"/>
    <w:rsid w:val="00ED5735"/>
    <w:rsid w:val="00EE0F29"/>
    <w:rsid w:val="00F320A7"/>
    <w:rsid w:val="00F354C7"/>
    <w:rsid w:val="00F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B2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B2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B2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2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B2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B2F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B2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B2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B2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B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6B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2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2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2F"/>
    <w:rPr>
      <w:rFonts w:eastAsiaTheme="minorEastAsi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2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2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B2F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8B1C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5735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16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16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16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D1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3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A1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B2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B2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B2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B2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B2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B2F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B2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B2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B2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B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B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6B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B2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B2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B2F"/>
    <w:rPr>
      <w:rFonts w:eastAsiaTheme="minorEastAsi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B2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B2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B2F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8B1C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5735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16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16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16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D1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3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A1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D87D-1130-4239-A8D7-A005352E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dcreel</dc:creator>
  <cp:lastModifiedBy>OS Reviewer</cp:lastModifiedBy>
  <cp:revision>5</cp:revision>
  <cp:lastPrinted>2011-06-24T19:07:00Z</cp:lastPrinted>
  <dcterms:created xsi:type="dcterms:W3CDTF">2012-10-31T22:42:00Z</dcterms:created>
  <dcterms:modified xsi:type="dcterms:W3CDTF">2012-11-01T17:15:00Z</dcterms:modified>
</cp:coreProperties>
</file>