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7C" w:rsidRPr="007F7B1D" w:rsidRDefault="0042207C" w:rsidP="0042207C">
      <w:bookmarkStart w:id="0" w:name="_GoBack"/>
      <w:bookmarkEnd w:id="0"/>
    </w:p>
    <w:p w:rsidR="0042207C" w:rsidRPr="007F7B1D" w:rsidRDefault="0042207C" w:rsidP="0042207C"/>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rPr>
          <w:b/>
        </w:rPr>
      </w:pPr>
    </w:p>
    <w:p w:rsidR="0042207C" w:rsidRPr="007F7B1D" w:rsidRDefault="0042207C" w:rsidP="0042207C">
      <w:pPr>
        <w:jc w:val="center"/>
        <w:rPr>
          <w:b/>
        </w:rPr>
      </w:pPr>
      <w:r w:rsidRPr="007F7B1D">
        <w:rPr>
          <w:b/>
        </w:rPr>
        <w:t>Epidemiologic Study of Health Effects Associated With Low Pressure Events in Drinking Water Distribution Systems</w:t>
      </w:r>
    </w:p>
    <w:p w:rsidR="0042207C" w:rsidRDefault="0042207C" w:rsidP="0042207C">
      <w:pPr>
        <w:rPr>
          <w:b/>
        </w:rPr>
      </w:pPr>
    </w:p>
    <w:p w:rsidR="0042207C" w:rsidRPr="007F7B1D" w:rsidRDefault="0042207C" w:rsidP="0042207C">
      <w:pPr>
        <w:rPr>
          <w:b/>
        </w:rPr>
      </w:pPr>
    </w:p>
    <w:p w:rsidR="0042207C" w:rsidRPr="007F7B1D" w:rsidRDefault="0042207C" w:rsidP="0042207C">
      <w:pPr>
        <w:rPr>
          <w:b/>
        </w:rPr>
      </w:pPr>
      <w:r w:rsidRPr="007F7B1D">
        <w:rPr>
          <w:b/>
        </w:rPr>
        <w:t xml:space="preserve">Request for a New Data Collection </w:t>
      </w:r>
    </w:p>
    <w:p w:rsidR="0042207C" w:rsidRPr="007F7B1D" w:rsidRDefault="0042207C" w:rsidP="0042207C">
      <w:pPr>
        <w:rPr>
          <w:b/>
        </w:rPr>
      </w:pPr>
    </w:p>
    <w:p w:rsidR="0042207C" w:rsidRPr="007F7B1D" w:rsidRDefault="00EF2687" w:rsidP="0042207C">
      <w:pPr>
        <w:rPr>
          <w:b/>
        </w:rPr>
      </w:pPr>
      <w:r>
        <w:rPr>
          <w:b/>
        </w:rPr>
        <w:t>March 15, 2013</w:t>
      </w:r>
    </w:p>
    <w:p w:rsidR="0042207C" w:rsidRPr="007F7B1D" w:rsidRDefault="0042207C" w:rsidP="0042207C">
      <w:pPr>
        <w:rPr>
          <w:b/>
        </w:rPr>
      </w:pPr>
    </w:p>
    <w:p w:rsidR="0042207C" w:rsidRPr="007F7B1D" w:rsidRDefault="0042207C" w:rsidP="0042207C">
      <w:pPr>
        <w:rPr>
          <w:b/>
        </w:rPr>
      </w:pPr>
      <w:r w:rsidRPr="007F7B1D">
        <w:rPr>
          <w:b/>
        </w:rPr>
        <w:t>Contact:</w:t>
      </w:r>
    </w:p>
    <w:p w:rsidR="0042207C" w:rsidRPr="007F7B1D" w:rsidRDefault="0042207C" w:rsidP="0042207C">
      <w:r>
        <w:t>Julia Gargano</w:t>
      </w:r>
      <w:r w:rsidRPr="007F7B1D">
        <w:t>, PhD</w:t>
      </w:r>
      <w:r w:rsidRPr="007F7B1D">
        <w:br/>
        <w:t>Epidemiologist, Waterborne Disease Prevention Branch</w:t>
      </w:r>
      <w:r w:rsidRPr="007F7B1D">
        <w:br/>
        <w:t xml:space="preserve">National Center for Emerging and Zoonotic Infectious Diseases </w:t>
      </w:r>
      <w:r w:rsidRPr="007F7B1D">
        <w:br/>
        <w:t>Centers for Disease Control and Prevention</w:t>
      </w:r>
      <w:r w:rsidRPr="007F7B1D">
        <w:br/>
        <w:t xml:space="preserve">Mailstop </w:t>
      </w:r>
      <w:r>
        <w:t>C-09</w:t>
      </w:r>
      <w:r w:rsidRPr="007F7B1D">
        <w:br/>
      </w:r>
      <w:r>
        <w:t>1600 Clifton Rd.</w:t>
      </w:r>
      <w:r w:rsidRPr="007F7B1D">
        <w:t xml:space="preserve"> NE</w:t>
      </w:r>
      <w:r w:rsidRPr="007F7B1D">
        <w:br/>
        <w:t xml:space="preserve">Atlanta, GA </w:t>
      </w:r>
      <w:r>
        <w:t>30333</w:t>
      </w:r>
      <w:r w:rsidRPr="007F7B1D">
        <w:t xml:space="preserve"> </w:t>
      </w:r>
    </w:p>
    <w:p w:rsidR="0042207C" w:rsidRPr="007F7B1D" w:rsidRDefault="0042207C" w:rsidP="0042207C">
      <w:r w:rsidRPr="007F7B1D">
        <w:t xml:space="preserve">Tel: </w:t>
      </w:r>
      <w:r>
        <w:t>404-718-4893</w:t>
      </w:r>
      <w:r w:rsidRPr="007F7B1D">
        <w:br/>
        <w:t xml:space="preserve">Fax: </w:t>
      </w:r>
      <w:r>
        <w:t>404-639-2205</w:t>
      </w:r>
      <w:r w:rsidRPr="007F7B1D">
        <w:br/>
        <w:t xml:space="preserve">E-mail: </w:t>
      </w:r>
      <w:hyperlink r:id="rId8" w:history="1">
        <w:r w:rsidRPr="007F7B1D">
          <w:rPr>
            <w:rStyle w:val="Hyperlink"/>
          </w:rPr>
          <w:t>j</w:t>
        </w:r>
        <w:r>
          <w:rPr>
            <w:rStyle w:val="Hyperlink"/>
          </w:rPr>
          <w:t>gargano</w:t>
        </w:r>
        <w:r w:rsidRPr="007F7B1D">
          <w:rPr>
            <w:rStyle w:val="Hyperlink"/>
          </w:rPr>
          <w:t>@cdc.gov</w:t>
        </w:r>
      </w:hyperlink>
    </w:p>
    <w:p w:rsidR="0042207C" w:rsidRPr="007F7B1D" w:rsidRDefault="0042207C" w:rsidP="0042207C"/>
    <w:p w:rsidR="0042207C" w:rsidRPr="007F7B1D" w:rsidRDefault="0042207C" w:rsidP="0042207C">
      <w:pPr>
        <w:rPr>
          <w:b/>
        </w:rPr>
      </w:pPr>
    </w:p>
    <w:p w:rsidR="0042207C" w:rsidRPr="007F7B1D" w:rsidRDefault="0042207C" w:rsidP="0042207C">
      <w:pPr>
        <w:rPr>
          <w:b/>
        </w:rPr>
      </w:pPr>
    </w:p>
    <w:p w:rsidR="0042207C" w:rsidRPr="007F7B1D" w:rsidRDefault="0042207C" w:rsidP="0042207C"/>
    <w:p w:rsidR="0042207C" w:rsidRPr="007F7B1D" w:rsidRDefault="0042207C" w:rsidP="0042207C"/>
    <w:p w:rsidR="0042207C" w:rsidRPr="007F7B1D" w:rsidRDefault="0042207C" w:rsidP="0042207C"/>
    <w:p w:rsidR="0042207C" w:rsidRPr="007F7B1D" w:rsidRDefault="0042207C" w:rsidP="0042207C">
      <w:pPr>
        <w:rPr>
          <w:b/>
        </w:rPr>
      </w:pPr>
      <w:r w:rsidRPr="007F7B1D">
        <w:rPr>
          <w:b/>
        </w:rPr>
        <w:br w:type="page"/>
      </w:r>
    </w:p>
    <w:p w:rsidR="0042207C" w:rsidRPr="007F7B1D" w:rsidRDefault="0042207C" w:rsidP="0042207C">
      <w:pPr>
        <w:rPr>
          <w:b/>
        </w:rPr>
      </w:pPr>
      <w:r w:rsidRPr="007F7B1D">
        <w:rPr>
          <w:b/>
        </w:rPr>
        <w:lastRenderedPageBreak/>
        <w:t>Epidemiologic Study of Health Effects Associated With Low Pressure Events in Drinking Water Distribution Systems</w:t>
      </w:r>
    </w:p>
    <w:p w:rsidR="0042207C" w:rsidRPr="007F7B1D" w:rsidRDefault="0042207C" w:rsidP="0042207C">
      <w:r w:rsidRPr="007F7B1D" w:rsidDel="00083B53">
        <w:rPr>
          <w:b/>
        </w:rPr>
        <w:t xml:space="preserve"> </w:t>
      </w:r>
    </w:p>
    <w:p w:rsidR="0042207C" w:rsidRPr="007F7B1D" w:rsidRDefault="0042207C" w:rsidP="0042207C">
      <w:r w:rsidRPr="007F7B1D">
        <w:rPr>
          <w:b/>
          <w:u w:val="single"/>
        </w:rPr>
        <w:t>B. Collections of Information Employing Statistical Methods</w:t>
      </w:r>
    </w:p>
    <w:p w:rsidR="0042207C" w:rsidRPr="007F7B1D" w:rsidRDefault="0042207C" w:rsidP="0042207C"/>
    <w:p w:rsidR="0042207C" w:rsidRPr="007F7B1D" w:rsidRDefault="0042207C" w:rsidP="0042207C">
      <w:pPr>
        <w:rPr>
          <w:b/>
        </w:rPr>
      </w:pPr>
      <w:r w:rsidRPr="007F7B1D">
        <w:rPr>
          <w:b/>
        </w:rPr>
        <w:t>1. Respondent Universe and Sampling Methods</w:t>
      </w:r>
    </w:p>
    <w:p w:rsidR="0042207C" w:rsidRPr="007F7B1D" w:rsidRDefault="0042207C" w:rsidP="0042207C">
      <w:pPr>
        <w:rPr>
          <w:b/>
        </w:rPr>
      </w:pPr>
    </w:p>
    <w:p w:rsidR="0042207C" w:rsidRPr="007F7B1D" w:rsidRDefault="0042207C" w:rsidP="0042207C">
      <w:r w:rsidRPr="007F7B1D">
        <w:t xml:space="preserve">We plan to conduct a </w:t>
      </w:r>
      <w:r>
        <w:t xml:space="preserve">prospective </w:t>
      </w:r>
      <w:r w:rsidRPr="007F7B1D">
        <w:t xml:space="preserve">cohort study among households that receive water from five water utilities. For each low pressure event, the water utility will provide the study team with </w:t>
      </w:r>
      <w:r>
        <w:t>contact information for utility customers</w:t>
      </w:r>
      <w:r w:rsidRPr="007F7B1D">
        <w:t xml:space="preserve"> from an exposed and an unexposed area. From </w:t>
      </w:r>
      <w:r w:rsidR="004A5F9A">
        <w:t>the utility company</w:t>
      </w:r>
      <w:r w:rsidR="004A5F9A" w:rsidRPr="007F7B1D">
        <w:t xml:space="preserve"> </w:t>
      </w:r>
      <w:r w:rsidRPr="007F7B1D">
        <w:t>list</w:t>
      </w:r>
      <w:r w:rsidR="004A5F9A">
        <w:t>s</w:t>
      </w:r>
      <w:r w:rsidR="00F471B2">
        <w:t>,</w:t>
      </w:r>
      <w:r w:rsidRPr="007F7B1D">
        <w:t xml:space="preserve"> CDC will randomly select a number of exposed and unexposed households to be sent the survey. </w:t>
      </w:r>
      <w:r w:rsidR="004A5F9A">
        <w:t xml:space="preserve">For each low pressure event (LPE), unexposed and exposed households will be recruited in a 2:1 ratio. Sample size calculations are based on a matched (at the </w:t>
      </w:r>
      <w:r w:rsidR="007A7752">
        <w:t>LPE</w:t>
      </w:r>
      <w:r w:rsidR="004A5F9A">
        <w:t xml:space="preserve"> level) design, thus </w:t>
      </w:r>
      <w:r w:rsidR="007A7752">
        <w:t xml:space="preserve">calculations depend on </w:t>
      </w:r>
      <w:r w:rsidR="004A5F9A">
        <w:t xml:space="preserve">the number of LPEs </w:t>
      </w:r>
      <w:r w:rsidR="007A7752">
        <w:t xml:space="preserve">and the number of exposed and unexposed households per LPE. </w:t>
      </w:r>
      <w:r w:rsidR="007D7716">
        <w:t>Based on calculations outlined below, w</w:t>
      </w:r>
      <w:r w:rsidR="00482C93">
        <w:t>e aim to include 65 LPEs in the multi-site study</w:t>
      </w:r>
      <w:r w:rsidR="00BC78B0">
        <w:t>, to obtain information from 4</w:t>
      </w:r>
      <w:r w:rsidR="0013631F">
        <w:t>,</w:t>
      </w:r>
      <w:r w:rsidR="00BC78B0">
        <w:t>050 households (1,320 exposed and 2,700 unexposed).</w:t>
      </w:r>
      <w:r w:rsidR="00482C93">
        <w:t xml:space="preserve"> </w:t>
      </w:r>
      <w:r w:rsidRPr="007F7B1D">
        <w:t xml:space="preserve">Based on an anticipated </w:t>
      </w:r>
      <w:r w:rsidR="00EF6BAE">
        <w:t>60</w:t>
      </w:r>
      <w:r w:rsidRPr="007F7B1D">
        <w:t xml:space="preserve">% response rate, we will </w:t>
      </w:r>
      <w:r w:rsidR="00B976A4">
        <w:t>send surveys to</w:t>
      </w:r>
      <w:r w:rsidR="00B976A4" w:rsidRPr="007F7B1D">
        <w:t xml:space="preserve"> </w:t>
      </w:r>
      <w:r w:rsidRPr="007F7B1D">
        <w:t xml:space="preserve">approximately </w:t>
      </w:r>
      <w:r w:rsidR="002054E8">
        <w:t>6,750</w:t>
      </w:r>
      <w:r w:rsidRPr="007F7B1D">
        <w:t xml:space="preserve"> households (</w:t>
      </w:r>
      <w:r w:rsidR="002054E8">
        <w:t>4,050</w:t>
      </w:r>
      <w:r w:rsidRPr="007F7B1D">
        <w:t>/0.</w:t>
      </w:r>
      <w:r w:rsidR="00EF6BAE">
        <w:t>6</w:t>
      </w:r>
      <w:r w:rsidRPr="007F7B1D">
        <w:t xml:space="preserve">0) during the time period of the study. </w:t>
      </w:r>
      <w:r w:rsidR="00E47182">
        <w:t xml:space="preserve">For the pilot study, we will contact an additional </w:t>
      </w:r>
      <w:r w:rsidR="00A4380F">
        <w:t>630</w:t>
      </w:r>
      <w:r w:rsidR="00E47182">
        <w:t xml:space="preserve"> households, to obtain responses from </w:t>
      </w:r>
      <w:r w:rsidR="00A4380F">
        <w:t>378</w:t>
      </w:r>
      <w:r w:rsidR="00E47182">
        <w:t xml:space="preserve"> households. </w:t>
      </w:r>
      <w:r w:rsidRPr="007F7B1D">
        <w:t xml:space="preserve">We will not be contacting persons younger than 18 years of age. </w:t>
      </w:r>
      <w:r w:rsidR="00482C93">
        <w:t xml:space="preserve">The household respondent will provide information on exposures and illnesses among all household members, and we assume there will be two individuals per household, on average. </w:t>
      </w:r>
      <w:r w:rsidR="00BC78B0">
        <w:t>Thus</w:t>
      </w:r>
      <w:r w:rsidR="00A752B8">
        <w:t>,</w:t>
      </w:r>
      <w:r w:rsidR="00BC78B0">
        <w:t xml:space="preserve"> we should have data on </w:t>
      </w:r>
      <w:r w:rsidR="00482C93">
        <w:t xml:space="preserve">8,100 </w:t>
      </w:r>
      <w:r w:rsidR="00482C93" w:rsidRPr="007F7B1D">
        <w:t>persons</w:t>
      </w:r>
      <w:r w:rsidR="00615677">
        <w:t xml:space="preserve"> from the multi-site study and 756 persons from the pilot study.</w:t>
      </w:r>
    </w:p>
    <w:p w:rsidR="0042207C" w:rsidRPr="007F7B1D" w:rsidRDefault="0042207C" w:rsidP="0042207C"/>
    <w:p w:rsidR="0042207C" w:rsidRPr="007F7B1D" w:rsidRDefault="0042207C" w:rsidP="0042207C">
      <w:r w:rsidRPr="007F7B1D">
        <w:t xml:space="preserve">We will conduct a </w:t>
      </w:r>
      <w:r>
        <w:t xml:space="preserve">prospective </w:t>
      </w:r>
      <w:r w:rsidRPr="007F7B1D">
        <w:t xml:space="preserve">cohort study among households that receive water from five water utilities. The potential universe of respondents for this study would include all households that receive water from the five participating water utilities. Potential survey respondents will have </w:t>
      </w:r>
      <w:r>
        <w:t>two</w:t>
      </w:r>
      <w:r w:rsidRPr="007F7B1D">
        <w:t xml:space="preserve"> options for responding to the survey: paper surveys filled out by study respondents and returned via postal mail to CDC study staff; and web-based surveys filled out by respondents who fill in the study survey responses via a password-protected website housed at CDC. </w:t>
      </w:r>
    </w:p>
    <w:p w:rsidR="0042207C" w:rsidRPr="007F7B1D" w:rsidRDefault="0042207C" w:rsidP="0042207C"/>
    <w:p w:rsidR="00DC4DB6" w:rsidRDefault="0042207C" w:rsidP="005032AE">
      <w:pPr>
        <w:rPr>
          <w:rFonts w:cs="Times New Roman"/>
          <w:szCs w:val="24"/>
        </w:rPr>
      </w:pPr>
      <w:r>
        <w:t xml:space="preserve">We anticipate a </w:t>
      </w:r>
      <w:r w:rsidR="003A27D8">
        <w:t>60</w:t>
      </w:r>
      <w:r>
        <w:t>%</w:t>
      </w:r>
      <w:r w:rsidRPr="007F7B1D">
        <w:t xml:space="preserve"> response rate. </w:t>
      </w:r>
      <w:r w:rsidR="00615677">
        <w:t xml:space="preserve">Two </w:t>
      </w:r>
      <w:r w:rsidR="00615677" w:rsidRPr="007F7B1D">
        <w:rPr>
          <w:bCs/>
        </w:rPr>
        <w:t xml:space="preserve">recent studies </w:t>
      </w:r>
      <w:r w:rsidR="00615677">
        <w:rPr>
          <w:bCs/>
        </w:rPr>
        <w:t xml:space="preserve">related to drinking water </w:t>
      </w:r>
      <w:r w:rsidR="00615677" w:rsidRPr="007F7B1D">
        <w:rPr>
          <w:bCs/>
        </w:rPr>
        <w:t>conducted in the U.S.</w:t>
      </w:r>
      <w:r w:rsidRPr="007F7B1D">
        <w:rPr>
          <w:bCs/>
        </w:rPr>
        <w:t xml:space="preserve"> </w:t>
      </w:r>
      <w:r w:rsidR="00615677">
        <w:rPr>
          <w:bCs/>
        </w:rPr>
        <w:t xml:space="preserve">have had lower </w:t>
      </w:r>
      <w:r w:rsidRPr="007F7B1D">
        <w:rPr>
          <w:bCs/>
        </w:rPr>
        <w:t xml:space="preserve">response rates </w:t>
      </w:r>
      <w:r w:rsidR="00615677">
        <w:rPr>
          <w:bCs/>
        </w:rPr>
        <w:t xml:space="preserve">(33% and 48%; </w:t>
      </w:r>
      <w:r w:rsidRPr="007F7B1D">
        <w:rPr>
          <w:bCs/>
        </w:rPr>
        <w:t xml:space="preserve">see </w:t>
      </w:r>
      <w:r w:rsidRPr="00176FF5">
        <w:rPr>
          <w:bCs/>
        </w:rPr>
        <w:t>Ailes et al. and Roy</w:t>
      </w:r>
      <w:r w:rsidRPr="007F7B1D">
        <w:rPr>
          <w:bCs/>
        </w:rPr>
        <w:t xml:space="preserve"> in Table B.1.1). </w:t>
      </w:r>
      <w:r w:rsidR="003A27D8">
        <w:rPr>
          <w:bCs/>
        </w:rPr>
        <w:t>In order to increase the anticipated respo</w:t>
      </w:r>
      <w:r w:rsidR="005032AE">
        <w:rPr>
          <w:bCs/>
        </w:rPr>
        <w:t xml:space="preserve">nse rate </w:t>
      </w:r>
      <w:r w:rsidR="00615677">
        <w:rPr>
          <w:bCs/>
        </w:rPr>
        <w:t xml:space="preserve">for this study, </w:t>
      </w:r>
      <w:r w:rsidR="005032AE">
        <w:rPr>
          <w:bCs/>
        </w:rPr>
        <w:t xml:space="preserve">we </w:t>
      </w:r>
      <w:r w:rsidR="003A27D8">
        <w:rPr>
          <w:bCs/>
        </w:rPr>
        <w:t xml:space="preserve">incorporated aspects of the </w:t>
      </w:r>
      <w:r w:rsidR="003A27D8">
        <w:rPr>
          <w:rFonts w:cs="Times New Roman"/>
          <w:szCs w:val="24"/>
        </w:rPr>
        <w:t>Dillman Tailored Design Method.</w:t>
      </w:r>
      <w:r w:rsidR="00DC4DB6">
        <w:rPr>
          <w:rFonts w:cs="Times New Roman"/>
          <w:szCs w:val="24"/>
        </w:rPr>
        <w:t xml:space="preserve"> Special attention was given to the presentation and wording of the survey and consent materials.</w:t>
      </w:r>
      <w:r w:rsidR="00DA1549">
        <w:rPr>
          <w:rFonts w:cs="Times New Roman"/>
          <w:szCs w:val="24"/>
        </w:rPr>
        <w:t xml:space="preserve"> To encourage participation by fostering a social exchange relationship, we will include a token gift of a refrigerator magnet calen</w:t>
      </w:r>
      <w:r w:rsidR="003D1B6C">
        <w:rPr>
          <w:rFonts w:cs="Times New Roman"/>
          <w:szCs w:val="24"/>
        </w:rPr>
        <w:t>dar that</w:t>
      </w:r>
      <w:r w:rsidR="00DA1549">
        <w:rPr>
          <w:rFonts w:cs="Times New Roman"/>
          <w:szCs w:val="24"/>
        </w:rPr>
        <w:t xml:space="preserve"> highlight</w:t>
      </w:r>
      <w:r w:rsidR="003D1B6C">
        <w:rPr>
          <w:rFonts w:cs="Times New Roman"/>
          <w:szCs w:val="24"/>
        </w:rPr>
        <w:t>s</w:t>
      </w:r>
      <w:r w:rsidR="00DA1549">
        <w:rPr>
          <w:rFonts w:cs="Times New Roman"/>
          <w:szCs w:val="24"/>
        </w:rPr>
        <w:t xml:space="preserve"> the three week period of interest for the study</w:t>
      </w:r>
      <w:r w:rsidR="003D1B6C">
        <w:rPr>
          <w:rFonts w:cs="Times New Roman"/>
          <w:szCs w:val="24"/>
        </w:rPr>
        <w:t>.</w:t>
      </w:r>
      <w:r w:rsidR="00DA1549">
        <w:rPr>
          <w:rFonts w:cs="Times New Roman"/>
          <w:szCs w:val="24"/>
        </w:rPr>
        <w:t xml:space="preserve"> </w:t>
      </w:r>
      <w:r w:rsidR="00696734">
        <w:rPr>
          <w:rFonts w:cs="Times New Roman"/>
          <w:szCs w:val="24"/>
        </w:rPr>
        <w:t xml:space="preserve">To further foster a social exchange relationship, we will include a handwritten post-it note in the second survey mailing. </w:t>
      </w:r>
    </w:p>
    <w:p w:rsidR="005032AE" w:rsidRDefault="005032AE" w:rsidP="0042207C">
      <w:pPr>
        <w:rPr>
          <w:rFonts w:cs="Times New Roman"/>
          <w:szCs w:val="24"/>
        </w:rPr>
      </w:pPr>
    </w:p>
    <w:p w:rsidR="0048613D" w:rsidRPr="007F7B1D" w:rsidRDefault="0042207C" w:rsidP="0042207C">
      <w:pPr>
        <w:rPr>
          <w:bCs/>
        </w:rPr>
      </w:pPr>
      <w:r w:rsidRPr="007F7B1D">
        <w:rPr>
          <w:bCs/>
        </w:rPr>
        <w:t xml:space="preserve">Further, based on surveys conducted by Roy et al. during 2008 and Smith et al. in 2001-2003 in the U.S. (Table B.1.1), we estimate that 60% of individuals </w:t>
      </w:r>
      <w:r>
        <w:rPr>
          <w:bCs/>
        </w:rPr>
        <w:t>who respond will use</w:t>
      </w:r>
      <w:r w:rsidRPr="007F7B1D">
        <w:rPr>
          <w:bCs/>
        </w:rPr>
        <w:t xml:space="preserve"> the web-based </w:t>
      </w:r>
      <w:r>
        <w:rPr>
          <w:bCs/>
        </w:rPr>
        <w:t>version</w:t>
      </w:r>
      <w:r w:rsidRPr="007F7B1D">
        <w:rPr>
          <w:bCs/>
        </w:rPr>
        <w:t xml:space="preserve"> of the survey</w:t>
      </w:r>
      <w:r>
        <w:rPr>
          <w:bCs/>
        </w:rPr>
        <w:t xml:space="preserve"> and</w:t>
      </w:r>
      <w:r w:rsidRPr="007F7B1D">
        <w:rPr>
          <w:bCs/>
        </w:rPr>
        <w:t xml:space="preserve"> </w:t>
      </w:r>
      <w:r>
        <w:rPr>
          <w:bCs/>
        </w:rPr>
        <w:t>4</w:t>
      </w:r>
      <w:r w:rsidRPr="007F7B1D">
        <w:rPr>
          <w:bCs/>
        </w:rPr>
        <w:t xml:space="preserve">0% will respond </w:t>
      </w:r>
      <w:r>
        <w:rPr>
          <w:bCs/>
        </w:rPr>
        <w:t>via the</w:t>
      </w:r>
      <w:r w:rsidRPr="007F7B1D">
        <w:rPr>
          <w:bCs/>
        </w:rPr>
        <w:t xml:space="preserve"> postal version of the </w:t>
      </w:r>
      <w:r w:rsidRPr="007F7B1D">
        <w:rPr>
          <w:bCs/>
        </w:rPr>
        <w:lastRenderedPageBreak/>
        <w:t>survey. Recent data from t</w:t>
      </w:r>
      <w:r w:rsidRPr="007F7B1D">
        <w:t xml:space="preserve">he Pew Internet and American Life Project support the increasing access to internet among the U.S. population; for example, they found that 79% of adults (18 years or older) were internet users in 2010 </w:t>
      </w:r>
      <w:r w:rsidRPr="007F7B1D">
        <w:fldChar w:fldCharType="begin"/>
      </w:r>
      <w:r>
        <w:instrText xml:space="preserve"> ADDIN EN.CITE &lt;EndNote&gt;&lt;Cite&gt;&lt;Author&gt;Pew Internet &amp;amp; American Life Project&lt;/Author&gt;&lt;RecNum&gt;13&lt;/RecNum&gt;&lt;DisplayText&gt;(Pew Internet &amp;amp; American Life Project)&lt;/DisplayText&gt;&lt;record&gt;&lt;rec-number&gt;13&lt;/rec-number&gt;&lt;foreign-keys&gt;&lt;key app="EN" db-id="exf25a0vusf9r6eerroxx55u09a99z9ver5w"&gt;13&lt;/key&gt;&lt;/foreign-keys&gt;&lt;ref-type name="Web Page"&gt;12&lt;/ref-type&gt;&lt;contributors&gt;&lt;authors&gt;&lt;author&gt;Pew Internet &amp;amp; American Life Project,&lt;/author&gt;&lt;/authors&gt;&lt;/contributors&gt;&lt;titles&gt;&lt;title&gt;Updated: Change in internet access by age group, 2000-2010&lt;/title&gt;&lt;/titles&gt;&lt;volume&gt;2010&lt;/volume&gt;&lt;number&gt;October 29&lt;/number&gt;&lt;dates&gt;&lt;/dates&gt;&lt;urls&gt;&lt;related-urls&gt;&lt;url&gt;http://www.pewinternet.org/Infographics/2010/Internet-acess-by-age-group-over-time-Update.aspx&lt;/url&gt;&lt;/related-urls&gt;&lt;/urls&gt;&lt;/record&gt;&lt;/Cite&gt;&lt;/EndNote&gt;</w:instrText>
      </w:r>
      <w:r w:rsidRPr="007F7B1D">
        <w:fldChar w:fldCharType="separate"/>
      </w:r>
      <w:r>
        <w:rPr>
          <w:noProof/>
        </w:rPr>
        <w:t>(</w:t>
      </w:r>
      <w:hyperlink w:anchor="_ENREF_7" w:tooltip="Pew Internet &amp; American Life Project,  #13" w:history="1">
        <w:r>
          <w:rPr>
            <w:noProof/>
          </w:rPr>
          <w:t>Pew Internet &amp; American Life Project</w:t>
        </w:r>
      </w:hyperlink>
      <w:r>
        <w:rPr>
          <w:noProof/>
        </w:rPr>
        <w:t>)</w:t>
      </w:r>
      <w:r w:rsidRPr="007F7B1D">
        <w:fldChar w:fldCharType="end"/>
      </w:r>
      <w:r w:rsidRPr="007F7B1D">
        <w:t xml:space="preserve">. </w:t>
      </w:r>
      <w:r w:rsidRPr="007F7B1D">
        <w:rPr>
          <w:bCs/>
        </w:rPr>
        <w:t>Additionally, web-based questionnaires have been used successfully in investigations of outbreaks of</w:t>
      </w:r>
      <w:r>
        <w:rPr>
          <w:bCs/>
        </w:rPr>
        <w:t xml:space="preserve"> </w:t>
      </w:r>
      <w:r w:rsidRPr="007F7B1D">
        <w:rPr>
          <w:bCs/>
        </w:rPr>
        <w:t xml:space="preserve">gastroenteritis </w:t>
      </w:r>
      <w:r w:rsidRPr="007F7B1D">
        <w:rPr>
          <w:bCs/>
        </w:rPr>
        <w:fldChar w:fldCharType="begin">
          <w:fldData xml:space="preserve">PEVuZE5vdGU+PENpdGU+PEF1dGhvcj5HaG9zaDwvQXV0aG9yPjxZZWFyPjIwMDg8L1llYXI+PFJl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</w:fldData>
        </w:fldChar>
      </w:r>
      <w:r>
        <w:rPr>
          <w:bCs/>
        </w:rPr>
        <w:instrText xml:space="preserve"> ADDIN EN.CITE </w:instrText>
      </w:r>
      <w:r>
        <w:rPr>
          <w:bCs/>
        </w:rPr>
        <w:fldChar w:fldCharType="begin">
          <w:fldData xml:space="preserve">PEVuZE5vdGU+PENpdGU+PEF1dGhvcj5HaG9zaDwvQXV0aG9yPjxZZWFyPjIwMDg8L1llYXI+PFJl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</w:fldData>
        </w:fldChar>
      </w:r>
      <w:r>
        <w:rPr>
          <w:bCs/>
        </w:rPr>
        <w:instrText xml:space="preserve"> ADDIN EN.CITE.DATA </w:instrText>
      </w:r>
      <w:r>
        <w:rPr>
          <w:bCs/>
        </w:rPr>
      </w:r>
      <w:r>
        <w:rPr>
          <w:bCs/>
        </w:rPr>
        <w:fldChar w:fldCharType="end"/>
      </w:r>
      <w:r w:rsidRPr="007F7B1D">
        <w:rPr>
          <w:bCs/>
        </w:rPr>
      </w:r>
      <w:r w:rsidRPr="007F7B1D">
        <w:rPr>
          <w:bCs/>
        </w:rPr>
        <w:fldChar w:fldCharType="separate"/>
      </w:r>
      <w:r>
        <w:rPr>
          <w:bCs/>
          <w:noProof/>
        </w:rPr>
        <w:t>(</w:t>
      </w:r>
      <w:hyperlink w:anchor="_ENREF_4" w:tooltip="Ghosh, 2008 #15" w:history="1">
        <w:r>
          <w:rPr>
            <w:bCs/>
            <w:noProof/>
          </w:rPr>
          <w:t>Ghosh, Patnaik et al. 2008</w:t>
        </w:r>
      </w:hyperlink>
      <w:r>
        <w:rPr>
          <w:bCs/>
          <w:noProof/>
        </w:rPr>
        <w:t xml:space="preserve">; </w:t>
      </w:r>
      <w:hyperlink w:anchor="_ENREF_5" w:tooltip="Griffiths, 2010 #16" w:history="1">
        <w:r>
          <w:rPr>
            <w:bCs/>
            <w:noProof/>
          </w:rPr>
          <w:t>Griffiths, Salmon et al. 2010</w:t>
        </w:r>
      </w:hyperlink>
      <w:r>
        <w:rPr>
          <w:bCs/>
          <w:noProof/>
        </w:rPr>
        <w:t>)</w:t>
      </w:r>
      <w:r w:rsidRPr="007F7B1D">
        <w:fldChar w:fldCharType="end"/>
      </w:r>
      <w:r w:rsidRPr="007F7B1D">
        <w:rPr>
          <w:bCs/>
        </w:rPr>
        <w:t xml:space="preserve"> and in cohort studies of the general population </w:t>
      </w:r>
      <w:r w:rsidRPr="007F7B1D">
        <w:rPr>
          <w:bCs/>
        </w:rPr>
        <w:fldChar w:fldCharType="begin"/>
      </w:r>
      <w:r>
        <w:rPr>
          <w:bCs/>
        </w:rPr>
        <w:instrText xml:space="preserve"> ADDIN EN.CITE &lt;EndNote&gt;&lt;Cite&gt;&lt;Author&gt;Smith&lt;/Author&gt;&lt;Year&gt;2007&lt;/Year&gt;&lt;RecNum&gt;17&lt;/RecNum&gt;&lt;DisplayText&gt;(Smith, Smith et al. 2007)&lt;/DisplayText&gt;&lt;record&gt;&lt;rec-number&gt;17&lt;/rec-number&gt;&lt;foreign-keys&gt;&lt;key app="EN" db-id="exf25a0vusf9r6eerroxx55u09a99z9ver5w"&gt;17&lt;/key&gt;&lt;/foreign-keys&gt;&lt;ref-type name="Journal Article"&gt;17&lt;/ref-type&gt;&lt;contributors&gt;&lt;authors&gt;&lt;author&gt;Smith, B.&lt;/author&gt;&lt;author&gt;Smith, T. C.&lt;/author&gt;&lt;author&gt;Gray, G. C.&lt;/author&gt;&lt;author&gt;Ryan, M. A.&lt;/author&gt;&lt;/authors&gt;&lt;/contributors&gt;&lt;auth-address&gt;Department of Defense Center for Deployment Health Research, Naval Health Research Center, San Diego, CA 92186-5122, USA. Besa.Smith@med.navy.mil&lt;/auth-address&gt;&lt;titles&gt;&lt;title&gt;When epidemiology meets the Internet: Web-based surveys in the Millennium Cohort Study&lt;/title&gt;&lt;secondary-title&gt;Am J Epidemiol&lt;/secondary-title&gt;&lt;/titles&gt;&lt;periodical&gt;&lt;full-title&gt;Am J Epidemiol&lt;/full-title&gt;&lt;/periodical&gt;&lt;pages&gt;1345-54&lt;/pages&gt;&lt;volume&gt;166&lt;/volume&gt;&lt;number&gt;11&lt;/number&gt;&lt;edition&gt;2007/08/31&lt;/edition&gt;&lt;keywords&gt;&lt;keyword&gt;Cohort Studies&lt;/keyword&gt;&lt;keyword&gt;Epidemiologic Methods&lt;/keyword&gt;&lt;keyword&gt;Female&lt;/keyword&gt;&lt;keyword&gt;*Health Status&lt;/keyword&gt;&lt;keyword&gt;*Health Surveys&lt;/keyword&gt;&lt;keyword&gt;Humans&lt;/keyword&gt;&lt;keyword&gt;*Internet&lt;/keyword&gt;&lt;keyword&gt;Logistic Models&lt;/keyword&gt;&lt;keyword&gt;Longitudinal Studies&lt;/keyword&gt;&lt;keyword&gt;Male&lt;/keyword&gt;&lt;keyword&gt;Military Personnel/*statistics &amp;amp; numerical data&lt;/keyword&gt;&lt;keyword&gt;United States/epidemiology&lt;/keyword&gt;&lt;/keywords&gt;&lt;dates&gt;&lt;year&gt;2007&lt;/year&gt;&lt;pub-dates&gt;&lt;date&gt;Dec 1&lt;/date&gt;&lt;/pub-dates&gt;&lt;/dates&gt;&lt;isbn&gt;1476-6256 (Electronic)&amp;#xD;0002-9262 (Linking)&lt;/isbn&gt;&lt;accession-num&gt;17728269&lt;/accession-num&gt;&lt;urls&gt;&lt;related-urls&gt;&lt;url&gt;http://www.ncbi.nlm.nih.gov/entrez/query.fcgi?cmd=Retrieve&amp;amp;db=PubMed&amp;amp;dopt=Citation&amp;amp;list_uids=17728269&lt;/url&gt;&lt;/related-urls&gt;&lt;/urls&gt;&lt;electronic-resource-num&gt;kwm212 [pii]&amp;#xD;10.1093/aje/kwm212&lt;/electronic-resource-num&gt;&lt;language&gt;eng&lt;/language&gt;&lt;/record&gt;&lt;/Cite&gt;&lt;/EndNote&gt;</w:instrText>
      </w:r>
      <w:r w:rsidRPr="007F7B1D">
        <w:rPr>
          <w:bCs/>
        </w:rPr>
        <w:fldChar w:fldCharType="separate"/>
      </w:r>
      <w:r>
        <w:rPr>
          <w:bCs/>
          <w:noProof/>
        </w:rPr>
        <w:t>(</w:t>
      </w:r>
      <w:hyperlink w:anchor="_ENREF_8" w:tooltip="Smith, 2007 #17" w:history="1">
        <w:r>
          <w:rPr>
            <w:bCs/>
            <w:noProof/>
          </w:rPr>
          <w:t>Smith, Smith et al. 2007</w:t>
        </w:r>
      </w:hyperlink>
      <w:r>
        <w:rPr>
          <w:bCs/>
          <w:noProof/>
        </w:rPr>
        <w:t>)</w:t>
      </w:r>
      <w:r w:rsidRPr="007F7B1D">
        <w:fldChar w:fldCharType="end"/>
      </w:r>
      <w:r w:rsidRPr="007F7B1D">
        <w:rPr>
          <w:bCs/>
        </w:rPr>
        <w:t xml:space="preserve">. </w:t>
      </w:r>
    </w:p>
    <w:p w:rsidR="0042207C" w:rsidRDefault="0042207C" w:rsidP="00BD5AC5">
      <w:pPr>
        <w:rPr>
          <w:b/>
          <w:bCs/>
        </w:rPr>
      </w:pPr>
    </w:p>
    <w:p w:rsidR="0042207C" w:rsidRPr="007F7B1D" w:rsidRDefault="0042207C" w:rsidP="0042207C">
      <w:pPr>
        <w:ind w:left="-720"/>
        <w:rPr>
          <w:b/>
          <w:bCs/>
        </w:rPr>
      </w:pPr>
      <w:r w:rsidRPr="007F7B1D">
        <w:rPr>
          <w:b/>
          <w:bCs/>
        </w:rPr>
        <w:t xml:space="preserve">Table B.1.1 – Survey Response Rates </w:t>
      </w:r>
    </w:p>
    <w:tbl>
      <w:tblPr>
        <w:tblW w:w="10350" w:type="dxa"/>
        <w:tblInd w:w="-691" w:type="dxa"/>
        <w:tblLayout w:type="fixed"/>
        <w:tblCellMar>
          <w:left w:w="29" w:type="dxa"/>
          <w:right w:w="29" w:type="dxa"/>
        </w:tblCellMar>
        <w:tblLook w:val="04A0" w:firstRow="1" w:lastRow="0" w:firstColumn="1" w:lastColumn="0" w:noHBand="0" w:noVBand="1"/>
      </w:tblPr>
      <w:tblGrid>
        <w:gridCol w:w="1440"/>
        <w:gridCol w:w="1170"/>
        <w:gridCol w:w="1620"/>
        <w:gridCol w:w="3060"/>
        <w:gridCol w:w="821"/>
        <w:gridCol w:w="720"/>
        <w:gridCol w:w="1519"/>
      </w:tblGrid>
      <w:tr w:rsidR="0042207C" w:rsidRPr="007F7B1D" w:rsidTr="00BD2C56">
        <w:trPr>
          <w:trHeight w:val="288"/>
        </w:trPr>
        <w:tc>
          <w:tcPr>
            <w:tcW w:w="1440" w:type="dxa"/>
            <w:vMerge w:val="restart"/>
            <w:tcBorders>
              <w:top w:val="single" w:sz="4" w:space="0" w:color="auto"/>
              <w:left w:val="nil"/>
              <w:bottom w:val="nil"/>
              <w:right w:val="nil"/>
            </w:tcBorders>
            <w:shd w:val="clear" w:color="auto" w:fill="auto"/>
            <w:hideMark/>
          </w:tcPr>
          <w:p w:rsidR="0042207C" w:rsidRPr="007F7B1D" w:rsidRDefault="0042207C" w:rsidP="00BD2C56">
            <w:pPr>
              <w:rPr>
                <w:b/>
                <w:bCs/>
              </w:rPr>
            </w:pPr>
            <w:r>
              <w:rPr>
                <w:b/>
                <w:bCs/>
              </w:rPr>
              <w:t>First a</w:t>
            </w:r>
            <w:r w:rsidRPr="007F7B1D">
              <w:rPr>
                <w:b/>
                <w:bCs/>
              </w:rPr>
              <w:t>uthor (country)</w:t>
            </w:r>
          </w:p>
        </w:tc>
        <w:tc>
          <w:tcPr>
            <w:tcW w:w="1170" w:type="dxa"/>
            <w:vMerge w:val="restart"/>
            <w:tcBorders>
              <w:top w:val="single" w:sz="4" w:space="0" w:color="auto"/>
              <w:left w:val="nil"/>
              <w:bottom w:val="nil"/>
              <w:right w:val="nil"/>
            </w:tcBorders>
            <w:shd w:val="clear" w:color="auto" w:fill="auto"/>
            <w:hideMark/>
          </w:tcPr>
          <w:p w:rsidR="0042207C" w:rsidRPr="007F7B1D" w:rsidRDefault="0042207C" w:rsidP="00BD2C56">
            <w:pPr>
              <w:rPr>
                <w:b/>
                <w:bCs/>
              </w:rPr>
            </w:pPr>
            <w:r w:rsidRPr="007F7B1D">
              <w:rPr>
                <w:b/>
                <w:bCs/>
              </w:rPr>
              <w:t>Year</w:t>
            </w:r>
            <w:r>
              <w:rPr>
                <w:b/>
                <w:bCs/>
              </w:rPr>
              <w:t xml:space="preserve"> of study</w:t>
            </w:r>
          </w:p>
        </w:tc>
        <w:tc>
          <w:tcPr>
            <w:tcW w:w="1620" w:type="dxa"/>
            <w:vMerge w:val="restart"/>
            <w:tcBorders>
              <w:top w:val="single" w:sz="4" w:space="0" w:color="auto"/>
              <w:left w:val="nil"/>
              <w:bottom w:val="nil"/>
              <w:right w:val="nil"/>
            </w:tcBorders>
            <w:shd w:val="clear" w:color="auto" w:fill="auto"/>
            <w:hideMark/>
          </w:tcPr>
          <w:p w:rsidR="0042207C" w:rsidRPr="007F7B1D" w:rsidRDefault="0042207C" w:rsidP="00BD2C56">
            <w:pPr>
              <w:rPr>
                <w:b/>
                <w:bCs/>
              </w:rPr>
            </w:pPr>
            <w:r w:rsidRPr="007F7B1D">
              <w:rPr>
                <w:b/>
                <w:bCs/>
              </w:rPr>
              <w:t>Survey methods</w:t>
            </w:r>
          </w:p>
        </w:tc>
        <w:tc>
          <w:tcPr>
            <w:tcW w:w="3060" w:type="dxa"/>
            <w:vMerge w:val="restart"/>
            <w:tcBorders>
              <w:top w:val="single" w:sz="4" w:space="0" w:color="auto"/>
              <w:left w:val="nil"/>
              <w:bottom w:val="nil"/>
              <w:right w:val="nil"/>
            </w:tcBorders>
            <w:shd w:val="clear" w:color="auto" w:fill="auto"/>
            <w:hideMark/>
          </w:tcPr>
          <w:p w:rsidR="0042207C" w:rsidRPr="007F7B1D" w:rsidRDefault="0042207C" w:rsidP="00BD2C56">
            <w:pPr>
              <w:rPr>
                <w:b/>
                <w:bCs/>
              </w:rPr>
            </w:pPr>
            <w:r w:rsidRPr="007F7B1D">
              <w:rPr>
                <w:b/>
                <w:bCs/>
              </w:rPr>
              <w:t>Overall Response Rate</w:t>
            </w:r>
          </w:p>
        </w:tc>
        <w:tc>
          <w:tcPr>
            <w:tcW w:w="3060" w:type="dxa"/>
            <w:gridSpan w:val="3"/>
            <w:tcBorders>
              <w:top w:val="single" w:sz="4" w:space="0" w:color="auto"/>
              <w:left w:val="nil"/>
              <w:bottom w:val="nil"/>
              <w:right w:val="nil"/>
            </w:tcBorders>
            <w:shd w:val="clear" w:color="auto" w:fill="auto"/>
            <w:hideMark/>
          </w:tcPr>
          <w:p w:rsidR="0042207C" w:rsidRPr="007F7B1D" w:rsidRDefault="0042207C" w:rsidP="00BD2C56">
            <w:pPr>
              <w:jc w:val="center"/>
              <w:rPr>
                <w:b/>
                <w:bCs/>
              </w:rPr>
            </w:pPr>
            <w:r w:rsidRPr="007F7B1D">
              <w:rPr>
                <w:b/>
                <w:bCs/>
              </w:rPr>
              <w:t>Proportion Responding via:</w:t>
            </w:r>
          </w:p>
        </w:tc>
      </w:tr>
      <w:tr w:rsidR="0042207C" w:rsidRPr="007F7B1D" w:rsidTr="00BD2C56">
        <w:trPr>
          <w:trHeight w:val="300"/>
        </w:trPr>
        <w:tc>
          <w:tcPr>
            <w:tcW w:w="1440" w:type="dxa"/>
            <w:vMerge/>
            <w:tcBorders>
              <w:top w:val="nil"/>
              <w:left w:val="nil"/>
              <w:bottom w:val="single" w:sz="4" w:space="0" w:color="auto"/>
              <w:right w:val="nil"/>
            </w:tcBorders>
            <w:vAlign w:val="center"/>
            <w:hideMark/>
          </w:tcPr>
          <w:p w:rsidR="0042207C" w:rsidRPr="007F7B1D" w:rsidRDefault="0042207C" w:rsidP="00BD2C56">
            <w:pPr>
              <w:rPr>
                <w:b/>
                <w:bCs/>
              </w:rPr>
            </w:pPr>
          </w:p>
        </w:tc>
        <w:tc>
          <w:tcPr>
            <w:tcW w:w="1170" w:type="dxa"/>
            <w:vMerge/>
            <w:tcBorders>
              <w:top w:val="nil"/>
              <w:left w:val="nil"/>
              <w:bottom w:val="single" w:sz="4" w:space="0" w:color="auto"/>
              <w:right w:val="nil"/>
            </w:tcBorders>
            <w:vAlign w:val="center"/>
            <w:hideMark/>
          </w:tcPr>
          <w:p w:rsidR="0042207C" w:rsidRPr="007F7B1D" w:rsidRDefault="0042207C" w:rsidP="00BD2C56">
            <w:pPr>
              <w:rPr>
                <w:b/>
                <w:bCs/>
              </w:rPr>
            </w:pPr>
          </w:p>
        </w:tc>
        <w:tc>
          <w:tcPr>
            <w:tcW w:w="1620" w:type="dxa"/>
            <w:vMerge/>
            <w:tcBorders>
              <w:top w:val="nil"/>
              <w:left w:val="nil"/>
              <w:bottom w:val="single" w:sz="4" w:space="0" w:color="auto"/>
              <w:right w:val="nil"/>
            </w:tcBorders>
            <w:vAlign w:val="center"/>
            <w:hideMark/>
          </w:tcPr>
          <w:p w:rsidR="0042207C" w:rsidRPr="007F7B1D" w:rsidRDefault="0042207C" w:rsidP="00BD2C56">
            <w:pPr>
              <w:rPr>
                <w:b/>
                <w:bCs/>
              </w:rPr>
            </w:pPr>
          </w:p>
        </w:tc>
        <w:tc>
          <w:tcPr>
            <w:tcW w:w="3060" w:type="dxa"/>
            <w:vMerge/>
            <w:tcBorders>
              <w:top w:val="nil"/>
              <w:left w:val="nil"/>
              <w:bottom w:val="single" w:sz="4" w:space="0" w:color="auto"/>
              <w:right w:val="nil"/>
            </w:tcBorders>
            <w:vAlign w:val="center"/>
            <w:hideMark/>
          </w:tcPr>
          <w:p w:rsidR="0042207C" w:rsidRPr="007F7B1D" w:rsidRDefault="0042207C" w:rsidP="00BD2C56">
            <w:pPr>
              <w:rPr>
                <w:b/>
                <w:bCs/>
              </w:rPr>
            </w:pPr>
          </w:p>
        </w:tc>
        <w:tc>
          <w:tcPr>
            <w:tcW w:w="821" w:type="dxa"/>
            <w:tcBorders>
              <w:top w:val="nil"/>
              <w:left w:val="nil"/>
              <w:bottom w:val="single" w:sz="4" w:space="0" w:color="auto"/>
              <w:right w:val="nil"/>
            </w:tcBorders>
            <w:shd w:val="clear" w:color="auto" w:fill="auto"/>
            <w:hideMark/>
          </w:tcPr>
          <w:p w:rsidR="0042207C" w:rsidRPr="007F7B1D" w:rsidRDefault="0042207C" w:rsidP="00BD2C56">
            <w:pPr>
              <w:rPr>
                <w:b/>
                <w:bCs/>
              </w:rPr>
            </w:pPr>
            <w:r w:rsidRPr="007F7B1D">
              <w:rPr>
                <w:b/>
                <w:bCs/>
              </w:rPr>
              <w:t>Web</w:t>
            </w:r>
          </w:p>
        </w:tc>
        <w:tc>
          <w:tcPr>
            <w:tcW w:w="720" w:type="dxa"/>
            <w:tcBorders>
              <w:top w:val="nil"/>
              <w:left w:val="nil"/>
              <w:bottom w:val="single" w:sz="4" w:space="0" w:color="auto"/>
              <w:right w:val="nil"/>
            </w:tcBorders>
            <w:shd w:val="clear" w:color="auto" w:fill="auto"/>
            <w:hideMark/>
          </w:tcPr>
          <w:p w:rsidR="0042207C" w:rsidRPr="007F7B1D" w:rsidRDefault="0042207C" w:rsidP="00BD2C56">
            <w:pPr>
              <w:rPr>
                <w:b/>
                <w:bCs/>
              </w:rPr>
            </w:pPr>
            <w:r w:rsidRPr="007F7B1D">
              <w:rPr>
                <w:b/>
                <w:bCs/>
              </w:rPr>
              <w:t>Mail</w:t>
            </w:r>
          </w:p>
        </w:tc>
        <w:tc>
          <w:tcPr>
            <w:tcW w:w="1519" w:type="dxa"/>
            <w:tcBorders>
              <w:top w:val="nil"/>
              <w:left w:val="nil"/>
              <w:bottom w:val="single" w:sz="4" w:space="0" w:color="auto"/>
              <w:right w:val="nil"/>
            </w:tcBorders>
            <w:shd w:val="clear" w:color="auto" w:fill="auto"/>
            <w:hideMark/>
          </w:tcPr>
          <w:p w:rsidR="0042207C" w:rsidRPr="007F7B1D" w:rsidRDefault="0042207C" w:rsidP="00BD2C56">
            <w:pPr>
              <w:rPr>
                <w:b/>
                <w:bCs/>
              </w:rPr>
            </w:pPr>
            <w:r w:rsidRPr="007F7B1D">
              <w:rPr>
                <w:b/>
                <w:bCs/>
              </w:rPr>
              <w:t>Telephone</w:t>
            </w:r>
          </w:p>
        </w:tc>
      </w:tr>
      <w:tr w:rsidR="0042207C" w:rsidRPr="007F7B1D" w:rsidTr="00BD2C56">
        <w:trPr>
          <w:trHeight w:val="144"/>
        </w:trPr>
        <w:tc>
          <w:tcPr>
            <w:tcW w:w="1440" w:type="dxa"/>
            <w:tcBorders>
              <w:top w:val="nil"/>
              <w:left w:val="nil"/>
              <w:bottom w:val="nil"/>
              <w:right w:val="nil"/>
            </w:tcBorders>
            <w:shd w:val="clear" w:color="auto" w:fill="auto"/>
            <w:hideMark/>
          </w:tcPr>
          <w:p w:rsidR="0042207C" w:rsidRPr="007F7B1D" w:rsidRDefault="0042207C" w:rsidP="00BD2C56">
            <w:r w:rsidRPr="007F7B1D">
              <w:rPr>
                <w:bCs/>
              </w:rPr>
              <w:t>Ailes (U.S.)</w:t>
            </w:r>
          </w:p>
        </w:tc>
        <w:tc>
          <w:tcPr>
            <w:tcW w:w="1170" w:type="dxa"/>
            <w:tcBorders>
              <w:top w:val="nil"/>
              <w:left w:val="nil"/>
              <w:bottom w:val="nil"/>
              <w:right w:val="nil"/>
            </w:tcBorders>
            <w:shd w:val="clear" w:color="auto" w:fill="auto"/>
            <w:hideMark/>
          </w:tcPr>
          <w:p w:rsidR="0042207C" w:rsidRPr="007F7B1D" w:rsidRDefault="0042207C" w:rsidP="00BD2C56">
            <w:r w:rsidRPr="007F7B1D">
              <w:rPr>
                <w:bCs/>
              </w:rPr>
              <w:t>2009</w:t>
            </w:r>
          </w:p>
        </w:tc>
        <w:tc>
          <w:tcPr>
            <w:tcW w:w="1620" w:type="dxa"/>
            <w:tcBorders>
              <w:top w:val="nil"/>
              <w:left w:val="nil"/>
              <w:bottom w:val="nil"/>
              <w:right w:val="nil"/>
            </w:tcBorders>
            <w:shd w:val="clear" w:color="auto" w:fill="auto"/>
            <w:hideMark/>
          </w:tcPr>
          <w:p w:rsidR="0042207C" w:rsidRPr="007F7B1D" w:rsidRDefault="0042207C" w:rsidP="00BD2C56">
            <w:r w:rsidRPr="007F7B1D">
              <w:rPr>
                <w:bCs/>
              </w:rPr>
              <w:t>Mail</w:t>
            </w:r>
          </w:p>
        </w:tc>
        <w:tc>
          <w:tcPr>
            <w:tcW w:w="3060" w:type="dxa"/>
            <w:tcBorders>
              <w:top w:val="nil"/>
              <w:left w:val="nil"/>
              <w:bottom w:val="nil"/>
              <w:right w:val="nil"/>
            </w:tcBorders>
            <w:shd w:val="clear" w:color="auto" w:fill="auto"/>
            <w:hideMark/>
          </w:tcPr>
          <w:p w:rsidR="0042207C" w:rsidRPr="007F7B1D" w:rsidRDefault="0042207C" w:rsidP="00BD2C56">
            <w:r w:rsidRPr="007F7B1D">
              <w:rPr>
                <w:bCs/>
              </w:rPr>
              <w:t>33%</w:t>
            </w:r>
          </w:p>
        </w:tc>
        <w:tc>
          <w:tcPr>
            <w:tcW w:w="821" w:type="dxa"/>
            <w:tcBorders>
              <w:top w:val="nil"/>
              <w:left w:val="nil"/>
              <w:bottom w:val="nil"/>
              <w:right w:val="nil"/>
            </w:tcBorders>
            <w:shd w:val="clear" w:color="auto" w:fill="auto"/>
            <w:hideMark/>
          </w:tcPr>
          <w:p w:rsidR="0042207C" w:rsidRPr="007F7B1D" w:rsidRDefault="0042207C" w:rsidP="00BD2C56">
            <w:r w:rsidRPr="007F7B1D">
              <w:rPr>
                <w:bCs/>
              </w:rPr>
              <w:t>--</w:t>
            </w:r>
          </w:p>
        </w:tc>
        <w:tc>
          <w:tcPr>
            <w:tcW w:w="720" w:type="dxa"/>
            <w:tcBorders>
              <w:top w:val="nil"/>
              <w:left w:val="nil"/>
              <w:bottom w:val="nil"/>
              <w:right w:val="nil"/>
            </w:tcBorders>
            <w:shd w:val="clear" w:color="auto" w:fill="auto"/>
            <w:hideMark/>
          </w:tcPr>
          <w:p w:rsidR="0042207C" w:rsidRPr="007F7B1D" w:rsidRDefault="0042207C" w:rsidP="00BD2C56">
            <w:r w:rsidRPr="007F7B1D">
              <w:rPr>
                <w:bCs/>
              </w:rPr>
              <w:t>100%</w:t>
            </w:r>
          </w:p>
        </w:tc>
        <w:tc>
          <w:tcPr>
            <w:tcW w:w="1519" w:type="dxa"/>
            <w:tcBorders>
              <w:top w:val="nil"/>
              <w:left w:val="nil"/>
              <w:bottom w:val="nil"/>
              <w:right w:val="nil"/>
            </w:tcBorders>
            <w:shd w:val="clear" w:color="auto" w:fill="auto"/>
            <w:hideMark/>
          </w:tcPr>
          <w:p w:rsidR="0042207C" w:rsidRPr="007F7B1D" w:rsidRDefault="0042207C" w:rsidP="00BD2C56">
            <w:r w:rsidRPr="007F7B1D">
              <w:rPr>
                <w:bCs/>
              </w:rPr>
              <w:t>--</w:t>
            </w:r>
          </w:p>
        </w:tc>
      </w:tr>
      <w:tr w:rsidR="0042207C" w:rsidRPr="007F7B1D" w:rsidTr="00BD2C56">
        <w:trPr>
          <w:trHeight w:val="144"/>
        </w:trPr>
        <w:tc>
          <w:tcPr>
            <w:tcW w:w="1440" w:type="dxa"/>
            <w:tcBorders>
              <w:top w:val="nil"/>
              <w:left w:val="nil"/>
              <w:right w:val="nil"/>
            </w:tcBorders>
            <w:shd w:val="clear" w:color="auto" w:fill="auto"/>
            <w:hideMark/>
          </w:tcPr>
          <w:p w:rsidR="0042207C" w:rsidRPr="007F7B1D" w:rsidRDefault="0042207C" w:rsidP="00BD2C56">
            <w:r w:rsidRPr="007F7B1D">
              <w:rPr>
                <w:bCs/>
              </w:rPr>
              <w:t>Roy (U.S.)</w:t>
            </w:r>
          </w:p>
        </w:tc>
        <w:tc>
          <w:tcPr>
            <w:tcW w:w="1170" w:type="dxa"/>
            <w:tcBorders>
              <w:top w:val="nil"/>
              <w:left w:val="nil"/>
              <w:right w:val="nil"/>
            </w:tcBorders>
            <w:shd w:val="clear" w:color="auto" w:fill="auto"/>
            <w:hideMark/>
          </w:tcPr>
          <w:p w:rsidR="0042207C" w:rsidRPr="007F7B1D" w:rsidRDefault="0042207C" w:rsidP="00BD2C56">
            <w:r w:rsidRPr="00916228">
              <w:rPr>
                <w:bCs/>
              </w:rPr>
              <w:t>2008</w:t>
            </w:r>
          </w:p>
        </w:tc>
        <w:tc>
          <w:tcPr>
            <w:tcW w:w="1620" w:type="dxa"/>
            <w:tcBorders>
              <w:top w:val="nil"/>
              <w:left w:val="nil"/>
              <w:right w:val="nil"/>
            </w:tcBorders>
            <w:shd w:val="clear" w:color="auto" w:fill="auto"/>
            <w:hideMark/>
          </w:tcPr>
          <w:p w:rsidR="0042207C" w:rsidRPr="007F7B1D" w:rsidRDefault="0042207C" w:rsidP="00BD2C56">
            <w:r w:rsidRPr="007F7B1D">
              <w:rPr>
                <w:bCs/>
              </w:rPr>
              <w:t>Web, mail</w:t>
            </w:r>
          </w:p>
        </w:tc>
        <w:tc>
          <w:tcPr>
            <w:tcW w:w="3060" w:type="dxa"/>
            <w:tcBorders>
              <w:top w:val="nil"/>
              <w:left w:val="nil"/>
              <w:right w:val="nil"/>
            </w:tcBorders>
            <w:shd w:val="clear" w:color="auto" w:fill="auto"/>
            <w:hideMark/>
          </w:tcPr>
          <w:p w:rsidR="0042207C" w:rsidRPr="007F7B1D" w:rsidRDefault="0042207C" w:rsidP="00BD2C56">
            <w:r w:rsidRPr="007F7B1D">
              <w:rPr>
                <w:bCs/>
              </w:rPr>
              <w:t>48%</w:t>
            </w:r>
          </w:p>
        </w:tc>
        <w:tc>
          <w:tcPr>
            <w:tcW w:w="821" w:type="dxa"/>
            <w:tcBorders>
              <w:top w:val="nil"/>
              <w:left w:val="nil"/>
              <w:right w:val="nil"/>
            </w:tcBorders>
            <w:shd w:val="clear" w:color="auto" w:fill="auto"/>
            <w:hideMark/>
          </w:tcPr>
          <w:p w:rsidR="0042207C" w:rsidRPr="007F7B1D" w:rsidRDefault="0042207C" w:rsidP="00BD2C56">
            <w:r w:rsidRPr="007F7B1D">
              <w:rPr>
                <w:bCs/>
              </w:rPr>
              <w:t>64%</w:t>
            </w:r>
          </w:p>
        </w:tc>
        <w:tc>
          <w:tcPr>
            <w:tcW w:w="720" w:type="dxa"/>
            <w:tcBorders>
              <w:top w:val="nil"/>
              <w:left w:val="nil"/>
              <w:right w:val="nil"/>
            </w:tcBorders>
            <w:shd w:val="clear" w:color="auto" w:fill="auto"/>
            <w:hideMark/>
          </w:tcPr>
          <w:p w:rsidR="0042207C" w:rsidRPr="007F7B1D" w:rsidRDefault="0042207C" w:rsidP="00BD2C56">
            <w:r w:rsidRPr="007F7B1D">
              <w:rPr>
                <w:bCs/>
              </w:rPr>
              <w:t>3</w:t>
            </w:r>
            <w:r>
              <w:rPr>
                <w:bCs/>
              </w:rPr>
              <w:t>6</w:t>
            </w:r>
            <w:r w:rsidRPr="007F7B1D">
              <w:rPr>
                <w:bCs/>
              </w:rPr>
              <w:t>%</w:t>
            </w:r>
          </w:p>
        </w:tc>
        <w:tc>
          <w:tcPr>
            <w:tcW w:w="1519" w:type="dxa"/>
            <w:tcBorders>
              <w:top w:val="nil"/>
              <w:left w:val="nil"/>
              <w:right w:val="nil"/>
            </w:tcBorders>
            <w:shd w:val="clear" w:color="auto" w:fill="auto"/>
            <w:hideMark/>
          </w:tcPr>
          <w:p w:rsidR="0042207C" w:rsidRPr="007F7B1D" w:rsidRDefault="0042207C" w:rsidP="00BD2C56">
            <w:r w:rsidRPr="007F7B1D">
              <w:rPr>
                <w:bCs/>
              </w:rPr>
              <w:t>--</w:t>
            </w:r>
          </w:p>
        </w:tc>
      </w:tr>
      <w:tr w:rsidR="0042207C" w:rsidRPr="007F7B1D" w:rsidTr="00BD2C56">
        <w:trPr>
          <w:trHeight w:val="144"/>
        </w:trPr>
        <w:tc>
          <w:tcPr>
            <w:tcW w:w="1440" w:type="dxa"/>
            <w:tcBorders>
              <w:top w:val="nil"/>
              <w:left w:val="nil"/>
              <w:right w:val="nil"/>
            </w:tcBorders>
            <w:shd w:val="clear" w:color="auto" w:fill="auto"/>
            <w:hideMark/>
          </w:tcPr>
          <w:p w:rsidR="0042207C" w:rsidRPr="007F7B1D" w:rsidRDefault="0042207C" w:rsidP="00BD2C56">
            <w:r w:rsidRPr="007F7B1D">
              <w:rPr>
                <w:bCs/>
              </w:rPr>
              <w:t>Griffith (U.S.)</w:t>
            </w:r>
          </w:p>
        </w:tc>
        <w:tc>
          <w:tcPr>
            <w:tcW w:w="1170" w:type="dxa"/>
            <w:tcBorders>
              <w:top w:val="nil"/>
              <w:left w:val="nil"/>
              <w:right w:val="nil"/>
            </w:tcBorders>
            <w:shd w:val="clear" w:color="auto" w:fill="auto"/>
            <w:hideMark/>
          </w:tcPr>
          <w:p w:rsidR="0042207C" w:rsidRPr="007F7B1D" w:rsidRDefault="0042207C" w:rsidP="00BD2C56">
            <w:r w:rsidRPr="007F7B1D">
              <w:rPr>
                <w:bCs/>
              </w:rPr>
              <w:t>2008</w:t>
            </w:r>
          </w:p>
        </w:tc>
        <w:tc>
          <w:tcPr>
            <w:tcW w:w="1620" w:type="dxa"/>
            <w:tcBorders>
              <w:top w:val="nil"/>
              <w:left w:val="nil"/>
              <w:right w:val="nil"/>
            </w:tcBorders>
            <w:shd w:val="clear" w:color="auto" w:fill="auto"/>
            <w:hideMark/>
          </w:tcPr>
          <w:p w:rsidR="0042207C" w:rsidRPr="007F7B1D" w:rsidRDefault="0042207C" w:rsidP="00BD2C56">
            <w:r w:rsidRPr="007F7B1D">
              <w:rPr>
                <w:bCs/>
              </w:rPr>
              <w:t>Web</w:t>
            </w:r>
          </w:p>
        </w:tc>
        <w:tc>
          <w:tcPr>
            <w:tcW w:w="3060" w:type="dxa"/>
            <w:tcBorders>
              <w:top w:val="nil"/>
              <w:left w:val="nil"/>
              <w:right w:val="nil"/>
            </w:tcBorders>
            <w:shd w:val="clear" w:color="auto" w:fill="auto"/>
            <w:hideMark/>
          </w:tcPr>
          <w:p w:rsidR="0042207C" w:rsidRPr="007F7B1D" w:rsidRDefault="0042207C" w:rsidP="00BD2C56">
            <w:r w:rsidRPr="007F7B1D">
              <w:rPr>
                <w:bCs/>
              </w:rPr>
              <w:t>53%</w:t>
            </w:r>
          </w:p>
        </w:tc>
        <w:tc>
          <w:tcPr>
            <w:tcW w:w="821" w:type="dxa"/>
            <w:tcBorders>
              <w:top w:val="nil"/>
              <w:left w:val="nil"/>
              <w:right w:val="nil"/>
            </w:tcBorders>
            <w:shd w:val="clear" w:color="auto" w:fill="auto"/>
            <w:hideMark/>
          </w:tcPr>
          <w:p w:rsidR="0042207C" w:rsidRPr="007F7B1D" w:rsidRDefault="0042207C" w:rsidP="00BD2C56">
            <w:r w:rsidRPr="007F7B1D">
              <w:rPr>
                <w:bCs/>
              </w:rPr>
              <w:t>100%</w:t>
            </w:r>
          </w:p>
        </w:tc>
        <w:tc>
          <w:tcPr>
            <w:tcW w:w="720" w:type="dxa"/>
            <w:tcBorders>
              <w:top w:val="nil"/>
              <w:left w:val="nil"/>
              <w:right w:val="nil"/>
            </w:tcBorders>
            <w:shd w:val="clear" w:color="auto" w:fill="auto"/>
            <w:hideMark/>
          </w:tcPr>
          <w:p w:rsidR="0042207C" w:rsidRPr="007F7B1D" w:rsidRDefault="0042207C" w:rsidP="00BD2C56">
            <w:r w:rsidRPr="007F7B1D">
              <w:rPr>
                <w:bCs/>
              </w:rPr>
              <w:t>--</w:t>
            </w:r>
          </w:p>
        </w:tc>
        <w:tc>
          <w:tcPr>
            <w:tcW w:w="1519" w:type="dxa"/>
            <w:tcBorders>
              <w:top w:val="nil"/>
              <w:left w:val="nil"/>
              <w:right w:val="nil"/>
            </w:tcBorders>
            <w:shd w:val="clear" w:color="auto" w:fill="auto"/>
            <w:hideMark/>
          </w:tcPr>
          <w:p w:rsidR="0042207C" w:rsidRPr="007F7B1D" w:rsidRDefault="0042207C" w:rsidP="00BD2C56">
            <w:r w:rsidRPr="007F7B1D">
              <w:rPr>
                <w:bCs/>
              </w:rPr>
              <w:t>--</w:t>
            </w:r>
          </w:p>
        </w:tc>
      </w:tr>
      <w:tr w:rsidR="0042207C" w:rsidRPr="007F7B1D" w:rsidTr="00BD2C56">
        <w:trPr>
          <w:trHeight w:val="144"/>
        </w:trPr>
        <w:tc>
          <w:tcPr>
            <w:tcW w:w="1440" w:type="dxa"/>
            <w:tcBorders>
              <w:top w:val="nil"/>
              <w:left w:val="nil"/>
              <w:bottom w:val="nil"/>
              <w:right w:val="nil"/>
            </w:tcBorders>
            <w:shd w:val="clear" w:color="auto" w:fill="auto"/>
            <w:hideMark/>
          </w:tcPr>
          <w:p w:rsidR="0042207C" w:rsidRPr="007F7B1D" w:rsidRDefault="0042207C" w:rsidP="00BD2C56">
            <w:r w:rsidRPr="007F7B1D">
              <w:rPr>
                <w:bCs/>
              </w:rPr>
              <w:t>G</w:t>
            </w:r>
            <w:r>
              <w:rPr>
                <w:bCs/>
              </w:rPr>
              <w:t>h</w:t>
            </w:r>
            <w:r w:rsidRPr="007F7B1D">
              <w:rPr>
                <w:bCs/>
              </w:rPr>
              <w:t>osh (U.S.)</w:t>
            </w:r>
          </w:p>
        </w:tc>
        <w:tc>
          <w:tcPr>
            <w:tcW w:w="1170" w:type="dxa"/>
            <w:tcBorders>
              <w:top w:val="nil"/>
              <w:left w:val="nil"/>
              <w:bottom w:val="nil"/>
              <w:right w:val="nil"/>
            </w:tcBorders>
            <w:shd w:val="clear" w:color="auto" w:fill="auto"/>
            <w:hideMark/>
          </w:tcPr>
          <w:p w:rsidR="0042207C" w:rsidRPr="007F7B1D" w:rsidRDefault="0042207C" w:rsidP="00BD2C56">
            <w:r w:rsidRPr="007F7B1D">
              <w:rPr>
                <w:bCs/>
              </w:rPr>
              <w:t>2006</w:t>
            </w:r>
          </w:p>
        </w:tc>
        <w:tc>
          <w:tcPr>
            <w:tcW w:w="1620" w:type="dxa"/>
            <w:tcBorders>
              <w:top w:val="nil"/>
              <w:left w:val="nil"/>
              <w:bottom w:val="nil"/>
              <w:right w:val="nil"/>
            </w:tcBorders>
            <w:shd w:val="clear" w:color="auto" w:fill="auto"/>
            <w:hideMark/>
          </w:tcPr>
          <w:p w:rsidR="0042207C" w:rsidRPr="007F7B1D" w:rsidRDefault="0042207C" w:rsidP="00BD2C56">
            <w:r w:rsidRPr="007F7B1D">
              <w:rPr>
                <w:bCs/>
              </w:rPr>
              <w:t>Web, telephone</w:t>
            </w:r>
          </w:p>
        </w:tc>
        <w:tc>
          <w:tcPr>
            <w:tcW w:w="3060" w:type="dxa"/>
            <w:tcBorders>
              <w:top w:val="nil"/>
              <w:left w:val="nil"/>
              <w:bottom w:val="nil"/>
              <w:right w:val="nil"/>
            </w:tcBorders>
            <w:shd w:val="clear" w:color="auto" w:fill="auto"/>
            <w:hideMark/>
          </w:tcPr>
          <w:p w:rsidR="0042207C" w:rsidRPr="007F7B1D" w:rsidRDefault="0042207C" w:rsidP="00BD2C56">
            <w:r>
              <w:rPr>
                <w:bCs/>
                <w:u w:val="single"/>
              </w:rPr>
              <w:t>&gt;</w:t>
            </w:r>
            <w:r w:rsidRPr="007F7B1D">
              <w:rPr>
                <w:bCs/>
              </w:rPr>
              <w:t>78</w:t>
            </w:r>
            <w:r w:rsidRPr="00997B54">
              <w:rPr>
                <w:bCs/>
                <w:vertAlign w:val="superscript"/>
              </w:rPr>
              <w:t>*</w:t>
            </w:r>
            <w:r w:rsidRPr="007F7B1D">
              <w:rPr>
                <w:bCs/>
              </w:rPr>
              <w:t xml:space="preserve"> (telephone), </w:t>
            </w:r>
            <w:r>
              <w:rPr>
                <w:bCs/>
                <w:u w:val="single"/>
              </w:rPr>
              <w:t>&gt;</w:t>
            </w:r>
            <w:r w:rsidRPr="007F7B1D">
              <w:rPr>
                <w:bCs/>
              </w:rPr>
              <w:t>74% (web)</w:t>
            </w:r>
          </w:p>
        </w:tc>
        <w:tc>
          <w:tcPr>
            <w:tcW w:w="821" w:type="dxa"/>
            <w:tcBorders>
              <w:top w:val="nil"/>
              <w:left w:val="nil"/>
              <w:bottom w:val="nil"/>
              <w:right w:val="nil"/>
            </w:tcBorders>
            <w:shd w:val="clear" w:color="auto" w:fill="auto"/>
            <w:hideMark/>
          </w:tcPr>
          <w:p w:rsidR="0042207C" w:rsidRPr="007F7B1D" w:rsidRDefault="0042207C" w:rsidP="00BD2C56">
            <w:r w:rsidRPr="007F7B1D">
              <w:rPr>
                <w:bCs/>
              </w:rPr>
              <w:t>--</w:t>
            </w:r>
          </w:p>
        </w:tc>
        <w:tc>
          <w:tcPr>
            <w:tcW w:w="720" w:type="dxa"/>
            <w:tcBorders>
              <w:top w:val="nil"/>
              <w:left w:val="nil"/>
              <w:bottom w:val="nil"/>
              <w:right w:val="nil"/>
            </w:tcBorders>
            <w:shd w:val="clear" w:color="auto" w:fill="auto"/>
            <w:hideMark/>
          </w:tcPr>
          <w:p w:rsidR="0042207C" w:rsidRPr="007F7B1D" w:rsidRDefault="0042207C" w:rsidP="00BD2C56">
            <w:r w:rsidRPr="007F7B1D">
              <w:rPr>
                <w:bCs/>
              </w:rPr>
              <w:t>--</w:t>
            </w:r>
          </w:p>
        </w:tc>
        <w:tc>
          <w:tcPr>
            <w:tcW w:w="1519" w:type="dxa"/>
            <w:tcBorders>
              <w:top w:val="nil"/>
              <w:left w:val="nil"/>
              <w:bottom w:val="nil"/>
              <w:right w:val="nil"/>
            </w:tcBorders>
            <w:shd w:val="clear" w:color="auto" w:fill="auto"/>
            <w:hideMark/>
          </w:tcPr>
          <w:p w:rsidR="0042207C" w:rsidRPr="007F7B1D" w:rsidRDefault="0042207C" w:rsidP="00BD2C56">
            <w:r w:rsidRPr="007F7B1D">
              <w:rPr>
                <w:bCs/>
              </w:rPr>
              <w:t>--</w:t>
            </w:r>
          </w:p>
        </w:tc>
      </w:tr>
      <w:tr w:rsidR="0042207C" w:rsidRPr="007F7B1D" w:rsidTr="00BD2C56">
        <w:trPr>
          <w:trHeight w:val="144"/>
        </w:trPr>
        <w:tc>
          <w:tcPr>
            <w:tcW w:w="1440" w:type="dxa"/>
            <w:tcBorders>
              <w:left w:val="nil"/>
              <w:bottom w:val="nil"/>
              <w:right w:val="nil"/>
            </w:tcBorders>
            <w:shd w:val="clear" w:color="auto" w:fill="auto"/>
            <w:hideMark/>
          </w:tcPr>
          <w:p w:rsidR="0042207C" w:rsidRPr="007F7B1D" w:rsidRDefault="0042207C" w:rsidP="00BD2C56">
            <w:r w:rsidRPr="007F7B1D">
              <w:rPr>
                <w:bCs/>
              </w:rPr>
              <w:t>Jones (U.S.)</w:t>
            </w:r>
          </w:p>
        </w:tc>
        <w:tc>
          <w:tcPr>
            <w:tcW w:w="1170" w:type="dxa"/>
            <w:tcBorders>
              <w:left w:val="nil"/>
              <w:bottom w:val="nil"/>
              <w:right w:val="nil"/>
            </w:tcBorders>
            <w:shd w:val="clear" w:color="auto" w:fill="auto"/>
            <w:hideMark/>
          </w:tcPr>
          <w:p w:rsidR="0042207C" w:rsidRPr="007F7B1D" w:rsidRDefault="0042207C" w:rsidP="00BD2C56">
            <w:r w:rsidRPr="007F7B1D">
              <w:rPr>
                <w:bCs/>
              </w:rPr>
              <w:t>2004</w:t>
            </w:r>
          </w:p>
        </w:tc>
        <w:tc>
          <w:tcPr>
            <w:tcW w:w="1620" w:type="dxa"/>
            <w:tcBorders>
              <w:left w:val="nil"/>
              <w:bottom w:val="nil"/>
              <w:right w:val="nil"/>
            </w:tcBorders>
            <w:shd w:val="clear" w:color="auto" w:fill="auto"/>
            <w:hideMark/>
          </w:tcPr>
          <w:p w:rsidR="0042207C" w:rsidRPr="007F7B1D" w:rsidRDefault="0042207C" w:rsidP="00BD2C56">
            <w:r w:rsidRPr="007F7B1D">
              <w:rPr>
                <w:bCs/>
              </w:rPr>
              <w:t>Telephone</w:t>
            </w:r>
          </w:p>
        </w:tc>
        <w:tc>
          <w:tcPr>
            <w:tcW w:w="3060" w:type="dxa"/>
            <w:tcBorders>
              <w:left w:val="nil"/>
              <w:bottom w:val="nil"/>
              <w:right w:val="nil"/>
            </w:tcBorders>
            <w:shd w:val="clear" w:color="auto" w:fill="auto"/>
            <w:hideMark/>
          </w:tcPr>
          <w:p w:rsidR="0042207C" w:rsidRPr="007F7B1D" w:rsidRDefault="0042207C" w:rsidP="00BD2C56">
            <w:r w:rsidRPr="007F7B1D">
              <w:rPr>
                <w:bCs/>
              </w:rPr>
              <w:t>33%</w:t>
            </w:r>
          </w:p>
        </w:tc>
        <w:tc>
          <w:tcPr>
            <w:tcW w:w="821" w:type="dxa"/>
            <w:tcBorders>
              <w:left w:val="nil"/>
              <w:bottom w:val="nil"/>
              <w:right w:val="nil"/>
            </w:tcBorders>
            <w:shd w:val="clear" w:color="auto" w:fill="auto"/>
            <w:hideMark/>
          </w:tcPr>
          <w:p w:rsidR="0042207C" w:rsidRPr="007F7B1D" w:rsidRDefault="0042207C" w:rsidP="00BD2C56">
            <w:r w:rsidRPr="007F7B1D">
              <w:rPr>
                <w:bCs/>
              </w:rPr>
              <w:t>--</w:t>
            </w:r>
          </w:p>
        </w:tc>
        <w:tc>
          <w:tcPr>
            <w:tcW w:w="720" w:type="dxa"/>
            <w:tcBorders>
              <w:left w:val="nil"/>
              <w:bottom w:val="nil"/>
              <w:right w:val="nil"/>
            </w:tcBorders>
            <w:shd w:val="clear" w:color="auto" w:fill="auto"/>
            <w:hideMark/>
          </w:tcPr>
          <w:p w:rsidR="0042207C" w:rsidRPr="007F7B1D" w:rsidRDefault="0042207C" w:rsidP="00BD2C56">
            <w:r w:rsidRPr="007F7B1D">
              <w:rPr>
                <w:bCs/>
              </w:rPr>
              <w:t>--</w:t>
            </w:r>
          </w:p>
        </w:tc>
        <w:tc>
          <w:tcPr>
            <w:tcW w:w="1519" w:type="dxa"/>
            <w:tcBorders>
              <w:left w:val="nil"/>
              <w:bottom w:val="nil"/>
              <w:right w:val="nil"/>
            </w:tcBorders>
            <w:shd w:val="clear" w:color="auto" w:fill="auto"/>
            <w:hideMark/>
          </w:tcPr>
          <w:p w:rsidR="0042207C" w:rsidRPr="007F7B1D" w:rsidRDefault="0042207C" w:rsidP="00BD2C56">
            <w:r w:rsidRPr="007F7B1D">
              <w:rPr>
                <w:bCs/>
              </w:rPr>
              <w:t>100%</w:t>
            </w:r>
          </w:p>
        </w:tc>
      </w:tr>
      <w:tr w:rsidR="0042207C" w:rsidRPr="007F7B1D" w:rsidTr="00BD2C56">
        <w:trPr>
          <w:trHeight w:val="144"/>
        </w:trPr>
        <w:tc>
          <w:tcPr>
            <w:tcW w:w="1440" w:type="dxa"/>
            <w:tcBorders>
              <w:top w:val="nil"/>
              <w:left w:val="nil"/>
              <w:bottom w:val="nil"/>
              <w:right w:val="nil"/>
            </w:tcBorders>
            <w:shd w:val="clear" w:color="auto" w:fill="auto"/>
            <w:hideMark/>
          </w:tcPr>
          <w:p w:rsidR="0042207C" w:rsidRPr="007F7B1D" w:rsidRDefault="0042207C" w:rsidP="00BD2C56">
            <w:r w:rsidRPr="007F7B1D">
              <w:rPr>
                <w:bCs/>
              </w:rPr>
              <w:t>Smith (U.S.)</w:t>
            </w:r>
          </w:p>
        </w:tc>
        <w:tc>
          <w:tcPr>
            <w:tcW w:w="1170" w:type="dxa"/>
            <w:tcBorders>
              <w:top w:val="nil"/>
              <w:left w:val="nil"/>
              <w:bottom w:val="nil"/>
              <w:right w:val="nil"/>
            </w:tcBorders>
            <w:shd w:val="clear" w:color="auto" w:fill="auto"/>
            <w:hideMark/>
          </w:tcPr>
          <w:p w:rsidR="0042207C" w:rsidRPr="007F7B1D" w:rsidRDefault="0042207C" w:rsidP="00BD2C56">
            <w:r w:rsidRPr="007F7B1D">
              <w:rPr>
                <w:bCs/>
              </w:rPr>
              <w:t>2001-2003</w:t>
            </w:r>
          </w:p>
        </w:tc>
        <w:tc>
          <w:tcPr>
            <w:tcW w:w="1620" w:type="dxa"/>
            <w:tcBorders>
              <w:top w:val="nil"/>
              <w:left w:val="nil"/>
              <w:bottom w:val="nil"/>
              <w:right w:val="nil"/>
            </w:tcBorders>
            <w:shd w:val="clear" w:color="auto" w:fill="auto"/>
            <w:hideMark/>
          </w:tcPr>
          <w:p w:rsidR="0042207C" w:rsidRPr="007F7B1D" w:rsidRDefault="0042207C" w:rsidP="00BD2C56">
            <w:r w:rsidRPr="007F7B1D">
              <w:rPr>
                <w:bCs/>
              </w:rPr>
              <w:t>Web, mail</w:t>
            </w:r>
          </w:p>
        </w:tc>
        <w:tc>
          <w:tcPr>
            <w:tcW w:w="3060" w:type="dxa"/>
            <w:tcBorders>
              <w:top w:val="nil"/>
              <w:left w:val="nil"/>
              <w:bottom w:val="nil"/>
              <w:right w:val="nil"/>
            </w:tcBorders>
            <w:shd w:val="clear" w:color="auto" w:fill="auto"/>
            <w:hideMark/>
          </w:tcPr>
          <w:p w:rsidR="0042207C" w:rsidRPr="007F7B1D" w:rsidRDefault="0042207C" w:rsidP="00BD2C56">
            <w:r w:rsidRPr="007F7B1D">
              <w:rPr>
                <w:bCs/>
              </w:rPr>
              <w:t>--</w:t>
            </w:r>
            <w:r>
              <w:rPr>
                <w:rFonts w:cs="Times New Roman"/>
                <w:vertAlign w:val="superscript"/>
              </w:rPr>
              <w:t>†</w:t>
            </w:r>
          </w:p>
        </w:tc>
        <w:tc>
          <w:tcPr>
            <w:tcW w:w="821" w:type="dxa"/>
            <w:tcBorders>
              <w:top w:val="nil"/>
              <w:left w:val="nil"/>
              <w:bottom w:val="nil"/>
              <w:right w:val="nil"/>
            </w:tcBorders>
            <w:shd w:val="clear" w:color="auto" w:fill="auto"/>
            <w:hideMark/>
          </w:tcPr>
          <w:p w:rsidR="0042207C" w:rsidRPr="007F7B1D" w:rsidRDefault="0042207C" w:rsidP="00BD2C56">
            <w:r w:rsidRPr="007F7B1D">
              <w:rPr>
                <w:bCs/>
              </w:rPr>
              <w:t>55%</w:t>
            </w:r>
          </w:p>
        </w:tc>
        <w:tc>
          <w:tcPr>
            <w:tcW w:w="720" w:type="dxa"/>
            <w:tcBorders>
              <w:top w:val="nil"/>
              <w:left w:val="nil"/>
              <w:bottom w:val="nil"/>
              <w:right w:val="nil"/>
            </w:tcBorders>
            <w:shd w:val="clear" w:color="auto" w:fill="auto"/>
            <w:hideMark/>
          </w:tcPr>
          <w:p w:rsidR="0042207C" w:rsidRPr="007F7B1D" w:rsidRDefault="0042207C" w:rsidP="00BD2C56">
            <w:r w:rsidRPr="007F7B1D">
              <w:rPr>
                <w:bCs/>
              </w:rPr>
              <w:t>45%</w:t>
            </w:r>
          </w:p>
        </w:tc>
        <w:tc>
          <w:tcPr>
            <w:tcW w:w="1519" w:type="dxa"/>
            <w:tcBorders>
              <w:top w:val="nil"/>
              <w:left w:val="nil"/>
              <w:bottom w:val="nil"/>
              <w:right w:val="nil"/>
            </w:tcBorders>
            <w:shd w:val="clear" w:color="auto" w:fill="auto"/>
            <w:hideMark/>
          </w:tcPr>
          <w:p w:rsidR="0042207C" w:rsidRPr="007F7B1D" w:rsidRDefault="0042207C" w:rsidP="00BD2C56">
            <w:r w:rsidRPr="007F7B1D">
              <w:rPr>
                <w:bCs/>
              </w:rPr>
              <w:t>--</w:t>
            </w:r>
          </w:p>
        </w:tc>
      </w:tr>
      <w:tr w:rsidR="0042207C" w:rsidRPr="00997B54" w:rsidTr="00BD2C56">
        <w:trPr>
          <w:trHeight w:val="144"/>
        </w:trPr>
        <w:tc>
          <w:tcPr>
            <w:tcW w:w="10350" w:type="dxa"/>
            <w:gridSpan w:val="7"/>
            <w:tcBorders>
              <w:top w:val="single" w:sz="4" w:space="0" w:color="auto"/>
              <w:left w:val="nil"/>
              <w:right w:val="nil"/>
            </w:tcBorders>
            <w:shd w:val="clear" w:color="auto" w:fill="auto"/>
            <w:hideMark/>
          </w:tcPr>
          <w:p w:rsidR="0042207C" w:rsidRPr="00997B54" w:rsidRDefault="0042207C" w:rsidP="00BD2C56">
            <w:pPr>
              <w:rPr>
                <w:bCs/>
                <w:sz w:val="20"/>
              </w:rPr>
            </w:pPr>
            <w:r w:rsidRPr="00997B54">
              <w:rPr>
                <w:bCs/>
                <w:sz w:val="20"/>
                <w:vertAlign w:val="superscript"/>
              </w:rPr>
              <w:t xml:space="preserve">* </w:t>
            </w:r>
            <w:r>
              <w:rPr>
                <w:bCs/>
                <w:sz w:val="20"/>
              </w:rPr>
              <w:t>There were multiple survey groups per survey method</w:t>
            </w:r>
            <w:r w:rsidRPr="00997B54">
              <w:rPr>
                <w:bCs/>
                <w:sz w:val="20"/>
              </w:rPr>
              <w:t xml:space="preserve">  </w:t>
            </w:r>
          </w:p>
        </w:tc>
      </w:tr>
      <w:tr w:rsidR="0042207C" w:rsidRPr="00997B54" w:rsidTr="00BD2C56">
        <w:trPr>
          <w:trHeight w:val="144"/>
        </w:trPr>
        <w:tc>
          <w:tcPr>
            <w:tcW w:w="10350" w:type="dxa"/>
            <w:gridSpan w:val="7"/>
            <w:tcBorders>
              <w:left w:val="nil"/>
              <w:right w:val="nil"/>
            </w:tcBorders>
            <w:shd w:val="clear" w:color="auto" w:fill="auto"/>
            <w:hideMark/>
          </w:tcPr>
          <w:p w:rsidR="0042207C" w:rsidRPr="00997B54" w:rsidRDefault="0042207C" w:rsidP="00BD2C56">
            <w:pPr>
              <w:rPr>
                <w:bCs/>
                <w:sz w:val="20"/>
              </w:rPr>
            </w:pPr>
            <w:r w:rsidRPr="00997B54">
              <w:rPr>
                <w:bCs/>
                <w:sz w:val="20"/>
                <w:vertAlign w:val="superscript"/>
              </w:rPr>
              <w:t xml:space="preserve">† </w:t>
            </w:r>
            <w:r w:rsidRPr="00997B54">
              <w:rPr>
                <w:bCs/>
                <w:sz w:val="20"/>
              </w:rPr>
              <w:t>Longitudinal cohort study follow-up; survey respondents had already agreed to participate in the study but in this round of the study</w:t>
            </w:r>
            <w:r>
              <w:rPr>
                <w:bCs/>
                <w:sz w:val="20"/>
              </w:rPr>
              <w:t>, they</w:t>
            </w:r>
            <w:r w:rsidRPr="00997B54">
              <w:rPr>
                <w:bCs/>
                <w:sz w:val="20"/>
              </w:rPr>
              <w:t xml:space="preserve"> were given an option to complete questionnaires via the internet.  </w:t>
            </w:r>
          </w:p>
        </w:tc>
      </w:tr>
    </w:tbl>
    <w:p w:rsidR="0042207C" w:rsidRPr="007F7B1D" w:rsidRDefault="0042207C" w:rsidP="0042207C"/>
    <w:p w:rsidR="0042207C" w:rsidRDefault="0042207C" w:rsidP="0042207C">
      <w:r w:rsidRPr="007F7B1D">
        <w:t xml:space="preserve">We have performed power calculations to assess whether this study will have enough power to provide statistically useful information. In addition to analyzing data from all participants overall, we plan to stratify our analyses by type of water treatment used (i.e., chlorine versus </w:t>
      </w:r>
      <w:r w:rsidR="00134277">
        <w:t>mono</w:t>
      </w:r>
      <w:r w:rsidRPr="007F7B1D">
        <w:t>chloramine as a secondary disinfectant). Therefore, both of these study arms will individually require sufficient statistical power for analysis. For these power calculations, the following assumptions were made:</w:t>
      </w:r>
    </w:p>
    <w:p w:rsidR="00F252BE" w:rsidRDefault="00F252BE" w:rsidP="00CF76DA"/>
    <w:p w:rsidR="00F252BE" w:rsidRDefault="00F252BE" w:rsidP="00CF76DA">
      <w:pPr>
        <w:pStyle w:val="NoSpacing"/>
        <w:numPr>
          <w:ilvl w:val="0"/>
          <w:numId w:val="19"/>
        </w:numPr>
      </w:pPr>
      <w:r w:rsidRPr="007F7B1D">
        <w:t xml:space="preserve">The population incidence of AGI among unexposed persons is estimated to be 5% (based on prevalence of AGI during </w:t>
      </w:r>
      <w:r>
        <w:t xml:space="preserve">a </w:t>
      </w:r>
      <w:r w:rsidRPr="007F7B1D">
        <w:t>month</w:t>
      </w:r>
      <w:r>
        <w:t>-long period</w:t>
      </w:r>
      <w:r w:rsidRPr="007F7B1D">
        <w:t xml:space="preserve"> in U.S. survey data </w:t>
      </w:r>
      <w:r w:rsidR="00CF76DA">
        <w:t>(Jones,</w:t>
      </w:r>
      <w:r w:rsidR="00C137D2">
        <w:t xml:space="preserve"> McMillian</w:t>
      </w:r>
      <w:r w:rsidR="00CF76DA">
        <w:t xml:space="preserve"> et al. 2007).</w:t>
      </w:r>
    </w:p>
    <w:p w:rsidR="00A93CFE" w:rsidRDefault="00F252BE" w:rsidP="00CF76DA">
      <w:pPr>
        <w:pStyle w:val="NoSpacing"/>
        <w:numPr>
          <w:ilvl w:val="0"/>
          <w:numId w:val="19"/>
        </w:numPr>
      </w:pPr>
      <w:r>
        <w:t>The event sizes will vary. Of the 65 events for the multi-site study, we aim to include</w:t>
      </w:r>
      <w:r w:rsidRPr="00CF76DA">
        <w:t xml:space="preserve">15 small events (affecting at least </w:t>
      </w:r>
      <w:r w:rsidR="00644D54" w:rsidRPr="00CF76DA">
        <w:t>10</w:t>
      </w:r>
      <w:r w:rsidRPr="00CF76DA">
        <w:t xml:space="preserve"> households), 35 medium events (affecting at least </w:t>
      </w:r>
      <w:r w:rsidR="00644D54" w:rsidRPr="00CF76DA">
        <w:t>37</w:t>
      </w:r>
      <w:r w:rsidRPr="00CF76DA">
        <w:t xml:space="preserve"> households), and 15 large events (affecting at least </w:t>
      </w:r>
      <w:r w:rsidR="00644D54" w:rsidRPr="00CF76DA">
        <w:t>53</w:t>
      </w:r>
      <w:r w:rsidRPr="00CF76DA">
        <w:t xml:space="preserve"> households). This distribution of expected event sizes was informed by our pilot utility.    </w:t>
      </w:r>
    </w:p>
    <w:p w:rsidR="00F252BE" w:rsidRDefault="00696734" w:rsidP="00CF76DA">
      <w:pPr>
        <w:pStyle w:val="NoSpacing"/>
        <w:numPr>
          <w:ilvl w:val="0"/>
          <w:numId w:val="19"/>
        </w:numPr>
      </w:pPr>
      <w:r>
        <w:t>In an unstratified analysis, with a 60% response rate</w:t>
      </w:r>
      <w:r w:rsidR="00F252BE">
        <w:t xml:space="preserve"> and Type I error = 0.05</w:t>
      </w:r>
      <w:r>
        <w:t>, the study w</w:t>
      </w:r>
      <w:r w:rsidR="00CF76DA">
        <w:t>ill</w:t>
      </w:r>
      <w:r>
        <w:t xml:space="preserve"> have </w:t>
      </w:r>
      <w:r w:rsidR="004D457F">
        <w:t>over 90</w:t>
      </w:r>
      <w:r>
        <w:t xml:space="preserve">% power to detect an odds ratio of </w:t>
      </w:r>
      <w:r w:rsidR="004D457F">
        <w:t>1.6</w:t>
      </w:r>
      <w:r>
        <w:t xml:space="preserve">, </w:t>
      </w:r>
      <w:r w:rsidR="004D457F">
        <w:t>67</w:t>
      </w:r>
      <w:r w:rsidR="00F252BE">
        <w:t>% power to detect an odds ratio of 1.</w:t>
      </w:r>
      <w:r w:rsidR="004D457F">
        <w:t>4</w:t>
      </w:r>
      <w:r w:rsidR="00F252BE">
        <w:t>,</w:t>
      </w:r>
      <w:r w:rsidR="004D457F">
        <w:t xml:space="preserve"> and</w:t>
      </w:r>
      <w:r w:rsidR="00F252BE">
        <w:t xml:space="preserve"> </w:t>
      </w:r>
      <w:r w:rsidR="004D457F">
        <w:t>25</w:t>
      </w:r>
      <w:r>
        <w:t>% power to detect an odds ratio of 1.</w:t>
      </w:r>
      <w:r w:rsidR="00B045D0">
        <w:t>2</w:t>
      </w:r>
      <w:r w:rsidR="004D457F">
        <w:t>.</w:t>
      </w:r>
    </w:p>
    <w:p w:rsidR="0042207C" w:rsidRPr="007F7B1D" w:rsidRDefault="00F252BE" w:rsidP="00FC4AB6">
      <w:pPr>
        <w:ind w:left="720"/>
        <w:rPr>
          <w:bCs/>
        </w:rPr>
      </w:pPr>
      <w:r>
        <w:t>In each arm of a stratified analysis (e.g., stratifying on disinfectant type), the study</w:t>
      </w:r>
      <w:r w:rsidRPr="007F7B1D">
        <w:t xml:space="preserve"> will have </w:t>
      </w:r>
      <w:r w:rsidR="004D457F">
        <w:t xml:space="preserve">over </w:t>
      </w:r>
      <w:r w:rsidRPr="007F7B1D">
        <w:t>8</w:t>
      </w:r>
      <w:r w:rsidR="004D457F">
        <w:t>5</w:t>
      </w:r>
      <w:r w:rsidRPr="007F7B1D">
        <w:t>% power to detect a</w:t>
      </w:r>
      <w:r>
        <w:t xml:space="preserve">n odds ratio </w:t>
      </w:r>
      <w:r w:rsidRPr="007F7B1D">
        <w:t xml:space="preserve">for AGI of </w:t>
      </w:r>
      <w:r>
        <w:t>1.</w:t>
      </w:r>
      <w:r w:rsidR="004D457F">
        <w:t>8</w:t>
      </w:r>
      <w:r>
        <w:t xml:space="preserve"> </w:t>
      </w:r>
      <w:r w:rsidRPr="007F7B1D">
        <w:t xml:space="preserve">or larger. </w:t>
      </w:r>
      <w:bookmarkStart w:id="1" w:name="OLE_LINK12"/>
      <w:bookmarkStart w:id="2" w:name="OLE_LINK13"/>
    </w:p>
    <w:bookmarkEnd w:id="1"/>
    <w:bookmarkEnd w:id="2"/>
    <w:p w:rsidR="0042207C" w:rsidRPr="007F7B1D" w:rsidRDefault="0042207C" w:rsidP="0042207C">
      <w:pPr>
        <w:rPr>
          <w:bCs/>
        </w:rPr>
      </w:pPr>
      <w:r w:rsidRPr="007F7B1D">
        <w:t xml:space="preserve">Under these assumptions and goals, we estimate that we will have enough respondents to meet the goal </w:t>
      </w:r>
      <w:r w:rsidR="00134277">
        <w:t xml:space="preserve">of detecting </w:t>
      </w:r>
      <w:r w:rsidR="002D42C2">
        <w:t xml:space="preserve">a </w:t>
      </w:r>
      <w:r w:rsidR="00134277">
        <w:t>statistically significant odds ratio of 1.6 or greater in an unstratified analysis</w:t>
      </w:r>
      <w:r w:rsidR="00134277" w:rsidRPr="007F7B1D">
        <w:t xml:space="preserve"> </w:t>
      </w:r>
      <w:r w:rsidR="00134277">
        <w:t>(</w:t>
      </w:r>
      <w:r w:rsidR="008D542E">
        <w:t xml:space="preserve">an increased risk </w:t>
      </w:r>
      <w:r w:rsidR="00134277">
        <w:t xml:space="preserve">similar to the Nygard study), and further that we would be able to detect a </w:t>
      </w:r>
      <w:r w:rsidRPr="007F7B1D">
        <w:t xml:space="preserve">statistically-significant </w:t>
      </w:r>
      <w:r w:rsidR="00F47F12">
        <w:t>odds ratio of 1.</w:t>
      </w:r>
      <w:r w:rsidR="004D457F">
        <w:t>8</w:t>
      </w:r>
      <w:r w:rsidRPr="007F7B1D">
        <w:t xml:space="preserve"> or greater</w:t>
      </w:r>
      <w:r w:rsidR="00943B98">
        <w:t xml:space="preserve"> </w:t>
      </w:r>
      <w:r w:rsidRPr="007F7B1D">
        <w:t>for AGI</w:t>
      </w:r>
      <w:r>
        <w:t xml:space="preserve"> </w:t>
      </w:r>
      <w:r w:rsidR="00696734">
        <w:t>within each</w:t>
      </w:r>
      <w:r w:rsidR="00134277">
        <w:t xml:space="preserve"> disinfectant type</w:t>
      </w:r>
      <w:r w:rsidR="00696734">
        <w:t xml:space="preserve"> subgroup</w:t>
      </w:r>
      <w:r w:rsidRPr="007F7B1D">
        <w:t xml:space="preserve">. </w:t>
      </w:r>
      <w:r w:rsidR="00F252BE">
        <w:t>Finding non-significantly elevated risks would suggest that additional research with additional precision and statistical power is needed.</w:t>
      </w:r>
    </w:p>
    <w:p w:rsidR="0042207C" w:rsidRDefault="0042207C" w:rsidP="0042207C">
      <w:pPr>
        <w:rPr>
          <w:b/>
          <w:bCs/>
        </w:rPr>
      </w:pPr>
    </w:p>
    <w:p w:rsidR="00FB120D" w:rsidRDefault="00FB120D" w:rsidP="0042207C">
      <w:pPr>
        <w:rPr>
          <w:b/>
          <w:bCs/>
        </w:rPr>
      </w:pPr>
    </w:p>
    <w:p w:rsidR="00515852" w:rsidRDefault="00515852" w:rsidP="00BD5AC5">
      <w:pPr>
        <w:ind w:left="-90"/>
        <w:rPr>
          <w:b/>
          <w:bCs/>
        </w:rPr>
      </w:pPr>
      <w:r>
        <w:rPr>
          <w:b/>
          <w:bCs/>
        </w:rPr>
        <w:t>Table B.1.2 – Power Calculations for Overall Study*</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
        <w:gridCol w:w="1486"/>
        <w:gridCol w:w="1170"/>
        <w:gridCol w:w="1530"/>
        <w:gridCol w:w="1440"/>
        <w:gridCol w:w="1440"/>
        <w:gridCol w:w="1710"/>
      </w:tblGrid>
      <w:tr w:rsidR="00515852" w:rsidTr="00FC4AB6">
        <w:tc>
          <w:tcPr>
            <w:tcW w:w="872" w:type="dxa"/>
            <w:tcBorders>
              <w:bottom w:val="single" w:sz="4" w:space="0" w:color="auto"/>
            </w:tcBorders>
          </w:tcPr>
          <w:p w:rsidR="00515852" w:rsidRDefault="00515852" w:rsidP="0042207C">
            <w:pPr>
              <w:rPr>
                <w:b/>
                <w:bCs/>
              </w:rPr>
            </w:pPr>
            <w:r>
              <w:rPr>
                <w:b/>
                <w:bCs/>
              </w:rPr>
              <w:t>Power</w:t>
            </w:r>
          </w:p>
        </w:tc>
        <w:tc>
          <w:tcPr>
            <w:tcW w:w="1486" w:type="dxa"/>
            <w:tcBorders>
              <w:bottom w:val="single" w:sz="4" w:space="0" w:color="auto"/>
            </w:tcBorders>
          </w:tcPr>
          <w:p w:rsidR="00515852" w:rsidRDefault="00515852" w:rsidP="0042207C">
            <w:pPr>
              <w:rPr>
                <w:b/>
                <w:bCs/>
              </w:rPr>
            </w:pPr>
            <w:r>
              <w:rPr>
                <w:b/>
                <w:bCs/>
              </w:rPr>
              <w:t>AGI Unexposed</w:t>
            </w:r>
          </w:p>
        </w:tc>
        <w:tc>
          <w:tcPr>
            <w:tcW w:w="1170" w:type="dxa"/>
            <w:tcBorders>
              <w:bottom w:val="single" w:sz="4" w:space="0" w:color="auto"/>
            </w:tcBorders>
          </w:tcPr>
          <w:p w:rsidR="00515852" w:rsidRDefault="00515852" w:rsidP="0042207C">
            <w:pPr>
              <w:rPr>
                <w:b/>
                <w:bCs/>
              </w:rPr>
            </w:pPr>
            <w:r>
              <w:rPr>
                <w:b/>
                <w:bCs/>
              </w:rPr>
              <w:t>AGI Exposed</w:t>
            </w:r>
          </w:p>
        </w:tc>
        <w:tc>
          <w:tcPr>
            <w:tcW w:w="1530" w:type="dxa"/>
            <w:tcBorders>
              <w:bottom w:val="single" w:sz="4" w:space="0" w:color="auto"/>
            </w:tcBorders>
          </w:tcPr>
          <w:p w:rsidR="00515852" w:rsidRDefault="00515852" w:rsidP="0042207C">
            <w:pPr>
              <w:rPr>
                <w:b/>
                <w:bCs/>
              </w:rPr>
            </w:pPr>
            <w:r>
              <w:rPr>
                <w:b/>
                <w:bCs/>
              </w:rPr>
              <w:t>Detectable Odds Ratio</w:t>
            </w:r>
          </w:p>
        </w:tc>
        <w:tc>
          <w:tcPr>
            <w:tcW w:w="1440" w:type="dxa"/>
            <w:tcBorders>
              <w:bottom w:val="single" w:sz="4" w:space="0" w:color="auto"/>
            </w:tcBorders>
          </w:tcPr>
          <w:p w:rsidR="00515852" w:rsidRDefault="00515852" w:rsidP="0042207C">
            <w:pPr>
              <w:rPr>
                <w:b/>
                <w:bCs/>
              </w:rPr>
            </w:pPr>
            <w:r>
              <w:rPr>
                <w:b/>
                <w:bCs/>
              </w:rPr>
              <w:t>Exposed Households</w:t>
            </w:r>
          </w:p>
        </w:tc>
        <w:tc>
          <w:tcPr>
            <w:tcW w:w="1440" w:type="dxa"/>
            <w:tcBorders>
              <w:bottom w:val="single" w:sz="4" w:space="0" w:color="auto"/>
            </w:tcBorders>
          </w:tcPr>
          <w:p w:rsidR="00515852" w:rsidRDefault="00515852" w:rsidP="0042207C">
            <w:pPr>
              <w:rPr>
                <w:b/>
                <w:bCs/>
              </w:rPr>
            </w:pPr>
            <w:r>
              <w:rPr>
                <w:b/>
                <w:bCs/>
              </w:rPr>
              <w:t>Unexposed Households</w:t>
            </w:r>
          </w:p>
        </w:tc>
        <w:tc>
          <w:tcPr>
            <w:tcW w:w="1710" w:type="dxa"/>
            <w:tcBorders>
              <w:bottom w:val="single" w:sz="4" w:space="0" w:color="auto"/>
            </w:tcBorders>
          </w:tcPr>
          <w:p w:rsidR="00515852" w:rsidRDefault="00515852" w:rsidP="0042207C">
            <w:pPr>
              <w:rPr>
                <w:b/>
                <w:bCs/>
              </w:rPr>
            </w:pPr>
            <w:r>
              <w:rPr>
                <w:b/>
                <w:bCs/>
              </w:rPr>
              <w:t>Unstratified Sample Size</w:t>
            </w:r>
          </w:p>
        </w:tc>
      </w:tr>
      <w:tr w:rsidR="00AB2C7A" w:rsidTr="004D457F">
        <w:tc>
          <w:tcPr>
            <w:tcW w:w="872" w:type="dxa"/>
            <w:tcBorders>
              <w:top w:val="single" w:sz="4" w:space="0" w:color="auto"/>
            </w:tcBorders>
            <w:shd w:val="clear" w:color="auto" w:fill="auto"/>
          </w:tcPr>
          <w:p w:rsidR="00AB2C7A" w:rsidRDefault="00AB2C7A" w:rsidP="0042207C">
            <w:pPr>
              <w:rPr>
                <w:b/>
                <w:bCs/>
              </w:rPr>
            </w:pPr>
            <w:r>
              <w:rPr>
                <w:b/>
                <w:bCs/>
              </w:rPr>
              <w:t>25%</w:t>
            </w:r>
          </w:p>
        </w:tc>
        <w:tc>
          <w:tcPr>
            <w:tcW w:w="1486" w:type="dxa"/>
            <w:tcBorders>
              <w:top w:val="single" w:sz="4" w:space="0" w:color="auto"/>
            </w:tcBorders>
            <w:shd w:val="clear" w:color="auto" w:fill="auto"/>
          </w:tcPr>
          <w:p w:rsidR="00AB2C7A" w:rsidRDefault="00AB2C7A" w:rsidP="0042207C">
            <w:pPr>
              <w:rPr>
                <w:b/>
                <w:bCs/>
              </w:rPr>
            </w:pPr>
            <w:r>
              <w:rPr>
                <w:b/>
                <w:bCs/>
              </w:rPr>
              <w:t>5%</w:t>
            </w:r>
          </w:p>
        </w:tc>
        <w:tc>
          <w:tcPr>
            <w:tcW w:w="1170" w:type="dxa"/>
            <w:tcBorders>
              <w:top w:val="single" w:sz="4" w:space="0" w:color="auto"/>
            </w:tcBorders>
            <w:shd w:val="clear" w:color="auto" w:fill="auto"/>
          </w:tcPr>
          <w:p w:rsidR="00AB2C7A" w:rsidRDefault="00AB2C7A" w:rsidP="00D5440B">
            <w:pPr>
              <w:rPr>
                <w:b/>
                <w:bCs/>
              </w:rPr>
            </w:pPr>
            <w:r>
              <w:rPr>
                <w:b/>
                <w:bCs/>
              </w:rPr>
              <w:t>6%</w:t>
            </w:r>
          </w:p>
        </w:tc>
        <w:tc>
          <w:tcPr>
            <w:tcW w:w="1530" w:type="dxa"/>
            <w:tcBorders>
              <w:top w:val="single" w:sz="4" w:space="0" w:color="auto"/>
            </w:tcBorders>
            <w:shd w:val="clear" w:color="auto" w:fill="auto"/>
          </w:tcPr>
          <w:p w:rsidR="00AB2C7A" w:rsidRDefault="00AB2C7A" w:rsidP="0042207C">
            <w:pPr>
              <w:rPr>
                <w:b/>
                <w:bCs/>
              </w:rPr>
            </w:pPr>
            <w:r>
              <w:rPr>
                <w:b/>
                <w:bCs/>
              </w:rPr>
              <w:t>1.2</w:t>
            </w:r>
          </w:p>
        </w:tc>
        <w:tc>
          <w:tcPr>
            <w:tcW w:w="1440" w:type="dxa"/>
            <w:tcBorders>
              <w:top w:val="single" w:sz="4" w:space="0" w:color="auto"/>
            </w:tcBorders>
            <w:shd w:val="clear" w:color="auto" w:fill="auto"/>
          </w:tcPr>
          <w:p w:rsidR="00AB2C7A" w:rsidRDefault="00AB2C7A" w:rsidP="0042207C">
            <w:pPr>
              <w:rPr>
                <w:b/>
                <w:bCs/>
              </w:rPr>
            </w:pPr>
            <w:r>
              <w:rPr>
                <w:b/>
                <w:bCs/>
              </w:rPr>
              <w:t>1,340</w:t>
            </w:r>
          </w:p>
        </w:tc>
        <w:tc>
          <w:tcPr>
            <w:tcW w:w="1440" w:type="dxa"/>
            <w:tcBorders>
              <w:top w:val="single" w:sz="4" w:space="0" w:color="auto"/>
            </w:tcBorders>
            <w:shd w:val="clear" w:color="auto" w:fill="auto"/>
          </w:tcPr>
          <w:p w:rsidR="00AB2C7A" w:rsidRDefault="00AB2C7A" w:rsidP="0042207C">
            <w:pPr>
              <w:rPr>
                <w:b/>
                <w:bCs/>
              </w:rPr>
            </w:pPr>
            <w:r>
              <w:rPr>
                <w:b/>
                <w:bCs/>
              </w:rPr>
              <w:t>2,680</w:t>
            </w:r>
          </w:p>
        </w:tc>
        <w:tc>
          <w:tcPr>
            <w:tcW w:w="1710" w:type="dxa"/>
            <w:tcBorders>
              <w:top w:val="single" w:sz="4" w:space="0" w:color="auto"/>
            </w:tcBorders>
            <w:shd w:val="clear" w:color="auto" w:fill="auto"/>
          </w:tcPr>
          <w:p w:rsidR="00AB2C7A" w:rsidRDefault="00AB2C7A" w:rsidP="0042207C">
            <w:pPr>
              <w:rPr>
                <w:b/>
                <w:bCs/>
              </w:rPr>
            </w:pPr>
            <w:r>
              <w:rPr>
                <w:b/>
                <w:bCs/>
              </w:rPr>
              <w:t>4,020</w:t>
            </w:r>
          </w:p>
        </w:tc>
      </w:tr>
      <w:tr w:rsidR="004D457F" w:rsidTr="00FC4AB6">
        <w:tc>
          <w:tcPr>
            <w:tcW w:w="872" w:type="dxa"/>
            <w:tcBorders>
              <w:top w:val="single" w:sz="4" w:space="0" w:color="auto"/>
            </w:tcBorders>
            <w:shd w:val="clear" w:color="auto" w:fill="auto"/>
          </w:tcPr>
          <w:p w:rsidR="004D457F" w:rsidRDefault="004D457F" w:rsidP="0042207C">
            <w:pPr>
              <w:rPr>
                <w:b/>
                <w:bCs/>
              </w:rPr>
            </w:pPr>
            <w:r>
              <w:rPr>
                <w:b/>
                <w:bCs/>
              </w:rPr>
              <w:t>67%</w:t>
            </w:r>
          </w:p>
        </w:tc>
        <w:tc>
          <w:tcPr>
            <w:tcW w:w="1486" w:type="dxa"/>
            <w:tcBorders>
              <w:top w:val="single" w:sz="4" w:space="0" w:color="auto"/>
            </w:tcBorders>
            <w:shd w:val="clear" w:color="auto" w:fill="auto"/>
          </w:tcPr>
          <w:p w:rsidR="004D457F" w:rsidRDefault="004D457F" w:rsidP="0042207C">
            <w:pPr>
              <w:rPr>
                <w:b/>
                <w:bCs/>
              </w:rPr>
            </w:pPr>
            <w:r>
              <w:rPr>
                <w:b/>
                <w:bCs/>
              </w:rPr>
              <w:t>5%</w:t>
            </w:r>
          </w:p>
        </w:tc>
        <w:tc>
          <w:tcPr>
            <w:tcW w:w="1170" w:type="dxa"/>
            <w:tcBorders>
              <w:top w:val="single" w:sz="4" w:space="0" w:color="auto"/>
            </w:tcBorders>
            <w:shd w:val="clear" w:color="auto" w:fill="auto"/>
          </w:tcPr>
          <w:p w:rsidR="004D457F" w:rsidRDefault="004D457F" w:rsidP="00D5440B">
            <w:pPr>
              <w:rPr>
                <w:b/>
                <w:bCs/>
              </w:rPr>
            </w:pPr>
            <w:r>
              <w:rPr>
                <w:b/>
                <w:bCs/>
              </w:rPr>
              <w:t>7%</w:t>
            </w:r>
          </w:p>
        </w:tc>
        <w:tc>
          <w:tcPr>
            <w:tcW w:w="1530" w:type="dxa"/>
            <w:tcBorders>
              <w:top w:val="single" w:sz="4" w:space="0" w:color="auto"/>
            </w:tcBorders>
            <w:shd w:val="clear" w:color="auto" w:fill="auto"/>
          </w:tcPr>
          <w:p w:rsidR="004D457F" w:rsidRDefault="004D457F" w:rsidP="0042207C">
            <w:pPr>
              <w:rPr>
                <w:b/>
                <w:bCs/>
              </w:rPr>
            </w:pPr>
            <w:r>
              <w:rPr>
                <w:b/>
                <w:bCs/>
              </w:rPr>
              <w:t>1.4</w:t>
            </w:r>
          </w:p>
        </w:tc>
        <w:tc>
          <w:tcPr>
            <w:tcW w:w="1440" w:type="dxa"/>
            <w:tcBorders>
              <w:top w:val="single" w:sz="4" w:space="0" w:color="auto"/>
            </w:tcBorders>
            <w:shd w:val="clear" w:color="auto" w:fill="auto"/>
          </w:tcPr>
          <w:p w:rsidR="004D457F" w:rsidRDefault="004D457F" w:rsidP="0042207C">
            <w:pPr>
              <w:rPr>
                <w:b/>
                <w:bCs/>
              </w:rPr>
            </w:pPr>
            <w:r>
              <w:rPr>
                <w:b/>
                <w:bCs/>
              </w:rPr>
              <w:t>1,340</w:t>
            </w:r>
          </w:p>
        </w:tc>
        <w:tc>
          <w:tcPr>
            <w:tcW w:w="1440" w:type="dxa"/>
            <w:tcBorders>
              <w:top w:val="single" w:sz="4" w:space="0" w:color="auto"/>
            </w:tcBorders>
            <w:shd w:val="clear" w:color="auto" w:fill="auto"/>
          </w:tcPr>
          <w:p w:rsidR="004D457F" w:rsidRDefault="004D457F" w:rsidP="0042207C">
            <w:pPr>
              <w:rPr>
                <w:b/>
                <w:bCs/>
              </w:rPr>
            </w:pPr>
            <w:r>
              <w:rPr>
                <w:b/>
                <w:bCs/>
              </w:rPr>
              <w:t>2,680</w:t>
            </w:r>
          </w:p>
        </w:tc>
        <w:tc>
          <w:tcPr>
            <w:tcW w:w="1710" w:type="dxa"/>
            <w:tcBorders>
              <w:top w:val="single" w:sz="4" w:space="0" w:color="auto"/>
            </w:tcBorders>
            <w:shd w:val="clear" w:color="auto" w:fill="auto"/>
          </w:tcPr>
          <w:p w:rsidR="004D457F" w:rsidRDefault="004D457F" w:rsidP="0042207C">
            <w:pPr>
              <w:rPr>
                <w:b/>
                <w:bCs/>
              </w:rPr>
            </w:pPr>
            <w:r>
              <w:rPr>
                <w:b/>
                <w:bCs/>
              </w:rPr>
              <w:t>4,020</w:t>
            </w:r>
          </w:p>
        </w:tc>
      </w:tr>
      <w:tr w:rsidR="004D457F" w:rsidTr="00FC4AB6">
        <w:tc>
          <w:tcPr>
            <w:tcW w:w="872" w:type="dxa"/>
            <w:shd w:val="clear" w:color="auto" w:fill="BFBFBF" w:themeFill="background1" w:themeFillShade="BF"/>
          </w:tcPr>
          <w:p w:rsidR="004D457F" w:rsidRDefault="004D457F" w:rsidP="0042207C">
            <w:pPr>
              <w:rPr>
                <w:b/>
                <w:bCs/>
              </w:rPr>
            </w:pPr>
            <w:r>
              <w:rPr>
                <w:b/>
                <w:bCs/>
              </w:rPr>
              <w:t>93%</w:t>
            </w:r>
          </w:p>
        </w:tc>
        <w:tc>
          <w:tcPr>
            <w:tcW w:w="1486" w:type="dxa"/>
            <w:shd w:val="clear" w:color="auto" w:fill="BFBFBF" w:themeFill="background1" w:themeFillShade="BF"/>
          </w:tcPr>
          <w:p w:rsidR="004D457F" w:rsidRDefault="004D457F" w:rsidP="0042207C">
            <w:pPr>
              <w:rPr>
                <w:b/>
                <w:bCs/>
              </w:rPr>
            </w:pPr>
            <w:r>
              <w:rPr>
                <w:b/>
                <w:bCs/>
              </w:rPr>
              <w:t>5%</w:t>
            </w:r>
          </w:p>
        </w:tc>
        <w:tc>
          <w:tcPr>
            <w:tcW w:w="1170" w:type="dxa"/>
            <w:shd w:val="clear" w:color="auto" w:fill="BFBFBF" w:themeFill="background1" w:themeFillShade="BF"/>
          </w:tcPr>
          <w:p w:rsidR="004D457F" w:rsidRDefault="00D5440B" w:rsidP="0042207C">
            <w:pPr>
              <w:rPr>
                <w:b/>
                <w:bCs/>
              </w:rPr>
            </w:pPr>
            <w:r>
              <w:rPr>
                <w:b/>
                <w:bCs/>
              </w:rPr>
              <w:t>8</w:t>
            </w:r>
            <w:r w:rsidR="004D457F">
              <w:rPr>
                <w:b/>
                <w:bCs/>
              </w:rPr>
              <w:t>%</w:t>
            </w:r>
          </w:p>
        </w:tc>
        <w:tc>
          <w:tcPr>
            <w:tcW w:w="1530" w:type="dxa"/>
            <w:shd w:val="clear" w:color="auto" w:fill="BFBFBF" w:themeFill="background1" w:themeFillShade="BF"/>
          </w:tcPr>
          <w:p w:rsidR="004D457F" w:rsidRDefault="004D457F" w:rsidP="0042207C">
            <w:pPr>
              <w:rPr>
                <w:b/>
                <w:bCs/>
              </w:rPr>
            </w:pPr>
            <w:r>
              <w:rPr>
                <w:b/>
                <w:bCs/>
              </w:rPr>
              <w:t>1.6</w:t>
            </w:r>
          </w:p>
        </w:tc>
        <w:tc>
          <w:tcPr>
            <w:tcW w:w="1440" w:type="dxa"/>
            <w:shd w:val="clear" w:color="auto" w:fill="BFBFBF" w:themeFill="background1" w:themeFillShade="BF"/>
          </w:tcPr>
          <w:p w:rsidR="004D457F" w:rsidRDefault="004D457F" w:rsidP="0042207C">
            <w:pPr>
              <w:rPr>
                <w:b/>
                <w:bCs/>
              </w:rPr>
            </w:pPr>
            <w:r>
              <w:rPr>
                <w:b/>
                <w:bCs/>
              </w:rPr>
              <w:t>1,340</w:t>
            </w:r>
          </w:p>
        </w:tc>
        <w:tc>
          <w:tcPr>
            <w:tcW w:w="1440" w:type="dxa"/>
            <w:shd w:val="clear" w:color="auto" w:fill="BFBFBF" w:themeFill="background1" w:themeFillShade="BF"/>
          </w:tcPr>
          <w:p w:rsidR="004D457F" w:rsidRDefault="004D457F" w:rsidP="0042207C">
            <w:pPr>
              <w:rPr>
                <w:b/>
                <w:bCs/>
              </w:rPr>
            </w:pPr>
            <w:r>
              <w:rPr>
                <w:b/>
                <w:bCs/>
              </w:rPr>
              <w:t>2,680</w:t>
            </w:r>
          </w:p>
        </w:tc>
        <w:tc>
          <w:tcPr>
            <w:tcW w:w="1710" w:type="dxa"/>
            <w:shd w:val="clear" w:color="auto" w:fill="BFBFBF" w:themeFill="background1" w:themeFillShade="BF"/>
          </w:tcPr>
          <w:p w:rsidR="004D457F" w:rsidRDefault="004D457F" w:rsidP="0042207C">
            <w:pPr>
              <w:rPr>
                <w:b/>
                <w:bCs/>
              </w:rPr>
            </w:pPr>
            <w:r>
              <w:rPr>
                <w:b/>
                <w:bCs/>
              </w:rPr>
              <w:t>4,020</w:t>
            </w:r>
          </w:p>
        </w:tc>
      </w:tr>
      <w:tr w:rsidR="004D457F" w:rsidTr="00515852">
        <w:tc>
          <w:tcPr>
            <w:tcW w:w="872" w:type="dxa"/>
          </w:tcPr>
          <w:p w:rsidR="004D457F" w:rsidRDefault="004D457F" w:rsidP="0042207C">
            <w:pPr>
              <w:rPr>
                <w:b/>
                <w:bCs/>
              </w:rPr>
            </w:pPr>
            <w:r>
              <w:rPr>
                <w:b/>
                <w:bCs/>
              </w:rPr>
              <w:t>99%</w:t>
            </w:r>
          </w:p>
        </w:tc>
        <w:tc>
          <w:tcPr>
            <w:tcW w:w="1486" w:type="dxa"/>
          </w:tcPr>
          <w:p w:rsidR="004D457F" w:rsidRDefault="004D457F" w:rsidP="0042207C">
            <w:pPr>
              <w:rPr>
                <w:b/>
                <w:bCs/>
              </w:rPr>
            </w:pPr>
            <w:r>
              <w:rPr>
                <w:b/>
                <w:bCs/>
              </w:rPr>
              <w:t>5%</w:t>
            </w:r>
          </w:p>
        </w:tc>
        <w:tc>
          <w:tcPr>
            <w:tcW w:w="1170" w:type="dxa"/>
          </w:tcPr>
          <w:p w:rsidR="004D457F" w:rsidRDefault="00D5440B" w:rsidP="0042207C">
            <w:pPr>
              <w:rPr>
                <w:b/>
                <w:bCs/>
              </w:rPr>
            </w:pPr>
            <w:r>
              <w:rPr>
                <w:b/>
                <w:bCs/>
              </w:rPr>
              <w:t>9</w:t>
            </w:r>
            <w:r w:rsidR="004D457F">
              <w:rPr>
                <w:b/>
                <w:bCs/>
              </w:rPr>
              <w:t>%</w:t>
            </w:r>
          </w:p>
        </w:tc>
        <w:tc>
          <w:tcPr>
            <w:tcW w:w="1530" w:type="dxa"/>
          </w:tcPr>
          <w:p w:rsidR="004D457F" w:rsidRDefault="004D457F" w:rsidP="0042207C">
            <w:pPr>
              <w:rPr>
                <w:b/>
                <w:bCs/>
              </w:rPr>
            </w:pPr>
            <w:r>
              <w:rPr>
                <w:b/>
                <w:bCs/>
              </w:rPr>
              <w:t>1.8</w:t>
            </w:r>
          </w:p>
        </w:tc>
        <w:tc>
          <w:tcPr>
            <w:tcW w:w="1440" w:type="dxa"/>
          </w:tcPr>
          <w:p w:rsidR="004D457F" w:rsidRDefault="004D457F" w:rsidP="0042207C">
            <w:pPr>
              <w:rPr>
                <w:b/>
                <w:bCs/>
              </w:rPr>
            </w:pPr>
            <w:r>
              <w:rPr>
                <w:b/>
                <w:bCs/>
              </w:rPr>
              <w:t>1,340</w:t>
            </w:r>
          </w:p>
        </w:tc>
        <w:tc>
          <w:tcPr>
            <w:tcW w:w="1440" w:type="dxa"/>
          </w:tcPr>
          <w:p w:rsidR="004D457F" w:rsidRDefault="004D457F" w:rsidP="0042207C">
            <w:pPr>
              <w:rPr>
                <w:b/>
                <w:bCs/>
              </w:rPr>
            </w:pPr>
            <w:r>
              <w:rPr>
                <w:b/>
                <w:bCs/>
              </w:rPr>
              <w:t>2,680</w:t>
            </w:r>
          </w:p>
        </w:tc>
        <w:tc>
          <w:tcPr>
            <w:tcW w:w="1710" w:type="dxa"/>
          </w:tcPr>
          <w:p w:rsidR="004D457F" w:rsidRDefault="004D457F" w:rsidP="0042207C">
            <w:pPr>
              <w:rPr>
                <w:b/>
                <w:bCs/>
              </w:rPr>
            </w:pPr>
            <w:r>
              <w:rPr>
                <w:b/>
                <w:bCs/>
              </w:rPr>
              <w:t>4,020</w:t>
            </w:r>
          </w:p>
        </w:tc>
      </w:tr>
      <w:tr w:rsidR="004D457F" w:rsidTr="00515852">
        <w:tc>
          <w:tcPr>
            <w:tcW w:w="872" w:type="dxa"/>
            <w:tcBorders>
              <w:bottom w:val="single" w:sz="4" w:space="0" w:color="auto"/>
            </w:tcBorders>
          </w:tcPr>
          <w:p w:rsidR="004D457F" w:rsidRDefault="004D457F" w:rsidP="0042207C">
            <w:pPr>
              <w:rPr>
                <w:b/>
                <w:bCs/>
              </w:rPr>
            </w:pPr>
            <w:r>
              <w:rPr>
                <w:b/>
                <w:bCs/>
              </w:rPr>
              <w:t>100%</w:t>
            </w:r>
          </w:p>
        </w:tc>
        <w:tc>
          <w:tcPr>
            <w:tcW w:w="1486" w:type="dxa"/>
            <w:tcBorders>
              <w:bottom w:val="single" w:sz="4" w:space="0" w:color="auto"/>
            </w:tcBorders>
          </w:tcPr>
          <w:p w:rsidR="004D457F" w:rsidRDefault="004D457F" w:rsidP="0042207C">
            <w:pPr>
              <w:rPr>
                <w:b/>
                <w:bCs/>
              </w:rPr>
            </w:pPr>
            <w:r>
              <w:rPr>
                <w:b/>
                <w:bCs/>
              </w:rPr>
              <w:t>5%</w:t>
            </w:r>
          </w:p>
        </w:tc>
        <w:tc>
          <w:tcPr>
            <w:tcW w:w="1170" w:type="dxa"/>
            <w:tcBorders>
              <w:bottom w:val="single" w:sz="4" w:space="0" w:color="auto"/>
            </w:tcBorders>
          </w:tcPr>
          <w:p w:rsidR="004D457F" w:rsidRDefault="00D5440B" w:rsidP="0042207C">
            <w:pPr>
              <w:rPr>
                <w:b/>
                <w:bCs/>
              </w:rPr>
            </w:pPr>
            <w:r>
              <w:rPr>
                <w:b/>
                <w:bCs/>
              </w:rPr>
              <w:t>10</w:t>
            </w:r>
            <w:r w:rsidR="004D457F">
              <w:rPr>
                <w:b/>
                <w:bCs/>
              </w:rPr>
              <w:t>%</w:t>
            </w:r>
          </w:p>
        </w:tc>
        <w:tc>
          <w:tcPr>
            <w:tcW w:w="1530" w:type="dxa"/>
            <w:tcBorders>
              <w:bottom w:val="single" w:sz="4" w:space="0" w:color="auto"/>
            </w:tcBorders>
          </w:tcPr>
          <w:p w:rsidR="004D457F" w:rsidRDefault="004D457F" w:rsidP="0042207C">
            <w:pPr>
              <w:rPr>
                <w:b/>
                <w:bCs/>
              </w:rPr>
            </w:pPr>
            <w:r>
              <w:rPr>
                <w:b/>
                <w:bCs/>
              </w:rPr>
              <w:t>2.0</w:t>
            </w:r>
          </w:p>
        </w:tc>
        <w:tc>
          <w:tcPr>
            <w:tcW w:w="1440" w:type="dxa"/>
            <w:tcBorders>
              <w:bottom w:val="single" w:sz="4" w:space="0" w:color="auto"/>
            </w:tcBorders>
          </w:tcPr>
          <w:p w:rsidR="004D457F" w:rsidRDefault="004D457F" w:rsidP="0042207C">
            <w:pPr>
              <w:rPr>
                <w:b/>
                <w:bCs/>
              </w:rPr>
            </w:pPr>
            <w:r>
              <w:rPr>
                <w:b/>
                <w:bCs/>
              </w:rPr>
              <w:t>1,340</w:t>
            </w:r>
          </w:p>
        </w:tc>
        <w:tc>
          <w:tcPr>
            <w:tcW w:w="1440" w:type="dxa"/>
            <w:tcBorders>
              <w:bottom w:val="single" w:sz="4" w:space="0" w:color="auto"/>
            </w:tcBorders>
          </w:tcPr>
          <w:p w:rsidR="004D457F" w:rsidRDefault="004D457F" w:rsidP="0042207C">
            <w:pPr>
              <w:rPr>
                <w:b/>
                <w:bCs/>
              </w:rPr>
            </w:pPr>
            <w:r>
              <w:rPr>
                <w:b/>
                <w:bCs/>
              </w:rPr>
              <w:t>2,680</w:t>
            </w:r>
          </w:p>
        </w:tc>
        <w:tc>
          <w:tcPr>
            <w:tcW w:w="1710" w:type="dxa"/>
            <w:tcBorders>
              <w:bottom w:val="single" w:sz="4" w:space="0" w:color="auto"/>
            </w:tcBorders>
          </w:tcPr>
          <w:p w:rsidR="004D457F" w:rsidRDefault="004D457F" w:rsidP="0042207C">
            <w:pPr>
              <w:rPr>
                <w:b/>
                <w:bCs/>
              </w:rPr>
            </w:pPr>
            <w:r>
              <w:rPr>
                <w:b/>
                <w:bCs/>
              </w:rPr>
              <w:t>4,020</w:t>
            </w:r>
          </w:p>
        </w:tc>
      </w:tr>
    </w:tbl>
    <w:p w:rsidR="00515852" w:rsidRDefault="00515852" w:rsidP="0042207C">
      <w:pPr>
        <w:rPr>
          <w:sz w:val="20"/>
          <w:szCs w:val="20"/>
        </w:rPr>
      </w:pPr>
      <w:r w:rsidRPr="00515852">
        <w:rPr>
          <w:bCs/>
          <w:sz w:val="20"/>
          <w:szCs w:val="20"/>
        </w:rPr>
        <w:t>*Assumes an event size distribution of 15 small events (</w:t>
      </w:r>
      <w:r w:rsidR="004D457F">
        <w:rPr>
          <w:bCs/>
          <w:sz w:val="20"/>
          <w:szCs w:val="20"/>
        </w:rPr>
        <w:t xml:space="preserve">at least </w:t>
      </w:r>
      <w:r w:rsidR="009C4D38">
        <w:rPr>
          <w:bCs/>
          <w:sz w:val="20"/>
          <w:szCs w:val="20"/>
        </w:rPr>
        <w:t>6</w:t>
      </w:r>
      <w:r w:rsidR="004D457F">
        <w:rPr>
          <w:bCs/>
          <w:sz w:val="20"/>
          <w:szCs w:val="20"/>
        </w:rPr>
        <w:t xml:space="preserve"> affected</w:t>
      </w:r>
      <w:r w:rsidRPr="00515852">
        <w:rPr>
          <w:bCs/>
          <w:sz w:val="20"/>
          <w:szCs w:val="20"/>
        </w:rPr>
        <w:t xml:space="preserve"> households</w:t>
      </w:r>
      <w:r w:rsidR="004D457F">
        <w:rPr>
          <w:bCs/>
          <w:sz w:val="20"/>
          <w:szCs w:val="20"/>
        </w:rPr>
        <w:t xml:space="preserve"> respond</w:t>
      </w:r>
      <w:r w:rsidRPr="00515852">
        <w:rPr>
          <w:bCs/>
          <w:sz w:val="20"/>
          <w:szCs w:val="20"/>
        </w:rPr>
        <w:t xml:space="preserve">), </w:t>
      </w:r>
      <w:r w:rsidR="009C4D38">
        <w:rPr>
          <w:sz w:val="20"/>
          <w:szCs w:val="20"/>
        </w:rPr>
        <w:t>35 medium events (</w:t>
      </w:r>
      <w:r w:rsidR="004D457F">
        <w:rPr>
          <w:sz w:val="20"/>
          <w:szCs w:val="20"/>
        </w:rPr>
        <w:t xml:space="preserve">at least </w:t>
      </w:r>
      <w:r w:rsidR="009C4D38">
        <w:rPr>
          <w:sz w:val="20"/>
          <w:szCs w:val="20"/>
        </w:rPr>
        <w:t>22</w:t>
      </w:r>
      <w:r w:rsidR="004D457F">
        <w:rPr>
          <w:sz w:val="20"/>
          <w:szCs w:val="20"/>
        </w:rPr>
        <w:t xml:space="preserve"> affected</w:t>
      </w:r>
      <w:r w:rsidRPr="00515852">
        <w:rPr>
          <w:sz w:val="20"/>
          <w:szCs w:val="20"/>
        </w:rPr>
        <w:t xml:space="preserve"> households</w:t>
      </w:r>
      <w:r w:rsidR="004D457F">
        <w:rPr>
          <w:sz w:val="20"/>
          <w:szCs w:val="20"/>
        </w:rPr>
        <w:t xml:space="preserve"> respond</w:t>
      </w:r>
      <w:r w:rsidRPr="00515852">
        <w:rPr>
          <w:sz w:val="20"/>
          <w:szCs w:val="20"/>
        </w:rPr>
        <w:t>), a</w:t>
      </w:r>
      <w:r w:rsidR="009C4D38">
        <w:rPr>
          <w:sz w:val="20"/>
          <w:szCs w:val="20"/>
        </w:rPr>
        <w:t>nd 15 large events (</w:t>
      </w:r>
      <w:r w:rsidR="004D457F">
        <w:rPr>
          <w:sz w:val="20"/>
          <w:szCs w:val="20"/>
        </w:rPr>
        <w:t xml:space="preserve">at least </w:t>
      </w:r>
      <w:r w:rsidR="009C4D38">
        <w:rPr>
          <w:sz w:val="20"/>
          <w:szCs w:val="20"/>
        </w:rPr>
        <w:t>32</w:t>
      </w:r>
      <w:r w:rsidR="004D457F">
        <w:rPr>
          <w:sz w:val="20"/>
          <w:szCs w:val="20"/>
        </w:rPr>
        <w:t xml:space="preserve"> affected</w:t>
      </w:r>
      <w:r w:rsidRPr="00515852">
        <w:rPr>
          <w:sz w:val="20"/>
          <w:szCs w:val="20"/>
        </w:rPr>
        <w:t xml:space="preserve"> households</w:t>
      </w:r>
      <w:r w:rsidR="004D457F">
        <w:rPr>
          <w:sz w:val="20"/>
          <w:szCs w:val="20"/>
        </w:rPr>
        <w:t xml:space="preserve"> respond</w:t>
      </w:r>
      <w:r w:rsidRPr="00515852">
        <w:rPr>
          <w:sz w:val="20"/>
          <w:szCs w:val="20"/>
        </w:rPr>
        <w:t>)</w:t>
      </w:r>
      <w:r w:rsidR="00943B98">
        <w:rPr>
          <w:sz w:val="20"/>
          <w:szCs w:val="20"/>
        </w:rPr>
        <w:t xml:space="preserve"> for the multi-site study</w:t>
      </w:r>
      <w:r w:rsidR="00C732B5">
        <w:rPr>
          <w:sz w:val="20"/>
          <w:szCs w:val="20"/>
        </w:rPr>
        <w:t>;</w:t>
      </w:r>
      <w:r>
        <w:rPr>
          <w:sz w:val="20"/>
          <w:szCs w:val="20"/>
        </w:rPr>
        <w:t xml:space="preserve"> Assumes 2:1 sampling of unexposed to exposed households</w:t>
      </w:r>
      <w:r w:rsidR="00D5440B">
        <w:rPr>
          <w:sz w:val="20"/>
          <w:szCs w:val="20"/>
        </w:rPr>
        <w:t>, and a similar proportion of responding households in the unexposed areas</w:t>
      </w:r>
      <w:r>
        <w:rPr>
          <w:sz w:val="20"/>
          <w:szCs w:val="20"/>
        </w:rPr>
        <w:t xml:space="preserve">. </w:t>
      </w:r>
    </w:p>
    <w:p w:rsidR="00FB120D" w:rsidRPr="009C4D38" w:rsidRDefault="00FB120D" w:rsidP="0042207C">
      <w:pPr>
        <w:rPr>
          <w:bCs/>
          <w:sz w:val="20"/>
          <w:szCs w:val="20"/>
        </w:rPr>
      </w:pPr>
    </w:p>
    <w:p w:rsidR="00901EC9" w:rsidRDefault="0042207C" w:rsidP="0042207C">
      <w:r w:rsidRPr="007F7B1D">
        <w:t>If we recruit five utilities</w:t>
      </w:r>
      <w:r w:rsidR="003E30D5">
        <w:t xml:space="preserve"> for the multi-site study</w:t>
      </w:r>
      <w:r w:rsidRPr="007F7B1D">
        <w:t>, we would need, on average, approximately one</w:t>
      </w:r>
      <w:r w:rsidR="00B24B23">
        <w:t xml:space="preserve"> to two</w:t>
      </w:r>
      <w:r w:rsidRPr="007F7B1D">
        <w:t xml:space="preserve"> low pressure event</w:t>
      </w:r>
      <w:r w:rsidR="00B24B23">
        <w:t>s</w:t>
      </w:r>
      <w:r w:rsidRPr="007F7B1D">
        <w:t xml:space="preserve"> per month per utility</w:t>
      </w:r>
      <w:r w:rsidR="00150B3D">
        <w:t xml:space="preserve">. </w:t>
      </w:r>
      <w:r w:rsidR="00150B3D">
        <w:rPr>
          <w:rFonts w:cstheme="minorHAnsi"/>
          <w:szCs w:val="24"/>
        </w:rPr>
        <w:t xml:space="preserve">However, </w:t>
      </w:r>
      <w:r w:rsidR="00150B3D" w:rsidRPr="00374382">
        <w:rPr>
          <w:rFonts w:cstheme="minorHAnsi"/>
          <w:szCs w:val="24"/>
        </w:rPr>
        <w:t xml:space="preserve">many low pressure events affect smaller numbers of households, </w:t>
      </w:r>
      <w:r w:rsidR="00150B3D">
        <w:rPr>
          <w:rFonts w:cstheme="minorHAnsi"/>
          <w:szCs w:val="24"/>
        </w:rPr>
        <w:t>thus</w:t>
      </w:r>
      <w:r w:rsidR="00150B3D" w:rsidRPr="00374382">
        <w:rPr>
          <w:rFonts w:cstheme="minorHAnsi"/>
          <w:szCs w:val="24"/>
        </w:rPr>
        <w:t xml:space="preserve"> the number of households invited to participate will vary based on the number of utility connections affected</w:t>
      </w:r>
      <w:r w:rsidR="00150B3D">
        <w:rPr>
          <w:rFonts w:cstheme="minorHAnsi"/>
          <w:szCs w:val="24"/>
        </w:rPr>
        <w:t xml:space="preserve"> (Table B.1.3)</w:t>
      </w:r>
      <w:r w:rsidR="00150B3D" w:rsidRPr="00B86F88">
        <w:rPr>
          <w:rFonts w:cstheme="minorHAnsi"/>
          <w:szCs w:val="24"/>
        </w:rPr>
        <w:t>.</w:t>
      </w:r>
      <w:r w:rsidR="00150B3D">
        <w:rPr>
          <w:rFonts w:cstheme="minorHAnsi"/>
          <w:szCs w:val="24"/>
        </w:rPr>
        <w:t xml:space="preserve"> Using the estimated event size distribution, which was informed by our pilot utility, we estimate an approximate sample size of </w:t>
      </w:r>
      <w:r w:rsidR="009C4D38">
        <w:rPr>
          <w:rFonts w:cstheme="minorHAnsi"/>
          <w:szCs w:val="24"/>
        </w:rPr>
        <w:t>4,050</w:t>
      </w:r>
      <w:r w:rsidR="00C732B5">
        <w:rPr>
          <w:rFonts w:cstheme="minorHAnsi"/>
          <w:szCs w:val="24"/>
        </w:rPr>
        <w:t xml:space="preserve"> households in the multi-site</w:t>
      </w:r>
      <w:r w:rsidR="00150B3D">
        <w:rPr>
          <w:rFonts w:cstheme="minorHAnsi"/>
          <w:szCs w:val="24"/>
        </w:rPr>
        <w:t xml:space="preserve"> study</w:t>
      </w:r>
      <w:r w:rsidR="00C732B5">
        <w:rPr>
          <w:rFonts w:cstheme="minorHAnsi"/>
          <w:szCs w:val="24"/>
        </w:rPr>
        <w:t xml:space="preserve"> and 378 households in the pilot study</w:t>
      </w:r>
      <w:r w:rsidR="00150B3D">
        <w:rPr>
          <w:rFonts w:cstheme="minorHAnsi"/>
          <w:szCs w:val="24"/>
        </w:rPr>
        <w:t xml:space="preserve"> (Table B.1.3).</w:t>
      </w:r>
      <w:r w:rsidR="00150B3D" w:rsidRPr="00B86F88">
        <w:rPr>
          <w:rFonts w:cstheme="minorHAnsi"/>
          <w:szCs w:val="24"/>
        </w:rPr>
        <w:t xml:space="preserve"> </w:t>
      </w:r>
      <w:r w:rsidRPr="007E0407">
        <w:t xml:space="preserve">Smaller utilities may have less than one event per month; however, we should still be able to achieve </w:t>
      </w:r>
      <w:r w:rsidRPr="00374382">
        <w:t>a minimum</w:t>
      </w:r>
      <w:r w:rsidRPr="007E0407">
        <w:t xml:space="preserve"> sample size of </w:t>
      </w:r>
      <w:r w:rsidR="009C4D38">
        <w:t xml:space="preserve">4,020 </w:t>
      </w:r>
      <w:r w:rsidR="00FB120D">
        <w:t>households</w:t>
      </w:r>
      <w:r w:rsidR="00FB120D" w:rsidRPr="007E0407">
        <w:t xml:space="preserve"> </w:t>
      </w:r>
      <w:r w:rsidRPr="007E0407">
        <w:t>because we anticipate that larger utilities will report more than one event per month (Table B.1.4).</w:t>
      </w:r>
    </w:p>
    <w:p w:rsidR="00FB120D" w:rsidRDefault="00FB120D" w:rsidP="0042207C"/>
    <w:p w:rsidR="00075BCE" w:rsidRPr="00BD5AC5" w:rsidRDefault="00075BCE" w:rsidP="00BD5AC5">
      <w:pPr>
        <w:ind w:left="-720"/>
        <w:rPr>
          <w:b/>
        </w:rPr>
      </w:pPr>
      <w:r w:rsidRPr="00BD5AC5">
        <w:rPr>
          <w:b/>
        </w:rPr>
        <w:t xml:space="preserve">Table B.1.3 – </w:t>
      </w:r>
      <w:r w:rsidR="00943B98" w:rsidRPr="00BD5AC5">
        <w:rPr>
          <w:b/>
        </w:rPr>
        <w:t>Distribution of low-pressure event size and number of expected enrolled households.</w:t>
      </w:r>
    </w:p>
    <w:tbl>
      <w:tblPr>
        <w:tblStyle w:val="TableGrid"/>
        <w:tblW w:w="9720" w:type="dxa"/>
        <w:tblInd w:w="-612" w:type="dxa"/>
        <w:tblLayout w:type="fixed"/>
        <w:tblLook w:val="04A0" w:firstRow="1" w:lastRow="0" w:firstColumn="1" w:lastColumn="0" w:noHBand="0" w:noVBand="1"/>
      </w:tblPr>
      <w:tblGrid>
        <w:gridCol w:w="1620"/>
        <w:gridCol w:w="270"/>
        <w:gridCol w:w="810"/>
        <w:gridCol w:w="1440"/>
        <w:gridCol w:w="1440"/>
        <w:gridCol w:w="1350"/>
        <w:gridCol w:w="1350"/>
        <w:gridCol w:w="1440"/>
      </w:tblGrid>
      <w:tr w:rsidR="00756D46" w:rsidRPr="009F66AC" w:rsidTr="009C4D38">
        <w:tc>
          <w:tcPr>
            <w:tcW w:w="1620" w:type="dxa"/>
            <w:tcBorders>
              <w:top w:val="nil"/>
              <w:left w:val="nil"/>
              <w:bottom w:val="single" w:sz="4" w:space="0" w:color="auto"/>
              <w:right w:val="nil"/>
            </w:tcBorders>
          </w:tcPr>
          <w:p w:rsidR="00991E75" w:rsidRPr="009F66AC" w:rsidRDefault="00991E75" w:rsidP="009F66AC">
            <w:pPr>
              <w:jc w:val="center"/>
              <w:rPr>
                <w:b/>
                <w:szCs w:val="24"/>
              </w:rPr>
            </w:pPr>
            <w:r w:rsidRPr="009F66AC">
              <w:rPr>
                <w:b/>
                <w:szCs w:val="24"/>
              </w:rPr>
              <w:t>Event type</w:t>
            </w:r>
          </w:p>
        </w:tc>
        <w:tc>
          <w:tcPr>
            <w:tcW w:w="1080" w:type="dxa"/>
            <w:gridSpan w:val="2"/>
            <w:tcBorders>
              <w:top w:val="nil"/>
              <w:left w:val="nil"/>
              <w:bottom w:val="single" w:sz="4" w:space="0" w:color="auto"/>
              <w:right w:val="nil"/>
            </w:tcBorders>
          </w:tcPr>
          <w:p w:rsidR="00991E75" w:rsidRPr="009F66AC" w:rsidRDefault="00991E75" w:rsidP="009F66AC">
            <w:pPr>
              <w:jc w:val="center"/>
              <w:rPr>
                <w:b/>
                <w:szCs w:val="24"/>
              </w:rPr>
            </w:pPr>
            <w:r w:rsidRPr="009F66AC">
              <w:rPr>
                <w:b/>
                <w:szCs w:val="24"/>
              </w:rPr>
              <w:t>Number of events</w:t>
            </w:r>
          </w:p>
        </w:tc>
        <w:tc>
          <w:tcPr>
            <w:tcW w:w="1440" w:type="dxa"/>
            <w:tcBorders>
              <w:top w:val="nil"/>
              <w:left w:val="nil"/>
              <w:bottom w:val="single" w:sz="4" w:space="0" w:color="auto"/>
              <w:right w:val="nil"/>
            </w:tcBorders>
          </w:tcPr>
          <w:p w:rsidR="00991E75" w:rsidRPr="009F66AC" w:rsidRDefault="00991E75" w:rsidP="009F66AC">
            <w:pPr>
              <w:jc w:val="center"/>
              <w:rPr>
                <w:b/>
                <w:szCs w:val="24"/>
              </w:rPr>
            </w:pPr>
            <w:r w:rsidRPr="009F66AC">
              <w:rPr>
                <w:b/>
                <w:szCs w:val="24"/>
              </w:rPr>
              <w:t>Exposed households/event</w:t>
            </w:r>
          </w:p>
        </w:tc>
        <w:tc>
          <w:tcPr>
            <w:tcW w:w="1440" w:type="dxa"/>
            <w:tcBorders>
              <w:top w:val="nil"/>
              <w:left w:val="nil"/>
              <w:bottom w:val="single" w:sz="4" w:space="0" w:color="auto"/>
              <w:right w:val="nil"/>
            </w:tcBorders>
          </w:tcPr>
          <w:p w:rsidR="00991E75" w:rsidRPr="009F66AC" w:rsidRDefault="00991E75" w:rsidP="009F66AC">
            <w:pPr>
              <w:jc w:val="center"/>
              <w:rPr>
                <w:b/>
                <w:szCs w:val="24"/>
              </w:rPr>
            </w:pPr>
            <w:r w:rsidRPr="009F66AC">
              <w:rPr>
                <w:b/>
                <w:szCs w:val="24"/>
              </w:rPr>
              <w:t>Unexposed households/event</w:t>
            </w:r>
          </w:p>
        </w:tc>
        <w:tc>
          <w:tcPr>
            <w:tcW w:w="1350" w:type="dxa"/>
            <w:tcBorders>
              <w:top w:val="nil"/>
              <w:left w:val="nil"/>
              <w:bottom w:val="single" w:sz="4" w:space="0" w:color="auto"/>
              <w:right w:val="nil"/>
            </w:tcBorders>
          </w:tcPr>
          <w:p w:rsidR="00991E75" w:rsidRPr="009F66AC" w:rsidRDefault="00991E75" w:rsidP="009F66AC">
            <w:pPr>
              <w:jc w:val="center"/>
              <w:rPr>
                <w:b/>
                <w:szCs w:val="24"/>
              </w:rPr>
            </w:pPr>
            <w:r w:rsidRPr="009F66AC">
              <w:rPr>
                <w:b/>
                <w:szCs w:val="24"/>
              </w:rPr>
              <w:t>Total exposed households</w:t>
            </w:r>
          </w:p>
        </w:tc>
        <w:tc>
          <w:tcPr>
            <w:tcW w:w="1350" w:type="dxa"/>
            <w:tcBorders>
              <w:top w:val="nil"/>
              <w:left w:val="nil"/>
              <w:bottom w:val="single" w:sz="4" w:space="0" w:color="auto"/>
              <w:right w:val="nil"/>
            </w:tcBorders>
          </w:tcPr>
          <w:p w:rsidR="00991E75" w:rsidRPr="009F66AC" w:rsidRDefault="00991E75" w:rsidP="009F66AC">
            <w:pPr>
              <w:jc w:val="center"/>
              <w:rPr>
                <w:b/>
                <w:szCs w:val="24"/>
              </w:rPr>
            </w:pPr>
            <w:r w:rsidRPr="009F66AC">
              <w:rPr>
                <w:b/>
                <w:szCs w:val="24"/>
              </w:rPr>
              <w:t>Total unexposed households</w:t>
            </w:r>
          </w:p>
        </w:tc>
        <w:tc>
          <w:tcPr>
            <w:tcW w:w="1440" w:type="dxa"/>
            <w:tcBorders>
              <w:top w:val="nil"/>
              <w:left w:val="nil"/>
              <w:bottom w:val="single" w:sz="4" w:space="0" w:color="auto"/>
              <w:right w:val="nil"/>
            </w:tcBorders>
          </w:tcPr>
          <w:p w:rsidR="00991E75" w:rsidRPr="009F66AC" w:rsidRDefault="00991E75" w:rsidP="009F66AC">
            <w:pPr>
              <w:jc w:val="center"/>
              <w:rPr>
                <w:b/>
                <w:szCs w:val="24"/>
              </w:rPr>
            </w:pPr>
            <w:r w:rsidRPr="009F66AC">
              <w:rPr>
                <w:b/>
                <w:szCs w:val="24"/>
              </w:rPr>
              <w:t>Total households</w:t>
            </w:r>
          </w:p>
        </w:tc>
      </w:tr>
      <w:tr w:rsidR="00C14C18" w:rsidRPr="009F66AC" w:rsidTr="009F66AC">
        <w:tc>
          <w:tcPr>
            <w:tcW w:w="9720" w:type="dxa"/>
            <w:gridSpan w:val="8"/>
            <w:tcBorders>
              <w:top w:val="single" w:sz="4" w:space="0" w:color="auto"/>
              <w:left w:val="nil"/>
              <w:bottom w:val="nil"/>
              <w:right w:val="nil"/>
            </w:tcBorders>
          </w:tcPr>
          <w:p w:rsidR="00C14C18" w:rsidRPr="009F66AC" w:rsidRDefault="00C14C18" w:rsidP="00C14C18">
            <w:pPr>
              <w:rPr>
                <w:szCs w:val="24"/>
              </w:rPr>
            </w:pPr>
            <w:r w:rsidRPr="009F66AC">
              <w:rPr>
                <w:szCs w:val="24"/>
              </w:rPr>
              <w:t>Multi-site study:</w:t>
            </w:r>
          </w:p>
        </w:tc>
      </w:tr>
      <w:tr w:rsidR="00756D46" w:rsidRPr="009F66AC" w:rsidTr="009C4D38">
        <w:trPr>
          <w:trHeight w:val="63"/>
        </w:trPr>
        <w:tc>
          <w:tcPr>
            <w:tcW w:w="1890" w:type="dxa"/>
            <w:gridSpan w:val="2"/>
            <w:tcBorders>
              <w:top w:val="nil"/>
              <w:left w:val="nil"/>
              <w:bottom w:val="nil"/>
              <w:right w:val="nil"/>
            </w:tcBorders>
          </w:tcPr>
          <w:p w:rsidR="00756D46" w:rsidRPr="009F66AC" w:rsidRDefault="00756D46" w:rsidP="0042207C">
            <w:pPr>
              <w:rPr>
                <w:szCs w:val="24"/>
              </w:rPr>
            </w:pPr>
          </w:p>
        </w:tc>
        <w:tc>
          <w:tcPr>
            <w:tcW w:w="810" w:type="dxa"/>
            <w:tcBorders>
              <w:top w:val="nil"/>
              <w:left w:val="nil"/>
              <w:bottom w:val="nil"/>
              <w:right w:val="nil"/>
            </w:tcBorders>
          </w:tcPr>
          <w:p w:rsidR="00756D46" w:rsidRPr="009F66AC" w:rsidRDefault="00756D46" w:rsidP="00991E75">
            <w:pPr>
              <w:jc w:val="right"/>
              <w:rPr>
                <w:szCs w:val="24"/>
              </w:rPr>
            </w:pPr>
          </w:p>
        </w:tc>
        <w:tc>
          <w:tcPr>
            <w:tcW w:w="1440" w:type="dxa"/>
            <w:tcBorders>
              <w:top w:val="nil"/>
              <w:left w:val="nil"/>
              <w:bottom w:val="nil"/>
              <w:right w:val="nil"/>
            </w:tcBorders>
          </w:tcPr>
          <w:p w:rsidR="00756D46" w:rsidRPr="009F66AC" w:rsidRDefault="00756D46" w:rsidP="00991E75">
            <w:pPr>
              <w:jc w:val="right"/>
              <w:rPr>
                <w:szCs w:val="24"/>
              </w:rPr>
            </w:pPr>
          </w:p>
        </w:tc>
        <w:tc>
          <w:tcPr>
            <w:tcW w:w="1440" w:type="dxa"/>
            <w:tcBorders>
              <w:top w:val="nil"/>
              <w:left w:val="nil"/>
              <w:bottom w:val="nil"/>
              <w:right w:val="nil"/>
            </w:tcBorders>
          </w:tcPr>
          <w:p w:rsidR="00756D46" w:rsidRPr="009F66AC" w:rsidRDefault="00756D46" w:rsidP="00991E75">
            <w:pPr>
              <w:jc w:val="right"/>
              <w:rPr>
                <w:szCs w:val="24"/>
              </w:rPr>
            </w:pPr>
          </w:p>
        </w:tc>
        <w:tc>
          <w:tcPr>
            <w:tcW w:w="1350" w:type="dxa"/>
            <w:tcBorders>
              <w:top w:val="nil"/>
              <w:left w:val="nil"/>
              <w:bottom w:val="nil"/>
              <w:right w:val="nil"/>
            </w:tcBorders>
          </w:tcPr>
          <w:p w:rsidR="00756D46" w:rsidRPr="009F66AC" w:rsidRDefault="00756D46" w:rsidP="00991E75">
            <w:pPr>
              <w:jc w:val="right"/>
              <w:rPr>
                <w:szCs w:val="24"/>
              </w:rPr>
            </w:pPr>
          </w:p>
        </w:tc>
        <w:tc>
          <w:tcPr>
            <w:tcW w:w="1350" w:type="dxa"/>
            <w:tcBorders>
              <w:top w:val="nil"/>
              <w:left w:val="nil"/>
              <w:bottom w:val="nil"/>
              <w:right w:val="nil"/>
            </w:tcBorders>
          </w:tcPr>
          <w:p w:rsidR="00756D46" w:rsidRPr="009F66AC" w:rsidRDefault="00756D46" w:rsidP="00991E75">
            <w:pPr>
              <w:jc w:val="right"/>
              <w:rPr>
                <w:szCs w:val="24"/>
              </w:rPr>
            </w:pPr>
          </w:p>
        </w:tc>
        <w:tc>
          <w:tcPr>
            <w:tcW w:w="1440" w:type="dxa"/>
            <w:tcBorders>
              <w:top w:val="nil"/>
              <w:left w:val="nil"/>
              <w:bottom w:val="nil"/>
              <w:right w:val="nil"/>
            </w:tcBorders>
          </w:tcPr>
          <w:p w:rsidR="00756D46" w:rsidRPr="009F66AC" w:rsidRDefault="00756D46" w:rsidP="00991E75">
            <w:pPr>
              <w:jc w:val="right"/>
              <w:rPr>
                <w:szCs w:val="24"/>
              </w:rPr>
            </w:pPr>
          </w:p>
        </w:tc>
      </w:tr>
      <w:tr w:rsidR="00756D46" w:rsidRPr="009F66AC" w:rsidTr="009C4D38">
        <w:tc>
          <w:tcPr>
            <w:tcW w:w="1890" w:type="dxa"/>
            <w:gridSpan w:val="2"/>
            <w:tcBorders>
              <w:top w:val="nil"/>
              <w:left w:val="nil"/>
              <w:bottom w:val="nil"/>
              <w:right w:val="nil"/>
            </w:tcBorders>
          </w:tcPr>
          <w:p w:rsidR="00991E75" w:rsidRPr="009F66AC" w:rsidRDefault="00C14C18" w:rsidP="0042207C">
            <w:pPr>
              <w:rPr>
                <w:szCs w:val="24"/>
              </w:rPr>
            </w:pPr>
            <w:r w:rsidRPr="009F66AC">
              <w:rPr>
                <w:szCs w:val="24"/>
              </w:rPr>
              <w:t xml:space="preserve">  </w:t>
            </w:r>
            <w:r w:rsidR="00991E75" w:rsidRPr="009F66AC">
              <w:rPr>
                <w:szCs w:val="24"/>
              </w:rPr>
              <w:t>Small</w:t>
            </w:r>
          </w:p>
        </w:tc>
        <w:tc>
          <w:tcPr>
            <w:tcW w:w="810" w:type="dxa"/>
            <w:tcBorders>
              <w:top w:val="nil"/>
              <w:left w:val="nil"/>
              <w:bottom w:val="nil"/>
              <w:right w:val="nil"/>
            </w:tcBorders>
          </w:tcPr>
          <w:p w:rsidR="00991E75" w:rsidRPr="009F66AC" w:rsidRDefault="00991E75" w:rsidP="009F66AC">
            <w:pPr>
              <w:jc w:val="right"/>
              <w:rPr>
                <w:szCs w:val="24"/>
              </w:rPr>
            </w:pPr>
            <w:r w:rsidRPr="009F66AC">
              <w:rPr>
                <w:szCs w:val="24"/>
              </w:rPr>
              <w:t>1</w:t>
            </w:r>
            <w:r w:rsidR="0020381E">
              <w:rPr>
                <w:szCs w:val="24"/>
              </w:rPr>
              <w:t>5</w:t>
            </w:r>
          </w:p>
        </w:tc>
        <w:tc>
          <w:tcPr>
            <w:tcW w:w="1440" w:type="dxa"/>
            <w:tcBorders>
              <w:top w:val="nil"/>
              <w:left w:val="nil"/>
              <w:bottom w:val="nil"/>
              <w:right w:val="nil"/>
            </w:tcBorders>
          </w:tcPr>
          <w:p w:rsidR="00991E75" w:rsidRPr="009F66AC" w:rsidRDefault="009C4D38" w:rsidP="00991E75">
            <w:pPr>
              <w:jc w:val="right"/>
              <w:rPr>
                <w:szCs w:val="24"/>
              </w:rPr>
            </w:pPr>
            <w:r>
              <w:rPr>
                <w:szCs w:val="24"/>
              </w:rPr>
              <w:t>6</w:t>
            </w:r>
          </w:p>
        </w:tc>
        <w:tc>
          <w:tcPr>
            <w:tcW w:w="1440" w:type="dxa"/>
            <w:tcBorders>
              <w:top w:val="nil"/>
              <w:left w:val="nil"/>
              <w:bottom w:val="nil"/>
              <w:right w:val="nil"/>
            </w:tcBorders>
          </w:tcPr>
          <w:p w:rsidR="00991E75" w:rsidRPr="009F66AC" w:rsidRDefault="009C4D38" w:rsidP="00991E75">
            <w:pPr>
              <w:jc w:val="right"/>
              <w:rPr>
                <w:szCs w:val="24"/>
              </w:rPr>
            </w:pPr>
            <w:r>
              <w:rPr>
                <w:szCs w:val="24"/>
              </w:rPr>
              <w:t>12</w:t>
            </w:r>
          </w:p>
        </w:tc>
        <w:tc>
          <w:tcPr>
            <w:tcW w:w="1350" w:type="dxa"/>
            <w:tcBorders>
              <w:top w:val="nil"/>
              <w:left w:val="nil"/>
              <w:bottom w:val="nil"/>
              <w:right w:val="nil"/>
            </w:tcBorders>
            <w:shd w:val="clear" w:color="auto" w:fill="FFFFFF" w:themeFill="background1"/>
          </w:tcPr>
          <w:p w:rsidR="00991E75" w:rsidRPr="009F66AC" w:rsidRDefault="009C4D38" w:rsidP="00991E75">
            <w:pPr>
              <w:jc w:val="right"/>
              <w:rPr>
                <w:szCs w:val="24"/>
              </w:rPr>
            </w:pPr>
            <w:r>
              <w:rPr>
                <w:szCs w:val="24"/>
              </w:rPr>
              <w:t>90</w:t>
            </w:r>
          </w:p>
        </w:tc>
        <w:tc>
          <w:tcPr>
            <w:tcW w:w="1350" w:type="dxa"/>
            <w:tcBorders>
              <w:top w:val="nil"/>
              <w:left w:val="nil"/>
              <w:bottom w:val="nil"/>
              <w:right w:val="nil"/>
            </w:tcBorders>
            <w:shd w:val="clear" w:color="auto" w:fill="auto"/>
          </w:tcPr>
          <w:p w:rsidR="00991E75" w:rsidRPr="009F66AC" w:rsidRDefault="009C4D38" w:rsidP="009F66AC">
            <w:pPr>
              <w:jc w:val="right"/>
              <w:rPr>
                <w:szCs w:val="24"/>
              </w:rPr>
            </w:pPr>
            <w:r>
              <w:rPr>
                <w:szCs w:val="24"/>
              </w:rPr>
              <w:t>180</w:t>
            </w:r>
          </w:p>
        </w:tc>
        <w:tc>
          <w:tcPr>
            <w:tcW w:w="1440" w:type="dxa"/>
            <w:tcBorders>
              <w:top w:val="nil"/>
              <w:left w:val="nil"/>
              <w:bottom w:val="nil"/>
              <w:right w:val="nil"/>
            </w:tcBorders>
            <w:shd w:val="clear" w:color="auto" w:fill="auto"/>
          </w:tcPr>
          <w:p w:rsidR="00991E75" w:rsidRPr="009F66AC" w:rsidRDefault="009C4D38" w:rsidP="00991E75">
            <w:pPr>
              <w:jc w:val="right"/>
              <w:rPr>
                <w:szCs w:val="24"/>
              </w:rPr>
            </w:pPr>
            <w:r>
              <w:rPr>
                <w:szCs w:val="24"/>
              </w:rPr>
              <w:t>270</w:t>
            </w:r>
          </w:p>
        </w:tc>
      </w:tr>
      <w:tr w:rsidR="00756D46" w:rsidRPr="009F66AC" w:rsidTr="009C4D38">
        <w:tc>
          <w:tcPr>
            <w:tcW w:w="1890" w:type="dxa"/>
            <w:gridSpan w:val="2"/>
            <w:tcBorders>
              <w:top w:val="nil"/>
              <w:left w:val="nil"/>
              <w:bottom w:val="nil"/>
              <w:right w:val="nil"/>
            </w:tcBorders>
          </w:tcPr>
          <w:p w:rsidR="00991E75" w:rsidRPr="009F66AC" w:rsidRDefault="00C14C18" w:rsidP="0042207C">
            <w:pPr>
              <w:rPr>
                <w:szCs w:val="24"/>
              </w:rPr>
            </w:pPr>
            <w:r w:rsidRPr="009F66AC">
              <w:rPr>
                <w:szCs w:val="24"/>
              </w:rPr>
              <w:t xml:space="preserve">  </w:t>
            </w:r>
            <w:r w:rsidR="00991E75" w:rsidRPr="009F66AC">
              <w:rPr>
                <w:szCs w:val="24"/>
              </w:rPr>
              <w:t>Medium</w:t>
            </w:r>
          </w:p>
        </w:tc>
        <w:tc>
          <w:tcPr>
            <w:tcW w:w="810" w:type="dxa"/>
            <w:tcBorders>
              <w:top w:val="nil"/>
              <w:left w:val="nil"/>
              <w:bottom w:val="nil"/>
              <w:right w:val="nil"/>
            </w:tcBorders>
          </w:tcPr>
          <w:p w:rsidR="00991E75" w:rsidRPr="009F66AC" w:rsidRDefault="00301F5A" w:rsidP="00991E75">
            <w:pPr>
              <w:jc w:val="right"/>
              <w:rPr>
                <w:szCs w:val="24"/>
              </w:rPr>
            </w:pPr>
            <w:r w:rsidRPr="009F66AC">
              <w:rPr>
                <w:szCs w:val="24"/>
              </w:rPr>
              <w:t>3</w:t>
            </w:r>
            <w:r w:rsidR="0020381E">
              <w:rPr>
                <w:szCs w:val="24"/>
              </w:rPr>
              <w:t>5</w:t>
            </w:r>
          </w:p>
        </w:tc>
        <w:tc>
          <w:tcPr>
            <w:tcW w:w="1440" w:type="dxa"/>
            <w:tcBorders>
              <w:top w:val="nil"/>
              <w:left w:val="nil"/>
              <w:bottom w:val="nil"/>
              <w:right w:val="nil"/>
            </w:tcBorders>
          </w:tcPr>
          <w:p w:rsidR="00991E75" w:rsidRPr="009F66AC" w:rsidRDefault="009C4D38" w:rsidP="00991E75">
            <w:pPr>
              <w:jc w:val="right"/>
              <w:rPr>
                <w:szCs w:val="24"/>
              </w:rPr>
            </w:pPr>
            <w:r>
              <w:rPr>
                <w:szCs w:val="24"/>
              </w:rPr>
              <w:t>22</w:t>
            </w:r>
          </w:p>
        </w:tc>
        <w:tc>
          <w:tcPr>
            <w:tcW w:w="1440" w:type="dxa"/>
            <w:tcBorders>
              <w:top w:val="nil"/>
              <w:left w:val="nil"/>
              <w:bottom w:val="nil"/>
              <w:right w:val="nil"/>
            </w:tcBorders>
          </w:tcPr>
          <w:p w:rsidR="00991E75" w:rsidRPr="009F66AC" w:rsidRDefault="009C4D38" w:rsidP="00991E75">
            <w:pPr>
              <w:jc w:val="right"/>
              <w:rPr>
                <w:szCs w:val="24"/>
              </w:rPr>
            </w:pPr>
            <w:r>
              <w:rPr>
                <w:szCs w:val="24"/>
              </w:rPr>
              <w:t>44</w:t>
            </w:r>
          </w:p>
        </w:tc>
        <w:tc>
          <w:tcPr>
            <w:tcW w:w="1350" w:type="dxa"/>
            <w:tcBorders>
              <w:top w:val="nil"/>
              <w:left w:val="nil"/>
              <w:bottom w:val="nil"/>
              <w:right w:val="nil"/>
            </w:tcBorders>
            <w:shd w:val="clear" w:color="auto" w:fill="FFFFFF" w:themeFill="background1"/>
          </w:tcPr>
          <w:p w:rsidR="00991E75" w:rsidRPr="009F66AC" w:rsidRDefault="009C4D38" w:rsidP="00991E75">
            <w:pPr>
              <w:jc w:val="right"/>
              <w:rPr>
                <w:szCs w:val="24"/>
              </w:rPr>
            </w:pPr>
            <w:r>
              <w:rPr>
                <w:szCs w:val="24"/>
              </w:rPr>
              <w:t>770</w:t>
            </w:r>
          </w:p>
        </w:tc>
        <w:tc>
          <w:tcPr>
            <w:tcW w:w="1350" w:type="dxa"/>
            <w:tcBorders>
              <w:top w:val="nil"/>
              <w:left w:val="nil"/>
              <w:bottom w:val="nil"/>
              <w:right w:val="nil"/>
            </w:tcBorders>
            <w:shd w:val="clear" w:color="auto" w:fill="auto"/>
          </w:tcPr>
          <w:p w:rsidR="00991E75" w:rsidRPr="009F66AC" w:rsidRDefault="009C4D38" w:rsidP="00991E75">
            <w:pPr>
              <w:jc w:val="right"/>
              <w:rPr>
                <w:szCs w:val="24"/>
              </w:rPr>
            </w:pPr>
            <w:r>
              <w:rPr>
                <w:szCs w:val="24"/>
              </w:rPr>
              <w:t>1,540</w:t>
            </w:r>
          </w:p>
        </w:tc>
        <w:tc>
          <w:tcPr>
            <w:tcW w:w="1440" w:type="dxa"/>
            <w:tcBorders>
              <w:top w:val="nil"/>
              <w:left w:val="nil"/>
              <w:bottom w:val="nil"/>
              <w:right w:val="nil"/>
            </w:tcBorders>
            <w:shd w:val="clear" w:color="auto" w:fill="auto"/>
          </w:tcPr>
          <w:p w:rsidR="00991E75" w:rsidRPr="009F66AC" w:rsidRDefault="009C4D38" w:rsidP="00991E75">
            <w:pPr>
              <w:jc w:val="right"/>
              <w:rPr>
                <w:szCs w:val="24"/>
              </w:rPr>
            </w:pPr>
            <w:r>
              <w:rPr>
                <w:szCs w:val="24"/>
              </w:rPr>
              <w:t>2,310</w:t>
            </w:r>
          </w:p>
        </w:tc>
      </w:tr>
      <w:tr w:rsidR="00756D46" w:rsidRPr="009F66AC" w:rsidTr="009C4D38">
        <w:tc>
          <w:tcPr>
            <w:tcW w:w="1890" w:type="dxa"/>
            <w:gridSpan w:val="2"/>
            <w:tcBorders>
              <w:top w:val="nil"/>
              <w:left w:val="nil"/>
              <w:bottom w:val="nil"/>
              <w:right w:val="nil"/>
            </w:tcBorders>
          </w:tcPr>
          <w:p w:rsidR="00991E75" w:rsidRPr="009F66AC" w:rsidRDefault="00C14C18" w:rsidP="0042207C">
            <w:pPr>
              <w:rPr>
                <w:szCs w:val="24"/>
              </w:rPr>
            </w:pPr>
            <w:r w:rsidRPr="009F66AC">
              <w:rPr>
                <w:szCs w:val="24"/>
              </w:rPr>
              <w:t xml:space="preserve">  </w:t>
            </w:r>
            <w:r w:rsidR="00991E75" w:rsidRPr="009F66AC">
              <w:rPr>
                <w:szCs w:val="24"/>
              </w:rPr>
              <w:t>Large</w:t>
            </w:r>
          </w:p>
        </w:tc>
        <w:tc>
          <w:tcPr>
            <w:tcW w:w="810" w:type="dxa"/>
            <w:tcBorders>
              <w:top w:val="nil"/>
              <w:left w:val="nil"/>
              <w:bottom w:val="nil"/>
              <w:right w:val="nil"/>
            </w:tcBorders>
          </w:tcPr>
          <w:p w:rsidR="00991E75" w:rsidRPr="009F66AC" w:rsidRDefault="00301F5A" w:rsidP="00991E75">
            <w:pPr>
              <w:jc w:val="right"/>
              <w:rPr>
                <w:szCs w:val="24"/>
              </w:rPr>
            </w:pPr>
            <w:r w:rsidRPr="009F66AC">
              <w:rPr>
                <w:szCs w:val="24"/>
              </w:rPr>
              <w:t>1</w:t>
            </w:r>
            <w:r w:rsidR="0020381E">
              <w:rPr>
                <w:szCs w:val="24"/>
              </w:rPr>
              <w:t>5</w:t>
            </w:r>
          </w:p>
        </w:tc>
        <w:tc>
          <w:tcPr>
            <w:tcW w:w="1440" w:type="dxa"/>
            <w:tcBorders>
              <w:top w:val="nil"/>
              <w:left w:val="nil"/>
              <w:bottom w:val="nil"/>
              <w:right w:val="nil"/>
            </w:tcBorders>
          </w:tcPr>
          <w:p w:rsidR="00991E75" w:rsidRPr="009F66AC" w:rsidRDefault="009C4D38" w:rsidP="00991E75">
            <w:pPr>
              <w:jc w:val="right"/>
              <w:rPr>
                <w:szCs w:val="24"/>
              </w:rPr>
            </w:pPr>
            <w:r>
              <w:rPr>
                <w:szCs w:val="24"/>
              </w:rPr>
              <w:t>32</w:t>
            </w:r>
          </w:p>
        </w:tc>
        <w:tc>
          <w:tcPr>
            <w:tcW w:w="1440" w:type="dxa"/>
            <w:tcBorders>
              <w:top w:val="nil"/>
              <w:left w:val="nil"/>
              <w:bottom w:val="nil"/>
              <w:right w:val="nil"/>
            </w:tcBorders>
          </w:tcPr>
          <w:p w:rsidR="00991E75" w:rsidRPr="009F66AC" w:rsidRDefault="009C4D38" w:rsidP="00991E75">
            <w:pPr>
              <w:jc w:val="right"/>
              <w:rPr>
                <w:szCs w:val="24"/>
              </w:rPr>
            </w:pPr>
            <w:r>
              <w:rPr>
                <w:szCs w:val="24"/>
              </w:rPr>
              <w:t>64</w:t>
            </w:r>
          </w:p>
        </w:tc>
        <w:tc>
          <w:tcPr>
            <w:tcW w:w="1350" w:type="dxa"/>
            <w:tcBorders>
              <w:top w:val="nil"/>
              <w:left w:val="nil"/>
              <w:bottom w:val="nil"/>
              <w:right w:val="nil"/>
            </w:tcBorders>
            <w:shd w:val="clear" w:color="auto" w:fill="auto"/>
          </w:tcPr>
          <w:p w:rsidR="00991E75" w:rsidRPr="009F66AC" w:rsidRDefault="009C4D38" w:rsidP="00991E75">
            <w:pPr>
              <w:jc w:val="right"/>
              <w:rPr>
                <w:szCs w:val="24"/>
              </w:rPr>
            </w:pPr>
            <w:r>
              <w:rPr>
                <w:szCs w:val="24"/>
              </w:rPr>
              <w:t>480</w:t>
            </w:r>
          </w:p>
        </w:tc>
        <w:tc>
          <w:tcPr>
            <w:tcW w:w="1350" w:type="dxa"/>
            <w:tcBorders>
              <w:top w:val="nil"/>
              <w:left w:val="nil"/>
              <w:bottom w:val="nil"/>
              <w:right w:val="nil"/>
            </w:tcBorders>
            <w:shd w:val="clear" w:color="auto" w:fill="auto"/>
          </w:tcPr>
          <w:p w:rsidR="00991E75" w:rsidRPr="009F66AC" w:rsidRDefault="009C4D38" w:rsidP="00991E75">
            <w:pPr>
              <w:jc w:val="right"/>
              <w:rPr>
                <w:szCs w:val="24"/>
              </w:rPr>
            </w:pPr>
            <w:r>
              <w:rPr>
                <w:szCs w:val="24"/>
              </w:rPr>
              <w:t>960</w:t>
            </w:r>
          </w:p>
        </w:tc>
        <w:tc>
          <w:tcPr>
            <w:tcW w:w="1440" w:type="dxa"/>
            <w:tcBorders>
              <w:top w:val="nil"/>
              <w:left w:val="nil"/>
              <w:bottom w:val="nil"/>
              <w:right w:val="nil"/>
            </w:tcBorders>
            <w:shd w:val="clear" w:color="auto" w:fill="auto"/>
          </w:tcPr>
          <w:p w:rsidR="00991E75" w:rsidRPr="009F66AC" w:rsidRDefault="009C4D38" w:rsidP="00991E75">
            <w:pPr>
              <w:jc w:val="right"/>
              <w:rPr>
                <w:szCs w:val="24"/>
              </w:rPr>
            </w:pPr>
            <w:r>
              <w:rPr>
                <w:szCs w:val="24"/>
              </w:rPr>
              <w:t>1,440</w:t>
            </w:r>
          </w:p>
        </w:tc>
      </w:tr>
      <w:tr w:rsidR="00756D46" w:rsidRPr="009F66AC" w:rsidTr="009C4D38">
        <w:tc>
          <w:tcPr>
            <w:tcW w:w="1890" w:type="dxa"/>
            <w:gridSpan w:val="2"/>
            <w:tcBorders>
              <w:top w:val="nil"/>
              <w:left w:val="nil"/>
              <w:bottom w:val="single" w:sz="4" w:space="0" w:color="auto"/>
              <w:right w:val="nil"/>
            </w:tcBorders>
          </w:tcPr>
          <w:p w:rsidR="00991E75" w:rsidRPr="009F66AC" w:rsidRDefault="00C14C18" w:rsidP="0042207C">
            <w:pPr>
              <w:rPr>
                <w:b/>
                <w:szCs w:val="24"/>
              </w:rPr>
            </w:pPr>
            <w:r w:rsidRPr="009F66AC">
              <w:rPr>
                <w:b/>
                <w:szCs w:val="24"/>
              </w:rPr>
              <w:t>Multi-site total:</w:t>
            </w:r>
          </w:p>
        </w:tc>
        <w:tc>
          <w:tcPr>
            <w:tcW w:w="810" w:type="dxa"/>
            <w:tcBorders>
              <w:top w:val="nil"/>
              <w:left w:val="nil"/>
              <w:bottom w:val="single" w:sz="4" w:space="0" w:color="auto"/>
              <w:right w:val="nil"/>
            </w:tcBorders>
          </w:tcPr>
          <w:p w:rsidR="00991E75" w:rsidRPr="009F66AC" w:rsidRDefault="0020381E" w:rsidP="00991E75">
            <w:pPr>
              <w:jc w:val="right"/>
              <w:rPr>
                <w:b/>
                <w:szCs w:val="24"/>
              </w:rPr>
            </w:pPr>
            <w:r>
              <w:rPr>
                <w:b/>
                <w:szCs w:val="24"/>
              </w:rPr>
              <w:t>65</w:t>
            </w:r>
          </w:p>
        </w:tc>
        <w:tc>
          <w:tcPr>
            <w:tcW w:w="1440" w:type="dxa"/>
            <w:tcBorders>
              <w:top w:val="nil"/>
              <w:left w:val="nil"/>
              <w:bottom w:val="single" w:sz="4" w:space="0" w:color="auto"/>
              <w:right w:val="nil"/>
            </w:tcBorders>
          </w:tcPr>
          <w:p w:rsidR="00991E75" w:rsidRPr="009F66AC" w:rsidRDefault="009C4D38" w:rsidP="00991E75">
            <w:pPr>
              <w:jc w:val="right"/>
              <w:rPr>
                <w:b/>
                <w:szCs w:val="24"/>
              </w:rPr>
            </w:pPr>
            <w:r>
              <w:rPr>
                <w:b/>
                <w:szCs w:val="24"/>
              </w:rPr>
              <w:t>6</w:t>
            </w:r>
            <w:r w:rsidR="00991E75" w:rsidRPr="009F66AC">
              <w:rPr>
                <w:b/>
                <w:szCs w:val="24"/>
              </w:rPr>
              <w:t>0</w:t>
            </w:r>
          </w:p>
        </w:tc>
        <w:tc>
          <w:tcPr>
            <w:tcW w:w="1440" w:type="dxa"/>
            <w:tcBorders>
              <w:top w:val="nil"/>
              <w:left w:val="nil"/>
              <w:bottom w:val="single" w:sz="4" w:space="0" w:color="auto"/>
              <w:right w:val="nil"/>
            </w:tcBorders>
          </w:tcPr>
          <w:p w:rsidR="00991E75" w:rsidRPr="009F66AC" w:rsidRDefault="009C4D38" w:rsidP="00991E75">
            <w:pPr>
              <w:jc w:val="right"/>
              <w:rPr>
                <w:b/>
                <w:szCs w:val="24"/>
              </w:rPr>
            </w:pPr>
            <w:r>
              <w:rPr>
                <w:b/>
                <w:szCs w:val="24"/>
              </w:rPr>
              <w:t>120</w:t>
            </w:r>
          </w:p>
        </w:tc>
        <w:tc>
          <w:tcPr>
            <w:tcW w:w="1350" w:type="dxa"/>
            <w:tcBorders>
              <w:top w:val="nil"/>
              <w:left w:val="nil"/>
              <w:bottom w:val="single" w:sz="4" w:space="0" w:color="auto"/>
              <w:right w:val="nil"/>
            </w:tcBorders>
            <w:shd w:val="clear" w:color="auto" w:fill="auto"/>
          </w:tcPr>
          <w:p w:rsidR="00991E75" w:rsidRPr="009F66AC" w:rsidRDefault="009C4D38" w:rsidP="00991E75">
            <w:pPr>
              <w:jc w:val="right"/>
              <w:rPr>
                <w:b/>
                <w:szCs w:val="24"/>
              </w:rPr>
            </w:pPr>
            <w:r>
              <w:rPr>
                <w:b/>
                <w:szCs w:val="24"/>
              </w:rPr>
              <w:t>1,340</w:t>
            </w:r>
          </w:p>
        </w:tc>
        <w:tc>
          <w:tcPr>
            <w:tcW w:w="1350" w:type="dxa"/>
            <w:tcBorders>
              <w:top w:val="nil"/>
              <w:left w:val="nil"/>
              <w:bottom w:val="single" w:sz="4" w:space="0" w:color="auto"/>
              <w:right w:val="nil"/>
            </w:tcBorders>
            <w:shd w:val="clear" w:color="auto" w:fill="auto"/>
          </w:tcPr>
          <w:p w:rsidR="00991E75" w:rsidRPr="009F66AC" w:rsidRDefault="009C4D38" w:rsidP="009F66AC">
            <w:pPr>
              <w:jc w:val="right"/>
              <w:rPr>
                <w:b/>
                <w:szCs w:val="24"/>
              </w:rPr>
            </w:pPr>
            <w:r>
              <w:rPr>
                <w:b/>
                <w:szCs w:val="24"/>
              </w:rPr>
              <w:t>2,680</w:t>
            </w:r>
          </w:p>
        </w:tc>
        <w:tc>
          <w:tcPr>
            <w:tcW w:w="1440" w:type="dxa"/>
            <w:tcBorders>
              <w:top w:val="nil"/>
              <w:left w:val="nil"/>
              <w:bottom w:val="single" w:sz="4" w:space="0" w:color="auto"/>
              <w:right w:val="nil"/>
            </w:tcBorders>
            <w:shd w:val="clear" w:color="auto" w:fill="auto"/>
          </w:tcPr>
          <w:p w:rsidR="00991E75" w:rsidRPr="009F66AC" w:rsidRDefault="009C4D38" w:rsidP="00991E75">
            <w:pPr>
              <w:jc w:val="right"/>
              <w:rPr>
                <w:b/>
                <w:szCs w:val="24"/>
              </w:rPr>
            </w:pPr>
            <w:r>
              <w:rPr>
                <w:b/>
                <w:szCs w:val="24"/>
              </w:rPr>
              <w:t>4,020</w:t>
            </w:r>
          </w:p>
        </w:tc>
      </w:tr>
      <w:tr w:rsidR="00C14C18" w:rsidRPr="009F66AC" w:rsidTr="009F66AC">
        <w:tc>
          <w:tcPr>
            <w:tcW w:w="9720" w:type="dxa"/>
            <w:gridSpan w:val="8"/>
            <w:tcBorders>
              <w:top w:val="single" w:sz="4" w:space="0" w:color="auto"/>
              <w:left w:val="nil"/>
              <w:bottom w:val="nil"/>
              <w:right w:val="nil"/>
            </w:tcBorders>
            <w:shd w:val="clear" w:color="auto" w:fill="auto"/>
          </w:tcPr>
          <w:p w:rsidR="00C14C18" w:rsidRPr="009F66AC" w:rsidRDefault="00C14C18" w:rsidP="00C14C18">
            <w:pPr>
              <w:rPr>
                <w:szCs w:val="24"/>
              </w:rPr>
            </w:pPr>
            <w:r w:rsidRPr="009F66AC">
              <w:rPr>
                <w:szCs w:val="24"/>
              </w:rPr>
              <w:t>Pilot study:</w:t>
            </w:r>
          </w:p>
        </w:tc>
      </w:tr>
      <w:tr w:rsidR="00756D46" w:rsidRPr="009F66AC" w:rsidTr="009C4D38">
        <w:trPr>
          <w:trHeight w:val="86"/>
        </w:trPr>
        <w:tc>
          <w:tcPr>
            <w:tcW w:w="1890" w:type="dxa"/>
            <w:gridSpan w:val="2"/>
            <w:tcBorders>
              <w:top w:val="nil"/>
              <w:left w:val="nil"/>
              <w:bottom w:val="nil"/>
              <w:right w:val="nil"/>
            </w:tcBorders>
          </w:tcPr>
          <w:p w:rsidR="00756D46" w:rsidRPr="009F66AC" w:rsidRDefault="00756D46" w:rsidP="0042207C">
            <w:pPr>
              <w:rPr>
                <w:szCs w:val="24"/>
              </w:rPr>
            </w:pPr>
          </w:p>
        </w:tc>
        <w:tc>
          <w:tcPr>
            <w:tcW w:w="810" w:type="dxa"/>
            <w:tcBorders>
              <w:top w:val="nil"/>
              <w:left w:val="nil"/>
              <w:bottom w:val="nil"/>
              <w:right w:val="nil"/>
            </w:tcBorders>
          </w:tcPr>
          <w:p w:rsidR="00756D46" w:rsidRPr="009F66AC" w:rsidRDefault="00756D46" w:rsidP="00991E75">
            <w:pPr>
              <w:jc w:val="right"/>
              <w:rPr>
                <w:szCs w:val="24"/>
              </w:rPr>
            </w:pPr>
          </w:p>
        </w:tc>
        <w:tc>
          <w:tcPr>
            <w:tcW w:w="1440" w:type="dxa"/>
            <w:tcBorders>
              <w:top w:val="nil"/>
              <w:left w:val="nil"/>
              <w:bottom w:val="nil"/>
              <w:right w:val="nil"/>
            </w:tcBorders>
          </w:tcPr>
          <w:p w:rsidR="00756D46" w:rsidRPr="009F66AC" w:rsidRDefault="00756D46" w:rsidP="00991E75">
            <w:pPr>
              <w:jc w:val="right"/>
              <w:rPr>
                <w:szCs w:val="24"/>
              </w:rPr>
            </w:pPr>
          </w:p>
        </w:tc>
        <w:tc>
          <w:tcPr>
            <w:tcW w:w="1440" w:type="dxa"/>
            <w:tcBorders>
              <w:top w:val="nil"/>
              <w:left w:val="nil"/>
              <w:bottom w:val="nil"/>
              <w:right w:val="nil"/>
            </w:tcBorders>
          </w:tcPr>
          <w:p w:rsidR="00756D46" w:rsidRPr="009F66AC" w:rsidRDefault="00756D46" w:rsidP="00991E75">
            <w:pPr>
              <w:jc w:val="right"/>
              <w:rPr>
                <w:szCs w:val="24"/>
              </w:rPr>
            </w:pPr>
          </w:p>
        </w:tc>
        <w:tc>
          <w:tcPr>
            <w:tcW w:w="1350" w:type="dxa"/>
            <w:tcBorders>
              <w:top w:val="nil"/>
              <w:left w:val="nil"/>
              <w:bottom w:val="nil"/>
              <w:right w:val="nil"/>
            </w:tcBorders>
            <w:shd w:val="clear" w:color="auto" w:fill="auto"/>
          </w:tcPr>
          <w:p w:rsidR="00756D46" w:rsidRPr="009F66AC" w:rsidRDefault="00756D46" w:rsidP="00991E75">
            <w:pPr>
              <w:jc w:val="right"/>
              <w:rPr>
                <w:szCs w:val="24"/>
              </w:rPr>
            </w:pPr>
          </w:p>
        </w:tc>
        <w:tc>
          <w:tcPr>
            <w:tcW w:w="1350" w:type="dxa"/>
            <w:tcBorders>
              <w:top w:val="nil"/>
              <w:left w:val="nil"/>
              <w:bottom w:val="nil"/>
              <w:right w:val="nil"/>
            </w:tcBorders>
            <w:shd w:val="clear" w:color="auto" w:fill="auto"/>
          </w:tcPr>
          <w:p w:rsidR="00756D46" w:rsidRPr="009F66AC" w:rsidRDefault="00756D46" w:rsidP="00991E75">
            <w:pPr>
              <w:jc w:val="right"/>
              <w:rPr>
                <w:szCs w:val="24"/>
              </w:rPr>
            </w:pPr>
          </w:p>
        </w:tc>
        <w:tc>
          <w:tcPr>
            <w:tcW w:w="1440" w:type="dxa"/>
            <w:tcBorders>
              <w:top w:val="nil"/>
              <w:left w:val="nil"/>
              <w:bottom w:val="nil"/>
              <w:right w:val="nil"/>
            </w:tcBorders>
            <w:shd w:val="clear" w:color="auto" w:fill="auto"/>
          </w:tcPr>
          <w:p w:rsidR="00756D46" w:rsidRPr="009F66AC" w:rsidRDefault="00756D46" w:rsidP="00991E75">
            <w:pPr>
              <w:jc w:val="right"/>
              <w:rPr>
                <w:szCs w:val="24"/>
              </w:rPr>
            </w:pPr>
          </w:p>
        </w:tc>
      </w:tr>
      <w:tr w:rsidR="00756D46" w:rsidRPr="009F66AC" w:rsidTr="009C4D38">
        <w:tc>
          <w:tcPr>
            <w:tcW w:w="1890" w:type="dxa"/>
            <w:gridSpan w:val="2"/>
            <w:tcBorders>
              <w:top w:val="nil"/>
              <w:left w:val="nil"/>
              <w:bottom w:val="nil"/>
              <w:right w:val="nil"/>
            </w:tcBorders>
          </w:tcPr>
          <w:p w:rsidR="00C14C18" w:rsidRPr="009F66AC" w:rsidRDefault="00C14C18" w:rsidP="0042207C">
            <w:pPr>
              <w:rPr>
                <w:szCs w:val="24"/>
              </w:rPr>
            </w:pPr>
            <w:r w:rsidRPr="009F66AC">
              <w:rPr>
                <w:szCs w:val="24"/>
              </w:rPr>
              <w:t xml:space="preserve">  Small</w:t>
            </w:r>
          </w:p>
        </w:tc>
        <w:tc>
          <w:tcPr>
            <w:tcW w:w="810" w:type="dxa"/>
            <w:tcBorders>
              <w:top w:val="nil"/>
              <w:left w:val="nil"/>
              <w:bottom w:val="nil"/>
              <w:right w:val="nil"/>
            </w:tcBorders>
          </w:tcPr>
          <w:p w:rsidR="00C14C18" w:rsidRPr="009F66AC" w:rsidRDefault="00C14C18" w:rsidP="00991E75">
            <w:pPr>
              <w:jc w:val="right"/>
              <w:rPr>
                <w:szCs w:val="24"/>
              </w:rPr>
            </w:pPr>
            <w:r w:rsidRPr="009F66AC">
              <w:rPr>
                <w:szCs w:val="24"/>
              </w:rPr>
              <w:t>1</w:t>
            </w:r>
          </w:p>
        </w:tc>
        <w:tc>
          <w:tcPr>
            <w:tcW w:w="1440" w:type="dxa"/>
            <w:tcBorders>
              <w:top w:val="nil"/>
              <w:left w:val="nil"/>
              <w:bottom w:val="nil"/>
              <w:right w:val="nil"/>
            </w:tcBorders>
          </w:tcPr>
          <w:p w:rsidR="00C14C18" w:rsidRPr="009F66AC" w:rsidRDefault="009C4D38" w:rsidP="00991E75">
            <w:pPr>
              <w:jc w:val="right"/>
              <w:rPr>
                <w:szCs w:val="24"/>
              </w:rPr>
            </w:pPr>
            <w:r>
              <w:rPr>
                <w:szCs w:val="24"/>
              </w:rPr>
              <w:t>6</w:t>
            </w:r>
          </w:p>
        </w:tc>
        <w:tc>
          <w:tcPr>
            <w:tcW w:w="1440" w:type="dxa"/>
            <w:tcBorders>
              <w:top w:val="nil"/>
              <w:left w:val="nil"/>
              <w:bottom w:val="nil"/>
              <w:right w:val="nil"/>
            </w:tcBorders>
          </w:tcPr>
          <w:p w:rsidR="00C14C18" w:rsidRPr="009F66AC" w:rsidRDefault="009C4D38" w:rsidP="00991E75">
            <w:pPr>
              <w:jc w:val="right"/>
              <w:rPr>
                <w:szCs w:val="24"/>
              </w:rPr>
            </w:pPr>
            <w:r>
              <w:rPr>
                <w:szCs w:val="24"/>
              </w:rPr>
              <w:t>12</w:t>
            </w:r>
          </w:p>
        </w:tc>
        <w:tc>
          <w:tcPr>
            <w:tcW w:w="1350" w:type="dxa"/>
            <w:tcBorders>
              <w:top w:val="nil"/>
              <w:left w:val="nil"/>
              <w:bottom w:val="nil"/>
              <w:right w:val="nil"/>
            </w:tcBorders>
            <w:shd w:val="clear" w:color="auto" w:fill="auto"/>
          </w:tcPr>
          <w:p w:rsidR="00C14C18" w:rsidRPr="009F66AC" w:rsidRDefault="009C4D38" w:rsidP="00991E75">
            <w:pPr>
              <w:jc w:val="right"/>
              <w:rPr>
                <w:szCs w:val="24"/>
              </w:rPr>
            </w:pPr>
            <w:r>
              <w:rPr>
                <w:szCs w:val="24"/>
              </w:rPr>
              <w:t>6</w:t>
            </w:r>
          </w:p>
        </w:tc>
        <w:tc>
          <w:tcPr>
            <w:tcW w:w="1350" w:type="dxa"/>
            <w:tcBorders>
              <w:top w:val="nil"/>
              <w:left w:val="nil"/>
              <w:bottom w:val="nil"/>
              <w:right w:val="nil"/>
            </w:tcBorders>
            <w:shd w:val="clear" w:color="auto" w:fill="auto"/>
          </w:tcPr>
          <w:p w:rsidR="00C14C18" w:rsidRPr="009F66AC" w:rsidRDefault="009C4D38" w:rsidP="00991E75">
            <w:pPr>
              <w:jc w:val="right"/>
              <w:rPr>
                <w:szCs w:val="24"/>
              </w:rPr>
            </w:pPr>
            <w:r>
              <w:rPr>
                <w:szCs w:val="24"/>
              </w:rPr>
              <w:t>12</w:t>
            </w:r>
          </w:p>
        </w:tc>
        <w:tc>
          <w:tcPr>
            <w:tcW w:w="1440" w:type="dxa"/>
            <w:tcBorders>
              <w:top w:val="nil"/>
              <w:left w:val="nil"/>
              <w:bottom w:val="nil"/>
              <w:right w:val="nil"/>
            </w:tcBorders>
            <w:shd w:val="clear" w:color="auto" w:fill="auto"/>
          </w:tcPr>
          <w:p w:rsidR="00C14C18" w:rsidRPr="009F66AC" w:rsidRDefault="00C14C18" w:rsidP="009C4D38">
            <w:pPr>
              <w:jc w:val="right"/>
              <w:rPr>
                <w:szCs w:val="24"/>
              </w:rPr>
            </w:pPr>
            <w:r w:rsidRPr="009F66AC">
              <w:rPr>
                <w:szCs w:val="24"/>
              </w:rPr>
              <w:t>1</w:t>
            </w:r>
            <w:r w:rsidR="009C4D38">
              <w:rPr>
                <w:szCs w:val="24"/>
              </w:rPr>
              <w:t>8</w:t>
            </w:r>
          </w:p>
        </w:tc>
      </w:tr>
      <w:tr w:rsidR="00756D46" w:rsidRPr="009F66AC" w:rsidTr="009C4D38">
        <w:tc>
          <w:tcPr>
            <w:tcW w:w="1890" w:type="dxa"/>
            <w:gridSpan w:val="2"/>
            <w:tcBorders>
              <w:top w:val="nil"/>
              <w:left w:val="nil"/>
              <w:bottom w:val="nil"/>
              <w:right w:val="nil"/>
            </w:tcBorders>
          </w:tcPr>
          <w:p w:rsidR="00C14C18" w:rsidRPr="009F66AC" w:rsidRDefault="00C14C18" w:rsidP="0042207C">
            <w:pPr>
              <w:rPr>
                <w:szCs w:val="24"/>
              </w:rPr>
            </w:pPr>
            <w:r w:rsidRPr="009F66AC">
              <w:rPr>
                <w:szCs w:val="24"/>
              </w:rPr>
              <w:t xml:space="preserve">  Medium</w:t>
            </w:r>
          </w:p>
        </w:tc>
        <w:tc>
          <w:tcPr>
            <w:tcW w:w="810" w:type="dxa"/>
            <w:tcBorders>
              <w:top w:val="nil"/>
              <w:left w:val="nil"/>
              <w:bottom w:val="nil"/>
              <w:right w:val="nil"/>
            </w:tcBorders>
          </w:tcPr>
          <w:p w:rsidR="00C14C18" w:rsidRPr="009F66AC" w:rsidRDefault="009C4D38" w:rsidP="00991E75">
            <w:pPr>
              <w:jc w:val="right"/>
              <w:rPr>
                <w:szCs w:val="24"/>
              </w:rPr>
            </w:pPr>
            <w:r>
              <w:rPr>
                <w:szCs w:val="24"/>
              </w:rPr>
              <w:t>4</w:t>
            </w:r>
          </w:p>
        </w:tc>
        <w:tc>
          <w:tcPr>
            <w:tcW w:w="1440" w:type="dxa"/>
            <w:tcBorders>
              <w:top w:val="nil"/>
              <w:left w:val="nil"/>
              <w:bottom w:val="nil"/>
              <w:right w:val="nil"/>
            </w:tcBorders>
          </w:tcPr>
          <w:p w:rsidR="00C14C18" w:rsidRPr="009F66AC" w:rsidRDefault="009C4D38" w:rsidP="00991E75">
            <w:pPr>
              <w:jc w:val="right"/>
              <w:rPr>
                <w:szCs w:val="24"/>
              </w:rPr>
            </w:pPr>
            <w:r>
              <w:rPr>
                <w:szCs w:val="24"/>
              </w:rPr>
              <w:t>22</w:t>
            </w:r>
          </w:p>
        </w:tc>
        <w:tc>
          <w:tcPr>
            <w:tcW w:w="1440" w:type="dxa"/>
            <w:tcBorders>
              <w:top w:val="nil"/>
              <w:left w:val="nil"/>
              <w:bottom w:val="nil"/>
              <w:right w:val="nil"/>
            </w:tcBorders>
          </w:tcPr>
          <w:p w:rsidR="00C14C18" w:rsidRPr="009F66AC" w:rsidRDefault="009C4D38" w:rsidP="00991E75">
            <w:pPr>
              <w:jc w:val="right"/>
              <w:rPr>
                <w:szCs w:val="24"/>
              </w:rPr>
            </w:pPr>
            <w:r>
              <w:rPr>
                <w:szCs w:val="24"/>
              </w:rPr>
              <w:t>44</w:t>
            </w:r>
          </w:p>
        </w:tc>
        <w:tc>
          <w:tcPr>
            <w:tcW w:w="1350" w:type="dxa"/>
            <w:tcBorders>
              <w:top w:val="nil"/>
              <w:left w:val="nil"/>
              <w:bottom w:val="nil"/>
              <w:right w:val="nil"/>
            </w:tcBorders>
            <w:shd w:val="clear" w:color="auto" w:fill="auto"/>
          </w:tcPr>
          <w:p w:rsidR="00C14C18" w:rsidRPr="009F66AC" w:rsidRDefault="009C4D38" w:rsidP="00991E75">
            <w:pPr>
              <w:jc w:val="right"/>
              <w:rPr>
                <w:szCs w:val="24"/>
              </w:rPr>
            </w:pPr>
            <w:r>
              <w:rPr>
                <w:szCs w:val="24"/>
              </w:rPr>
              <w:t>88</w:t>
            </w:r>
          </w:p>
        </w:tc>
        <w:tc>
          <w:tcPr>
            <w:tcW w:w="1350" w:type="dxa"/>
            <w:tcBorders>
              <w:top w:val="nil"/>
              <w:left w:val="nil"/>
              <w:bottom w:val="nil"/>
              <w:right w:val="nil"/>
            </w:tcBorders>
            <w:shd w:val="clear" w:color="auto" w:fill="auto"/>
          </w:tcPr>
          <w:p w:rsidR="00C14C18" w:rsidRPr="009F66AC" w:rsidRDefault="009C4D38" w:rsidP="00991E75">
            <w:pPr>
              <w:jc w:val="right"/>
              <w:rPr>
                <w:szCs w:val="24"/>
              </w:rPr>
            </w:pPr>
            <w:r>
              <w:rPr>
                <w:szCs w:val="24"/>
              </w:rPr>
              <w:t>176</w:t>
            </w:r>
          </w:p>
        </w:tc>
        <w:tc>
          <w:tcPr>
            <w:tcW w:w="1440" w:type="dxa"/>
            <w:tcBorders>
              <w:top w:val="nil"/>
              <w:left w:val="nil"/>
              <w:bottom w:val="nil"/>
              <w:right w:val="nil"/>
            </w:tcBorders>
            <w:shd w:val="clear" w:color="auto" w:fill="auto"/>
          </w:tcPr>
          <w:p w:rsidR="00C14C18" w:rsidRPr="009F66AC" w:rsidRDefault="009C4D38" w:rsidP="009C4D38">
            <w:pPr>
              <w:jc w:val="right"/>
              <w:rPr>
                <w:szCs w:val="24"/>
              </w:rPr>
            </w:pPr>
            <w:r>
              <w:rPr>
                <w:szCs w:val="24"/>
              </w:rPr>
              <w:t>264</w:t>
            </w:r>
          </w:p>
        </w:tc>
      </w:tr>
      <w:tr w:rsidR="00756D46" w:rsidRPr="009F66AC" w:rsidTr="009C4D38">
        <w:tc>
          <w:tcPr>
            <w:tcW w:w="1890" w:type="dxa"/>
            <w:gridSpan w:val="2"/>
            <w:tcBorders>
              <w:top w:val="nil"/>
              <w:left w:val="nil"/>
              <w:bottom w:val="nil"/>
              <w:right w:val="nil"/>
            </w:tcBorders>
          </w:tcPr>
          <w:p w:rsidR="00C14C18" w:rsidRPr="009F66AC" w:rsidRDefault="00C14C18" w:rsidP="0042207C">
            <w:pPr>
              <w:rPr>
                <w:szCs w:val="24"/>
              </w:rPr>
            </w:pPr>
            <w:r w:rsidRPr="009F66AC">
              <w:rPr>
                <w:szCs w:val="24"/>
              </w:rPr>
              <w:t xml:space="preserve">  Large</w:t>
            </w:r>
          </w:p>
        </w:tc>
        <w:tc>
          <w:tcPr>
            <w:tcW w:w="810" w:type="dxa"/>
            <w:tcBorders>
              <w:top w:val="nil"/>
              <w:left w:val="nil"/>
              <w:bottom w:val="nil"/>
              <w:right w:val="nil"/>
            </w:tcBorders>
          </w:tcPr>
          <w:p w:rsidR="00C14C18" w:rsidRPr="009F66AC" w:rsidRDefault="009C4D38" w:rsidP="00991E75">
            <w:pPr>
              <w:jc w:val="right"/>
              <w:rPr>
                <w:szCs w:val="24"/>
              </w:rPr>
            </w:pPr>
            <w:r>
              <w:rPr>
                <w:szCs w:val="24"/>
              </w:rPr>
              <w:t>1</w:t>
            </w:r>
          </w:p>
        </w:tc>
        <w:tc>
          <w:tcPr>
            <w:tcW w:w="1440" w:type="dxa"/>
            <w:tcBorders>
              <w:top w:val="nil"/>
              <w:left w:val="nil"/>
              <w:bottom w:val="nil"/>
              <w:right w:val="nil"/>
            </w:tcBorders>
          </w:tcPr>
          <w:p w:rsidR="00C14C18" w:rsidRPr="009F66AC" w:rsidRDefault="009C4D38" w:rsidP="00991E75">
            <w:pPr>
              <w:jc w:val="right"/>
              <w:rPr>
                <w:szCs w:val="24"/>
              </w:rPr>
            </w:pPr>
            <w:r>
              <w:rPr>
                <w:szCs w:val="24"/>
              </w:rPr>
              <w:t>32</w:t>
            </w:r>
          </w:p>
        </w:tc>
        <w:tc>
          <w:tcPr>
            <w:tcW w:w="1440" w:type="dxa"/>
            <w:tcBorders>
              <w:top w:val="nil"/>
              <w:left w:val="nil"/>
              <w:bottom w:val="nil"/>
              <w:right w:val="nil"/>
            </w:tcBorders>
          </w:tcPr>
          <w:p w:rsidR="00C14C18" w:rsidRPr="009F66AC" w:rsidRDefault="009C4D38" w:rsidP="00991E75">
            <w:pPr>
              <w:jc w:val="right"/>
              <w:rPr>
                <w:szCs w:val="24"/>
              </w:rPr>
            </w:pPr>
            <w:r>
              <w:rPr>
                <w:szCs w:val="24"/>
              </w:rPr>
              <w:t>64</w:t>
            </w:r>
          </w:p>
        </w:tc>
        <w:tc>
          <w:tcPr>
            <w:tcW w:w="1350" w:type="dxa"/>
            <w:tcBorders>
              <w:top w:val="nil"/>
              <w:left w:val="nil"/>
              <w:bottom w:val="nil"/>
              <w:right w:val="nil"/>
            </w:tcBorders>
            <w:shd w:val="clear" w:color="auto" w:fill="auto"/>
          </w:tcPr>
          <w:p w:rsidR="00C14C18" w:rsidRPr="009F66AC" w:rsidRDefault="009C4D38" w:rsidP="00991E75">
            <w:pPr>
              <w:jc w:val="right"/>
              <w:rPr>
                <w:szCs w:val="24"/>
              </w:rPr>
            </w:pPr>
            <w:r>
              <w:rPr>
                <w:szCs w:val="24"/>
              </w:rPr>
              <w:t>32</w:t>
            </w:r>
          </w:p>
        </w:tc>
        <w:tc>
          <w:tcPr>
            <w:tcW w:w="1350" w:type="dxa"/>
            <w:tcBorders>
              <w:top w:val="nil"/>
              <w:left w:val="nil"/>
              <w:bottom w:val="nil"/>
              <w:right w:val="nil"/>
            </w:tcBorders>
            <w:shd w:val="clear" w:color="auto" w:fill="auto"/>
          </w:tcPr>
          <w:p w:rsidR="00C14C18" w:rsidRPr="009F66AC" w:rsidRDefault="009C4D38" w:rsidP="00991E75">
            <w:pPr>
              <w:jc w:val="right"/>
              <w:rPr>
                <w:szCs w:val="24"/>
              </w:rPr>
            </w:pPr>
            <w:r>
              <w:rPr>
                <w:szCs w:val="24"/>
              </w:rPr>
              <w:t>64</w:t>
            </w:r>
          </w:p>
        </w:tc>
        <w:tc>
          <w:tcPr>
            <w:tcW w:w="1440" w:type="dxa"/>
            <w:tcBorders>
              <w:top w:val="nil"/>
              <w:left w:val="nil"/>
              <w:bottom w:val="nil"/>
              <w:right w:val="nil"/>
            </w:tcBorders>
            <w:shd w:val="clear" w:color="auto" w:fill="auto"/>
          </w:tcPr>
          <w:p w:rsidR="00C14C18" w:rsidRPr="009F66AC" w:rsidRDefault="009C4D38" w:rsidP="00991E75">
            <w:pPr>
              <w:jc w:val="right"/>
              <w:rPr>
                <w:szCs w:val="24"/>
              </w:rPr>
            </w:pPr>
            <w:r>
              <w:rPr>
                <w:szCs w:val="24"/>
              </w:rPr>
              <w:t>96</w:t>
            </w:r>
          </w:p>
        </w:tc>
      </w:tr>
      <w:tr w:rsidR="00756D46" w:rsidRPr="009F66AC" w:rsidTr="009C4D38">
        <w:tc>
          <w:tcPr>
            <w:tcW w:w="1890" w:type="dxa"/>
            <w:gridSpan w:val="2"/>
            <w:tcBorders>
              <w:top w:val="nil"/>
              <w:left w:val="nil"/>
              <w:bottom w:val="nil"/>
              <w:right w:val="nil"/>
            </w:tcBorders>
          </w:tcPr>
          <w:p w:rsidR="00C14C18" w:rsidRPr="009F66AC" w:rsidRDefault="00C14C18" w:rsidP="0042207C">
            <w:pPr>
              <w:rPr>
                <w:b/>
                <w:szCs w:val="24"/>
              </w:rPr>
            </w:pPr>
            <w:r w:rsidRPr="009F66AC">
              <w:rPr>
                <w:b/>
                <w:szCs w:val="24"/>
              </w:rPr>
              <w:t>Pilot total:</w:t>
            </w:r>
          </w:p>
        </w:tc>
        <w:tc>
          <w:tcPr>
            <w:tcW w:w="810" w:type="dxa"/>
            <w:tcBorders>
              <w:top w:val="nil"/>
              <w:left w:val="nil"/>
              <w:bottom w:val="nil"/>
              <w:right w:val="nil"/>
            </w:tcBorders>
          </w:tcPr>
          <w:p w:rsidR="00C14C18" w:rsidRPr="009F66AC" w:rsidRDefault="009C4D38" w:rsidP="00991E75">
            <w:pPr>
              <w:jc w:val="right"/>
              <w:rPr>
                <w:b/>
                <w:szCs w:val="24"/>
              </w:rPr>
            </w:pPr>
            <w:r>
              <w:rPr>
                <w:b/>
                <w:szCs w:val="24"/>
              </w:rPr>
              <w:t>6</w:t>
            </w:r>
          </w:p>
        </w:tc>
        <w:tc>
          <w:tcPr>
            <w:tcW w:w="1440" w:type="dxa"/>
            <w:tcBorders>
              <w:top w:val="nil"/>
              <w:left w:val="nil"/>
              <w:bottom w:val="nil"/>
              <w:right w:val="nil"/>
            </w:tcBorders>
          </w:tcPr>
          <w:p w:rsidR="00C14C18" w:rsidRPr="009F66AC" w:rsidRDefault="009C4D38" w:rsidP="00991E75">
            <w:pPr>
              <w:jc w:val="right"/>
              <w:rPr>
                <w:b/>
                <w:szCs w:val="24"/>
              </w:rPr>
            </w:pPr>
            <w:r>
              <w:rPr>
                <w:b/>
                <w:szCs w:val="24"/>
              </w:rPr>
              <w:t>60</w:t>
            </w:r>
          </w:p>
        </w:tc>
        <w:tc>
          <w:tcPr>
            <w:tcW w:w="1440" w:type="dxa"/>
            <w:tcBorders>
              <w:top w:val="nil"/>
              <w:left w:val="nil"/>
              <w:bottom w:val="nil"/>
              <w:right w:val="nil"/>
            </w:tcBorders>
          </w:tcPr>
          <w:p w:rsidR="00C14C18" w:rsidRPr="009F66AC" w:rsidRDefault="009C4D38" w:rsidP="00991E75">
            <w:pPr>
              <w:jc w:val="right"/>
              <w:rPr>
                <w:b/>
                <w:szCs w:val="24"/>
              </w:rPr>
            </w:pPr>
            <w:r>
              <w:rPr>
                <w:b/>
                <w:szCs w:val="24"/>
              </w:rPr>
              <w:t>120</w:t>
            </w:r>
          </w:p>
        </w:tc>
        <w:tc>
          <w:tcPr>
            <w:tcW w:w="1350" w:type="dxa"/>
            <w:tcBorders>
              <w:top w:val="nil"/>
              <w:left w:val="nil"/>
              <w:bottom w:val="nil"/>
              <w:right w:val="nil"/>
            </w:tcBorders>
            <w:shd w:val="clear" w:color="auto" w:fill="auto"/>
          </w:tcPr>
          <w:p w:rsidR="00C14C18" w:rsidRPr="009F66AC" w:rsidRDefault="009C4D38" w:rsidP="00991E75">
            <w:pPr>
              <w:jc w:val="right"/>
              <w:rPr>
                <w:b/>
                <w:szCs w:val="24"/>
              </w:rPr>
            </w:pPr>
            <w:r>
              <w:rPr>
                <w:b/>
                <w:szCs w:val="24"/>
              </w:rPr>
              <w:t>126</w:t>
            </w:r>
          </w:p>
        </w:tc>
        <w:tc>
          <w:tcPr>
            <w:tcW w:w="1350" w:type="dxa"/>
            <w:tcBorders>
              <w:top w:val="nil"/>
              <w:left w:val="nil"/>
              <w:bottom w:val="nil"/>
              <w:right w:val="nil"/>
            </w:tcBorders>
            <w:shd w:val="clear" w:color="auto" w:fill="auto"/>
          </w:tcPr>
          <w:p w:rsidR="00C14C18" w:rsidRPr="009F66AC" w:rsidRDefault="009C4D38" w:rsidP="00991E75">
            <w:pPr>
              <w:jc w:val="right"/>
              <w:rPr>
                <w:b/>
                <w:szCs w:val="24"/>
              </w:rPr>
            </w:pPr>
            <w:r>
              <w:rPr>
                <w:b/>
                <w:szCs w:val="24"/>
              </w:rPr>
              <w:t>252</w:t>
            </w:r>
          </w:p>
        </w:tc>
        <w:tc>
          <w:tcPr>
            <w:tcW w:w="1440" w:type="dxa"/>
            <w:tcBorders>
              <w:top w:val="nil"/>
              <w:left w:val="nil"/>
              <w:bottom w:val="nil"/>
              <w:right w:val="nil"/>
            </w:tcBorders>
            <w:shd w:val="clear" w:color="auto" w:fill="auto"/>
          </w:tcPr>
          <w:p w:rsidR="00C14C18" w:rsidRPr="009F66AC" w:rsidRDefault="009C4D38" w:rsidP="00991E75">
            <w:pPr>
              <w:jc w:val="right"/>
              <w:rPr>
                <w:b/>
                <w:szCs w:val="24"/>
              </w:rPr>
            </w:pPr>
            <w:r>
              <w:rPr>
                <w:b/>
                <w:szCs w:val="24"/>
              </w:rPr>
              <w:t>378</w:t>
            </w:r>
          </w:p>
        </w:tc>
      </w:tr>
      <w:tr w:rsidR="00B03707" w:rsidRPr="009F66AC" w:rsidTr="009C4D38">
        <w:tc>
          <w:tcPr>
            <w:tcW w:w="1890" w:type="dxa"/>
            <w:gridSpan w:val="2"/>
            <w:tcBorders>
              <w:top w:val="nil"/>
              <w:left w:val="nil"/>
              <w:bottom w:val="nil"/>
              <w:right w:val="nil"/>
            </w:tcBorders>
          </w:tcPr>
          <w:p w:rsidR="00B03707" w:rsidRPr="009F66AC" w:rsidRDefault="00B03707" w:rsidP="0042207C">
            <w:pPr>
              <w:rPr>
                <w:b/>
                <w:szCs w:val="24"/>
              </w:rPr>
            </w:pPr>
          </w:p>
        </w:tc>
        <w:tc>
          <w:tcPr>
            <w:tcW w:w="810" w:type="dxa"/>
            <w:tcBorders>
              <w:top w:val="nil"/>
              <w:left w:val="nil"/>
              <w:bottom w:val="nil"/>
              <w:right w:val="nil"/>
            </w:tcBorders>
          </w:tcPr>
          <w:p w:rsidR="00B03707" w:rsidRPr="009F66AC" w:rsidRDefault="00B03707" w:rsidP="00991E75">
            <w:pPr>
              <w:jc w:val="right"/>
              <w:rPr>
                <w:b/>
                <w:szCs w:val="24"/>
              </w:rPr>
            </w:pPr>
          </w:p>
        </w:tc>
        <w:tc>
          <w:tcPr>
            <w:tcW w:w="1440" w:type="dxa"/>
            <w:tcBorders>
              <w:top w:val="nil"/>
              <w:left w:val="nil"/>
              <w:bottom w:val="nil"/>
              <w:right w:val="nil"/>
            </w:tcBorders>
          </w:tcPr>
          <w:p w:rsidR="00B03707" w:rsidRPr="009F66AC" w:rsidRDefault="00B03707" w:rsidP="00991E75">
            <w:pPr>
              <w:jc w:val="right"/>
              <w:rPr>
                <w:b/>
                <w:szCs w:val="24"/>
              </w:rPr>
            </w:pPr>
          </w:p>
        </w:tc>
        <w:tc>
          <w:tcPr>
            <w:tcW w:w="1440" w:type="dxa"/>
            <w:tcBorders>
              <w:top w:val="nil"/>
              <w:left w:val="nil"/>
              <w:bottom w:val="nil"/>
              <w:right w:val="nil"/>
            </w:tcBorders>
          </w:tcPr>
          <w:p w:rsidR="00B03707" w:rsidRPr="009F66AC" w:rsidRDefault="00B03707" w:rsidP="00991E75">
            <w:pPr>
              <w:jc w:val="right"/>
              <w:rPr>
                <w:b/>
                <w:szCs w:val="24"/>
              </w:rPr>
            </w:pPr>
          </w:p>
        </w:tc>
        <w:tc>
          <w:tcPr>
            <w:tcW w:w="1350" w:type="dxa"/>
            <w:tcBorders>
              <w:top w:val="nil"/>
              <w:left w:val="nil"/>
              <w:bottom w:val="nil"/>
              <w:right w:val="nil"/>
            </w:tcBorders>
            <w:shd w:val="clear" w:color="auto" w:fill="auto"/>
          </w:tcPr>
          <w:p w:rsidR="00B03707" w:rsidRPr="009F66AC" w:rsidRDefault="00B03707" w:rsidP="00991E75">
            <w:pPr>
              <w:jc w:val="right"/>
              <w:rPr>
                <w:b/>
                <w:szCs w:val="24"/>
              </w:rPr>
            </w:pPr>
          </w:p>
        </w:tc>
        <w:tc>
          <w:tcPr>
            <w:tcW w:w="1350" w:type="dxa"/>
            <w:tcBorders>
              <w:top w:val="nil"/>
              <w:left w:val="nil"/>
              <w:bottom w:val="nil"/>
              <w:right w:val="nil"/>
            </w:tcBorders>
            <w:shd w:val="clear" w:color="auto" w:fill="auto"/>
          </w:tcPr>
          <w:p w:rsidR="00B03707" w:rsidRPr="009F66AC" w:rsidRDefault="00B03707" w:rsidP="00991E75">
            <w:pPr>
              <w:jc w:val="right"/>
              <w:rPr>
                <w:b/>
                <w:szCs w:val="24"/>
              </w:rPr>
            </w:pPr>
          </w:p>
        </w:tc>
        <w:tc>
          <w:tcPr>
            <w:tcW w:w="1440" w:type="dxa"/>
            <w:tcBorders>
              <w:top w:val="nil"/>
              <w:left w:val="nil"/>
              <w:bottom w:val="nil"/>
              <w:right w:val="nil"/>
            </w:tcBorders>
            <w:shd w:val="clear" w:color="auto" w:fill="auto"/>
          </w:tcPr>
          <w:p w:rsidR="00B03707" w:rsidRPr="009F66AC" w:rsidRDefault="00B03707" w:rsidP="00991E75">
            <w:pPr>
              <w:jc w:val="right"/>
              <w:rPr>
                <w:b/>
                <w:szCs w:val="24"/>
              </w:rPr>
            </w:pPr>
          </w:p>
        </w:tc>
      </w:tr>
      <w:tr w:rsidR="00B03707" w:rsidRPr="009F66AC" w:rsidTr="009C4D38">
        <w:tc>
          <w:tcPr>
            <w:tcW w:w="1890" w:type="dxa"/>
            <w:gridSpan w:val="2"/>
            <w:tcBorders>
              <w:top w:val="nil"/>
              <w:left w:val="nil"/>
              <w:bottom w:val="single" w:sz="4" w:space="0" w:color="auto"/>
              <w:right w:val="nil"/>
            </w:tcBorders>
          </w:tcPr>
          <w:p w:rsidR="00B03707" w:rsidRPr="009F66AC" w:rsidRDefault="00B03707" w:rsidP="0042207C">
            <w:pPr>
              <w:rPr>
                <w:b/>
                <w:szCs w:val="24"/>
              </w:rPr>
            </w:pPr>
            <w:r>
              <w:rPr>
                <w:b/>
                <w:szCs w:val="24"/>
              </w:rPr>
              <w:t>Study total:</w:t>
            </w:r>
          </w:p>
        </w:tc>
        <w:tc>
          <w:tcPr>
            <w:tcW w:w="810" w:type="dxa"/>
            <w:tcBorders>
              <w:top w:val="nil"/>
              <w:left w:val="nil"/>
              <w:bottom w:val="single" w:sz="4" w:space="0" w:color="auto"/>
              <w:right w:val="nil"/>
            </w:tcBorders>
          </w:tcPr>
          <w:p w:rsidR="00B03707" w:rsidRPr="009F66AC" w:rsidRDefault="0020381E" w:rsidP="009C4D38">
            <w:pPr>
              <w:jc w:val="right"/>
              <w:rPr>
                <w:b/>
                <w:szCs w:val="24"/>
              </w:rPr>
            </w:pPr>
            <w:r>
              <w:rPr>
                <w:b/>
                <w:szCs w:val="24"/>
              </w:rPr>
              <w:t>7</w:t>
            </w:r>
            <w:r w:rsidR="009C4D38">
              <w:rPr>
                <w:b/>
                <w:szCs w:val="24"/>
              </w:rPr>
              <w:t>1</w:t>
            </w:r>
          </w:p>
        </w:tc>
        <w:tc>
          <w:tcPr>
            <w:tcW w:w="1440" w:type="dxa"/>
            <w:tcBorders>
              <w:top w:val="nil"/>
              <w:left w:val="nil"/>
              <w:bottom w:val="single" w:sz="4" w:space="0" w:color="auto"/>
              <w:right w:val="nil"/>
            </w:tcBorders>
          </w:tcPr>
          <w:p w:rsidR="00B03707" w:rsidRPr="009F66AC" w:rsidRDefault="009C4D38" w:rsidP="00991E75">
            <w:pPr>
              <w:jc w:val="right"/>
              <w:rPr>
                <w:b/>
                <w:szCs w:val="24"/>
              </w:rPr>
            </w:pPr>
            <w:r>
              <w:rPr>
                <w:b/>
                <w:szCs w:val="24"/>
              </w:rPr>
              <w:t>120</w:t>
            </w:r>
          </w:p>
        </w:tc>
        <w:tc>
          <w:tcPr>
            <w:tcW w:w="1440" w:type="dxa"/>
            <w:tcBorders>
              <w:top w:val="nil"/>
              <w:left w:val="nil"/>
              <w:bottom w:val="single" w:sz="4" w:space="0" w:color="auto"/>
              <w:right w:val="nil"/>
            </w:tcBorders>
          </w:tcPr>
          <w:p w:rsidR="00B03707" w:rsidRPr="009F66AC" w:rsidRDefault="009C4D38" w:rsidP="00991E75">
            <w:pPr>
              <w:jc w:val="right"/>
              <w:rPr>
                <w:b/>
                <w:szCs w:val="24"/>
              </w:rPr>
            </w:pPr>
            <w:r>
              <w:rPr>
                <w:b/>
                <w:szCs w:val="24"/>
              </w:rPr>
              <w:t>240</w:t>
            </w:r>
          </w:p>
        </w:tc>
        <w:tc>
          <w:tcPr>
            <w:tcW w:w="1350" w:type="dxa"/>
            <w:tcBorders>
              <w:top w:val="nil"/>
              <w:left w:val="nil"/>
              <w:bottom w:val="single" w:sz="4" w:space="0" w:color="auto"/>
              <w:right w:val="nil"/>
            </w:tcBorders>
            <w:shd w:val="clear" w:color="auto" w:fill="auto"/>
          </w:tcPr>
          <w:p w:rsidR="00B03707" w:rsidRPr="009F66AC" w:rsidRDefault="009C4D38" w:rsidP="00991E75">
            <w:pPr>
              <w:jc w:val="right"/>
              <w:rPr>
                <w:b/>
                <w:szCs w:val="24"/>
              </w:rPr>
            </w:pPr>
            <w:r>
              <w:rPr>
                <w:b/>
                <w:szCs w:val="24"/>
              </w:rPr>
              <w:t>1,466</w:t>
            </w:r>
          </w:p>
        </w:tc>
        <w:tc>
          <w:tcPr>
            <w:tcW w:w="1350" w:type="dxa"/>
            <w:tcBorders>
              <w:top w:val="nil"/>
              <w:left w:val="nil"/>
              <w:bottom w:val="single" w:sz="4" w:space="0" w:color="auto"/>
              <w:right w:val="nil"/>
            </w:tcBorders>
            <w:shd w:val="clear" w:color="auto" w:fill="auto"/>
          </w:tcPr>
          <w:p w:rsidR="00B03707" w:rsidRPr="009F66AC" w:rsidRDefault="0020381E" w:rsidP="00991E75">
            <w:pPr>
              <w:jc w:val="right"/>
              <w:rPr>
                <w:b/>
                <w:szCs w:val="24"/>
              </w:rPr>
            </w:pPr>
            <w:r>
              <w:rPr>
                <w:b/>
                <w:szCs w:val="24"/>
              </w:rPr>
              <w:t>1,940</w:t>
            </w:r>
          </w:p>
        </w:tc>
        <w:tc>
          <w:tcPr>
            <w:tcW w:w="1440" w:type="dxa"/>
            <w:tcBorders>
              <w:top w:val="nil"/>
              <w:left w:val="nil"/>
              <w:bottom w:val="single" w:sz="4" w:space="0" w:color="auto"/>
              <w:right w:val="nil"/>
            </w:tcBorders>
            <w:shd w:val="clear" w:color="auto" w:fill="auto"/>
          </w:tcPr>
          <w:p w:rsidR="00B03707" w:rsidRPr="009F66AC" w:rsidRDefault="009C4D38" w:rsidP="009C4D38">
            <w:pPr>
              <w:jc w:val="right"/>
              <w:rPr>
                <w:b/>
                <w:szCs w:val="24"/>
              </w:rPr>
            </w:pPr>
            <w:r>
              <w:rPr>
                <w:b/>
                <w:szCs w:val="24"/>
              </w:rPr>
              <w:t>4,398</w:t>
            </w:r>
          </w:p>
        </w:tc>
      </w:tr>
    </w:tbl>
    <w:p w:rsidR="00991E75" w:rsidRDefault="00991E75" w:rsidP="0042207C">
      <w:pPr>
        <w:rPr>
          <w:szCs w:val="24"/>
        </w:rPr>
      </w:pPr>
    </w:p>
    <w:p w:rsidR="00FB120D" w:rsidRDefault="00FB120D" w:rsidP="0042207C">
      <w:pPr>
        <w:rPr>
          <w:szCs w:val="24"/>
        </w:rPr>
      </w:pPr>
    </w:p>
    <w:p w:rsidR="00FB120D" w:rsidRDefault="00FB120D" w:rsidP="0042207C">
      <w:pPr>
        <w:rPr>
          <w:szCs w:val="24"/>
        </w:rPr>
      </w:pPr>
    </w:p>
    <w:p w:rsidR="00943B98" w:rsidRPr="00BD5AC5" w:rsidRDefault="00943B98" w:rsidP="00BD5AC5">
      <w:pPr>
        <w:ind w:left="-90"/>
        <w:rPr>
          <w:b/>
          <w:szCs w:val="24"/>
        </w:rPr>
      </w:pPr>
      <w:r w:rsidRPr="00BD5AC5">
        <w:rPr>
          <w:b/>
          <w:szCs w:val="24"/>
        </w:rPr>
        <w:t>Table B.1.4 – Distribution of low-pressure event size and number of events by utility, assuming one event per utility per month.</w:t>
      </w:r>
    </w:p>
    <w:tbl>
      <w:tblPr>
        <w:tblStyle w:val="TableGrid"/>
        <w:tblW w:w="0" w:type="auto"/>
        <w:tblLayout w:type="fixed"/>
        <w:tblLook w:val="04A0" w:firstRow="1" w:lastRow="0" w:firstColumn="1" w:lastColumn="0" w:noHBand="0" w:noVBand="1"/>
      </w:tblPr>
      <w:tblGrid>
        <w:gridCol w:w="1008"/>
        <w:gridCol w:w="1530"/>
        <w:gridCol w:w="1710"/>
        <w:gridCol w:w="1530"/>
        <w:gridCol w:w="1530"/>
        <w:gridCol w:w="1530"/>
      </w:tblGrid>
      <w:tr w:rsidR="00C14C18" w:rsidTr="00C14C18">
        <w:tc>
          <w:tcPr>
            <w:tcW w:w="1008" w:type="dxa"/>
          </w:tcPr>
          <w:p w:rsidR="00C14C18" w:rsidRDefault="00C14C18" w:rsidP="0042207C">
            <w:r>
              <w:t>Utility</w:t>
            </w:r>
          </w:p>
        </w:tc>
        <w:tc>
          <w:tcPr>
            <w:tcW w:w="1530" w:type="dxa"/>
          </w:tcPr>
          <w:p w:rsidR="00C14C18" w:rsidRDefault="00C14C18" w:rsidP="00991E75">
            <w:r>
              <w:t xml:space="preserve">Number of small events </w:t>
            </w:r>
          </w:p>
        </w:tc>
        <w:tc>
          <w:tcPr>
            <w:tcW w:w="1710" w:type="dxa"/>
          </w:tcPr>
          <w:p w:rsidR="00C14C18" w:rsidRDefault="00C14C18" w:rsidP="0042207C">
            <w:r>
              <w:t>Number of medium events</w:t>
            </w:r>
          </w:p>
        </w:tc>
        <w:tc>
          <w:tcPr>
            <w:tcW w:w="1530" w:type="dxa"/>
          </w:tcPr>
          <w:p w:rsidR="00C14C18" w:rsidRDefault="00C14C18" w:rsidP="0042207C">
            <w:r>
              <w:t>Number of large events</w:t>
            </w:r>
          </w:p>
        </w:tc>
        <w:tc>
          <w:tcPr>
            <w:tcW w:w="1530" w:type="dxa"/>
          </w:tcPr>
          <w:p w:rsidR="00C14C18" w:rsidRDefault="00C14C18" w:rsidP="0042207C">
            <w:r>
              <w:t>Total Events</w:t>
            </w:r>
          </w:p>
        </w:tc>
        <w:tc>
          <w:tcPr>
            <w:tcW w:w="1530" w:type="dxa"/>
          </w:tcPr>
          <w:p w:rsidR="00C14C18" w:rsidRDefault="00C14C18" w:rsidP="00C14C18">
            <w:r>
              <w:t>Events / month</w:t>
            </w:r>
          </w:p>
        </w:tc>
      </w:tr>
      <w:tr w:rsidR="00C14C18" w:rsidTr="00C14C18">
        <w:tc>
          <w:tcPr>
            <w:tcW w:w="1008" w:type="dxa"/>
          </w:tcPr>
          <w:p w:rsidR="00C14C18" w:rsidRDefault="00C14C18" w:rsidP="0042207C">
            <w:r>
              <w:t>Pilot</w:t>
            </w:r>
          </w:p>
        </w:tc>
        <w:tc>
          <w:tcPr>
            <w:tcW w:w="1530" w:type="dxa"/>
          </w:tcPr>
          <w:p w:rsidR="00C14C18" w:rsidRDefault="00C14C18" w:rsidP="00C14C18">
            <w:pPr>
              <w:jc w:val="right"/>
            </w:pPr>
            <w:r>
              <w:t>1</w:t>
            </w:r>
          </w:p>
        </w:tc>
        <w:tc>
          <w:tcPr>
            <w:tcW w:w="1710" w:type="dxa"/>
          </w:tcPr>
          <w:p w:rsidR="00C14C18" w:rsidRDefault="00E93D57" w:rsidP="00C14C18">
            <w:pPr>
              <w:jc w:val="right"/>
            </w:pPr>
            <w:r>
              <w:t>4</w:t>
            </w:r>
          </w:p>
        </w:tc>
        <w:tc>
          <w:tcPr>
            <w:tcW w:w="1530" w:type="dxa"/>
          </w:tcPr>
          <w:p w:rsidR="00C14C18" w:rsidRDefault="00C14C18" w:rsidP="00C14C18">
            <w:pPr>
              <w:jc w:val="right"/>
            </w:pPr>
            <w:r>
              <w:t>1</w:t>
            </w:r>
          </w:p>
        </w:tc>
        <w:tc>
          <w:tcPr>
            <w:tcW w:w="1530" w:type="dxa"/>
          </w:tcPr>
          <w:p w:rsidR="00C14C18" w:rsidRDefault="00E93D57" w:rsidP="00C14C18">
            <w:pPr>
              <w:jc w:val="right"/>
            </w:pPr>
            <w:r>
              <w:t>6</w:t>
            </w:r>
          </w:p>
        </w:tc>
        <w:tc>
          <w:tcPr>
            <w:tcW w:w="1530" w:type="dxa"/>
          </w:tcPr>
          <w:p w:rsidR="00C14C18" w:rsidRDefault="00E93D57" w:rsidP="00C14C18">
            <w:pPr>
              <w:jc w:val="right"/>
            </w:pPr>
            <w:r>
              <w:t>2</w:t>
            </w:r>
          </w:p>
        </w:tc>
      </w:tr>
      <w:tr w:rsidR="00C14C18" w:rsidTr="00C14C18">
        <w:tc>
          <w:tcPr>
            <w:tcW w:w="1008" w:type="dxa"/>
          </w:tcPr>
          <w:p w:rsidR="00C14C18" w:rsidRDefault="00C14C18" w:rsidP="0042207C">
            <w:r>
              <w:t>A</w:t>
            </w:r>
          </w:p>
        </w:tc>
        <w:tc>
          <w:tcPr>
            <w:tcW w:w="1530" w:type="dxa"/>
          </w:tcPr>
          <w:p w:rsidR="00C14C18" w:rsidRDefault="009F66AC" w:rsidP="00C14C18">
            <w:pPr>
              <w:jc w:val="right"/>
            </w:pPr>
            <w:r>
              <w:t>3</w:t>
            </w:r>
          </w:p>
        </w:tc>
        <w:tc>
          <w:tcPr>
            <w:tcW w:w="1710" w:type="dxa"/>
          </w:tcPr>
          <w:p w:rsidR="00C14C18" w:rsidRDefault="009F66AC" w:rsidP="00C14C18">
            <w:pPr>
              <w:jc w:val="right"/>
            </w:pPr>
            <w:r>
              <w:t>7</w:t>
            </w:r>
          </w:p>
        </w:tc>
        <w:tc>
          <w:tcPr>
            <w:tcW w:w="1530" w:type="dxa"/>
          </w:tcPr>
          <w:p w:rsidR="00C14C18" w:rsidRDefault="009F66AC" w:rsidP="00C14C18">
            <w:pPr>
              <w:jc w:val="right"/>
            </w:pPr>
            <w:r>
              <w:t>3</w:t>
            </w:r>
          </w:p>
        </w:tc>
        <w:tc>
          <w:tcPr>
            <w:tcW w:w="1530" w:type="dxa"/>
          </w:tcPr>
          <w:p w:rsidR="00C14C18" w:rsidRDefault="009F66AC" w:rsidP="00C14C18">
            <w:pPr>
              <w:jc w:val="right"/>
            </w:pPr>
            <w:r>
              <w:t>1</w:t>
            </w:r>
            <w:r w:rsidR="006E7085">
              <w:t>3</w:t>
            </w:r>
          </w:p>
        </w:tc>
        <w:tc>
          <w:tcPr>
            <w:tcW w:w="1530" w:type="dxa"/>
          </w:tcPr>
          <w:p w:rsidR="00C14C18" w:rsidRDefault="00C14C18" w:rsidP="00C14C18">
            <w:pPr>
              <w:jc w:val="right"/>
            </w:pPr>
            <w:r>
              <w:t>1</w:t>
            </w:r>
            <w:r w:rsidR="006E7085">
              <w:t>-2</w:t>
            </w:r>
          </w:p>
        </w:tc>
      </w:tr>
      <w:tr w:rsidR="00C14C18" w:rsidTr="00C14C18">
        <w:tc>
          <w:tcPr>
            <w:tcW w:w="1008" w:type="dxa"/>
          </w:tcPr>
          <w:p w:rsidR="00C14C18" w:rsidRDefault="00C14C18" w:rsidP="0042207C">
            <w:r>
              <w:t>B</w:t>
            </w:r>
          </w:p>
        </w:tc>
        <w:tc>
          <w:tcPr>
            <w:tcW w:w="1530" w:type="dxa"/>
          </w:tcPr>
          <w:p w:rsidR="00C14C18" w:rsidRDefault="009F66AC" w:rsidP="00C14C18">
            <w:pPr>
              <w:jc w:val="right"/>
            </w:pPr>
            <w:r>
              <w:t>3</w:t>
            </w:r>
          </w:p>
        </w:tc>
        <w:tc>
          <w:tcPr>
            <w:tcW w:w="1710" w:type="dxa"/>
          </w:tcPr>
          <w:p w:rsidR="00C14C18" w:rsidRDefault="00C14C18" w:rsidP="00C14C18">
            <w:pPr>
              <w:jc w:val="right"/>
            </w:pPr>
            <w:r>
              <w:t>7</w:t>
            </w:r>
          </w:p>
        </w:tc>
        <w:tc>
          <w:tcPr>
            <w:tcW w:w="1530" w:type="dxa"/>
          </w:tcPr>
          <w:p w:rsidR="00C14C18" w:rsidRDefault="009F66AC" w:rsidP="00C14C18">
            <w:pPr>
              <w:jc w:val="right"/>
            </w:pPr>
            <w:r>
              <w:t>3</w:t>
            </w:r>
          </w:p>
        </w:tc>
        <w:tc>
          <w:tcPr>
            <w:tcW w:w="1530" w:type="dxa"/>
          </w:tcPr>
          <w:p w:rsidR="00C14C18" w:rsidRDefault="00C14C18" w:rsidP="009F66AC">
            <w:pPr>
              <w:jc w:val="right"/>
            </w:pPr>
            <w:r>
              <w:t>1</w:t>
            </w:r>
            <w:r w:rsidR="006E7085">
              <w:t>3</w:t>
            </w:r>
          </w:p>
        </w:tc>
        <w:tc>
          <w:tcPr>
            <w:tcW w:w="1530" w:type="dxa"/>
          </w:tcPr>
          <w:p w:rsidR="00C14C18" w:rsidRDefault="00C14C18" w:rsidP="00C14C18">
            <w:pPr>
              <w:jc w:val="right"/>
            </w:pPr>
            <w:r>
              <w:t>1</w:t>
            </w:r>
            <w:r w:rsidR="006E7085">
              <w:t>-2</w:t>
            </w:r>
          </w:p>
        </w:tc>
      </w:tr>
      <w:tr w:rsidR="00C14C18" w:rsidTr="00C14C18">
        <w:tc>
          <w:tcPr>
            <w:tcW w:w="1008" w:type="dxa"/>
          </w:tcPr>
          <w:p w:rsidR="00C14C18" w:rsidRDefault="00C14C18" w:rsidP="0042207C">
            <w:r>
              <w:t>C</w:t>
            </w:r>
          </w:p>
        </w:tc>
        <w:tc>
          <w:tcPr>
            <w:tcW w:w="1530" w:type="dxa"/>
          </w:tcPr>
          <w:p w:rsidR="00C14C18" w:rsidRDefault="009F66AC" w:rsidP="00C14C18">
            <w:pPr>
              <w:jc w:val="right"/>
            </w:pPr>
            <w:r>
              <w:t>3</w:t>
            </w:r>
          </w:p>
        </w:tc>
        <w:tc>
          <w:tcPr>
            <w:tcW w:w="1710" w:type="dxa"/>
          </w:tcPr>
          <w:p w:rsidR="00C14C18" w:rsidRDefault="009F66AC" w:rsidP="00C14C18">
            <w:pPr>
              <w:jc w:val="right"/>
            </w:pPr>
            <w:r>
              <w:t>7</w:t>
            </w:r>
          </w:p>
        </w:tc>
        <w:tc>
          <w:tcPr>
            <w:tcW w:w="1530" w:type="dxa"/>
          </w:tcPr>
          <w:p w:rsidR="00C14C18" w:rsidRDefault="009F66AC" w:rsidP="00C14C18">
            <w:pPr>
              <w:jc w:val="right"/>
            </w:pPr>
            <w:r>
              <w:t>3</w:t>
            </w:r>
          </w:p>
        </w:tc>
        <w:tc>
          <w:tcPr>
            <w:tcW w:w="1530" w:type="dxa"/>
          </w:tcPr>
          <w:p w:rsidR="00C14C18" w:rsidRDefault="009F66AC" w:rsidP="00C14C18">
            <w:pPr>
              <w:jc w:val="right"/>
            </w:pPr>
            <w:r>
              <w:t>1</w:t>
            </w:r>
            <w:r w:rsidR="006E7085">
              <w:t>3</w:t>
            </w:r>
          </w:p>
        </w:tc>
        <w:tc>
          <w:tcPr>
            <w:tcW w:w="1530" w:type="dxa"/>
          </w:tcPr>
          <w:p w:rsidR="00C14C18" w:rsidRDefault="00C14C18" w:rsidP="00C14C18">
            <w:pPr>
              <w:jc w:val="right"/>
            </w:pPr>
            <w:r>
              <w:t>1</w:t>
            </w:r>
            <w:r w:rsidR="006E7085">
              <w:t>-2</w:t>
            </w:r>
          </w:p>
        </w:tc>
      </w:tr>
      <w:tr w:rsidR="00C14C18" w:rsidTr="00C14C18">
        <w:tc>
          <w:tcPr>
            <w:tcW w:w="1008" w:type="dxa"/>
          </w:tcPr>
          <w:p w:rsidR="00C14C18" w:rsidRDefault="00C14C18" w:rsidP="0042207C">
            <w:r>
              <w:t>D</w:t>
            </w:r>
          </w:p>
        </w:tc>
        <w:tc>
          <w:tcPr>
            <w:tcW w:w="1530" w:type="dxa"/>
          </w:tcPr>
          <w:p w:rsidR="00C14C18" w:rsidRDefault="009F66AC" w:rsidP="00C14C18">
            <w:pPr>
              <w:jc w:val="right"/>
            </w:pPr>
            <w:r>
              <w:t>3</w:t>
            </w:r>
          </w:p>
        </w:tc>
        <w:tc>
          <w:tcPr>
            <w:tcW w:w="1710" w:type="dxa"/>
          </w:tcPr>
          <w:p w:rsidR="00C14C18" w:rsidRDefault="009F66AC" w:rsidP="00C14C18">
            <w:pPr>
              <w:jc w:val="right"/>
            </w:pPr>
            <w:r>
              <w:t>7</w:t>
            </w:r>
          </w:p>
        </w:tc>
        <w:tc>
          <w:tcPr>
            <w:tcW w:w="1530" w:type="dxa"/>
          </w:tcPr>
          <w:p w:rsidR="00C14C18" w:rsidRDefault="009F66AC" w:rsidP="00C14C18">
            <w:pPr>
              <w:jc w:val="right"/>
            </w:pPr>
            <w:r>
              <w:t>3</w:t>
            </w:r>
          </w:p>
        </w:tc>
        <w:tc>
          <w:tcPr>
            <w:tcW w:w="1530" w:type="dxa"/>
          </w:tcPr>
          <w:p w:rsidR="00C14C18" w:rsidRDefault="006E7085" w:rsidP="00C14C18">
            <w:pPr>
              <w:jc w:val="right"/>
            </w:pPr>
            <w:r>
              <w:t>13</w:t>
            </w:r>
          </w:p>
        </w:tc>
        <w:tc>
          <w:tcPr>
            <w:tcW w:w="1530" w:type="dxa"/>
          </w:tcPr>
          <w:p w:rsidR="00C14C18" w:rsidRDefault="00C14C18" w:rsidP="00C14C18">
            <w:pPr>
              <w:jc w:val="right"/>
            </w:pPr>
            <w:r>
              <w:t>1</w:t>
            </w:r>
            <w:r w:rsidR="006E7085">
              <w:t>-2</w:t>
            </w:r>
          </w:p>
        </w:tc>
      </w:tr>
      <w:tr w:rsidR="00C14C18" w:rsidTr="00C14C18">
        <w:tc>
          <w:tcPr>
            <w:tcW w:w="1008" w:type="dxa"/>
          </w:tcPr>
          <w:p w:rsidR="00C14C18" w:rsidRDefault="00C14C18" w:rsidP="0042207C">
            <w:r>
              <w:t>E</w:t>
            </w:r>
          </w:p>
        </w:tc>
        <w:tc>
          <w:tcPr>
            <w:tcW w:w="1530" w:type="dxa"/>
          </w:tcPr>
          <w:p w:rsidR="00C14C18" w:rsidRDefault="009F66AC" w:rsidP="00C14C18">
            <w:pPr>
              <w:jc w:val="right"/>
            </w:pPr>
            <w:r>
              <w:t>3</w:t>
            </w:r>
          </w:p>
        </w:tc>
        <w:tc>
          <w:tcPr>
            <w:tcW w:w="1710" w:type="dxa"/>
          </w:tcPr>
          <w:p w:rsidR="00C14C18" w:rsidRDefault="009F66AC" w:rsidP="00C14C18">
            <w:pPr>
              <w:jc w:val="right"/>
            </w:pPr>
            <w:r>
              <w:t>7</w:t>
            </w:r>
          </w:p>
        </w:tc>
        <w:tc>
          <w:tcPr>
            <w:tcW w:w="1530" w:type="dxa"/>
          </w:tcPr>
          <w:p w:rsidR="00C14C18" w:rsidRDefault="009F66AC" w:rsidP="00C14C18">
            <w:pPr>
              <w:jc w:val="right"/>
            </w:pPr>
            <w:r>
              <w:t>3</w:t>
            </w:r>
          </w:p>
        </w:tc>
        <w:tc>
          <w:tcPr>
            <w:tcW w:w="1530" w:type="dxa"/>
          </w:tcPr>
          <w:p w:rsidR="00C14C18" w:rsidRDefault="009F66AC" w:rsidP="009F66AC">
            <w:pPr>
              <w:jc w:val="right"/>
            </w:pPr>
            <w:r>
              <w:t>1</w:t>
            </w:r>
            <w:r w:rsidR="006E7085">
              <w:t>3</w:t>
            </w:r>
          </w:p>
        </w:tc>
        <w:tc>
          <w:tcPr>
            <w:tcW w:w="1530" w:type="dxa"/>
          </w:tcPr>
          <w:p w:rsidR="00C14C18" w:rsidRDefault="00C14C18" w:rsidP="00C14C18">
            <w:pPr>
              <w:jc w:val="right"/>
            </w:pPr>
            <w:r>
              <w:t>1</w:t>
            </w:r>
            <w:r w:rsidR="006E7085">
              <w:t>-2</w:t>
            </w:r>
          </w:p>
        </w:tc>
      </w:tr>
      <w:tr w:rsidR="00C14C18" w:rsidTr="00C14C18">
        <w:tc>
          <w:tcPr>
            <w:tcW w:w="1008" w:type="dxa"/>
          </w:tcPr>
          <w:p w:rsidR="00C14C18" w:rsidRPr="009F66AC" w:rsidRDefault="00C14C18" w:rsidP="0042207C">
            <w:pPr>
              <w:rPr>
                <w:b/>
              </w:rPr>
            </w:pPr>
            <w:r w:rsidRPr="009F66AC">
              <w:rPr>
                <w:b/>
              </w:rPr>
              <w:t>Total:</w:t>
            </w:r>
          </w:p>
        </w:tc>
        <w:tc>
          <w:tcPr>
            <w:tcW w:w="1530" w:type="dxa"/>
          </w:tcPr>
          <w:p w:rsidR="00C14C18" w:rsidRPr="009F66AC" w:rsidRDefault="009F66AC" w:rsidP="00C14C18">
            <w:pPr>
              <w:jc w:val="right"/>
              <w:rPr>
                <w:b/>
              </w:rPr>
            </w:pPr>
            <w:r>
              <w:rPr>
                <w:b/>
              </w:rPr>
              <w:t>16</w:t>
            </w:r>
          </w:p>
        </w:tc>
        <w:tc>
          <w:tcPr>
            <w:tcW w:w="1710" w:type="dxa"/>
          </w:tcPr>
          <w:p w:rsidR="00C14C18" w:rsidRPr="009F66AC" w:rsidRDefault="009F66AC" w:rsidP="00E93D57">
            <w:pPr>
              <w:jc w:val="right"/>
              <w:rPr>
                <w:b/>
              </w:rPr>
            </w:pPr>
            <w:r>
              <w:rPr>
                <w:b/>
              </w:rPr>
              <w:t>3</w:t>
            </w:r>
            <w:r w:rsidR="00E93D57">
              <w:rPr>
                <w:b/>
              </w:rPr>
              <w:t>9</w:t>
            </w:r>
          </w:p>
        </w:tc>
        <w:tc>
          <w:tcPr>
            <w:tcW w:w="1530" w:type="dxa"/>
          </w:tcPr>
          <w:p w:rsidR="00C14C18" w:rsidRPr="009F66AC" w:rsidRDefault="009F66AC" w:rsidP="00C14C18">
            <w:pPr>
              <w:jc w:val="right"/>
              <w:rPr>
                <w:b/>
              </w:rPr>
            </w:pPr>
            <w:r>
              <w:rPr>
                <w:b/>
              </w:rPr>
              <w:t>16</w:t>
            </w:r>
          </w:p>
        </w:tc>
        <w:tc>
          <w:tcPr>
            <w:tcW w:w="1530" w:type="dxa"/>
          </w:tcPr>
          <w:p w:rsidR="00C14C18" w:rsidRPr="009F66AC" w:rsidRDefault="00E93D57" w:rsidP="00C14C18">
            <w:pPr>
              <w:jc w:val="right"/>
              <w:rPr>
                <w:b/>
              </w:rPr>
            </w:pPr>
            <w:r>
              <w:rPr>
                <w:b/>
              </w:rPr>
              <w:t>71</w:t>
            </w:r>
          </w:p>
        </w:tc>
        <w:tc>
          <w:tcPr>
            <w:tcW w:w="1530" w:type="dxa"/>
          </w:tcPr>
          <w:p w:rsidR="00C14C18" w:rsidRPr="009F66AC" w:rsidRDefault="00C14C18" w:rsidP="00C14C18">
            <w:pPr>
              <w:jc w:val="right"/>
              <w:rPr>
                <w:b/>
              </w:rPr>
            </w:pPr>
          </w:p>
        </w:tc>
      </w:tr>
    </w:tbl>
    <w:p w:rsidR="00991E75" w:rsidRPr="007F7B1D" w:rsidRDefault="00991E75" w:rsidP="0042207C"/>
    <w:p w:rsidR="0042207C" w:rsidRPr="007F7B1D" w:rsidRDefault="0042207C" w:rsidP="0042207C"/>
    <w:p w:rsidR="0042207C" w:rsidRPr="007F7B1D" w:rsidRDefault="0042207C" w:rsidP="0042207C">
      <w:pPr>
        <w:rPr>
          <w:b/>
        </w:rPr>
      </w:pPr>
    </w:p>
    <w:p w:rsidR="0042207C" w:rsidRPr="007F7B1D" w:rsidRDefault="0042207C" w:rsidP="0042207C">
      <w:pPr>
        <w:rPr>
          <w:b/>
        </w:rPr>
      </w:pPr>
      <w:r w:rsidRPr="007F7B1D">
        <w:rPr>
          <w:b/>
        </w:rPr>
        <w:t xml:space="preserve">2. Procedures for the Collection of Information </w:t>
      </w:r>
    </w:p>
    <w:p w:rsidR="0042207C" w:rsidRPr="007F7B1D" w:rsidRDefault="0042207C" w:rsidP="0042207C"/>
    <w:p w:rsidR="0042207C" w:rsidRPr="007F7B1D" w:rsidRDefault="0042207C" w:rsidP="0042207C">
      <w:r w:rsidRPr="007F7B1D">
        <w:t xml:space="preserve">For a detailed discussion of sample selection, sample size, and statistical power for this study see Section B.1. </w:t>
      </w:r>
    </w:p>
    <w:p w:rsidR="0042207C" w:rsidRPr="007F7B1D" w:rsidRDefault="0042207C" w:rsidP="0042207C"/>
    <w:p w:rsidR="0042207C" w:rsidRPr="007F7B1D" w:rsidRDefault="0042207C" w:rsidP="0042207C">
      <w:pPr>
        <w:rPr>
          <w:b/>
          <w:bCs/>
        </w:rPr>
      </w:pPr>
      <w:r w:rsidRPr="007F7B1D">
        <w:rPr>
          <w:b/>
          <w:bCs/>
        </w:rPr>
        <w:t>2.1  Methods</w:t>
      </w:r>
    </w:p>
    <w:p w:rsidR="0042207C" w:rsidRPr="007F7B1D" w:rsidRDefault="0042207C" w:rsidP="0042207C">
      <w:pPr>
        <w:rPr>
          <w:bCs/>
          <w:i/>
        </w:rPr>
      </w:pPr>
      <w:r w:rsidRPr="00326274">
        <w:rPr>
          <w:bCs/>
          <w:i/>
        </w:rPr>
        <w:t>2.1.1  Identification</w:t>
      </w:r>
      <w:r w:rsidRPr="007F7B1D">
        <w:rPr>
          <w:bCs/>
          <w:i/>
        </w:rPr>
        <w:t xml:space="preserve"> of Potential Study Participants</w:t>
      </w:r>
    </w:p>
    <w:p w:rsidR="0042207C" w:rsidRDefault="00F4461B" w:rsidP="0042207C">
      <w:pPr>
        <w:rPr>
          <w:rFonts w:cstheme="minorHAnsi"/>
          <w:szCs w:val="24"/>
        </w:rPr>
      </w:pPr>
      <w:r>
        <w:t xml:space="preserve">Identification of exposed and unexposed areas associated with each low pressure event will be </w:t>
      </w:r>
      <w:r>
        <w:rPr>
          <w:rFonts w:cstheme="minorHAnsi"/>
          <w:szCs w:val="24"/>
        </w:rPr>
        <w:t>undertaken collaboratively between the utility and the CDC study team, including individuals with distribution system engineering expertise.</w:t>
      </w:r>
      <w:r w:rsidRPr="007F7B1D">
        <w:t xml:space="preserve"> </w:t>
      </w:r>
      <w:r w:rsidR="0042207C" w:rsidRPr="007F7B1D">
        <w:t xml:space="preserve">Water utilities will provide information on up to two LPEs per month. </w:t>
      </w:r>
      <w:r w:rsidR="0042207C" w:rsidRPr="004A4B25">
        <w:rPr>
          <w:rFonts w:cstheme="minorHAnsi"/>
          <w:szCs w:val="24"/>
        </w:rPr>
        <w:t xml:space="preserve">Exposed households will be identified as addresses that experience a loss or lack of water pressure due to an LPE in the water distribution system. The utility will identify the households affected by the LPE with the assistance of </w:t>
      </w:r>
      <w:r w:rsidR="0042207C">
        <w:rPr>
          <w:rFonts w:cstheme="minorHAnsi"/>
          <w:szCs w:val="24"/>
        </w:rPr>
        <w:t>their water system information systems, and convey this information to CDC, using street names and a map if available</w:t>
      </w:r>
      <w:r w:rsidR="0042207C" w:rsidRPr="004A4B25">
        <w:rPr>
          <w:rFonts w:cstheme="minorHAnsi"/>
          <w:szCs w:val="24"/>
        </w:rPr>
        <w:t xml:space="preserve">. </w:t>
      </w:r>
      <w:r>
        <w:rPr>
          <w:rFonts w:cstheme="minorHAnsi"/>
          <w:szCs w:val="24"/>
        </w:rPr>
        <w:t>We will not ask residents to participate in the study more than once, therefore events that occur in areas that were previously sampled as either exposed or unexposed areas will not be eligible.</w:t>
      </w:r>
    </w:p>
    <w:p w:rsidR="0042207C" w:rsidRDefault="0042207C" w:rsidP="0042207C">
      <w:pPr>
        <w:rPr>
          <w:rFonts w:cstheme="minorHAnsi"/>
          <w:szCs w:val="24"/>
        </w:rPr>
      </w:pPr>
    </w:p>
    <w:p w:rsidR="0042207C" w:rsidRDefault="0042207C" w:rsidP="0042207C">
      <w:pPr>
        <w:rPr>
          <w:rFonts w:cstheme="minorHAnsi"/>
          <w:szCs w:val="24"/>
        </w:rPr>
      </w:pPr>
      <w:r>
        <w:rPr>
          <w:rFonts w:cstheme="minorHAnsi"/>
          <w:szCs w:val="24"/>
        </w:rPr>
        <w:t xml:space="preserve">Using the address of the event and map of affected households, the </w:t>
      </w:r>
      <w:r w:rsidRPr="004A4B25">
        <w:rPr>
          <w:rFonts w:cstheme="minorHAnsi"/>
          <w:szCs w:val="24"/>
        </w:rPr>
        <w:t>CDC</w:t>
      </w:r>
      <w:r>
        <w:rPr>
          <w:rFonts w:cstheme="minorHAnsi"/>
          <w:szCs w:val="24"/>
        </w:rPr>
        <w:t xml:space="preserve"> study team </w:t>
      </w:r>
      <w:r w:rsidRPr="004A4B25">
        <w:rPr>
          <w:rFonts w:cstheme="minorHAnsi"/>
          <w:szCs w:val="24"/>
        </w:rPr>
        <w:t xml:space="preserve">will </w:t>
      </w:r>
      <w:r>
        <w:rPr>
          <w:rFonts w:cstheme="minorHAnsi"/>
          <w:szCs w:val="24"/>
        </w:rPr>
        <w:t xml:space="preserve">determine the census block(s) affected, as well as the census block group and census tract. A map showing these areas will be provided to the utility to narrow down the area in which to seek a group of homes that are comparable to the homes affected by the LPE. </w:t>
      </w:r>
      <w:r w:rsidRPr="004A4B25">
        <w:rPr>
          <w:rFonts w:cstheme="minorHAnsi"/>
          <w:szCs w:val="24"/>
        </w:rPr>
        <w:t xml:space="preserve">Because census tracts are designed to be homogeneous with respect to population characteristics, identifying unaffected areas within the same block group </w:t>
      </w:r>
      <w:r>
        <w:rPr>
          <w:rFonts w:cstheme="minorHAnsi"/>
          <w:szCs w:val="24"/>
        </w:rPr>
        <w:t xml:space="preserve">(or census tract for large events) </w:t>
      </w:r>
      <w:r w:rsidRPr="004A4B25">
        <w:rPr>
          <w:rFonts w:cstheme="minorHAnsi"/>
          <w:szCs w:val="24"/>
        </w:rPr>
        <w:t xml:space="preserve">will help to minimize bias by assuring that affected and unaffected areas are reasonably well matched in terms of demographic characteristics. </w:t>
      </w:r>
      <w:r>
        <w:rPr>
          <w:rFonts w:cstheme="minorHAnsi"/>
          <w:szCs w:val="24"/>
        </w:rPr>
        <w:t xml:space="preserve">Using its own water system information systems, </w:t>
      </w:r>
      <w:r w:rsidR="00F4461B">
        <w:rPr>
          <w:rFonts w:cstheme="minorHAnsi"/>
          <w:szCs w:val="24"/>
        </w:rPr>
        <w:t xml:space="preserve">in collaboration with the CDC study team, </w:t>
      </w:r>
      <w:r>
        <w:rPr>
          <w:rFonts w:cstheme="minorHAnsi"/>
          <w:szCs w:val="24"/>
        </w:rPr>
        <w:t xml:space="preserve">the utility will then identify </w:t>
      </w:r>
      <w:r w:rsidRPr="004A4B25">
        <w:rPr>
          <w:rFonts w:cstheme="minorHAnsi"/>
          <w:szCs w:val="24"/>
        </w:rPr>
        <w:t xml:space="preserve">similarly-sized </w:t>
      </w:r>
      <w:r>
        <w:rPr>
          <w:rFonts w:cstheme="minorHAnsi"/>
          <w:szCs w:val="24"/>
        </w:rPr>
        <w:t xml:space="preserve">or larger </w:t>
      </w:r>
      <w:r w:rsidRPr="004A4B25">
        <w:rPr>
          <w:rFonts w:cstheme="minorHAnsi"/>
          <w:szCs w:val="24"/>
        </w:rPr>
        <w:t>area</w:t>
      </w:r>
      <w:r>
        <w:rPr>
          <w:rFonts w:cstheme="minorHAnsi"/>
          <w:szCs w:val="24"/>
        </w:rPr>
        <w:t>s</w:t>
      </w:r>
      <w:r w:rsidRPr="004A4B25">
        <w:rPr>
          <w:rFonts w:cstheme="minorHAnsi"/>
          <w:szCs w:val="24"/>
        </w:rPr>
        <w:t xml:space="preserve"> within the same census block group </w:t>
      </w:r>
      <w:r>
        <w:rPr>
          <w:rFonts w:cstheme="minorHAnsi"/>
          <w:szCs w:val="24"/>
        </w:rPr>
        <w:t xml:space="preserve">(or census tract if necessary) </w:t>
      </w:r>
      <w:r w:rsidRPr="004A4B25">
        <w:rPr>
          <w:rFonts w:cstheme="minorHAnsi"/>
          <w:szCs w:val="24"/>
        </w:rPr>
        <w:t xml:space="preserve">that </w:t>
      </w:r>
      <w:r>
        <w:rPr>
          <w:rFonts w:cstheme="minorHAnsi"/>
          <w:szCs w:val="24"/>
        </w:rPr>
        <w:t>are</w:t>
      </w:r>
      <w:r w:rsidRPr="004A4B25">
        <w:rPr>
          <w:rFonts w:cstheme="minorHAnsi"/>
          <w:szCs w:val="24"/>
        </w:rPr>
        <w:t xml:space="preserve"> unaffected by the LPE because they are in a different pressure zone</w:t>
      </w:r>
      <w:r>
        <w:rPr>
          <w:rFonts w:cstheme="minorHAnsi"/>
          <w:szCs w:val="24"/>
        </w:rPr>
        <w:t>, upstream of the event, involve a separate loop,</w:t>
      </w:r>
      <w:r w:rsidRPr="004A4B25">
        <w:rPr>
          <w:rFonts w:cstheme="minorHAnsi"/>
          <w:szCs w:val="24"/>
        </w:rPr>
        <w:t xml:space="preserve"> or </w:t>
      </w:r>
      <w:r>
        <w:rPr>
          <w:rFonts w:cstheme="minorHAnsi"/>
          <w:szCs w:val="24"/>
        </w:rPr>
        <w:t xml:space="preserve">are </w:t>
      </w:r>
      <w:r w:rsidRPr="004A4B25">
        <w:rPr>
          <w:rFonts w:cstheme="minorHAnsi"/>
          <w:szCs w:val="24"/>
        </w:rPr>
        <w:t xml:space="preserve">in an area of the distribution system separate from the area of the LPE. </w:t>
      </w:r>
      <w:r>
        <w:rPr>
          <w:rFonts w:cstheme="minorHAnsi"/>
          <w:szCs w:val="24"/>
        </w:rPr>
        <w:t xml:space="preserve">From the potential areas identified, </w:t>
      </w:r>
      <w:r>
        <w:rPr>
          <w:rFonts w:cstheme="minorHAnsi"/>
          <w:szCs w:val="24"/>
        </w:rPr>
        <w:lastRenderedPageBreak/>
        <w:t>utilities will identify an area that matches the affected (event) area in terms of predominant housing type, pipe size and material, and origin of water</w:t>
      </w:r>
      <w:r w:rsidR="00F4461B">
        <w:rPr>
          <w:rFonts w:cstheme="minorHAnsi"/>
          <w:szCs w:val="24"/>
        </w:rPr>
        <w:t>, as detailed on the Low Pressure Event form</w:t>
      </w:r>
      <w:r>
        <w:rPr>
          <w:rFonts w:cstheme="minorHAnsi"/>
          <w:szCs w:val="24"/>
        </w:rPr>
        <w:t xml:space="preserve">. If </w:t>
      </w:r>
      <w:r w:rsidR="00F4461B">
        <w:rPr>
          <w:rFonts w:cstheme="minorHAnsi"/>
          <w:szCs w:val="24"/>
        </w:rPr>
        <w:t>multiple</w:t>
      </w:r>
      <w:r>
        <w:rPr>
          <w:rFonts w:cstheme="minorHAnsi"/>
          <w:szCs w:val="24"/>
        </w:rPr>
        <w:t xml:space="preserve"> </w:t>
      </w:r>
      <w:r w:rsidR="00F4461B">
        <w:rPr>
          <w:rFonts w:cstheme="minorHAnsi"/>
          <w:szCs w:val="24"/>
        </w:rPr>
        <w:t xml:space="preserve">potential </w:t>
      </w:r>
      <w:r>
        <w:rPr>
          <w:rFonts w:cstheme="minorHAnsi"/>
          <w:szCs w:val="24"/>
        </w:rPr>
        <w:t>matching area</w:t>
      </w:r>
      <w:r w:rsidR="00F4461B">
        <w:rPr>
          <w:rFonts w:cstheme="minorHAnsi"/>
          <w:szCs w:val="24"/>
        </w:rPr>
        <w:t>s</w:t>
      </w:r>
      <w:r>
        <w:rPr>
          <w:rFonts w:cstheme="minorHAnsi"/>
          <w:szCs w:val="24"/>
        </w:rPr>
        <w:t xml:space="preserve"> </w:t>
      </w:r>
      <w:r w:rsidR="00F4461B">
        <w:rPr>
          <w:rFonts w:cstheme="minorHAnsi"/>
          <w:szCs w:val="24"/>
        </w:rPr>
        <w:t xml:space="preserve">are </w:t>
      </w:r>
      <w:r>
        <w:rPr>
          <w:rFonts w:cstheme="minorHAnsi"/>
          <w:szCs w:val="24"/>
        </w:rPr>
        <w:t xml:space="preserve">found, </w:t>
      </w:r>
      <w:r w:rsidR="00F4461B">
        <w:rPr>
          <w:rFonts w:cstheme="minorHAnsi"/>
          <w:szCs w:val="24"/>
        </w:rPr>
        <w:t>CDC will</w:t>
      </w:r>
      <w:r>
        <w:rPr>
          <w:rFonts w:cstheme="minorHAnsi"/>
          <w:szCs w:val="24"/>
        </w:rPr>
        <w:t xml:space="preserve"> randomly select </w:t>
      </w:r>
      <w:r w:rsidR="00F4461B">
        <w:rPr>
          <w:rFonts w:cstheme="minorHAnsi"/>
          <w:szCs w:val="24"/>
        </w:rPr>
        <w:t xml:space="preserve">the </w:t>
      </w:r>
      <w:r>
        <w:rPr>
          <w:rFonts w:cstheme="minorHAnsi"/>
          <w:szCs w:val="24"/>
        </w:rPr>
        <w:t>area</w:t>
      </w:r>
      <w:r w:rsidR="00F4461B">
        <w:rPr>
          <w:rFonts w:cstheme="minorHAnsi"/>
          <w:szCs w:val="24"/>
        </w:rPr>
        <w:t xml:space="preserve"> for inclusion</w:t>
      </w:r>
      <w:r>
        <w:rPr>
          <w:rFonts w:cstheme="minorHAnsi"/>
          <w:szCs w:val="24"/>
        </w:rPr>
        <w:t>.</w:t>
      </w:r>
    </w:p>
    <w:p w:rsidR="0042207C" w:rsidRDefault="0042207C" w:rsidP="0042207C"/>
    <w:p w:rsidR="0042207C" w:rsidRDefault="0042207C" w:rsidP="0042207C">
      <w:r w:rsidRPr="007F7B1D">
        <w:t xml:space="preserve">The utility will provide the billing addresses of the exposed and unexposed households to CDC research staff within one week of an LPE. From this address list, a random sample of exposed and unexposed households will </w:t>
      </w:r>
      <w:r>
        <w:t>be generated by CDC study staff (see section B.1 for details on sampling)</w:t>
      </w:r>
      <w:r w:rsidRPr="007F7B1D">
        <w:t>. Households will only be surveyed once (either as a household exposed to an LPE or as an unexposed household).</w:t>
      </w:r>
    </w:p>
    <w:p w:rsidR="0042207C" w:rsidRDefault="0042207C" w:rsidP="0042207C"/>
    <w:p w:rsidR="0042207C" w:rsidRDefault="0042207C" w:rsidP="0042207C">
      <w:pPr>
        <w:rPr>
          <w:bCs/>
          <w:i/>
        </w:rPr>
      </w:pPr>
    </w:p>
    <w:p w:rsidR="0042207C" w:rsidRPr="007F7B1D" w:rsidRDefault="0042207C" w:rsidP="0042207C">
      <w:pPr>
        <w:rPr>
          <w:bCs/>
          <w:i/>
        </w:rPr>
      </w:pPr>
      <w:r w:rsidRPr="007F7B1D">
        <w:rPr>
          <w:bCs/>
          <w:i/>
        </w:rPr>
        <w:t>2.1.2 Eligibility</w:t>
      </w:r>
    </w:p>
    <w:p w:rsidR="0042207C" w:rsidRPr="007F7B1D" w:rsidRDefault="0042207C" w:rsidP="0042207C">
      <w:r>
        <w:t xml:space="preserve">Household respondents </w:t>
      </w:r>
      <w:r w:rsidRPr="007F7B1D">
        <w:t xml:space="preserve">must be English-speaking and </w:t>
      </w:r>
      <w:r>
        <w:rPr>
          <w:rFonts w:cs="Times New Roman"/>
        </w:rPr>
        <w:t>≥</w:t>
      </w:r>
      <w:r w:rsidRPr="007F7B1D">
        <w:t xml:space="preserve">18 years of age in order to be eligible to participate in the study. Children will not be targeted to be enrolled in the study per se, as we will not survey anyone &lt;18 years of age. However, the parent or guardian of a child may respond to the questionnaire regarding recent illness and exposures of children in his/her household. </w:t>
      </w:r>
      <w:r w:rsidR="00F4461B">
        <w:t>Households that have been invited to participate in response to a previous event will not be included in the sampling frame for subsequent events.</w:t>
      </w:r>
    </w:p>
    <w:p w:rsidR="0042207C" w:rsidRPr="007F7B1D" w:rsidRDefault="0042207C" w:rsidP="0042207C"/>
    <w:p w:rsidR="0042207C" w:rsidRDefault="0042207C" w:rsidP="0042207C">
      <w:r w:rsidRPr="007F7B1D">
        <w:t xml:space="preserve">Water connection addresses that are linked to businesses will be excluded. Residential facilities such as nursing homes or long-term care facilities will also be excluded because populations in these facilities generally have a higher rate of underlying medical conditions which predisposes them to a higher baseline incidence of diarrheal illness. They will be excluded to avoid bias.  </w:t>
      </w:r>
    </w:p>
    <w:p w:rsidR="0042207C" w:rsidRDefault="0042207C" w:rsidP="0042207C"/>
    <w:p w:rsidR="0042207C" w:rsidRPr="00374382" w:rsidRDefault="0042207C" w:rsidP="0042207C">
      <w:pPr>
        <w:rPr>
          <w:i/>
        </w:rPr>
      </w:pPr>
      <w:r w:rsidRPr="00374382">
        <w:rPr>
          <w:i/>
        </w:rPr>
        <w:t>2.1.3. Advance letter</w:t>
      </w:r>
    </w:p>
    <w:p w:rsidR="0042207C" w:rsidRDefault="0042207C" w:rsidP="0042207C">
      <w:r>
        <w:t xml:space="preserve">All potential study participants will have advance notice of the survey. An advance letter with information about the study (Appendix </w:t>
      </w:r>
      <w:r w:rsidR="000F70F3">
        <w:t>D</w:t>
      </w:r>
      <w:r>
        <w:t xml:space="preserve">) will be mailed to each selected household approximately 2-2.5 weeks after the low pressure event. The letter will be personalized with the utility customer’s name and home address using CDC stationary, and will be signed by the principal investigator. This letter will introduce the importance of the study and inform residents that they will receive a survey packet in a few days, with options to complete the paper survey and mail it in or to complete it online using a unique code. </w:t>
      </w:r>
      <w:r w:rsidRPr="00176FF5">
        <w:t xml:space="preserve">The advance letter will also inform study participants that they will receive </w:t>
      </w:r>
      <w:r>
        <w:t xml:space="preserve">a small gift (the refrigerator magnet) </w:t>
      </w:r>
      <w:r w:rsidRPr="00176FF5">
        <w:t xml:space="preserve">in their study packet </w:t>
      </w:r>
      <w:r>
        <w:t>as a token of our appreciation for their participation.</w:t>
      </w:r>
    </w:p>
    <w:p w:rsidR="0042207C" w:rsidRPr="007F7B1D" w:rsidRDefault="0042207C" w:rsidP="0042207C"/>
    <w:p w:rsidR="0042207C" w:rsidRPr="007F7B1D" w:rsidRDefault="0042207C" w:rsidP="0042207C">
      <w:pPr>
        <w:rPr>
          <w:bCs/>
          <w:i/>
        </w:rPr>
      </w:pPr>
      <w:r w:rsidRPr="007F7B1D">
        <w:rPr>
          <w:bCs/>
          <w:i/>
        </w:rPr>
        <w:t>2.</w:t>
      </w:r>
      <w:r>
        <w:rPr>
          <w:bCs/>
          <w:i/>
        </w:rPr>
        <w:t>1</w:t>
      </w:r>
      <w:r w:rsidRPr="007F7B1D">
        <w:rPr>
          <w:bCs/>
          <w:i/>
        </w:rPr>
        <w:t>.</w:t>
      </w:r>
      <w:r>
        <w:rPr>
          <w:bCs/>
          <w:i/>
        </w:rPr>
        <w:t>4</w:t>
      </w:r>
      <w:r w:rsidRPr="007F7B1D">
        <w:rPr>
          <w:bCs/>
          <w:i/>
        </w:rPr>
        <w:t xml:space="preserve">  Enrollment</w:t>
      </w:r>
    </w:p>
    <w:p w:rsidR="0042207C" w:rsidRDefault="0042207C" w:rsidP="0042207C">
      <w:r w:rsidRPr="007F7B1D">
        <w:t xml:space="preserve">A survey packet, including an introductory letter, </w:t>
      </w:r>
      <w:r>
        <w:t xml:space="preserve">study brochure with consent information (Appendices </w:t>
      </w:r>
      <w:r w:rsidR="000F70F3">
        <w:t>E</w:t>
      </w:r>
      <w:r>
        <w:t xml:space="preserve"> and </w:t>
      </w:r>
      <w:r w:rsidR="000F70F3">
        <w:t>F</w:t>
      </w:r>
      <w:r>
        <w:t>)</w:t>
      </w:r>
      <w:r w:rsidRPr="007F7B1D">
        <w:t xml:space="preserve"> an</w:t>
      </w:r>
      <w:r>
        <w:t>d the household survey (</w:t>
      </w:r>
      <w:r w:rsidR="0013631F">
        <w:t>Appendices</w:t>
      </w:r>
      <w:r w:rsidRPr="009D224F">
        <w:t xml:space="preserve"> </w:t>
      </w:r>
      <w:r w:rsidR="000F70F3">
        <w:t>G</w:t>
      </w:r>
      <w:r w:rsidR="0013631F">
        <w:t xml:space="preserve"> and </w:t>
      </w:r>
      <w:r w:rsidR="000F70F3">
        <w:t>H</w:t>
      </w:r>
      <w:r w:rsidRPr="007F7B1D">
        <w:t xml:space="preserve">), will be mailed from CDC to each </w:t>
      </w:r>
      <w:r>
        <w:t xml:space="preserve">randomly </w:t>
      </w:r>
      <w:r w:rsidRPr="007F7B1D">
        <w:t xml:space="preserve">selected exposed and </w:t>
      </w:r>
      <w:r w:rsidRPr="00304CB6">
        <w:t xml:space="preserve">unexposed household approximately three weeks after the LPE (i.e., .5-1 week after the advance letter). </w:t>
      </w:r>
      <w:r w:rsidR="00803700">
        <w:t>Mailed study materials will also direct participants to a study website (</w:t>
      </w:r>
      <w:hyperlink r:id="rId9" w:history="1">
        <w:r w:rsidR="00803700">
          <w:rPr>
            <w:rStyle w:val="Hyperlink"/>
          </w:rPr>
          <w:t>http://www.cdc.gov/healthywater/study.html</w:t>
        </w:r>
      </w:hyperlink>
      <w:r w:rsidR="00803700" w:rsidRPr="00803700">
        <w:rPr>
          <w:color w:val="000000" w:themeColor="text1"/>
        </w:rPr>
        <w:t xml:space="preserve">) where they can seek more information </w:t>
      </w:r>
      <w:r w:rsidR="00803700" w:rsidRPr="00803700">
        <w:rPr>
          <w:color w:val="000000" w:themeColor="text1"/>
        </w:rPr>
        <w:lastRenderedPageBreak/>
        <w:t xml:space="preserve">about the study or link to the secure study website to take the survey online. </w:t>
      </w:r>
      <w:r w:rsidRPr="00304CB6">
        <w:t xml:space="preserve">In addition, a refrigerator magnet </w:t>
      </w:r>
      <w:r w:rsidR="0005416F">
        <w:t xml:space="preserve">depicting a calendar </w:t>
      </w:r>
      <w:r w:rsidRPr="00304CB6">
        <w:t>will be included with the designated three week period of interest highlighted</w:t>
      </w:r>
      <w:r w:rsidRPr="00374382">
        <w:t xml:space="preserve"> </w:t>
      </w:r>
      <w:r w:rsidRPr="00304CB6">
        <w:t>as a reminder for the household to only answer about those days indicated. Three weeks is generally the maximum incub</w:t>
      </w:r>
      <w:r w:rsidRPr="007F7B1D">
        <w:t>ation period for pathogens known to cause waterborne AGI and ARI. Therefore, those persons who were exposed to these pathogens during the LPE will likely have developed symptoms by the time they receive the questionnaire. The letter will include information about the study and invite the recipient to participate</w:t>
      </w:r>
      <w:r>
        <w:t xml:space="preserve">. </w:t>
      </w:r>
      <w:r w:rsidRPr="007F7B1D">
        <w:t xml:space="preserve">In order to maximize response rates, we will give survey participants the </w:t>
      </w:r>
      <w:r>
        <w:t>choice of</w:t>
      </w:r>
      <w:r w:rsidRPr="007F7B1D">
        <w:t xml:space="preserve"> t</w:t>
      </w:r>
      <w:r>
        <w:t>w</w:t>
      </w:r>
      <w:r w:rsidRPr="007F7B1D">
        <w:t xml:space="preserve">o </w:t>
      </w:r>
      <w:r>
        <w:t xml:space="preserve">response modes: </w:t>
      </w:r>
      <w:r w:rsidRPr="007F7B1D">
        <w:t>over the internet using a web-based survey tool, or via postal mail. The introductory letter will provide a study identification number that the respondent will use as a pass</w:t>
      </w:r>
      <w:r>
        <w:t xml:space="preserve"> </w:t>
      </w:r>
      <w:r w:rsidRPr="007F7B1D">
        <w:t>code to enter on the survey website, should the respondent prefer to complete the survey online.</w:t>
      </w:r>
      <w:r>
        <w:t xml:space="preserve"> This information will be duplicated in a label on the front of the survey booklet.</w:t>
      </w:r>
      <w:r w:rsidRPr="007F7B1D">
        <w:t xml:space="preserve"> We will include a postage-paid return envelope (addressed to CDC) </w:t>
      </w:r>
      <w:r>
        <w:t>for return of paper surveys</w:t>
      </w:r>
      <w:r w:rsidRPr="007F7B1D">
        <w:t xml:space="preserve">. </w:t>
      </w:r>
      <w:r>
        <w:t xml:space="preserve">The calendar </w:t>
      </w:r>
      <w:r w:rsidR="0005416F">
        <w:t xml:space="preserve">magnet </w:t>
      </w:r>
      <w:r>
        <w:t xml:space="preserve">included in the survey packet will have the dates of the 3-week period of interest highlighted. </w:t>
      </w:r>
      <w:r w:rsidRPr="007F7B1D">
        <w:t xml:space="preserve">By utilizing multiple survey methods, we hope to have equitable recruitment of subjects. </w:t>
      </w:r>
    </w:p>
    <w:p w:rsidR="0042207C" w:rsidRPr="007F7B1D" w:rsidRDefault="0042207C" w:rsidP="0042207C"/>
    <w:p w:rsidR="0042207C" w:rsidRDefault="0042207C" w:rsidP="0042207C">
      <w:r w:rsidRPr="004E4298">
        <w:t xml:space="preserve">We will attempt to </w:t>
      </w:r>
      <w:r>
        <w:t>obtain survey information on</w:t>
      </w:r>
      <w:r w:rsidRPr="004E4298">
        <w:t xml:space="preserve"> </w:t>
      </w:r>
      <w:r>
        <w:t>all members of each</w:t>
      </w:r>
      <w:r w:rsidRPr="004E4298">
        <w:t xml:space="preserve"> household</w:t>
      </w:r>
      <w:r>
        <w:t xml:space="preserve"> (limited to 6 in the paper version of the survey due to printing constraints)</w:t>
      </w:r>
      <w:r w:rsidRPr="004E4298">
        <w:t>. Study participants will receive a refrigerator magnet calendar from the CDC as a</w:t>
      </w:r>
      <w:r>
        <w:t xml:space="preserve"> visual aid to improve recall and as </w:t>
      </w:r>
      <w:r w:rsidRPr="004E4298">
        <w:t xml:space="preserve">a token </w:t>
      </w:r>
      <w:r>
        <w:t>gift designed to improve response rates</w:t>
      </w:r>
      <w:r w:rsidRPr="004E4298">
        <w:t>.</w:t>
      </w:r>
    </w:p>
    <w:p w:rsidR="0042207C" w:rsidRPr="007F7B1D" w:rsidRDefault="0042207C" w:rsidP="0042207C"/>
    <w:p w:rsidR="0042207C" w:rsidRPr="007F7B1D" w:rsidRDefault="0042207C" w:rsidP="0042207C">
      <w:pPr>
        <w:rPr>
          <w:bCs/>
          <w:i/>
        </w:rPr>
      </w:pPr>
      <w:r w:rsidRPr="007F7B1D">
        <w:rPr>
          <w:bCs/>
          <w:i/>
        </w:rPr>
        <w:t>2.</w:t>
      </w:r>
      <w:r>
        <w:rPr>
          <w:bCs/>
          <w:i/>
        </w:rPr>
        <w:t>1</w:t>
      </w:r>
      <w:r w:rsidRPr="007F7B1D">
        <w:rPr>
          <w:bCs/>
          <w:i/>
        </w:rPr>
        <w:t>.</w:t>
      </w:r>
      <w:r>
        <w:rPr>
          <w:bCs/>
          <w:i/>
        </w:rPr>
        <w:t>5</w:t>
      </w:r>
      <w:r w:rsidRPr="007F7B1D">
        <w:rPr>
          <w:bCs/>
          <w:i/>
        </w:rPr>
        <w:t xml:space="preserve"> Consent Process</w:t>
      </w:r>
    </w:p>
    <w:p w:rsidR="0042207C" w:rsidRDefault="0042207C" w:rsidP="0042207C">
      <w:r w:rsidRPr="002F123D">
        <w:t>The survey participants will indicate their consent to participate by completing the survey (in the postal and online versions of the survey).</w:t>
      </w:r>
      <w:r w:rsidRPr="007F7B1D">
        <w:t xml:space="preserve"> Instructions will clearly state that only individuals </w:t>
      </w:r>
      <w:r w:rsidRPr="007F7B1D">
        <w:rPr>
          <w:u w:val="single"/>
        </w:rPr>
        <w:t>&gt;</w:t>
      </w:r>
      <w:r w:rsidRPr="007F7B1D">
        <w:t xml:space="preserve"> 18 years of age are eligible to </w:t>
      </w:r>
      <w:r>
        <w:t>fill out the questionnaire</w:t>
      </w:r>
      <w:r w:rsidRPr="007F7B1D">
        <w:t>. No names will be collected at any time during the study.</w:t>
      </w:r>
    </w:p>
    <w:p w:rsidR="0042207C" w:rsidRPr="007F7B1D" w:rsidRDefault="0042207C" w:rsidP="0042207C"/>
    <w:p w:rsidR="0042207C" w:rsidRPr="007F7B1D" w:rsidRDefault="0042207C" w:rsidP="0042207C">
      <w:pPr>
        <w:rPr>
          <w:bCs/>
          <w:i/>
        </w:rPr>
      </w:pPr>
      <w:bookmarkStart w:id="3" w:name="_Toc263405057"/>
      <w:r w:rsidRPr="007F7B1D">
        <w:rPr>
          <w:bCs/>
          <w:i/>
        </w:rPr>
        <w:t>2.</w:t>
      </w:r>
      <w:r>
        <w:rPr>
          <w:bCs/>
          <w:i/>
        </w:rPr>
        <w:t>1</w:t>
      </w:r>
      <w:r w:rsidRPr="007F7B1D">
        <w:rPr>
          <w:bCs/>
          <w:i/>
        </w:rPr>
        <w:t>.</w:t>
      </w:r>
      <w:r>
        <w:rPr>
          <w:bCs/>
          <w:i/>
        </w:rPr>
        <w:t>6</w:t>
      </w:r>
      <w:r w:rsidRPr="007F7B1D">
        <w:rPr>
          <w:bCs/>
          <w:i/>
        </w:rPr>
        <w:t xml:space="preserve"> Survey Questionnaire</w:t>
      </w:r>
    </w:p>
    <w:p w:rsidR="0042207C" w:rsidRDefault="0042207C" w:rsidP="0042207C">
      <w:r>
        <w:t>Both</w:t>
      </w:r>
      <w:r w:rsidRPr="007F7B1D">
        <w:t xml:space="preserve"> versions of the study questionnaire </w:t>
      </w:r>
      <w:r>
        <w:t>will</w:t>
      </w:r>
      <w:r w:rsidRPr="007F7B1D">
        <w:t xml:space="preserve"> ask the same standardized questions from each household member concerning his or her recent gastrointestinal or respiratory illnesses, water </w:t>
      </w:r>
      <w:r>
        <w:t>service and exposures,</w:t>
      </w:r>
      <w:r w:rsidRPr="007F7B1D">
        <w:t xml:space="preserve"> and other activities. The questionnaire will focus on the three week time period after the LPE (referred to in the survey as the “</w:t>
      </w:r>
      <w:r>
        <w:t>three week period</w:t>
      </w:r>
      <w:r w:rsidRPr="007F7B1D">
        <w:t xml:space="preserve">”). For households where children &lt;18 years of age are present, we will ask a parent or guardian to answer questions and provide information on behalf of the child. Data from the paper-based surveys </w:t>
      </w:r>
      <w:r>
        <w:t>will</w:t>
      </w:r>
      <w:r w:rsidRPr="007F7B1D">
        <w:t xml:space="preserve"> be manually entered into the electronic database at CDC that </w:t>
      </w:r>
      <w:r>
        <w:t>will</w:t>
      </w:r>
      <w:r w:rsidRPr="007F7B1D">
        <w:t xml:space="preserve"> also house the data from the web-based surveys. </w:t>
      </w:r>
    </w:p>
    <w:p w:rsidR="0042207C" w:rsidRDefault="0042207C" w:rsidP="0042207C"/>
    <w:p w:rsidR="0042207C" w:rsidRPr="00374382" w:rsidRDefault="0042207C" w:rsidP="0042207C">
      <w:pPr>
        <w:rPr>
          <w:i/>
        </w:rPr>
      </w:pPr>
      <w:r w:rsidRPr="00374382">
        <w:rPr>
          <w:i/>
        </w:rPr>
        <w:t>2.</w:t>
      </w:r>
      <w:r>
        <w:rPr>
          <w:i/>
        </w:rPr>
        <w:t>1</w:t>
      </w:r>
      <w:r w:rsidRPr="00374382">
        <w:rPr>
          <w:i/>
        </w:rPr>
        <w:t>.</w:t>
      </w:r>
      <w:r>
        <w:rPr>
          <w:i/>
        </w:rPr>
        <w:t>7</w:t>
      </w:r>
      <w:r w:rsidRPr="00374382">
        <w:rPr>
          <w:i/>
        </w:rPr>
        <w:t xml:space="preserve"> Thank you/reminder </w:t>
      </w:r>
      <w:r>
        <w:rPr>
          <w:i/>
        </w:rPr>
        <w:t>note</w:t>
      </w:r>
      <w:r w:rsidRPr="00374382">
        <w:rPr>
          <w:i/>
        </w:rPr>
        <w:t>card</w:t>
      </w:r>
    </w:p>
    <w:p w:rsidR="0042207C" w:rsidRDefault="0042207C" w:rsidP="0042207C">
      <w:r>
        <w:t>One week after mailing the survey packet, we will send a personalized thank you/reminder notecard to the selected exposed and control households (</w:t>
      </w:r>
      <w:r w:rsidRPr="00B213B6">
        <w:t xml:space="preserve">Appendix </w:t>
      </w:r>
      <w:r w:rsidR="000F70F3">
        <w:t>I</w:t>
      </w:r>
      <w:r>
        <w:t xml:space="preserve">). The notecard will thank participants who already responded and request that those who have not yet responded do so. Participants will be reminded that they are important to the study, that their responses are useful, and that their participation is voluntary. The participant’s individual login and passcode for the web survey will be included on the </w:t>
      </w:r>
      <w:r>
        <w:lastRenderedPageBreak/>
        <w:t>card, and participants will also be given a phone number to call with questions or to request a replacement questionnaire.</w:t>
      </w:r>
    </w:p>
    <w:p w:rsidR="0042207C" w:rsidRDefault="0042207C" w:rsidP="0042207C"/>
    <w:p w:rsidR="0042207C" w:rsidRPr="00374382" w:rsidRDefault="0042207C" w:rsidP="0042207C">
      <w:pPr>
        <w:rPr>
          <w:i/>
        </w:rPr>
      </w:pPr>
      <w:r w:rsidRPr="00374382">
        <w:rPr>
          <w:i/>
        </w:rPr>
        <w:t>2.</w:t>
      </w:r>
      <w:r>
        <w:rPr>
          <w:i/>
        </w:rPr>
        <w:t>1</w:t>
      </w:r>
      <w:r w:rsidRPr="00374382">
        <w:rPr>
          <w:i/>
        </w:rPr>
        <w:t>.</w:t>
      </w:r>
      <w:r>
        <w:rPr>
          <w:i/>
        </w:rPr>
        <w:t>8</w:t>
      </w:r>
      <w:r w:rsidRPr="00374382">
        <w:rPr>
          <w:i/>
        </w:rPr>
        <w:t xml:space="preserve"> Replacement questionnaire mailing</w:t>
      </w:r>
    </w:p>
    <w:p w:rsidR="0042207C" w:rsidRDefault="0042207C" w:rsidP="0042207C">
      <w:r>
        <w:t xml:space="preserve">One week after mailing the thank you/reminder card, we will mail a replacement questionnaire packet to households that have not yet responded. The packet will contain essentially the same information as the first questionnaire mailing, but the letter will be altered slightly to indicate that we have not yet received their response, remind them that participation is easy and quick, and provides important information for public health planning </w:t>
      </w:r>
      <w:r w:rsidRPr="00B213B6">
        <w:t xml:space="preserve">(Appendix </w:t>
      </w:r>
      <w:r w:rsidR="000F70F3">
        <w:t>J</w:t>
      </w:r>
      <w:r>
        <w:t>), and a hand-written Post-It note encouraging them to respond.</w:t>
      </w:r>
    </w:p>
    <w:p w:rsidR="0042207C" w:rsidRDefault="0042207C" w:rsidP="0042207C"/>
    <w:p w:rsidR="0042207C" w:rsidRPr="00374382" w:rsidRDefault="0042207C" w:rsidP="0042207C">
      <w:pPr>
        <w:rPr>
          <w:i/>
        </w:rPr>
      </w:pPr>
      <w:r w:rsidRPr="00374382">
        <w:rPr>
          <w:i/>
        </w:rPr>
        <w:t>2.</w:t>
      </w:r>
      <w:r>
        <w:rPr>
          <w:i/>
        </w:rPr>
        <w:t>1</w:t>
      </w:r>
      <w:r w:rsidRPr="00374382">
        <w:rPr>
          <w:i/>
        </w:rPr>
        <w:t>.</w:t>
      </w:r>
      <w:r>
        <w:rPr>
          <w:i/>
        </w:rPr>
        <w:t>9</w:t>
      </w:r>
      <w:r w:rsidRPr="00374382">
        <w:rPr>
          <w:i/>
        </w:rPr>
        <w:t xml:space="preserve"> </w:t>
      </w:r>
      <w:r>
        <w:rPr>
          <w:i/>
        </w:rPr>
        <w:t>Final Appeal Letter</w:t>
      </w:r>
    </w:p>
    <w:p w:rsidR="0042207C" w:rsidRDefault="0042207C" w:rsidP="0042207C">
      <w:r w:rsidRPr="00BD2B97">
        <w:t>One week after mailing the replacement questionnaire, we will send a final mailing to non-responders</w:t>
      </w:r>
      <w:r w:rsidRPr="00374382">
        <w:t xml:space="preserve"> (Appendix </w:t>
      </w:r>
      <w:r w:rsidR="000F70F3">
        <w:t>K</w:t>
      </w:r>
      <w:r w:rsidRPr="00374382">
        <w:t>)</w:t>
      </w:r>
      <w:r w:rsidRPr="00BD2B97">
        <w:t>. This</w:t>
      </w:r>
      <w:r w:rsidRPr="00374382">
        <w:t xml:space="preserve"> final</w:t>
      </w:r>
      <w:r w:rsidRPr="00BD2B97">
        <w:t xml:space="preserve"> letter will be in a different color envelope</w:t>
      </w:r>
      <w:r w:rsidRPr="00374382">
        <w:t xml:space="preserve">, </w:t>
      </w:r>
      <w:r w:rsidRPr="00BD2B97">
        <w:t>contain a personalized letter on CDC letterhead with the signature of the principal investigator</w:t>
      </w:r>
      <w:r w:rsidRPr="00374382">
        <w:t xml:space="preserve">, and have a </w:t>
      </w:r>
      <w:r w:rsidRPr="00BD2B97">
        <w:t>reminder of the participant’s individual passcode for the web survey. This letter will convey</w:t>
      </w:r>
      <w:r>
        <w:t xml:space="preserve"> a sense of urgency that time is running out for participation, and inform participants that all responses must be received within two weeks. Responses received by mail or internet more than 8 weeks from the low pressure events will still be accepted, and a sensitivity analysis will be used to determine whether these late responses introduce recall bias. </w:t>
      </w:r>
    </w:p>
    <w:p w:rsidR="0042207C" w:rsidRPr="007F7B1D" w:rsidRDefault="0042207C" w:rsidP="0042207C"/>
    <w:p w:rsidR="0042207C" w:rsidRPr="007F7B1D" w:rsidRDefault="0042207C" w:rsidP="0042207C">
      <w:pPr>
        <w:rPr>
          <w:bCs/>
          <w:i/>
        </w:rPr>
      </w:pPr>
      <w:r w:rsidRPr="007F7B1D">
        <w:rPr>
          <w:bCs/>
          <w:i/>
        </w:rPr>
        <w:t>2.</w:t>
      </w:r>
      <w:r>
        <w:rPr>
          <w:bCs/>
          <w:i/>
        </w:rPr>
        <w:t>1</w:t>
      </w:r>
      <w:r w:rsidRPr="007F7B1D">
        <w:rPr>
          <w:bCs/>
          <w:i/>
        </w:rPr>
        <w:t>.</w:t>
      </w:r>
      <w:bookmarkEnd w:id="3"/>
      <w:r>
        <w:rPr>
          <w:bCs/>
          <w:i/>
        </w:rPr>
        <w:t>10</w:t>
      </w:r>
      <w:r w:rsidRPr="007F7B1D">
        <w:rPr>
          <w:bCs/>
          <w:i/>
        </w:rPr>
        <w:t xml:space="preserve"> Low Pressure Event Information</w:t>
      </w:r>
    </w:p>
    <w:p w:rsidR="0042207C" w:rsidRPr="007F7B1D" w:rsidRDefault="0042207C" w:rsidP="0042207C">
      <w:r w:rsidRPr="007F7B1D">
        <w:t>In addition to the information collected from the study participants, data will be collected from the water utility about the LPE</w:t>
      </w:r>
      <w:r w:rsidR="002D4DF9">
        <w:t xml:space="preserve"> using the LPE form</w:t>
      </w:r>
      <w:r w:rsidRPr="007F7B1D">
        <w:t xml:space="preserve"> (Appendix </w:t>
      </w:r>
      <w:r w:rsidR="000F70F3">
        <w:t>L</w:t>
      </w:r>
      <w:r w:rsidRPr="007F7B1D">
        <w:t xml:space="preserve">). </w:t>
      </w:r>
      <w:r w:rsidR="002D4DF9">
        <w:t xml:space="preserve">The utility repair crew will complete one LPE form per event, and a utility manager will review and approve the form before sending the form to CDC. Prior to the final selection of exposed and unexposed areas, the CDC study team will review the information and request follow-up from utility staff for missing or unclear information. </w:t>
      </w:r>
      <w:r w:rsidRPr="00374382">
        <w:t>The water utility will provide information</w:t>
      </w:r>
      <w:r w:rsidRPr="00DB0A64">
        <w:t xml:space="preserve"> on the condition of the distribution system infrastructure (e.g., age and type of pipe material), the duration of the LPE, the extent of the areas of the population affected (e.g., the number of households), location of wastewater and storm water collection systems in relation to the impacted water line, and procedures used to restore the distribution system after the LPE.</w:t>
      </w:r>
      <w:r w:rsidRPr="007F7B1D">
        <w:t xml:space="preserve"> Hydraulic model outputs and monitoring data </w:t>
      </w:r>
      <w:r>
        <w:t xml:space="preserve">including </w:t>
      </w:r>
      <w:r w:rsidRPr="007F7B1D">
        <w:t xml:space="preserve">total coliforms, disinfectant residuals, turbidity and other information that relates to the microbiological status of the distribution system </w:t>
      </w:r>
      <w:r>
        <w:t>may</w:t>
      </w:r>
      <w:r w:rsidRPr="007F7B1D">
        <w:t xml:space="preserve"> </w:t>
      </w:r>
      <w:r>
        <w:t xml:space="preserve">also </w:t>
      </w:r>
      <w:r w:rsidRPr="007F7B1D">
        <w:t xml:space="preserve">be collected. </w:t>
      </w:r>
    </w:p>
    <w:p w:rsidR="0042207C" w:rsidRPr="007F7B1D" w:rsidRDefault="0042207C" w:rsidP="0042207C"/>
    <w:p w:rsidR="0042207C" w:rsidRPr="00374382" w:rsidRDefault="008C621B" w:rsidP="0042207C">
      <w:r>
        <w:t xml:space="preserve">We will also </w:t>
      </w:r>
      <w:r w:rsidR="0042207C" w:rsidRPr="007F7B1D">
        <w:t xml:space="preserve">conduct supplemental environmental sampling. For each LPE, </w:t>
      </w:r>
      <w:r w:rsidR="0042207C">
        <w:t xml:space="preserve">utility company personnel dispatched to perform repairs or </w:t>
      </w:r>
      <w:r w:rsidR="0042207C" w:rsidRPr="00950DD4">
        <w:t>maintenance</w:t>
      </w:r>
      <w:r w:rsidR="0042207C">
        <w:t xml:space="preserve"> will collect </w:t>
      </w:r>
      <w:r w:rsidR="0042207C" w:rsidRPr="007F7B1D">
        <w:t xml:space="preserve">water samples </w:t>
      </w:r>
      <w:r w:rsidR="0042207C" w:rsidRPr="00374382">
        <w:t>from the distribution</w:t>
      </w:r>
      <w:r w:rsidR="0042207C" w:rsidRPr="007F7B1D">
        <w:t xml:space="preserve"> system in both the exposed area and the unexposed area from hydrants, sampling points, or commercial and residential hose bibs within 24 hours of the LPE. Water sample sites (selected by the water utilities) will not be linked to household survey addresses</w:t>
      </w:r>
      <w:r w:rsidR="0042207C">
        <w:t xml:space="preserve">; rather, they will be assumed to represent water in the distribution system in the affected and unaffected areas. </w:t>
      </w:r>
      <w:r w:rsidR="0042207C" w:rsidRPr="007F7B1D">
        <w:t xml:space="preserve">The </w:t>
      </w:r>
      <w:r w:rsidR="0042207C" w:rsidRPr="00374382">
        <w:t>following is a potential sampling schedule:</w:t>
      </w:r>
    </w:p>
    <w:p w:rsidR="0042207C" w:rsidRPr="00374382" w:rsidRDefault="0042207C" w:rsidP="0042207C">
      <w:pPr>
        <w:ind w:left="720"/>
      </w:pPr>
      <w:r w:rsidRPr="00374382">
        <w:t xml:space="preserve">• </w:t>
      </w:r>
      <w:r w:rsidR="003A5A9B">
        <w:t>Three</w:t>
      </w:r>
      <w:r w:rsidRPr="00374382">
        <w:t>, ~100-L drinking water samples from exposure area within 24 hours of LPE (exterior hose bibs)</w:t>
      </w:r>
    </w:p>
    <w:p w:rsidR="0042207C" w:rsidRPr="00176FF5" w:rsidRDefault="0042207C" w:rsidP="0042207C">
      <w:pPr>
        <w:ind w:left="720"/>
      </w:pPr>
      <w:r w:rsidRPr="00374382">
        <w:t>•</w:t>
      </w:r>
      <w:r w:rsidR="003A5A9B">
        <w:t xml:space="preserve"> Three</w:t>
      </w:r>
      <w:r w:rsidRPr="00374382">
        <w:t>, ~100-L drinking water samples from unexposed area within 48 hours of LPE (exterior hose bibs)</w:t>
      </w:r>
    </w:p>
    <w:p w:rsidR="0042207C" w:rsidRPr="007F7B1D" w:rsidRDefault="0042207C" w:rsidP="0042207C">
      <w:pPr>
        <w:ind w:left="450"/>
      </w:pPr>
    </w:p>
    <w:p w:rsidR="0042207C" w:rsidRPr="007F7B1D" w:rsidRDefault="0042207C" w:rsidP="0042207C">
      <w:r w:rsidRPr="007F7B1D">
        <w:t xml:space="preserve">Water samples will be collected using a published ultrafiltration technique </w:t>
      </w:r>
      <w:r>
        <w:fldChar w:fldCharType="begin">
          <w:fldData xml:space="preserve">PEVuZE5vdGU+PENpdGU+PEF1dGhvcj5TbWl0aDwvQXV0aG9yPjxZZWFyPjIwMDk8L1llYXI+PFJl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</w:fldData>
        </w:fldChar>
      </w:r>
      <w:r>
        <w:instrText xml:space="preserve"> ADDIN EN.CITE </w:instrText>
      </w:r>
      <w:r>
        <w:fldChar w:fldCharType="begin">
          <w:fldData xml:space="preserve">PEVuZE5vdGU+PENpdGU+PEF1dGhvcj5TbWl0aDwvQXV0aG9yPjxZZWFyPjIwMDk8L1llYXI+PFJl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</w:fldData>
        </w:fldChar>
      </w:r>
      <w:r>
        <w:instrText xml:space="preserve"> ADDIN EN.CITE.DATA </w:instrText>
      </w:r>
      <w:r>
        <w:fldChar w:fldCharType="end"/>
      </w:r>
      <w:r>
        <w:fldChar w:fldCharType="separate"/>
      </w:r>
      <w:r>
        <w:rPr>
          <w:noProof/>
        </w:rPr>
        <w:t>(</w:t>
      </w:r>
      <w:hyperlink w:anchor="_ENREF_9" w:tooltip="Smith, 2009 #2268" w:history="1">
        <w:r>
          <w:rPr>
            <w:noProof/>
          </w:rPr>
          <w:t>Smith and Hill 2009</w:t>
        </w:r>
      </w:hyperlink>
      <w:r>
        <w:rPr>
          <w:noProof/>
        </w:rPr>
        <w:t>)</w:t>
      </w:r>
      <w:r>
        <w:fldChar w:fldCharType="end"/>
      </w:r>
      <w:r w:rsidRPr="007F7B1D">
        <w:t xml:space="preserve">. Environmental sampling collection supplies and pre-paid shipping labels will be provided to participating utilities. Depending upon their laboratory capacity, some of the environmental analyses will be conducted at the utility’s own laboratory, but most samples will be shipped in coolers to the CDC Environmental Microbiology Laboratory for testing within 36 hours of collection. </w:t>
      </w:r>
      <w:r w:rsidR="003A7594">
        <w:t>The CDC laboratory regularly responds to waterborne disease outbreaks across the U.S. and has extensive experience training partners. The team has monitoring systems, protocols, and training materials in place to ensure that the CDC team can monitor the water sample collection and mailing. Compliance with chain of custody procedures will be monitored and enforced. A utility manager will notify the CDC when an event occurs, and the CDC team will follow up in the event that there is a delay in receiving samples.</w:t>
      </w:r>
    </w:p>
    <w:p w:rsidR="0042207C" w:rsidRPr="007F7B1D" w:rsidRDefault="0042207C" w:rsidP="0042207C"/>
    <w:p w:rsidR="0042207C" w:rsidRDefault="0042207C" w:rsidP="0042207C">
      <w:r w:rsidRPr="007F7B1D">
        <w:t xml:space="preserve">The drinking water samples will be analyzed for a suite of microbial indicators of fecal contamination </w:t>
      </w:r>
      <w:r>
        <w:t>including, total coliforms/</w:t>
      </w:r>
      <w:r w:rsidRPr="00322E37">
        <w:rPr>
          <w:i/>
        </w:rPr>
        <w:t>E. coli</w:t>
      </w:r>
      <w:r>
        <w:t xml:space="preserve">, </w:t>
      </w:r>
      <w:r w:rsidRPr="00322E37">
        <w:rPr>
          <w:i/>
        </w:rPr>
        <w:t>enterococci</w:t>
      </w:r>
      <w:r>
        <w:t xml:space="preserve">, </w:t>
      </w:r>
      <w:r w:rsidRPr="00322E37">
        <w:rPr>
          <w:i/>
        </w:rPr>
        <w:t>Clostridium perfringens</w:t>
      </w:r>
      <w:r>
        <w:t xml:space="preserve">, somatic coliphages, </w:t>
      </w:r>
      <w:r w:rsidRPr="00322E37">
        <w:rPr>
          <w:i/>
        </w:rPr>
        <w:t>Bacteroides spp</w:t>
      </w:r>
      <w:r>
        <w:t xml:space="preserve">., total aerobic spores, and heterotrophic plate count (HPC) bacteria. </w:t>
      </w:r>
    </w:p>
    <w:p w:rsidR="0042207C" w:rsidRDefault="0042207C" w:rsidP="0042207C"/>
    <w:p w:rsidR="0042207C" w:rsidRPr="007F7B1D" w:rsidRDefault="0042207C" w:rsidP="0042207C">
      <w:r w:rsidRPr="000C35AB">
        <w:t xml:space="preserve">Information on </w:t>
      </w:r>
      <w:r w:rsidRPr="00374382">
        <w:t xml:space="preserve">weather and </w:t>
      </w:r>
      <w:r w:rsidRPr="000C35AB">
        <w:t>climate variables (esp</w:t>
      </w:r>
      <w:r w:rsidRPr="00374382">
        <w:t>ecially</w:t>
      </w:r>
      <w:r w:rsidRPr="000C35AB">
        <w:t xml:space="preserve"> rainfall immediately preceding, during, and following the low pressure episode) will be collected</w:t>
      </w:r>
      <w:r w:rsidRPr="00374382">
        <w:t xml:space="preserve"> and analyzed in context of the study</w:t>
      </w:r>
      <w:r w:rsidRPr="000C35AB">
        <w:t xml:space="preserve"> by CDC staff using the National Oceanic and Atmospheric Administration’s (NOAA) national climate database (http://www.climate.gov/).</w:t>
      </w:r>
    </w:p>
    <w:p w:rsidR="0042207C" w:rsidRPr="007F7B1D" w:rsidRDefault="0042207C" w:rsidP="0042207C"/>
    <w:p w:rsidR="0042207C" w:rsidRPr="007F7B1D" w:rsidRDefault="0042207C" w:rsidP="0042207C">
      <w:pPr>
        <w:rPr>
          <w:i/>
        </w:rPr>
      </w:pPr>
      <w:r w:rsidRPr="007F7B1D">
        <w:rPr>
          <w:i/>
        </w:rPr>
        <w:t>2.</w:t>
      </w:r>
      <w:r>
        <w:rPr>
          <w:i/>
        </w:rPr>
        <w:t>1</w:t>
      </w:r>
      <w:r w:rsidRPr="007F7B1D">
        <w:rPr>
          <w:i/>
        </w:rPr>
        <w:t>.</w:t>
      </w:r>
      <w:r>
        <w:rPr>
          <w:i/>
        </w:rPr>
        <w:t>11</w:t>
      </w:r>
      <w:r w:rsidRPr="007F7B1D">
        <w:rPr>
          <w:i/>
        </w:rPr>
        <w:t xml:space="preserve"> Quality Control Procedures</w:t>
      </w:r>
    </w:p>
    <w:p w:rsidR="0042207C" w:rsidRPr="007F7B1D" w:rsidRDefault="0042207C" w:rsidP="0042207C">
      <w:r w:rsidRPr="007F7B1D">
        <w:t>Several quality control procedures will be implemented as part of this study:</w:t>
      </w:r>
    </w:p>
    <w:p w:rsidR="0042207C" w:rsidRPr="007F7B1D" w:rsidRDefault="0042207C" w:rsidP="0042207C">
      <w:pPr>
        <w:numPr>
          <w:ilvl w:val="0"/>
          <w:numId w:val="6"/>
        </w:numPr>
      </w:pPr>
      <w:r w:rsidRPr="007F7B1D">
        <w:t>The web-based questionnaire has built-in skip patterns and internal logic controls for efficiently routing the respondent to the relevant questions</w:t>
      </w:r>
      <w:r>
        <w:t xml:space="preserve"> based on their prior responses</w:t>
      </w:r>
      <w:r w:rsidRPr="007F7B1D">
        <w:t xml:space="preserve">. The paper-based questionnaire has the same questions and the same skip patterns as the web-based version. However, participants completing the paper-based questionnaire must manually follow these skip patterns, which may increase the risk for data entry errors. Additionally, the web-based questionnaire will employ a variety of prompts to encourage survey completion, whereas the paper-based questionnaire will have no such prompts. </w:t>
      </w:r>
    </w:p>
    <w:p w:rsidR="0042207C" w:rsidRPr="007F7B1D" w:rsidRDefault="0042207C" w:rsidP="0042207C">
      <w:pPr>
        <w:numPr>
          <w:ilvl w:val="0"/>
          <w:numId w:val="6"/>
        </w:numPr>
      </w:pPr>
      <w:r w:rsidRPr="007F7B1D">
        <w:t xml:space="preserve">The web-based questionnaire has data entry validation to limit data entry errors and reduce data cleaning efforts. Furthermore, data entry into the database is automatic thereby eliminating the need for manual data entry, which also limits </w:t>
      </w:r>
      <w:r>
        <w:t xml:space="preserve">potential </w:t>
      </w:r>
      <w:r w:rsidRPr="007F7B1D">
        <w:t>data entry errors.</w:t>
      </w:r>
    </w:p>
    <w:p w:rsidR="0042207C" w:rsidRDefault="002D4DF9" w:rsidP="0042207C">
      <w:pPr>
        <w:numPr>
          <w:ilvl w:val="0"/>
          <w:numId w:val="6"/>
        </w:numPr>
      </w:pPr>
      <w:r>
        <w:t>T</w:t>
      </w:r>
      <w:r w:rsidR="0042207C" w:rsidRPr="007F7B1D">
        <w:t xml:space="preserve">he CDC study team will manually clean the database at the end of the data collection period. </w:t>
      </w:r>
    </w:p>
    <w:p w:rsidR="002D4DF9" w:rsidRDefault="002D4DF9" w:rsidP="0042207C">
      <w:pPr>
        <w:numPr>
          <w:ilvl w:val="0"/>
          <w:numId w:val="6"/>
        </w:numPr>
      </w:pPr>
      <w:r>
        <w:t xml:space="preserve">The Low Pressure Event form will be reviewed by the CDC study team following each event before participants are selected, and the utility staff will be contacted for completion of missing information. </w:t>
      </w:r>
    </w:p>
    <w:p w:rsidR="002D4DF9" w:rsidRPr="007F7B1D" w:rsidRDefault="002D4DF9" w:rsidP="0042207C">
      <w:pPr>
        <w:numPr>
          <w:ilvl w:val="0"/>
          <w:numId w:val="6"/>
        </w:numPr>
      </w:pPr>
      <w:r>
        <w:t>Utilities will be trained in following the CDC lab team’s standard chain of custody procedures, and the CDC team will follow up with the utility if samples are not received in the allotted time following LPEs.</w:t>
      </w:r>
    </w:p>
    <w:p w:rsidR="0042207C" w:rsidRDefault="0042207C" w:rsidP="0042207C"/>
    <w:p w:rsidR="0042207C" w:rsidRPr="007F7B1D" w:rsidRDefault="0042207C" w:rsidP="0042207C"/>
    <w:p w:rsidR="0042207C" w:rsidRPr="007F7B1D" w:rsidRDefault="0042207C" w:rsidP="0042207C">
      <w:pPr>
        <w:rPr>
          <w:b/>
        </w:rPr>
      </w:pPr>
      <w:r w:rsidRPr="007F7B1D">
        <w:rPr>
          <w:b/>
        </w:rPr>
        <w:t>3. Methods to Maximize Response Rates and Deal with No</w:t>
      </w:r>
      <w:r>
        <w:rPr>
          <w:b/>
        </w:rPr>
        <w:t>n-</w:t>
      </w:r>
      <w:r w:rsidRPr="007F7B1D">
        <w:rPr>
          <w:b/>
        </w:rPr>
        <w:t>response</w:t>
      </w:r>
    </w:p>
    <w:p w:rsidR="0042207C" w:rsidRPr="007F7B1D" w:rsidRDefault="0042207C" w:rsidP="0042207C">
      <w:r w:rsidRPr="007F7B1D">
        <w:t>Participation in our study will be completely voluntary and no financial incentives will be offered. Still, we have attempted to maximize response rates through the following:</w:t>
      </w:r>
    </w:p>
    <w:p w:rsidR="0042207C" w:rsidRPr="007F7B1D" w:rsidRDefault="0042207C" w:rsidP="0042207C">
      <w:pPr>
        <w:numPr>
          <w:ilvl w:val="0"/>
          <w:numId w:val="6"/>
        </w:numPr>
      </w:pPr>
      <w:r w:rsidRPr="007F7B1D">
        <w:t xml:space="preserve">Utilizing </w:t>
      </w:r>
      <w:r>
        <w:t>both mailed and web-based</w:t>
      </w:r>
      <w:r w:rsidRPr="007F7B1D">
        <w:t xml:space="preserve"> survey methods and giving potential participants an option of how they would prefer to respond to the survey;</w:t>
      </w:r>
    </w:p>
    <w:p w:rsidR="0042207C" w:rsidRDefault="0042207C" w:rsidP="0042207C">
      <w:pPr>
        <w:numPr>
          <w:ilvl w:val="0"/>
          <w:numId w:val="6"/>
        </w:numPr>
      </w:pPr>
      <w:r w:rsidRPr="007F7B1D">
        <w:t>Keeping the survey length to a minimum</w:t>
      </w:r>
      <w:r>
        <w:t>, and using a respondent-friendly survey booklet</w:t>
      </w:r>
      <w:r w:rsidRPr="007F7B1D">
        <w:t>. We anticipate that it will take approximately 1</w:t>
      </w:r>
      <w:r>
        <w:t>2</w:t>
      </w:r>
      <w:r w:rsidRPr="007F7B1D">
        <w:t xml:space="preserve"> minutes for each participant to complete </w:t>
      </w:r>
      <w:r>
        <w:t xml:space="preserve">either </w:t>
      </w:r>
      <w:r w:rsidRPr="007F7B1D">
        <w:t>version</w:t>
      </w:r>
      <w:r>
        <w:t xml:space="preserve"> (web or paper)</w:t>
      </w:r>
      <w:r w:rsidRPr="007F7B1D">
        <w:t xml:space="preserve"> of the questionnaire</w:t>
      </w:r>
      <w:r w:rsidR="00CF33F6">
        <w:t>.</w:t>
      </w:r>
    </w:p>
    <w:p w:rsidR="0042207C" w:rsidRPr="007F7B1D" w:rsidRDefault="0042207C" w:rsidP="0042207C">
      <w:pPr>
        <w:numPr>
          <w:ilvl w:val="0"/>
          <w:numId w:val="6"/>
        </w:numPr>
      </w:pPr>
      <w:r>
        <w:t xml:space="preserve">Incorporating additional aspects of the Dillman Tailored Design Method, which have been shown to improve response rates </w:t>
      </w:r>
      <w:r>
        <w:fldChar w:fldCharType="begin"/>
      </w:r>
      <w:r>
        <w:instrText xml:space="preserve"> ADDIN EN.CITE &lt;EndNote&gt;&lt;Cite&gt;&lt;Author&gt;Dillman&lt;/Author&gt;&lt;Year&gt;2007&lt;/Year&gt;&lt;RecNum&gt;2293&lt;/RecNum&gt;&lt;DisplayText&gt;(Dillman 2007)&lt;/DisplayText&gt;&lt;record&gt;&lt;rec-number&gt;2293&lt;/rec-number&gt;&lt;foreign-keys&gt;&lt;key app="EN" db-id="xpwffvp2mrptwsezad9vtfxcdx9v92zstrsa"&gt;2293&lt;/key&gt;&lt;/foreign-keys&gt;&lt;ref-type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fldChar w:fldCharType="separate"/>
      </w:r>
      <w:r>
        <w:rPr>
          <w:noProof/>
        </w:rPr>
        <w:t>(</w:t>
      </w:r>
      <w:hyperlink w:anchor="_ENREF_2" w:tooltip="Dillman, 2007 #2293" w:history="1">
        <w:r>
          <w:rPr>
            <w:noProof/>
          </w:rPr>
          <w:t>Dillman 2007</w:t>
        </w:r>
      </w:hyperlink>
      <w:r>
        <w:rPr>
          <w:noProof/>
        </w:rPr>
        <w:t>)</w:t>
      </w:r>
      <w:r>
        <w:fldChar w:fldCharType="end"/>
      </w:r>
      <w:r>
        <w:t>: sending an advance letter; sending a personalized cover letter with the mailed questionnaire; including a token gift (refrigerator magnet calendar); sending a thank you/reminder postcard one week after mailing the survey packet; sending a follow-up survey mailing to households who have not responded to the survey after two weeks</w:t>
      </w:r>
      <w:r w:rsidR="00B47A71">
        <w:t xml:space="preserve"> and including a personalized post-it note</w:t>
      </w:r>
      <w:r>
        <w:t>; and sending a final mailing in a contrasting envelope. Thus, a total of 5 contacts, using different stimuli will be used.</w:t>
      </w:r>
    </w:p>
    <w:p w:rsidR="0042207C" w:rsidRPr="007F7B1D" w:rsidRDefault="0042207C" w:rsidP="0042207C"/>
    <w:p w:rsidR="0042207C" w:rsidRDefault="0042207C" w:rsidP="0042207C">
      <w:r w:rsidRPr="007F7B1D">
        <w:t xml:space="preserve">To avoid making persons feel pressured or coerced into consenting to participate in the study, </w:t>
      </w:r>
      <w:r>
        <w:t xml:space="preserve">all communications, including </w:t>
      </w:r>
      <w:r w:rsidRPr="007F7B1D">
        <w:t xml:space="preserve">the </w:t>
      </w:r>
      <w:r>
        <w:t xml:space="preserve">advance letter, </w:t>
      </w:r>
      <w:r w:rsidRPr="007F7B1D">
        <w:t>cover letter</w:t>
      </w:r>
      <w:r>
        <w:t>, follow-up mailings,</w:t>
      </w:r>
      <w:r w:rsidRPr="007F7B1D">
        <w:t xml:space="preserve"> and the information provided at the beginning of the web-based questionnaire</w:t>
      </w:r>
      <w:r>
        <w:t>,</w:t>
      </w:r>
      <w:r w:rsidRPr="007F7B1D">
        <w:t xml:space="preserve"> will advise readers that participation in the study is voluntary. </w:t>
      </w:r>
    </w:p>
    <w:p w:rsidR="0042207C" w:rsidRPr="007F7B1D" w:rsidRDefault="0042207C" w:rsidP="0042207C"/>
    <w:p w:rsidR="0042207C" w:rsidRDefault="0042207C" w:rsidP="0042207C">
      <w:pPr>
        <w:rPr>
          <w:bCs/>
        </w:rPr>
      </w:pPr>
      <w:r w:rsidRPr="007F7B1D">
        <w:t xml:space="preserve">Several recent studies have indicated that a response rate of 80% is not feasible for this study. A recent postal survey of households in a community affected by drinking water-associated outbreak of salmonellosis that also asked about acute gastrointestinal illness had a response rate of 33% </w:t>
      </w:r>
      <w:r>
        <w:fldChar w:fldCharType="begin"/>
      </w:r>
      <w:r>
        <w:instrText xml:space="preserve"> ADDIN EN.CITE &lt;EndNote&gt;&lt;Cite&gt;&lt;Author&gt;Ailes&lt;/Author&gt;&lt;Year&gt;2010&lt;/Year&gt;&lt;RecNum&gt;23&lt;/RecNum&gt;&lt;DisplayText&gt;(Ailes, Budge et al. 2010)&lt;/DisplayText&gt;&lt;record&gt;&lt;rec-number&gt;23&lt;/rec-number&gt;&lt;foreign-keys&gt;&lt;key app="EN" db-id="exf25a0vusf9r6eerroxx55u09a99z9ver5w"&gt;23&lt;/key&gt;&lt;/foreign-keys&gt;&lt;ref-type name="Conference Proceedings"&gt;10&lt;/ref-type&gt;&lt;contributors&gt;&lt;authors&gt;&lt;author&gt;E. Ailes&lt;/author&gt;&lt;author&gt;P. Budge&lt;/author&gt;&lt;author&gt;S. Collier&lt;/author&gt;&lt;author&gt;W. Brinton&lt;/author&gt;&lt;author&gt;A. Cronquist&lt;/author&gt;&lt;author&gt;M. J. Beach&lt;/author&gt;&lt;author&gt;J. M. Brunkard&lt;/author&gt;&lt;/authors&gt;&lt;/contributors&gt;&lt;titles&gt;&lt;title&gt;Economic and Health Impacts Associated with a Salmonella Serotype Typhimurium Drinking Water Outbreak -- Alamosa, CO, 2008&lt;/title&gt;&lt;secondary-title&gt;International Conference on Emerging Infectious Diseases&lt;/secondary-title&gt;&lt;/titles&gt;&lt;dates&gt;&lt;year&gt;2010&lt;/year&gt;&lt;/dates&gt;&lt;pub-location&gt;Atlanta, GA&lt;/pub-location&gt;&lt;urls&gt;&lt;/urls&gt;&lt;/record&gt;&lt;/Cite&gt;&lt;/EndNote&gt;</w:instrText>
      </w:r>
      <w:r>
        <w:fldChar w:fldCharType="separate"/>
      </w:r>
      <w:r>
        <w:rPr>
          <w:noProof/>
        </w:rPr>
        <w:t>(</w:t>
      </w:r>
      <w:hyperlink w:anchor="_ENREF_1" w:tooltip="Ailes, 2010 #23" w:history="1">
        <w:r>
          <w:rPr>
            <w:noProof/>
          </w:rPr>
          <w:t>Ailes, Budge et al. 2010</w:t>
        </w:r>
      </w:hyperlink>
      <w:r>
        <w:rPr>
          <w:noProof/>
        </w:rPr>
        <w:t>)</w:t>
      </w:r>
      <w:r>
        <w:fldChar w:fldCharType="end"/>
      </w:r>
      <w:r w:rsidRPr="007F7B1D">
        <w:t>. A survey of backcountry hikers that allowed respondents to choose to respond via web-based or paper-based survey had a higher response rate of 48% (</w:t>
      </w:r>
      <w:r>
        <w:t xml:space="preserve">S. </w:t>
      </w:r>
      <w:r w:rsidRPr="007F7B1D">
        <w:t>Roy, personal communication). R</w:t>
      </w:r>
      <w:r w:rsidRPr="007F7B1D">
        <w:rPr>
          <w:bCs/>
        </w:rPr>
        <w:t xml:space="preserve">esponse rates obtained by some large continuing health surveys that provide key national health statistics (such as the FoodNet population studies) have response rates of 33% in </w:t>
      </w:r>
      <w:r w:rsidR="00403AFE">
        <w:rPr>
          <w:bCs/>
        </w:rPr>
        <w:t>a past</w:t>
      </w:r>
      <w:r w:rsidRPr="007F7B1D">
        <w:rPr>
          <w:bCs/>
        </w:rPr>
        <w:t xml:space="preserve"> survey cycle </w:t>
      </w:r>
      <w:r w:rsidRPr="007F7B1D">
        <w:rPr>
          <w:bCs/>
        </w:rPr>
        <w:fldChar w:fldCharType="begin">
          <w:fldData xml:space="preserve">PEVuZE5vdGU+PENpdGU+PEF1dGhvcj5Kb25lczwvQXV0aG9yPjxZZWFyPjIwMDc8L1llYXI+PFJl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==
</w:fldData>
        </w:fldChar>
      </w:r>
      <w:r>
        <w:rPr>
          <w:bCs/>
        </w:rPr>
        <w:instrText xml:space="preserve"> ADDIN EN.CITE </w:instrText>
      </w:r>
      <w:r>
        <w:rPr>
          <w:bCs/>
        </w:rPr>
        <w:fldChar w:fldCharType="begin">
          <w:fldData xml:space="preserve">PEVuZE5vdGU+PENpdGU+PEF1dGhvcj5Kb25lczwvQXV0aG9yPjxZZWFyPjIwMDc8L1llYXI+PFJl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==
</w:fldData>
        </w:fldChar>
      </w:r>
      <w:r>
        <w:rPr>
          <w:bCs/>
        </w:rPr>
        <w:instrText xml:space="preserve"> ADDIN EN.CITE.DATA </w:instrText>
      </w:r>
      <w:r>
        <w:rPr>
          <w:bCs/>
        </w:rPr>
      </w:r>
      <w:r>
        <w:rPr>
          <w:bCs/>
        </w:rPr>
        <w:fldChar w:fldCharType="end"/>
      </w:r>
      <w:r w:rsidRPr="007F7B1D">
        <w:rPr>
          <w:bCs/>
        </w:rPr>
      </w:r>
      <w:r w:rsidRPr="007F7B1D">
        <w:rPr>
          <w:bCs/>
        </w:rPr>
        <w:fldChar w:fldCharType="separate"/>
      </w:r>
      <w:r>
        <w:rPr>
          <w:bCs/>
          <w:noProof/>
        </w:rPr>
        <w:t>(</w:t>
      </w:r>
      <w:hyperlink w:anchor="_ENREF_6" w:tooltip="Jones, 2007 #2176" w:history="1">
        <w:r>
          <w:rPr>
            <w:bCs/>
            <w:noProof/>
          </w:rPr>
          <w:t>Jones, McMillian et al. 2007</w:t>
        </w:r>
      </w:hyperlink>
      <w:r>
        <w:rPr>
          <w:bCs/>
          <w:noProof/>
        </w:rPr>
        <w:t>)</w:t>
      </w:r>
      <w:r w:rsidRPr="007F7B1D">
        <w:fldChar w:fldCharType="end"/>
      </w:r>
      <w:r w:rsidRPr="007F7B1D">
        <w:t xml:space="preserve">. </w:t>
      </w:r>
      <w:r w:rsidRPr="007F7B1D">
        <w:rPr>
          <w:bCs/>
        </w:rPr>
        <w:t>In spite of these low response rates, such surveys</w:t>
      </w:r>
      <w:r>
        <w:rPr>
          <w:bCs/>
        </w:rPr>
        <w:t xml:space="preserve"> </w:t>
      </w:r>
      <w:r w:rsidRPr="007F7B1D">
        <w:rPr>
          <w:bCs/>
        </w:rPr>
        <w:t>still provide valuable data to inform public health recommendations, policies, and programs</w:t>
      </w:r>
      <w:r w:rsidR="009227CA">
        <w:rPr>
          <w:bCs/>
        </w:rPr>
        <w:t>,</w:t>
      </w:r>
      <w:r w:rsidRPr="007F7B1D">
        <w:rPr>
          <w:bCs/>
        </w:rPr>
        <w:t xml:space="preserve"> and we believe that our study will have similar value.</w:t>
      </w:r>
      <w:r>
        <w:rPr>
          <w:bCs/>
        </w:rPr>
        <w:t xml:space="preserve"> </w:t>
      </w:r>
      <w:r>
        <w:t xml:space="preserve">Compared to these prior studies, we are implementing several procedures to attempt to encourage study participation, as outlined above, so a participation rate </w:t>
      </w:r>
      <w:r w:rsidR="006332D3">
        <w:t xml:space="preserve">of 60% </w:t>
      </w:r>
      <w:r w:rsidR="00403AFE">
        <w:t xml:space="preserve">will be </w:t>
      </w:r>
      <w:r>
        <w:t>possible.</w:t>
      </w:r>
      <w:r w:rsidR="00CF33F6">
        <w:t xml:space="preserve"> Notably, the household survey for this study is substantially shorter than the other surveys mentioned in this section</w:t>
      </w:r>
      <w:r w:rsidR="00FB73BF">
        <w:t>, and includes a token gift</w:t>
      </w:r>
      <w:r w:rsidR="00CF33F6">
        <w:t>.</w:t>
      </w:r>
    </w:p>
    <w:p w:rsidR="0042207C" w:rsidRDefault="0042207C" w:rsidP="0042207C">
      <w:pPr>
        <w:rPr>
          <w:bCs/>
        </w:rPr>
      </w:pPr>
    </w:p>
    <w:p w:rsidR="0081528C" w:rsidRDefault="00BD5AC5" w:rsidP="0042207C">
      <w:pPr>
        <w:rPr>
          <w:bCs/>
        </w:rPr>
      </w:pPr>
      <w:r>
        <w:rPr>
          <w:bCs/>
        </w:rPr>
        <w:t>In the contingency</w:t>
      </w:r>
      <w:r w:rsidR="00403AFE">
        <w:rPr>
          <w:bCs/>
        </w:rPr>
        <w:t xml:space="preserve"> that we do not reach 60% participation, </w:t>
      </w:r>
      <w:r w:rsidR="00CF33F6">
        <w:rPr>
          <w:bCs/>
        </w:rPr>
        <w:t xml:space="preserve">we will still have </w:t>
      </w:r>
      <w:r w:rsidR="00FE7B39">
        <w:rPr>
          <w:bCs/>
        </w:rPr>
        <w:t>80</w:t>
      </w:r>
      <w:r w:rsidR="00696734">
        <w:rPr>
          <w:bCs/>
        </w:rPr>
        <w:t xml:space="preserve">% </w:t>
      </w:r>
      <w:r w:rsidR="00CF33F6">
        <w:rPr>
          <w:bCs/>
        </w:rPr>
        <w:t xml:space="preserve">statistical power to </w:t>
      </w:r>
      <w:r w:rsidR="00696734">
        <w:rPr>
          <w:bCs/>
        </w:rPr>
        <w:t xml:space="preserve">identify an odds ratio of 1.6 </w:t>
      </w:r>
      <w:r w:rsidR="00FB73BF">
        <w:rPr>
          <w:bCs/>
        </w:rPr>
        <w:t xml:space="preserve">in an unstratified analysis if we have at least 40% participation. </w:t>
      </w:r>
      <w:r w:rsidR="00F252BE">
        <w:rPr>
          <w:bCs/>
        </w:rPr>
        <w:t xml:space="preserve">With 40% participation, we would have </w:t>
      </w:r>
      <w:r w:rsidR="00FE7B39">
        <w:rPr>
          <w:bCs/>
        </w:rPr>
        <w:t>51</w:t>
      </w:r>
      <w:r w:rsidR="00F252BE">
        <w:rPr>
          <w:bCs/>
        </w:rPr>
        <w:t xml:space="preserve">% power to detect an odds ratio of 1.4 and </w:t>
      </w:r>
      <w:r w:rsidR="00FE7B39">
        <w:rPr>
          <w:bCs/>
        </w:rPr>
        <w:t>18</w:t>
      </w:r>
      <w:r w:rsidR="00F252BE">
        <w:rPr>
          <w:bCs/>
        </w:rPr>
        <w:t>% power to detect an odds ratio of 1.2</w:t>
      </w:r>
      <w:r w:rsidR="00AB2C7A">
        <w:rPr>
          <w:bCs/>
        </w:rPr>
        <w:t xml:space="preserve"> in an unstratified analysis</w:t>
      </w:r>
      <w:r w:rsidR="00F252BE">
        <w:rPr>
          <w:bCs/>
        </w:rPr>
        <w:t xml:space="preserve">. In a stratified analysis, with 40% participation, we would have </w:t>
      </w:r>
      <w:r w:rsidR="00FE7B39">
        <w:rPr>
          <w:bCs/>
        </w:rPr>
        <w:t xml:space="preserve">over </w:t>
      </w:r>
      <w:r w:rsidR="00F252BE">
        <w:rPr>
          <w:bCs/>
        </w:rPr>
        <w:t>8</w:t>
      </w:r>
      <w:r w:rsidR="00FE7B39">
        <w:rPr>
          <w:bCs/>
        </w:rPr>
        <w:t>5</w:t>
      </w:r>
      <w:r w:rsidR="00F252BE">
        <w:rPr>
          <w:bCs/>
        </w:rPr>
        <w:t xml:space="preserve">% power to detect an odds ratio of </w:t>
      </w:r>
      <w:r w:rsidR="00FE7B39">
        <w:rPr>
          <w:bCs/>
        </w:rPr>
        <w:t>2.0</w:t>
      </w:r>
      <w:r w:rsidR="0081528C">
        <w:rPr>
          <w:bCs/>
        </w:rPr>
        <w:t xml:space="preserve"> and </w:t>
      </w:r>
      <w:r w:rsidR="00FE7B39">
        <w:rPr>
          <w:bCs/>
        </w:rPr>
        <w:t>over 70</w:t>
      </w:r>
      <w:r w:rsidR="0081528C">
        <w:rPr>
          <w:bCs/>
        </w:rPr>
        <w:t>% power to detect an odds ratio of 1.</w:t>
      </w:r>
      <w:r w:rsidR="00FE7B39">
        <w:rPr>
          <w:bCs/>
        </w:rPr>
        <w:t>8</w:t>
      </w:r>
      <w:r w:rsidR="0081528C">
        <w:rPr>
          <w:bCs/>
        </w:rPr>
        <w:t xml:space="preserve">. </w:t>
      </w:r>
    </w:p>
    <w:p w:rsidR="0081528C" w:rsidRDefault="0081528C" w:rsidP="0042207C">
      <w:pPr>
        <w:rPr>
          <w:bCs/>
        </w:rPr>
      </w:pPr>
    </w:p>
    <w:p w:rsidR="005E0667" w:rsidRDefault="00FB73BF" w:rsidP="0042207C">
      <w:pPr>
        <w:rPr>
          <w:bCs/>
        </w:rPr>
      </w:pPr>
      <w:r>
        <w:rPr>
          <w:bCs/>
        </w:rPr>
        <w:t>O</w:t>
      </w:r>
      <w:r w:rsidR="0042207C" w:rsidRPr="00374382">
        <w:rPr>
          <w:bCs/>
        </w:rPr>
        <w:t xml:space="preserve">ur primary concern regarding obtaining low response rates is the potential for bias engendered by differential response based on exposure and outcomes. </w:t>
      </w:r>
      <w:r w:rsidR="0081528C">
        <w:rPr>
          <w:bCs/>
        </w:rPr>
        <w:t xml:space="preserve">If the response is low, we are also concerned that, overall, the study population may not be representative of the target population (i.e., non-response bias). </w:t>
      </w:r>
      <w:r w:rsidR="0042207C" w:rsidRPr="00374382">
        <w:rPr>
          <w:bCs/>
        </w:rPr>
        <w:t xml:space="preserve">However, recent research indicates that the magnitude of non-response bias is generally small </w:t>
      </w:r>
      <w:r w:rsidR="0042207C" w:rsidRPr="00374382">
        <w:rPr>
          <w:bCs/>
        </w:rPr>
        <w:fldChar w:fldCharType="begin"/>
      </w:r>
      <w:r w:rsidR="0042207C" w:rsidRPr="00820D4C">
        <w:rPr>
          <w:bCs/>
        </w:rPr>
        <w:instrText xml:space="preserve"> ADDIN EN.CITE &lt;EndNote&gt;&lt;Cite&gt;&lt;Author&gt;Galea&lt;/Author&gt;&lt;Year&gt;2007&lt;/Year&gt;&lt;RecNum&gt;2294&lt;/RecNum&gt;&lt;DisplayText&gt;(Galea and Tracy 2007)&lt;/DisplayText&gt;&lt;record&gt;&lt;rec-number&gt;2294&lt;/rec-number&gt;&lt;foreign-keys&gt;&lt;key app="EN" db-id="xpwffvp2mrptwsezad9vtfxcdx9v92zstrsa"&gt;2294&lt;/key&gt;&lt;/foreign-keys&gt;&lt;ref-type name="Journal Article"&gt;17&lt;/ref-type&gt;&lt;contributors&gt;&lt;authors&gt;&lt;author&gt;Galea, S &amp;#xD;Tracy, M&lt;/author&gt;&lt;/authors&gt;&lt;/contributors&gt;&lt;titles&gt;&lt;title&gt;Participation Rates in Epidemiologic Studies&lt;/title&gt;&lt;secondary-title&gt;Annals of Epidemiology&lt;/secondary-title&gt;&lt;/titles&gt;&lt;periodical&gt;&lt;full-title&gt;Annals of Epidemiology&lt;/full-title&gt;&lt;/periodical&gt;&lt;pages&gt;643-653&lt;/pages&gt;&lt;volume&gt;17&lt;/volume&gt;&lt;number&gt;9&lt;/number&gt;&lt;dates&gt;&lt;year&gt;2007&lt;/year&gt;&lt;/dates&gt;&lt;urls&gt;&lt;/urls&gt;&lt;/record&gt;&lt;/Cite&gt;&lt;/EndNote&gt;</w:instrText>
      </w:r>
      <w:r w:rsidR="0042207C" w:rsidRPr="00374382">
        <w:rPr>
          <w:bCs/>
        </w:rPr>
        <w:fldChar w:fldCharType="separate"/>
      </w:r>
      <w:r w:rsidR="0042207C" w:rsidRPr="00820D4C">
        <w:rPr>
          <w:bCs/>
          <w:noProof/>
        </w:rPr>
        <w:t>(</w:t>
      </w:r>
      <w:hyperlink w:anchor="_ENREF_3" w:tooltip="Galea, 2007 #2294" w:history="1">
        <w:r w:rsidR="0042207C" w:rsidRPr="00820D4C">
          <w:rPr>
            <w:bCs/>
            <w:noProof/>
          </w:rPr>
          <w:t>Galea and Tracy 2007</w:t>
        </w:r>
      </w:hyperlink>
      <w:r w:rsidR="0042207C" w:rsidRPr="00820D4C">
        <w:rPr>
          <w:bCs/>
          <w:noProof/>
        </w:rPr>
        <w:t>)</w:t>
      </w:r>
      <w:r w:rsidR="0042207C" w:rsidRPr="00374382">
        <w:rPr>
          <w:bCs/>
        </w:rPr>
        <w:fldChar w:fldCharType="end"/>
      </w:r>
      <w:r w:rsidR="0042207C" w:rsidRPr="00374382">
        <w:rPr>
          <w:bCs/>
        </w:rPr>
        <w:t xml:space="preserve">. </w:t>
      </w:r>
      <w:r w:rsidR="0081528C">
        <w:rPr>
          <w:bCs/>
        </w:rPr>
        <w:t xml:space="preserve">Following the pilot, we will assess unit non-response and item non-response. </w:t>
      </w:r>
    </w:p>
    <w:p w:rsidR="005E0667" w:rsidRDefault="005E0667" w:rsidP="0042207C">
      <w:pPr>
        <w:rPr>
          <w:bCs/>
        </w:rPr>
      </w:pPr>
    </w:p>
    <w:p w:rsidR="005E0667" w:rsidRDefault="00B47A71" w:rsidP="0042207C">
      <w:r>
        <w:rPr>
          <w:bCs/>
        </w:rPr>
        <w:t xml:space="preserve">First, we will quantify the overall unit response rate; if less than 60% of selected utility customers complete the survey, we will consider modifications to the recruitment strategy prior to implementing the multi-site study. </w:t>
      </w:r>
      <w:r w:rsidR="0042207C" w:rsidRPr="00374382">
        <w:t xml:space="preserve">To assess </w:t>
      </w:r>
      <w:r>
        <w:t>differential response</w:t>
      </w:r>
      <w:r w:rsidR="0042207C" w:rsidRPr="00374382">
        <w:t>, we w</w:t>
      </w:r>
      <w:r w:rsidR="00BB174D">
        <w:t>ill</w:t>
      </w:r>
      <w:r w:rsidR="0042207C" w:rsidRPr="00374382">
        <w:t xml:space="preserve"> compare responders and non-responders with respect to </w:t>
      </w:r>
      <w:r>
        <w:t xml:space="preserve">their </w:t>
      </w:r>
      <w:r w:rsidRPr="00FC4AB6">
        <w:rPr>
          <w:i/>
        </w:rPr>
        <w:t>a priori</w:t>
      </w:r>
      <w:r>
        <w:t xml:space="preserve"> </w:t>
      </w:r>
      <w:r w:rsidR="0042207C" w:rsidRPr="00374382">
        <w:t xml:space="preserve">exposure </w:t>
      </w:r>
      <w:r>
        <w:t xml:space="preserve">status. </w:t>
      </w:r>
      <w:r w:rsidRPr="00374382">
        <w:t xml:space="preserve"> </w:t>
      </w:r>
      <w:r>
        <w:t xml:space="preserve">If the response rates in exposed areas differ from response rates in unexposed areas by &gt;20%, we will plan to implement sensitivity analyses to estimate how greatly these might have affected results regarding the primary research question. We will compare </w:t>
      </w:r>
      <w:r w:rsidR="005E0667">
        <w:t xml:space="preserve">demographic characteristics of </w:t>
      </w:r>
      <w:r>
        <w:t xml:space="preserve">respondents to census data </w:t>
      </w:r>
      <w:r w:rsidR="005E0667">
        <w:t xml:space="preserve">at the Public Use Microsample Area (PUMA) level. While this level of data is not granular enough to determine whether data from each LPE cluster is representative of its respective census block group, it should be able to identify gross deviations from expected distributions of demographics across all events. </w:t>
      </w:r>
    </w:p>
    <w:p w:rsidR="005E0667" w:rsidRDefault="005E0667" w:rsidP="0042207C"/>
    <w:p w:rsidR="0042207C" w:rsidRDefault="005E0667" w:rsidP="0042207C">
      <w:r>
        <w:t xml:space="preserve">Next, we will evaluate item non-response and incomplete surveys (i.e. break-offs). </w:t>
      </w:r>
      <w:r w:rsidR="007B4831">
        <w:t xml:space="preserve">Items that are missing for more than 10% of respondents will be evaluated for wording, structure, and placement in the survey. Incomplete surveys (break-offs) will be evaluated to determine where the break-off occurs, whether break-offs differ on the paper and web versions of the survey, and whether changes can be made to the survey to encourage completion. We will evaluate whether missing data is differential by exposure status or demographic characteristics, including household size and composition. We anticipate that outcome data may sometimes be missing for adults who share a household but may not be relatives (i.e. roommates), but expect that outcome data for related household members (such as the respondent’s children) should be available and will be valuable to the study. </w:t>
      </w:r>
    </w:p>
    <w:p w:rsidR="005E0667" w:rsidRDefault="005E0667" w:rsidP="0042207C"/>
    <w:p w:rsidR="005E0667" w:rsidRPr="007F7B1D" w:rsidRDefault="005E0667" w:rsidP="0042207C"/>
    <w:p w:rsidR="0042207C" w:rsidRPr="007F7B1D" w:rsidRDefault="0042207C" w:rsidP="0042207C">
      <w:pPr>
        <w:rPr>
          <w:b/>
        </w:rPr>
      </w:pPr>
      <w:r w:rsidRPr="007F7B1D">
        <w:rPr>
          <w:b/>
        </w:rPr>
        <w:t>4. Tests of Procedures or Methods to be Undertaken</w:t>
      </w:r>
    </w:p>
    <w:p w:rsidR="0042207C" w:rsidRPr="00374382" w:rsidRDefault="0042207C" w:rsidP="0042207C">
      <w:pPr>
        <w:rPr>
          <w:color w:val="FF0000"/>
        </w:rPr>
      </w:pPr>
      <w:r w:rsidRPr="007F7B1D">
        <w:t xml:space="preserve">The data collection instruments and the participant information materials (e.g., letters, websites) have been reviewed (1) for content by three senior epidemiologists at CDC; (2) for question design, flow, clarity, and timing by </w:t>
      </w:r>
      <w:r>
        <w:t>five</w:t>
      </w:r>
      <w:r w:rsidRPr="007F7B1D">
        <w:t xml:space="preserve"> CDC staff members; and (3) for content by experts in the field. The questionnaire and participant information materials have also been pilot-tested by </w:t>
      </w:r>
      <w:r>
        <w:t>six</w:t>
      </w:r>
      <w:r w:rsidRPr="007F7B1D">
        <w:t xml:space="preserve"> CDC staff members, and </w:t>
      </w:r>
      <w:r>
        <w:t>three</w:t>
      </w:r>
      <w:r w:rsidRPr="007F7B1D">
        <w:t xml:space="preserve"> member</w:t>
      </w:r>
      <w:r>
        <w:t>s</w:t>
      </w:r>
      <w:r w:rsidRPr="007F7B1D">
        <w:t xml:space="preserve"> of the general public. </w:t>
      </w:r>
    </w:p>
    <w:p w:rsidR="0042207C" w:rsidRPr="007F7B1D" w:rsidRDefault="0042207C" w:rsidP="0042207C"/>
    <w:p w:rsidR="0042207C" w:rsidRPr="007F7B1D" w:rsidRDefault="0042207C" w:rsidP="0042207C">
      <w:pPr>
        <w:rPr>
          <w:b/>
        </w:rPr>
      </w:pPr>
      <w:r w:rsidRPr="007F7B1D">
        <w:rPr>
          <w:b/>
        </w:rPr>
        <w:t>5. Individuals Consulted on Statistical Aspects and Individuals Collecting and/or Analyzing Data</w:t>
      </w:r>
    </w:p>
    <w:p w:rsidR="0042207C" w:rsidRPr="007F7B1D" w:rsidRDefault="0042207C" w:rsidP="0042207C"/>
    <w:p w:rsidR="0042207C" w:rsidRPr="007F7B1D" w:rsidRDefault="0042207C" w:rsidP="0042207C">
      <w:r w:rsidRPr="007F7B1D">
        <w:t>Statistical consultants for study design:</w:t>
      </w:r>
    </w:p>
    <w:p w:rsidR="0042207C" w:rsidRPr="007F7B1D" w:rsidRDefault="0042207C" w:rsidP="0042207C">
      <w:pPr>
        <w:numPr>
          <w:ilvl w:val="0"/>
          <w:numId w:val="9"/>
        </w:numPr>
      </w:pPr>
      <w:r>
        <w:t>Anna Blackstock</w:t>
      </w:r>
      <w:r w:rsidRPr="007F7B1D">
        <w:t xml:space="preserve">, CDC – ph. </w:t>
      </w:r>
      <w:r>
        <w:t>404-718-1228</w:t>
      </w:r>
      <w:r w:rsidRPr="007F7B1D">
        <w:t xml:space="preserve">, email: </w:t>
      </w:r>
      <w:hyperlink r:id="rId10" w:history="1">
        <w:r>
          <w:rPr>
            <w:rStyle w:val="Hyperlink"/>
          </w:rPr>
          <w:t>hyp9</w:t>
        </w:r>
        <w:r w:rsidRPr="007F7B1D">
          <w:rPr>
            <w:rStyle w:val="Hyperlink"/>
          </w:rPr>
          <w:t>@cdc.gov</w:t>
        </w:r>
      </w:hyperlink>
    </w:p>
    <w:p w:rsidR="0042207C" w:rsidRPr="00374382" w:rsidRDefault="0042207C" w:rsidP="0042207C">
      <w:pPr>
        <w:numPr>
          <w:ilvl w:val="0"/>
          <w:numId w:val="9"/>
        </w:numPr>
        <w:rPr>
          <w:rStyle w:val="Hyperlink"/>
          <w:color w:val="auto"/>
        </w:rPr>
      </w:pPr>
      <w:r w:rsidRPr="00374382">
        <w:t>Tracy Ayers</w:t>
      </w:r>
      <w:r w:rsidRPr="000D6B82">
        <w:t xml:space="preserve">, CDC – ph. </w:t>
      </w:r>
      <w:r w:rsidRPr="00374382">
        <w:t>404-639-0543</w:t>
      </w:r>
      <w:r w:rsidRPr="000D6B82">
        <w:t xml:space="preserve">, email: </w:t>
      </w:r>
      <w:hyperlink r:id="rId11" w:history="1">
        <w:r w:rsidRPr="00374382">
          <w:rPr>
            <w:rStyle w:val="Hyperlink"/>
          </w:rPr>
          <w:t>eyk6@cdc.gov</w:t>
        </w:r>
      </w:hyperlink>
    </w:p>
    <w:p w:rsidR="0042207C" w:rsidRPr="007F7B1D" w:rsidRDefault="0042207C" w:rsidP="0042207C">
      <w:pPr>
        <w:numPr>
          <w:ilvl w:val="0"/>
          <w:numId w:val="9"/>
        </w:numPr>
      </w:pPr>
      <w:r w:rsidRPr="00374382">
        <w:t>Gordana Derado</w:t>
      </w:r>
      <w:r w:rsidRPr="000D6B82">
        <w:t xml:space="preserve">, CDC – ph. </w:t>
      </w:r>
      <w:r w:rsidRPr="00374382">
        <w:t>404-639-0393</w:t>
      </w:r>
      <w:r w:rsidRPr="000D6B82">
        <w:t xml:space="preserve">, email: </w:t>
      </w:r>
      <w:hyperlink r:id="rId12" w:history="1">
        <w:r w:rsidRPr="00374382">
          <w:rPr>
            <w:rStyle w:val="Hyperlink"/>
          </w:rPr>
          <w:t>uwx8</w:t>
        </w:r>
        <w:r w:rsidRPr="000D6B82">
          <w:rPr>
            <w:rStyle w:val="Hyperlink"/>
          </w:rPr>
          <w:t>@cdc.gov</w:t>
        </w:r>
      </w:hyperlink>
    </w:p>
    <w:p w:rsidR="0042207C" w:rsidRPr="007F7B1D" w:rsidRDefault="0042207C" w:rsidP="0042207C">
      <w:r w:rsidRPr="007F7B1D">
        <w:t xml:space="preserve"> </w:t>
      </w:r>
    </w:p>
    <w:p w:rsidR="0042207C" w:rsidRPr="007F7B1D" w:rsidRDefault="0042207C" w:rsidP="0042207C">
      <w:r w:rsidRPr="007F7B1D">
        <w:t>Persons who designed the data collection:</w:t>
      </w:r>
    </w:p>
    <w:p w:rsidR="0042207C" w:rsidRPr="00374382" w:rsidRDefault="0042207C" w:rsidP="0042207C">
      <w:pPr>
        <w:numPr>
          <w:ilvl w:val="0"/>
          <w:numId w:val="8"/>
        </w:numPr>
        <w:tabs>
          <w:tab w:val="num" w:pos="0"/>
        </w:tabs>
        <w:rPr>
          <w:rStyle w:val="Hyperlink"/>
          <w:color w:val="auto"/>
        </w:rPr>
      </w:pPr>
      <w:r w:rsidRPr="007F7B1D">
        <w:t xml:space="preserve">Joan Brunkard, CDC – ph. 770-488-7711, email: </w:t>
      </w:r>
      <w:hyperlink r:id="rId13" w:history="1">
        <w:r w:rsidRPr="007F7B1D">
          <w:rPr>
            <w:rStyle w:val="Hyperlink"/>
          </w:rPr>
          <w:t>feu4@cdc.gov</w:t>
        </w:r>
      </w:hyperlink>
    </w:p>
    <w:p w:rsidR="0042207C" w:rsidRPr="007F7B1D" w:rsidRDefault="0042207C" w:rsidP="0042207C">
      <w:pPr>
        <w:numPr>
          <w:ilvl w:val="0"/>
          <w:numId w:val="8"/>
        </w:numPr>
        <w:tabs>
          <w:tab w:val="num" w:pos="0"/>
        </w:tabs>
      </w:pPr>
      <w:r w:rsidRPr="00374382">
        <w:rPr>
          <w:rStyle w:val="Hyperlink"/>
          <w:color w:val="auto"/>
        </w:rPr>
        <w:t xml:space="preserve">Julia Gargano, CDC – ph. 404-718-4893, </w:t>
      </w:r>
      <w:r>
        <w:rPr>
          <w:rStyle w:val="Hyperlink"/>
        </w:rPr>
        <w:t>e-mail: igc5@cdc.gov</w:t>
      </w:r>
    </w:p>
    <w:p w:rsidR="0042207C" w:rsidRPr="007F7B1D" w:rsidRDefault="0042207C" w:rsidP="0042207C">
      <w:pPr>
        <w:numPr>
          <w:ilvl w:val="0"/>
          <w:numId w:val="8"/>
        </w:numPr>
        <w:tabs>
          <w:tab w:val="num" w:pos="0"/>
        </w:tabs>
      </w:pPr>
      <w:r w:rsidRPr="007F7B1D">
        <w:t xml:space="preserve">Vincent Hill, CDC – ph. 404-718-4151, email: </w:t>
      </w:r>
      <w:hyperlink r:id="rId14" w:history="1">
        <w:r w:rsidRPr="007F7B1D">
          <w:rPr>
            <w:rStyle w:val="Hyperlink"/>
          </w:rPr>
          <w:t>veh2@cdc.gov</w:t>
        </w:r>
      </w:hyperlink>
    </w:p>
    <w:p w:rsidR="0042207C" w:rsidRPr="007F7B1D" w:rsidRDefault="0042207C" w:rsidP="0042207C">
      <w:pPr>
        <w:numPr>
          <w:ilvl w:val="0"/>
          <w:numId w:val="8"/>
        </w:numPr>
        <w:tabs>
          <w:tab w:val="num" w:pos="0"/>
        </w:tabs>
      </w:pPr>
      <w:r w:rsidRPr="007F7B1D">
        <w:t xml:space="preserve">Joseph Carpenter, CDC – ph. 404-639-3900, email: </w:t>
      </w:r>
      <w:hyperlink r:id="rId15" w:history="1">
        <w:r w:rsidRPr="007F7B1D">
          <w:rPr>
            <w:rStyle w:val="Hyperlink"/>
          </w:rPr>
          <w:t>jcc0@cdc.gov</w:t>
        </w:r>
      </w:hyperlink>
    </w:p>
    <w:p w:rsidR="0042207C" w:rsidRPr="007F7B1D" w:rsidRDefault="0042207C" w:rsidP="0042207C">
      <w:pPr>
        <w:numPr>
          <w:ilvl w:val="0"/>
          <w:numId w:val="8"/>
        </w:numPr>
        <w:tabs>
          <w:tab w:val="num" w:pos="0"/>
        </w:tabs>
      </w:pPr>
      <w:r w:rsidRPr="007F7B1D">
        <w:t xml:space="preserve">Elizabeth Ailes, </w:t>
      </w:r>
      <w:r>
        <w:t xml:space="preserve">formerly </w:t>
      </w:r>
      <w:r w:rsidRPr="007F7B1D">
        <w:t>contractor for CDC</w:t>
      </w:r>
      <w:r w:rsidRPr="007F7B1D">
        <w:rPr>
          <w:vertAlign w:val="superscript"/>
        </w:rPr>
        <w:t>*</w:t>
      </w:r>
      <w:r w:rsidRPr="007F7B1D">
        <w:t xml:space="preserve"> – ph 770-488-7563, email: </w:t>
      </w:r>
      <w:hyperlink r:id="rId16" w:history="1">
        <w:r w:rsidRPr="007F7B1D">
          <w:rPr>
            <w:rStyle w:val="Hyperlink"/>
          </w:rPr>
          <w:t>eha0@cdc.gov</w:t>
        </w:r>
      </w:hyperlink>
    </w:p>
    <w:p w:rsidR="0042207C" w:rsidRPr="00820D4C" w:rsidRDefault="0042207C" w:rsidP="0042207C">
      <w:pPr>
        <w:numPr>
          <w:ilvl w:val="0"/>
          <w:numId w:val="8"/>
        </w:numPr>
        <w:tabs>
          <w:tab w:val="num" w:pos="0"/>
        </w:tabs>
      </w:pPr>
      <w:r w:rsidRPr="00374382">
        <w:t>Mark Lamias, contractor for CDC</w:t>
      </w:r>
      <w:r w:rsidRPr="00374382">
        <w:rPr>
          <w:vertAlign w:val="superscript"/>
        </w:rPr>
        <w:t>**</w:t>
      </w:r>
      <w:r w:rsidRPr="00820D4C">
        <w:t xml:space="preserve"> – ph. 404-498-1151, email: </w:t>
      </w:r>
      <w:hyperlink r:id="rId17" w:history="1">
        <w:r w:rsidRPr="00820D4C">
          <w:rPr>
            <w:rStyle w:val="Hyperlink"/>
          </w:rPr>
          <w:t>bnz6@cdc.gov</w:t>
        </w:r>
      </w:hyperlink>
      <w:r w:rsidRPr="00820D4C">
        <w:t xml:space="preserve"> </w:t>
      </w:r>
    </w:p>
    <w:p w:rsidR="0042207C" w:rsidRPr="00820D4C" w:rsidRDefault="0042207C" w:rsidP="0042207C">
      <w:pPr>
        <w:numPr>
          <w:ilvl w:val="0"/>
          <w:numId w:val="8"/>
        </w:numPr>
      </w:pPr>
      <w:r w:rsidRPr="00820D4C">
        <w:t xml:space="preserve">Bonnie Mull, </w:t>
      </w:r>
      <w:r w:rsidRPr="00374382">
        <w:t>CDC  - ph. 404</w:t>
      </w:r>
      <w:r w:rsidRPr="00820D4C">
        <w:t>-</w:t>
      </w:r>
      <w:r w:rsidRPr="00374382">
        <w:t>718</w:t>
      </w:r>
      <w:r w:rsidRPr="00820D4C">
        <w:t>-</w:t>
      </w:r>
      <w:r w:rsidRPr="00374382">
        <w:t xml:space="preserve">4156, email: </w:t>
      </w:r>
      <w:hyperlink r:id="rId18" w:history="1">
        <w:r w:rsidRPr="00820D4C">
          <w:rPr>
            <w:rStyle w:val="Hyperlink"/>
          </w:rPr>
          <w:t>gtx1@cdc.gov</w:t>
        </w:r>
      </w:hyperlink>
    </w:p>
    <w:p w:rsidR="0042207C" w:rsidRPr="007F7B1D" w:rsidRDefault="0042207C" w:rsidP="0042207C"/>
    <w:p w:rsidR="0042207C" w:rsidRPr="007F7B1D" w:rsidRDefault="0042207C" w:rsidP="0042207C">
      <w:r w:rsidRPr="007F7B1D">
        <w:t>Persons who will collect the data:</w:t>
      </w:r>
    </w:p>
    <w:p w:rsidR="0042207C" w:rsidRDefault="0042207C" w:rsidP="0042207C">
      <w:pPr>
        <w:numPr>
          <w:ilvl w:val="0"/>
          <w:numId w:val="8"/>
        </w:numPr>
        <w:tabs>
          <w:tab w:val="num" w:pos="0"/>
        </w:tabs>
      </w:pPr>
      <w:r>
        <w:t>Julia Gargano</w:t>
      </w:r>
      <w:r w:rsidRPr="007F7B1D">
        <w:t xml:space="preserve">, CDC – ph. </w:t>
      </w:r>
      <w:r>
        <w:t>404</w:t>
      </w:r>
      <w:r w:rsidRPr="007F7B1D">
        <w:t>-</w:t>
      </w:r>
      <w:r>
        <w:t>718-4893</w:t>
      </w:r>
      <w:r w:rsidRPr="007F7B1D">
        <w:t xml:space="preserve">, email: </w:t>
      </w:r>
      <w:hyperlink r:id="rId19" w:history="1">
        <w:r w:rsidRPr="00F96B57">
          <w:rPr>
            <w:rStyle w:val="Hyperlink"/>
          </w:rPr>
          <w:t>igc5@cdc.gov</w:t>
        </w:r>
      </w:hyperlink>
    </w:p>
    <w:p w:rsidR="0042207C" w:rsidRPr="007F7B1D" w:rsidRDefault="009C5B17" w:rsidP="0042207C">
      <w:pPr>
        <w:numPr>
          <w:ilvl w:val="0"/>
          <w:numId w:val="8"/>
        </w:numPr>
        <w:tabs>
          <w:tab w:val="num" w:pos="0"/>
        </w:tabs>
      </w:pPr>
      <w:r>
        <w:t>Elizabeth Adam, CDC – ph. 404-718-4873, email: wsi7@cdc.gov</w:t>
      </w:r>
    </w:p>
    <w:p w:rsidR="0042207C" w:rsidRPr="007F7B1D" w:rsidRDefault="0042207C" w:rsidP="0042207C">
      <w:pPr>
        <w:numPr>
          <w:ilvl w:val="0"/>
          <w:numId w:val="8"/>
        </w:numPr>
        <w:tabs>
          <w:tab w:val="num" w:pos="0"/>
        </w:tabs>
      </w:pPr>
      <w:r w:rsidRPr="007F7B1D">
        <w:t>Mark Lamias, contractor for CDC</w:t>
      </w:r>
      <w:r w:rsidRPr="007F7B1D">
        <w:rPr>
          <w:vertAlign w:val="superscript"/>
        </w:rPr>
        <w:t>**</w:t>
      </w:r>
      <w:r w:rsidRPr="007F7B1D">
        <w:t xml:space="preserve"> – ph. 404-498-1151, email: </w:t>
      </w:r>
      <w:hyperlink r:id="rId20" w:history="1">
        <w:r w:rsidRPr="007F7B1D">
          <w:rPr>
            <w:rStyle w:val="Hyperlink"/>
          </w:rPr>
          <w:t>bnz6@cdc.gov</w:t>
        </w:r>
      </w:hyperlink>
      <w:r w:rsidRPr="007F7B1D">
        <w:t xml:space="preserve"> </w:t>
      </w:r>
    </w:p>
    <w:p w:rsidR="0042207C" w:rsidRPr="007F7B1D" w:rsidRDefault="0042207C" w:rsidP="0042207C"/>
    <w:p w:rsidR="0042207C" w:rsidRPr="007F7B1D" w:rsidRDefault="0042207C" w:rsidP="0042207C">
      <w:r w:rsidRPr="007F7B1D">
        <w:t>Persons who will analyze the data:</w:t>
      </w:r>
    </w:p>
    <w:p w:rsidR="0042207C" w:rsidRDefault="0042207C" w:rsidP="0042207C">
      <w:pPr>
        <w:numPr>
          <w:ilvl w:val="0"/>
          <w:numId w:val="8"/>
        </w:numPr>
        <w:tabs>
          <w:tab w:val="num" w:pos="0"/>
        </w:tabs>
      </w:pPr>
      <w:r>
        <w:t>Julia Gargano</w:t>
      </w:r>
      <w:r w:rsidRPr="007F7B1D">
        <w:t xml:space="preserve">, CDC – ph. </w:t>
      </w:r>
      <w:r>
        <w:t>404</w:t>
      </w:r>
      <w:r w:rsidRPr="007F7B1D">
        <w:t>-</w:t>
      </w:r>
      <w:r>
        <w:t>718-4893</w:t>
      </w:r>
      <w:r w:rsidRPr="007F7B1D">
        <w:t xml:space="preserve">, email: </w:t>
      </w:r>
      <w:hyperlink r:id="rId21" w:history="1">
        <w:r w:rsidRPr="00F96B57">
          <w:rPr>
            <w:rStyle w:val="Hyperlink"/>
          </w:rPr>
          <w:t>igc5@cdc.gov</w:t>
        </w:r>
      </w:hyperlink>
    </w:p>
    <w:p w:rsidR="000A5A23" w:rsidRDefault="009C5B17" w:rsidP="0042207C">
      <w:pPr>
        <w:numPr>
          <w:ilvl w:val="0"/>
          <w:numId w:val="8"/>
        </w:numPr>
        <w:tabs>
          <w:tab w:val="num" w:pos="0"/>
        </w:tabs>
      </w:pPr>
      <w:r>
        <w:t xml:space="preserve">Elizabeth Adam, CDC – ph. 404-718-4873, email: </w:t>
      </w:r>
      <w:hyperlink r:id="rId22" w:history="1">
        <w:r w:rsidR="000A5A23" w:rsidRPr="00B259A0">
          <w:rPr>
            <w:rStyle w:val="Hyperlink"/>
          </w:rPr>
          <w:t>wsi7@cdc.gov</w:t>
        </w:r>
      </w:hyperlink>
    </w:p>
    <w:p w:rsidR="0042207C" w:rsidRPr="00E72CF2" w:rsidRDefault="0042207C" w:rsidP="0042207C">
      <w:pPr>
        <w:numPr>
          <w:ilvl w:val="0"/>
          <w:numId w:val="8"/>
        </w:numPr>
        <w:tabs>
          <w:tab w:val="num" w:pos="0"/>
        </w:tabs>
      </w:pPr>
      <w:r w:rsidRPr="00374382">
        <w:t>Mark Lamias, contractor for CDC</w:t>
      </w:r>
      <w:r w:rsidRPr="00E72CF2">
        <w:rPr>
          <w:vertAlign w:val="superscript"/>
        </w:rPr>
        <w:t>**</w:t>
      </w:r>
      <w:r w:rsidRPr="00E72CF2">
        <w:t xml:space="preserve"> – ph. 404-498-1151, email: </w:t>
      </w:r>
      <w:hyperlink r:id="rId23" w:history="1">
        <w:r w:rsidRPr="00E72CF2">
          <w:rPr>
            <w:rStyle w:val="Hyperlink"/>
          </w:rPr>
          <w:t>bnz6@cdc.gov</w:t>
        </w:r>
      </w:hyperlink>
      <w:r w:rsidRPr="00E72CF2">
        <w:t xml:space="preserve"> </w:t>
      </w:r>
    </w:p>
    <w:p w:rsidR="0042207C" w:rsidRPr="007F7B1D" w:rsidRDefault="0042207C" w:rsidP="0042207C">
      <w:pPr>
        <w:rPr>
          <w:b/>
          <w:bCs/>
          <w:u w:val="single"/>
        </w:rPr>
      </w:pPr>
    </w:p>
    <w:p w:rsidR="0042207C" w:rsidRPr="007F7B1D" w:rsidRDefault="0042207C" w:rsidP="0042207C">
      <w:pPr>
        <w:rPr>
          <w:bCs/>
        </w:rPr>
      </w:pPr>
      <w:r w:rsidRPr="007F7B1D">
        <w:rPr>
          <w:bCs/>
          <w:vertAlign w:val="superscript"/>
        </w:rPr>
        <w:t xml:space="preserve">* </w:t>
      </w:r>
      <w:r w:rsidRPr="007F7B1D">
        <w:rPr>
          <w:bCs/>
        </w:rPr>
        <w:t xml:space="preserve">Elizabeth Ailes’ CDC supervisor </w:t>
      </w:r>
      <w:r>
        <w:rPr>
          <w:bCs/>
        </w:rPr>
        <w:t>was</w:t>
      </w:r>
      <w:r w:rsidRPr="007F7B1D">
        <w:rPr>
          <w:bCs/>
        </w:rPr>
        <w:t xml:space="preserve"> Joan Brunkard, ph. 770-488-7711, email: </w:t>
      </w:r>
      <w:hyperlink r:id="rId24" w:history="1">
        <w:r w:rsidRPr="007F7B1D">
          <w:rPr>
            <w:rStyle w:val="Hyperlink"/>
          </w:rPr>
          <w:t>feu4@cdc.gov</w:t>
        </w:r>
      </w:hyperlink>
    </w:p>
    <w:p w:rsidR="0042207C" w:rsidRPr="007F7B1D" w:rsidRDefault="0042207C" w:rsidP="0042207C">
      <w:r w:rsidRPr="007F7B1D">
        <w:rPr>
          <w:vertAlign w:val="superscript"/>
        </w:rPr>
        <w:t xml:space="preserve">** </w:t>
      </w:r>
      <w:r w:rsidRPr="007F7B1D">
        <w:t xml:space="preserve">Mark Lamias’ CDC supervisor is </w:t>
      </w:r>
      <w:r>
        <w:t>Robert Fish</w:t>
      </w:r>
      <w:r w:rsidRPr="007F7B1D">
        <w:t xml:space="preserve">, ph. </w:t>
      </w:r>
      <w:r w:rsidRPr="006F0FE8">
        <w:t>404.498.2646</w:t>
      </w:r>
      <w:r w:rsidRPr="007F7B1D">
        <w:t xml:space="preserve">, email: </w:t>
      </w:r>
      <w:hyperlink r:id="rId25" w:history="1">
        <w:r w:rsidRPr="00224605">
          <w:rPr>
            <w:rStyle w:val="Hyperlink"/>
          </w:rPr>
          <w:t>bnz6@cdc.gov</w:t>
        </w:r>
      </w:hyperlink>
    </w:p>
    <w:p w:rsidR="0042207C" w:rsidRPr="007F7B1D" w:rsidRDefault="0042207C" w:rsidP="0042207C">
      <w:pPr>
        <w:rPr>
          <w:b/>
        </w:rPr>
      </w:pPr>
      <w:r w:rsidRPr="007F7B1D">
        <w:br w:type="page"/>
      </w:r>
      <w:r w:rsidRPr="007F7B1D">
        <w:rPr>
          <w:b/>
        </w:rPr>
        <w:t>Reference</w:t>
      </w:r>
    </w:p>
    <w:p w:rsidR="0042207C" w:rsidRPr="00FA04AE" w:rsidRDefault="0042207C" w:rsidP="0042207C">
      <w:pPr>
        <w:ind w:left="720" w:hanging="720"/>
        <w:rPr>
          <w:rFonts w:cs="Times New Roman"/>
          <w:noProof/>
        </w:rPr>
      </w:pPr>
      <w:r w:rsidRPr="007F7B1D">
        <w:fldChar w:fldCharType="begin"/>
      </w:r>
      <w:r w:rsidRPr="007F7B1D">
        <w:instrText xml:space="preserve"> ADDIN EN.REFLIST </w:instrText>
      </w:r>
      <w:r w:rsidRPr="007F7B1D">
        <w:fldChar w:fldCharType="separate"/>
      </w:r>
      <w:bookmarkStart w:id="4" w:name="_ENREF_1"/>
      <w:r w:rsidRPr="00FA04AE">
        <w:rPr>
          <w:rFonts w:cs="Times New Roman"/>
          <w:noProof/>
        </w:rPr>
        <w:t xml:space="preserve">Ailes, E., P. Budge, et al. (2010). </w:t>
      </w:r>
      <w:r w:rsidRPr="00FA04AE">
        <w:rPr>
          <w:rFonts w:cs="Times New Roman"/>
          <w:noProof/>
          <w:u w:val="single"/>
        </w:rPr>
        <w:t>Economic and Health Impacts Associated with a Salmonella Serotype Typhimurium Drinking Water Outbreak -- Alamosa, CO, 2008</w:t>
      </w:r>
      <w:r w:rsidRPr="00FA04AE">
        <w:rPr>
          <w:rFonts w:cs="Times New Roman"/>
          <w:noProof/>
        </w:rPr>
        <w:t>. International Conference on Emerging Infectious Diseases, Atlanta, GA.</w:t>
      </w:r>
      <w:bookmarkEnd w:id="4"/>
    </w:p>
    <w:p w:rsidR="0042207C" w:rsidRPr="00FA04AE" w:rsidRDefault="0042207C" w:rsidP="0042207C">
      <w:pPr>
        <w:ind w:left="720" w:hanging="720"/>
        <w:rPr>
          <w:rFonts w:cs="Times New Roman"/>
          <w:noProof/>
        </w:rPr>
      </w:pPr>
      <w:bookmarkStart w:id="5" w:name="_ENREF_2"/>
      <w:r w:rsidRPr="00FA04AE">
        <w:rPr>
          <w:rFonts w:cs="Times New Roman"/>
          <w:noProof/>
        </w:rPr>
        <w:t xml:space="preserve">Dillman, D. A. (2007). </w:t>
      </w:r>
      <w:r w:rsidRPr="00FA04AE">
        <w:rPr>
          <w:rFonts w:cs="Times New Roman"/>
          <w:noProof/>
          <w:u w:val="single"/>
        </w:rPr>
        <w:t>Mail and Internet Surveys: The Tailored Design Method</w:t>
      </w:r>
      <w:r w:rsidRPr="00FA04AE">
        <w:rPr>
          <w:rFonts w:cs="Times New Roman"/>
          <w:noProof/>
        </w:rPr>
        <w:t>. New Jersey, John Wiley &amp; Sons, Inc.</w:t>
      </w:r>
      <w:bookmarkEnd w:id="5"/>
    </w:p>
    <w:p w:rsidR="0042207C" w:rsidRPr="00FA04AE" w:rsidRDefault="0042207C" w:rsidP="0042207C">
      <w:pPr>
        <w:ind w:left="720" w:hanging="720"/>
        <w:rPr>
          <w:rFonts w:cs="Times New Roman"/>
          <w:noProof/>
        </w:rPr>
      </w:pPr>
      <w:bookmarkStart w:id="6" w:name="_ENREF_3"/>
      <w:r w:rsidRPr="00FA04AE">
        <w:rPr>
          <w:rFonts w:cs="Times New Roman"/>
          <w:noProof/>
        </w:rPr>
        <w:t xml:space="preserve">Galea, S. and M. Tracy (2007). "Participation Rates in Epidemiologic Studies." </w:t>
      </w:r>
      <w:r w:rsidRPr="00FA04AE">
        <w:rPr>
          <w:rFonts w:cs="Times New Roman"/>
          <w:noProof/>
          <w:u w:val="single"/>
        </w:rPr>
        <w:t>Annals of Epidemiology</w:t>
      </w:r>
      <w:r w:rsidRPr="00FA04AE">
        <w:rPr>
          <w:rFonts w:cs="Times New Roman"/>
          <w:noProof/>
        </w:rPr>
        <w:t xml:space="preserve"> </w:t>
      </w:r>
      <w:r w:rsidRPr="00FA04AE">
        <w:rPr>
          <w:rFonts w:cs="Times New Roman"/>
          <w:b/>
          <w:noProof/>
        </w:rPr>
        <w:t>17</w:t>
      </w:r>
      <w:r w:rsidRPr="00FA04AE">
        <w:rPr>
          <w:rFonts w:cs="Times New Roman"/>
          <w:noProof/>
        </w:rPr>
        <w:t>(9): 643-653.</w:t>
      </w:r>
      <w:bookmarkEnd w:id="6"/>
    </w:p>
    <w:p w:rsidR="0042207C" w:rsidRPr="00FA04AE" w:rsidRDefault="0042207C" w:rsidP="0042207C">
      <w:pPr>
        <w:ind w:left="720" w:hanging="720"/>
        <w:rPr>
          <w:rFonts w:cs="Times New Roman"/>
          <w:noProof/>
        </w:rPr>
      </w:pPr>
      <w:bookmarkStart w:id="7" w:name="_ENREF_4"/>
      <w:r w:rsidRPr="00FA04AE">
        <w:rPr>
          <w:rFonts w:cs="Times New Roman"/>
          <w:noProof/>
        </w:rPr>
        <w:t xml:space="preserve">Ghosh, T. S., J. L. Patnaik, et al. (2008). "Internet- versus telephone-based local outbreak investigations." </w:t>
      </w:r>
      <w:r w:rsidRPr="00FA04AE">
        <w:rPr>
          <w:rFonts w:cs="Times New Roman"/>
          <w:noProof/>
          <w:u w:val="single"/>
        </w:rPr>
        <w:t>Emerg Infect Dis</w:t>
      </w:r>
      <w:r w:rsidRPr="00FA04AE">
        <w:rPr>
          <w:rFonts w:cs="Times New Roman"/>
          <w:noProof/>
        </w:rPr>
        <w:t xml:space="preserve"> </w:t>
      </w:r>
      <w:r w:rsidRPr="00FA04AE">
        <w:rPr>
          <w:rFonts w:cs="Times New Roman"/>
          <w:b/>
          <w:noProof/>
        </w:rPr>
        <w:t>14</w:t>
      </w:r>
      <w:r w:rsidRPr="00FA04AE">
        <w:rPr>
          <w:rFonts w:cs="Times New Roman"/>
          <w:noProof/>
        </w:rPr>
        <w:t>(6): 975-977.</w:t>
      </w:r>
      <w:bookmarkEnd w:id="7"/>
    </w:p>
    <w:p w:rsidR="0042207C" w:rsidRPr="00FA04AE" w:rsidRDefault="0042207C" w:rsidP="0042207C">
      <w:pPr>
        <w:ind w:left="720" w:hanging="720"/>
        <w:rPr>
          <w:rFonts w:cs="Times New Roman"/>
          <w:noProof/>
        </w:rPr>
      </w:pPr>
      <w:bookmarkStart w:id="8" w:name="_ENREF_5"/>
      <w:r w:rsidRPr="00FA04AE">
        <w:rPr>
          <w:rFonts w:cs="Times New Roman"/>
          <w:noProof/>
        </w:rPr>
        <w:t xml:space="preserve">Griffiths, S. L., R. L. Salmon, et al. (2010). "Using the internet for rapid investigation of an outbreak of diarrhoeal illness in mountain bikers." </w:t>
      </w:r>
      <w:r w:rsidRPr="00FA04AE">
        <w:rPr>
          <w:rFonts w:cs="Times New Roman"/>
          <w:noProof/>
          <w:u w:val="single"/>
        </w:rPr>
        <w:t>Epidemiol Infect</w:t>
      </w:r>
      <w:r w:rsidRPr="00FA04AE">
        <w:rPr>
          <w:rFonts w:cs="Times New Roman"/>
          <w:noProof/>
        </w:rPr>
        <w:t xml:space="preserve"> </w:t>
      </w:r>
      <w:r w:rsidRPr="00FA04AE">
        <w:rPr>
          <w:rFonts w:cs="Times New Roman"/>
          <w:b/>
          <w:noProof/>
        </w:rPr>
        <w:t>138</w:t>
      </w:r>
      <w:r w:rsidRPr="00FA04AE">
        <w:rPr>
          <w:rFonts w:cs="Times New Roman"/>
          <w:noProof/>
        </w:rPr>
        <w:t>(12): 1704-1711.</w:t>
      </w:r>
      <w:bookmarkEnd w:id="8"/>
    </w:p>
    <w:p w:rsidR="0042207C" w:rsidRPr="00FA04AE" w:rsidRDefault="0042207C" w:rsidP="0042207C">
      <w:pPr>
        <w:ind w:left="720" w:hanging="720"/>
        <w:rPr>
          <w:rFonts w:cs="Times New Roman"/>
          <w:noProof/>
        </w:rPr>
      </w:pPr>
      <w:bookmarkStart w:id="9" w:name="_ENREF_6"/>
      <w:r w:rsidRPr="00FA04AE">
        <w:rPr>
          <w:rFonts w:cs="Times New Roman"/>
          <w:noProof/>
        </w:rPr>
        <w:t xml:space="preserve">Jones, T. F., M. B. McMillian, et al. (2007). "A population-based estimate of the substantial burden of diarrhoeal disease in the United States; FoodNet, 1996-2003." </w:t>
      </w:r>
      <w:r w:rsidRPr="00FA04AE">
        <w:rPr>
          <w:rFonts w:cs="Times New Roman"/>
          <w:noProof/>
          <w:u w:val="single"/>
        </w:rPr>
        <w:t>Epidemiol Infect</w:t>
      </w:r>
      <w:r w:rsidRPr="00FA04AE">
        <w:rPr>
          <w:rFonts w:cs="Times New Roman"/>
          <w:noProof/>
        </w:rPr>
        <w:t xml:space="preserve"> </w:t>
      </w:r>
      <w:r w:rsidRPr="00FA04AE">
        <w:rPr>
          <w:rFonts w:cs="Times New Roman"/>
          <w:b/>
          <w:noProof/>
        </w:rPr>
        <w:t>135</w:t>
      </w:r>
      <w:r w:rsidRPr="00FA04AE">
        <w:rPr>
          <w:rFonts w:cs="Times New Roman"/>
          <w:noProof/>
        </w:rPr>
        <w:t>(2): 293-301.</w:t>
      </w:r>
      <w:bookmarkEnd w:id="9"/>
    </w:p>
    <w:p w:rsidR="0042207C" w:rsidRPr="00FA04AE" w:rsidRDefault="0042207C" w:rsidP="0042207C">
      <w:pPr>
        <w:ind w:left="720" w:hanging="720"/>
        <w:rPr>
          <w:rFonts w:cs="Times New Roman"/>
          <w:noProof/>
        </w:rPr>
      </w:pPr>
      <w:bookmarkStart w:id="10" w:name="_ENREF_7"/>
      <w:r w:rsidRPr="00FA04AE">
        <w:rPr>
          <w:rFonts w:cs="Times New Roman"/>
          <w:noProof/>
        </w:rPr>
        <w:t xml:space="preserve">Pew Internet &amp; American Life Project. "Updated: Change in internet access by age group, 2000-2010."   Retrieved October 29, 2010, from </w:t>
      </w:r>
      <w:hyperlink r:id="rId26" w:history="1">
        <w:r w:rsidRPr="00FA04AE">
          <w:rPr>
            <w:rStyle w:val="Hyperlink"/>
            <w:rFonts w:cs="Times New Roman"/>
            <w:noProof/>
          </w:rPr>
          <w:t>http://www.pewinternet.org/Infographics/2010/Internet-acess-by-age-group-over-time-Update.aspx</w:t>
        </w:r>
      </w:hyperlink>
      <w:r w:rsidRPr="00FA04AE">
        <w:rPr>
          <w:rFonts w:cs="Times New Roman"/>
          <w:noProof/>
        </w:rPr>
        <w:t>.</w:t>
      </w:r>
      <w:bookmarkEnd w:id="10"/>
    </w:p>
    <w:p w:rsidR="0042207C" w:rsidRPr="00FA04AE" w:rsidRDefault="0042207C" w:rsidP="0042207C">
      <w:pPr>
        <w:ind w:left="720" w:hanging="720"/>
        <w:rPr>
          <w:rFonts w:cs="Times New Roman"/>
          <w:noProof/>
        </w:rPr>
      </w:pPr>
      <w:bookmarkStart w:id="11" w:name="_ENREF_8"/>
      <w:r w:rsidRPr="00FA04AE">
        <w:rPr>
          <w:rFonts w:cs="Times New Roman"/>
          <w:noProof/>
        </w:rPr>
        <w:t xml:space="preserve">Smith, B., T. C. Smith, et al. (2007). "When epidemiology meets the Internet: Web-based surveys in the Millennium Cohort Study." </w:t>
      </w:r>
      <w:r w:rsidRPr="00FA04AE">
        <w:rPr>
          <w:rFonts w:cs="Times New Roman"/>
          <w:noProof/>
          <w:u w:val="single"/>
        </w:rPr>
        <w:t>Am J Epidemiol</w:t>
      </w:r>
      <w:r w:rsidRPr="00FA04AE">
        <w:rPr>
          <w:rFonts w:cs="Times New Roman"/>
          <w:noProof/>
        </w:rPr>
        <w:t xml:space="preserve"> </w:t>
      </w:r>
      <w:r w:rsidRPr="00FA04AE">
        <w:rPr>
          <w:rFonts w:cs="Times New Roman"/>
          <w:b/>
          <w:noProof/>
        </w:rPr>
        <w:t>166</w:t>
      </w:r>
      <w:r w:rsidRPr="00FA04AE">
        <w:rPr>
          <w:rFonts w:cs="Times New Roman"/>
          <w:noProof/>
        </w:rPr>
        <w:t>(11): 1345-1354.</w:t>
      </w:r>
      <w:bookmarkEnd w:id="11"/>
    </w:p>
    <w:p w:rsidR="0042207C" w:rsidRPr="00FA04AE" w:rsidRDefault="0042207C" w:rsidP="0042207C">
      <w:pPr>
        <w:ind w:left="720" w:hanging="720"/>
        <w:rPr>
          <w:rFonts w:cs="Times New Roman"/>
          <w:noProof/>
        </w:rPr>
      </w:pPr>
      <w:bookmarkStart w:id="12" w:name="_ENREF_9"/>
      <w:r w:rsidRPr="00FA04AE">
        <w:rPr>
          <w:rFonts w:cs="Times New Roman"/>
          <w:noProof/>
        </w:rPr>
        <w:t xml:space="preserve">Smith, C. M. and V. R. Hill (2009). "Dead-end hollow-fiber ultrafiltration for recovery of diverse microbes from water." </w:t>
      </w:r>
      <w:r w:rsidRPr="00FA04AE">
        <w:rPr>
          <w:rFonts w:cs="Times New Roman"/>
          <w:noProof/>
          <w:u w:val="single"/>
        </w:rPr>
        <w:t>Appl Environ Microbiol</w:t>
      </w:r>
      <w:r w:rsidRPr="00FA04AE">
        <w:rPr>
          <w:rFonts w:cs="Times New Roman"/>
          <w:noProof/>
        </w:rPr>
        <w:t xml:space="preserve"> </w:t>
      </w:r>
      <w:r w:rsidRPr="00FA04AE">
        <w:rPr>
          <w:rFonts w:cs="Times New Roman"/>
          <w:b/>
          <w:noProof/>
        </w:rPr>
        <w:t>75</w:t>
      </w:r>
      <w:r w:rsidRPr="00FA04AE">
        <w:rPr>
          <w:rFonts w:cs="Times New Roman"/>
          <w:noProof/>
        </w:rPr>
        <w:t>(16): 5284-5289.</w:t>
      </w:r>
      <w:bookmarkEnd w:id="12"/>
    </w:p>
    <w:p w:rsidR="0042207C" w:rsidRDefault="0042207C" w:rsidP="0042207C">
      <w:pPr>
        <w:rPr>
          <w:rFonts w:cs="Times New Roman"/>
          <w:noProof/>
        </w:rPr>
      </w:pPr>
    </w:p>
    <w:p w:rsidR="0042207C" w:rsidRPr="007F7B1D" w:rsidRDefault="0042207C" w:rsidP="0042207C">
      <w:pPr>
        <w:ind w:left="720" w:hanging="720"/>
      </w:pPr>
      <w:r w:rsidRPr="007F7B1D">
        <w:fldChar w:fldCharType="end"/>
      </w:r>
    </w:p>
    <w:p w:rsidR="0042207C" w:rsidRDefault="0042207C" w:rsidP="0042207C">
      <w:pPr>
        <w:rPr>
          <w:b/>
        </w:rPr>
      </w:pPr>
      <w:r>
        <w:rPr>
          <w:b/>
        </w:rPr>
        <w:br w:type="page"/>
      </w:r>
    </w:p>
    <w:p w:rsidR="0042207C" w:rsidRPr="00084E16" w:rsidRDefault="0042207C" w:rsidP="0042207C">
      <w:pPr>
        <w:ind w:left="720" w:hanging="720"/>
        <w:rPr>
          <w:b/>
        </w:rPr>
      </w:pPr>
      <w:r w:rsidRPr="00084E16">
        <w:rPr>
          <w:b/>
        </w:rPr>
        <w:t>List of Attachments</w:t>
      </w:r>
    </w:p>
    <w:p w:rsidR="0042207C" w:rsidRPr="00084E16" w:rsidRDefault="0042207C" w:rsidP="0042207C">
      <w:pPr>
        <w:rPr>
          <w:b/>
        </w:rPr>
      </w:pPr>
    </w:p>
    <w:p w:rsidR="00B04B87" w:rsidRDefault="00B04B87" w:rsidP="00B04B87">
      <w:r>
        <w:t>A.</w:t>
      </w:r>
      <w:r>
        <w:tab/>
      </w:r>
      <w:r w:rsidRPr="00084E16">
        <w:t>Authorizing legislation</w:t>
      </w:r>
    </w:p>
    <w:p w:rsidR="00B04B87" w:rsidRDefault="00B04B87" w:rsidP="00B04B87"/>
    <w:p w:rsidR="00B04B87" w:rsidRDefault="00B04B87" w:rsidP="00B04B87">
      <w:r>
        <w:t>B.</w:t>
      </w:r>
      <w:r>
        <w:tab/>
        <w:t>60 day Federal Register Notice</w:t>
      </w:r>
    </w:p>
    <w:p w:rsidR="000F70F3" w:rsidRDefault="000F70F3" w:rsidP="00B04B87"/>
    <w:p w:rsidR="000F70F3" w:rsidRPr="00084E16" w:rsidRDefault="000F70F3" w:rsidP="00B04B87">
      <w:r>
        <w:t>C.</w:t>
      </w:r>
      <w:r>
        <w:tab/>
        <w:t>Pilot evaluation logical framework</w:t>
      </w:r>
    </w:p>
    <w:p w:rsidR="00B04B87" w:rsidRPr="00084E16" w:rsidRDefault="00B04B87" w:rsidP="00B04B87"/>
    <w:p w:rsidR="00B04B87" w:rsidRPr="00084E16" w:rsidRDefault="000F70F3" w:rsidP="00B04B87">
      <w:r>
        <w:t>D</w:t>
      </w:r>
      <w:r w:rsidR="00B04B87" w:rsidRPr="00084E16">
        <w:t>.</w:t>
      </w:r>
      <w:r w:rsidR="00B04B87" w:rsidRPr="00084E16">
        <w:tab/>
      </w:r>
      <w:r w:rsidR="00B04B87">
        <w:t xml:space="preserve">Advanced letter </w:t>
      </w:r>
    </w:p>
    <w:p w:rsidR="00B04B87" w:rsidRPr="00084E16" w:rsidRDefault="00B04B87" w:rsidP="00B04B87"/>
    <w:p w:rsidR="00B04B87" w:rsidRPr="00084E16" w:rsidRDefault="000F70F3" w:rsidP="00B04B87">
      <w:r>
        <w:t>E</w:t>
      </w:r>
      <w:r w:rsidR="00B04B87" w:rsidRPr="00084E16">
        <w:t>.</w:t>
      </w:r>
      <w:r w:rsidR="00B04B87" w:rsidRPr="00084E16">
        <w:tab/>
      </w:r>
      <w:r w:rsidR="00B04B87">
        <w:t xml:space="preserve">Cover letter </w:t>
      </w:r>
    </w:p>
    <w:p w:rsidR="00B04B87" w:rsidRPr="00084E16" w:rsidRDefault="00B04B87" w:rsidP="00B04B87"/>
    <w:p w:rsidR="00B04B87" w:rsidRPr="00084E16" w:rsidRDefault="000F70F3" w:rsidP="00B04B87">
      <w:r>
        <w:t>F</w:t>
      </w:r>
      <w:r w:rsidR="00B04B87" w:rsidRPr="00084E16">
        <w:t>.</w:t>
      </w:r>
      <w:r w:rsidR="00B04B87" w:rsidRPr="00084E16">
        <w:tab/>
      </w:r>
      <w:r w:rsidR="00B04B87">
        <w:t xml:space="preserve">Consent brochure </w:t>
      </w:r>
    </w:p>
    <w:p w:rsidR="00B04B87" w:rsidRPr="00084E16" w:rsidRDefault="00B04B87" w:rsidP="00B04B87"/>
    <w:p w:rsidR="00B04B87" w:rsidRDefault="000F70F3" w:rsidP="00B04B87">
      <w:r>
        <w:t>G</w:t>
      </w:r>
      <w:r w:rsidR="00B04B87" w:rsidRPr="00084E16">
        <w:t xml:space="preserve">. </w:t>
      </w:r>
      <w:r w:rsidR="00B04B87" w:rsidRPr="00084E16">
        <w:tab/>
      </w:r>
      <w:r w:rsidR="00B04B87">
        <w:t>Household survey (paper version)</w:t>
      </w:r>
    </w:p>
    <w:p w:rsidR="00B04B87" w:rsidRDefault="00B04B87" w:rsidP="00B04B87"/>
    <w:p w:rsidR="00B04B87" w:rsidRPr="00084E16" w:rsidRDefault="000F70F3" w:rsidP="00B04B87">
      <w:r>
        <w:t>H</w:t>
      </w:r>
      <w:r w:rsidR="00B04B87">
        <w:t>.</w:t>
      </w:r>
      <w:r w:rsidR="00B04B87">
        <w:tab/>
        <w:t>Household survey (web version screen shots)</w:t>
      </w:r>
    </w:p>
    <w:p w:rsidR="00B04B87" w:rsidRPr="00084E16" w:rsidRDefault="00B04B87" w:rsidP="00B04B87"/>
    <w:p w:rsidR="00B04B87" w:rsidRPr="00084E16" w:rsidRDefault="000F70F3" w:rsidP="00B04B87">
      <w:r>
        <w:t>I</w:t>
      </w:r>
      <w:r w:rsidR="00B04B87" w:rsidRPr="00084E16">
        <w:t xml:space="preserve">. </w:t>
      </w:r>
      <w:r w:rsidR="00B04B87" w:rsidRPr="00084E16">
        <w:tab/>
      </w:r>
      <w:r w:rsidR="00B04B87">
        <w:t>Thank you / reminder letter</w:t>
      </w:r>
    </w:p>
    <w:p w:rsidR="00B04B87" w:rsidRPr="00084E16" w:rsidRDefault="00B04B87" w:rsidP="00B04B87"/>
    <w:p w:rsidR="00B04B87" w:rsidRPr="00084E16" w:rsidRDefault="000F70F3" w:rsidP="00B04B87">
      <w:r>
        <w:t>J</w:t>
      </w:r>
      <w:r w:rsidR="00B04B87" w:rsidRPr="00084E16">
        <w:t>.</w:t>
      </w:r>
      <w:r w:rsidR="00B04B87" w:rsidRPr="00084E16">
        <w:tab/>
      </w:r>
      <w:r w:rsidR="00B04B87">
        <w:t>Replacement survey cover letter</w:t>
      </w:r>
    </w:p>
    <w:p w:rsidR="00B04B87" w:rsidRPr="00084E16" w:rsidRDefault="00B04B87" w:rsidP="00B04B87"/>
    <w:p w:rsidR="00B04B87" w:rsidRDefault="000F70F3" w:rsidP="00B04B87">
      <w:r>
        <w:t>K</w:t>
      </w:r>
      <w:r w:rsidR="00B04B87" w:rsidRPr="00084E16">
        <w:t>.</w:t>
      </w:r>
      <w:r w:rsidR="00B04B87" w:rsidRPr="00084E16">
        <w:tab/>
      </w:r>
      <w:r w:rsidR="00B04B87">
        <w:t>Final appeal letter</w:t>
      </w:r>
    </w:p>
    <w:p w:rsidR="00B04B87" w:rsidRDefault="00B04B87" w:rsidP="00B04B87"/>
    <w:p w:rsidR="00B04B87" w:rsidRDefault="000F70F3" w:rsidP="00B04B87">
      <w:r>
        <w:t>L</w:t>
      </w:r>
      <w:r w:rsidR="00B04B87">
        <w:t>.</w:t>
      </w:r>
      <w:r w:rsidR="00B04B87">
        <w:tab/>
        <w:t>Low pressure event form</w:t>
      </w:r>
    </w:p>
    <w:p w:rsidR="00B04B87" w:rsidRDefault="00B04B87" w:rsidP="00B04B87"/>
    <w:p w:rsidR="00B04B87" w:rsidRPr="008B69FB" w:rsidRDefault="000F70F3" w:rsidP="00B04B87">
      <w:r>
        <w:t>M</w:t>
      </w:r>
      <w:r w:rsidR="00B04B87" w:rsidRPr="008B69FB">
        <w:t>.</w:t>
      </w:r>
      <w:r w:rsidR="00B04B87" w:rsidRPr="008B69FB">
        <w:tab/>
        <w:t>Utility Customer Information form</w:t>
      </w:r>
    </w:p>
    <w:p w:rsidR="00B04B87" w:rsidRPr="008B69FB" w:rsidRDefault="00B04B87" w:rsidP="00B04B87"/>
    <w:p w:rsidR="00B04B87" w:rsidRPr="008B69FB" w:rsidRDefault="000F70F3" w:rsidP="00B04B87">
      <w:r>
        <w:t>N</w:t>
      </w:r>
      <w:r w:rsidR="00B04B87" w:rsidRPr="008B69FB">
        <w:t>.</w:t>
      </w:r>
      <w:r w:rsidR="00B04B87" w:rsidRPr="008B69FB">
        <w:tab/>
        <w:t>IRB Approval Continuation Memo</w:t>
      </w:r>
      <w:r w:rsidR="00B04B87" w:rsidRPr="008B69FB" w:rsidDel="00AF3EBE">
        <w:t xml:space="preserve"> </w:t>
      </w:r>
    </w:p>
    <w:p w:rsidR="008B69FB" w:rsidRDefault="008B69FB" w:rsidP="008B69FB">
      <w:pPr>
        <w:rPr>
          <w:rFonts w:eastAsia="Times New Roman" w:cs="Times New Roman"/>
        </w:rPr>
      </w:pPr>
    </w:p>
    <w:p w:rsidR="0042207C" w:rsidRPr="00084E16" w:rsidRDefault="0042207C" w:rsidP="0042207C"/>
    <w:p w:rsidR="0042207C" w:rsidRPr="00084E16" w:rsidRDefault="0042207C" w:rsidP="0042207C"/>
    <w:p w:rsidR="0042207C" w:rsidRPr="00084E16" w:rsidRDefault="0042207C" w:rsidP="0042207C"/>
    <w:p w:rsidR="0042207C" w:rsidRPr="00084E16" w:rsidRDefault="0042207C" w:rsidP="0042207C"/>
    <w:p w:rsidR="00BD2C56" w:rsidRDefault="00BD2C56"/>
    <w:sectPr w:rsidR="00BD2C56" w:rsidSect="00BD2C56">
      <w:headerReference w:type="default" r:id="rId27"/>
      <w:footerReference w:type="even" r:id="rId28"/>
      <w:footerReference w:type="default" r:id="rId2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5EF" w:rsidRDefault="005015EF">
      <w:r>
        <w:separator/>
      </w:r>
    </w:p>
  </w:endnote>
  <w:endnote w:type="continuationSeparator" w:id="0">
    <w:p w:rsidR="005015EF" w:rsidRDefault="0050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7A" w:rsidRDefault="00AB2C7A" w:rsidP="00BD2C5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AB2C7A" w:rsidRDefault="00AB2C7A" w:rsidP="00BD2C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7A" w:rsidRDefault="00AB2C7A" w:rsidP="00BD2C5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2257B2">
      <w:rPr>
        <w:rStyle w:val="PageNumber"/>
        <w:rFonts w:eastAsiaTheme="majorEastAsia"/>
        <w:noProof/>
      </w:rPr>
      <w:t>7</w:t>
    </w:r>
    <w:r>
      <w:rPr>
        <w:rStyle w:val="PageNumber"/>
        <w:rFonts w:eastAsiaTheme="majorEastAsia"/>
      </w:rPr>
      <w:fldChar w:fldCharType="end"/>
    </w:r>
  </w:p>
  <w:p w:rsidR="00AB2C7A" w:rsidRDefault="00AB2C7A" w:rsidP="00BD2C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5EF" w:rsidRDefault="005015EF">
      <w:r>
        <w:separator/>
      </w:r>
    </w:p>
  </w:footnote>
  <w:footnote w:type="continuationSeparator" w:id="0">
    <w:p w:rsidR="005015EF" w:rsidRDefault="0050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7A" w:rsidRPr="00440E93" w:rsidRDefault="00FC4AB6" w:rsidP="00BD2C56">
    <w:pPr>
      <w:pStyle w:val="Header"/>
      <w:jc w:val="right"/>
      <w:rPr>
        <w:color w:val="BFBFBF" w:themeColor="background1" w:themeShade="BF"/>
        <w:sz w:val="18"/>
        <w:szCs w:val="18"/>
      </w:rPr>
    </w:pPr>
    <w:fldSimple w:instr=" FILENAME   \* MERGEFORMAT ">
      <w:r w:rsidR="00AB2C7A" w:rsidRPr="00FC4AB6">
        <w:rPr>
          <w:noProof/>
          <w:color w:val="BFBFBF" w:themeColor="background1" w:themeShade="BF"/>
          <w:sz w:val="18"/>
          <w:szCs w:val="18"/>
        </w:rPr>
        <w:t>Gargano OMB Supporting Statement Part B clean</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592"/>
    <w:multiLevelType w:val="hybridMultilevel"/>
    <w:tmpl w:val="AD60BE90"/>
    <w:lvl w:ilvl="0" w:tplc="CF405B30">
      <w:start w:val="1"/>
      <w:numFmt w:val="bullet"/>
      <w:lvlText w:val=""/>
      <w:lvlJc w:val="left"/>
      <w:pPr>
        <w:tabs>
          <w:tab w:val="num" w:pos="720"/>
        </w:tabs>
        <w:ind w:left="72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8E445BB"/>
    <w:multiLevelType w:val="hybridMultilevel"/>
    <w:tmpl w:val="CC683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B4460AC"/>
    <w:multiLevelType w:val="hybridMultilevel"/>
    <w:tmpl w:val="C5DA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B0012"/>
    <w:multiLevelType w:val="hybridMultilevel"/>
    <w:tmpl w:val="ACDE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641F1"/>
    <w:multiLevelType w:val="hybridMultilevel"/>
    <w:tmpl w:val="27BCC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E5C6F"/>
    <w:multiLevelType w:val="hybridMultilevel"/>
    <w:tmpl w:val="8A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043C0"/>
    <w:multiLevelType w:val="multilevel"/>
    <w:tmpl w:val="D53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B68F0"/>
    <w:multiLevelType w:val="hybridMultilevel"/>
    <w:tmpl w:val="398873D6"/>
    <w:lvl w:ilvl="0" w:tplc="F2EABA78">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31764"/>
    <w:multiLevelType w:val="hybridMultilevel"/>
    <w:tmpl w:val="1AB4CC6C"/>
    <w:lvl w:ilvl="0" w:tplc="41C6A8D6">
      <w:start w:val="1"/>
      <w:numFmt w:val="bullet"/>
      <w:lvlText w:val=""/>
      <w:lvlJc w:val="left"/>
      <w:pPr>
        <w:tabs>
          <w:tab w:val="num" w:pos="360"/>
        </w:tabs>
        <w:ind w:left="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0134885"/>
    <w:multiLevelType w:val="hybridMultilevel"/>
    <w:tmpl w:val="DA6A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E50D42"/>
    <w:multiLevelType w:val="hybridMultilevel"/>
    <w:tmpl w:val="9886CC8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2E878BE"/>
    <w:multiLevelType w:val="hybridMultilevel"/>
    <w:tmpl w:val="A96618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nsid w:val="44B33784"/>
    <w:multiLevelType w:val="hybridMultilevel"/>
    <w:tmpl w:val="FDE27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7166BD8"/>
    <w:multiLevelType w:val="hybridMultilevel"/>
    <w:tmpl w:val="F02449F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C5F1AB7"/>
    <w:multiLevelType w:val="hybridMultilevel"/>
    <w:tmpl w:val="363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92609"/>
    <w:multiLevelType w:val="hybridMultilevel"/>
    <w:tmpl w:val="B3B6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0C21EC"/>
    <w:multiLevelType w:val="hybridMultilevel"/>
    <w:tmpl w:val="46C4386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733D313F"/>
    <w:multiLevelType w:val="hybridMultilevel"/>
    <w:tmpl w:val="D8F4AD7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7B2D4C12"/>
    <w:multiLevelType w:val="hybridMultilevel"/>
    <w:tmpl w:val="0C7E9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12"/>
  </w:num>
  <w:num w:numId="4">
    <w:abstractNumId w:val="10"/>
  </w:num>
  <w:num w:numId="5">
    <w:abstractNumId w:val="11"/>
  </w:num>
  <w:num w:numId="6">
    <w:abstractNumId w:val="15"/>
  </w:num>
  <w:num w:numId="7">
    <w:abstractNumId w:val="13"/>
  </w:num>
  <w:num w:numId="8">
    <w:abstractNumId w:val="1"/>
  </w:num>
  <w:num w:numId="9">
    <w:abstractNumId w:val="16"/>
  </w:num>
  <w:num w:numId="10">
    <w:abstractNumId w:val="7"/>
  </w:num>
  <w:num w:numId="11">
    <w:abstractNumId w:val="6"/>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2"/>
  </w:num>
  <w:num w:numId="16">
    <w:abstractNumId w:val="8"/>
  </w:num>
  <w:num w:numId="17">
    <w:abstractNumId w:val="1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7C"/>
    <w:rsid w:val="0005416F"/>
    <w:rsid w:val="00054C1F"/>
    <w:rsid w:val="00075BCE"/>
    <w:rsid w:val="000A5A23"/>
    <w:rsid w:val="000F70F3"/>
    <w:rsid w:val="00134277"/>
    <w:rsid w:val="0013631F"/>
    <w:rsid w:val="00150B3D"/>
    <w:rsid w:val="00151245"/>
    <w:rsid w:val="001E7DE2"/>
    <w:rsid w:val="0020381E"/>
    <w:rsid w:val="002054E8"/>
    <w:rsid w:val="002257B2"/>
    <w:rsid w:val="002C4F45"/>
    <w:rsid w:val="002C50BC"/>
    <w:rsid w:val="002D42C2"/>
    <w:rsid w:val="002D4DF9"/>
    <w:rsid w:val="002F6E4A"/>
    <w:rsid w:val="00301F5A"/>
    <w:rsid w:val="003523DD"/>
    <w:rsid w:val="00374EED"/>
    <w:rsid w:val="003A27D8"/>
    <w:rsid w:val="003A5A9B"/>
    <w:rsid w:val="003A7594"/>
    <w:rsid w:val="003B7CF0"/>
    <w:rsid w:val="003C0CD8"/>
    <w:rsid w:val="003D1B6C"/>
    <w:rsid w:val="003E1AAF"/>
    <w:rsid w:val="003E30D5"/>
    <w:rsid w:val="003F4EEE"/>
    <w:rsid w:val="00403AFE"/>
    <w:rsid w:val="00411B17"/>
    <w:rsid w:val="0042207C"/>
    <w:rsid w:val="00463C6B"/>
    <w:rsid w:val="00482C93"/>
    <w:rsid w:val="0048613D"/>
    <w:rsid w:val="004A5F9A"/>
    <w:rsid w:val="004D457F"/>
    <w:rsid w:val="004D76C6"/>
    <w:rsid w:val="004F65CD"/>
    <w:rsid w:val="005015EF"/>
    <w:rsid w:val="005032AE"/>
    <w:rsid w:val="00515852"/>
    <w:rsid w:val="00527501"/>
    <w:rsid w:val="00557FC3"/>
    <w:rsid w:val="00576821"/>
    <w:rsid w:val="005B2CA0"/>
    <w:rsid w:val="005E0667"/>
    <w:rsid w:val="0060648B"/>
    <w:rsid w:val="00615677"/>
    <w:rsid w:val="006332D3"/>
    <w:rsid w:val="00644D54"/>
    <w:rsid w:val="00696734"/>
    <w:rsid w:val="006C5AF0"/>
    <w:rsid w:val="006E7085"/>
    <w:rsid w:val="00756D46"/>
    <w:rsid w:val="007A7752"/>
    <w:rsid w:val="007B4831"/>
    <w:rsid w:val="007D7716"/>
    <w:rsid w:val="00803700"/>
    <w:rsid w:val="00805AF6"/>
    <w:rsid w:val="00806C17"/>
    <w:rsid w:val="0081528C"/>
    <w:rsid w:val="008420BA"/>
    <w:rsid w:val="00867175"/>
    <w:rsid w:val="00883C61"/>
    <w:rsid w:val="008B0FAB"/>
    <w:rsid w:val="008B69FB"/>
    <w:rsid w:val="008C621B"/>
    <w:rsid w:val="008D542E"/>
    <w:rsid w:val="00901EC9"/>
    <w:rsid w:val="009133D0"/>
    <w:rsid w:val="009226E4"/>
    <w:rsid w:val="009227CA"/>
    <w:rsid w:val="0092726A"/>
    <w:rsid w:val="00943B98"/>
    <w:rsid w:val="00952EB4"/>
    <w:rsid w:val="00954D1E"/>
    <w:rsid w:val="00991E75"/>
    <w:rsid w:val="009B0D68"/>
    <w:rsid w:val="009C4D38"/>
    <w:rsid w:val="009C5B17"/>
    <w:rsid w:val="009F66AC"/>
    <w:rsid w:val="00A13CCB"/>
    <w:rsid w:val="00A4380F"/>
    <w:rsid w:val="00A44903"/>
    <w:rsid w:val="00A752B8"/>
    <w:rsid w:val="00A803D6"/>
    <w:rsid w:val="00A81507"/>
    <w:rsid w:val="00A93CFE"/>
    <w:rsid w:val="00AB2C7A"/>
    <w:rsid w:val="00AD54A7"/>
    <w:rsid w:val="00AF3EBE"/>
    <w:rsid w:val="00B03707"/>
    <w:rsid w:val="00B045D0"/>
    <w:rsid w:val="00B04B87"/>
    <w:rsid w:val="00B21A4F"/>
    <w:rsid w:val="00B24B23"/>
    <w:rsid w:val="00B47A71"/>
    <w:rsid w:val="00B85337"/>
    <w:rsid w:val="00B976A4"/>
    <w:rsid w:val="00BB174D"/>
    <w:rsid w:val="00BC78B0"/>
    <w:rsid w:val="00BD2C56"/>
    <w:rsid w:val="00BD5AC5"/>
    <w:rsid w:val="00C137D2"/>
    <w:rsid w:val="00C14C18"/>
    <w:rsid w:val="00C22CA5"/>
    <w:rsid w:val="00C64C8F"/>
    <w:rsid w:val="00C732B5"/>
    <w:rsid w:val="00CF2AF9"/>
    <w:rsid w:val="00CF33F6"/>
    <w:rsid w:val="00CF76DA"/>
    <w:rsid w:val="00D3245F"/>
    <w:rsid w:val="00D45687"/>
    <w:rsid w:val="00D52FB9"/>
    <w:rsid w:val="00D5440B"/>
    <w:rsid w:val="00DA1549"/>
    <w:rsid w:val="00DB5E58"/>
    <w:rsid w:val="00DC4DB6"/>
    <w:rsid w:val="00E47182"/>
    <w:rsid w:val="00E55D94"/>
    <w:rsid w:val="00E5628E"/>
    <w:rsid w:val="00E93D57"/>
    <w:rsid w:val="00ED2ACB"/>
    <w:rsid w:val="00EF2687"/>
    <w:rsid w:val="00EF6BAE"/>
    <w:rsid w:val="00F06C7D"/>
    <w:rsid w:val="00F252BE"/>
    <w:rsid w:val="00F4146D"/>
    <w:rsid w:val="00F4461B"/>
    <w:rsid w:val="00F471B2"/>
    <w:rsid w:val="00F47F12"/>
    <w:rsid w:val="00F6759D"/>
    <w:rsid w:val="00FB120D"/>
    <w:rsid w:val="00FB73BF"/>
    <w:rsid w:val="00FC4AB6"/>
    <w:rsid w:val="00FE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7C"/>
    <w:pPr>
      <w:spacing w:after="0" w:line="240" w:lineRule="auto"/>
    </w:pPr>
    <w:rPr>
      <w:rFonts w:ascii="Times New Roman" w:hAnsi="Times New Roman"/>
      <w:sz w:val="24"/>
    </w:rPr>
  </w:style>
  <w:style w:type="paragraph" w:styleId="Heading1">
    <w:name w:val="heading 1"/>
    <w:basedOn w:val="Normal"/>
    <w:next w:val="Normal"/>
    <w:link w:val="Heading1Char"/>
    <w:autoRedefine/>
    <w:qFormat/>
    <w:rsid w:val="0042207C"/>
    <w:pPr>
      <w:keepNext/>
      <w:spacing w:before="360" w:after="120"/>
      <w:outlineLvl w:val="0"/>
    </w:pPr>
    <w:rPr>
      <w:rFonts w:eastAsia="Times New Roman" w:cs="Arial"/>
      <w:bCs/>
      <w:kern w:val="32"/>
      <w:sz w:val="28"/>
      <w:szCs w:val="32"/>
    </w:rPr>
  </w:style>
  <w:style w:type="paragraph" w:styleId="Heading2">
    <w:name w:val="heading 2"/>
    <w:basedOn w:val="Normal"/>
    <w:next w:val="Normal"/>
    <w:link w:val="Heading2Char"/>
    <w:semiHidden/>
    <w:unhideWhenUsed/>
    <w:qFormat/>
    <w:rsid w:val="004220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2207C"/>
    <w:pPr>
      <w:keepNext/>
      <w:keepLines/>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4220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07C"/>
    <w:rPr>
      <w:rFonts w:ascii="Times New Roman" w:eastAsia="Times New Roman" w:hAnsi="Times New Roman" w:cs="Arial"/>
      <w:bCs/>
      <w:kern w:val="32"/>
      <w:sz w:val="28"/>
      <w:szCs w:val="32"/>
    </w:rPr>
  </w:style>
  <w:style w:type="character" w:customStyle="1" w:styleId="Heading2Char">
    <w:name w:val="Heading 2 Char"/>
    <w:basedOn w:val="DefaultParagraphFont"/>
    <w:link w:val="Heading2"/>
    <w:semiHidden/>
    <w:rsid w:val="004220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220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42207C"/>
    <w:rPr>
      <w:rFonts w:asciiTheme="majorHAnsi" w:eastAsiaTheme="majorEastAsia" w:hAnsiTheme="majorHAnsi" w:cstheme="majorBidi"/>
      <w:b/>
      <w:bCs/>
      <w:i/>
      <w:iCs/>
      <w:color w:val="4F81BD" w:themeColor="accent1"/>
      <w:sz w:val="24"/>
    </w:rPr>
  </w:style>
  <w:style w:type="character" w:styleId="Hyperlink">
    <w:name w:val="Hyperlink"/>
    <w:basedOn w:val="DefaultParagraphFont"/>
    <w:rsid w:val="0042207C"/>
    <w:rPr>
      <w:color w:val="0000FF"/>
      <w:u w:val="single"/>
    </w:rPr>
  </w:style>
  <w:style w:type="paragraph" w:styleId="Footer">
    <w:name w:val="footer"/>
    <w:basedOn w:val="Normal"/>
    <w:link w:val="FooterChar"/>
    <w:rsid w:val="0042207C"/>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42207C"/>
    <w:rPr>
      <w:rFonts w:ascii="Times New Roman" w:eastAsia="Times New Roman" w:hAnsi="Times New Roman" w:cs="Times New Roman"/>
      <w:sz w:val="24"/>
      <w:szCs w:val="24"/>
    </w:rPr>
  </w:style>
  <w:style w:type="character" w:styleId="PageNumber">
    <w:name w:val="page number"/>
    <w:basedOn w:val="DefaultParagraphFont"/>
    <w:rsid w:val="0042207C"/>
  </w:style>
  <w:style w:type="paragraph" w:styleId="BalloonText">
    <w:name w:val="Balloon Text"/>
    <w:basedOn w:val="Normal"/>
    <w:link w:val="BalloonTextChar"/>
    <w:rsid w:val="0042207C"/>
    <w:rPr>
      <w:rFonts w:ascii="Tahoma" w:eastAsia="Times New Roman" w:hAnsi="Tahoma" w:cs="Tahoma"/>
      <w:sz w:val="16"/>
      <w:szCs w:val="16"/>
    </w:rPr>
  </w:style>
  <w:style w:type="character" w:customStyle="1" w:styleId="BalloonTextChar">
    <w:name w:val="Balloon Text Char"/>
    <w:basedOn w:val="DefaultParagraphFont"/>
    <w:link w:val="BalloonText"/>
    <w:rsid w:val="0042207C"/>
    <w:rPr>
      <w:rFonts w:ascii="Tahoma" w:eastAsia="Times New Roman" w:hAnsi="Tahoma" w:cs="Tahoma"/>
      <w:sz w:val="16"/>
      <w:szCs w:val="16"/>
    </w:rPr>
  </w:style>
  <w:style w:type="character" w:styleId="CommentReference">
    <w:name w:val="annotation reference"/>
    <w:basedOn w:val="DefaultParagraphFont"/>
    <w:uiPriority w:val="99"/>
    <w:rsid w:val="0042207C"/>
    <w:rPr>
      <w:sz w:val="16"/>
      <w:szCs w:val="16"/>
    </w:rPr>
  </w:style>
  <w:style w:type="paragraph" w:styleId="CommentText">
    <w:name w:val="annotation text"/>
    <w:basedOn w:val="Normal"/>
    <w:link w:val="CommentTextChar"/>
    <w:rsid w:val="0042207C"/>
    <w:rPr>
      <w:rFonts w:eastAsia="Times New Roman" w:cs="Times New Roman"/>
      <w:sz w:val="20"/>
      <w:szCs w:val="20"/>
    </w:rPr>
  </w:style>
  <w:style w:type="character" w:customStyle="1" w:styleId="CommentTextChar">
    <w:name w:val="Comment Text Char"/>
    <w:basedOn w:val="DefaultParagraphFont"/>
    <w:link w:val="CommentText"/>
    <w:rsid w:val="00422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207C"/>
    <w:rPr>
      <w:b/>
      <w:bCs/>
    </w:rPr>
  </w:style>
  <w:style w:type="character" w:customStyle="1" w:styleId="CommentSubjectChar">
    <w:name w:val="Comment Subject Char"/>
    <w:basedOn w:val="CommentTextChar"/>
    <w:link w:val="CommentSubject"/>
    <w:rsid w:val="0042207C"/>
    <w:rPr>
      <w:rFonts w:ascii="Times New Roman" w:eastAsia="Times New Roman" w:hAnsi="Times New Roman" w:cs="Times New Roman"/>
      <w:b/>
      <w:bCs/>
      <w:sz w:val="20"/>
      <w:szCs w:val="20"/>
    </w:rPr>
  </w:style>
  <w:style w:type="paragraph" w:styleId="ListParagraph">
    <w:name w:val="List Paragraph"/>
    <w:basedOn w:val="Normal"/>
    <w:uiPriority w:val="34"/>
    <w:qFormat/>
    <w:rsid w:val="0042207C"/>
    <w:pPr>
      <w:ind w:left="720"/>
      <w:contextualSpacing/>
    </w:pPr>
    <w:rPr>
      <w:rFonts w:eastAsia="Times New Roman" w:cs="Times New Roman"/>
      <w:szCs w:val="24"/>
    </w:rPr>
  </w:style>
  <w:style w:type="paragraph" w:styleId="Revision">
    <w:name w:val="Revision"/>
    <w:hidden/>
    <w:uiPriority w:val="99"/>
    <w:semiHidden/>
    <w:rsid w:val="0042207C"/>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4220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2207C"/>
    <w:pPr>
      <w:spacing w:after="120"/>
    </w:pPr>
    <w:rPr>
      <w:rFonts w:eastAsia="Times New Roman" w:cs="Times New Roman"/>
      <w:szCs w:val="24"/>
    </w:rPr>
  </w:style>
  <w:style w:type="character" w:customStyle="1" w:styleId="BodyTextChar">
    <w:name w:val="Body Text Char"/>
    <w:basedOn w:val="DefaultParagraphFont"/>
    <w:link w:val="BodyText"/>
    <w:rsid w:val="0042207C"/>
    <w:rPr>
      <w:rFonts w:ascii="Times New Roman" w:eastAsia="Times New Roman" w:hAnsi="Times New Roman" w:cs="Times New Roman"/>
      <w:sz w:val="24"/>
      <w:szCs w:val="24"/>
    </w:rPr>
  </w:style>
  <w:style w:type="paragraph" w:customStyle="1" w:styleId="Default">
    <w:name w:val="Default"/>
    <w:rsid w:val="0042207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2207C"/>
  </w:style>
  <w:style w:type="paragraph" w:styleId="Header">
    <w:name w:val="header"/>
    <w:basedOn w:val="Normal"/>
    <w:link w:val="HeaderChar"/>
    <w:rsid w:val="0042207C"/>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42207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2207C"/>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2207C"/>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2207C"/>
    <w:rPr>
      <w:color w:val="800080" w:themeColor="followedHyperlink"/>
      <w:u w:val="single"/>
    </w:rPr>
  </w:style>
  <w:style w:type="paragraph" w:styleId="NormalWeb">
    <w:name w:val="Normal (Web)"/>
    <w:basedOn w:val="Normal"/>
    <w:uiPriority w:val="99"/>
    <w:semiHidden/>
    <w:unhideWhenUsed/>
    <w:rsid w:val="0042207C"/>
    <w:pPr>
      <w:spacing w:before="100" w:beforeAutospacing="1" w:after="100" w:afterAutospacing="1"/>
    </w:pPr>
    <w:rPr>
      <w:rFonts w:eastAsia="Times New Roman" w:cs="Times New Roman"/>
      <w:szCs w:val="24"/>
    </w:rPr>
  </w:style>
  <w:style w:type="paragraph" w:styleId="NoSpacing">
    <w:name w:val="No Spacing"/>
    <w:uiPriority w:val="1"/>
    <w:qFormat/>
    <w:rsid w:val="00A93CFE"/>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7C"/>
    <w:pPr>
      <w:spacing w:after="0" w:line="240" w:lineRule="auto"/>
    </w:pPr>
    <w:rPr>
      <w:rFonts w:ascii="Times New Roman" w:hAnsi="Times New Roman"/>
      <w:sz w:val="24"/>
    </w:rPr>
  </w:style>
  <w:style w:type="paragraph" w:styleId="Heading1">
    <w:name w:val="heading 1"/>
    <w:basedOn w:val="Normal"/>
    <w:next w:val="Normal"/>
    <w:link w:val="Heading1Char"/>
    <w:autoRedefine/>
    <w:qFormat/>
    <w:rsid w:val="0042207C"/>
    <w:pPr>
      <w:keepNext/>
      <w:spacing w:before="360" w:after="120"/>
      <w:outlineLvl w:val="0"/>
    </w:pPr>
    <w:rPr>
      <w:rFonts w:eastAsia="Times New Roman" w:cs="Arial"/>
      <w:bCs/>
      <w:kern w:val="32"/>
      <w:sz w:val="28"/>
      <w:szCs w:val="32"/>
    </w:rPr>
  </w:style>
  <w:style w:type="paragraph" w:styleId="Heading2">
    <w:name w:val="heading 2"/>
    <w:basedOn w:val="Normal"/>
    <w:next w:val="Normal"/>
    <w:link w:val="Heading2Char"/>
    <w:semiHidden/>
    <w:unhideWhenUsed/>
    <w:qFormat/>
    <w:rsid w:val="004220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2207C"/>
    <w:pPr>
      <w:keepNext/>
      <w:keepLines/>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4220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07C"/>
    <w:rPr>
      <w:rFonts w:ascii="Times New Roman" w:eastAsia="Times New Roman" w:hAnsi="Times New Roman" w:cs="Arial"/>
      <w:bCs/>
      <w:kern w:val="32"/>
      <w:sz w:val="28"/>
      <w:szCs w:val="32"/>
    </w:rPr>
  </w:style>
  <w:style w:type="character" w:customStyle="1" w:styleId="Heading2Char">
    <w:name w:val="Heading 2 Char"/>
    <w:basedOn w:val="DefaultParagraphFont"/>
    <w:link w:val="Heading2"/>
    <w:semiHidden/>
    <w:rsid w:val="004220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220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42207C"/>
    <w:rPr>
      <w:rFonts w:asciiTheme="majorHAnsi" w:eastAsiaTheme="majorEastAsia" w:hAnsiTheme="majorHAnsi" w:cstheme="majorBidi"/>
      <w:b/>
      <w:bCs/>
      <w:i/>
      <w:iCs/>
      <w:color w:val="4F81BD" w:themeColor="accent1"/>
      <w:sz w:val="24"/>
    </w:rPr>
  </w:style>
  <w:style w:type="character" w:styleId="Hyperlink">
    <w:name w:val="Hyperlink"/>
    <w:basedOn w:val="DefaultParagraphFont"/>
    <w:rsid w:val="0042207C"/>
    <w:rPr>
      <w:color w:val="0000FF"/>
      <w:u w:val="single"/>
    </w:rPr>
  </w:style>
  <w:style w:type="paragraph" w:styleId="Footer">
    <w:name w:val="footer"/>
    <w:basedOn w:val="Normal"/>
    <w:link w:val="FooterChar"/>
    <w:rsid w:val="0042207C"/>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42207C"/>
    <w:rPr>
      <w:rFonts w:ascii="Times New Roman" w:eastAsia="Times New Roman" w:hAnsi="Times New Roman" w:cs="Times New Roman"/>
      <w:sz w:val="24"/>
      <w:szCs w:val="24"/>
    </w:rPr>
  </w:style>
  <w:style w:type="character" w:styleId="PageNumber">
    <w:name w:val="page number"/>
    <w:basedOn w:val="DefaultParagraphFont"/>
    <w:rsid w:val="0042207C"/>
  </w:style>
  <w:style w:type="paragraph" w:styleId="BalloonText">
    <w:name w:val="Balloon Text"/>
    <w:basedOn w:val="Normal"/>
    <w:link w:val="BalloonTextChar"/>
    <w:rsid w:val="0042207C"/>
    <w:rPr>
      <w:rFonts w:ascii="Tahoma" w:eastAsia="Times New Roman" w:hAnsi="Tahoma" w:cs="Tahoma"/>
      <w:sz w:val="16"/>
      <w:szCs w:val="16"/>
    </w:rPr>
  </w:style>
  <w:style w:type="character" w:customStyle="1" w:styleId="BalloonTextChar">
    <w:name w:val="Balloon Text Char"/>
    <w:basedOn w:val="DefaultParagraphFont"/>
    <w:link w:val="BalloonText"/>
    <w:rsid w:val="0042207C"/>
    <w:rPr>
      <w:rFonts w:ascii="Tahoma" w:eastAsia="Times New Roman" w:hAnsi="Tahoma" w:cs="Tahoma"/>
      <w:sz w:val="16"/>
      <w:szCs w:val="16"/>
    </w:rPr>
  </w:style>
  <w:style w:type="character" w:styleId="CommentReference">
    <w:name w:val="annotation reference"/>
    <w:basedOn w:val="DefaultParagraphFont"/>
    <w:uiPriority w:val="99"/>
    <w:rsid w:val="0042207C"/>
    <w:rPr>
      <w:sz w:val="16"/>
      <w:szCs w:val="16"/>
    </w:rPr>
  </w:style>
  <w:style w:type="paragraph" w:styleId="CommentText">
    <w:name w:val="annotation text"/>
    <w:basedOn w:val="Normal"/>
    <w:link w:val="CommentTextChar"/>
    <w:rsid w:val="0042207C"/>
    <w:rPr>
      <w:rFonts w:eastAsia="Times New Roman" w:cs="Times New Roman"/>
      <w:sz w:val="20"/>
      <w:szCs w:val="20"/>
    </w:rPr>
  </w:style>
  <w:style w:type="character" w:customStyle="1" w:styleId="CommentTextChar">
    <w:name w:val="Comment Text Char"/>
    <w:basedOn w:val="DefaultParagraphFont"/>
    <w:link w:val="CommentText"/>
    <w:rsid w:val="00422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207C"/>
    <w:rPr>
      <w:b/>
      <w:bCs/>
    </w:rPr>
  </w:style>
  <w:style w:type="character" w:customStyle="1" w:styleId="CommentSubjectChar">
    <w:name w:val="Comment Subject Char"/>
    <w:basedOn w:val="CommentTextChar"/>
    <w:link w:val="CommentSubject"/>
    <w:rsid w:val="0042207C"/>
    <w:rPr>
      <w:rFonts w:ascii="Times New Roman" w:eastAsia="Times New Roman" w:hAnsi="Times New Roman" w:cs="Times New Roman"/>
      <w:b/>
      <w:bCs/>
      <w:sz w:val="20"/>
      <w:szCs w:val="20"/>
    </w:rPr>
  </w:style>
  <w:style w:type="paragraph" w:styleId="ListParagraph">
    <w:name w:val="List Paragraph"/>
    <w:basedOn w:val="Normal"/>
    <w:uiPriority w:val="34"/>
    <w:qFormat/>
    <w:rsid w:val="0042207C"/>
    <w:pPr>
      <w:ind w:left="720"/>
      <w:contextualSpacing/>
    </w:pPr>
    <w:rPr>
      <w:rFonts w:eastAsia="Times New Roman" w:cs="Times New Roman"/>
      <w:szCs w:val="24"/>
    </w:rPr>
  </w:style>
  <w:style w:type="paragraph" w:styleId="Revision">
    <w:name w:val="Revision"/>
    <w:hidden/>
    <w:uiPriority w:val="99"/>
    <w:semiHidden/>
    <w:rsid w:val="0042207C"/>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4220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2207C"/>
    <w:pPr>
      <w:spacing w:after="120"/>
    </w:pPr>
    <w:rPr>
      <w:rFonts w:eastAsia="Times New Roman" w:cs="Times New Roman"/>
      <w:szCs w:val="24"/>
    </w:rPr>
  </w:style>
  <w:style w:type="character" w:customStyle="1" w:styleId="BodyTextChar">
    <w:name w:val="Body Text Char"/>
    <w:basedOn w:val="DefaultParagraphFont"/>
    <w:link w:val="BodyText"/>
    <w:rsid w:val="0042207C"/>
    <w:rPr>
      <w:rFonts w:ascii="Times New Roman" w:eastAsia="Times New Roman" w:hAnsi="Times New Roman" w:cs="Times New Roman"/>
      <w:sz w:val="24"/>
      <w:szCs w:val="24"/>
    </w:rPr>
  </w:style>
  <w:style w:type="paragraph" w:customStyle="1" w:styleId="Default">
    <w:name w:val="Default"/>
    <w:rsid w:val="0042207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2207C"/>
  </w:style>
  <w:style w:type="paragraph" w:styleId="Header">
    <w:name w:val="header"/>
    <w:basedOn w:val="Normal"/>
    <w:link w:val="HeaderChar"/>
    <w:rsid w:val="0042207C"/>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42207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2207C"/>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2207C"/>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2207C"/>
    <w:rPr>
      <w:color w:val="800080" w:themeColor="followedHyperlink"/>
      <w:u w:val="single"/>
    </w:rPr>
  </w:style>
  <w:style w:type="paragraph" w:styleId="NormalWeb">
    <w:name w:val="Normal (Web)"/>
    <w:basedOn w:val="Normal"/>
    <w:uiPriority w:val="99"/>
    <w:semiHidden/>
    <w:unhideWhenUsed/>
    <w:rsid w:val="0042207C"/>
    <w:pPr>
      <w:spacing w:before="100" w:beforeAutospacing="1" w:after="100" w:afterAutospacing="1"/>
    </w:pPr>
    <w:rPr>
      <w:rFonts w:eastAsia="Times New Roman" w:cs="Times New Roman"/>
      <w:szCs w:val="24"/>
    </w:rPr>
  </w:style>
  <w:style w:type="paragraph" w:styleId="NoSpacing">
    <w:name w:val="No Spacing"/>
    <w:uiPriority w:val="1"/>
    <w:qFormat/>
    <w:rsid w:val="00A93CF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9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runkard@cdc.gov" TargetMode="External"/><Relationship Id="rId13" Type="http://schemas.openxmlformats.org/officeDocument/2006/relationships/hyperlink" Target="mailto:feu4@cdc.gov" TargetMode="External"/><Relationship Id="rId18" Type="http://schemas.openxmlformats.org/officeDocument/2006/relationships/hyperlink" Target="mailto:gtx1@cdc.gov" TargetMode="External"/><Relationship Id="rId26" Type="http://schemas.openxmlformats.org/officeDocument/2006/relationships/hyperlink" Target="http://www.pewinternet.org/Infographics/2010/Internet-acess-by-age-group-over-time-Update.aspx" TargetMode="External"/><Relationship Id="rId3" Type="http://schemas.microsoft.com/office/2007/relationships/stylesWithEffects" Target="stylesWithEffects.xml"/><Relationship Id="rId21" Type="http://schemas.openxmlformats.org/officeDocument/2006/relationships/hyperlink" Target="mailto:igc5@cdc.gov" TargetMode="External"/><Relationship Id="rId7" Type="http://schemas.openxmlformats.org/officeDocument/2006/relationships/endnotes" Target="endnotes.xml"/><Relationship Id="rId12" Type="http://schemas.openxmlformats.org/officeDocument/2006/relationships/hyperlink" Target="mailto:uwx8@cdc.gov" TargetMode="External"/><Relationship Id="rId17" Type="http://schemas.openxmlformats.org/officeDocument/2006/relationships/hyperlink" Target="mailto:bnz6@cdc.gov" TargetMode="External"/><Relationship Id="rId25" Type="http://schemas.openxmlformats.org/officeDocument/2006/relationships/hyperlink" Target="mailto:bnz6@cdc.gov" TargetMode="External"/><Relationship Id="rId2" Type="http://schemas.openxmlformats.org/officeDocument/2006/relationships/styles" Target="styles.xml"/><Relationship Id="rId16" Type="http://schemas.openxmlformats.org/officeDocument/2006/relationships/hyperlink" Target="mailto:eha0@cdc.gov" TargetMode="External"/><Relationship Id="rId20" Type="http://schemas.openxmlformats.org/officeDocument/2006/relationships/hyperlink" Target="mailto:bnz6@cdc.gov"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v8@cdc.gov" TargetMode="External"/><Relationship Id="rId24" Type="http://schemas.openxmlformats.org/officeDocument/2006/relationships/hyperlink" Target="mailto:feu4@cdc.gov" TargetMode="External"/><Relationship Id="rId5" Type="http://schemas.openxmlformats.org/officeDocument/2006/relationships/webSettings" Target="webSettings.xml"/><Relationship Id="rId15" Type="http://schemas.openxmlformats.org/officeDocument/2006/relationships/hyperlink" Target="mailto:jcc0@cdc.gov" TargetMode="External"/><Relationship Id="rId23" Type="http://schemas.openxmlformats.org/officeDocument/2006/relationships/hyperlink" Target="mailto:bnz6@cdc.gov" TargetMode="External"/><Relationship Id="rId28" Type="http://schemas.openxmlformats.org/officeDocument/2006/relationships/footer" Target="footer1.xml"/><Relationship Id="rId10" Type="http://schemas.openxmlformats.org/officeDocument/2006/relationships/hyperlink" Target="mailto:jow5@cdc.gov" TargetMode="External"/><Relationship Id="rId19" Type="http://schemas.openxmlformats.org/officeDocument/2006/relationships/hyperlink" Target="mailto:igc5@cd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c.gov/healthywater/study.html" TargetMode="External"/><Relationship Id="rId14" Type="http://schemas.openxmlformats.org/officeDocument/2006/relationships/hyperlink" Target="mailto:veh2@cdc.gov" TargetMode="External"/><Relationship Id="rId22" Type="http://schemas.openxmlformats.org/officeDocument/2006/relationships/hyperlink" Target="mailto:wsi7@cdc.gov"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CTAC</cp:lastModifiedBy>
  <cp:revision>2</cp:revision>
  <cp:lastPrinted>2013-03-15T13:36:00Z</cp:lastPrinted>
  <dcterms:created xsi:type="dcterms:W3CDTF">2013-03-22T18:59:00Z</dcterms:created>
  <dcterms:modified xsi:type="dcterms:W3CDTF">2013-03-22T18:59:00Z</dcterms:modified>
</cp:coreProperties>
</file>