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715EE0">
        <w:rPr>
          <w:sz w:val="28"/>
        </w:rPr>
        <w:t>0920-0953</w:t>
      </w:r>
      <w:r>
        <w:rPr>
          <w:sz w:val="28"/>
        </w:rPr>
        <w:t>)</w:t>
      </w:r>
    </w:p>
    <w:p w:rsidR="00957E40" w:rsidRDefault="005138C1" w:rsidP="00434E33">
      <w:pPr>
        <w:rPr>
          <w:b/>
        </w:rPr>
      </w:pPr>
      <w:r>
        <w:rPr>
          <w:noProof/>
        </w:rPr>
        <mc:AlternateContent>
          <mc:Choice Requires="wps">
            <w:drawing>
              <wp:anchor distT="0" distB="0" distL="114300" distR="114300" simplePos="0" relativeHeight="251658240" behindDoc="0" locked="0" layoutInCell="0" allowOverlap="1" wp14:anchorId="70CA9180" wp14:editId="263CC89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p>
    <w:p w:rsidR="00B46F2C" w:rsidRDefault="00957E40" w:rsidP="00434E33">
      <w:r>
        <w:rPr>
          <w:b/>
        </w:rPr>
        <w:t>T</w:t>
      </w:r>
      <w:r w:rsidR="00B46F2C" w:rsidRPr="00434E33">
        <w:rPr>
          <w:b/>
        </w:rPr>
        <w:t>ITLE OF INFORMATION COLLECTION:</w:t>
      </w:r>
      <w:r w:rsidR="00B46F2C">
        <w:t xml:space="preserve">  </w:t>
      </w:r>
    </w:p>
    <w:p w:rsidR="000B7AE5" w:rsidRPr="009239AA" w:rsidRDefault="000B7AE5" w:rsidP="00434E33">
      <w:pPr>
        <w:rPr>
          <w:b/>
        </w:rPr>
      </w:pPr>
      <w:r>
        <w:t>Fatigue Prevention Training</w:t>
      </w:r>
      <w:r w:rsidR="00B02D82">
        <w:t xml:space="preserve"> Module </w:t>
      </w:r>
      <w:r>
        <w:t>Customer Satisfaction</w:t>
      </w:r>
      <w:r w:rsidR="00940F02">
        <w:t xml:space="preserve"> and Feedback</w:t>
      </w:r>
      <w:r>
        <w:t xml:space="preserve"> Survey</w:t>
      </w:r>
    </w:p>
    <w:p w:rsidR="00B46F2C" w:rsidRDefault="00B46F2C"/>
    <w:p w:rsidR="00B46F2C" w:rsidRDefault="00B46F2C">
      <w:r>
        <w:rPr>
          <w:b/>
        </w:rPr>
        <w:t>PURPOSE</w:t>
      </w:r>
      <w:r w:rsidRPr="009239AA">
        <w:rPr>
          <w:b/>
        </w:rPr>
        <w:t xml:space="preserve">:  </w:t>
      </w:r>
    </w:p>
    <w:p w:rsidR="00280FA3" w:rsidRDefault="00280FA3">
      <w:r>
        <w:t xml:space="preserve">The Centers for Disease Control and Prevention (CDC), National Institute for Occupational Safety and Health (NIOSH) seeks to obtain Office of Management and Budget (OMB) approval to </w:t>
      </w:r>
      <w:r w:rsidR="00CA433A">
        <w:t xml:space="preserve">collect feedback </w:t>
      </w:r>
      <w:r w:rsidR="000823F3">
        <w:t>on</w:t>
      </w:r>
      <w:r w:rsidR="00CA433A">
        <w:t xml:space="preserve"> </w:t>
      </w:r>
      <w:r w:rsidR="000823F3">
        <w:t xml:space="preserve">customer service delivery and </w:t>
      </w:r>
      <w:r>
        <w:t xml:space="preserve">satisfaction </w:t>
      </w:r>
      <w:r w:rsidR="00CA433A">
        <w:t xml:space="preserve">with a NIOSH </w:t>
      </w:r>
      <w:r>
        <w:t xml:space="preserve">fatigue prevention training </w:t>
      </w:r>
      <w:r w:rsidR="00CA433A">
        <w:t>module</w:t>
      </w:r>
      <w:r w:rsidR="00A32C25">
        <w:t>, currently</w:t>
      </w:r>
      <w:r w:rsidR="00957E40">
        <w:t xml:space="preserve"> under development</w:t>
      </w:r>
      <w:r w:rsidR="00A32C25">
        <w:t>,</w:t>
      </w:r>
      <w:r w:rsidR="000823F3">
        <w:t xml:space="preserve"> before the final product is released to the general public.</w:t>
      </w:r>
    </w:p>
    <w:p w:rsidR="000B7AE5" w:rsidRDefault="000B7AE5"/>
    <w:p w:rsidR="00CA433A" w:rsidRDefault="000B7AE5" w:rsidP="00CA433A">
      <w:r>
        <w:t xml:space="preserve">Recent discussions with industry members, pilots, and management </w:t>
      </w:r>
      <w:r w:rsidR="00337880">
        <w:t>staff identified</w:t>
      </w:r>
      <w:r>
        <w:t xml:space="preserve"> a need for</w:t>
      </w:r>
      <w:r w:rsidR="00742741">
        <w:t xml:space="preserve"> portable and </w:t>
      </w:r>
      <w:r w:rsidR="00A24099">
        <w:t>easy-to-use</w:t>
      </w:r>
      <w:r w:rsidR="00742741">
        <w:t xml:space="preserve"> </w:t>
      </w:r>
      <w:r>
        <w:t xml:space="preserve">fatigue </w:t>
      </w:r>
      <w:r w:rsidR="00A24099">
        <w:t xml:space="preserve">prevention </w:t>
      </w:r>
      <w:r>
        <w:t>training</w:t>
      </w:r>
      <w:r w:rsidR="00A24099">
        <w:t xml:space="preserve"> </w:t>
      </w:r>
      <w:r w:rsidR="00085E32">
        <w:t xml:space="preserve">tailored </w:t>
      </w:r>
      <w:r w:rsidR="00A24099">
        <w:t xml:space="preserve">for </w:t>
      </w:r>
      <w:r w:rsidR="00085E32">
        <w:t xml:space="preserve">commercial </w:t>
      </w:r>
      <w:r w:rsidR="00A24099">
        <w:t>pilots in Alaska</w:t>
      </w:r>
      <w:r>
        <w:t>.</w:t>
      </w:r>
      <w:r w:rsidR="00337880">
        <w:t xml:space="preserve"> </w:t>
      </w:r>
      <w:r w:rsidR="00CA433A" w:rsidRPr="000B7AE5">
        <w:t>Working conditions for pilots in Alaska are different than conditions elsewhere; pilots working in Alaska are subject to fatigue due to being based away from home for weeks at a time, long hours of daylight and darkness, financial pressure to deliver mail on a set schedule, seasonal operations such as the flight tour season or hunting and fishing seasons, and the small size of many of the operators, whic</w:t>
      </w:r>
      <w:r w:rsidR="00CA433A">
        <w:t>h may consist of only one pilot.</w:t>
      </w:r>
    </w:p>
    <w:p w:rsidR="00CA433A" w:rsidRDefault="00CA433A" w:rsidP="00CA433A"/>
    <w:p w:rsidR="00AC370A" w:rsidRDefault="00337880">
      <w:r>
        <w:t>In response, NIOSH developed a CD/computer-based one-hour fatigue management training module designed to be incorporated into the annual pilot recurrent trainings required by federal aviation regulations. T</w:t>
      </w:r>
      <w:r w:rsidR="00AC370A">
        <w:t xml:space="preserve">he </w:t>
      </w:r>
      <w:r w:rsidR="00FA1039">
        <w:t xml:space="preserve">customer </w:t>
      </w:r>
      <w:r w:rsidR="000823F3">
        <w:t xml:space="preserve">service delivery objectives for the </w:t>
      </w:r>
      <w:r w:rsidR="00AC370A">
        <w:t>training</w:t>
      </w:r>
      <w:r w:rsidR="000823F3">
        <w:t xml:space="preserve"> include the following</w:t>
      </w:r>
      <w:r w:rsidR="00AC370A">
        <w:t>: (1) increase awareness of fatigue</w:t>
      </w:r>
      <w:r w:rsidR="00A70E37">
        <w:t xml:space="preserve"> and the importance adequate sleep for health and well-being</w:t>
      </w:r>
      <w:r w:rsidR="00AC370A">
        <w:t>; (2)</w:t>
      </w:r>
      <w:r w:rsidR="00CA433A">
        <w:t xml:space="preserve"> </w:t>
      </w:r>
      <w:r w:rsidR="00AC370A">
        <w:t xml:space="preserve">improve </w:t>
      </w:r>
      <w:r w:rsidR="00687193">
        <w:t xml:space="preserve">pilot </w:t>
      </w:r>
      <w:r w:rsidR="00085E32">
        <w:t xml:space="preserve">knowledge of </w:t>
      </w:r>
      <w:r w:rsidR="00AC370A">
        <w:t>fatigue risk management by introducing relevant and useful fatigue management techniques</w:t>
      </w:r>
      <w:r w:rsidR="00A70E37">
        <w:t>,</w:t>
      </w:r>
      <w:r w:rsidR="00AC370A">
        <w:t xml:space="preserve"> and</w:t>
      </w:r>
      <w:r w:rsidR="009C32B7">
        <w:t xml:space="preserve"> </w:t>
      </w:r>
      <w:r w:rsidR="00085E32">
        <w:t>(3</w:t>
      </w:r>
      <w:r w:rsidR="00180A77">
        <w:t>)</w:t>
      </w:r>
      <w:r w:rsidR="00CA433A">
        <w:t xml:space="preserve"> </w:t>
      </w:r>
      <w:r w:rsidR="00180A77">
        <w:t>motivate</w:t>
      </w:r>
      <w:r w:rsidR="00AC370A">
        <w:t xml:space="preserve"> pilots to consider how he/she might better prevent fatigue in the futu</w:t>
      </w:r>
      <w:r>
        <w:t>re.</w:t>
      </w:r>
    </w:p>
    <w:p w:rsidR="00337880" w:rsidRDefault="00337880"/>
    <w:p w:rsidR="00687193" w:rsidRDefault="000B7AE5" w:rsidP="00687193">
      <w:r>
        <w:t xml:space="preserve">To ensure that </w:t>
      </w:r>
      <w:r w:rsidR="002F474E">
        <w:t xml:space="preserve">this </w:t>
      </w:r>
      <w:r w:rsidR="00687193">
        <w:t xml:space="preserve">NIOSH fatigue prevention </w:t>
      </w:r>
      <w:r w:rsidR="00AC378E">
        <w:t xml:space="preserve">training </w:t>
      </w:r>
      <w:r>
        <w:t xml:space="preserve">product </w:t>
      </w:r>
      <w:r w:rsidR="00A24099">
        <w:t xml:space="preserve">will satisfy </w:t>
      </w:r>
      <w:r>
        <w:t>our customers</w:t>
      </w:r>
      <w:r w:rsidR="00337880">
        <w:t>’</w:t>
      </w:r>
      <w:r>
        <w:t xml:space="preserve"> needs</w:t>
      </w:r>
      <w:r w:rsidR="00AC370A">
        <w:t xml:space="preserve"> (and previously stated objectives)</w:t>
      </w:r>
      <w:r w:rsidR="00F53EC1">
        <w:t>,</w:t>
      </w:r>
      <w:r w:rsidR="00687193">
        <w:t xml:space="preserve"> NIOSH proposes to collect feedback from pilot</w:t>
      </w:r>
      <w:r w:rsidR="000823F3">
        <w:t>s (trainees)</w:t>
      </w:r>
      <w:r w:rsidR="00EA435C">
        <w:t xml:space="preserve"> </w:t>
      </w:r>
      <w:r w:rsidR="00687193">
        <w:t xml:space="preserve">through </w:t>
      </w:r>
      <w:r w:rsidR="002F474E">
        <w:t xml:space="preserve">a </w:t>
      </w:r>
      <w:r w:rsidR="00B62B60">
        <w:t>brief</w:t>
      </w:r>
      <w:r>
        <w:t xml:space="preserve"> </w:t>
      </w:r>
      <w:r w:rsidR="00FA1039">
        <w:t xml:space="preserve">self-administered </w:t>
      </w:r>
      <w:r w:rsidR="00EA435C">
        <w:t xml:space="preserve">survey </w:t>
      </w:r>
      <w:r w:rsidR="00FA1039">
        <w:t xml:space="preserve">immediately following the delivery of the NIOSH fatigue prevention training </w:t>
      </w:r>
      <w:r w:rsidR="001C7969">
        <w:t>module</w:t>
      </w:r>
      <w:r w:rsidR="00687193">
        <w:t xml:space="preserve">.  </w:t>
      </w:r>
      <w:r w:rsidR="00337880">
        <w:t xml:space="preserve">Details of the survey administration are described below (see Administration of the Instrument).  </w:t>
      </w:r>
      <w:r w:rsidR="00A70E37">
        <w:t xml:space="preserve">Results will </w:t>
      </w:r>
      <w:r w:rsidR="00687193">
        <w:t xml:space="preserve">help </w:t>
      </w:r>
      <w:r w:rsidR="00A70E37">
        <w:t xml:space="preserve">NIOSH </w:t>
      </w:r>
      <w:r w:rsidR="00687193">
        <w:t xml:space="preserve">to </w:t>
      </w:r>
      <w:r w:rsidR="00957E40">
        <w:t xml:space="preserve">identify and incorporate </w:t>
      </w:r>
      <w:r w:rsidR="000118C2">
        <w:t>any needed</w:t>
      </w:r>
      <w:r w:rsidR="00957E40">
        <w:t xml:space="preserve"> improvements </w:t>
      </w:r>
      <w:r w:rsidR="00AA5EE9">
        <w:t xml:space="preserve">prior to final release of the product; thus, </w:t>
      </w:r>
      <w:r w:rsidR="00687193">
        <w:t>ensur</w:t>
      </w:r>
      <w:r w:rsidR="00AA5EE9">
        <w:t>ing</w:t>
      </w:r>
      <w:r w:rsidR="00687193">
        <w:t xml:space="preserve"> that </w:t>
      </w:r>
      <w:r w:rsidR="00FA1039">
        <w:t xml:space="preserve">the delivery of </w:t>
      </w:r>
      <w:r w:rsidR="00687193">
        <w:t xml:space="preserve">our </w:t>
      </w:r>
      <w:r w:rsidR="00AA5EE9">
        <w:t xml:space="preserve">final </w:t>
      </w:r>
      <w:r w:rsidR="00687193">
        <w:t>training product meets our employer and pilot customer</w:t>
      </w:r>
      <w:r w:rsidR="00085E32">
        <w:t>s’</w:t>
      </w:r>
      <w:r w:rsidR="00687193">
        <w:t xml:space="preserve"> needs </w:t>
      </w:r>
      <w:r w:rsidR="00A70E37">
        <w:t>and expectations</w:t>
      </w:r>
      <w:r w:rsidR="00687193">
        <w:t>.</w:t>
      </w:r>
    </w:p>
    <w:p w:rsidR="000B7AE5" w:rsidRDefault="000B7AE5"/>
    <w:p w:rsidR="00B46F2C" w:rsidRPr="00434E33" w:rsidRDefault="00B46F2C" w:rsidP="00434E33">
      <w:pPr>
        <w:pStyle w:val="Header"/>
        <w:tabs>
          <w:tab w:val="clear" w:pos="4320"/>
          <w:tab w:val="clear" w:pos="8640"/>
        </w:tabs>
        <w:rPr>
          <w:i/>
        </w:rPr>
      </w:pPr>
      <w:r w:rsidRPr="00434E33">
        <w:rPr>
          <w:b/>
        </w:rPr>
        <w:t>DESCRIPTION OF RESPONDENTS</w:t>
      </w:r>
      <w:r>
        <w:t xml:space="preserve">: </w:t>
      </w:r>
    </w:p>
    <w:p w:rsidR="00B46F2C" w:rsidRDefault="002D47BD">
      <w:r>
        <w:t xml:space="preserve">Respondents will be commercial pilots enrolled in a training course at one of two companies in Alaska: Hageland Aviation Services and Lynden Air Cargo.  During initial discussions regarding the need for fatigue prevention training, several companies voiced interest in receiving the training.  These two companies are holding annual re-current or initial pilot training in Anchorage, in January and February 2015.  These companies have dissimilar operations (passenger vs. cargo, short legs vs. long haul), operate different sizes of aircraft (3,800 lbs. vs. 165,000 lbs. maximum gross weight) and employ pilots with different experience levels (minimum 200 hours vs. 5,000 hours of flight time). To ensure the training is appropriate for pilots working at diverse types of operations, we will request participation from these two companies.  </w:t>
      </w:r>
      <w:r w:rsidR="009C32B7">
        <w:t xml:space="preserve">The companies will conduct training in Anchorage but the pilots’ worksites are </w:t>
      </w:r>
      <w:r w:rsidR="009C32B7">
        <w:lastRenderedPageBreak/>
        <w:t>located at bases throughout Alaska. Pilots will be at various stages of their careers and lives, male and female, and may commute to/from their worksites across multiple time zones for a two-week rotation.</w:t>
      </w:r>
    </w:p>
    <w:p w:rsidR="00DE4BA9" w:rsidRDefault="00DE4BA9">
      <w:pPr>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A24099">
        <w:rPr>
          <w:bCs/>
          <w:sz w:val="24"/>
        </w:rPr>
        <w:t>X</w:t>
      </w:r>
      <w:r w:rsidRPr="00F06866">
        <w:rPr>
          <w:bCs/>
          <w:sz w:val="24"/>
        </w:rPr>
        <w:t xml:space="preserve">] Customer Satisfaction Survey    </w:t>
      </w:r>
    </w:p>
    <w:p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RDefault="00B46F2C"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pPr>
        <w:pStyle w:val="Header"/>
        <w:tabs>
          <w:tab w:val="clear" w:pos="4320"/>
          <w:tab w:val="clear" w:pos="8640"/>
        </w:tabs>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B46F2C" w:rsidP="009C13B9">
      <w:r>
        <w:t>Name:</w:t>
      </w:r>
      <w:r w:rsidR="00D07B89">
        <w:t xml:space="preserve"> Christy Forrester</w:t>
      </w:r>
    </w:p>
    <w:p w:rsidR="00B46F2C" w:rsidRDefault="00B46F2C" w:rsidP="009C13B9">
      <w:pPr>
        <w:pStyle w:val="ListParagraph"/>
        <w:ind w:left="360"/>
      </w:pPr>
    </w:p>
    <w:p w:rsidR="00B46F2C" w:rsidRDefault="00B46F2C" w:rsidP="009C13B9">
      <w:r>
        <w:t>To assist review, please provide answers to the following question:</w:t>
      </w: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information (PII) collected?  [  ] Yes  [</w:t>
      </w:r>
      <w:r w:rsidR="00D07B89">
        <w:t>X</w:t>
      </w:r>
      <w:r>
        <w:t xml:space="preserve">]  No </w:t>
      </w:r>
    </w:p>
    <w:p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rsidR="00B46F2C" w:rsidRDefault="00B46F2C" w:rsidP="00C86E91">
      <w:pPr>
        <w:pStyle w:val="ListParagraph"/>
        <w:numPr>
          <w:ilvl w:val="0"/>
          <w:numId w:val="18"/>
        </w:numPr>
      </w:pPr>
      <w:r>
        <w:t>If Applicable, has a System or Records Notice been published?  [  ] Yes  [  ] No</w:t>
      </w:r>
    </w:p>
    <w:p w:rsidR="00B46F2C" w:rsidRPr="00C86E91" w:rsidRDefault="00B46F2C" w:rsidP="00C86E91">
      <w:pPr>
        <w:pStyle w:val="ListParagraph"/>
        <w:ind w:left="0"/>
        <w:rPr>
          <w:b/>
        </w:rPr>
      </w:pPr>
      <w:r>
        <w:rPr>
          <w:b/>
        </w:rPr>
        <w:t>Gifts or Payments:</w:t>
      </w:r>
    </w:p>
    <w:p w:rsidR="00B46F2C" w:rsidRDefault="00B46F2C" w:rsidP="00C86E91">
      <w:r>
        <w:t>Is an incentive (e.g., money or reimbursement of expenses, token of appreciation) provided to participants?  [  ] Yes [</w:t>
      </w:r>
      <w:r w:rsidR="00D07B89">
        <w:t>X</w:t>
      </w:r>
      <w:r w:rsidR="00AA5EE9">
        <w:t xml:space="preserve"> ] No</w:t>
      </w:r>
    </w:p>
    <w:p w:rsidR="00B46F2C" w:rsidRDefault="00B46F2C">
      <w:pPr>
        <w:rPr>
          <w:b/>
        </w:rPr>
      </w:pPr>
    </w:p>
    <w:p w:rsidR="00B46F2C" w:rsidRDefault="00B46F2C">
      <w:pPr>
        <w:rPr>
          <w:b/>
        </w:rPr>
      </w:pPr>
    </w:p>
    <w:p w:rsidR="00D07B89" w:rsidRDefault="00D07B89" w:rsidP="00D07B89">
      <w:pPr>
        <w:rPr>
          <w:i/>
        </w:rPr>
      </w:pPr>
      <w:r>
        <w:rPr>
          <w:b/>
        </w:rPr>
        <w:t>BURDEN HOURS</w:t>
      </w:r>
      <w: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574"/>
        <w:gridCol w:w="1690"/>
        <w:gridCol w:w="1686"/>
        <w:gridCol w:w="2070"/>
      </w:tblGrid>
      <w:tr w:rsidR="00D07B89" w:rsidRPr="002D47BD" w:rsidTr="00D07B89">
        <w:trPr>
          <w:trHeight w:val="827"/>
        </w:trPr>
        <w:tc>
          <w:tcPr>
            <w:tcW w:w="2628" w:type="dxa"/>
          </w:tcPr>
          <w:p w:rsidR="00D07B89" w:rsidRPr="0001027E" w:rsidRDefault="00D07B89" w:rsidP="00232225">
            <w:pPr>
              <w:rPr>
                <w:b/>
              </w:rPr>
            </w:pPr>
            <w:r w:rsidRPr="0001027E">
              <w:rPr>
                <w:b/>
              </w:rPr>
              <w:t xml:space="preserve">Category of Respondent </w:t>
            </w:r>
          </w:p>
        </w:tc>
        <w:tc>
          <w:tcPr>
            <w:tcW w:w="1574" w:type="dxa"/>
          </w:tcPr>
          <w:p w:rsidR="00D07B89" w:rsidRPr="0001027E" w:rsidRDefault="00D07B89" w:rsidP="00232225">
            <w:pPr>
              <w:rPr>
                <w:b/>
              </w:rPr>
            </w:pPr>
            <w:r w:rsidRPr="0001027E">
              <w:rPr>
                <w:b/>
              </w:rPr>
              <w:t>No. of Respondents</w:t>
            </w:r>
          </w:p>
        </w:tc>
        <w:tc>
          <w:tcPr>
            <w:tcW w:w="1690" w:type="dxa"/>
          </w:tcPr>
          <w:p w:rsidR="00D07B89" w:rsidRPr="0001027E" w:rsidRDefault="00D07B89" w:rsidP="00232225">
            <w:pPr>
              <w:rPr>
                <w:b/>
              </w:rPr>
            </w:pPr>
            <w:r>
              <w:rPr>
                <w:b/>
              </w:rPr>
              <w:t>No. of Responses per Respondent</w:t>
            </w:r>
          </w:p>
        </w:tc>
        <w:tc>
          <w:tcPr>
            <w:tcW w:w="1686" w:type="dxa"/>
          </w:tcPr>
          <w:p w:rsidR="00D07B89" w:rsidRPr="0001027E" w:rsidRDefault="00D07B89" w:rsidP="00232225">
            <w:pPr>
              <w:rPr>
                <w:b/>
              </w:rPr>
            </w:pPr>
            <w:r w:rsidRPr="0001027E">
              <w:rPr>
                <w:b/>
              </w:rPr>
              <w:t>Participation Time</w:t>
            </w:r>
          </w:p>
        </w:tc>
        <w:tc>
          <w:tcPr>
            <w:tcW w:w="2070" w:type="dxa"/>
          </w:tcPr>
          <w:p w:rsidR="00D07B89" w:rsidRPr="0001027E" w:rsidRDefault="00D07B89" w:rsidP="00232225">
            <w:pPr>
              <w:rPr>
                <w:b/>
              </w:rPr>
            </w:pPr>
            <w:r w:rsidRPr="0001027E">
              <w:rPr>
                <w:b/>
              </w:rPr>
              <w:t>Burden</w:t>
            </w:r>
            <w:r>
              <w:rPr>
                <w:b/>
              </w:rPr>
              <w:t xml:space="preserve"> Hours</w:t>
            </w:r>
          </w:p>
        </w:tc>
      </w:tr>
      <w:tr w:rsidR="00D07B89" w:rsidRPr="002D47BD" w:rsidTr="00D07B89">
        <w:trPr>
          <w:trHeight w:val="285"/>
        </w:trPr>
        <w:tc>
          <w:tcPr>
            <w:tcW w:w="2628" w:type="dxa"/>
          </w:tcPr>
          <w:p w:rsidR="00D07B89" w:rsidRDefault="00D07B89" w:rsidP="00D07B89">
            <w:r>
              <w:t>Commercial pilots</w:t>
            </w:r>
          </w:p>
        </w:tc>
        <w:tc>
          <w:tcPr>
            <w:tcW w:w="1574" w:type="dxa"/>
          </w:tcPr>
          <w:p w:rsidR="00D07B89" w:rsidRPr="002416EA" w:rsidRDefault="002D47BD" w:rsidP="00DE4BA9">
            <w:r>
              <w:t>15</w:t>
            </w:r>
            <w:r w:rsidR="008C4FE1">
              <w:t>0</w:t>
            </w:r>
          </w:p>
        </w:tc>
        <w:tc>
          <w:tcPr>
            <w:tcW w:w="1690" w:type="dxa"/>
          </w:tcPr>
          <w:p w:rsidR="00D07B89" w:rsidRPr="002416EA" w:rsidRDefault="00AC6DA8" w:rsidP="00232225">
            <w:r>
              <w:t>1</w:t>
            </w:r>
          </w:p>
        </w:tc>
        <w:tc>
          <w:tcPr>
            <w:tcW w:w="1686" w:type="dxa"/>
          </w:tcPr>
          <w:p w:rsidR="00D07B89" w:rsidRPr="002416EA" w:rsidRDefault="003E31E6" w:rsidP="003E31E6">
            <w:r>
              <w:t>1</w:t>
            </w:r>
            <w:r w:rsidR="00AC6DA8">
              <w:t>5</w:t>
            </w:r>
            <w:r w:rsidR="00D07B89">
              <w:t>/60</w:t>
            </w:r>
            <w:r w:rsidR="00173466">
              <w:t xml:space="preserve"> hours</w:t>
            </w:r>
          </w:p>
        </w:tc>
        <w:tc>
          <w:tcPr>
            <w:tcW w:w="2070" w:type="dxa"/>
          </w:tcPr>
          <w:p w:rsidR="00D07B89" w:rsidRPr="002416EA" w:rsidRDefault="002D47BD" w:rsidP="00F017F0">
            <w:r>
              <w:t>3</w:t>
            </w:r>
            <w:r w:rsidR="00F017F0">
              <w:t>8</w:t>
            </w:r>
          </w:p>
        </w:tc>
      </w:tr>
      <w:tr w:rsidR="00D07B89" w:rsidRPr="002D47BD" w:rsidTr="00D07B89">
        <w:trPr>
          <w:trHeight w:val="285"/>
        </w:trPr>
        <w:tc>
          <w:tcPr>
            <w:tcW w:w="2628" w:type="dxa"/>
          </w:tcPr>
          <w:p w:rsidR="00D07B89" w:rsidRPr="002416EA" w:rsidRDefault="00D07B89" w:rsidP="00232225">
            <w:r>
              <w:t>Total</w:t>
            </w:r>
          </w:p>
        </w:tc>
        <w:tc>
          <w:tcPr>
            <w:tcW w:w="1574" w:type="dxa"/>
          </w:tcPr>
          <w:p w:rsidR="00D07B89" w:rsidRPr="002416EA" w:rsidRDefault="00D07B89" w:rsidP="00232225">
            <w:pPr>
              <w:rPr>
                <w:sz w:val="20"/>
                <w:szCs w:val="20"/>
              </w:rPr>
            </w:pPr>
          </w:p>
        </w:tc>
        <w:tc>
          <w:tcPr>
            <w:tcW w:w="1690" w:type="dxa"/>
          </w:tcPr>
          <w:p w:rsidR="00D07B89" w:rsidRDefault="00D07B89" w:rsidP="00232225"/>
        </w:tc>
        <w:tc>
          <w:tcPr>
            <w:tcW w:w="1686" w:type="dxa"/>
          </w:tcPr>
          <w:p w:rsidR="00D07B89" w:rsidRDefault="00D07B89" w:rsidP="00232225"/>
        </w:tc>
        <w:tc>
          <w:tcPr>
            <w:tcW w:w="2070" w:type="dxa"/>
          </w:tcPr>
          <w:p w:rsidR="00DE4BA9" w:rsidRDefault="002D47BD" w:rsidP="00F017F0">
            <w:r>
              <w:t>3</w:t>
            </w:r>
            <w:r w:rsidR="00F017F0">
              <w:t>8</w:t>
            </w:r>
          </w:p>
        </w:tc>
      </w:tr>
    </w:tbl>
    <w:p w:rsidR="00D07B89" w:rsidRPr="006832D9" w:rsidRDefault="00D07B89" w:rsidP="00D07B89">
      <w:pPr>
        <w:keepNext/>
        <w:keepLines/>
        <w:rPr>
          <w:b/>
        </w:rPr>
      </w:pPr>
    </w:p>
    <w:p w:rsidR="00B46F2C" w:rsidRDefault="00B46F2C" w:rsidP="00F3170F"/>
    <w:p w:rsidR="001E2A41" w:rsidRDefault="00B46F2C">
      <w:r>
        <w:rPr>
          <w:b/>
        </w:rPr>
        <w:t xml:space="preserve">FEDERAL COST:  </w:t>
      </w:r>
      <w:r>
        <w:t>The estimated annual c</w:t>
      </w:r>
      <w:r w:rsidR="00957E40">
        <w:t>ost to the Federal government is $</w:t>
      </w:r>
      <w:r w:rsidR="00A32C25">
        <w:t>2050</w:t>
      </w:r>
      <w:r w:rsidR="006445BB">
        <w:t>.</w:t>
      </w:r>
    </w:p>
    <w:p w:rsidR="002A22D9" w:rsidRPr="00F53EC1" w:rsidRDefault="002A22D9">
      <w:pPr>
        <w:rPr>
          <w:bCs/>
        </w:rPr>
      </w:pP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766"/>
      </w:tblGrid>
      <w:tr w:rsidR="002A22D9" w:rsidRPr="000B4562" w:rsidTr="002F474E">
        <w:trPr>
          <w:jc w:val="center"/>
        </w:trPr>
        <w:tc>
          <w:tcPr>
            <w:tcW w:w="4788" w:type="dxa"/>
            <w:shd w:val="clear" w:color="auto" w:fill="auto"/>
          </w:tcPr>
          <w:p w:rsidR="002A22D9" w:rsidRPr="000B4562" w:rsidRDefault="002A22D9" w:rsidP="00D32B1D">
            <w:pPr>
              <w:tabs>
                <w:tab w:val="left" w:pos="360"/>
              </w:tabs>
              <w:jc w:val="center"/>
              <w:rPr>
                <w:b/>
                <w:lang w:eastAsia="ja-JP"/>
              </w:rPr>
            </w:pPr>
            <w:r w:rsidRPr="000B4562">
              <w:rPr>
                <w:b/>
                <w:lang w:eastAsia="ja-JP"/>
              </w:rPr>
              <w:t>Project Item</w:t>
            </w:r>
          </w:p>
        </w:tc>
        <w:tc>
          <w:tcPr>
            <w:tcW w:w="2766" w:type="dxa"/>
            <w:shd w:val="clear" w:color="auto" w:fill="auto"/>
          </w:tcPr>
          <w:p w:rsidR="002A22D9" w:rsidRPr="000B4562" w:rsidRDefault="002A22D9" w:rsidP="00D32B1D">
            <w:pPr>
              <w:tabs>
                <w:tab w:val="left" w:pos="360"/>
              </w:tabs>
              <w:jc w:val="center"/>
              <w:rPr>
                <w:b/>
                <w:lang w:eastAsia="ja-JP"/>
              </w:rPr>
            </w:pPr>
            <w:r w:rsidRPr="000B4562">
              <w:rPr>
                <w:b/>
                <w:lang w:eastAsia="ja-JP"/>
              </w:rPr>
              <w:t>Cost</w:t>
            </w:r>
          </w:p>
        </w:tc>
      </w:tr>
      <w:tr w:rsidR="002A22D9" w:rsidRPr="000B4562" w:rsidTr="002F474E">
        <w:trPr>
          <w:jc w:val="center"/>
        </w:trPr>
        <w:tc>
          <w:tcPr>
            <w:tcW w:w="4788" w:type="dxa"/>
            <w:shd w:val="clear" w:color="auto" w:fill="auto"/>
          </w:tcPr>
          <w:p w:rsidR="002A22D9" w:rsidRPr="000B4562" w:rsidRDefault="002A22D9" w:rsidP="00D32B1D">
            <w:pPr>
              <w:tabs>
                <w:tab w:val="left" w:pos="360"/>
              </w:tabs>
              <w:rPr>
                <w:lang w:eastAsia="ja-JP"/>
              </w:rPr>
            </w:pPr>
            <w:r w:rsidRPr="000B4562">
              <w:rPr>
                <w:lang w:eastAsia="ja-JP"/>
              </w:rPr>
              <w:t>Personnel salaries and benefits</w:t>
            </w:r>
          </w:p>
        </w:tc>
        <w:tc>
          <w:tcPr>
            <w:tcW w:w="2766" w:type="dxa"/>
            <w:shd w:val="clear" w:color="auto" w:fill="auto"/>
          </w:tcPr>
          <w:p w:rsidR="002A22D9" w:rsidRPr="000B4562" w:rsidRDefault="00173466" w:rsidP="00D32B1D">
            <w:pPr>
              <w:tabs>
                <w:tab w:val="left" w:pos="360"/>
              </w:tabs>
              <w:jc w:val="right"/>
              <w:rPr>
                <w:lang w:eastAsia="ja-JP"/>
              </w:rPr>
            </w:pPr>
            <w:r>
              <w:rPr>
                <w:lang w:eastAsia="ja-JP"/>
              </w:rPr>
              <w:t>$</w:t>
            </w:r>
            <w:r w:rsidR="006445BB">
              <w:rPr>
                <w:lang w:eastAsia="ja-JP"/>
              </w:rPr>
              <w:t>2</w:t>
            </w:r>
            <w:r>
              <w:rPr>
                <w:lang w:eastAsia="ja-JP"/>
              </w:rPr>
              <w:t>,</w:t>
            </w:r>
            <w:r w:rsidR="006445BB">
              <w:rPr>
                <w:lang w:eastAsia="ja-JP"/>
              </w:rPr>
              <w:t>000</w:t>
            </w:r>
          </w:p>
        </w:tc>
      </w:tr>
      <w:tr w:rsidR="002A22D9" w:rsidRPr="000B4562" w:rsidTr="002F474E">
        <w:trPr>
          <w:jc w:val="center"/>
        </w:trPr>
        <w:tc>
          <w:tcPr>
            <w:tcW w:w="4788" w:type="dxa"/>
            <w:shd w:val="clear" w:color="auto" w:fill="auto"/>
          </w:tcPr>
          <w:p w:rsidR="002A22D9" w:rsidRPr="000B4562" w:rsidRDefault="002A22D9" w:rsidP="00D32B1D">
            <w:pPr>
              <w:tabs>
                <w:tab w:val="left" w:pos="360"/>
              </w:tabs>
              <w:rPr>
                <w:lang w:eastAsia="ja-JP"/>
              </w:rPr>
            </w:pPr>
            <w:r w:rsidRPr="000B4562">
              <w:rPr>
                <w:lang w:eastAsia="ja-JP"/>
              </w:rPr>
              <w:lastRenderedPageBreak/>
              <w:t>Travel</w:t>
            </w:r>
          </w:p>
        </w:tc>
        <w:tc>
          <w:tcPr>
            <w:tcW w:w="2766" w:type="dxa"/>
            <w:shd w:val="clear" w:color="auto" w:fill="auto"/>
          </w:tcPr>
          <w:p w:rsidR="002A22D9" w:rsidRPr="000B4562" w:rsidRDefault="002F474E" w:rsidP="00D32B1D">
            <w:pPr>
              <w:tabs>
                <w:tab w:val="left" w:pos="360"/>
              </w:tabs>
              <w:jc w:val="right"/>
              <w:rPr>
                <w:lang w:eastAsia="ja-JP"/>
              </w:rPr>
            </w:pPr>
            <w:r>
              <w:rPr>
                <w:lang w:eastAsia="ja-JP"/>
              </w:rPr>
              <w:t>0</w:t>
            </w:r>
          </w:p>
        </w:tc>
      </w:tr>
      <w:tr w:rsidR="002A22D9" w:rsidRPr="000B4562" w:rsidTr="006445BB">
        <w:trPr>
          <w:jc w:val="center"/>
        </w:trPr>
        <w:tc>
          <w:tcPr>
            <w:tcW w:w="4788" w:type="dxa"/>
            <w:tcBorders>
              <w:bottom w:val="single" w:sz="12" w:space="0" w:color="auto"/>
            </w:tcBorders>
            <w:shd w:val="clear" w:color="auto" w:fill="auto"/>
          </w:tcPr>
          <w:p w:rsidR="002A22D9" w:rsidRPr="000B4562" w:rsidRDefault="002A22D9" w:rsidP="00D32B1D">
            <w:pPr>
              <w:tabs>
                <w:tab w:val="left" w:pos="360"/>
              </w:tabs>
              <w:rPr>
                <w:lang w:eastAsia="ja-JP"/>
              </w:rPr>
            </w:pPr>
            <w:r w:rsidRPr="000B4562">
              <w:rPr>
                <w:lang w:eastAsia="ja-JP"/>
              </w:rPr>
              <w:t>Materials</w:t>
            </w:r>
          </w:p>
        </w:tc>
        <w:tc>
          <w:tcPr>
            <w:tcW w:w="2766" w:type="dxa"/>
            <w:tcBorders>
              <w:bottom w:val="single" w:sz="12" w:space="0" w:color="auto"/>
            </w:tcBorders>
            <w:shd w:val="clear" w:color="auto" w:fill="auto"/>
          </w:tcPr>
          <w:p w:rsidR="002A22D9" w:rsidRPr="000B4562" w:rsidRDefault="00173466" w:rsidP="00D32B1D">
            <w:pPr>
              <w:tabs>
                <w:tab w:val="left" w:pos="360"/>
              </w:tabs>
              <w:jc w:val="right"/>
              <w:rPr>
                <w:lang w:eastAsia="ja-JP"/>
              </w:rPr>
            </w:pPr>
            <w:r>
              <w:rPr>
                <w:lang w:eastAsia="ja-JP"/>
              </w:rPr>
              <w:t>$</w:t>
            </w:r>
            <w:r w:rsidR="00A32C25">
              <w:rPr>
                <w:lang w:eastAsia="ja-JP"/>
              </w:rPr>
              <w:t>50</w:t>
            </w:r>
          </w:p>
        </w:tc>
      </w:tr>
      <w:tr w:rsidR="002A22D9" w:rsidRPr="000B4562" w:rsidTr="006445BB">
        <w:trPr>
          <w:jc w:val="center"/>
        </w:trPr>
        <w:tc>
          <w:tcPr>
            <w:tcW w:w="4788" w:type="dxa"/>
            <w:tcBorders>
              <w:top w:val="single" w:sz="12" w:space="0" w:color="auto"/>
              <w:left w:val="single" w:sz="2" w:space="0" w:color="auto"/>
              <w:bottom w:val="single" w:sz="2" w:space="0" w:color="auto"/>
              <w:right w:val="single" w:sz="2" w:space="0" w:color="auto"/>
            </w:tcBorders>
            <w:shd w:val="clear" w:color="auto" w:fill="auto"/>
          </w:tcPr>
          <w:p w:rsidR="002A22D9" w:rsidRPr="000B4562" w:rsidRDefault="002A22D9" w:rsidP="00D32B1D">
            <w:pPr>
              <w:tabs>
                <w:tab w:val="left" w:pos="360"/>
              </w:tabs>
              <w:rPr>
                <w:lang w:eastAsia="ja-JP"/>
              </w:rPr>
            </w:pPr>
            <w:r w:rsidRPr="000B4562">
              <w:rPr>
                <w:lang w:eastAsia="ja-JP"/>
              </w:rPr>
              <w:t>Total cost to government</w:t>
            </w:r>
          </w:p>
        </w:tc>
        <w:tc>
          <w:tcPr>
            <w:tcW w:w="2766" w:type="dxa"/>
            <w:tcBorders>
              <w:top w:val="single" w:sz="12" w:space="0" w:color="auto"/>
              <w:left w:val="single" w:sz="2" w:space="0" w:color="auto"/>
              <w:bottom w:val="single" w:sz="2" w:space="0" w:color="auto"/>
              <w:right w:val="single" w:sz="2" w:space="0" w:color="auto"/>
            </w:tcBorders>
            <w:shd w:val="clear" w:color="auto" w:fill="auto"/>
          </w:tcPr>
          <w:p w:rsidR="002A22D9" w:rsidRPr="000B4562" w:rsidRDefault="00173466" w:rsidP="00A32C25">
            <w:pPr>
              <w:tabs>
                <w:tab w:val="left" w:pos="360"/>
              </w:tabs>
              <w:jc w:val="right"/>
              <w:rPr>
                <w:lang w:eastAsia="ja-JP"/>
              </w:rPr>
            </w:pPr>
            <w:r>
              <w:rPr>
                <w:lang w:eastAsia="ja-JP"/>
              </w:rPr>
              <w:t>$</w:t>
            </w:r>
            <w:r w:rsidR="006445BB">
              <w:rPr>
                <w:lang w:eastAsia="ja-JP"/>
              </w:rPr>
              <w:t>2</w:t>
            </w:r>
            <w:r w:rsidR="002F474E">
              <w:rPr>
                <w:lang w:eastAsia="ja-JP"/>
              </w:rPr>
              <w:t>,</w:t>
            </w:r>
            <w:r w:rsidR="00A32C25">
              <w:rPr>
                <w:lang w:eastAsia="ja-JP"/>
              </w:rPr>
              <w:t>050</w:t>
            </w:r>
          </w:p>
        </w:tc>
      </w:tr>
    </w:tbl>
    <w:p w:rsidR="00F53EC1" w:rsidRDefault="00F53EC1">
      <w:pPr>
        <w:rPr>
          <w:b/>
          <w:bCs/>
          <w:u w:val="single"/>
        </w:rPr>
      </w:pPr>
    </w:p>
    <w:p w:rsidR="00F53EC1" w:rsidRDefault="00F53EC1">
      <w:pPr>
        <w:rPr>
          <w:b/>
          <w:bCs/>
          <w:u w:val="single"/>
        </w:rPr>
      </w:pPr>
    </w:p>
    <w:p w:rsidR="00B46F2C" w:rsidRDefault="00B46F2C" w:rsidP="00F06866">
      <w:pPr>
        <w:rPr>
          <w:b/>
        </w:rPr>
      </w:pPr>
      <w:r>
        <w:rPr>
          <w:b/>
          <w:bCs/>
          <w:u w:val="single"/>
        </w:rPr>
        <w:t xml:space="preserve">If you are conducting a focus group, survey, or plan to employ statistical methods, </w:t>
      </w:r>
      <w:r w:rsidR="00DE4BA9">
        <w:rPr>
          <w:b/>
          <w:bCs/>
          <w:u w:val="single"/>
        </w:rPr>
        <w:t>please provide</w:t>
      </w:r>
      <w:r>
        <w:rPr>
          <w:b/>
          <w:bCs/>
          <w:u w:val="single"/>
        </w:rPr>
        <w:t xml:space="preserv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3E31E6">
        <w:t>X</w:t>
      </w:r>
      <w:r>
        <w:t>] Yes</w:t>
      </w:r>
      <w:r>
        <w:tab/>
        <w:t>[ ] No</w:t>
      </w:r>
    </w:p>
    <w:p w:rsidR="00B46F2C" w:rsidRDefault="00B46F2C" w:rsidP="00636621">
      <w:pPr>
        <w:pStyle w:val="ListParagraph"/>
      </w:pPr>
    </w:p>
    <w:p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RDefault="00B46F2C" w:rsidP="003E31E6"/>
    <w:p w:rsidR="00B46F2C" w:rsidRDefault="005B2D8C" w:rsidP="00940F02">
      <w:r w:rsidRPr="005B2D8C">
        <w:t>Two Alaska flight companies</w:t>
      </w:r>
      <w:r w:rsidR="00E138DB">
        <w:t>, Hageland Aviation Services and Lynden Air Cargo,</w:t>
      </w:r>
      <w:r w:rsidRPr="005B2D8C">
        <w:t xml:space="preserve"> have requested</w:t>
      </w:r>
      <w:r w:rsidR="008C4FE1">
        <w:t xml:space="preserve"> to evaluate</w:t>
      </w:r>
      <w:r w:rsidRPr="005B2D8C">
        <w:t xml:space="preserve"> the training materials</w:t>
      </w:r>
      <w:r w:rsidR="008E022B">
        <w:t xml:space="preserve"> in </w:t>
      </w:r>
      <w:r w:rsidR="00A32C25">
        <w:t>early</w:t>
      </w:r>
      <w:r w:rsidR="008E022B">
        <w:t xml:space="preserve"> 2015</w:t>
      </w:r>
      <w:r w:rsidRPr="005B2D8C">
        <w:t xml:space="preserve">. </w:t>
      </w:r>
      <w:r w:rsidR="003E31E6">
        <w:t xml:space="preserve">The universe of potential respondents includes all pilots who </w:t>
      </w:r>
      <w:r w:rsidR="00B02D82">
        <w:t>enroll and attend</w:t>
      </w:r>
      <w:r w:rsidR="003E31E6">
        <w:t xml:space="preserve"> annual </w:t>
      </w:r>
      <w:r w:rsidR="00B02D82">
        <w:t>pilot re</w:t>
      </w:r>
      <w:r w:rsidR="009C32B7">
        <w:t xml:space="preserve">current </w:t>
      </w:r>
      <w:r w:rsidR="003E31E6">
        <w:t>training</w:t>
      </w:r>
      <w:r w:rsidR="00AC378E">
        <w:t xml:space="preserve"> at </w:t>
      </w:r>
      <w:r w:rsidR="00AA5EE9">
        <w:t>these</w:t>
      </w:r>
      <w:r>
        <w:t xml:space="preserve"> </w:t>
      </w:r>
      <w:r w:rsidR="00AC378E">
        <w:t xml:space="preserve">two companies in </w:t>
      </w:r>
      <w:r w:rsidR="00A32C25">
        <w:t>early</w:t>
      </w:r>
      <w:r w:rsidR="00AC378E">
        <w:t xml:space="preserve"> 2015</w:t>
      </w:r>
      <w:r w:rsidR="00DE4BA9">
        <w:t xml:space="preserve"> (no more than 1</w:t>
      </w:r>
      <w:r w:rsidR="00C02C2E">
        <w:t>5</w:t>
      </w:r>
      <w:r w:rsidR="00DE4BA9">
        <w:t>0 pilots)</w:t>
      </w:r>
      <w:r w:rsidR="00AC378E">
        <w:t>.</w:t>
      </w:r>
    </w:p>
    <w:p w:rsidR="00AC378E" w:rsidRDefault="00AC378E" w:rsidP="00940F02"/>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 xml:space="preserve">[  ] Web-based or other forms of Social Media </w:t>
      </w:r>
    </w:p>
    <w:p w:rsidR="00B46F2C" w:rsidRDefault="00B46F2C" w:rsidP="001B0AAA">
      <w:pPr>
        <w:ind w:left="720"/>
      </w:pPr>
      <w:r>
        <w:t>[  ] Telephone</w:t>
      </w:r>
      <w:r>
        <w:tab/>
      </w:r>
    </w:p>
    <w:p w:rsidR="00B46F2C" w:rsidRDefault="00B46F2C" w:rsidP="001B0AAA">
      <w:pPr>
        <w:ind w:left="720"/>
      </w:pPr>
      <w:r>
        <w:t>[</w:t>
      </w:r>
      <w:r w:rsidR="008C3406">
        <w:t>X</w:t>
      </w:r>
      <w:r>
        <w:t>] In-person</w:t>
      </w:r>
      <w:r>
        <w:tab/>
      </w:r>
    </w:p>
    <w:p w:rsidR="00B46F2C" w:rsidRDefault="00B46F2C" w:rsidP="001B0AAA">
      <w:pPr>
        <w:ind w:left="720"/>
      </w:pPr>
      <w:r>
        <w:t xml:space="preserve">[  ] Mail </w:t>
      </w:r>
    </w:p>
    <w:p w:rsidR="00B46F2C" w:rsidRDefault="00B46F2C" w:rsidP="001B0AAA">
      <w:pPr>
        <w:ind w:left="720"/>
      </w:pPr>
      <w:r>
        <w:t>[  ] Other, Explain</w:t>
      </w:r>
    </w:p>
    <w:p w:rsidR="00B46F2C" w:rsidRDefault="00B46F2C" w:rsidP="00F24CFC">
      <w:pPr>
        <w:pStyle w:val="ListParagraph"/>
        <w:numPr>
          <w:ilvl w:val="0"/>
          <w:numId w:val="17"/>
        </w:numPr>
      </w:pPr>
      <w:r>
        <w:t>Will interviewers or facilitators be used?  [  ] Yes [</w:t>
      </w:r>
      <w:r w:rsidR="008C3406">
        <w:t>X</w:t>
      </w:r>
      <w:r>
        <w:t>] No</w:t>
      </w:r>
    </w:p>
    <w:p w:rsidR="005138C1" w:rsidRDefault="005138C1" w:rsidP="005138C1"/>
    <w:p w:rsidR="00D0369D" w:rsidRDefault="005138C1" w:rsidP="005138C1">
      <w:r w:rsidRPr="005138C1">
        <w:t>Participation will be completely voluntary</w:t>
      </w:r>
      <w:r w:rsidR="00337880">
        <w:t xml:space="preserve"> and anonymous</w:t>
      </w:r>
      <w:r w:rsidRPr="005138C1">
        <w:t xml:space="preserve">.  </w:t>
      </w:r>
      <w:r w:rsidR="004E4D09">
        <w:t>Participants will receive no monetary incentive for participation.  As previously mentioned, the NIOSH Fatigue Prevention Training will occupy only one hour of the week-long pilot training</w:t>
      </w:r>
      <w:r w:rsidR="00D0369D">
        <w:t xml:space="preserve"> provided by the employer</w:t>
      </w:r>
      <w:r w:rsidR="004E4D09">
        <w:t xml:space="preserve">.  </w:t>
      </w:r>
    </w:p>
    <w:p w:rsidR="00D0369D" w:rsidRDefault="00D0369D" w:rsidP="005138C1"/>
    <w:p w:rsidR="00992E34" w:rsidRDefault="00CC772D" w:rsidP="005138C1">
      <w:r>
        <w:t xml:space="preserve">Specifically, </w:t>
      </w:r>
      <w:r w:rsidR="000823F3">
        <w:t xml:space="preserve">immediately following </w:t>
      </w:r>
      <w:r>
        <w:t xml:space="preserve">the training, </w:t>
      </w:r>
      <w:r w:rsidR="00A32C25">
        <w:t>the</w:t>
      </w:r>
      <w:r w:rsidR="000823F3">
        <w:t xml:space="preserve"> </w:t>
      </w:r>
      <w:r>
        <w:t>survey will be administered as follows:</w:t>
      </w:r>
    </w:p>
    <w:p w:rsidR="001E7D7E" w:rsidRDefault="001E7D7E" w:rsidP="005138C1"/>
    <w:p w:rsidR="00AC6DA8" w:rsidRDefault="00AC6DA8" w:rsidP="00AC6DA8">
      <w:pPr>
        <w:pStyle w:val="ListParagraph"/>
        <w:numPr>
          <w:ilvl w:val="0"/>
          <w:numId w:val="21"/>
        </w:numPr>
      </w:pPr>
      <w:r>
        <w:t>The survey packet will be distributed to all trainees.</w:t>
      </w:r>
    </w:p>
    <w:p w:rsidR="00EA435C" w:rsidRDefault="00AC6DA8" w:rsidP="00957E40">
      <w:pPr>
        <w:pStyle w:val="ListParagraph"/>
        <w:numPr>
          <w:ilvl w:val="0"/>
          <w:numId w:val="21"/>
        </w:numPr>
      </w:pPr>
      <w:r>
        <w:t>T</w:t>
      </w:r>
      <w:r w:rsidR="00D0369D">
        <w:t xml:space="preserve">he NIOSH researcher will </w:t>
      </w:r>
      <w:r>
        <w:t xml:space="preserve">read the introductory statement, “Why the survey?” on </w:t>
      </w:r>
      <w:r w:rsidR="00173466">
        <w:t xml:space="preserve">the </w:t>
      </w:r>
      <w:r w:rsidR="00EA435C">
        <w:t xml:space="preserve">cover </w:t>
      </w:r>
      <w:r>
        <w:t xml:space="preserve">of the survey </w:t>
      </w:r>
      <w:r w:rsidR="00D0369D">
        <w:t>explaining the purpose and informed consent, and invit</w:t>
      </w:r>
      <w:r>
        <w:t>ing</w:t>
      </w:r>
      <w:r w:rsidR="00D0369D">
        <w:t xml:space="preserve"> the trainees to participate in the survey.</w:t>
      </w:r>
    </w:p>
    <w:p w:rsidR="00D0369D" w:rsidRDefault="00D0369D" w:rsidP="00957E40">
      <w:pPr>
        <w:pStyle w:val="ListParagraph"/>
        <w:numPr>
          <w:ilvl w:val="0"/>
          <w:numId w:val="21"/>
        </w:numPr>
      </w:pPr>
      <w:r>
        <w:t xml:space="preserve">The trainer will </w:t>
      </w:r>
      <w:r w:rsidR="00AC6DA8">
        <w:t xml:space="preserve">provide 15 </w:t>
      </w:r>
      <w:r w:rsidR="001E7D7E">
        <w:t xml:space="preserve">minutes </w:t>
      </w:r>
      <w:r w:rsidR="00CC772D">
        <w:t xml:space="preserve">for </w:t>
      </w:r>
      <w:r w:rsidR="002F474E">
        <w:t xml:space="preserve">those </w:t>
      </w:r>
      <w:r>
        <w:t>who elect to participate to complete the survey.</w:t>
      </w:r>
    </w:p>
    <w:p w:rsidR="00D0369D" w:rsidRDefault="00AC6DA8" w:rsidP="00957E40">
      <w:pPr>
        <w:pStyle w:val="ListParagraph"/>
        <w:numPr>
          <w:ilvl w:val="0"/>
          <w:numId w:val="21"/>
        </w:numPr>
      </w:pPr>
      <w:r>
        <w:t>At the end of the 15</w:t>
      </w:r>
      <w:r w:rsidR="001E7D7E">
        <w:t xml:space="preserve"> minutes, the trainer will circulate an 8 ½ x 11” envelope.  All trainees</w:t>
      </w:r>
      <w:r w:rsidR="00EA6ECB">
        <w:t xml:space="preserve"> </w:t>
      </w:r>
      <w:r w:rsidR="001E7D7E">
        <w:t xml:space="preserve">will </w:t>
      </w:r>
      <w:r w:rsidR="00EA6ECB">
        <w:t xml:space="preserve">be asked to </w:t>
      </w:r>
      <w:r w:rsidR="001E7D7E">
        <w:t>insert their survey</w:t>
      </w:r>
      <w:r w:rsidR="00EA6ECB">
        <w:t xml:space="preserve"> </w:t>
      </w:r>
      <w:r w:rsidR="001E7D7E">
        <w:t>into that envelope</w:t>
      </w:r>
      <w:r w:rsidR="00EA6ECB">
        <w:t xml:space="preserve"> – regardless of whether or not he/she has elected to complete the survey</w:t>
      </w:r>
      <w:r w:rsidR="001E7D7E">
        <w:t xml:space="preserve">.   </w:t>
      </w:r>
      <w:r w:rsidR="001E7D7E" w:rsidRPr="001E7D7E">
        <w:t>In this way, trainee</w:t>
      </w:r>
      <w:r w:rsidR="00CC772D">
        <w:t>s</w:t>
      </w:r>
      <w:r w:rsidR="001E7D7E" w:rsidRPr="001E7D7E">
        <w:t xml:space="preserve"> will not feel coerced or required to participate</w:t>
      </w:r>
      <w:r w:rsidR="00EA6ECB">
        <w:t>.</w:t>
      </w:r>
    </w:p>
    <w:p w:rsidR="00E138DB" w:rsidRPr="001177BF" w:rsidRDefault="00D0369D" w:rsidP="00E138DB">
      <w:pPr>
        <w:pStyle w:val="ListParagraph"/>
        <w:numPr>
          <w:ilvl w:val="0"/>
          <w:numId w:val="21"/>
        </w:numPr>
        <w:rPr>
          <w:b/>
        </w:rPr>
      </w:pPr>
      <w:r>
        <w:t xml:space="preserve">The NIOSH researcher will collect the </w:t>
      </w:r>
      <w:r w:rsidR="00EA435C">
        <w:t>s</w:t>
      </w:r>
      <w:r>
        <w:t>urvey envelope from the instructor.</w:t>
      </w:r>
    </w:p>
    <w:sectPr w:rsidR="00E138DB" w:rsidRPr="001177BF"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237" w:rsidRDefault="00183237">
      <w:r>
        <w:separator/>
      </w:r>
    </w:p>
  </w:endnote>
  <w:endnote w:type="continuationSeparator" w:id="0">
    <w:p w:rsidR="00183237" w:rsidRDefault="0018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F2C" w:rsidRDefault="00D71221">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F017F0">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237" w:rsidRDefault="00183237">
      <w:r>
        <w:separator/>
      </w:r>
    </w:p>
  </w:footnote>
  <w:footnote w:type="continuationSeparator" w:id="0">
    <w:p w:rsidR="00183237" w:rsidRDefault="00183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F2C" w:rsidRDefault="00B46F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496183"/>
    <w:multiLevelType w:val="multilevel"/>
    <w:tmpl w:val="40F43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A9A6DAC8"/>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7613CC5"/>
    <w:multiLevelType w:val="hybridMultilevel"/>
    <w:tmpl w:val="883E2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9881D1D"/>
    <w:multiLevelType w:val="hybridMultilevel"/>
    <w:tmpl w:val="FCDAFBEA"/>
    <w:lvl w:ilvl="0" w:tplc="F3D25E22">
      <w:start w:val="1"/>
      <w:numFmt w:val="decimal"/>
      <w:lvlText w:val="%1."/>
      <w:lvlJc w:val="left"/>
      <w:pPr>
        <w:ind w:left="720" w:hanging="360"/>
      </w:pPr>
      <w:rPr>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7"/>
  </w:num>
  <w:num w:numId="4">
    <w:abstractNumId w:val="20"/>
  </w:num>
  <w:num w:numId="5">
    <w:abstractNumId w:val="4"/>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3"/>
  </w:num>
  <w:num w:numId="16">
    <w:abstractNumId w:val="12"/>
  </w:num>
  <w:num w:numId="17">
    <w:abstractNumId w:val="5"/>
  </w:num>
  <w:num w:numId="18">
    <w:abstractNumId w:val="6"/>
  </w:num>
  <w:num w:numId="19">
    <w:abstractNumId w:val="3"/>
  </w:num>
  <w:num w:numId="20">
    <w:abstractNumId w:val="1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18C2"/>
    <w:rsid w:val="00023A57"/>
    <w:rsid w:val="00047A64"/>
    <w:rsid w:val="00051500"/>
    <w:rsid w:val="00067329"/>
    <w:rsid w:val="00073073"/>
    <w:rsid w:val="000823F3"/>
    <w:rsid w:val="00085E32"/>
    <w:rsid w:val="000B2838"/>
    <w:rsid w:val="000B7AE5"/>
    <w:rsid w:val="000D44CA"/>
    <w:rsid w:val="000D4F46"/>
    <w:rsid w:val="000E200B"/>
    <w:rsid w:val="000F68BE"/>
    <w:rsid w:val="001177BF"/>
    <w:rsid w:val="00127A95"/>
    <w:rsid w:val="00150C67"/>
    <w:rsid w:val="00173466"/>
    <w:rsid w:val="00180A77"/>
    <w:rsid w:val="00183237"/>
    <w:rsid w:val="00191DE6"/>
    <w:rsid w:val="001927A4"/>
    <w:rsid w:val="00194AC6"/>
    <w:rsid w:val="001A23B0"/>
    <w:rsid w:val="001A25CC"/>
    <w:rsid w:val="001B0AAA"/>
    <w:rsid w:val="001B6AA0"/>
    <w:rsid w:val="001C39F7"/>
    <w:rsid w:val="001C7969"/>
    <w:rsid w:val="001E2A41"/>
    <w:rsid w:val="001E4FC1"/>
    <w:rsid w:val="001E7D7E"/>
    <w:rsid w:val="00237B48"/>
    <w:rsid w:val="0024521E"/>
    <w:rsid w:val="00263C3D"/>
    <w:rsid w:val="00274D0B"/>
    <w:rsid w:val="00280FA3"/>
    <w:rsid w:val="002821FF"/>
    <w:rsid w:val="002A22D9"/>
    <w:rsid w:val="002B3C95"/>
    <w:rsid w:val="002D0B92"/>
    <w:rsid w:val="002D47BD"/>
    <w:rsid w:val="002E7DBB"/>
    <w:rsid w:val="002F474E"/>
    <w:rsid w:val="00337880"/>
    <w:rsid w:val="003675DB"/>
    <w:rsid w:val="00380E2A"/>
    <w:rsid w:val="003D5BBE"/>
    <w:rsid w:val="003E31E6"/>
    <w:rsid w:val="003E3C61"/>
    <w:rsid w:val="003F1C5B"/>
    <w:rsid w:val="0041337D"/>
    <w:rsid w:val="00434E33"/>
    <w:rsid w:val="00441434"/>
    <w:rsid w:val="0045264C"/>
    <w:rsid w:val="004876EC"/>
    <w:rsid w:val="004C4672"/>
    <w:rsid w:val="004D6E14"/>
    <w:rsid w:val="004E4D09"/>
    <w:rsid w:val="004E5CEE"/>
    <w:rsid w:val="005009B0"/>
    <w:rsid w:val="00512CA7"/>
    <w:rsid w:val="005138C1"/>
    <w:rsid w:val="005A1006"/>
    <w:rsid w:val="005B2D8C"/>
    <w:rsid w:val="005E714A"/>
    <w:rsid w:val="005E7D5B"/>
    <w:rsid w:val="006140A0"/>
    <w:rsid w:val="00623A4C"/>
    <w:rsid w:val="00636621"/>
    <w:rsid w:val="00642B49"/>
    <w:rsid w:val="006445BB"/>
    <w:rsid w:val="006832D9"/>
    <w:rsid w:val="006840B1"/>
    <w:rsid w:val="00687193"/>
    <w:rsid w:val="0069253D"/>
    <w:rsid w:val="0069403B"/>
    <w:rsid w:val="006A1D17"/>
    <w:rsid w:val="006F3DDE"/>
    <w:rsid w:val="00704678"/>
    <w:rsid w:val="00715EE0"/>
    <w:rsid w:val="007425E7"/>
    <w:rsid w:val="00742741"/>
    <w:rsid w:val="00802607"/>
    <w:rsid w:val="008101A5"/>
    <w:rsid w:val="00822664"/>
    <w:rsid w:val="00843796"/>
    <w:rsid w:val="00881BC7"/>
    <w:rsid w:val="00895229"/>
    <w:rsid w:val="008C3406"/>
    <w:rsid w:val="008C4FE1"/>
    <w:rsid w:val="008E022B"/>
    <w:rsid w:val="008E14FE"/>
    <w:rsid w:val="008F0203"/>
    <w:rsid w:val="008F50D4"/>
    <w:rsid w:val="009239AA"/>
    <w:rsid w:val="00935A5B"/>
    <w:rsid w:val="00935ADA"/>
    <w:rsid w:val="00940F02"/>
    <w:rsid w:val="00946B6C"/>
    <w:rsid w:val="00955A71"/>
    <w:rsid w:val="00957E40"/>
    <w:rsid w:val="0096108F"/>
    <w:rsid w:val="00992E34"/>
    <w:rsid w:val="00997036"/>
    <w:rsid w:val="009C13B9"/>
    <w:rsid w:val="009C32B7"/>
    <w:rsid w:val="009D01A2"/>
    <w:rsid w:val="009F5923"/>
    <w:rsid w:val="00A24099"/>
    <w:rsid w:val="00A32C25"/>
    <w:rsid w:val="00A403BB"/>
    <w:rsid w:val="00A674DF"/>
    <w:rsid w:val="00A70E37"/>
    <w:rsid w:val="00A83AA6"/>
    <w:rsid w:val="00AA5500"/>
    <w:rsid w:val="00AA5EE9"/>
    <w:rsid w:val="00AC370A"/>
    <w:rsid w:val="00AC378E"/>
    <w:rsid w:val="00AC6DA8"/>
    <w:rsid w:val="00AE1809"/>
    <w:rsid w:val="00B02D82"/>
    <w:rsid w:val="00B20A65"/>
    <w:rsid w:val="00B27F27"/>
    <w:rsid w:val="00B37143"/>
    <w:rsid w:val="00B46F2C"/>
    <w:rsid w:val="00B62B60"/>
    <w:rsid w:val="00B80D76"/>
    <w:rsid w:val="00BA2105"/>
    <w:rsid w:val="00BA7E06"/>
    <w:rsid w:val="00BB43B5"/>
    <w:rsid w:val="00BB6219"/>
    <w:rsid w:val="00BD118C"/>
    <w:rsid w:val="00BD290F"/>
    <w:rsid w:val="00C02C2E"/>
    <w:rsid w:val="00C14CC4"/>
    <w:rsid w:val="00C33C52"/>
    <w:rsid w:val="00C40D8B"/>
    <w:rsid w:val="00C66D3C"/>
    <w:rsid w:val="00C8407A"/>
    <w:rsid w:val="00C8488C"/>
    <w:rsid w:val="00C86E91"/>
    <w:rsid w:val="00CA2650"/>
    <w:rsid w:val="00CA433A"/>
    <w:rsid w:val="00CB1078"/>
    <w:rsid w:val="00CC6FAF"/>
    <w:rsid w:val="00CC772D"/>
    <w:rsid w:val="00CE698D"/>
    <w:rsid w:val="00CF356C"/>
    <w:rsid w:val="00D0369D"/>
    <w:rsid w:val="00D07B89"/>
    <w:rsid w:val="00D24698"/>
    <w:rsid w:val="00D6383F"/>
    <w:rsid w:val="00D71221"/>
    <w:rsid w:val="00DA0B0D"/>
    <w:rsid w:val="00DB2923"/>
    <w:rsid w:val="00DB59D0"/>
    <w:rsid w:val="00DC33D3"/>
    <w:rsid w:val="00DE4BA9"/>
    <w:rsid w:val="00E138DB"/>
    <w:rsid w:val="00E26329"/>
    <w:rsid w:val="00E31C56"/>
    <w:rsid w:val="00E40B50"/>
    <w:rsid w:val="00E50293"/>
    <w:rsid w:val="00E65FFC"/>
    <w:rsid w:val="00E80951"/>
    <w:rsid w:val="00E81AB8"/>
    <w:rsid w:val="00E854FE"/>
    <w:rsid w:val="00E86CC6"/>
    <w:rsid w:val="00EA435C"/>
    <w:rsid w:val="00EA6ECB"/>
    <w:rsid w:val="00EB56B3"/>
    <w:rsid w:val="00ED6492"/>
    <w:rsid w:val="00EF1BD9"/>
    <w:rsid w:val="00EF2095"/>
    <w:rsid w:val="00F017F0"/>
    <w:rsid w:val="00F06866"/>
    <w:rsid w:val="00F15956"/>
    <w:rsid w:val="00F24CFC"/>
    <w:rsid w:val="00F3170F"/>
    <w:rsid w:val="00F4017B"/>
    <w:rsid w:val="00F53EC1"/>
    <w:rsid w:val="00F976B0"/>
    <w:rsid w:val="00FA1039"/>
    <w:rsid w:val="00FA23BE"/>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98D"/>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98D"/>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39388">
      <w:bodyDiv w:val="1"/>
      <w:marLeft w:val="0"/>
      <w:marRight w:val="0"/>
      <w:marTop w:val="0"/>
      <w:marBottom w:val="0"/>
      <w:divBdr>
        <w:top w:val="none" w:sz="0" w:space="0" w:color="auto"/>
        <w:left w:val="none" w:sz="0" w:space="0" w:color="auto"/>
        <w:bottom w:val="none" w:sz="0" w:space="0" w:color="auto"/>
        <w:right w:val="none" w:sz="0" w:space="0" w:color="auto"/>
      </w:divBdr>
    </w:div>
    <w:div w:id="1035040510">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646617965">
      <w:bodyDiv w:val="1"/>
      <w:marLeft w:val="0"/>
      <w:marRight w:val="0"/>
      <w:marTop w:val="0"/>
      <w:marBottom w:val="0"/>
      <w:divBdr>
        <w:top w:val="none" w:sz="0" w:space="0" w:color="auto"/>
        <w:left w:val="none" w:sz="0" w:space="0" w:color="auto"/>
        <w:bottom w:val="none" w:sz="0" w:space="0" w:color="auto"/>
        <w:right w:val="none" w:sz="0" w:space="0" w:color="auto"/>
      </w:divBdr>
      <w:divsChild>
        <w:div w:id="1610089375">
          <w:marLeft w:val="0"/>
          <w:marRight w:val="0"/>
          <w:marTop w:val="0"/>
          <w:marBottom w:val="0"/>
          <w:divBdr>
            <w:top w:val="none" w:sz="0" w:space="0" w:color="auto"/>
            <w:left w:val="none" w:sz="0" w:space="0" w:color="auto"/>
            <w:bottom w:val="none" w:sz="0" w:space="0" w:color="auto"/>
            <w:right w:val="none" w:sz="0" w:space="0" w:color="auto"/>
          </w:divBdr>
          <w:divsChild>
            <w:div w:id="128517513">
              <w:marLeft w:val="0"/>
              <w:marRight w:val="0"/>
              <w:marTop w:val="0"/>
              <w:marBottom w:val="0"/>
              <w:divBdr>
                <w:top w:val="none" w:sz="0" w:space="0" w:color="auto"/>
                <w:left w:val="none" w:sz="0" w:space="0" w:color="auto"/>
                <w:bottom w:val="none" w:sz="0" w:space="0" w:color="auto"/>
                <w:right w:val="none" w:sz="0" w:space="0" w:color="auto"/>
              </w:divBdr>
              <w:divsChild>
                <w:div w:id="1531529742">
                  <w:marLeft w:val="0"/>
                  <w:marRight w:val="0"/>
                  <w:marTop w:val="0"/>
                  <w:marBottom w:val="0"/>
                  <w:divBdr>
                    <w:top w:val="none" w:sz="0" w:space="0" w:color="auto"/>
                    <w:left w:val="none" w:sz="0" w:space="0" w:color="auto"/>
                    <w:bottom w:val="none" w:sz="0" w:space="0" w:color="auto"/>
                    <w:right w:val="none" w:sz="0" w:space="0" w:color="auto"/>
                  </w:divBdr>
                  <w:divsChild>
                    <w:div w:id="860364311">
                      <w:marLeft w:val="0"/>
                      <w:marRight w:val="0"/>
                      <w:marTop w:val="0"/>
                      <w:marBottom w:val="0"/>
                      <w:divBdr>
                        <w:top w:val="none" w:sz="0" w:space="0" w:color="auto"/>
                        <w:left w:val="none" w:sz="0" w:space="0" w:color="auto"/>
                        <w:bottom w:val="none" w:sz="0" w:space="0" w:color="auto"/>
                        <w:right w:val="none" w:sz="0" w:space="0" w:color="auto"/>
                      </w:divBdr>
                      <w:divsChild>
                        <w:div w:id="1221600330">
                          <w:marLeft w:val="0"/>
                          <w:marRight w:val="0"/>
                          <w:marTop w:val="0"/>
                          <w:marBottom w:val="0"/>
                          <w:divBdr>
                            <w:top w:val="none" w:sz="0" w:space="0" w:color="auto"/>
                            <w:left w:val="none" w:sz="0" w:space="0" w:color="auto"/>
                            <w:bottom w:val="none" w:sz="0" w:space="0" w:color="auto"/>
                            <w:right w:val="none" w:sz="0" w:space="0" w:color="auto"/>
                          </w:divBdr>
                          <w:divsChild>
                            <w:div w:id="524564225">
                              <w:marLeft w:val="0"/>
                              <w:marRight w:val="0"/>
                              <w:marTop w:val="0"/>
                              <w:marBottom w:val="0"/>
                              <w:divBdr>
                                <w:top w:val="none" w:sz="0" w:space="0" w:color="auto"/>
                                <w:left w:val="none" w:sz="0" w:space="0" w:color="auto"/>
                                <w:bottom w:val="none" w:sz="0" w:space="0" w:color="auto"/>
                                <w:right w:val="none" w:sz="0" w:space="0" w:color="auto"/>
                              </w:divBdr>
                              <w:divsChild>
                                <w:div w:id="767580290">
                                  <w:marLeft w:val="0"/>
                                  <w:marRight w:val="0"/>
                                  <w:marTop w:val="0"/>
                                  <w:marBottom w:val="0"/>
                                  <w:divBdr>
                                    <w:top w:val="none" w:sz="0" w:space="0" w:color="auto"/>
                                    <w:left w:val="none" w:sz="0" w:space="0" w:color="auto"/>
                                    <w:bottom w:val="none" w:sz="0" w:space="0" w:color="auto"/>
                                    <w:right w:val="none" w:sz="0" w:space="0" w:color="auto"/>
                                  </w:divBdr>
                                  <w:divsChild>
                                    <w:div w:id="1576621974">
                                      <w:marLeft w:val="0"/>
                                      <w:marRight w:val="0"/>
                                      <w:marTop w:val="0"/>
                                      <w:marBottom w:val="0"/>
                                      <w:divBdr>
                                        <w:top w:val="none" w:sz="0" w:space="0" w:color="auto"/>
                                        <w:left w:val="none" w:sz="0" w:space="0" w:color="auto"/>
                                        <w:bottom w:val="none" w:sz="0" w:space="0" w:color="auto"/>
                                        <w:right w:val="none" w:sz="0" w:space="0" w:color="auto"/>
                                      </w:divBdr>
                                      <w:divsChild>
                                        <w:div w:id="839269719">
                                          <w:marLeft w:val="0"/>
                                          <w:marRight w:val="0"/>
                                          <w:marTop w:val="0"/>
                                          <w:marBottom w:val="0"/>
                                          <w:divBdr>
                                            <w:top w:val="none" w:sz="0" w:space="0" w:color="auto"/>
                                            <w:left w:val="none" w:sz="0" w:space="0" w:color="auto"/>
                                            <w:bottom w:val="none" w:sz="0" w:space="0" w:color="auto"/>
                                            <w:right w:val="none" w:sz="0" w:space="0" w:color="auto"/>
                                          </w:divBdr>
                                          <w:divsChild>
                                            <w:div w:id="2110421028">
                                              <w:blockQuote w:val="1"/>
                                              <w:marLeft w:val="900"/>
                                              <w:marRight w:val="720"/>
                                              <w:marTop w:val="0"/>
                                              <w:marBottom w:val="100"/>
                                              <w:divBdr>
                                                <w:top w:val="none" w:sz="0" w:space="0" w:color="auto"/>
                                                <w:left w:val="none" w:sz="0" w:space="0" w:color="auto"/>
                                                <w:bottom w:val="none" w:sz="0" w:space="0" w:color="auto"/>
                                                <w:right w:val="none" w:sz="0" w:space="0" w:color="auto"/>
                                              </w:divBdr>
                                              <w:divsChild>
                                                <w:div w:id="8964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1163</Words>
  <Characters>6630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CDC User</cp:lastModifiedBy>
  <cp:revision>2</cp:revision>
  <cp:lastPrinted>2010-10-04T16:59:00Z</cp:lastPrinted>
  <dcterms:created xsi:type="dcterms:W3CDTF">2014-12-01T16:09:00Z</dcterms:created>
  <dcterms:modified xsi:type="dcterms:W3CDTF">2014-12-01T16:09:00Z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