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2D" w:rsidRDefault="006E192D">
      <w:pPr>
        <w:pStyle w:val="Heading2"/>
        <w:jc w:val="center"/>
        <w:rPr>
          <w:rFonts w:ascii="Arial" w:hAnsi="Arial" w:cs="Arial"/>
          <w:sz w:val="24"/>
        </w:rPr>
      </w:pPr>
      <w:r>
        <w:rPr>
          <w:rFonts w:ascii="Arial" w:hAnsi="Arial" w:cs="Arial"/>
          <w:sz w:val="24"/>
        </w:rPr>
        <w:t>Supporting Statement for Paperwork Reduction Act Submissions</w:t>
      </w:r>
    </w:p>
    <w:p w:rsidR="006C7AB6" w:rsidRPr="006C7AB6" w:rsidRDefault="006C7AB6" w:rsidP="006C7AB6">
      <w:pPr>
        <w:rPr>
          <w:rFonts w:ascii="Arial" w:hAnsi="Arial" w:cs="Arial"/>
          <w:b/>
          <w:sz w:val="24"/>
          <w:szCs w:val="24"/>
        </w:rPr>
      </w:pPr>
      <w:r>
        <w:tab/>
      </w:r>
      <w:r>
        <w:tab/>
      </w:r>
      <w:r>
        <w:tab/>
      </w:r>
      <w:r>
        <w:tab/>
      </w:r>
      <w:r>
        <w:tab/>
        <w:t xml:space="preserve">     </w:t>
      </w:r>
      <w:r w:rsidRPr="006C7AB6">
        <w:rPr>
          <w:rFonts w:ascii="Arial" w:hAnsi="Arial" w:cs="Arial"/>
          <w:b/>
          <w:sz w:val="24"/>
          <w:szCs w:val="24"/>
        </w:rPr>
        <w:t xml:space="preserve">OMB </w:t>
      </w:r>
      <w:r w:rsidR="002F7035">
        <w:rPr>
          <w:rFonts w:ascii="Arial" w:hAnsi="Arial" w:cs="Arial"/>
          <w:b/>
          <w:sz w:val="24"/>
          <w:szCs w:val="24"/>
        </w:rPr>
        <w:t xml:space="preserve"> -  </w:t>
      </w:r>
      <w:r w:rsidRPr="006C7AB6">
        <w:rPr>
          <w:rFonts w:ascii="Arial" w:hAnsi="Arial" w:cs="Arial"/>
          <w:b/>
          <w:sz w:val="24"/>
          <w:szCs w:val="24"/>
        </w:rPr>
        <w:t>2502-0275</w:t>
      </w:r>
    </w:p>
    <w:p w:rsidR="006E192D" w:rsidRDefault="006E192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rPr>
      </w:pPr>
    </w:p>
    <w:p w:rsidR="006E192D" w:rsidRDefault="006E192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Pr>
          <w:b/>
          <w:sz w:val="22"/>
        </w:rPr>
        <w:t xml:space="preserve">A. </w:t>
      </w:r>
      <w:r>
        <w:rPr>
          <w:b/>
          <w:sz w:val="22"/>
        </w:rPr>
        <w:tab/>
        <w:t>Justification</w:t>
      </w:r>
    </w:p>
    <w:p w:rsidR="006E192D" w:rsidRDefault="006E19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p>
    <w:p w:rsidR="0026383A" w:rsidRPr="0026383A" w:rsidRDefault="0026383A" w:rsidP="0026383A">
      <w:pPr>
        <w:numPr>
          <w:ilvl w:val="0"/>
          <w:numId w:val="37"/>
        </w:numPr>
        <w:tabs>
          <w:tab w:val="left" w:pos="360"/>
        </w:tabs>
        <w:rPr>
          <w:sz w:val="22"/>
        </w:rPr>
      </w:pPr>
      <w:r w:rsidRPr="0026383A">
        <w:rPr>
          <w:b/>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383A" w:rsidRDefault="0026383A" w:rsidP="0042787D">
      <w:pPr>
        <w:tabs>
          <w:tab w:val="left" w:pos="360"/>
        </w:tabs>
        <w:ind w:left="360" w:hanging="360"/>
        <w:rPr>
          <w:sz w:val="22"/>
        </w:rPr>
      </w:pPr>
    </w:p>
    <w:p w:rsidR="009758B1" w:rsidRDefault="006E192D" w:rsidP="00A938A5">
      <w:pPr>
        <w:ind w:left="720"/>
        <w:rPr>
          <w:sz w:val="22"/>
        </w:rPr>
      </w:pPr>
      <w:r w:rsidRPr="009758B1">
        <w:rPr>
          <w:sz w:val="22"/>
          <w:szCs w:val="22"/>
        </w:rPr>
        <w:t>The Department of Housing and Urban Development (HUD) has both the authority and the duty to closely monitor the operation of the properties encumbered by mortgages</w:t>
      </w:r>
      <w:r w:rsidR="009758B1">
        <w:rPr>
          <w:sz w:val="22"/>
          <w:szCs w:val="22"/>
        </w:rPr>
        <w:t xml:space="preserve"> insured or held by</w:t>
      </w:r>
      <w:r w:rsidRPr="009758B1">
        <w:rPr>
          <w:sz w:val="22"/>
          <w:szCs w:val="22"/>
        </w:rPr>
        <w:t xml:space="preserve"> HUD. </w:t>
      </w:r>
      <w:r w:rsidR="009758B1" w:rsidRPr="009758B1">
        <w:rPr>
          <w:sz w:val="22"/>
          <w:szCs w:val="22"/>
        </w:rPr>
        <w:t xml:space="preserve"> When t</w:t>
      </w:r>
      <w:r w:rsidR="009758B1" w:rsidRPr="009758B1">
        <w:rPr>
          <w:rFonts w:eastAsia="MS Mincho"/>
          <w:sz w:val="22"/>
          <w:szCs w:val="22"/>
        </w:rPr>
        <w:t xml:space="preserve">he sale and conveyance by deed of title to an insured mortgage necessitates a substitution of mortgagors, HUD approval of the substitution is required.  </w:t>
      </w:r>
      <w:r w:rsidR="009758B1">
        <w:rPr>
          <w:sz w:val="22"/>
        </w:rPr>
        <w:t xml:space="preserve">The duty to perform this function stems from HUD’s responsibility to the taxpayers to guard the insurance fund, which includes anticipating and identify problems (e.g., physical, financial, managerial, legal) with a project prior to a potential delinquency and ultimately assignment of the mortgage.  </w:t>
      </w:r>
    </w:p>
    <w:p w:rsidR="009758B1" w:rsidRDefault="009758B1" w:rsidP="009758B1">
      <w:pPr>
        <w:pStyle w:val="PlainText"/>
        <w:rPr>
          <w:rFonts w:eastAsia="MS Mincho"/>
        </w:rPr>
      </w:pPr>
    </w:p>
    <w:p w:rsidR="006E192D" w:rsidRDefault="006E192D">
      <w:pPr>
        <w:ind w:left="720" w:right="720"/>
        <w:rPr>
          <w:sz w:val="22"/>
        </w:rPr>
      </w:pPr>
      <w:r>
        <w:rPr>
          <w:sz w:val="22"/>
        </w:rPr>
        <w:t xml:space="preserve">The authority for this function can be found </w:t>
      </w:r>
      <w:proofErr w:type="gramStart"/>
      <w:r>
        <w:rPr>
          <w:sz w:val="22"/>
        </w:rPr>
        <w:t xml:space="preserve">in </w:t>
      </w:r>
      <w:r w:rsidR="003926B1">
        <w:rPr>
          <w:sz w:val="22"/>
        </w:rPr>
        <w:t>12 USC 1701z-11</w:t>
      </w:r>
      <w:r>
        <w:rPr>
          <w:sz w:val="22"/>
        </w:rPr>
        <w:t>,</w:t>
      </w:r>
      <w:proofErr w:type="gramEnd"/>
      <w:r>
        <w:rPr>
          <w:sz w:val="22"/>
        </w:rPr>
        <w:t xml:space="preserve"> </w:t>
      </w:r>
      <w:r w:rsidR="003926B1">
        <w:rPr>
          <w:sz w:val="22"/>
        </w:rPr>
        <w:t xml:space="preserve">Management and disposition of multifamily housing projects, </w:t>
      </w:r>
      <w:r w:rsidR="009758B1">
        <w:rPr>
          <w:sz w:val="22"/>
        </w:rPr>
        <w:t xml:space="preserve">HUD’s regulations at </w:t>
      </w:r>
      <w:r>
        <w:rPr>
          <w:sz w:val="22"/>
        </w:rPr>
        <w:t>24 CFR Part 20</w:t>
      </w:r>
      <w:r w:rsidR="003926B1">
        <w:rPr>
          <w:sz w:val="22"/>
        </w:rPr>
        <w:t>0</w:t>
      </w:r>
      <w:r w:rsidR="00A5348D">
        <w:rPr>
          <w:sz w:val="22"/>
        </w:rPr>
        <w:t>,</w:t>
      </w:r>
      <w:r>
        <w:rPr>
          <w:sz w:val="22"/>
        </w:rPr>
        <w:t xml:space="preserve"> and in the Regulatory Agreements between the HUD and the mortgagor of </w:t>
      </w:r>
      <w:r w:rsidR="009758B1">
        <w:rPr>
          <w:sz w:val="22"/>
        </w:rPr>
        <w:t xml:space="preserve">the multifamily housing </w:t>
      </w:r>
      <w:r>
        <w:rPr>
          <w:sz w:val="22"/>
        </w:rPr>
        <w:t>pro</w:t>
      </w:r>
      <w:r w:rsidR="009758B1">
        <w:rPr>
          <w:sz w:val="22"/>
        </w:rPr>
        <w:t>perty</w:t>
      </w:r>
      <w:r>
        <w:rPr>
          <w:sz w:val="22"/>
        </w:rPr>
        <w:t xml:space="preserve">.  </w:t>
      </w:r>
    </w:p>
    <w:p w:rsidR="006E192D" w:rsidRDefault="006E192D">
      <w:pPr>
        <w:tabs>
          <w:tab w:val="left" w:pos="360"/>
        </w:tabs>
        <w:ind w:left="360" w:hanging="360"/>
        <w:rPr>
          <w:sz w:val="22"/>
        </w:rPr>
      </w:pPr>
    </w:p>
    <w:p w:rsidR="008F1D65" w:rsidRPr="006D54EE" w:rsidRDefault="008F1D65" w:rsidP="008F1D65">
      <w:pPr>
        <w:numPr>
          <w:ilvl w:val="0"/>
          <w:numId w:val="37"/>
        </w:numPr>
        <w:tabs>
          <w:tab w:val="left" w:pos="720"/>
        </w:tabs>
        <w:ind w:right="720"/>
        <w:rPr>
          <w:sz w:val="24"/>
        </w:rPr>
      </w:pPr>
      <w:r w:rsidRPr="006D54EE">
        <w:rPr>
          <w:b/>
          <w:sz w:val="24"/>
        </w:rPr>
        <w:t>Indicate how, by whom, and for what purpose the information is to be used.  Except for a new collection, indicate the actual use the agency has made of the information received from the current collection.</w:t>
      </w:r>
    </w:p>
    <w:p w:rsidR="008F1D65" w:rsidRDefault="008F1D65" w:rsidP="0042787D">
      <w:pPr>
        <w:tabs>
          <w:tab w:val="left" w:pos="360"/>
        </w:tabs>
        <w:ind w:left="360" w:hanging="360"/>
        <w:rPr>
          <w:sz w:val="22"/>
        </w:rPr>
      </w:pPr>
    </w:p>
    <w:p w:rsidR="006E192D" w:rsidRDefault="006E192D" w:rsidP="00A938A5">
      <w:pPr>
        <w:tabs>
          <w:tab w:val="left" w:pos="-900"/>
        </w:tabs>
        <w:ind w:left="720"/>
        <w:rPr>
          <w:sz w:val="22"/>
        </w:rPr>
      </w:pPr>
      <w:r>
        <w:rPr>
          <w:sz w:val="22"/>
        </w:rPr>
        <w:t xml:space="preserve">A transfer of physical assets is a significant event in the life of a HUD multifamily project and of the mortgage encumbering the project.  </w:t>
      </w:r>
      <w:r w:rsidR="004C0E82">
        <w:rPr>
          <w:sz w:val="22"/>
        </w:rPr>
        <w:t xml:space="preserve">The transfer of physical assets application and supporting documentation provide the Department with a vehicle for reviewing all aspects of transfers of physical assets in an orderly efficient manner prior to the point at which they become effective.  </w:t>
      </w:r>
      <w:r w:rsidR="009758B1">
        <w:rPr>
          <w:sz w:val="22"/>
        </w:rPr>
        <w:t xml:space="preserve">Therefore, </w:t>
      </w:r>
      <w:r>
        <w:rPr>
          <w:sz w:val="22"/>
        </w:rPr>
        <w:t>HUD must be intricately involved at the time of the transfer to ensure that:</w:t>
      </w:r>
    </w:p>
    <w:p w:rsidR="006E192D" w:rsidRDefault="006E192D">
      <w:pPr>
        <w:tabs>
          <w:tab w:val="left" w:pos="360"/>
          <w:tab w:val="left" w:pos="720"/>
        </w:tabs>
        <w:ind w:left="1800" w:right="1440" w:hanging="360"/>
        <w:jc w:val="both"/>
        <w:rPr>
          <w:sz w:val="22"/>
        </w:rPr>
      </w:pPr>
    </w:p>
    <w:p w:rsidR="0051452C" w:rsidRDefault="0051452C" w:rsidP="00A938A5">
      <w:pPr>
        <w:numPr>
          <w:ilvl w:val="0"/>
          <w:numId w:val="36"/>
        </w:numPr>
        <w:tabs>
          <w:tab w:val="left" w:pos="360"/>
          <w:tab w:val="left" w:pos="720"/>
        </w:tabs>
        <w:ind w:left="1800" w:right="1440"/>
        <w:rPr>
          <w:sz w:val="22"/>
        </w:rPr>
      </w:pPr>
      <w:r>
        <w:rPr>
          <w:sz w:val="22"/>
        </w:rPr>
        <w:t>the applicant purchaser is acceptable to own and operate a project encumbered by a HUD-insured or HUD-held mortgage;</w:t>
      </w:r>
    </w:p>
    <w:p w:rsidR="006E192D" w:rsidRDefault="006E192D" w:rsidP="00A938A5">
      <w:pPr>
        <w:numPr>
          <w:ilvl w:val="0"/>
          <w:numId w:val="36"/>
        </w:numPr>
        <w:tabs>
          <w:tab w:val="left" w:pos="360"/>
          <w:tab w:val="left" w:pos="720"/>
        </w:tabs>
        <w:ind w:left="1800" w:right="1440"/>
        <w:jc w:val="both"/>
        <w:rPr>
          <w:sz w:val="22"/>
        </w:rPr>
      </w:pPr>
      <w:r>
        <w:rPr>
          <w:sz w:val="22"/>
        </w:rPr>
        <w:t>the project is not placed in physical, financial or managerial jeopardy by the transfer;</w:t>
      </w:r>
    </w:p>
    <w:p w:rsidR="006E192D" w:rsidRDefault="006E192D" w:rsidP="00A938A5">
      <w:pPr>
        <w:numPr>
          <w:ilvl w:val="0"/>
          <w:numId w:val="36"/>
        </w:numPr>
        <w:tabs>
          <w:tab w:val="left" w:pos="360"/>
          <w:tab w:val="left" w:pos="720"/>
        </w:tabs>
        <w:ind w:left="1800" w:right="1440"/>
        <w:jc w:val="both"/>
        <w:rPr>
          <w:sz w:val="22"/>
        </w:rPr>
      </w:pPr>
      <w:r>
        <w:rPr>
          <w:sz w:val="22"/>
        </w:rPr>
        <w:t>the changes effected at the project as a result of the transfer are not contrary to the interest of HUD and the tenants;</w:t>
      </w:r>
    </w:p>
    <w:p w:rsidR="006E192D" w:rsidRDefault="006E192D" w:rsidP="00A938A5">
      <w:pPr>
        <w:numPr>
          <w:ilvl w:val="0"/>
          <w:numId w:val="36"/>
        </w:numPr>
        <w:tabs>
          <w:tab w:val="left" w:pos="-900"/>
          <w:tab w:val="left" w:pos="-810"/>
        </w:tabs>
        <w:ind w:left="1800" w:right="1440"/>
        <w:jc w:val="both"/>
        <w:rPr>
          <w:sz w:val="22"/>
        </w:rPr>
      </w:pPr>
      <w:r>
        <w:rPr>
          <w:sz w:val="22"/>
        </w:rPr>
        <w:t>the legal and operational terms of the transfer are not in violation of the statutes, regulations, HUD policies and binding legal contracts applicable to the particular project;</w:t>
      </w:r>
    </w:p>
    <w:p w:rsidR="006E192D" w:rsidRDefault="006E192D" w:rsidP="00A938A5">
      <w:pPr>
        <w:numPr>
          <w:ilvl w:val="0"/>
          <w:numId w:val="36"/>
        </w:numPr>
        <w:tabs>
          <w:tab w:val="left" w:pos="360"/>
          <w:tab w:val="left" w:pos="720"/>
        </w:tabs>
        <w:ind w:left="1800" w:right="1440"/>
        <w:jc w:val="both"/>
        <w:rPr>
          <w:sz w:val="22"/>
        </w:rPr>
      </w:pPr>
      <w:r>
        <w:rPr>
          <w:sz w:val="22"/>
        </w:rPr>
        <w:t xml:space="preserve">the project is the recipient of its fair share of </w:t>
      </w:r>
      <w:r w:rsidR="00C059F2">
        <w:rPr>
          <w:sz w:val="22"/>
        </w:rPr>
        <w:t>any</w:t>
      </w:r>
      <w:r>
        <w:rPr>
          <w:sz w:val="22"/>
        </w:rPr>
        <w:t xml:space="preserve"> money changing hands in consideration of the transfer;</w:t>
      </w:r>
    </w:p>
    <w:p w:rsidR="006E192D" w:rsidRDefault="006E192D" w:rsidP="00A938A5">
      <w:pPr>
        <w:numPr>
          <w:ilvl w:val="0"/>
          <w:numId w:val="36"/>
        </w:numPr>
        <w:tabs>
          <w:tab w:val="left" w:pos="360"/>
          <w:tab w:val="left" w:pos="720"/>
        </w:tabs>
        <w:ind w:left="1800" w:right="1440"/>
        <w:jc w:val="both"/>
        <w:rPr>
          <w:sz w:val="22"/>
        </w:rPr>
      </w:pPr>
      <w:proofErr w:type="gramStart"/>
      <w:r>
        <w:rPr>
          <w:sz w:val="22"/>
        </w:rPr>
        <w:t>the</w:t>
      </w:r>
      <w:proofErr w:type="gramEnd"/>
      <w:r>
        <w:rPr>
          <w:sz w:val="22"/>
        </w:rPr>
        <w:t xml:space="preserve"> project and HUD are not exploited during the vulnerable period of transfer.</w:t>
      </w:r>
    </w:p>
    <w:p w:rsidR="0051452C" w:rsidRDefault="0051452C" w:rsidP="00A938A5">
      <w:pPr>
        <w:numPr>
          <w:ilvl w:val="0"/>
          <w:numId w:val="36"/>
        </w:numPr>
        <w:tabs>
          <w:tab w:val="left" w:pos="360"/>
          <w:tab w:val="left" w:pos="720"/>
        </w:tabs>
        <w:ind w:left="1800" w:right="1440"/>
        <w:rPr>
          <w:sz w:val="22"/>
        </w:rPr>
      </w:pPr>
      <w:r>
        <w:rPr>
          <w:sz w:val="22"/>
        </w:rPr>
        <w:t xml:space="preserve">The terms and conditions of the transaction are not in violation of applicable statutes, </w:t>
      </w:r>
      <w:r w:rsidR="00C059F2">
        <w:rPr>
          <w:sz w:val="22"/>
        </w:rPr>
        <w:t>r</w:t>
      </w:r>
      <w:r>
        <w:rPr>
          <w:sz w:val="22"/>
        </w:rPr>
        <w:t>egulations, and published HUD policy; and,</w:t>
      </w:r>
    </w:p>
    <w:p w:rsidR="0051452C" w:rsidRDefault="0051452C" w:rsidP="00A938A5">
      <w:pPr>
        <w:numPr>
          <w:ilvl w:val="0"/>
          <w:numId w:val="36"/>
        </w:numPr>
        <w:tabs>
          <w:tab w:val="left" w:pos="360"/>
          <w:tab w:val="left" w:pos="720"/>
        </w:tabs>
        <w:ind w:left="1800" w:right="1440"/>
        <w:rPr>
          <w:sz w:val="22"/>
        </w:rPr>
      </w:pPr>
      <w:r>
        <w:rPr>
          <w:sz w:val="22"/>
        </w:rPr>
        <w:t>The physical and financial needs of the project are adequately addressed to minimize the risk of subsequent physical deterioration and financial damage at the project.</w:t>
      </w:r>
    </w:p>
    <w:p w:rsidR="006E192D" w:rsidRDefault="006E192D">
      <w:pPr>
        <w:ind w:left="1800" w:right="1440" w:hanging="360"/>
        <w:jc w:val="both"/>
        <w:rPr>
          <w:sz w:val="22"/>
        </w:rPr>
      </w:pPr>
    </w:p>
    <w:p w:rsidR="006E192D" w:rsidRDefault="006E192D" w:rsidP="00A938A5">
      <w:pPr>
        <w:tabs>
          <w:tab w:val="left" w:pos="-900"/>
        </w:tabs>
        <w:ind w:left="720" w:right="720"/>
        <w:rPr>
          <w:sz w:val="22"/>
        </w:rPr>
      </w:pPr>
      <w:r>
        <w:rPr>
          <w:sz w:val="22"/>
        </w:rPr>
        <w:t xml:space="preserve">In order to ensure that </w:t>
      </w:r>
      <w:r w:rsidR="00C20ABB">
        <w:rPr>
          <w:sz w:val="22"/>
        </w:rPr>
        <w:t xml:space="preserve">HUD’s </w:t>
      </w:r>
      <w:r>
        <w:rPr>
          <w:sz w:val="22"/>
        </w:rPr>
        <w:t xml:space="preserve">interest is adequately protected, HUD </w:t>
      </w:r>
      <w:r w:rsidR="00C20ABB">
        <w:rPr>
          <w:sz w:val="22"/>
        </w:rPr>
        <w:t xml:space="preserve">staff </w:t>
      </w:r>
      <w:r>
        <w:rPr>
          <w:sz w:val="22"/>
        </w:rPr>
        <w:t>must review and approve the new owners and manage</w:t>
      </w:r>
      <w:r w:rsidR="00C20ABB">
        <w:rPr>
          <w:sz w:val="22"/>
        </w:rPr>
        <w:t>ment agents and</w:t>
      </w:r>
      <w:r>
        <w:rPr>
          <w:sz w:val="22"/>
        </w:rPr>
        <w:t xml:space="preserve"> must have an opportunity to review and approve the terms and conditions of proposed transfers prior to implementation.  HUD reviews each transfer of physical assets proposal for legal and administrative sufficiency.  Consequently, the </w:t>
      </w:r>
      <w:r w:rsidR="004C0E82">
        <w:rPr>
          <w:sz w:val="22"/>
        </w:rPr>
        <w:t>d</w:t>
      </w:r>
      <w:r>
        <w:rPr>
          <w:sz w:val="22"/>
        </w:rPr>
        <w:t>ocuments and information required for submission are both a legal and administrative nature.</w:t>
      </w:r>
      <w:r w:rsidR="004C0E82">
        <w:rPr>
          <w:sz w:val="22"/>
        </w:rPr>
        <w:t xml:space="preserve">  </w:t>
      </w:r>
      <w:r>
        <w:rPr>
          <w:sz w:val="22"/>
        </w:rPr>
        <w:t xml:space="preserve">The administrative information collection pursuant to </w:t>
      </w:r>
      <w:r w:rsidR="00C059F2">
        <w:rPr>
          <w:sz w:val="22"/>
        </w:rPr>
        <w:t xml:space="preserve">HUD-92266 Application for Transfer of Physical Assets </w:t>
      </w:r>
      <w:r>
        <w:rPr>
          <w:sz w:val="22"/>
        </w:rPr>
        <w:t>provides HUD with an insight into the purchaser (e.g., Purchasers Resume) and his ability to own and operate the project (e.g., HUD-2530,</w:t>
      </w:r>
      <w:r w:rsidR="004B4046">
        <w:rPr>
          <w:sz w:val="22"/>
        </w:rPr>
        <w:t xml:space="preserve"> (2502-0118)</w:t>
      </w:r>
      <w:r>
        <w:rPr>
          <w:sz w:val="22"/>
        </w:rPr>
        <w:t xml:space="preserve"> </w:t>
      </w:r>
      <w:r w:rsidR="00AC0172">
        <w:rPr>
          <w:sz w:val="22"/>
        </w:rPr>
        <w:t xml:space="preserve">and </w:t>
      </w:r>
      <w:r>
        <w:rPr>
          <w:sz w:val="22"/>
        </w:rPr>
        <w:t>Personal Financial Statement</w:t>
      </w:r>
      <w:r w:rsidR="00AC0172">
        <w:rPr>
          <w:sz w:val="22"/>
        </w:rPr>
        <w:t>s</w:t>
      </w:r>
      <w:r>
        <w:rPr>
          <w:sz w:val="22"/>
        </w:rPr>
        <w:t xml:space="preserve">).  The purchaser’s resume is particularly useful </w:t>
      </w:r>
      <w:r w:rsidR="004C0E82">
        <w:rPr>
          <w:sz w:val="22"/>
        </w:rPr>
        <w:t>and</w:t>
      </w:r>
      <w:r>
        <w:rPr>
          <w:sz w:val="22"/>
        </w:rPr>
        <w:t xml:space="preserve"> provides HUD with information concerning the purchaser experience and effectiveness in other real estate ventures.  For example, </w:t>
      </w:r>
      <w:r w:rsidR="004C0E82">
        <w:rPr>
          <w:sz w:val="22"/>
        </w:rPr>
        <w:t>if</w:t>
      </w:r>
      <w:r>
        <w:rPr>
          <w:sz w:val="22"/>
        </w:rPr>
        <w:t xml:space="preserve"> the resume of a prospective purchaser of a troubled project indicates </w:t>
      </w:r>
      <w:r w:rsidR="004C0E82">
        <w:rPr>
          <w:sz w:val="22"/>
        </w:rPr>
        <w:t xml:space="preserve">inexperience with troubled </w:t>
      </w:r>
      <w:r w:rsidR="004C0E82">
        <w:rPr>
          <w:sz w:val="22"/>
        </w:rPr>
        <w:lastRenderedPageBreak/>
        <w:t xml:space="preserve">assets, the HUD TPA review may conclude that the potential </w:t>
      </w:r>
      <w:r>
        <w:rPr>
          <w:sz w:val="22"/>
        </w:rPr>
        <w:t xml:space="preserve">purchaser </w:t>
      </w:r>
      <w:r w:rsidR="004C0E82">
        <w:rPr>
          <w:sz w:val="22"/>
        </w:rPr>
        <w:t xml:space="preserve">should utilize a management agent with </w:t>
      </w:r>
      <w:r>
        <w:rPr>
          <w:sz w:val="22"/>
        </w:rPr>
        <w:t xml:space="preserve">experienced </w:t>
      </w:r>
      <w:r w:rsidR="004C0E82">
        <w:rPr>
          <w:sz w:val="22"/>
        </w:rPr>
        <w:t>working with</w:t>
      </w:r>
      <w:r>
        <w:rPr>
          <w:sz w:val="22"/>
        </w:rPr>
        <w:t xml:space="preserve"> troubled projects.</w:t>
      </w:r>
    </w:p>
    <w:p w:rsidR="006E192D" w:rsidRDefault="006E192D">
      <w:pPr>
        <w:tabs>
          <w:tab w:val="left" w:pos="360"/>
          <w:tab w:val="left" w:pos="720"/>
        </w:tabs>
        <w:ind w:left="720" w:right="720"/>
        <w:rPr>
          <w:sz w:val="22"/>
        </w:rPr>
      </w:pPr>
    </w:p>
    <w:p w:rsidR="006E192D" w:rsidRDefault="006E192D" w:rsidP="00A938A5">
      <w:pPr>
        <w:tabs>
          <w:tab w:val="left" w:pos="-900"/>
        </w:tabs>
        <w:ind w:left="720" w:right="720"/>
        <w:rPr>
          <w:sz w:val="22"/>
        </w:rPr>
      </w:pPr>
      <w:r>
        <w:rPr>
          <w:sz w:val="22"/>
        </w:rPr>
        <w:t>The administrative information required is also essential in describing to HUD the purchaser’s plans for the project (e.g., purchaser</w:t>
      </w:r>
      <w:r w:rsidR="004C0E82">
        <w:rPr>
          <w:sz w:val="22"/>
        </w:rPr>
        <w:t>’</w:t>
      </w:r>
      <w:r>
        <w:rPr>
          <w:sz w:val="22"/>
        </w:rPr>
        <w:t xml:space="preserve">s letter, pro forms balance sheet, MIO Plan, management agreement.)  </w:t>
      </w:r>
      <w:r w:rsidR="004C0E82">
        <w:rPr>
          <w:sz w:val="22"/>
        </w:rPr>
        <w:t>T</w:t>
      </w:r>
      <w:r>
        <w:rPr>
          <w:sz w:val="22"/>
        </w:rPr>
        <w:t>he administrative information is useful to HUD is assessing the acceptability of a transfer proposal</w:t>
      </w:r>
      <w:r w:rsidR="004C0E82">
        <w:rPr>
          <w:sz w:val="22"/>
        </w:rPr>
        <w:t>, which</w:t>
      </w:r>
      <w:r>
        <w:rPr>
          <w:sz w:val="22"/>
        </w:rPr>
        <w:t xml:space="preserve"> provides HUD with the tool to </w:t>
      </w:r>
      <w:r w:rsidR="004C0E82">
        <w:rPr>
          <w:sz w:val="22"/>
        </w:rPr>
        <w:t>assess whether or not a project will be e</w:t>
      </w:r>
      <w:r>
        <w:rPr>
          <w:sz w:val="22"/>
        </w:rPr>
        <w:t>xploited by the transfer (e.g., sources and application of funds, affidavit, interim financial statements.)</w:t>
      </w:r>
      <w:r w:rsidR="004C0E82">
        <w:rPr>
          <w:sz w:val="22"/>
        </w:rPr>
        <w:t xml:space="preserve">  Additionally, the TPA includes a comparison and analysis of the </w:t>
      </w:r>
      <w:r>
        <w:rPr>
          <w:sz w:val="22"/>
        </w:rPr>
        <w:t>interim financial statement and a pro form</w:t>
      </w:r>
      <w:r w:rsidR="00AC0172">
        <w:rPr>
          <w:sz w:val="22"/>
        </w:rPr>
        <w:t>a</w:t>
      </w:r>
      <w:r>
        <w:rPr>
          <w:sz w:val="22"/>
        </w:rPr>
        <w:t xml:space="preserve"> balance sheet</w:t>
      </w:r>
      <w:r w:rsidR="004C0E82">
        <w:rPr>
          <w:sz w:val="22"/>
        </w:rPr>
        <w:t xml:space="preserve">, which can </w:t>
      </w:r>
      <w:r>
        <w:rPr>
          <w:sz w:val="22"/>
        </w:rPr>
        <w:t>reveal unauthorized, illegal</w:t>
      </w:r>
      <w:r w:rsidR="00BE7DE9">
        <w:rPr>
          <w:sz w:val="22"/>
        </w:rPr>
        <w:t>,</w:t>
      </w:r>
      <w:r>
        <w:rPr>
          <w:sz w:val="22"/>
        </w:rPr>
        <w:t xml:space="preserve"> or excessive drains on the project accounts.</w:t>
      </w:r>
    </w:p>
    <w:p w:rsidR="006E192D" w:rsidRDefault="006E192D">
      <w:pPr>
        <w:tabs>
          <w:tab w:val="left" w:pos="360"/>
          <w:tab w:val="left" w:pos="720"/>
        </w:tabs>
        <w:ind w:left="1800" w:right="1440" w:hanging="360"/>
        <w:rPr>
          <w:sz w:val="22"/>
        </w:rPr>
      </w:pPr>
    </w:p>
    <w:p w:rsidR="008F1D65" w:rsidRDefault="008F1D65" w:rsidP="0042787D">
      <w:pPr>
        <w:tabs>
          <w:tab w:val="left" w:pos="360"/>
        </w:tabs>
        <w:ind w:left="360" w:hanging="360"/>
        <w:rPr>
          <w:sz w:val="22"/>
        </w:rPr>
      </w:pPr>
    </w:p>
    <w:p w:rsidR="008F1D65" w:rsidRPr="006D54EE" w:rsidRDefault="008F1D65" w:rsidP="008F1D65">
      <w:pPr>
        <w:pStyle w:val="ListParagraph"/>
        <w:numPr>
          <w:ilvl w:val="0"/>
          <w:numId w:val="37"/>
        </w:numPr>
      </w:pPr>
      <w:r w:rsidRPr="00D533F9">
        <w:rPr>
          <w:b/>
        </w:rPr>
        <w:t>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F1D65" w:rsidRDefault="008F1D65" w:rsidP="0042787D">
      <w:pPr>
        <w:tabs>
          <w:tab w:val="left" w:pos="360"/>
        </w:tabs>
        <w:ind w:left="360" w:hanging="360"/>
        <w:rPr>
          <w:sz w:val="22"/>
        </w:rPr>
      </w:pPr>
    </w:p>
    <w:p w:rsidR="006E192D" w:rsidRDefault="00A07384" w:rsidP="00A938A5">
      <w:pPr>
        <w:tabs>
          <w:tab w:val="left" w:pos="-900"/>
        </w:tabs>
        <w:ind w:left="720"/>
        <w:rPr>
          <w:sz w:val="22"/>
        </w:rPr>
      </w:pPr>
      <w:r w:rsidRPr="00A07384">
        <w:rPr>
          <w:sz w:val="22"/>
        </w:rPr>
        <w:t>Th</w:t>
      </w:r>
      <w:r>
        <w:rPr>
          <w:sz w:val="22"/>
        </w:rPr>
        <w:t xml:space="preserve">is collection will not be automated due to the collection of documents necessary for this submission.  </w:t>
      </w:r>
      <w:r w:rsidR="006E192D">
        <w:rPr>
          <w:sz w:val="22"/>
        </w:rPr>
        <w:t xml:space="preserve">The </w:t>
      </w:r>
      <w:r>
        <w:rPr>
          <w:sz w:val="22"/>
        </w:rPr>
        <w:t xml:space="preserve">transfer of physical assets </w:t>
      </w:r>
      <w:r w:rsidR="006E192D">
        <w:rPr>
          <w:sz w:val="22"/>
        </w:rPr>
        <w:t xml:space="preserve">process requires </w:t>
      </w:r>
      <w:r w:rsidR="003D2EAC">
        <w:rPr>
          <w:sz w:val="22"/>
        </w:rPr>
        <w:t>submi</w:t>
      </w:r>
      <w:r>
        <w:rPr>
          <w:sz w:val="22"/>
        </w:rPr>
        <w:t>tting</w:t>
      </w:r>
      <w:r w:rsidR="003D2EAC">
        <w:rPr>
          <w:sz w:val="22"/>
        </w:rPr>
        <w:t xml:space="preserve"> </w:t>
      </w:r>
      <w:r w:rsidR="006E192D">
        <w:rPr>
          <w:sz w:val="22"/>
        </w:rPr>
        <w:t xml:space="preserve">several documents </w:t>
      </w:r>
      <w:r w:rsidR="003D2EAC">
        <w:rPr>
          <w:sz w:val="22"/>
        </w:rPr>
        <w:t xml:space="preserve">to HUD </w:t>
      </w:r>
      <w:r>
        <w:rPr>
          <w:sz w:val="22"/>
        </w:rPr>
        <w:t xml:space="preserve">in support of the transaction </w:t>
      </w:r>
      <w:r w:rsidR="006E192D">
        <w:rPr>
          <w:sz w:val="22"/>
        </w:rPr>
        <w:t>including</w:t>
      </w:r>
      <w:r>
        <w:rPr>
          <w:sz w:val="22"/>
        </w:rPr>
        <w:t>,</w:t>
      </w:r>
      <w:r w:rsidR="006E192D">
        <w:rPr>
          <w:sz w:val="22"/>
        </w:rPr>
        <w:t xml:space="preserve"> but not limited to</w:t>
      </w:r>
      <w:r>
        <w:rPr>
          <w:sz w:val="22"/>
        </w:rPr>
        <w:t>,</w:t>
      </w:r>
      <w:r w:rsidR="006E192D">
        <w:rPr>
          <w:sz w:val="22"/>
        </w:rPr>
        <w:t xml:space="preserve"> the purchaser’s letter, purchaser’s certificate of previous participation (HUD-2530),</w:t>
      </w:r>
      <w:r w:rsidR="003D2EAC">
        <w:rPr>
          <w:sz w:val="22"/>
        </w:rPr>
        <w:t xml:space="preserve"> </w:t>
      </w:r>
      <w:r w:rsidR="006E192D">
        <w:rPr>
          <w:sz w:val="22"/>
        </w:rPr>
        <w:t xml:space="preserve">purchaser’s resume, sources and uses of funds, executed but unrecorded sale contract, option contract or land contract, unaudited financial statement, title report, etc.  </w:t>
      </w:r>
      <w:r w:rsidR="003E5D01">
        <w:rPr>
          <w:sz w:val="22"/>
        </w:rPr>
        <w:t xml:space="preserve">In addition, </w:t>
      </w:r>
      <w:r>
        <w:rPr>
          <w:sz w:val="22"/>
        </w:rPr>
        <w:t xml:space="preserve">HUD </w:t>
      </w:r>
      <w:r w:rsidR="003E5D01">
        <w:rPr>
          <w:sz w:val="22"/>
        </w:rPr>
        <w:t xml:space="preserve">previously </w:t>
      </w:r>
      <w:r>
        <w:rPr>
          <w:sz w:val="22"/>
        </w:rPr>
        <w:t>reported that 10% of this transaction was a</w:t>
      </w:r>
      <w:r w:rsidR="003D2EAC">
        <w:rPr>
          <w:sz w:val="22"/>
        </w:rPr>
        <w:t>u</w:t>
      </w:r>
      <w:r w:rsidR="00BD033B">
        <w:rPr>
          <w:sz w:val="22"/>
        </w:rPr>
        <w:t xml:space="preserve">tomated </w:t>
      </w:r>
      <w:r>
        <w:rPr>
          <w:sz w:val="22"/>
        </w:rPr>
        <w:t xml:space="preserve">based on </w:t>
      </w:r>
      <w:r w:rsidR="00BD033B">
        <w:rPr>
          <w:sz w:val="22"/>
        </w:rPr>
        <w:t>the HUD-2530</w:t>
      </w:r>
      <w:r>
        <w:rPr>
          <w:sz w:val="22"/>
        </w:rPr>
        <w:t xml:space="preserve"> requirement</w:t>
      </w:r>
      <w:r w:rsidR="00BD033B">
        <w:rPr>
          <w:sz w:val="22"/>
        </w:rPr>
        <w:t xml:space="preserve">, which </w:t>
      </w:r>
      <w:r>
        <w:rPr>
          <w:sz w:val="22"/>
        </w:rPr>
        <w:t>was mandated as a 100% electronic submission process t</w:t>
      </w:r>
      <w:r w:rsidR="00BD033B">
        <w:rPr>
          <w:sz w:val="22"/>
        </w:rPr>
        <w:t>hrough the Active Partners Performance System (APPS)</w:t>
      </w:r>
      <w:r w:rsidR="003D2EAC">
        <w:rPr>
          <w:sz w:val="22"/>
        </w:rPr>
        <w:t>.</w:t>
      </w:r>
      <w:r>
        <w:rPr>
          <w:sz w:val="22"/>
        </w:rPr>
        <w:t xml:space="preserve">  In July 2007, the requirement to submit HUD-2530s electronically was retracted and now allows HUD’s industry partners to submit using APPS or manually using the HUD-2530 form.  This change resulted from industry concerns that were elevated to Congress and as a result, HUD’s </w:t>
      </w:r>
      <w:r w:rsidR="004D36D1">
        <w:rPr>
          <w:sz w:val="22"/>
        </w:rPr>
        <w:t xml:space="preserve">100% </w:t>
      </w:r>
      <w:r>
        <w:rPr>
          <w:sz w:val="22"/>
        </w:rPr>
        <w:t xml:space="preserve">electronic </w:t>
      </w:r>
      <w:r w:rsidR="004D36D1">
        <w:rPr>
          <w:sz w:val="22"/>
        </w:rPr>
        <w:t>submission requirement for HUD-2530s was overturned.</w:t>
      </w:r>
    </w:p>
    <w:p w:rsidR="006E192D" w:rsidRDefault="006E192D">
      <w:pPr>
        <w:tabs>
          <w:tab w:val="left" w:pos="360"/>
        </w:tabs>
        <w:rPr>
          <w:sz w:val="22"/>
        </w:rPr>
      </w:pPr>
    </w:p>
    <w:p w:rsidR="008F1D65" w:rsidRDefault="008F1D65" w:rsidP="0042787D">
      <w:pPr>
        <w:tabs>
          <w:tab w:val="left" w:pos="360"/>
        </w:tabs>
        <w:ind w:left="360" w:hanging="360"/>
        <w:rPr>
          <w:sz w:val="22"/>
        </w:rPr>
      </w:pPr>
    </w:p>
    <w:p w:rsidR="008F1D65" w:rsidRPr="006D54EE" w:rsidRDefault="008F1D65" w:rsidP="008F1D65">
      <w:pPr>
        <w:pStyle w:val="ListParagraph"/>
        <w:numPr>
          <w:ilvl w:val="0"/>
          <w:numId w:val="37"/>
        </w:numPr>
      </w:pPr>
      <w:r w:rsidRPr="00D533F9">
        <w:rPr>
          <w:b/>
        </w:rPr>
        <w:t>Describe efforts to identify duplication.  Show specifically why any similar information already available cannot be used or modified for use for the purposes described in Item 2 above.</w:t>
      </w:r>
    </w:p>
    <w:p w:rsidR="008F1D65" w:rsidRDefault="008F1D65" w:rsidP="0042787D">
      <w:pPr>
        <w:tabs>
          <w:tab w:val="left" w:pos="360"/>
        </w:tabs>
        <w:ind w:left="360" w:hanging="360"/>
        <w:rPr>
          <w:sz w:val="22"/>
        </w:rPr>
      </w:pPr>
    </w:p>
    <w:p w:rsidR="006E192D" w:rsidRDefault="00CC788D" w:rsidP="00A938A5">
      <w:pPr>
        <w:tabs>
          <w:tab w:val="left" w:pos="-720"/>
        </w:tabs>
        <w:ind w:left="720"/>
        <w:rPr>
          <w:sz w:val="22"/>
        </w:rPr>
      </w:pPr>
      <w:r>
        <w:rPr>
          <w:sz w:val="22"/>
        </w:rPr>
        <w:t xml:space="preserve">Currently, there are no similar collection </w:t>
      </w:r>
      <w:proofErr w:type="gramStart"/>
      <w:r>
        <w:rPr>
          <w:sz w:val="22"/>
        </w:rPr>
        <w:t>efforts,</w:t>
      </w:r>
      <w:proofErr w:type="gramEnd"/>
      <w:r>
        <w:rPr>
          <w:sz w:val="22"/>
        </w:rPr>
        <w:t xml:space="preserve"> therefore this collection does not duplicate other currently approved efforts.</w:t>
      </w:r>
    </w:p>
    <w:p w:rsidR="006E192D" w:rsidRDefault="006E192D">
      <w:pPr>
        <w:tabs>
          <w:tab w:val="left" w:pos="360"/>
          <w:tab w:val="left" w:pos="720"/>
        </w:tabs>
        <w:ind w:left="720" w:right="720"/>
        <w:rPr>
          <w:sz w:val="22"/>
        </w:rPr>
      </w:pPr>
    </w:p>
    <w:p w:rsidR="008F1D65" w:rsidRPr="006D54EE" w:rsidRDefault="008F1D65" w:rsidP="008F1D65">
      <w:pPr>
        <w:pStyle w:val="ListParagraph"/>
        <w:numPr>
          <w:ilvl w:val="0"/>
          <w:numId w:val="37"/>
        </w:numPr>
      </w:pPr>
      <w:r w:rsidRPr="00D533F9">
        <w:rPr>
          <w:b/>
        </w:rPr>
        <w:t>If the collection of information impacts small businesses or other small entities (Item 5 of OMB form 83-I) describe any methods used to minimize burden.</w:t>
      </w:r>
    </w:p>
    <w:p w:rsidR="006E192D" w:rsidRDefault="006E192D">
      <w:pPr>
        <w:tabs>
          <w:tab w:val="left" w:pos="360"/>
        </w:tabs>
        <w:ind w:left="360" w:hanging="360"/>
        <w:rPr>
          <w:sz w:val="22"/>
        </w:rPr>
      </w:pPr>
    </w:p>
    <w:p w:rsidR="006E192D" w:rsidRDefault="006E192D" w:rsidP="00A938A5">
      <w:pPr>
        <w:tabs>
          <w:tab w:val="left" w:pos="-810"/>
        </w:tabs>
        <w:ind w:left="720"/>
        <w:rPr>
          <w:bCs/>
          <w:sz w:val="22"/>
        </w:rPr>
      </w:pPr>
      <w:r>
        <w:rPr>
          <w:bCs/>
          <w:sz w:val="22"/>
        </w:rPr>
        <w:t>The collection of this information does not impact small businesses or other small entities.</w:t>
      </w:r>
    </w:p>
    <w:p w:rsidR="006E192D" w:rsidRDefault="006E192D">
      <w:pPr>
        <w:tabs>
          <w:tab w:val="left" w:pos="360"/>
        </w:tabs>
        <w:ind w:left="360" w:hanging="360"/>
        <w:rPr>
          <w:sz w:val="22"/>
        </w:rPr>
      </w:pPr>
    </w:p>
    <w:p w:rsidR="008F1D65" w:rsidRDefault="008F1D65" w:rsidP="008F1D65">
      <w:pPr>
        <w:pStyle w:val="ListParagraph"/>
        <w:numPr>
          <w:ilvl w:val="0"/>
          <w:numId w:val="37"/>
        </w:numPr>
        <w:rPr>
          <w:b/>
        </w:rPr>
      </w:pPr>
      <w:r w:rsidRPr="00D533F9">
        <w:rPr>
          <w:b/>
        </w:rPr>
        <w:t>Describe the consequence to Federal program or policy activities if the collection is not conducted or is conducted less frequently, as well as any technical or legal obstacles to reducing burden.</w:t>
      </w:r>
    </w:p>
    <w:p w:rsidR="008F1D65" w:rsidRDefault="008F1D65" w:rsidP="0042787D">
      <w:pPr>
        <w:tabs>
          <w:tab w:val="left" w:pos="360"/>
        </w:tabs>
        <w:ind w:left="360" w:hanging="360"/>
        <w:rPr>
          <w:sz w:val="22"/>
        </w:rPr>
      </w:pPr>
    </w:p>
    <w:p w:rsidR="006E192D" w:rsidRDefault="006E192D" w:rsidP="00A938A5">
      <w:pPr>
        <w:tabs>
          <w:tab w:val="left" w:pos="-810"/>
        </w:tabs>
        <w:ind w:left="720"/>
        <w:rPr>
          <w:sz w:val="22"/>
        </w:rPr>
      </w:pPr>
      <w:r>
        <w:rPr>
          <w:sz w:val="22"/>
        </w:rPr>
        <w:t xml:space="preserve">If this information were collected less frequently, HUD </w:t>
      </w:r>
      <w:r w:rsidR="006B792D">
        <w:rPr>
          <w:sz w:val="22"/>
        </w:rPr>
        <w:t xml:space="preserve">would fail to </w:t>
      </w:r>
      <w:r>
        <w:rPr>
          <w:sz w:val="22"/>
        </w:rPr>
        <w:t xml:space="preserve">closely monitor the operation of </w:t>
      </w:r>
      <w:r w:rsidR="006B792D">
        <w:rPr>
          <w:sz w:val="22"/>
        </w:rPr>
        <w:t xml:space="preserve">its multifamily housing </w:t>
      </w:r>
      <w:r>
        <w:rPr>
          <w:sz w:val="22"/>
        </w:rPr>
        <w:t>portfolio</w:t>
      </w:r>
      <w:r w:rsidR="006B792D">
        <w:rPr>
          <w:sz w:val="22"/>
        </w:rPr>
        <w:t xml:space="preserve"> resulting in a significant risk to the FHA</w:t>
      </w:r>
      <w:r>
        <w:rPr>
          <w:sz w:val="22"/>
        </w:rPr>
        <w:t xml:space="preserve"> insurance fund.</w:t>
      </w:r>
    </w:p>
    <w:p w:rsidR="006E192D" w:rsidRDefault="006E192D">
      <w:pPr>
        <w:tabs>
          <w:tab w:val="left" w:pos="360"/>
        </w:tabs>
        <w:rPr>
          <w:sz w:val="22"/>
        </w:rPr>
      </w:pPr>
    </w:p>
    <w:p w:rsidR="008F1D65" w:rsidRPr="006D54EE" w:rsidRDefault="008F1D65" w:rsidP="008F1D65">
      <w:pPr>
        <w:pStyle w:val="Heading1"/>
        <w:numPr>
          <w:ilvl w:val="0"/>
          <w:numId w:val="37"/>
        </w:numPr>
        <w:rPr>
          <w:rFonts w:ascii="Times New Roman" w:hAnsi="Times New Roman"/>
          <w:bCs/>
          <w:sz w:val="24"/>
        </w:rPr>
      </w:pPr>
      <w:r w:rsidRPr="006D54EE">
        <w:rPr>
          <w:rFonts w:ascii="Times New Roman" w:hAnsi="Times New Roman"/>
          <w:sz w:val="24"/>
        </w:rPr>
        <w:t>Explain any special circumstances that would cause an information collection to be conducted in a manner:</w:t>
      </w:r>
    </w:p>
    <w:p w:rsidR="008F1D65" w:rsidRPr="006D54EE" w:rsidRDefault="008F1D65" w:rsidP="008F1D65">
      <w:pPr>
        <w:pStyle w:val="Heading1"/>
        <w:ind w:left="810" w:hanging="450"/>
        <w:rPr>
          <w:rFonts w:ascii="Times New Roman" w:hAnsi="Times New Roman"/>
          <w:bCs/>
          <w:sz w:val="24"/>
        </w:rPr>
      </w:pPr>
      <w:r w:rsidRPr="006D54EE">
        <w:rPr>
          <w:rFonts w:ascii="Times New Roman" w:hAnsi="Times New Roman"/>
          <w:sz w:val="24"/>
        </w:rPr>
        <w:t>•</w:t>
      </w:r>
      <w:r w:rsidRPr="006D54EE">
        <w:rPr>
          <w:rFonts w:ascii="Times New Roman" w:hAnsi="Times New Roman"/>
          <w:sz w:val="24"/>
        </w:rPr>
        <w:tab/>
      </w:r>
      <w:proofErr w:type="gramStart"/>
      <w:r w:rsidRPr="006D54EE">
        <w:rPr>
          <w:rFonts w:ascii="Times New Roman" w:hAnsi="Times New Roman"/>
          <w:sz w:val="24"/>
        </w:rPr>
        <w:t>requiring</w:t>
      </w:r>
      <w:proofErr w:type="gramEnd"/>
      <w:r w:rsidRPr="006D54EE">
        <w:rPr>
          <w:rFonts w:ascii="Times New Roman" w:hAnsi="Times New Roman"/>
          <w:sz w:val="24"/>
        </w:rPr>
        <w:t xml:space="preserve"> respondents to report information to the agency more than quarterly;</w:t>
      </w:r>
    </w:p>
    <w:p w:rsidR="008F1D65" w:rsidRDefault="008F1D65" w:rsidP="0042787D">
      <w:pPr>
        <w:tabs>
          <w:tab w:val="left" w:pos="600"/>
        </w:tabs>
        <w:rPr>
          <w:sz w:val="22"/>
        </w:rPr>
      </w:pPr>
    </w:p>
    <w:p w:rsidR="006E192D" w:rsidRDefault="006E192D" w:rsidP="00A938A5">
      <w:pPr>
        <w:tabs>
          <w:tab w:val="left" w:pos="-900"/>
        </w:tabs>
        <w:ind w:left="720"/>
        <w:rPr>
          <w:sz w:val="22"/>
        </w:rPr>
      </w:pPr>
      <w:r>
        <w:rPr>
          <w:sz w:val="22"/>
        </w:rPr>
        <w:t>There is no requirement for respondents to report the information more than quarterly.</w:t>
      </w:r>
    </w:p>
    <w:p w:rsidR="008F1D65" w:rsidRDefault="008F1D65" w:rsidP="008F1D65">
      <w:pPr>
        <w:pStyle w:val="Heading1"/>
        <w:ind w:left="720" w:hanging="360"/>
        <w:rPr>
          <w:rFonts w:ascii="Times New Roman" w:hAnsi="Times New Roman"/>
          <w:sz w:val="24"/>
        </w:rPr>
      </w:pPr>
    </w:p>
    <w:p w:rsidR="008F1D65" w:rsidRPr="006D54EE" w:rsidRDefault="008F1D65" w:rsidP="008F1D65">
      <w:pPr>
        <w:pStyle w:val="Heading1"/>
        <w:ind w:left="720" w:hanging="360"/>
        <w:rPr>
          <w:rFonts w:ascii="Times New Roman" w:hAnsi="Times New Roman"/>
          <w:bCs/>
          <w:sz w:val="24"/>
        </w:rPr>
      </w:pPr>
      <w:r w:rsidRPr="006D54EE">
        <w:rPr>
          <w:rFonts w:ascii="Times New Roman" w:hAnsi="Times New Roman"/>
          <w:sz w:val="24"/>
        </w:rPr>
        <w:t>•</w:t>
      </w:r>
      <w:r w:rsidRPr="006D54EE">
        <w:rPr>
          <w:rFonts w:ascii="Times New Roman" w:hAnsi="Times New Roman"/>
          <w:sz w:val="24"/>
        </w:rPr>
        <w:tab/>
      </w:r>
      <w:proofErr w:type="gramStart"/>
      <w:r w:rsidRPr="006D54EE">
        <w:rPr>
          <w:rFonts w:ascii="Times New Roman" w:hAnsi="Times New Roman"/>
          <w:sz w:val="24"/>
        </w:rPr>
        <w:t>requiring</w:t>
      </w:r>
      <w:proofErr w:type="gramEnd"/>
      <w:r w:rsidRPr="006D54EE">
        <w:rPr>
          <w:rFonts w:ascii="Times New Roman" w:hAnsi="Times New Roman"/>
          <w:sz w:val="24"/>
        </w:rPr>
        <w:t xml:space="preserve"> respondents to prepare a written response to a collection of information in fewer than 30 days after receipt of it;</w:t>
      </w:r>
    </w:p>
    <w:p w:rsidR="008F1D65" w:rsidRDefault="008F1D65" w:rsidP="0042787D">
      <w:pPr>
        <w:tabs>
          <w:tab w:val="left" w:pos="600"/>
        </w:tabs>
        <w:ind w:left="600"/>
        <w:rPr>
          <w:sz w:val="22"/>
        </w:rPr>
      </w:pPr>
    </w:p>
    <w:p w:rsidR="006E192D" w:rsidRDefault="006E192D" w:rsidP="00A938A5">
      <w:pPr>
        <w:tabs>
          <w:tab w:val="left" w:pos="-810"/>
        </w:tabs>
        <w:ind w:left="720"/>
        <w:rPr>
          <w:sz w:val="22"/>
        </w:rPr>
      </w:pPr>
      <w:r>
        <w:rPr>
          <w:sz w:val="22"/>
        </w:rPr>
        <w:lastRenderedPageBreak/>
        <w:t>There is no requirement for respondents to prepare a written response to a collection in fewer than 30 days.</w:t>
      </w:r>
    </w:p>
    <w:p w:rsidR="008F1D65" w:rsidRDefault="008F1D65" w:rsidP="0042787D">
      <w:pPr>
        <w:tabs>
          <w:tab w:val="left" w:pos="600"/>
        </w:tabs>
        <w:ind w:left="600"/>
        <w:rPr>
          <w:sz w:val="22"/>
        </w:rPr>
      </w:pPr>
    </w:p>
    <w:p w:rsidR="008F1D65" w:rsidRPr="006D54EE" w:rsidRDefault="008F1D65" w:rsidP="008F1D65">
      <w:pPr>
        <w:pStyle w:val="Heading1"/>
        <w:ind w:left="720" w:hanging="360"/>
        <w:rPr>
          <w:rFonts w:ascii="Times New Roman" w:hAnsi="Times New Roman"/>
          <w:bCs/>
          <w:sz w:val="24"/>
        </w:rPr>
      </w:pPr>
      <w:r w:rsidRPr="006D54EE">
        <w:rPr>
          <w:rFonts w:ascii="Times New Roman" w:hAnsi="Times New Roman"/>
          <w:sz w:val="24"/>
        </w:rPr>
        <w:t>•</w:t>
      </w:r>
      <w:r w:rsidRPr="006D54EE">
        <w:rPr>
          <w:rFonts w:ascii="Times New Roman" w:hAnsi="Times New Roman"/>
          <w:sz w:val="24"/>
        </w:rPr>
        <w:tab/>
      </w:r>
      <w:proofErr w:type="gramStart"/>
      <w:r w:rsidRPr="006D54EE">
        <w:rPr>
          <w:rFonts w:ascii="Times New Roman" w:hAnsi="Times New Roman"/>
          <w:sz w:val="24"/>
        </w:rPr>
        <w:t>requiring</w:t>
      </w:r>
      <w:proofErr w:type="gramEnd"/>
      <w:r w:rsidRPr="006D54EE">
        <w:rPr>
          <w:rFonts w:ascii="Times New Roman" w:hAnsi="Times New Roman"/>
          <w:sz w:val="24"/>
        </w:rPr>
        <w:t xml:space="preserve"> respondents to submit more than an original and two copies of any document;</w:t>
      </w:r>
    </w:p>
    <w:p w:rsidR="008F1D65" w:rsidRDefault="008F1D65" w:rsidP="0042787D">
      <w:pPr>
        <w:tabs>
          <w:tab w:val="left" w:pos="600"/>
        </w:tabs>
        <w:ind w:left="600"/>
        <w:rPr>
          <w:sz w:val="22"/>
        </w:rPr>
      </w:pPr>
    </w:p>
    <w:p w:rsidR="006E192D" w:rsidRDefault="006E192D" w:rsidP="00A938A5">
      <w:pPr>
        <w:tabs>
          <w:tab w:val="left" w:pos="-990"/>
        </w:tabs>
        <w:ind w:left="720"/>
        <w:rPr>
          <w:sz w:val="22"/>
        </w:rPr>
      </w:pPr>
      <w:r>
        <w:rPr>
          <w:sz w:val="22"/>
        </w:rPr>
        <w:t>There is no requirement requiring respondents to submit more than an original and two copies of any document.</w:t>
      </w:r>
    </w:p>
    <w:p w:rsidR="008F1D65" w:rsidRDefault="008F1D65" w:rsidP="0042787D">
      <w:pPr>
        <w:tabs>
          <w:tab w:val="left" w:pos="600"/>
        </w:tabs>
        <w:ind w:left="600"/>
        <w:rPr>
          <w:sz w:val="22"/>
        </w:rPr>
      </w:pPr>
    </w:p>
    <w:p w:rsidR="008F1D65" w:rsidRPr="006D54EE" w:rsidRDefault="008F1D65" w:rsidP="008F1D65">
      <w:pPr>
        <w:pStyle w:val="Heading1"/>
        <w:ind w:left="630" w:hanging="270"/>
        <w:rPr>
          <w:rFonts w:ascii="Times New Roman" w:hAnsi="Times New Roman"/>
          <w:bCs/>
          <w:sz w:val="24"/>
        </w:rPr>
      </w:pPr>
      <w:r w:rsidRPr="006D54EE">
        <w:rPr>
          <w:rFonts w:ascii="Times New Roman" w:hAnsi="Times New Roman"/>
          <w:sz w:val="24"/>
        </w:rPr>
        <w:t>•</w:t>
      </w:r>
      <w:r w:rsidRPr="006D54EE">
        <w:rPr>
          <w:rFonts w:ascii="Times New Roman" w:hAnsi="Times New Roman"/>
          <w:sz w:val="24"/>
        </w:rPr>
        <w:tab/>
        <w:t>requiring respondents to retain records other than health, medical, government contract, grant-in-aid, or tax records for more than three years;</w:t>
      </w:r>
    </w:p>
    <w:p w:rsidR="008F1D65" w:rsidRDefault="008F1D65" w:rsidP="0042787D">
      <w:pPr>
        <w:tabs>
          <w:tab w:val="left" w:pos="600"/>
        </w:tabs>
        <w:ind w:left="600"/>
        <w:rPr>
          <w:sz w:val="22"/>
        </w:rPr>
      </w:pPr>
    </w:p>
    <w:p w:rsidR="006E192D" w:rsidRDefault="006E192D" w:rsidP="00A938A5">
      <w:pPr>
        <w:ind w:left="720"/>
        <w:rPr>
          <w:sz w:val="22"/>
        </w:rPr>
      </w:pPr>
      <w:r>
        <w:rPr>
          <w:sz w:val="22"/>
        </w:rPr>
        <w:t xml:space="preserve">There is no requirement for respondents to retain records other than health, medical, government contract, grant-in-aid, or tax records for more than three years.  </w:t>
      </w:r>
    </w:p>
    <w:p w:rsidR="008F1D65" w:rsidRDefault="008F1D65" w:rsidP="0042787D">
      <w:pPr>
        <w:tabs>
          <w:tab w:val="left" w:pos="600"/>
        </w:tabs>
        <w:ind w:left="600"/>
        <w:rPr>
          <w:sz w:val="22"/>
        </w:rPr>
      </w:pPr>
    </w:p>
    <w:p w:rsidR="008F1D65" w:rsidRPr="006D54EE" w:rsidRDefault="008F1D65" w:rsidP="008F1D65">
      <w:pPr>
        <w:pStyle w:val="Heading1"/>
        <w:ind w:left="720" w:hanging="360"/>
        <w:rPr>
          <w:rFonts w:ascii="Times New Roman" w:hAnsi="Times New Roman"/>
          <w:bCs/>
          <w:sz w:val="24"/>
        </w:rPr>
      </w:pPr>
      <w:r w:rsidRPr="006D54EE">
        <w:rPr>
          <w:rFonts w:ascii="Times New Roman" w:hAnsi="Times New Roman"/>
          <w:sz w:val="24"/>
        </w:rPr>
        <w:t>•</w:t>
      </w:r>
      <w:r w:rsidRPr="006D54EE">
        <w:rPr>
          <w:rFonts w:ascii="Times New Roman" w:hAnsi="Times New Roman"/>
          <w:sz w:val="24"/>
        </w:rPr>
        <w:tab/>
      </w:r>
      <w:proofErr w:type="gramStart"/>
      <w:r w:rsidRPr="006D54EE">
        <w:rPr>
          <w:rFonts w:ascii="Times New Roman" w:hAnsi="Times New Roman"/>
          <w:sz w:val="24"/>
        </w:rPr>
        <w:t>in</w:t>
      </w:r>
      <w:proofErr w:type="gramEnd"/>
      <w:r w:rsidRPr="006D54EE">
        <w:rPr>
          <w:rFonts w:ascii="Times New Roman" w:hAnsi="Times New Roman"/>
          <w:sz w:val="24"/>
        </w:rPr>
        <w:t xml:space="preserve"> connection with a statistical survey, that is not designed to produce valid and reliable results than can be generalized to the universe of study;</w:t>
      </w:r>
    </w:p>
    <w:p w:rsidR="008F1D65" w:rsidRDefault="008F1D65" w:rsidP="0042787D">
      <w:pPr>
        <w:tabs>
          <w:tab w:val="left" w:pos="600"/>
        </w:tabs>
        <w:ind w:left="600"/>
        <w:rPr>
          <w:sz w:val="22"/>
        </w:rPr>
      </w:pPr>
    </w:p>
    <w:p w:rsidR="006E192D" w:rsidRDefault="006E192D" w:rsidP="00A938A5">
      <w:pPr>
        <w:tabs>
          <w:tab w:val="left" w:pos="-900"/>
        </w:tabs>
        <w:ind w:left="720"/>
        <w:rPr>
          <w:sz w:val="22"/>
        </w:rPr>
      </w:pPr>
      <w:r>
        <w:rPr>
          <w:sz w:val="22"/>
        </w:rPr>
        <w:t xml:space="preserve">This collection is not </w:t>
      </w:r>
      <w:r w:rsidR="00AC0172">
        <w:rPr>
          <w:sz w:val="22"/>
        </w:rPr>
        <w:t xml:space="preserve">produced </w:t>
      </w:r>
      <w:r>
        <w:rPr>
          <w:sz w:val="22"/>
        </w:rPr>
        <w:t>in connection with a statistical survey.</w:t>
      </w:r>
    </w:p>
    <w:p w:rsidR="008F1D65" w:rsidRDefault="008F1D65" w:rsidP="0042787D">
      <w:pPr>
        <w:tabs>
          <w:tab w:val="left" w:pos="600"/>
        </w:tabs>
        <w:ind w:left="600"/>
        <w:rPr>
          <w:sz w:val="22"/>
        </w:rPr>
      </w:pPr>
    </w:p>
    <w:p w:rsidR="008F1D65" w:rsidRPr="006D54EE" w:rsidRDefault="008F1D65" w:rsidP="008F1D65">
      <w:pPr>
        <w:pStyle w:val="Heading1"/>
        <w:ind w:left="720" w:hanging="360"/>
        <w:rPr>
          <w:rFonts w:ascii="Times New Roman" w:hAnsi="Times New Roman"/>
          <w:bCs/>
          <w:sz w:val="24"/>
        </w:rPr>
      </w:pPr>
      <w:r w:rsidRPr="006D54EE">
        <w:rPr>
          <w:rFonts w:ascii="Times New Roman" w:hAnsi="Times New Roman"/>
          <w:sz w:val="24"/>
        </w:rPr>
        <w:t>•</w:t>
      </w:r>
      <w:r w:rsidRPr="006D54EE">
        <w:rPr>
          <w:rFonts w:ascii="Times New Roman" w:hAnsi="Times New Roman"/>
          <w:sz w:val="24"/>
        </w:rPr>
        <w:tab/>
        <w:t>requiring the use of a statistical data classification that has not been reviewed and approved by OMB;</w:t>
      </w:r>
    </w:p>
    <w:p w:rsidR="008F1D65" w:rsidRDefault="008F1D65" w:rsidP="0042787D">
      <w:pPr>
        <w:tabs>
          <w:tab w:val="left" w:pos="600"/>
        </w:tabs>
        <w:ind w:left="600"/>
        <w:rPr>
          <w:sz w:val="22"/>
        </w:rPr>
      </w:pPr>
    </w:p>
    <w:p w:rsidR="006E192D" w:rsidRDefault="006E192D" w:rsidP="00A938A5">
      <w:pPr>
        <w:tabs>
          <w:tab w:val="left" w:pos="-900"/>
        </w:tabs>
        <w:ind w:left="720"/>
        <w:rPr>
          <w:sz w:val="22"/>
        </w:rPr>
      </w:pPr>
      <w:r>
        <w:rPr>
          <w:sz w:val="22"/>
        </w:rPr>
        <w:t>There is no use of a statistical data classification.</w:t>
      </w:r>
    </w:p>
    <w:p w:rsidR="008F1D65" w:rsidRDefault="008F1D65" w:rsidP="0042787D">
      <w:pPr>
        <w:tabs>
          <w:tab w:val="left" w:pos="600"/>
        </w:tabs>
        <w:ind w:left="600"/>
        <w:rPr>
          <w:sz w:val="22"/>
        </w:rPr>
      </w:pPr>
    </w:p>
    <w:p w:rsidR="008F1D65" w:rsidRPr="006D54EE" w:rsidRDefault="008F1D65" w:rsidP="008F1D65">
      <w:pPr>
        <w:pStyle w:val="Heading1"/>
        <w:ind w:left="720" w:hanging="360"/>
        <w:rPr>
          <w:rFonts w:ascii="Times New Roman" w:hAnsi="Times New Roman"/>
          <w:bCs/>
          <w:sz w:val="24"/>
        </w:rPr>
      </w:pPr>
      <w:r w:rsidRPr="006D54EE">
        <w:rPr>
          <w:rFonts w:ascii="Times New Roman" w:hAnsi="Times New Roman"/>
          <w:sz w:val="24"/>
        </w:rPr>
        <w:t>•</w:t>
      </w:r>
      <w:r w:rsidRPr="006D54EE">
        <w:rPr>
          <w:rFonts w:ascii="Times New Roman" w:hAnsi="Times New Roman"/>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F1D65" w:rsidRDefault="008F1D65" w:rsidP="0042787D">
      <w:pPr>
        <w:tabs>
          <w:tab w:val="left" w:pos="600"/>
        </w:tabs>
        <w:ind w:left="600"/>
        <w:rPr>
          <w:sz w:val="22"/>
        </w:rPr>
      </w:pPr>
    </w:p>
    <w:p w:rsidR="006E192D" w:rsidRDefault="006E192D" w:rsidP="00A938A5">
      <w:pPr>
        <w:tabs>
          <w:tab w:val="left" w:pos="-900"/>
        </w:tabs>
        <w:ind w:left="720"/>
        <w:rPr>
          <w:sz w:val="22"/>
        </w:rPr>
      </w:pPr>
      <w:r>
        <w:rPr>
          <w:sz w:val="22"/>
        </w:rPr>
        <w:t>There is no pledge of confidentiality that is not supported by authority established in statute or regulation.</w:t>
      </w:r>
    </w:p>
    <w:p w:rsidR="008F1D65" w:rsidRDefault="008F1D65" w:rsidP="0042787D">
      <w:pPr>
        <w:tabs>
          <w:tab w:val="left" w:pos="600"/>
        </w:tabs>
        <w:ind w:left="600"/>
        <w:rPr>
          <w:sz w:val="22"/>
        </w:rPr>
      </w:pPr>
    </w:p>
    <w:p w:rsidR="00EB5E40" w:rsidRPr="00100F52" w:rsidRDefault="00EB5E40" w:rsidP="00EB5E40">
      <w:pPr>
        <w:pStyle w:val="Heading1"/>
        <w:ind w:left="720" w:hanging="360"/>
        <w:rPr>
          <w:rFonts w:ascii="Times New Roman" w:hAnsi="Times New Roman"/>
          <w:bCs/>
          <w:sz w:val="24"/>
        </w:rPr>
      </w:pPr>
      <w:r w:rsidRPr="00100F52">
        <w:rPr>
          <w:rFonts w:ascii="Times New Roman" w:hAnsi="Times New Roman"/>
          <w:sz w:val="24"/>
        </w:rPr>
        <w:t>•</w:t>
      </w:r>
      <w:r w:rsidRPr="00100F52">
        <w:rPr>
          <w:rFonts w:ascii="Times New Roman" w:hAnsi="Times New Roman"/>
          <w:sz w:val="24"/>
        </w:rPr>
        <w:tab/>
        <w:t>requiring respondents to submit proprietary trade secret, or other confidential information unless the agency can demonstrate that it has instituted procedures to protect the information’s confidentiality to the extent permitted by law.</w:t>
      </w:r>
    </w:p>
    <w:p w:rsidR="008F1D65" w:rsidRDefault="008F1D65" w:rsidP="0042787D">
      <w:pPr>
        <w:tabs>
          <w:tab w:val="left" w:pos="600"/>
        </w:tabs>
        <w:ind w:left="600"/>
        <w:rPr>
          <w:sz w:val="22"/>
        </w:rPr>
      </w:pPr>
    </w:p>
    <w:p w:rsidR="006E192D" w:rsidRDefault="006E192D" w:rsidP="00A938A5">
      <w:pPr>
        <w:ind w:left="720"/>
        <w:rPr>
          <w:sz w:val="22"/>
        </w:rPr>
      </w:pPr>
      <w:r>
        <w:rPr>
          <w:sz w:val="22"/>
        </w:rPr>
        <w:t>There is no requirement for respondents to submit proprietary trade secret or other confidential information.</w:t>
      </w:r>
    </w:p>
    <w:p w:rsidR="006E192D" w:rsidRDefault="006E192D">
      <w:pPr>
        <w:tabs>
          <w:tab w:val="left" w:pos="360"/>
        </w:tabs>
        <w:ind w:left="360" w:hanging="360"/>
        <w:rPr>
          <w:sz w:val="22"/>
        </w:rPr>
      </w:pPr>
    </w:p>
    <w:p w:rsidR="00EB5E40" w:rsidRPr="00100F52" w:rsidRDefault="00EB5E40" w:rsidP="00EB5E40">
      <w:pPr>
        <w:numPr>
          <w:ilvl w:val="0"/>
          <w:numId w:val="37"/>
        </w:numPr>
        <w:rPr>
          <w:b/>
          <w:bCs/>
          <w:sz w:val="24"/>
          <w:szCs w:val="24"/>
        </w:rPr>
      </w:pPr>
      <w:r w:rsidRPr="00100F52">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40" w:rsidRPr="00100F52" w:rsidRDefault="00EB5E40" w:rsidP="00EB5E40">
      <w:pPr>
        <w:ind w:left="720"/>
        <w:rPr>
          <w:b/>
          <w:bCs/>
          <w:sz w:val="24"/>
          <w:szCs w:val="24"/>
        </w:rPr>
      </w:pPr>
      <w:r w:rsidRPr="00100F52">
        <w:rPr>
          <w:b/>
          <w:bCs/>
          <w:sz w:val="24"/>
          <w:szCs w:val="24"/>
        </w:rPr>
        <w:t>•</w:t>
      </w:r>
      <w:r w:rsidRPr="00100F52">
        <w:rPr>
          <w:b/>
          <w:bCs/>
          <w:sz w:val="24"/>
          <w:szCs w:val="24"/>
        </w:rPr>
        <w:tab/>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EB5E40" w:rsidRDefault="00EB5E40" w:rsidP="00EB5E40">
      <w:pPr>
        <w:ind w:left="720"/>
        <w:rPr>
          <w:bCs/>
          <w:sz w:val="24"/>
          <w:szCs w:val="24"/>
        </w:rPr>
      </w:pPr>
      <w:r w:rsidRPr="00100F52">
        <w:rPr>
          <w:b/>
          <w:bCs/>
          <w:sz w:val="24"/>
          <w:szCs w:val="24"/>
        </w:rPr>
        <w:t>•</w:t>
      </w:r>
      <w:r w:rsidRPr="00100F52">
        <w:rPr>
          <w:b/>
          <w:bCs/>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r w:rsidRPr="00100F52">
        <w:rPr>
          <w:bCs/>
          <w:sz w:val="24"/>
          <w:szCs w:val="24"/>
        </w:rPr>
        <w:t>.</w:t>
      </w:r>
    </w:p>
    <w:p w:rsidR="00EB5E40" w:rsidRDefault="00EB5E40" w:rsidP="00BF05E4">
      <w:pPr>
        <w:pStyle w:val="BodyTextIndent3"/>
        <w:ind w:left="288" w:hanging="288"/>
        <w:rPr>
          <w:sz w:val="22"/>
        </w:rPr>
      </w:pPr>
    </w:p>
    <w:p w:rsidR="006E192D" w:rsidRPr="00314803" w:rsidRDefault="006E192D" w:rsidP="00EB5E40">
      <w:pPr>
        <w:pStyle w:val="BodyTextIndent3"/>
        <w:ind w:left="720"/>
        <w:rPr>
          <w:color w:val="FF0000"/>
          <w:sz w:val="22"/>
        </w:rPr>
      </w:pPr>
      <w:r>
        <w:rPr>
          <w:sz w:val="22"/>
        </w:rPr>
        <w:t>Information collected is conducted in a manner consistent with the guidelines of 5 CFR 1320.</w:t>
      </w:r>
      <w:r w:rsidR="00AC0172">
        <w:rPr>
          <w:sz w:val="22"/>
        </w:rPr>
        <w:t>8(d)</w:t>
      </w:r>
      <w:r>
        <w:rPr>
          <w:sz w:val="22"/>
        </w:rPr>
        <w:t xml:space="preserve">.  </w:t>
      </w:r>
      <w:r w:rsidR="00BF05E4" w:rsidRPr="00305485">
        <w:rPr>
          <w:sz w:val="22"/>
        </w:rPr>
        <w:t>The Notice announcing this collection of information appeared in the Federal Register</w:t>
      </w:r>
      <w:r w:rsidR="00B044A0">
        <w:rPr>
          <w:color w:val="FF0000"/>
          <w:sz w:val="22"/>
        </w:rPr>
        <w:t xml:space="preserve"> </w:t>
      </w:r>
      <w:r w:rsidR="00B044A0" w:rsidRPr="00B044A0">
        <w:rPr>
          <w:sz w:val="22"/>
        </w:rPr>
        <w:t>Monday, September 17, 2012   (</w:t>
      </w:r>
      <w:proofErr w:type="spellStart"/>
      <w:r w:rsidR="00B044A0" w:rsidRPr="00B044A0">
        <w:rPr>
          <w:sz w:val="22"/>
        </w:rPr>
        <w:t>Vol</w:t>
      </w:r>
      <w:proofErr w:type="spellEnd"/>
      <w:r w:rsidR="00B044A0" w:rsidRPr="00B044A0">
        <w:rPr>
          <w:sz w:val="22"/>
        </w:rPr>
        <w:t xml:space="preserve"> 77, No. 180, page 57105</w:t>
      </w:r>
      <w:r w:rsidR="00BF05E4" w:rsidRPr="00B044A0">
        <w:rPr>
          <w:sz w:val="22"/>
        </w:rPr>
        <w:t>)</w:t>
      </w:r>
      <w:r w:rsidR="00BF05E4" w:rsidRPr="00314803">
        <w:rPr>
          <w:color w:val="FF0000"/>
          <w:sz w:val="22"/>
        </w:rPr>
        <w:t xml:space="preserve">.  </w:t>
      </w:r>
      <w:r w:rsidR="00305485" w:rsidRPr="00305485">
        <w:rPr>
          <w:sz w:val="22"/>
        </w:rPr>
        <w:t xml:space="preserve">In the past three years, HUD has received no complaints, or requests for modification of the form HUD-92266, which functions essentially as a certification and application cover sheet explaining relevant documentation necessary to accompany the application form.  Three developers who would be respondents were </w:t>
      </w:r>
      <w:r w:rsidR="00305485" w:rsidRPr="00305485">
        <w:rPr>
          <w:sz w:val="22"/>
        </w:rPr>
        <w:lastRenderedPageBreak/>
        <w:t>contacted in the course of preparing this form OMB 83</w:t>
      </w:r>
      <w:r w:rsidR="007C348A">
        <w:rPr>
          <w:sz w:val="22"/>
        </w:rPr>
        <w:t>i</w:t>
      </w:r>
      <w:r w:rsidR="00305485" w:rsidRPr="00305485">
        <w:rPr>
          <w:sz w:val="22"/>
        </w:rPr>
        <w:t xml:space="preserve">.  </w:t>
      </w:r>
      <w:r w:rsidR="0051029F">
        <w:rPr>
          <w:sz w:val="22"/>
        </w:rPr>
        <w:t xml:space="preserve">The </w:t>
      </w:r>
      <w:proofErr w:type="spellStart"/>
      <w:r w:rsidR="0051029F">
        <w:rPr>
          <w:sz w:val="22"/>
        </w:rPr>
        <w:t>Bozzuto</w:t>
      </w:r>
      <w:proofErr w:type="spellEnd"/>
      <w:r w:rsidR="0051029F">
        <w:rPr>
          <w:sz w:val="22"/>
        </w:rPr>
        <w:t xml:space="preserve"> Group, </w:t>
      </w:r>
      <w:proofErr w:type="spellStart"/>
      <w:r w:rsidR="0051029F">
        <w:rPr>
          <w:sz w:val="22"/>
        </w:rPr>
        <w:t>HHHunt</w:t>
      </w:r>
      <w:proofErr w:type="spellEnd"/>
      <w:r w:rsidR="0051029F">
        <w:rPr>
          <w:sz w:val="22"/>
        </w:rPr>
        <w:t xml:space="preserve">, and </w:t>
      </w:r>
      <w:r w:rsidR="00E81822">
        <w:rPr>
          <w:sz w:val="22"/>
        </w:rPr>
        <w:t xml:space="preserve">Blue Ridge Development offered.  </w:t>
      </w:r>
      <w:r w:rsidR="00305485" w:rsidRPr="00305485">
        <w:rPr>
          <w:sz w:val="22"/>
        </w:rPr>
        <w:t xml:space="preserve"> </w:t>
      </w:r>
      <w:r w:rsidR="00B044A0">
        <w:rPr>
          <w:sz w:val="22"/>
        </w:rPr>
        <w:t xml:space="preserve">No </w:t>
      </w:r>
      <w:r w:rsidR="00E81822" w:rsidRPr="00305485">
        <w:rPr>
          <w:sz w:val="22"/>
        </w:rPr>
        <w:t>C</w:t>
      </w:r>
      <w:r w:rsidR="00305485" w:rsidRPr="00305485">
        <w:rPr>
          <w:sz w:val="22"/>
        </w:rPr>
        <w:t>omment</w:t>
      </w:r>
      <w:r w:rsidR="00B044A0">
        <w:rPr>
          <w:sz w:val="22"/>
        </w:rPr>
        <w:t>s.</w:t>
      </w:r>
    </w:p>
    <w:p w:rsidR="00EB5E40" w:rsidRDefault="00EB5E40" w:rsidP="0042787D">
      <w:pPr>
        <w:tabs>
          <w:tab w:val="left" w:pos="360"/>
          <w:tab w:val="left" w:pos="720"/>
        </w:tabs>
        <w:ind w:right="720"/>
        <w:rPr>
          <w:sz w:val="22"/>
        </w:rPr>
      </w:pPr>
    </w:p>
    <w:p w:rsidR="00EB5E40" w:rsidRPr="00EB5E40" w:rsidRDefault="00EB5E40" w:rsidP="00EB5E40">
      <w:pPr>
        <w:numPr>
          <w:ilvl w:val="0"/>
          <w:numId w:val="38"/>
        </w:numPr>
        <w:tabs>
          <w:tab w:val="left" w:pos="360"/>
          <w:tab w:val="left" w:pos="720"/>
        </w:tabs>
        <w:ind w:right="720"/>
        <w:rPr>
          <w:b/>
          <w:sz w:val="22"/>
        </w:rPr>
      </w:pPr>
      <w:r w:rsidRPr="00EB5E40">
        <w:rPr>
          <w:b/>
          <w:sz w:val="22"/>
        </w:rPr>
        <w:t>Explain any decision to provide any payment or gift to respondents, other than remuneration of contractors or grantees.</w:t>
      </w:r>
    </w:p>
    <w:p w:rsidR="00EB5E40" w:rsidRDefault="00EB5E40" w:rsidP="0042787D">
      <w:pPr>
        <w:tabs>
          <w:tab w:val="left" w:pos="360"/>
          <w:tab w:val="left" w:pos="720"/>
        </w:tabs>
        <w:ind w:right="720"/>
        <w:rPr>
          <w:sz w:val="22"/>
        </w:rPr>
      </w:pPr>
    </w:p>
    <w:p w:rsidR="006E192D" w:rsidRDefault="006E192D" w:rsidP="00EB5E40">
      <w:pPr>
        <w:tabs>
          <w:tab w:val="left" w:pos="-810"/>
        </w:tabs>
        <w:ind w:left="720" w:right="720"/>
        <w:rPr>
          <w:sz w:val="22"/>
        </w:rPr>
      </w:pPr>
      <w:r>
        <w:rPr>
          <w:sz w:val="22"/>
        </w:rPr>
        <w:t>There will be no gifts or payments given to respondents.</w:t>
      </w:r>
    </w:p>
    <w:p w:rsidR="006E192D" w:rsidRDefault="006E192D">
      <w:pPr>
        <w:tabs>
          <w:tab w:val="left" w:pos="360"/>
        </w:tabs>
        <w:ind w:left="360" w:hanging="360"/>
        <w:rPr>
          <w:sz w:val="22"/>
        </w:rPr>
      </w:pPr>
    </w:p>
    <w:p w:rsidR="00EB5E40" w:rsidRPr="00D533F9" w:rsidRDefault="00EB5E40" w:rsidP="00EB5E40">
      <w:pPr>
        <w:pStyle w:val="ListParagraph"/>
        <w:numPr>
          <w:ilvl w:val="0"/>
          <w:numId w:val="38"/>
        </w:numPr>
        <w:rPr>
          <w:b/>
        </w:rPr>
      </w:pPr>
      <w:r w:rsidRPr="00D533F9">
        <w:rPr>
          <w:b/>
        </w:rPr>
        <w:t>Describe any assurance of confidentiality provided to respondents and the basis for assurance in statute, regulation or agency policy.</w:t>
      </w:r>
    </w:p>
    <w:p w:rsidR="00EB5E40" w:rsidRDefault="00EB5E40" w:rsidP="0042787D">
      <w:pPr>
        <w:tabs>
          <w:tab w:val="left" w:pos="360"/>
        </w:tabs>
        <w:ind w:left="360" w:hanging="360"/>
        <w:rPr>
          <w:sz w:val="22"/>
        </w:rPr>
      </w:pPr>
    </w:p>
    <w:p w:rsidR="006E192D" w:rsidRDefault="006E192D" w:rsidP="00EB5E40">
      <w:pPr>
        <w:tabs>
          <w:tab w:val="left" w:pos="-810"/>
        </w:tabs>
        <w:ind w:left="720"/>
        <w:rPr>
          <w:sz w:val="22"/>
        </w:rPr>
      </w:pPr>
      <w:r>
        <w:rPr>
          <w:sz w:val="22"/>
        </w:rPr>
        <w:t>The Department does not assure confidentiality to respondents.  However, respondents are covered by the Privacy Act of 1974.</w:t>
      </w:r>
    </w:p>
    <w:p w:rsidR="006E192D" w:rsidRDefault="006E192D">
      <w:pPr>
        <w:tabs>
          <w:tab w:val="left" w:pos="360"/>
        </w:tabs>
        <w:ind w:right="720"/>
        <w:rPr>
          <w:sz w:val="22"/>
        </w:rPr>
      </w:pPr>
    </w:p>
    <w:p w:rsidR="00EB5E40" w:rsidRPr="00D533F9" w:rsidRDefault="00EB5E40" w:rsidP="00EB5E40">
      <w:pPr>
        <w:pStyle w:val="ListParagraph"/>
        <w:numPr>
          <w:ilvl w:val="0"/>
          <w:numId w:val="38"/>
        </w:numPr>
        <w:rPr>
          <w:b/>
        </w:rPr>
      </w:pPr>
      <w:r w:rsidRPr="00D533F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5E40" w:rsidRDefault="00EB5E40">
      <w:pPr>
        <w:tabs>
          <w:tab w:val="left" w:pos="360"/>
        </w:tabs>
        <w:ind w:right="720"/>
        <w:rPr>
          <w:sz w:val="22"/>
        </w:rPr>
      </w:pPr>
    </w:p>
    <w:p w:rsidR="006E192D" w:rsidRDefault="006E192D" w:rsidP="00EB5E40">
      <w:pPr>
        <w:ind w:left="720"/>
        <w:rPr>
          <w:sz w:val="22"/>
        </w:rPr>
      </w:pPr>
      <w:r>
        <w:rPr>
          <w:sz w:val="22"/>
        </w:rPr>
        <w:t>There are no sensitive questions involved in this collection.</w:t>
      </w:r>
    </w:p>
    <w:p w:rsidR="006E192D" w:rsidRDefault="006E192D">
      <w:pPr>
        <w:tabs>
          <w:tab w:val="left" w:pos="360"/>
        </w:tabs>
        <w:ind w:left="360" w:hanging="360"/>
        <w:rPr>
          <w:sz w:val="22"/>
        </w:rPr>
      </w:pPr>
    </w:p>
    <w:p w:rsidR="00EB5E40" w:rsidRDefault="00EB5E40" w:rsidP="0042787D">
      <w:pPr>
        <w:tabs>
          <w:tab w:val="left" w:pos="360"/>
        </w:tabs>
        <w:ind w:left="360" w:hanging="360"/>
        <w:rPr>
          <w:sz w:val="22"/>
        </w:rPr>
      </w:pPr>
    </w:p>
    <w:p w:rsidR="00EB5E40" w:rsidRPr="00EB5E40" w:rsidRDefault="00EB5E40" w:rsidP="00EB5E40">
      <w:pPr>
        <w:numPr>
          <w:ilvl w:val="0"/>
          <w:numId w:val="38"/>
        </w:numPr>
        <w:tabs>
          <w:tab w:val="left" w:pos="360"/>
        </w:tabs>
        <w:rPr>
          <w:b/>
          <w:sz w:val="22"/>
        </w:rPr>
      </w:pPr>
      <w:r w:rsidRPr="00EB5E40">
        <w:rPr>
          <w:b/>
          <w:sz w:val="22"/>
        </w:rPr>
        <w:t>Provide estimates of the hour burden of the collection of information.  The statement should:</w:t>
      </w:r>
    </w:p>
    <w:p w:rsidR="00EB5E40" w:rsidRPr="00EB5E40" w:rsidRDefault="00EB5E40" w:rsidP="00EB5E40">
      <w:pPr>
        <w:numPr>
          <w:ilvl w:val="0"/>
          <w:numId w:val="39"/>
        </w:numPr>
        <w:tabs>
          <w:tab w:val="left" w:pos="360"/>
        </w:tabs>
        <w:rPr>
          <w:b/>
          <w:sz w:val="22"/>
        </w:rPr>
      </w:pPr>
      <w:proofErr w:type="gramStart"/>
      <w:r w:rsidRPr="00EB5E40">
        <w:rPr>
          <w:b/>
          <w:sz w:val="22"/>
        </w:rPr>
        <w:t>indicate</w:t>
      </w:r>
      <w:proofErr w:type="gramEnd"/>
      <w:r w:rsidRPr="00EB5E40">
        <w:rPr>
          <w:b/>
          <w:sz w:val="22"/>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EB5E40" w:rsidRPr="00EB5E40" w:rsidRDefault="00EB5E40" w:rsidP="00EB5E40">
      <w:pPr>
        <w:numPr>
          <w:ilvl w:val="0"/>
          <w:numId w:val="39"/>
        </w:numPr>
        <w:tabs>
          <w:tab w:val="left" w:pos="360"/>
        </w:tabs>
        <w:rPr>
          <w:b/>
          <w:sz w:val="22"/>
        </w:rPr>
      </w:pPr>
      <w:r w:rsidRPr="00EB5E40">
        <w:rPr>
          <w:b/>
          <w:sz w:val="22"/>
        </w:rPr>
        <w:t>if this request covers more than one form, provide separate hour burden estimates for each form and aggregate the hour burdens in Item 13 of form OMB 83-I; and</w:t>
      </w:r>
    </w:p>
    <w:p w:rsidR="00EB5E40" w:rsidRPr="00EB5E40" w:rsidRDefault="00EB5E40" w:rsidP="00EB5E40">
      <w:pPr>
        <w:numPr>
          <w:ilvl w:val="0"/>
          <w:numId w:val="39"/>
        </w:numPr>
        <w:tabs>
          <w:tab w:val="left" w:pos="360"/>
        </w:tabs>
        <w:rPr>
          <w:b/>
          <w:sz w:val="22"/>
        </w:rPr>
      </w:pPr>
      <w:proofErr w:type="gramStart"/>
      <w:r w:rsidRPr="00EB5E40">
        <w:rPr>
          <w:b/>
          <w:sz w:val="22"/>
        </w:rPr>
        <w:t>provide</w:t>
      </w:r>
      <w:proofErr w:type="gramEnd"/>
      <w:r w:rsidRPr="00EB5E40">
        <w:rPr>
          <w:b/>
          <w:sz w:val="22"/>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B5E40" w:rsidRDefault="00EB5E40" w:rsidP="0042787D">
      <w:pPr>
        <w:tabs>
          <w:tab w:val="left" w:pos="360"/>
        </w:tabs>
        <w:ind w:left="360" w:hanging="360"/>
        <w:rPr>
          <w:sz w:val="22"/>
        </w:rPr>
      </w:pPr>
    </w:p>
    <w:p w:rsidR="006E192D" w:rsidRPr="00276005" w:rsidRDefault="006E192D" w:rsidP="00276005">
      <w:pPr>
        <w:ind w:left="720"/>
        <w:rPr>
          <w:b/>
          <w:sz w:val="22"/>
        </w:rPr>
      </w:pPr>
      <w:r w:rsidRPr="0042787D">
        <w:rPr>
          <w:bCs/>
          <w:sz w:val="22"/>
          <w:szCs w:val="22"/>
        </w:rPr>
        <w:t>Estimated Annual Cost to Respondents</w:t>
      </w:r>
      <w:r w:rsidR="00A21496">
        <w:rPr>
          <w:bCs/>
          <w:sz w:val="22"/>
          <w:szCs w:val="22"/>
        </w:rPr>
        <w:t>:</w:t>
      </w:r>
    </w:p>
    <w:p w:rsidR="003834E5" w:rsidRDefault="009E3186" w:rsidP="00C523D3">
      <w:pPr>
        <w:rPr>
          <w:b/>
        </w:rPr>
      </w:pPr>
      <w:r>
        <w:rPr>
          <w:b/>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49.8pt;height:550.5pt;z-index:251658240;mso-position-horizontal-relative:text;mso-position-vertical-relative:text">
            <v:imagedata r:id="rId8" o:title=""/>
            <w10:wrap type="square"/>
          </v:shape>
          <o:OLEObject Type="Embed" ProgID="Excel.Sheet.12" ShapeID="_x0000_s1026" DrawAspect="Content" ObjectID="_1410688725" r:id="rId9"/>
        </w:pict>
      </w:r>
    </w:p>
    <w:p w:rsidR="00F37E5F" w:rsidRPr="00276005" w:rsidRDefault="009E3186" w:rsidP="006B69A5">
      <w:pPr>
        <w:ind w:left="360"/>
        <w:rPr>
          <w:rFonts w:ascii="Arial" w:hAnsi="Arial" w:cs="Arial"/>
          <w:sz w:val="18"/>
        </w:rPr>
      </w:pPr>
      <w:r w:rsidRPr="009E3186">
        <w:rPr>
          <w:b/>
          <w:noProof/>
        </w:rPr>
        <w:pict>
          <v:shape id="_x0000_s1027" type="#_x0000_t75" style="position:absolute;left:0;text-align:left;margin-left:0;margin-top:0;width:549.8pt;height:197.3pt;z-index:251659264;mso-position-horizontal-relative:text;mso-position-vertical-relative:text">
            <v:imagedata r:id="rId10" o:title=""/>
            <w10:wrap type="square"/>
          </v:shape>
          <o:OLEObject Type="Embed" ProgID="Excel.Sheet.12" ShapeID="_x0000_s1027" DrawAspect="Content" ObjectID="_1410688726" r:id="rId11"/>
        </w:pict>
      </w:r>
      <w:r w:rsidR="00361467">
        <w:rPr>
          <w:b/>
        </w:rPr>
        <w:br w:type="page"/>
      </w:r>
      <w:r w:rsidR="00276005" w:rsidRPr="00276005">
        <w:rPr>
          <w:rFonts w:ascii="Arial" w:hAnsi="Arial" w:cs="Arial"/>
          <w:b/>
          <w:sz w:val="18"/>
          <w:vertAlign w:val="superscript"/>
        </w:rPr>
        <w:lastRenderedPageBreak/>
        <w:t>1</w:t>
      </w:r>
      <w:r w:rsidR="00F37E5F" w:rsidRPr="00276005">
        <w:rPr>
          <w:rFonts w:ascii="Arial" w:hAnsi="Arial" w:cs="Arial"/>
          <w:sz w:val="18"/>
        </w:rPr>
        <w:t xml:space="preserve"> Number of respondents is based on the current inventory of projects that are </w:t>
      </w:r>
      <w:r w:rsidR="00627062" w:rsidRPr="00276005">
        <w:rPr>
          <w:rFonts w:ascii="Arial" w:hAnsi="Arial" w:cs="Arial"/>
          <w:sz w:val="18"/>
        </w:rPr>
        <w:t>HUD-insured and HUD-Held.</w:t>
      </w:r>
      <w:r w:rsidR="003B1A83" w:rsidRPr="00276005">
        <w:rPr>
          <w:rFonts w:ascii="Arial" w:hAnsi="Arial" w:cs="Arial"/>
          <w:sz w:val="18"/>
        </w:rPr>
        <w:t xml:space="preserve">  The number of annual responses is based on an estimate of 2% of potential transfer of physical assets applications received on an annual basis.</w:t>
      </w:r>
    </w:p>
    <w:p w:rsidR="00EB5E40" w:rsidRDefault="00276005" w:rsidP="006B69A5">
      <w:pPr>
        <w:keepLines/>
        <w:tabs>
          <w:tab w:val="left" w:pos="-540"/>
        </w:tabs>
        <w:spacing w:after="80"/>
        <w:ind w:left="360"/>
        <w:rPr>
          <w:rFonts w:ascii="Arial" w:hAnsi="Arial" w:cs="Arial"/>
          <w:sz w:val="18"/>
        </w:rPr>
      </w:pPr>
      <w:r w:rsidRPr="00276005">
        <w:rPr>
          <w:rFonts w:ascii="Arial" w:hAnsi="Arial" w:cs="Arial"/>
          <w:b/>
          <w:sz w:val="18"/>
          <w:vertAlign w:val="superscript"/>
        </w:rPr>
        <w:t>2</w:t>
      </w:r>
      <w:r w:rsidR="003B1A83" w:rsidRPr="00276005">
        <w:rPr>
          <w:rFonts w:ascii="Arial" w:hAnsi="Arial" w:cs="Arial"/>
          <w:b/>
          <w:sz w:val="18"/>
        </w:rPr>
        <w:t xml:space="preserve"> </w:t>
      </w:r>
      <w:r w:rsidR="00F37E5F" w:rsidRPr="00276005">
        <w:rPr>
          <w:rFonts w:ascii="Arial" w:hAnsi="Arial" w:cs="Arial"/>
          <w:sz w:val="18"/>
        </w:rPr>
        <w:t xml:space="preserve">Hourly cost is based on an estimate of the </w:t>
      </w:r>
      <w:r w:rsidR="003B1A83" w:rsidRPr="00276005">
        <w:rPr>
          <w:rFonts w:ascii="Arial" w:hAnsi="Arial" w:cs="Arial"/>
          <w:sz w:val="18"/>
        </w:rPr>
        <w:t xml:space="preserve">potential </w:t>
      </w:r>
      <w:r w:rsidR="00F37E5F" w:rsidRPr="00276005">
        <w:rPr>
          <w:rFonts w:ascii="Arial" w:hAnsi="Arial" w:cs="Arial"/>
          <w:sz w:val="18"/>
        </w:rPr>
        <w:t xml:space="preserve">owner’s staff to </w:t>
      </w:r>
      <w:r w:rsidR="003B1A83" w:rsidRPr="00276005">
        <w:rPr>
          <w:rFonts w:ascii="Arial" w:hAnsi="Arial" w:cs="Arial"/>
          <w:sz w:val="18"/>
        </w:rPr>
        <w:t xml:space="preserve">gather, complete, and submit the required documents to HUD for review and approval.  </w:t>
      </w:r>
      <w:r w:rsidR="00F37E5F" w:rsidRPr="00276005">
        <w:rPr>
          <w:rFonts w:ascii="Arial" w:hAnsi="Arial" w:cs="Arial"/>
          <w:sz w:val="18"/>
        </w:rPr>
        <w:t>Hourly estimated costs estimate obtained from payscale.com.</w:t>
      </w:r>
      <w:r w:rsidR="00361467" w:rsidRPr="00276005">
        <w:rPr>
          <w:rFonts w:ascii="Arial" w:hAnsi="Arial" w:cs="Arial"/>
          <w:sz w:val="18"/>
        </w:rPr>
        <w:t xml:space="preserve">  </w:t>
      </w:r>
    </w:p>
    <w:p w:rsidR="0065617D" w:rsidRPr="0065617D" w:rsidRDefault="0065617D" w:rsidP="0065617D">
      <w:pPr>
        <w:keepLines/>
        <w:tabs>
          <w:tab w:val="left" w:pos="480"/>
        </w:tabs>
        <w:spacing w:after="80"/>
        <w:ind w:left="720"/>
        <w:rPr>
          <w:rFonts w:ascii="Arial" w:hAnsi="Arial" w:cs="Arial"/>
          <w:sz w:val="18"/>
        </w:rPr>
      </w:pPr>
    </w:p>
    <w:p w:rsidR="006E192D" w:rsidRPr="00BD0337" w:rsidRDefault="006E192D" w:rsidP="00BD0337">
      <w:pPr>
        <w:pStyle w:val="ListParagraph"/>
        <w:numPr>
          <w:ilvl w:val="0"/>
          <w:numId w:val="38"/>
        </w:numPr>
        <w:tabs>
          <w:tab w:val="left" w:pos="-900"/>
        </w:tabs>
        <w:rPr>
          <w:sz w:val="22"/>
        </w:rPr>
      </w:pPr>
      <w:r w:rsidRPr="00BD0337">
        <w:rPr>
          <w:sz w:val="22"/>
        </w:rPr>
        <w:t xml:space="preserve">There are no additional capital or start-up costs.  </w:t>
      </w:r>
    </w:p>
    <w:p w:rsidR="006E192D" w:rsidRDefault="006E192D">
      <w:pPr>
        <w:tabs>
          <w:tab w:val="left" w:pos="360"/>
        </w:tabs>
        <w:ind w:left="360" w:hanging="360"/>
        <w:rPr>
          <w:sz w:val="22"/>
        </w:rPr>
      </w:pPr>
    </w:p>
    <w:p w:rsidR="00EB5E40" w:rsidRDefault="00EB5E40" w:rsidP="00EB5E40">
      <w:pPr>
        <w:numPr>
          <w:ilvl w:val="0"/>
          <w:numId w:val="38"/>
        </w:numPr>
        <w:rPr>
          <w:sz w:val="24"/>
        </w:rPr>
      </w:pPr>
      <w:r w:rsidRPr="004D4708">
        <w:rPr>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5E40" w:rsidRDefault="009E3186">
      <w:pPr>
        <w:tabs>
          <w:tab w:val="left" w:pos="360"/>
        </w:tabs>
        <w:ind w:left="360" w:hanging="360"/>
        <w:rPr>
          <w:sz w:val="22"/>
        </w:rPr>
      </w:pPr>
      <w:r w:rsidRPr="009E3186">
        <w:rPr>
          <w:bCs/>
          <w:noProof/>
          <w:sz w:val="24"/>
        </w:rPr>
        <w:pict>
          <v:shape id="_x0000_s1028" type="#_x0000_t75" style="position:absolute;left:0;text-align:left;margin-left:99.75pt;margin-top:3.65pt;width:316.5pt;height:93.75pt;z-index:251660288;mso-position-horizontal-relative:text;mso-position-vertical-relative:text">
            <v:imagedata r:id="rId12" o:title=""/>
            <w10:wrap type="square"/>
          </v:shape>
          <o:OLEObject Type="Embed" ProgID="Excel.Sheet.12" ShapeID="_x0000_s1028" DrawAspect="Content" ObjectID="_1410688727" r:id="rId13"/>
        </w:pict>
      </w:r>
    </w:p>
    <w:p w:rsidR="00E56507" w:rsidRDefault="00E56507" w:rsidP="00E56507">
      <w:pPr>
        <w:keepLines/>
        <w:tabs>
          <w:tab w:val="left" w:pos="-810"/>
        </w:tabs>
        <w:spacing w:after="80"/>
        <w:rPr>
          <w:bCs/>
          <w:sz w:val="24"/>
        </w:rPr>
      </w:pPr>
    </w:p>
    <w:p w:rsidR="00E56507" w:rsidRDefault="00E56507" w:rsidP="00A21496">
      <w:pPr>
        <w:keepLines/>
        <w:tabs>
          <w:tab w:val="left" w:pos="480"/>
        </w:tabs>
        <w:spacing w:after="80"/>
        <w:ind w:left="720"/>
        <w:rPr>
          <w:rFonts w:ascii="Arial" w:hAnsi="Arial" w:cs="Arial"/>
          <w:sz w:val="18"/>
          <w:vertAlign w:val="superscript"/>
        </w:rPr>
      </w:pPr>
    </w:p>
    <w:p w:rsidR="00E56507" w:rsidRDefault="00E56507" w:rsidP="00A21496">
      <w:pPr>
        <w:keepLines/>
        <w:tabs>
          <w:tab w:val="left" w:pos="480"/>
        </w:tabs>
        <w:spacing w:after="80"/>
        <w:ind w:left="720"/>
        <w:rPr>
          <w:rFonts w:ascii="Arial" w:hAnsi="Arial" w:cs="Arial"/>
          <w:sz w:val="18"/>
          <w:vertAlign w:val="superscript"/>
        </w:rPr>
      </w:pPr>
    </w:p>
    <w:p w:rsidR="00E56507" w:rsidRDefault="00E56507" w:rsidP="00A21496">
      <w:pPr>
        <w:keepLines/>
        <w:tabs>
          <w:tab w:val="left" w:pos="480"/>
        </w:tabs>
        <w:spacing w:after="80"/>
        <w:ind w:left="720"/>
        <w:rPr>
          <w:rFonts w:ascii="Arial" w:hAnsi="Arial" w:cs="Arial"/>
          <w:sz w:val="18"/>
          <w:vertAlign w:val="superscript"/>
        </w:rPr>
      </w:pPr>
    </w:p>
    <w:p w:rsidR="006E192D" w:rsidRPr="00A21496" w:rsidRDefault="00A21496" w:rsidP="00A21496">
      <w:pPr>
        <w:keepLines/>
        <w:tabs>
          <w:tab w:val="left" w:pos="480"/>
        </w:tabs>
        <w:spacing w:after="80"/>
        <w:ind w:left="720"/>
        <w:rPr>
          <w:rFonts w:ascii="Arial" w:hAnsi="Arial" w:cs="Arial"/>
          <w:sz w:val="18"/>
        </w:rPr>
      </w:pPr>
      <w:r w:rsidRPr="00A21496">
        <w:rPr>
          <w:rFonts w:ascii="Arial" w:hAnsi="Arial" w:cs="Arial"/>
          <w:sz w:val="18"/>
          <w:vertAlign w:val="superscript"/>
        </w:rPr>
        <w:t>1</w:t>
      </w:r>
      <w:r>
        <w:rPr>
          <w:rFonts w:ascii="Arial" w:hAnsi="Arial" w:cs="Arial"/>
          <w:sz w:val="18"/>
          <w:vertAlign w:val="superscript"/>
        </w:rPr>
        <w:t xml:space="preserve"> </w:t>
      </w:r>
      <w:r w:rsidR="006E192D" w:rsidRPr="00A21496">
        <w:rPr>
          <w:rFonts w:ascii="Arial" w:hAnsi="Arial" w:cs="Arial"/>
          <w:sz w:val="18"/>
        </w:rPr>
        <w:t>Estimated cost per hour for HUD staff (GS-12) to review and process the documents for this collection.</w:t>
      </w:r>
      <w:r w:rsidR="008D6E5A" w:rsidRPr="00A21496">
        <w:rPr>
          <w:rFonts w:ascii="Arial" w:hAnsi="Arial" w:cs="Arial"/>
          <w:sz w:val="18"/>
        </w:rPr>
        <w:t xml:space="preserve">  Data was obtained from </w:t>
      </w:r>
      <w:hyperlink r:id="rId14" w:history="1">
        <w:r w:rsidR="008D6E5A" w:rsidRPr="00A21496">
          <w:rPr>
            <w:rFonts w:ascii="Arial" w:hAnsi="Arial" w:cs="Arial"/>
            <w:sz w:val="18"/>
          </w:rPr>
          <w:t>www.opm.gov</w:t>
        </w:r>
      </w:hyperlink>
      <w:r w:rsidR="008D6E5A" w:rsidRPr="00A21496">
        <w:rPr>
          <w:rFonts w:ascii="Arial" w:hAnsi="Arial" w:cs="Arial"/>
          <w:sz w:val="18"/>
        </w:rPr>
        <w:t xml:space="preserve"> for the 20</w:t>
      </w:r>
      <w:r w:rsidR="00DA1DBD">
        <w:rPr>
          <w:rFonts w:ascii="Arial" w:hAnsi="Arial" w:cs="Arial"/>
          <w:sz w:val="18"/>
        </w:rPr>
        <w:t>12</w:t>
      </w:r>
      <w:r w:rsidR="008D6E5A" w:rsidRPr="00A21496">
        <w:rPr>
          <w:rFonts w:ascii="Arial" w:hAnsi="Arial" w:cs="Arial"/>
          <w:sz w:val="18"/>
        </w:rPr>
        <w:t xml:space="preserve"> general scale/hourly rates.</w:t>
      </w:r>
    </w:p>
    <w:p w:rsidR="006E192D" w:rsidRDefault="006E192D">
      <w:pPr>
        <w:tabs>
          <w:tab w:val="left" w:pos="360"/>
        </w:tabs>
        <w:rPr>
          <w:sz w:val="22"/>
        </w:rPr>
      </w:pPr>
    </w:p>
    <w:p w:rsidR="00EB5E40" w:rsidRPr="004D4708" w:rsidRDefault="00EB5E40" w:rsidP="00EB5E40">
      <w:pPr>
        <w:pStyle w:val="ListParagraph"/>
        <w:numPr>
          <w:ilvl w:val="0"/>
          <w:numId w:val="38"/>
        </w:numPr>
      </w:pPr>
      <w:r w:rsidRPr="004D4708">
        <w:rPr>
          <w:b/>
        </w:rPr>
        <w:t>Explain the reasons of any program changes or adjustments reported in Items 13 and 14 of the OMB form 83-I.</w:t>
      </w:r>
    </w:p>
    <w:p w:rsidR="00EB5E40" w:rsidRDefault="00EB5E40">
      <w:pPr>
        <w:tabs>
          <w:tab w:val="left" w:pos="360"/>
        </w:tabs>
        <w:rPr>
          <w:sz w:val="22"/>
        </w:rPr>
      </w:pPr>
    </w:p>
    <w:p w:rsidR="008D6E5A" w:rsidRPr="007F4F64" w:rsidRDefault="009E378B" w:rsidP="00EB5E40">
      <w:pPr>
        <w:tabs>
          <w:tab w:val="left" w:pos="-810"/>
        </w:tabs>
        <w:ind w:left="720"/>
        <w:rPr>
          <w:sz w:val="22"/>
          <w:szCs w:val="22"/>
        </w:rPr>
      </w:pPr>
      <w:r>
        <w:rPr>
          <w:sz w:val="22"/>
        </w:rPr>
        <w:t>Ad</w:t>
      </w:r>
      <w:r w:rsidR="006E192D" w:rsidRPr="007F4F64">
        <w:rPr>
          <w:sz w:val="22"/>
          <w:szCs w:val="22"/>
        </w:rPr>
        <w:t xml:space="preserve">justments </w:t>
      </w:r>
      <w:r>
        <w:rPr>
          <w:sz w:val="22"/>
          <w:szCs w:val="22"/>
        </w:rPr>
        <w:t xml:space="preserve">were made </w:t>
      </w:r>
      <w:r w:rsidR="006E192D" w:rsidRPr="007F4F64">
        <w:rPr>
          <w:sz w:val="22"/>
          <w:szCs w:val="22"/>
        </w:rPr>
        <w:t xml:space="preserve">from the last submission based on </w:t>
      </w:r>
      <w:r w:rsidR="008D6E5A" w:rsidRPr="007F4F64">
        <w:rPr>
          <w:sz w:val="22"/>
          <w:szCs w:val="22"/>
        </w:rPr>
        <w:t>current data in HUD systems for HUD insured and HUD-held mortgages.  In addition, data was obtained from payscale.com to include an average hourly rate for a Property Manager.</w:t>
      </w:r>
    </w:p>
    <w:p w:rsidR="006E192D" w:rsidRPr="007F4F64" w:rsidRDefault="006E192D">
      <w:pPr>
        <w:tabs>
          <w:tab w:val="left" w:pos="360"/>
          <w:tab w:val="left" w:pos="720"/>
        </w:tabs>
        <w:rPr>
          <w:sz w:val="22"/>
          <w:szCs w:val="22"/>
        </w:rPr>
      </w:pPr>
    </w:p>
    <w:p w:rsidR="00EB5E40" w:rsidRPr="004D4708" w:rsidRDefault="00EB5E40" w:rsidP="00EB5E40">
      <w:pPr>
        <w:pStyle w:val="ListParagraph"/>
        <w:numPr>
          <w:ilvl w:val="0"/>
          <w:numId w:val="38"/>
        </w:numPr>
        <w:rPr>
          <w:b/>
        </w:rPr>
      </w:pPr>
      <w:r w:rsidRPr="004D4708">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B5E40" w:rsidRDefault="00EB5E40" w:rsidP="0042787D">
      <w:pPr>
        <w:tabs>
          <w:tab w:val="left" w:pos="360"/>
        </w:tabs>
        <w:ind w:left="360" w:hanging="360"/>
        <w:rPr>
          <w:sz w:val="22"/>
        </w:rPr>
      </w:pPr>
    </w:p>
    <w:p w:rsidR="006E192D" w:rsidRDefault="006E192D" w:rsidP="00B3539D">
      <w:pPr>
        <w:tabs>
          <w:tab w:val="left" w:pos="-810"/>
        </w:tabs>
        <w:ind w:left="720"/>
        <w:rPr>
          <w:sz w:val="22"/>
        </w:rPr>
      </w:pPr>
      <w:r>
        <w:rPr>
          <w:sz w:val="22"/>
        </w:rPr>
        <w:t xml:space="preserve">Collection of this information will </w:t>
      </w:r>
      <w:r w:rsidR="00BC67CA">
        <w:rPr>
          <w:sz w:val="22"/>
        </w:rPr>
        <w:t xml:space="preserve">not </w:t>
      </w:r>
      <w:r>
        <w:rPr>
          <w:sz w:val="22"/>
        </w:rPr>
        <w:t xml:space="preserve">be published.  </w:t>
      </w:r>
    </w:p>
    <w:p w:rsidR="00844092" w:rsidRDefault="00844092" w:rsidP="00844092">
      <w:pPr>
        <w:tabs>
          <w:tab w:val="left" w:pos="360"/>
          <w:tab w:val="left" w:pos="720"/>
        </w:tabs>
        <w:ind w:left="720" w:right="720"/>
        <w:rPr>
          <w:sz w:val="22"/>
        </w:rPr>
      </w:pPr>
    </w:p>
    <w:p w:rsidR="00B3539D" w:rsidRPr="004D4708" w:rsidRDefault="00B3539D" w:rsidP="00B3539D">
      <w:pPr>
        <w:pStyle w:val="ListParagraph"/>
        <w:numPr>
          <w:ilvl w:val="0"/>
          <w:numId w:val="38"/>
        </w:numPr>
        <w:rPr>
          <w:b/>
        </w:rPr>
      </w:pPr>
      <w:r w:rsidRPr="004D4708">
        <w:rPr>
          <w:b/>
        </w:rPr>
        <w:t>If seeking approval to not display the expiration date for OMB approval of the information collection, explain the reasons that display would be inappropriate.</w:t>
      </w:r>
    </w:p>
    <w:p w:rsidR="00B3539D" w:rsidRDefault="00B3539D" w:rsidP="0042787D">
      <w:pPr>
        <w:tabs>
          <w:tab w:val="left" w:pos="360"/>
        </w:tabs>
        <w:ind w:left="360" w:hanging="360"/>
        <w:rPr>
          <w:sz w:val="22"/>
        </w:rPr>
      </w:pPr>
    </w:p>
    <w:p w:rsidR="006E192D" w:rsidRDefault="006E192D" w:rsidP="00B3539D">
      <w:pPr>
        <w:tabs>
          <w:tab w:val="left" w:pos="-900"/>
        </w:tabs>
        <w:ind w:left="720"/>
        <w:rPr>
          <w:sz w:val="22"/>
        </w:rPr>
      </w:pPr>
      <w:r>
        <w:rPr>
          <w:sz w:val="22"/>
        </w:rPr>
        <w:t>HUD is not seeking approval not to display the expiration date for OMB approval of the information collection.</w:t>
      </w:r>
    </w:p>
    <w:p w:rsidR="006E192D" w:rsidRDefault="006E192D">
      <w:pPr>
        <w:tabs>
          <w:tab w:val="left" w:pos="360"/>
        </w:tabs>
        <w:ind w:left="360" w:hanging="360"/>
        <w:rPr>
          <w:sz w:val="22"/>
        </w:rPr>
      </w:pPr>
    </w:p>
    <w:p w:rsidR="00B3539D" w:rsidRPr="004D4708" w:rsidRDefault="00B3539D" w:rsidP="00B3539D">
      <w:pPr>
        <w:pStyle w:val="ListParagraph"/>
        <w:numPr>
          <w:ilvl w:val="0"/>
          <w:numId w:val="38"/>
        </w:numPr>
        <w:rPr>
          <w:b/>
        </w:rPr>
      </w:pPr>
      <w:r w:rsidRPr="004D4708">
        <w:rPr>
          <w:b/>
        </w:rPr>
        <w:t>Explain each exception to the certification statement identified in item 19</w:t>
      </w:r>
      <w:r>
        <w:rPr>
          <w:b/>
        </w:rPr>
        <w:t>of the OMB 83-I</w:t>
      </w:r>
      <w:r w:rsidRPr="004D4708">
        <w:rPr>
          <w:b/>
        </w:rPr>
        <w:t>.</w:t>
      </w:r>
    </w:p>
    <w:p w:rsidR="00B3539D" w:rsidRDefault="00B3539D" w:rsidP="0042787D">
      <w:pPr>
        <w:keepLines/>
        <w:tabs>
          <w:tab w:val="left" w:pos="360"/>
        </w:tabs>
        <w:spacing w:after="80"/>
        <w:ind w:left="360" w:hanging="360"/>
        <w:rPr>
          <w:color w:val="000000"/>
          <w:sz w:val="22"/>
        </w:rPr>
      </w:pPr>
    </w:p>
    <w:p w:rsidR="006E192D" w:rsidRPr="0042787D" w:rsidRDefault="00844092" w:rsidP="00B3539D">
      <w:pPr>
        <w:keepLines/>
        <w:tabs>
          <w:tab w:val="left" w:pos="-900"/>
        </w:tabs>
        <w:spacing w:after="80"/>
        <w:ind w:left="720"/>
        <w:rPr>
          <w:b/>
          <w:bCs/>
          <w:sz w:val="22"/>
          <w:szCs w:val="22"/>
        </w:rPr>
      </w:pPr>
      <w:r w:rsidRPr="0042787D">
        <w:rPr>
          <w:sz w:val="22"/>
          <w:szCs w:val="22"/>
        </w:rPr>
        <w:t>There are n</w:t>
      </w:r>
      <w:r w:rsidR="006E192D" w:rsidRPr="0042787D">
        <w:rPr>
          <w:sz w:val="22"/>
          <w:szCs w:val="22"/>
        </w:rPr>
        <w:t>o exceptions to the certification statement identified in Item #19 on form OMB 83-I, “Certification for Paperwork Reduction Act Submissions.”</w:t>
      </w:r>
    </w:p>
    <w:p w:rsidR="006E192D" w:rsidRDefault="006E192D">
      <w:pPr>
        <w:tabs>
          <w:tab w:val="left" w:pos="360"/>
          <w:tab w:val="left" w:pos="720"/>
        </w:tabs>
        <w:rPr>
          <w:sz w:val="22"/>
        </w:rPr>
      </w:pPr>
    </w:p>
    <w:p w:rsidR="006E192D" w:rsidRDefault="006E192D">
      <w:pPr>
        <w:tabs>
          <w:tab w:val="left" w:pos="360"/>
          <w:tab w:val="left" w:pos="720"/>
        </w:tabs>
        <w:rPr>
          <w:color w:val="000000"/>
          <w:sz w:val="22"/>
        </w:rPr>
      </w:pPr>
    </w:p>
    <w:p w:rsidR="006E192D" w:rsidRDefault="006E192D" w:rsidP="0042787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rPr>
      </w:pPr>
      <w:r>
        <w:rPr>
          <w:b/>
          <w:color w:val="000000"/>
          <w:sz w:val="22"/>
        </w:rPr>
        <w:t xml:space="preserve">B. </w:t>
      </w:r>
      <w:r>
        <w:rPr>
          <w:b/>
          <w:color w:val="000000"/>
          <w:sz w:val="22"/>
        </w:rPr>
        <w:tab/>
      </w:r>
      <w:r w:rsidR="009E3186">
        <w:rPr>
          <w:sz w:val="22"/>
        </w:rPr>
        <w:fldChar w:fldCharType="begin">
          <w:ffData>
            <w:name w:val="Text22"/>
            <w:enabled/>
            <w:calcOnExit w:val="0"/>
            <w:textInput/>
          </w:ffData>
        </w:fldChar>
      </w:r>
      <w:r>
        <w:rPr>
          <w:sz w:val="22"/>
        </w:rPr>
        <w:instrText xml:space="preserve"> FORMTEXT </w:instrText>
      </w:r>
      <w:r w:rsidR="009E3186">
        <w:rPr>
          <w:sz w:val="22"/>
        </w:rPr>
      </w:r>
      <w:r w:rsidR="009E3186">
        <w:rPr>
          <w:sz w:val="22"/>
        </w:rPr>
        <w:fldChar w:fldCharType="separate"/>
      </w:r>
      <w:r>
        <w:rPr>
          <w:noProof/>
          <w:sz w:val="22"/>
        </w:rPr>
        <w:t>There are no statistical methods used in this collection.</w:t>
      </w:r>
      <w:r>
        <w:rPr>
          <w:noProof/>
          <w:sz w:val="22"/>
        </w:rPr>
        <w:t> </w:t>
      </w:r>
      <w:r>
        <w:rPr>
          <w:noProof/>
          <w:sz w:val="22"/>
        </w:rPr>
        <w:t> </w:t>
      </w:r>
      <w:r>
        <w:rPr>
          <w:noProof/>
          <w:sz w:val="22"/>
        </w:rPr>
        <w:t> </w:t>
      </w:r>
      <w:r>
        <w:rPr>
          <w:noProof/>
          <w:sz w:val="22"/>
        </w:rPr>
        <w:t> </w:t>
      </w:r>
      <w:r w:rsidR="009E3186">
        <w:rPr>
          <w:sz w:val="22"/>
        </w:rPr>
        <w:fldChar w:fldCharType="end"/>
      </w:r>
    </w:p>
    <w:p w:rsidR="006E192D" w:rsidRDefault="006E192D">
      <w:pPr>
        <w:keepLines/>
        <w:tabs>
          <w:tab w:val="left" w:pos="360"/>
          <w:tab w:val="left" w:pos="720"/>
        </w:tabs>
        <w:ind w:left="360"/>
        <w:rPr>
          <w:color w:val="000000"/>
          <w:sz w:val="22"/>
        </w:rPr>
      </w:pPr>
    </w:p>
    <w:sectPr w:rsidR="006E192D" w:rsidSect="00FC76FC">
      <w:footerReference w:type="default" r:id="rId15"/>
      <w:pgSz w:w="12240" w:h="15840"/>
      <w:pgMar w:top="475" w:right="432" w:bottom="475" w:left="432" w:header="475" w:footer="475" w:gutter="0"/>
      <w:cols w:space="480" w:equalWidth="0">
        <w:col w:w="1108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ADA" w:rsidRDefault="00871ADA">
      <w:r>
        <w:separator/>
      </w:r>
    </w:p>
  </w:endnote>
  <w:endnote w:type="continuationSeparator" w:id="0">
    <w:p w:rsidR="00871ADA" w:rsidRDefault="00871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ADA" w:rsidRDefault="00871ADA">
    <w:pPr>
      <w:pStyle w:val="Footer"/>
      <w:tabs>
        <w:tab w:val="clear" w:pos="4320"/>
        <w:tab w:val="clear" w:pos="8640"/>
        <w:tab w:val="right" w:pos="10920"/>
      </w:tabs>
      <w:spacing w:line="120" w:lineRule="exact"/>
      <w:ind w:left="-120" w:right="-120"/>
      <w:rPr>
        <w:rFonts w:ascii="Helvetica" w:hAnsi="Helvetica"/>
        <w:b/>
        <w:sz w:val="18"/>
      </w:rPr>
    </w:pPr>
  </w:p>
  <w:p w:rsidR="00871ADA" w:rsidRDefault="00871ADA">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ADA" w:rsidRDefault="00871ADA">
      <w:r>
        <w:separator/>
      </w:r>
    </w:p>
  </w:footnote>
  <w:footnote w:type="continuationSeparator" w:id="0">
    <w:p w:rsidR="00871ADA" w:rsidRDefault="00871A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D01478"/>
    <w:lvl w:ilvl="0">
      <w:numFmt w:val="decimal"/>
      <w:lvlText w:val="*"/>
      <w:lvlJc w:val="left"/>
    </w:lvl>
  </w:abstractNum>
  <w:abstractNum w:abstractNumId="1">
    <w:nsid w:val="00252D86"/>
    <w:multiLevelType w:val="singleLevel"/>
    <w:tmpl w:val="5DE0DB72"/>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
    <w:nsid w:val="033359B1"/>
    <w:multiLevelType w:val="hybridMultilevel"/>
    <w:tmpl w:val="2BACC8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040E3253"/>
    <w:multiLevelType w:val="hybridMultilevel"/>
    <w:tmpl w:val="5224A64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4434B5"/>
    <w:multiLevelType w:val="hybridMultilevel"/>
    <w:tmpl w:val="7CAA168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C90DF6"/>
    <w:multiLevelType w:val="hybridMultilevel"/>
    <w:tmpl w:val="37343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B14CD5"/>
    <w:multiLevelType w:val="hybridMultilevel"/>
    <w:tmpl w:val="0B3422A8"/>
    <w:lvl w:ilvl="0" w:tplc="D8082EAE">
      <w:start w:val="9"/>
      <w:numFmt w:val="decimal"/>
      <w:lvlText w:val="%1."/>
      <w:lvlJc w:val="left"/>
      <w:pPr>
        <w:tabs>
          <w:tab w:val="num" w:pos="360"/>
        </w:tabs>
        <w:ind w:left="360" w:hanging="360"/>
      </w:pPr>
      <w:rPr>
        <w:rFonts w:hint="default"/>
        <w:b w:val="0"/>
        <w:i w:val="0"/>
      </w:rPr>
    </w:lvl>
    <w:lvl w:ilvl="1" w:tplc="2D98780C">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0FD33BD5"/>
    <w:multiLevelType w:val="hybridMultilevel"/>
    <w:tmpl w:val="03AE8A8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1">
    <w:nsid w:val="1479208E"/>
    <w:multiLevelType w:val="singleLevel"/>
    <w:tmpl w:val="393293F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21700726"/>
    <w:multiLevelType w:val="hybridMultilevel"/>
    <w:tmpl w:val="C87CB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F4587E"/>
    <w:multiLevelType w:val="hybridMultilevel"/>
    <w:tmpl w:val="67A2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D221F"/>
    <w:multiLevelType w:val="singleLevel"/>
    <w:tmpl w:val="4B1019BC"/>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24533F43"/>
    <w:multiLevelType w:val="singleLevel"/>
    <w:tmpl w:val="FB20BDD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6">
    <w:nsid w:val="27DE2CEC"/>
    <w:multiLevelType w:val="hybridMultilevel"/>
    <w:tmpl w:val="CEE00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A90C4B"/>
    <w:multiLevelType w:val="hybridMultilevel"/>
    <w:tmpl w:val="681A4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64547D"/>
    <w:multiLevelType w:val="singleLevel"/>
    <w:tmpl w:val="FB20BD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9">
    <w:nsid w:val="343E6B41"/>
    <w:multiLevelType w:val="singleLevel"/>
    <w:tmpl w:val="BFD03CC4"/>
    <w:lvl w:ilvl="0">
      <w:start w:val="1"/>
      <w:numFmt w:val="low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8387113"/>
    <w:multiLevelType w:val="singleLevel"/>
    <w:tmpl w:val="8090A20E"/>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1">
    <w:nsid w:val="3D812C55"/>
    <w:multiLevelType w:val="singleLevel"/>
    <w:tmpl w:val="C83895D8"/>
    <w:lvl w:ilvl="0">
      <w:start w:val="1"/>
      <w:numFmt w:val="lowerLetter"/>
      <w:lvlText w:val="%1. "/>
      <w:legacy w:legacy="1" w:legacySpace="0" w:legacyIndent="360"/>
      <w:lvlJc w:val="left"/>
      <w:pPr>
        <w:ind w:left="480" w:hanging="360"/>
      </w:pPr>
      <w:rPr>
        <w:rFonts w:ascii="Helvetica" w:hAnsi="Helvetica" w:hint="default"/>
        <w:b w:val="0"/>
        <w:i w:val="0"/>
        <w:sz w:val="16"/>
        <w:u w:val="none"/>
      </w:rPr>
    </w:lvl>
  </w:abstractNum>
  <w:abstractNum w:abstractNumId="22">
    <w:nsid w:val="3E9B0443"/>
    <w:multiLevelType w:val="singleLevel"/>
    <w:tmpl w:val="786092CE"/>
    <w:lvl w:ilvl="0">
      <w:start w:val="3"/>
      <w:numFmt w:val="low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463A6178"/>
    <w:multiLevelType w:val="singleLevel"/>
    <w:tmpl w:val="2558034A"/>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4645098E"/>
    <w:multiLevelType w:val="hybridMultilevel"/>
    <w:tmpl w:val="B992C7DA"/>
    <w:lvl w:ilvl="0" w:tplc="4E48A162">
      <w:start w:val="1"/>
      <w:numFmt w:val="decimal"/>
      <w:lvlText w:val="%1."/>
      <w:lvlJc w:val="left"/>
      <w:pPr>
        <w:tabs>
          <w:tab w:val="num" w:pos="720"/>
        </w:tabs>
        <w:ind w:left="720" w:hanging="360"/>
      </w:pPr>
      <w:rPr>
        <w:rFonts w:ascii="Courier" w:hAnsi="Courier"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6">
    <w:nsid w:val="50911A94"/>
    <w:multiLevelType w:val="hybridMultilevel"/>
    <w:tmpl w:val="74B0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B50708"/>
    <w:multiLevelType w:val="singleLevel"/>
    <w:tmpl w:val="BDA4BBCE"/>
    <w:lvl w:ilvl="0">
      <w:start w:val="1"/>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28">
    <w:nsid w:val="52FB228B"/>
    <w:multiLevelType w:val="singleLevel"/>
    <w:tmpl w:val="F20407D2"/>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AF5395"/>
    <w:multiLevelType w:val="hybridMultilevel"/>
    <w:tmpl w:val="B112A8CE"/>
    <w:lvl w:ilvl="0" w:tplc="24FC33CE">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512C38"/>
    <w:multiLevelType w:val="hybridMultilevel"/>
    <w:tmpl w:val="54B87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4">
    <w:nsid w:val="792A0F2C"/>
    <w:multiLevelType w:val="singleLevel"/>
    <w:tmpl w:val="8090A20E"/>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6">
    <w:nsid w:val="7DD82BCD"/>
    <w:multiLevelType w:val="singleLevel"/>
    <w:tmpl w:val="0C0213C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num w:numId="1">
    <w:abstractNumId w:val="18"/>
  </w:num>
  <w:num w:numId="2">
    <w:abstractNumId w:val="15"/>
  </w:num>
  <w:num w:numId="3">
    <w:abstractNumId w:val="21"/>
  </w:num>
  <w:num w:numId="4">
    <w:abstractNumId w:val="36"/>
  </w:num>
  <w:num w:numId="5">
    <w:abstractNumId w:val="1"/>
  </w:num>
  <w:num w:numId="6">
    <w:abstractNumId w:val="11"/>
  </w:num>
  <w:num w:numId="7">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abstractNumId w:val="34"/>
  </w:num>
  <w:num w:numId="9">
    <w:abstractNumId w:val="34"/>
    <w:lvlOverride w:ilvl="0">
      <w:lvl w:ilvl="0">
        <w:start w:val="2"/>
        <w:numFmt w:val="lowerLetter"/>
        <w:lvlText w:val="%1.) "/>
        <w:legacy w:legacy="1" w:legacySpace="0" w:legacyIndent="360"/>
        <w:lvlJc w:val="left"/>
        <w:pPr>
          <w:ind w:left="1800" w:hanging="360"/>
        </w:pPr>
        <w:rPr>
          <w:rFonts w:ascii="Times New Roman" w:hAnsi="Times New Roman" w:hint="default"/>
          <w:b w:val="0"/>
          <w:i w:val="0"/>
          <w:sz w:val="24"/>
          <w:u w:val="none"/>
        </w:rPr>
      </w:lvl>
    </w:lvlOverride>
  </w:num>
  <w:num w:numId="10">
    <w:abstractNumId w:val="20"/>
  </w:num>
  <w:num w:numId="11">
    <w:abstractNumId w:val="27"/>
  </w:num>
  <w:num w:numId="12">
    <w:abstractNumId w:val="14"/>
  </w:num>
  <w:num w:numId="1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4">
    <w:abstractNumId w:val="23"/>
  </w:num>
  <w:num w:numId="15">
    <w:abstractNumId w:val="19"/>
  </w:num>
  <w:num w:numId="16">
    <w:abstractNumId w:val="28"/>
  </w:num>
  <w:num w:numId="17">
    <w:abstractNumId w:val="22"/>
  </w:num>
  <w:num w:numId="18">
    <w:abstractNumId w:val="22"/>
    <w:lvlOverride w:ilvl="0">
      <w:lvl w:ilvl="0">
        <w:start w:val="1"/>
        <w:numFmt w:val="lowerRoman"/>
        <w:lvlText w:val="(%1) "/>
        <w:legacy w:legacy="1" w:legacySpace="0" w:legacyIndent="360"/>
        <w:lvlJc w:val="left"/>
        <w:pPr>
          <w:ind w:left="360" w:hanging="360"/>
        </w:pPr>
        <w:rPr>
          <w:rFonts w:ascii="Times New Roman" w:hAnsi="Times New Roman" w:hint="default"/>
          <w:b w:val="0"/>
          <w:i w:val="0"/>
          <w:sz w:val="24"/>
          <w:u w:val="none"/>
        </w:rPr>
      </w:lvl>
    </w:lvlOverride>
  </w:num>
  <w:num w:numId="19">
    <w:abstractNumId w:val="10"/>
  </w:num>
  <w:num w:numId="20">
    <w:abstractNumId w:val="35"/>
  </w:num>
  <w:num w:numId="21">
    <w:abstractNumId w:val="8"/>
  </w:num>
  <w:num w:numId="22">
    <w:abstractNumId w:val="33"/>
  </w:num>
  <w:num w:numId="23">
    <w:abstractNumId w:val="32"/>
  </w:num>
  <w:num w:numId="24">
    <w:abstractNumId w:val="3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25">
    <w:abstractNumId w:val="25"/>
  </w:num>
  <w:num w:numId="26">
    <w:abstractNumId w:val="29"/>
  </w:num>
  <w:num w:numId="27">
    <w:abstractNumId w:val="30"/>
  </w:num>
  <w:num w:numId="28">
    <w:abstractNumId w:val="24"/>
  </w:num>
  <w:num w:numId="29">
    <w:abstractNumId w:val="4"/>
  </w:num>
  <w:num w:numId="30">
    <w:abstractNumId w:val="2"/>
  </w:num>
  <w:num w:numId="31">
    <w:abstractNumId w:val="5"/>
  </w:num>
  <w:num w:numId="32">
    <w:abstractNumId w:val="3"/>
  </w:num>
  <w:num w:numId="33">
    <w:abstractNumId w:val="13"/>
  </w:num>
  <w:num w:numId="34">
    <w:abstractNumId w:val="26"/>
  </w:num>
  <w:num w:numId="35">
    <w:abstractNumId w:val="17"/>
  </w:num>
  <w:num w:numId="36">
    <w:abstractNumId w:val="31"/>
  </w:num>
  <w:num w:numId="37">
    <w:abstractNumId w:val="9"/>
  </w:num>
  <w:num w:numId="38">
    <w:abstractNumId w:val="7"/>
  </w:num>
  <w:num w:numId="39">
    <w:abstractNumId w:val="6"/>
  </w:num>
  <w:num w:numId="40">
    <w:abstractNumId w:val="16"/>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C5893"/>
    <w:rsid w:val="00015267"/>
    <w:rsid w:val="0006053D"/>
    <w:rsid w:val="000871C7"/>
    <w:rsid w:val="000C3938"/>
    <w:rsid w:val="0011265F"/>
    <w:rsid w:val="001150C0"/>
    <w:rsid w:val="001B4FF7"/>
    <w:rsid w:val="001D4B8F"/>
    <w:rsid w:val="00232D83"/>
    <w:rsid w:val="00245C80"/>
    <w:rsid w:val="0026383A"/>
    <w:rsid w:val="00276005"/>
    <w:rsid w:val="00285EA4"/>
    <w:rsid w:val="00286015"/>
    <w:rsid w:val="002F7035"/>
    <w:rsid w:val="00305485"/>
    <w:rsid w:val="00314803"/>
    <w:rsid w:val="00334F88"/>
    <w:rsid w:val="00361467"/>
    <w:rsid w:val="003834E5"/>
    <w:rsid w:val="00386E07"/>
    <w:rsid w:val="003926B1"/>
    <w:rsid w:val="003B1A83"/>
    <w:rsid w:val="003D2EAC"/>
    <w:rsid w:val="003E5D01"/>
    <w:rsid w:val="003F6645"/>
    <w:rsid w:val="00402047"/>
    <w:rsid w:val="00412024"/>
    <w:rsid w:val="0042787D"/>
    <w:rsid w:val="00496179"/>
    <w:rsid w:val="004B2857"/>
    <w:rsid w:val="004B4046"/>
    <w:rsid w:val="004C0E82"/>
    <w:rsid w:val="004D36D1"/>
    <w:rsid w:val="0051029F"/>
    <w:rsid w:val="00512E9B"/>
    <w:rsid w:val="0051452C"/>
    <w:rsid w:val="00526698"/>
    <w:rsid w:val="005442FE"/>
    <w:rsid w:val="00553481"/>
    <w:rsid w:val="005962A0"/>
    <w:rsid w:val="005C5E5A"/>
    <w:rsid w:val="005D58AE"/>
    <w:rsid w:val="00627062"/>
    <w:rsid w:val="0063326C"/>
    <w:rsid w:val="00653F13"/>
    <w:rsid w:val="0065617D"/>
    <w:rsid w:val="0069495C"/>
    <w:rsid w:val="006B69A5"/>
    <w:rsid w:val="006B792D"/>
    <w:rsid w:val="006C7AB6"/>
    <w:rsid w:val="006E192D"/>
    <w:rsid w:val="007328A9"/>
    <w:rsid w:val="00740354"/>
    <w:rsid w:val="00776582"/>
    <w:rsid w:val="007A2705"/>
    <w:rsid w:val="007C348A"/>
    <w:rsid w:val="007F1BCF"/>
    <w:rsid w:val="007F4F64"/>
    <w:rsid w:val="008417CB"/>
    <w:rsid w:val="00844092"/>
    <w:rsid w:val="00846F0B"/>
    <w:rsid w:val="00871ADA"/>
    <w:rsid w:val="008D4909"/>
    <w:rsid w:val="008D6E5A"/>
    <w:rsid w:val="008F1D65"/>
    <w:rsid w:val="008F2CDA"/>
    <w:rsid w:val="008F5BC8"/>
    <w:rsid w:val="0091410F"/>
    <w:rsid w:val="00926208"/>
    <w:rsid w:val="009758B1"/>
    <w:rsid w:val="009C6B2F"/>
    <w:rsid w:val="009E3186"/>
    <w:rsid w:val="009E378B"/>
    <w:rsid w:val="00A07384"/>
    <w:rsid w:val="00A21496"/>
    <w:rsid w:val="00A5348D"/>
    <w:rsid w:val="00A938A5"/>
    <w:rsid w:val="00AC0172"/>
    <w:rsid w:val="00AD712E"/>
    <w:rsid w:val="00B044A0"/>
    <w:rsid w:val="00B25CAF"/>
    <w:rsid w:val="00B3539D"/>
    <w:rsid w:val="00B8427C"/>
    <w:rsid w:val="00B959FA"/>
    <w:rsid w:val="00BA67BA"/>
    <w:rsid w:val="00BC67CA"/>
    <w:rsid w:val="00BD0337"/>
    <w:rsid w:val="00BD033B"/>
    <w:rsid w:val="00BE20AD"/>
    <w:rsid w:val="00BE7DE9"/>
    <w:rsid w:val="00BF05E4"/>
    <w:rsid w:val="00BF2555"/>
    <w:rsid w:val="00C059F2"/>
    <w:rsid w:val="00C20ABB"/>
    <w:rsid w:val="00C523D3"/>
    <w:rsid w:val="00C55708"/>
    <w:rsid w:val="00C61416"/>
    <w:rsid w:val="00C625B7"/>
    <w:rsid w:val="00C8771C"/>
    <w:rsid w:val="00CC3190"/>
    <w:rsid w:val="00CC6FD0"/>
    <w:rsid w:val="00CC788D"/>
    <w:rsid w:val="00D06B47"/>
    <w:rsid w:val="00D1315E"/>
    <w:rsid w:val="00D63976"/>
    <w:rsid w:val="00D7180C"/>
    <w:rsid w:val="00DA1DBD"/>
    <w:rsid w:val="00DE106B"/>
    <w:rsid w:val="00E34EE2"/>
    <w:rsid w:val="00E56507"/>
    <w:rsid w:val="00E81822"/>
    <w:rsid w:val="00E95C48"/>
    <w:rsid w:val="00EB4BCA"/>
    <w:rsid w:val="00EB5E40"/>
    <w:rsid w:val="00EC0EAF"/>
    <w:rsid w:val="00EE0628"/>
    <w:rsid w:val="00F032F8"/>
    <w:rsid w:val="00F05C5A"/>
    <w:rsid w:val="00F37E5F"/>
    <w:rsid w:val="00F4544F"/>
    <w:rsid w:val="00FB176B"/>
    <w:rsid w:val="00FC5893"/>
    <w:rsid w:val="00FC7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FC"/>
    <w:pPr>
      <w:overflowPunct w:val="0"/>
      <w:autoSpaceDE w:val="0"/>
      <w:autoSpaceDN w:val="0"/>
      <w:adjustRightInd w:val="0"/>
      <w:textAlignment w:val="baseline"/>
    </w:pPr>
  </w:style>
  <w:style w:type="paragraph" w:styleId="Heading1">
    <w:name w:val="heading 1"/>
    <w:basedOn w:val="Normal"/>
    <w:next w:val="Normal"/>
    <w:qFormat/>
    <w:rsid w:val="00FC76FC"/>
    <w:pPr>
      <w:keepNext/>
      <w:ind w:left="120"/>
      <w:outlineLvl w:val="0"/>
    </w:pPr>
    <w:rPr>
      <w:rFonts w:ascii="Helvetica" w:hAnsi="Helvetica"/>
      <w:b/>
      <w:sz w:val="18"/>
    </w:rPr>
  </w:style>
  <w:style w:type="paragraph" w:styleId="Heading2">
    <w:name w:val="heading 2"/>
    <w:basedOn w:val="Normal"/>
    <w:next w:val="Normal"/>
    <w:qFormat/>
    <w:rsid w:val="00FC76F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1"/>
    </w:pPr>
    <w:rPr>
      <w:rFonts w:ascii="Helvetica" w:hAnsi="Helvetica"/>
      <w:b/>
      <w:sz w:val="28"/>
    </w:rPr>
  </w:style>
  <w:style w:type="paragraph" w:styleId="Heading5">
    <w:name w:val="heading 5"/>
    <w:basedOn w:val="Normal"/>
    <w:next w:val="Normal"/>
    <w:qFormat/>
    <w:rsid w:val="00FC76FC"/>
    <w:pPr>
      <w:keepNext/>
      <w:tabs>
        <w:tab w:val="left" w:pos="360"/>
        <w:tab w:val="left" w:pos="720"/>
      </w:tabs>
      <w:ind w:right="227"/>
      <w:outlineLvl w:val="4"/>
    </w:pPr>
    <w:rPr>
      <w:rFonts w:ascii="Arial" w:hAnsi="Arial" w:cs="Arial"/>
      <w:b/>
      <w:b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76FC"/>
    <w:pPr>
      <w:tabs>
        <w:tab w:val="center" w:pos="4320"/>
        <w:tab w:val="right" w:pos="8640"/>
      </w:tabs>
    </w:pPr>
  </w:style>
  <w:style w:type="paragraph" w:styleId="Footer">
    <w:name w:val="footer"/>
    <w:basedOn w:val="Normal"/>
    <w:semiHidden/>
    <w:rsid w:val="00FC76FC"/>
    <w:pPr>
      <w:tabs>
        <w:tab w:val="center" w:pos="4320"/>
        <w:tab w:val="right" w:pos="8640"/>
      </w:tabs>
    </w:pPr>
  </w:style>
  <w:style w:type="paragraph" w:styleId="BlockText">
    <w:name w:val="Block Text"/>
    <w:basedOn w:val="Normal"/>
    <w:semiHidden/>
    <w:rsid w:val="00FC76FC"/>
    <w:pPr>
      <w:tabs>
        <w:tab w:val="left" w:pos="240"/>
      </w:tabs>
      <w:spacing w:after="60"/>
      <w:ind w:left="120" w:right="-120"/>
    </w:pPr>
    <w:rPr>
      <w:rFonts w:ascii="Helvetica" w:hAnsi="Helvetica"/>
      <w:color w:val="000080"/>
      <w:sz w:val="18"/>
    </w:rPr>
  </w:style>
  <w:style w:type="paragraph" w:styleId="BodyTextIndent">
    <w:name w:val="Body Text Indent"/>
    <w:basedOn w:val="Normal"/>
    <w:semiHidden/>
    <w:rsid w:val="00FC76FC"/>
    <w:pPr>
      <w:pBdr>
        <w:top w:val="single" w:sz="6" w:space="4" w:color="auto"/>
      </w:pBdr>
      <w:spacing w:after="60"/>
      <w:ind w:left="-120"/>
      <w:jc w:val="both"/>
    </w:pPr>
    <w:rPr>
      <w:rFonts w:ascii="Helvetica" w:hAnsi="Helvetica"/>
      <w:sz w:val="18"/>
    </w:rPr>
  </w:style>
  <w:style w:type="character" w:styleId="PageNumber">
    <w:name w:val="page number"/>
    <w:basedOn w:val="DefaultParagraphFont"/>
    <w:semiHidden/>
    <w:rsid w:val="00FC76FC"/>
  </w:style>
  <w:style w:type="paragraph" w:customStyle="1" w:styleId="p">
    <w:name w:val="p"/>
    <w:basedOn w:val="Normal"/>
    <w:rsid w:val="00FC76FC"/>
    <w:pPr>
      <w:overflowPunct/>
      <w:autoSpaceDE/>
      <w:autoSpaceDN/>
      <w:adjustRightInd/>
      <w:spacing w:before="100" w:beforeAutospacing="1" w:after="100" w:afterAutospacing="1"/>
      <w:textAlignment w:val="auto"/>
    </w:pPr>
    <w:rPr>
      <w:sz w:val="24"/>
      <w:szCs w:val="24"/>
    </w:rPr>
  </w:style>
  <w:style w:type="paragraph" w:styleId="BodyTextIndent2">
    <w:name w:val="Body Text Indent 2"/>
    <w:basedOn w:val="Normal"/>
    <w:semiHidden/>
    <w:rsid w:val="00FC76FC"/>
    <w:pPr>
      <w:tabs>
        <w:tab w:val="left" w:pos="360"/>
        <w:tab w:val="left" w:pos="720"/>
      </w:tabs>
      <w:ind w:left="360"/>
    </w:pPr>
    <w:rPr>
      <w:sz w:val="22"/>
    </w:rPr>
  </w:style>
  <w:style w:type="paragraph" w:styleId="PlainText">
    <w:name w:val="Plain Text"/>
    <w:basedOn w:val="Normal"/>
    <w:link w:val="PlainTextChar"/>
    <w:rsid w:val="009758B1"/>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9758B1"/>
    <w:rPr>
      <w:rFonts w:ascii="Courier New" w:hAnsi="Courier New" w:cs="Courier New"/>
    </w:rPr>
  </w:style>
  <w:style w:type="character" w:styleId="Hyperlink">
    <w:name w:val="Hyperlink"/>
    <w:basedOn w:val="DefaultParagraphFont"/>
    <w:uiPriority w:val="99"/>
    <w:unhideWhenUsed/>
    <w:rsid w:val="008D6E5A"/>
    <w:rPr>
      <w:color w:val="0000FF"/>
      <w:u w:val="single"/>
    </w:rPr>
  </w:style>
  <w:style w:type="paragraph" w:styleId="BodyTextIndent3">
    <w:name w:val="Body Text Indent 3"/>
    <w:basedOn w:val="Normal"/>
    <w:link w:val="BodyTextIndent3Char"/>
    <w:uiPriority w:val="99"/>
    <w:unhideWhenUsed/>
    <w:rsid w:val="00BF05E4"/>
    <w:pPr>
      <w:spacing w:after="120"/>
      <w:ind w:left="360"/>
    </w:pPr>
    <w:rPr>
      <w:sz w:val="16"/>
      <w:szCs w:val="16"/>
    </w:rPr>
  </w:style>
  <w:style w:type="character" w:customStyle="1" w:styleId="BodyTextIndent3Char">
    <w:name w:val="Body Text Indent 3 Char"/>
    <w:basedOn w:val="DefaultParagraphFont"/>
    <w:link w:val="BodyTextIndent3"/>
    <w:uiPriority w:val="99"/>
    <w:rsid w:val="00BF05E4"/>
    <w:rPr>
      <w:sz w:val="16"/>
      <w:szCs w:val="16"/>
    </w:rPr>
  </w:style>
  <w:style w:type="paragraph" w:styleId="ListParagraph">
    <w:name w:val="List Paragraph"/>
    <w:basedOn w:val="Normal"/>
    <w:uiPriority w:val="34"/>
    <w:qFormat/>
    <w:rsid w:val="008F1D65"/>
    <w:pPr>
      <w:overflowPunct/>
      <w:autoSpaceDE/>
      <w:autoSpaceDN/>
      <w:adjustRightInd/>
      <w:ind w:left="720"/>
      <w:contextualSpacing/>
      <w:textAlignment w:val="auto"/>
    </w:pPr>
    <w:rPr>
      <w:sz w:val="24"/>
      <w:szCs w:val="24"/>
    </w:rPr>
  </w:style>
  <w:style w:type="table" w:styleId="TableGrid">
    <w:name w:val="Table Grid"/>
    <w:basedOn w:val="TableNormal"/>
    <w:uiPriority w:val="59"/>
    <w:rsid w:val="00383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12E"/>
    <w:rPr>
      <w:rFonts w:ascii="Tahoma" w:hAnsi="Tahoma" w:cs="Tahoma"/>
      <w:sz w:val="16"/>
      <w:szCs w:val="16"/>
    </w:rPr>
  </w:style>
  <w:style w:type="character" w:customStyle="1" w:styleId="BalloonTextChar">
    <w:name w:val="Balloon Text Char"/>
    <w:basedOn w:val="DefaultParagraphFont"/>
    <w:link w:val="BalloonText"/>
    <w:uiPriority w:val="99"/>
    <w:semiHidden/>
    <w:rsid w:val="00AD71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591084">
      <w:bodyDiv w:val="1"/>
      <w:marLeft w:val="0"/>
      <w:marRight w:val="0"/>
      <w:marTop w:val="0"/>
      <w:marBottom w:val="0"/>
      <w:divBdr>
        <w:top w:val="none" w:sz="0" w:space="0" w:color="auto"/>
        <w:left w:val="none" w:sz="0" w:space="0" w:color="auto"/>
        <w:bottom w:val="none" w:sz="0" w:space="0" w:color="auto"/>
        <w:right w:val="none" w:sz="0" w:space="0" w:color="auto"/>
      </w:divBdr>
    </w:div>
    <w:div w:id="649141601">
      <w:bodyDiv w:val="1"/>
      <w:marLeft w:val="0"/>
      <w:marRight w:val="0"/>
      <w:marTop w:val="0"/>
      <w:marBottom w:val="0"/>
      <w:divBdr>
        <w:top w:val="none" w:sz="0" w:space="0" w:color="auto"/>
        <w:left w:val="none" w:sz="0" w:space="0" w:color="auto"/>
        <w:bottom w:val="none" w:sz="0" w:space="0" w:color="auto"/>
        <w:right w:val="none" w:sz="0" w:space="0" w:color="auto"/>
      </w:divBdr>
    </w:div>
    <w:div w:id="10373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Office_Excel_Worksheet3.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2.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EB57F-6D3B-4861-9E34-14E4B105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2454</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16120</CharactersWithSpaces>
  <SharedDoc>false</SharedDoc>
  <HLinks>
    <vt:vector size="6" baseType="variant">
      <vt:variant>
        <vt:i4>3670113</vt:i4>
      </vt:variant>
      <vt:variant>
        <vt:i4>114</vt:i4>
      </vt:variant>
      <vt:variant>
        <vt:i4>0</vt:i4>
      </vt:variant>
      <vt:variant>
        <vt:i4>5</vt:i4>
      </vt:variant>
      <vt:variant>
        <vt:lpwstr>http://www.opm.gov/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Kimberly Sanford</dc:creator>
  <cp:keywords/>
  <dc:description/>
  <cp:lastModifiedBy>h13226</cp:lastModifiedBy>
  <cp:revision>3</cp:revision>
  <cp:lastPrinted>2012-09-04T16:30:00Z</cp:lastPrinted>
  <dcterms:created xsi:type="dcterms:W3CDTF">2012-10-02T17:12:00Z</dcterms:created>
  <dcterms:modified xsi:type="dcterms:W3CDTF">2012-10-02T17:12:00Z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717483882</vt:i4>
  </property>
  <property fmtid="{D5CDD505-2E9C-101B-9397-08002B2CF9AE}" pid="3" name="_NewReviewCycle">
    <vt:lpwstr/>
  </property>
  <property fmtid="{D5CDD505-2E9C-101B-9397-08002B2CF9AE}" pid="4" name="_EmailSubject">
    <vt:lpwstr>Time to Renew - Certified Eligibility for Adjustments for Damage or Neglect,  2502-0349</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913486705</vt:i4>
  </property>
  <property fmtid="{D5CDD505-2E9C-101B-9397-08002B2CF9AE}" pid="8" name="_ReviewingToolsShownOnce">
    <vt:lpwstr/>
  </property>
</Properties>
</file>